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A5E2" w14:textId="1CE8B9C7" w:rsidR="00EF308D" w:rsidRPr="00BE613A" w:rsidRDefault="001A1534" w:rsidP="00BE613A">
      <w:pPr>
        <w:spacing w:line="240" w:lineRule="auto"/>
        <w:ind w:left="113" w:right="113"/>
        <w:jc w:val="center"/>
        <w:rPr>
          <w:rFonts w:ascii="Times New Roman" w:hAnsi="Times New Roman" w:cs="Times New Roman"/>
          <w:b/>
          <w:bCs/>
          <w:sz w:val="36"/>
          <w:szCs w:val="36"/>
        </w:rPr>
      </w:pPr>
      <w:r w:rsidRPr="00BE613A">
        <w:rPr>
          <w:rFonts w:ascii="Times New Roman" w:hAnsi="Times New Roman" w:cs="Times New Roman"/>
          <w:b/>
          <w:bCs/>
          <w:sz w:val="36"/>
          <w:szCs w:val="36"/>
        </w:rPr>
        <w:t>REVIEW ON ANALYTICAL METHOD DEVELOPMENT AND VALIDATION OF EMPAGLIFLOZIN</w:t>
      </w:r>
    </w:p>
    <w:p w14:paraId="70A836B8" w14:textId="1A7893B3" w:rsidR="001A1534" w:rsidRPr="00BE613A" w:rsidRDefault="004E40CB" w:rsidP="00BE613A">
      <w:pPr>
        <w:spacing w:line="240" w:lineRule="auto"/>
        <w:ind w:left="113" w:right="113"/>
        <w:jc w:val="center"/>
        <w:rPr>
          <w:rFonts w:ascii="Times New Roman" w:hAnsi="Times New Roman" w:cs="Times New Roman"/>
          <w:b/>
          <w:bCs/>
          <w:sz w:val="24"/>
          <w:szCs w:val="24"/>
        </w:rPr>
      </w:pPr>
      <w:r w:rsidRPr="00BE613A">
        <w:rPr>
          <w:rFonts w:ascii="Times New Roman" w:hAnsi="Times New Roman" w:cs="Times New Roman"/>
          <w:b/>
          <w:bCs/>
          <w:sz w:val="24"/>
          <w:szCs w:val="24"/>
        </w:rPr>
        <w:t>Lalit Bhoye</w:t>
      </w:r>
      <w:r w:rsidR="001A1534" w:rsidRPr="00BE613A">
        <w:rPr>
          <w:rFonts w:ascii="Times New Roman" w:hAnsi="Times New Roman" w:cs="Times New Roman"/>
          <w:b/>
          <w:bCs/>
          <w:sz w:val="24"/>
          <w:szCs w:val="24"/>
        </w:rPr>
        <w:t xml:space="preserve">, </w:t>
      </w:r>
      <w:r w:rsidR="0009546F" w:rsidRPr="00BE613A">
        <w:rPr>
          <w:rFonts w:ascii="Times New Roman" w:hAnsi="Times New Roman" w:cs="Times New Roman"/>
          <w:b/>
          <w:bCs/>
          <w:sz w:val="24"/>
          <w:szCs w:val="24"/>
        </w:rPr>
        <w:t>Dr. Uday A. Deokate</w:t>
      </w:r>
      <w:r w:rsidR="00E23800">
        <w:rPr>
          <w:rFonts w:ascii="Times New Roman" w:hAnsi="Times New Roman" w:cs="Times New Roman"/>
          <w:b/>
          <w:bCs/>
          <w:sz w:val="24"/>
          <w:szCs w:val="24"/>
        </w:rPr>
        <w:t xml:space="preserve">, </w:t>
      </w:r>
      <w:r w:rsidR="001273FE">
        <w:rPr>
          <w:rFonts w:ascii="Times New Roman" w:hAnsi="Times New Roman" w:cs="Times New Roman"/>
          <w:b/>
          <w:bCs/>
          <w:sz w:val="24"/>
          <w:szCs w:val="24"/>
        </w:rPr>
        <w:t>Vijay</w:t>
      </w:r>
      <w:r w:rsidR="00264F4A">
        <w:rPr>
          <w:rFonts w:ascii="Times New Roman" w:hAnsi="Times New Roman" w:cs="Times New Roman"/>
          <w:b/>
          <w:bCs/>
          <w:sz w:val="24"/>
          <w:szCs w:val="24"/>
        </w:rPr>
        <w:t xml:space="preserve"> </w:t>
      </w:r>
      <w:r w:rsidR="001273FE">
        <w:rPr>
          <w:rFonts w:ascii="Times New Roman" w:hAnsi="Times New Roman" w:cs="Times New Roman"/>
          <w:b/>
          <w:bCs/>
          <w:sz w:val="24"/>
          <w:szCs w:val="24"/>
        </w:rPr>
        <w:t>Lokhande</w:t>
      </w:r>
      <w:r w:rsidR="005B69AF">
        <w:rPr>
          <w:rFonts w:ascii="Times New Roman" w:hAnsi="Times New Roman" w:cs="Times New Roman"/>
          <w:b/>
          <w:bCs/>
          <w:sz w:val="24"/>
          <w:szCs w:val="24"/>
        </w:rPr>
        <w:t>, Muskan</w:t>
      </w:r>
      <w:r w:rsidR="00203B8D">
        <w:rPr>
          <w:rFonts w:ascii="Times New Roman" w:hAnsi="Times New Roman" w:cs="Times New Roman"/>
          <w:b/>
          <w:bCs/>
          <w:sz w:val="24"/>
          <w:szCs w:val="24"/>
        </w:rPr>
        <w:t xml:space="preserve"> Mulla, Vaishnavi Punase</w:t>
      </w:r>
      <w:r w:rsidR="000334F1">
        <w:rPr>
          <w:rFonts w:ascii="Times New Roman" w:hAnsi="Times New Roman" w:cs="Times New Roman"/>
          <w:b/>
          <w:bCs/>
          <w:sz w:val="24"/>
          <w:szCs w:val="24"/>
        </w:rPr>
        <w:t>, Govind Kokani</w:t>
      </w:r>
    </w:p>
    <w:p w14:paraId="42154C0C" w14:textId="2B90E4DA" w:rsidR="001A1534" w:rsidRPr="00320F35" w:rsidRDefault="001A1534" w:rsidP="005A2D1C">
      <w:pPr>
        <w:spacing w:line="240" w:lineRule="auto"/>
        <w:ind w:left="113" w:right="113"/>
        <w:jc w:val="center"/>
        <w:rPr>
          <w:rFonts w:ascii="Times New Roman" w:hAnsi="Times New Roman" w:cs="Times New Roman"/>
          <w:b/>
          <w:bCs/>
          <w:sz w:val="24"/>
          <w:szCs w:val="24"/>
        </w:rPr>
      </w:pPr>
      <w:r w:rsidRPr="00320F35">
        <w:rPr>
          <w:rFonts w:ascii="Times New Roman" w:hAnsi="Times New Roman" w:cs="Times New Roman"/>
          <w:b/>
          <w:bCs/>
          <w:sz w:val="24"/>
          <w:szCs w:val="24"/>
        </w:rPr>
        <w:t>Department of Pharmaceutical Chemistry, Government College of Pharmacy, Karad.</w:t>
      </w:r>
    </w:p>
    <w:p w14:paraId="391FB678" w14:textId="2F044BBB" w:rsidR="00C60828" w:rsidRPr="00A6726B" w:rsidRDefault="00A6726B" w:rsidP="00897370">
      <w:pPr>
        <w:spacing w:before="240" w:after="240" w:line="240" w:lineRule="auto"/>
        <w:ind w:left="115" w:right="115"/>
        <w:jc w:val="both"/>
        <w:rPr>
          <w:rFonts w:ascii="Times New Roman" w:hAnsi="Times New Roman" w:cs="Times New Roman"/>
          <w:b/>
          <w:bCs/>
          <w:i/>
          <w:iCs/>
          <w:sz w:val="24"/>
          <w:szCs w:val="24"/>
        </w:rPr>
      </w:pPr>
      <w:r w:rsidRPr="004443EC">
        <w:rPr>
          <w:rFonts w:ascii="Times New Roman" w:hAnsi="Times New Roman" w:cs="Times New Roman"/>
          <w:b/>
          <w:bCs/>
          <w:sz w:val="28"/>
          <w:szCs w:val="28"/>
        </w:rPr>
        <w:t>ABSTRACT:</w:t>
      </w:r>
      <w:r w:rsidR="00BE3155">
        <w:rPr>
          <w:rFonts w:ascii="Times New Roman" w:hAnsi="Times New Roman" w:cs="Times New Roman"/>
          <w:b/>
          <w:bCs/>
          <w:i/>
          <w:iCs/>
          <w:sz w:val="20"/>
          <w:szCs w:val="20"/>
        </w:rPr>
        <w:t xml:space="preserve"> </w:t>
      </w:r>
      <w:r w:rsidR="0002216D" w:rsidRPr="00A6726B">
        <w:rPr>
          <w:rFonts w:ascii="Times New Roman" w:hAnsi="Times New Roman" w:cs="Times New Roman"/>
          <w:sz w:val="24"/>
          <w:szCs w:val="24"/>
        </w:rPr>
        <w:t xml:space="preserve">Antidiabetic drugs manage diabetes mellitus by lowering blood glucose levels and are mainly classified into oral hypoglycemic agents and insulin formulations. Empagliflozin is an oral hypoglycemic drug belonging to the class of SGLT2 inhibitors. It acts on transporters in the proximal tubules of the kidneys to reduce blood glucose by promoting glucose excretion in the urine (glucosuria). </w:t>
      </w:r>
      <w:r w:rsidR="002751C8" w:rsidRPr="00A6726B">
        <w:rPr>
          <w:rFonts w:ascii="Times New Roman" w:hAnsi="Times New Roman" w:cs="Times New Roman"/>
          <w:sz w:val="24"/>
          <w:szCs w:val="24"/>
        </w:rPr>
        <w:t xml:space="preserve">It includes information on the </w:t>
      </w:r>
      <w:r w:rsidR="0002216D" w:rsidRPr="00A6726B">
        <w:rPr>
          <w:rFonts w:ascii="Times New Roman" w:hAnsi="Times New Roman" w:cs="Times New Roman"/>
          <w:sz w:val="24"/>
          <w:szCs w:val="24"/>
        </w:rPr>
        <w:t>development of various analytical techniques, including UV spectrophotometry, HPLC, HPTLC, and QbD-based HPLC methods, which can be utilized for further investigation and analysis of empagliflozin.</w:t>
      </w:r>
    </w:p>
    <w:p w14:paraId="748170D7" w14:textId="202B067B" w:rsidR="00F742B4" w:rsidRPr="00F742B4" w:rsidRDefault="00CB03F0" w:rsidP="00F742B4">
      <w:pPr>
        <w:spacing w:before="240" w:after="240" w:line="240" w:lineRule="auto"/>
        <w:ind w:left="115" w:right="115"/>
        <w:jc w:val="both"/>
        <w:rPr>
          <w:rFonts w:ascii="Times New Roman" w:hAnsi="Times New Roman" w:cs="Times New Roman"/>
          <w:sz w:val="24"/>
          <w:szCs w:val="24"/>
          <w:lang w:val="en-US"/>
        </w:rPr>
      </w:pPr>
      <w:r w:rsidRPr="00A61A16">
        <w:rPr>
          <w:rFonts w:ascii="Times New Roman" w:hAnsi="Times New Roman" w:cs="Times New Roman"/>
          <w:b/>
          <w:bCs/>
          <w:sz w:val="28"/>
          <w:szCs w:val="28"/>
        </w:rPr>
        <w:t>Keywords</w:t>
      </w:r>
      <w:r w:rsidR="004E40CB" w:rsidRPr="00A61A16">
        <w:rPr>
          <w:rFonts w:ascii="Times New Roman" w:hAnsi="Times New Roman" w:cs="Times New Roman"/>
          <w:b/>
          <w:bCs/>
          <w:sz w:val="28"/>
          <w:szCs w:val="28"/>
        </w:rPr>
        <w:t>:</w:t>
      </w:r>
      <w:r w:rsidR="004E40CB" w:rsidRPr="004E40CB">
        <w:rPr>
          <w:rFonts w:ascii="Times New Roman" w:hAnsi="Times New Roman" w:cs="Times New Roman"/>
          <w:b/>
          <w:bCs/>
          <w:sz w:val="20"/>
          <w:szCs w:val="20"/>
        </w:rPr>
        <w:t xml:space="preserve"> </w:t>
      </w:r>
      <w:r w:rsidR="00F742B4" w:rsidRPr="00F742B4">
        <w:rPr>
          <w:rFonts w:ascii="Times New Roman" w:hAnsi="Times New Roman" w:cs="Times New Roman"/>
          <w:sz w:val="24"/>
          <w:szCs w:val="24"/>
          <w:lang w:val="en-US"/>
        </w:rPr>
        <w:t>Empagliflozin, RP-HPLC, UV Spectroscopy, HPTLC, QbD</w:t>
      </w:r>
      <w:r w:rsidR="00F742B4">
        <w:rPr>
          <w:rFonts w:ascii="Times New Roman" w:hAnsi="Times New Roman" w:cs="Times New Roman"/>
          <w:sz w:val="24"/>
          <w:szCs w:val="24"/>
          <w:lang w:val="en-US"/>
        </w:rPr>
        <w:t>.</w:t>
      </w:r>
    </w:p>
    <w:p w14:paraId="3F95B4E5" w14:textId="24D2F0C7" w:rsidR="00A440A2" w:rsidRPr="00155795" w:rsidRDefault="00155795" w:rsidP="00F742B4">
      <w:pPr>
        <w:spacing w:before="240" w:after="240" w:line="240" w:lineRule="auto"/>
        <w:ind w:left="115" w:right="115"/>
        <w:jc w:val="both"/>
        <w:rPr>
          <w:rFonts w:ascii="Times New Roman" w:hAnsi="Times New Roman" w:cs="Times New Roman"/>
          <w:b/>
          <w:bCs/>
          <w:sz w:val="28"/>
          <w:szCs w:val="28"/>
        </w:rPr>
      </w:pPr>
      <w:r w:rsidRPr="00155795">
        <w:rPr>
          <w:rFonts w:ascii="Times New Roman" w:hAnsi="Times New Roman" w:cs="Times New Roman"/>
          <w:b/>
          <w:bCs/>
          <w:sz w:val="28"/>
          <w:szCs w:val="28"/>
        </w:rPr>
        <w:t>INTRODUCTION</w:t>
      </w:r>
    </w:p>
    <w:p w14:paraId="60915725" w14:textId="6CA5D286" w:rsidR="00276D1B" w:rsidRPr="0032176B" w:rsidRDefault="002137F8" w:rsidP="0032176B">
      <w:pPr>
        <w:spacing w:before="240" w:after="240" w:line="240" w:lineRule="auto"/>
        <w:ind w:left="115" w:right="115"/>
        <w:jc w:val="both"/>
        <w:rPr>
          <w:rFonts w:ascii="Times New Roman" w:hAnsi="Times New Roman" w:cs="Times New Roman"/>
          <w:sz w:val="24"/>
          <w:szCs w:val="24"/>
          <w:vertAlign w:val="superscript"/>
        </w:rPr>
      </w:pPr>
      <w:r w:rsidRPr="002137F8">
        <w:rPr>
          <w:rFonts w:ascii="Times New Roman" w:hAnsi="Times New Roman" w:cs="Times New Roman"/>
          <w:noProof/>
          <w:sz w:val="24"/>
          <w:szCs w:val="24"/>
        </w:rPr>
        <w:t>Diabetes is a chronic metabolic disorder characterized by elevated blood glucose levels, which can lead to serious damage to the heart, blood vessels, eyes, kidneys, and nerves over time. The most common form is type 2 diabetes, which typically affects adults and occurs when the body becomes resistant to insulin or fails to produce sufficient amounts of it. Over the past three decades, the incidence of type 2 diabetes has risen markedly across nations with diverse income levels. Type 1 diabetes, formerly known as juvenile or insulin-dependent diabetes, is a chronic condition where the pancreas produces insufficient or no insulin. For people living with diabetes, access to affordable treatment options like insulin is vital for their survival</w:t>
      </w:r>
      <w:r w:rsidR="00152426">
        <w:rPr>
          <w:rFonts w:ascii="Times New Roman" w:hAnsi="Times New Roman" w:cs="Times New Roman"/>
          <w:noProof/>
          <w:sz w:val="24"/>
          <w:szCs w:val="24"/>
        </w:rPr>
        <w:t xml:space="preserve"> </w:t>
      </w:r>
      <w:r w:rsidR="00152426">
        <w:rPr>
          <w:rFonts w:ascii="Times New Roman" w:hAnsi="Times New Roman" w:cs="Times New Roman"/>
          <w:sz w:val="24"/>
          <w:szCs w:val="24"/>
        </w:rPr>
        <w:t>(</w:t>
      </w:r>
      <w:r w:rsidR="00152426" w:rsidRPr="00994E3F">
        <w:rPr>
          <w:rFonts w:ascii="Times New Roman" w:hAnsi="Times New Roman" w:cs="Times New Roman"/>
          <w:sz w:val="24"/>
          <w:szCs w:val="24"/>
        </w:rPr>
        <w:t xml:space="preserve">World Health organization About diabetes, January </w:t>
      </w:r>
      <w:r w:rsidR="00152426">
        <w:rPr>
          <w:rFonts w:ascii="Times New Roman" w:hAnsi="Times New Roman" w:cs="Times New Roman"/>
          <w:sz w:val="24"/>
          <w:szCs w:val="24"/>
        </w:rPr>
        <w:t>(</w:t>
      </w:r>
      <w:r w:rsidR="00152426" w:rsidRPr="00994E3F">
        <w:rPr>
          <w:rFonts w:ascii="Times New Roman" w:hAnsi="Times New Roman" w:cs="Times New Roman"/>
          <w:sz w:val="24"/>
          <w:szCs w:val="24"/>
        </w:rPr>
        <w:t>2024</w:t>
      </w:r>
      <w:r w:rsidR="00152426">
        <w:rPr>
          <w:rFonts w:ascii="Times New Roman" w:hAnsi="Times New Roman" w:cs="Times New Roman"/>
          <w:sz w:val="24"/>
          <w:szCs w:val="24"/>
        </w:rPr>
        <w:t>)</w:t>
      </w:r>
      <w:r w:rsidR="005D4729">
        <w:rPr>
          <w:rFonts w:ascii="Times New Roman" w:hAnsi="Times New Roman" w:cs="Times New Roman"/>
          <w:sz w:val="24"/>
          <w:szCs w:val="24"/>
        </w:rPr>
        <w:t>.</w:t>
      </w:r>
      <w:r w:rsidR="009475E1">
        <w:rPr>
          <w:rFonts w:ascii="Times New Roman" w:hAnsi="Times New Roman" w:cs="Times New Roman"/>
          <w:noProof/>
          <w:sz w:val="28"/>
          <w:szCs w:val="28"/>
        </w:rPr>
        <mc:AlternateContent>
          <mc:Choice Requires="wpi">
            <w:drawing>
              <wp:anchor distT="0" distB="0" distL="114300" distR="114300" simplePos="0" relativeHeight="251669504" behindDoc="0" locked="0" layoutInCell="1" allowOverlap="1" wp14:anchorId="356DF676" wp14:editId="513A78E1">
                <wp:simplePos x="0" y="0"/>
                <wp:positionH relativeFrom="column">
                  <wp:posOffset>-1606890</wp:posOffset>
                </wp:positionH>
                <wp:positionV relativeFrom="paragraph">
                  <wp:posOffset>1415990</wp:posOffset>
                </wp:positionV>
                <wp:extent cx="360" cy="360"/>
                <wp:effectExtent l="57150" t="57150" r="57150" b="57150"/>
                <wp:wrapNone/>
                <wp:docPr id="357160879"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C847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27.25pt;margin-top:110.8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">
                <v:imagedata r:id="rId14" o:title=""/>
              </v:shape>
            </w:pict>
          </mc:Fallback>
        </mc:AlternateContent>
      </w:r>
    </w:p>
    <w:p w14:paraId="4A5E740D" w14:textId="37C8918A" w:rsidR="00ED58F7" w:rsidRPr="00276D1B" w:rsidRDefault="0009394A" w:rsidP="00276D1B">
      <w:pPr>
        <w:spacing w:line="240" w:lineRule="auto"/>
        <w:ind w:left="113" w:right="113"/>
        <w:jc w:val="both"/>
        <w:rPr>
          <w:rFonts w:ascii="Times New Roman" w:hAnsi="Times New Roman" w:cs="Times New Roman"/>
          <w:sz w:val="28"/>
          <w:szCs w:val="28"/>
        </w:rPr>
      </w:pPr>
      <w:r w:rsidRPr="005C7833">
        <w:rPr>
          <w:rFonts w:ascii="Times New Roman" w:hAnsi="Times New Roman" w:cs="Times New Roman"/>
          <w:b/>
          <w:bCs/>
          <w:sz w:val="24"/>
          <w:szCs w:val="24"/>
        </w:rPr>
        <w:t xml:space="preserve">SGLT2 </w:t>
      </w:r>
      <w:r w:rsidR="005C7833" w:rsidRPr="005C7833">
        <w:rPr>
          <w:rFonts w:ascii="Times New Roman" w:hAnsi="Times New Roman" w:cs="Times New Roman"/>
          <w:b/>
          <w:bCs/>
          <w:sz w:val="24"/>
          <w:szCs w:val="24"/>
        </w:rPr>
        <w:t>I</w:t>
      </w:r>
      <w:r w:rsidRPr="005C7833">
        <w:rPr>
          <w:rFonts w:ascii="Times New Roman" w:hAnsi="Times New Roman" w:cs="Times New Roman"/>
          <w:b/>
          <w:bCs/>
          <w:sz w:val="24"/>
          <w:szCs w:val="24"/>
        </w:rPr>
        <w:t>nhibitors</w:t>
      </w:r>
    </w:p>
    <w:p w14:paraId="77F6D62D" w14:textId="13F55439" w:rsidR="004C0971" w:rsidRPr="004C0971" w:rsidRDefault="004C0971" w:rsidP="004C0971">
      <w:pPr>
        <w:spacing w:before="240" w:after="240" w:line="240" w:lineRule="auto"/>
        <w:ind w:left="115" w:right="115"/>
        <w:jc w:val="both"/>
        <w:rPr>
          <w:rFonts w:ascii="Times New Roman" w:hAnsi="Times New Roman" w:cs="Times New Roman"/>
          <w:sz w:val="24"/>
          <w:szCs w:val="24"/>
        </w:rPr>
      </w:pPr>
      <w:r w:rsidRPr="004C0971">
        <w:rPr>
          <w:rFonts w:ascii="Times New Roman" w:hAnsi="Times New Roman" w:cs="Times New Roman"/>
          <w:sz w:val="24"/>
          <w:szCs w:val="24"/>
        </w:rPr>
        <w:t>SGLT2 inhibitors are a class of oral medications used to treat diabetes. They are commonly prescribed to individuals with type 2 diabetes. FDA-approved oral prescription medications known as sodium-glucose cotransporter-2 (SGLT2) inhibitors are used in conjunction with diet and exercise to lower blood sugar levels in adults with type 2 diabetes</w:t>
      </w:r>
      <w:r w:rsidR="00AE5916" w:rsidRPr="00AE5916">
        <w:rPr>
          <w:rFonts w:ascii="Times New Roman" w:hAnsi="Times New Roman" w:cs="Times New Roman"/>
          <w:sz w:val="24"/>
          <w:szCs w:val="24"/>
        </w:rPr>
        <w:t xml:space="preserve"> </w:t>
      </w:r>
      <w:r w:rsidR="00AE5916">
        <w:rPr>
          <w:rFonts w:ascii="Times New Roman" w:hAnsi="Times New Roman" w:cs="Times New Roman"/>
          <w:sz w:val="24"/>
          <w:szCs w:val="24"/>
        </w:rPr>
        <w:t>(</w:t>
      </w:r>
      <w:r w:rsidR="00AE5916" w:rsidRPr="00994E3F">
        <w:rPr>
          <w:rFonts w:ascii="Times New Roman" w:hAnsi="Times New Roman" w:cs="Times New Roman"/>
          <w:sz w:val="24"/>
          <w:szCs w:val="24"/>
        </w:rPr>
        <w:t>Saedi, E Gheini, MR Faiz, F Arami</w:t>
      </w:r>
      <w:r w:rsidR="00AE5916">
        <w:rPr>
          <w:rFonts w:ascii="Times New Roman" w:hAnsi="Times New Roman" w:cs="Times New Roman"/>
          <w:sz w:val="24"/>
          <w:szCs w:val="24"/>
        </w:rPr>
        <w:t xml:space="preserve"> (2016).</w:t>
      </w:r>
    </w:p>
    <w:p w14:paraId="377A57C9" w14:textId="029C58BA" w:rsidR="006A2431" w:rsidRPr="00C41626" w:rsidRDefault="004C0971" w:rsidP="004C0971">
      <w:pPr>
        <w:spacing w:before="240" w:after="240" w:line="240" w:lineRule="auto"/>
        <w:ind w:left="115" w:right="115"/>
        <w:jc w:val="both"/>
        <w:rPr>
          <w:rFonts w:ascii="Times New Roman" w:hAnsi="Times New Roman" w:cs="Times New Roman"/>
          <w:sz w:val="24"/>
          <w:szCs w:val="24"/>
          <w:vertAlign w:val="superscript"/>
        </w:rPr>
      </w:pPr>
      <w:r w:rsidRPr="004C0971">
        <w:rPr>
          <w:rFonts w:ascii="Times New Roman" w:hAnsi="Times New Roman" w:cs="Times New Roman"/>
          <w:sz w:val="24"/>
          <w:szCs w:val="24"/>
        </w:rPr>
        <w:t>Empagliflozin is a C-glycosyl compound featuring a beta-glucosyl residue with a (4-chloro-3-{4-[(3S)-tetrahydrofuran-3-</w:t>
      </w:r>
      <w:proofErr w:type="gramStart"/>
      <w:r w:rsidRPr="004C0971">
        <w:rPr>
          <w:rFonts w:ascii="Times New Roman" w:hAnsi="Times New Roman" w:cs="Times New Roman"/>
          <w:sz w:val="24"/>
          <w:szCs w:val="24"/>
        </w:rPr>
        <w:t>yloxy]benzyl</w:t>
      </w:r>
      <w:proofErr w:type="gramEnd"/>
      <w:r w:rsidRPr="004C0971">
        <w:rPr>
          <w:rFonts w:ascii="Times New Roman" w:hAnsi="Times New Roman" w:cs="Times New Roman"/>
          <w:sz w:val="24"/>
          <w:szCs w:val="24"/>
        </w:rPr>
        <w:t>}phenyl) group attached at the anomeric center. PubChem was discovered and developed by Boehringer-Ingelheim. Approved by the FDA in 2014, it is available in four formulations: Jardiance (empagliflozin), Glyxambi (empagliflozin and linagliptin), Synjardy (empagliflozin and metformin), and Synjardy XR (empagliflozin and extended-release metformin)</w:t>
      </w:r>
      <w:r w:rsidR="00B46C43">
        <w:rPr>
          <w:rFonts w:ascii="Times New Roman" w:hAnsi="Times New Roman" w:cs="Times New Roman"/>
          <w:sz w:val="24"/>
          <w:szCs w:val="24"/>
        </w:rPr>
        <w:t xml:space="preserve"> </w:t>
      </w:r>
      <w:r w:rsidR="004D6B49">
        <w:rPr>
          <w:rFonts w:ascii="Times New Roman" w:hAnsi="Times New Roman" w:cs="Times New Roman"/>
          <w:sz w:val="24"/>
          <w:szCs w:val="24"/>
        </w:rPr>
        <w:t>(</w:t>
      </w:r>
      <w:r w:rsidR="00B67DC2" w:rsidRPr="0070744F">
        <w:rPr>
          <w:rFonts w:ascii="Times New Roman" w:hAnsi="Times New Roman" w:cs="Times New Roman"/>
          <w:sz w:val="24"/>
          <w:szCs w:val="24"/>
        </w:rPr>
        <w:t>www.sciencedirect.com</w:t>
      </w:r>
      <w:r w:rsidR="00B67DC2">
        <w:rPr>
          <w:rFonts w:ascii="Times New Roman" w:hAnsi="Times New Roman" w:cs="Times New Roman"/>
          <w:sz w:val="24"/>
          <w:szCs w:val="24"/>
        </w:rPr>
        <w:t xml:space="preserve">, </w:t>
      </w:r>
      <w:r w:rsidR="004D6B49">
        <w:rPr>
          <w:rFonts w:ascii="Times New Roman" w:hAnsi="Times New Roman" w:cs="Times New Roman"/>
          <w:sz w:val="24"/>
          <w:szCs w:val="24"/>
        </w:rPr>
        <w:t>2024).</w:t>
      </w:r>
    </w:p>
    <w:p w14:paraId="3DA0C3FA" w14:textId="77777777" w:rsidR="00701931" w:rsidRDefault="00701931" w:rsidP="0026512F">
      <w:pPr>
        <w:spacing w:line="240" w:lineRule="auto"/>
        <w:ind w:left="113" w:right="113"/>
        <w:jc w:val="both"/>
        <w:rPr>
          <w:rFonts w:ascii="Times New Roman" w:hAnsi="Times New Roman" w:cs="Times New Roman"/>
          <w:sz w:val="24"/>
          <w:szCs w:val="24"/>
        </w:rPr>
      </w:pPr>
      <w:r w:rsidRPr="00701931">
        <w:rPr>
          <w:rFonts w:ascii="Times New Roman" w:hAnsi="Times New Roman" w:cs="Times New Roman"/>
          <w:sz w:val="24"/>
          <w:szCs w:val="24"/>
        </w:rPr>
        <w:t>Examples of SGLT2 inhibitors include remogliflozin etabonate, canagliflozin, dapagliflozin, bexaglifloxin, empagliflozin, and ertugliflozin.</w:t>
      </w:r>
    </w:p>
    <w:p w14:paraId="7AEECAE6" w14:textId="1365A612" w:rsidR="00EF225F" w:rsidRPr="00C41626" w:rsidRDefault="0076345C" w:rsidP="0026512F">
      <w:pPr>
        <w:spacing w:line="240" w:lineRule="auto"/>
        <w:ind w:left="113" w:right="113"/>
        <w:jc w:val="both"/>
        <w:rPr>
          <w:rFonts w:ascii="Times New Roman" w:hAnsi="Times New Roman" w:cs="Times New Roman"/>
          <w:sz w:val="24"/>
          <w:szCs w:val="24"/>
        </w:rPr>
      </w:pPr>
      <w:r w:rsidRPr="00C41626">
        <w:rPr>
          <w:rFonts w:ascii="Times New Roman" w:hAnsi="Times New Roman" w:cs="Times New Roman"/>
          <w:b/>
          <w:bCs/>
          <w:sz w:val="24"/>
          <w:szCs w:val="24"/>
        </w:rPr>
        <w:t>Chemistry of Empagliflozin</w:t>
      </w:r>
      <w:r w:rsidRPr="00C41626">
        <w:rPr>
          <w:rFonts w:ascii="Times New Roman" w:hAnsi="Times New Roman" w:cs="Times New Roman"/>
          <w:sz w:val="24"/>
          <w:szCs w:val="24"/>
        </w:rPr>
        <w:t xml:space="preserve"> </w:t>
      </w:r>
    </w:p>
    <w:p w14:paraId="2F30D1BB" w14:textId="78C5BBFB" w:rsidR="006717B4" w:rsidRDefault="006717B4" w:rsidP="003E71A6">
      <w:pPr>
        <w:spacing w:line="240" w:lineRule="auto"/>
        <w:ind w:left="113" w:right="113"/>
        <w:jc w:val="both"/>
        <w:rPr>
          <w:rFonts w:ascii="Times New Roman" w:hAnsi="Times New Roman" w:cs="Times New Roman"/>
          <w:sz w:val="24"/>
          <w:szCs w:val="24"/>
        </w:rPr>
      </w:pPr>
      <w:r w:rsidRPr="006717B4">
        <w:rPr>
          <w:rFonts w:ascii="Times New Roman" w:hAnsi="Times New Roman" w:cs="Times New Roman"/>
          <w:sz w:val="24"/>
          <w:szCs w:val="24"/>
        </w:rPr>
        <w:t>The chemical structure of empagliflozin is 4-(1-chloro-4-(β-D-glucopyranos-1-yl)-2-[4-((S)-tetrahydrofuran-3-</w:t>
      </w:r>
      <w:proofErr w:type="gramStart"/>
      <w:r w:rsidRPr="006717B4">
        <w:rPr>
          <w:rFonts w:ascii="Times New Roman" w:hAnsi="Times New Roman" w:cs="Times New Roman"/>
          <w:sz w:val="24"/>
          <w:szCs w:val="24"/>
        </w:rPr>
        <w:t>yloxy)benzyl</w:t>
      </w:r>
      <w:proofErr w:type="gramEnd"/>
      <w:r w:rsidRPr="006717B4">
        <w:rPr>
          <w:rFonts w:ascii="Times New Roman" w:hAnsi="Times New Roman" w:cs="Times New Roman"/>
          <w:sz w:val="24"/>
          <w:szCs w:val="24"/>
        </w:rPr>
        <w:t xml:space="preserve">]phenyl) </w:t>
      </w:r>
      <w:r w:rsidR="003A7807">
        <w:rPr>
          <w:rFonts w:ascii="Times New Roman" w:hAnsi="Times New Roman" w:cs="Times New Roman"/>
          <w:sz w:val="24"/>
          <w:szCs w:val="24"/>
        </w:rPr>
        <w:t>(</w:t>
      </w:r>
      <w:r w:rsidR="003A7807" w:rsidRPr="00994E3F">
        <w:rPr>
          <w:rFonts w:ascii="Times New Roman" w:hAnsi="Times New Roman" w:cs="Times New Roman"/>
          <w:sz w:val="24"/>
          <w:szCs w:val="24"/>
        </w:rPr>
        <w:t>Rx List Empaglifozin, January</w:t>
      </w:r>
      <w:r w:rsidR="003A7807">
        <w:rPr>
          <w:rFonts w:ascii="Times New Roman" w:hAnsi="Times New Roman" w:cs="Times New Roman"/>
          <w:sz w:val="24"/>
          <w:szCs w:val="24"/>
        </w:rPr>
        <w:t xml:space="preserve">, </w:t>
      </w:r>
      <w:r w:rsidR="003A7807" w:rsidRPr="00994E3F">
        <w:rPr>
          <w:rFonts w:ascii="Times New Roman" w:hAnsi="Times New Roman" w:cs="Times New Roman"/>
          <w:sz w:val="24"/>
          <w:szCs w:val="24"/>
        </w:rPr>
        <w:t>2024</w:t>
      </w:r>
      <w:r w:rsidR="003A7807">
        <w:rPr>
          <w:rFonts w:ascii="Times New Roman" w:hAnsi="Times New Roman" w:cs="Times New Roman"/>
          <w:sz w:val="24"/>
          <w:szCs w:val="24"/>
        </w:rPr>
        <w:t>).</w:t>
      </w:r>
      <w:r w:rsidRPr="006717B4">
        <w:rPr>
          <w:rFonts w:ascii="Times New Roman" w:hAnsi="Times New Roman" w:cs="Times New Roman"/>
          <w:sz w:val="24"/>
          <w:szCs w:val="24"/>
        </w:rPr>
        <w:t xml:space="preserve"> [Fig. 2] Its chemical formula is C23H27ClO7. It is a novel molecule with a molecular weight of 450. 91 g/mol. The partition coefficient (log P) is 1.7, while the dissociation constant is 12.57. The substance appears white and has a melting point of 151–153°</w:t>
      </w:r>
      <w:r w:rsidRPr="001859A1">
        <w:rPr>
          <w:rFonts w:ascii="Times New Roman" w:hAnsi="Times New Roman" w:cs="Times New Roman"/>
          <w:sz w:val="24"/>
          <w:szCs w:val="24"/>
          <w:vertAlign w:val="superscript"/>
        </w:rPr>
        <w:t>C</w:t>
      </w:r>
      <w:r w:rsidRPr="006717B4">
        <w:rPr>
          <w:rFonts w:ascii="Times New Roman" w:hAnsi="Times New Roman" w:cs="Times New Roman"/>
          <w:sz w:val="24"/>
          <w:szCs w:val="24"/>
        </w:rPr>
        <w:t>.</w:t>
      </w:r>
    </w:p>
    <w:p w14:paraId="5E0E5531" w14:textId="77777777" w:rsidR="003D35CB" w:rsidRDefault="003D35CB" w:rsidP="003E71A6">
      <w:pPr>
        <w:spacing w:line="240" w:lineRule="auto"/>
        <w:ind w:left="113" w:right="113"/>
        <w:jc w:val="both"/>
        <w:rPr>
          <w:rFonts w:ascii="Times New Roman" w:hAnsi="Times New Roman" w:cs="Times New Roman"/>
          <w:b/>
          <w:bCs/>
          <w:sz w:val="24"/>
          <w:szCs w:val="24"/>
        </w:rPr>
      </w:pPr>
    </w:p>
    <w:p w14:paraId="4AA0454B" w14:textId="77777777" w:rsidR="003D35CB" w:rsidRDefault="003D35CB" w:rsidP="003E71A6">
      <w:pPr>
        <w:spacing w:line="240" w:lineRule="auto"/>
        <w:ind w:left="113" w:right="113"/>
        <w:jc w:val="both"/>
        <w:rPr>
          <w:rFonts w:ascii="Times New Roman" w:hAnsi="Times New Roman" w:cs="Times New Roman"/>
          <w:b/>
          <w:bCs/>
          <w:sz w:val="24"/>
          <w:szCs w:val="24"/>
        </w:rPr>
      </w:pPr>
    </w:p>
    <w:p w14:paraId="447897AD" w14:textId="77777777" w:rsidR="0032176B" w:rsidRDefault="0032176B" w:rsidP="003E71A6">
      <w:pPr>
        <w:spacing w:line="240" w:lineRule="auto"/>
        <w:ind w:left="113" w:right="113"/>
        <w:jc w:val="both"/>
        <w:rPr>
          <w:rFonts w:ascii="Times New Roman" w:hAnsi="Times New Roman" w:cs="Times New Roman"/>
          <w:b/>
          <w:bCs/>
          <w:sz w:val="24"/>
          <w:szCs w:val="24"/>
        </w:rPr>
      </w:pPr>
    </w:p>
    <w:p w14:paraId="2F06B4E0" w14:textId="1BBAFE25" w:rsidR="0032176B" w:rsidRDefault="003E71A6" w:rsidP="0032176B">
      <w:pPr>
        <w:spacing w:line="240" w:lineRule="auto"/>
        <w:ind w:left="113" w:right="113"/>
        <w:jc w:val="both"/>
        <w:rPr>
          <w:rFonts w:ascii="Times New Roman" w:hAnsi="Times New Roman" w:cs="Times New Roman"/>
          <w:b/>
          <w:bCs/>
          <w:sz w:val="24"/>
          <w:szCs w:val="24"/>
        </w:rPr>
      </w:pPr>
      <w:r w:rsidRPr="00341DD3">
        <w:rPr>
          <w:rFonts w:ascii="Times New Roman" w:hAnsi="Times New Roman" w:cs="Times New Roman"/>
          <w:b/>
          <w:bCs/>
          <w:sz w:val="24"/>
          <w:szCs w:val="24"/>
        </w:rPr>
        <w:lastRenderedPageBreak/>
        <w:t xml:space="preserve">Figure </w:t>
      </w:r>
      <w:r w:rsidR="008D0D48">
        <w:rPr>
          <w:rFonts w:ascii="Times New Roman" w:hAnsi="Times New Roman" w:cs="Times New Roman"/>
          <w:b/>
          <w:bCs/>
          <w:sz w:val="24"/>
          <w:szCs w:val="24"/>
        </w:rPr>
        <w:t>1</w:t>
      </w:r>
      <w:r w:rsidRPr="00341DD3">
        <w:rPr>
          <w:rFonts w:ascii="Times New Roman" w:hAnsi="Times New Roman" w:cs="Times New Roman"/>
          <w:b/>
          <w:bCs/>
          <w:sz w:val="24"/>
          <w:szCs w:val="24"/>
        </w:rPr>
        <w:t>. Structure of Empagliflozin</w:t>
      </w:r>
    </w:p>
    <w:p w14:paraId="7D362D8D" w14:textId="69F6AE7C" w:rsidR="0008362A" w:rsidRDefault="009031C0" w:rsidP="003E71A6">
      <w:pPr>
        <w:spacing w:line="240" w:lineRule="auto"/>
        <w:ind w:left="113" w:right="113"/>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90CDDF" wp14:editId="4936C365">
            <wp:extent cx="4772660" cy="2047875"/>
            <wp:effectExtent l="19050" t="19050" r="27940" b="28575"/>
            <wp:docPr id="615215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15236" name="Picture 615215236"/>
                    <pic:cNvPicPr/>
                  </pic:nvPicPr>
                  <pic:blipFill>
                    <a:blip r:embed="rId15">
                      <a:extLst>
                        <a:ext uri="{28A0092B-C50C-407E-A947-70E740481C1C}">
                          <a14:useLocalDpi xmlns:a14="http://schemas.microsoft.com/office/drawing/2010/main" val="0"/>
                        </a:ext>
                      </a:extLst>
                    </a:blip>
                    <a:stretch>
                      <a:fillRect/>
                    </a:stretch>
                  </pic:blipFill>
                  <pic:spPr>
                    <a:xfrm>
                      <a:off x="0" y="0"/>
                      <a:ext cx="4772660" cy="2047875"/>
                    </a:xfrm>
                    <a:prstGeom prst="rect">
                      <a:avLst/>
                    </a:prstGeom>
                    <a:ln>
                      <a:solidFill>
                        <a:schemeClr val="bg2"/>
                      </a:solidFill>
                    </a:ln>
                  </pic:spPr>
                </pic:pic>
              </a:graphicData>
            </a:graphic>
          </wp:inline>
        </w:drawing>
      </w:r>
    </w:p>
    <w:p w14:paraId="4E7C89D1" w14:textId="1ABFE754" w:rsidR="0032176B" w:rsidRDefault="009031C0" w:rsidP="0019200D">
      <w:pPr>
        <w:spacing w:line="240" w:lineRule="auto"/>
        <w:ind w:right="11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D234C">
        <w:rPr>
          <w:rFonts w:ascii="Times New Roman" w:hAnsi="Times New Roman" w:cs="Times New Roman"/>
          <w:b/>
          <w:bCs/>
          <w:sz w:val="24"/>
          <w:szCs w:val="24"/>
        </w:rPr>
        <w:t>Report</w:t>
      </w:r>
      <w:r w:rsidR="00B62B94">
        <w:rPr>
          <w:rFonts w:ascii="Times New Roman" w:hAnsi="Times New Roman" w:cs="Times New Roman"/>
          <w:b/>
          <w:bCs/>
          <w:sz w:val="24"/>
          <w:szCs w:val="24"/>
        </w:rPr>
        <w:t>ed Analytical method</w:t>
      </w:r>
    </w:p>
    <w:p w14:paraId="3FDD6F16" w14:textId="77777777" w:rsidR="008D0D48" w:rsidRDefault="00AC32A6" w:rsidP="00FD6EE4">
      <w:pPr>
        <w:spacing w:line="240" w:lineRule="auto"/>
        <w:ind w:right="113"/>
        <w:jc w:val="both"/>
        <w:rPr>
          <w:rFonts w:ascii="Times New Roman" w:hAnsi="Times New Roman" w:cs="Times New Roman"/>
          <w:b/>
          <w:bCs/>
          <w:sz w:val="24"/>
          <w:szCs w:val="24"/>
        </w:rPr>
      </w:pPr>
      <w:r>
        <w:rPr>
          <w:noProof/>
        </w:rPr>
        <w:drawing>
          <wp:inline distT="0" distB="0" distL="0" distR="0" wp14:anchorId="29EF4823" wp14:editId="787F8FE0">
            <wp:extent cx="5332815" cy="2585720"/>
            <wp:effectExtent l="0" t="0" r="1270" b="5080"/>
            <wp:docPr id="728952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52595" name="Picture 72895259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30281" cy="2632978"/>
                    </a:xfrm>
                    <a:prstGeom prst="rect">
                      <a:avLst/>
                    </a:prstGeom>
                  </pic:spPr>
                </pic:pic>
              </a:graphicData>
            </a:graphic>
          </wp:inline>
        </w:drawing>
      </w:r>
    </w:p>
    <w:p w14:paraId="525AA034" w14:textId="1730A2AC" w:rsidR="005B3635" w:rsidRPr="004F2C1F" w:rsidRDefault="0008362A" w:rsidP="00FD6EE4">
      <w:pPr>
        <w:spacing w:line="240" w:lineRule="auto"/>
        <w:ind w:right="113"/>
        <w:jc w:val="both"/>
        <w:rPr>
          <w:rFonts w:ascii="Times New Roman" w:hAnsi="Times New Roman" w:cs="Times New Roman"/>
          <w:b/>
          <w:bCs/>
          <w:sz w:val="24"/>
          <w:szCs w:val="24"/>
        </w:rPr>
      </w:pPr>
      <w:r w:rsidRPr="004F2C1F">
        <w:rPr>
          <w:rFonts w:ascii="Times New Roman" w:hAnsi="Times New Roman" w:cs="Times New Roman"/>
          <w:b/>
          <w:bCs/>
          <w:sz w:val="24"/>
          <w:szCs w:val="24"/>
        </w:rPr>
        <w:t>Comparative Discussion</w:t>
      </w:r>
    </w:p>
    <w:p w14:paraId="28E0BD6F" w14:textId="67DADCA0" w:rsidR="00D0503A" w:rsidRDefault="005B3635" w:rsidP="0032176B">
      <w:pPr>
        <w:spacing w:before="240" w:after="240" w:line="240" w:lineRule="auto"/>
        <w:jc w:val="both"/>
        <w:rPr>
          <w:rFonts w:ascii="Times New Roman" w:hAnsi="Times New Roman" w:cs="Times New Roman"/>
          <w:sz w:val="24"/>
          <w:szCs w:val="24"/>
        </w:rPr>
      </w:pPr>
      <w:r w:rsidRPr="00A94BE1">
        <w:rPr>
          <w:rFonts w:ascii="Times New Roman" w:hAnsi="Times New Roman" w:cs="Times New Roman"/>
          <w:sz w:val="24"/>
          <w:szCs w:val="24"/>
        </w:rPr>
        <w:t xml:space="preserve">Among various analytical techniques, RP-HPLC methods are the most widely used because of their high sensitivity, accuracy, and precision. Although UV spectrophotometric methods are simple and cost-effective, they lack sensitivity. While HPTLC methods offer a </w:t>
      </w:r>
      <w:r w:rsidR="00462E09" w:rsidRPr="00A94BE1">
        <w:rPr>
          <w:rFonts w:ascii="Times New Roman" w:hAnsi="Times New Roman" w:cs="Times New Roman"/>
          <w:sz w:val="24"/>
          <w:szCs w:val="24"/>
        </w:rPr>
        <w:t>favourable</w:t>
      </w:r>
      <w:r w:rsidRPr="00A94BE1">
        <w:rPr>
          <w:rFonts w:ascii="Times New Roman" w:hAnsi="Times New Roman" w:cs="Times New Roman"/>
          <w:sz w:val="24"/>
          <w:szCs w:val="24"/>
        </w:rPr>
        <w:t xml:space="preserve"> balance between cost and performance, they lack the precision of HPLC. QbD-based approaches significantly enhance method robustness and reliability by employing systematic optimization.</w:t>
      </w:r>
    </w:p>
    <w:p w14:paraId="43B3D371" w14:textId="4D4D455F" w:rsidR="008D0D48" w:rsidRPr="003A310F" w:rsidRDefault="008D0D48" w:rsidP="0032176B">
      <w:pPr>
        <w:spacing w:before="240" w:after="240" w:line="240" w:lineRule="auto"/>
        <w:jc w:val="both"/>
        <w:rPr>
          <w:rFonts w:ascii="Times New Roman" w:hAnsi="Times New Roman" w:cs="Times New Roman"/>
          <w:b/>
          <w:bCs/>
          <w:sz w:val="24"/>
          <w:szCs w:val="24"/>
        </w:rPr>
      </w:pPr>
      <w:r w:rsidRPr="003A310F">
        <w:rPr>
          <w:rFonts w:ascii="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391"/>
        <w:gridCol w:w="1425"/>
        <w:gridCol w:w="1334"/>
        <w:gridCol w:w="1256"/>
        <w:gridCol w:w="1717"/>
        <w:gridCol w:w="1811"/>
        <w:gridCol w:w="1752"/>
      </w:tblGrid>
      <w:tr w:rsidR="00CB0244" w:rsidRPr="008B5C9A" w14:paraId="7DB052A9" w14:textId="77777777" w:rsidTr="002B3CA2">
        <w:tc>
          <w:tcPr>
            <w:tcW w:w="1524" w:type="dxa"/>
          </w:tcPr>
          <w:p w14:paraId="13662D80" w14:textId="5C0DB82B" w:rsidR="00FB7574" w:rsidRPr="008B5C9A" w:rsidRDefault="006E1EF5"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 xml:space="preserve">Method </w:t>
            </w:r>
          </w:p>
        </w:tc>
        <w:tc>
          <w:tcPr>
            <w:tcW w:w="1439" w:type="dxa"/>
          </w:tcPr>
          <w:p w14:paraId="51EC4E62" w14:textId="21F9143A" w:rsidR="00FB7574" w:rsidRPr="008B5C9A" w:rsidRDefault="006E1EF5"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Se</w:t>
            </w:r>
            <w:r w:rsidR="00EC2DAA">
              <w:rPr>
                <w:rFonts w:ascii="Times New Roman" w:hAnsi="Times New Roman" w:cs="Times New Roman"/>
                <w:b/>
                <w:bCs/>
                <w:sz w:val="24"/>
                <w:szCs w:val="24"/>
              </w:rPr>
              <w:t>n</w:t>
            </w:r>
            <w:r w:rsidRPr="008B5C9A">
              <w:rPr>
                <w:rFonts w:ascii="Times New Roman" w:hAnsi="Times New Roman" w:cs="Times New Roman"/>
                <w:b/>
                <w:bCs/>
                <w:sz w:val="24"/>
                <w:szCs w:val="24"/>
              </w:rPr>
              <w:t>sitivity</w:t>
            </w:r>
          </w:p>
        </w:tc>
        <w:tc>
          <w:tcPr>
            <w:tcW w:w="1350" w:type="dxa"/>
          </w:tcPr>
          <w:p w14:paraId="7187D8FE" w14:textId="2971301B" w:rsidR="00FB7574" w:rsidRPr="008B5C9A" w:rsidRDefault="00AF3888"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A</w:t>
            </w:r>
            <w:r w:rsidR="00743A34" w:rsidRPr="008B5C9A">
              <w:rPr>
                <w:rFonts w:ascii="Times New Roman" w:hAnsi="Times New Roman" w:cs="Times New Roman"/>
                <w:b/>
                <w:bCs/>
                <w:sz w:val="24"/>
                <w:szCs w:val="24"/>
              </w:rPr>
              <w:t>c</w:t>
            </w:r>
            <w:r w:rsidRPr="008B5C9A">
              <w:rPr>
                <w:rFonts w:ascii="Times New Roman" w:hAnsi="Times New Roman" w:cs="Times New Roman"/>
                <w:b/>
                <w:bCs/>
                <w:sz w:val="24"/>
                <w:szCs w:val="24"/>
              </w:rPr>
              <w:t xml:space="preserve">curacy </w:t>
            </w:r>
          </w:p>
        </w:tc>
        <w:tc>
          <w:tcPr>
            <w:tcW w:w="1260" w:type="dxa"/>
          </w:tcPr>
          <w:p w14:paraId="039C8ED9" w14:textId="169371C4" w:rsidR="00FB7574" w:rsidRPr="008B5C9A" w:rsidRDefault="00AF3888"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Cost</w:t>
            </w:r>
          </w:p>
        </w:tc>
        <w:tc>
          <w:tcPr>
            <w:tcW w:w="1717" w:type="dxa"/>
          </w:tcPr>
          <w:p w14:paraId="2820D700" w14:textId="71BB1B24" w:rsidR="00FB7574" w:rsidRPr="008B5C9A" w:rsidRDefault="00EC4DBE"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Time Consu</w:t>
            </w:r>
            <w:r w:rsidR="00B05BEA" w:rsidRPr="008B5C9A">
              <w:rPr>
                <w:rFonts w:ascii="Times New Roman" w:hAnsi="Times New Roman" w:cs="Times New Roman"/>
                <w:b/>
                <w:bCs/>
                <w:sz w:val="24"/>
                <w:szCs w:val="24"/>
              </w:rPr>
              <w:t>m</w:t>
            </w:r>
            <w:r w:rsidRPr="008B5C9A">
              <w:rPr>
                <w:rFonts w:ascii="Times New Roman" w:hAnsi="Times New Roman" w:cs="Times New Roman"/>
                <w:b/>
                <w:bCs/>
                <w:sz w:val="24"/>
                <w:szCs w:val="24"/>
              </w:rPr>
              <w:t>ption</w:t>
            </w:r>
          </w:p>
        </w:tc>
        <w:tc>
          <w:tcPr>
            <w:tcW w:w="1885" w:type="dxa"/>
          </w:tcPr>
          <w:p w14:paraId="0EE4EF5F" w14:textId="2F744884" w:rsidR="00FB7574" w:rsidRPr="008B5C9A" w:rsidRDefault="00E52FE2"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Applicability</w:t>
            </w:r>
          </w:p>
        </w:tc>
        <w:tc>
          <w:tcPr>
            <w:tcW w:w="1890" w:type="dxa"/>
          </w:tcPr>
          <w:p w14:paraId="7FBFD737" w14:textId="596F4F5C" w:rsidR="00FB7574" w:rsidRPr="008B5C9A" w:rsidRDefault="00E52FE2" w:rsidP="006B1902">
            <w:pPr>
              <w:tabs>
                <w:tab w:val="center" w:pos="1006"/>
              </w:tabs>
              <w:ind w:right="113"/>
              <w:rPr>
                <w:rFonts w:ascii="Times New Roman" w:hAnsi="Times New Roman" w:cs="Times New Roman"/>
                <w:b/>
                <w:bCs/>
                <w:sz w:val="24"/>
                <w:szCs w:val="24"/>
              </w:rPr>
            </w:pPr>
            <w:r w:rsidRPr="008B5C9A">
              <w:rPr>
                <w:rFonts w:ascii="Times New Roman" w:hAnsi="Times New Roman" w:cs="Times New Roman"/>
                <w:b/>
                <w:bCs/>
                <w:sz w:val="24"/>
                <w:szCs w:val="24"/>
              </w:rPr>
              <w:t>Remark</w:t>
            </w:r>
          </w:p>
        </w:tc>
      </w:tr>
      <w:tr w:rsidR="00CB0244" w:rsidRPr="008B5C9A" w14:paraId="73726DA1" w14:textId="77777777" w:rsidTr="002B3CA2">
        <w:trPr>
          <w:trHeight w:val="422"/>
        </w:trPr>
        <w:tc>
          <w:tcPr>
            <w:tcW w:w="1524" w:type="dxa"/>
          </w:tcPr>
          <w:p w14:paraId="70601CFF" w14:textId="5785C1AE" w:rsidR="004D375C" w:rsidRPr="008B5C9A" w:rsidRDefault="004D375C" w:rsidP="00216604">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 xml:space="preserve">UV </w:t>
            </w:r>
          </w:p>
        </w:tc>
        <w:tc>
          <w:tcPr>
            <w:tcW w:w="1439" w:type="dxa"/>
          </w:tcPr>
          <w:p w14:paraId="3245495D" w14:textId="3D09A8A4"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Low</w:t>
            </w:r>
          </w:p>
        </w:tc>
        <w:tc>
          <w:tcPr>
            <w:tcW w:w="1350" w:type="dxa"/>
          </w:tcPr>
          <w:p w14:paraId="271C4FD3" w14:textId="371AFDCA"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Moderate</w:t>
            </w:r>
          </w:p>
        </w:tc>
        <w:tc>
          <w:tcPr>
            <w:tcW w:w="1260" w:type="dxa"/>
          </w:tcPr>
          <w:p w14:paraId="042F1FBB" w14:textId="3231A50D"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Low</w:t>
            </w:r>
          </w:p>
        </w:tc>
        <w:tc>
          <w:tcPr>
            <w:tcW w:w="1717" w:type="dxa"/>
          </w:tcPr>
          <w:p w14:paraId="1EE106C0" w14:textId="12797CA4"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Fast</w:t>
            </w:r>
          </w:p>
        </w:tc>
        <w:tc>
          <w:tcPr>
            <w:tcW w:w="1885" w:type="dxa"/>
          </w:tcPr>
          <w:p w14:paraId="39CCC7F8" w14:textId="0BC0E2B4"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 xml:space="preserve">Routine </w:t>
            </w:r>
            <w:r w:rsidR="00352E38">
              <w:rPr>
                <w:rFonts w:ascii="Times New Roman" w:hAnsi="Times New Roman" w:cs="Times New Roman"/>
                <w:sz w:val="24"/>
                <w:szCs w:val="24"/>
              </w:rPr>
              <w:t>analys</w:t>
            </w:r>
            <w:r w:rsidR="002346F0">
              <w:rPr>
                <w:rFonts w:ascii="Times New Roman" w:hAnsi="Times New Roman" w:cs="Times New Roman"/>
                <w:sz w:val="24"/>
                <w:szCs w:val="24"/>
              </w:rPr>
              <w:t>is</w:t>
            </w:r>
          </w:p>
        </w:tc>
        <w:tc>
          <w:tcPr>
            <w:tcW w:w="1890" w:type="dxa"/>
          </w:tcPr>
          <w:p w14:paraId="0020553B" w14:textId="0195B206" w:rsidR="004D375C" w:rsidRPr="00185ADD" w:rsidRDefault="00185ADD" w:rsidP="00D45033">
            <w:pPr>
              <w:tabs>
                <w:tab w:val="center" w:pos="1006"/>
              </w:tabs>
              <w:ind w:right="113"/>
              <w:rPr>
                <w:rFonts w:ascii="Times New Roman" w:hAnsi="Times New Roman" w:cs="Times New Roman"/>
                <w:sz w:val="24"/>
                <w:szCs w:val="24"/>
              </w:rPr>
            </w:pPr>
            <w:r>
              <w:rPr>
                <w:rFonts w:ascii="Times New Roman" w:hAnsi="Times New Roman" w:cs="Times New Roman"/>
                <w:sz w:val="24"/>
                <w:szCs w:val="24"/>
              </w:rPr>
              <w:t>S</w:t>
            </w:r>
            <w:r w:rsidR="002E77E8">
              <w:rPr>
                <w:rFonts w:ascii="Times New Roman" w:hAnsi="Times New Roman" w:cs="Times New Roman"/>
                <w:sz w:val="24"/>
                <w:szCs w:val="24"/>
              </w:rPr>
              <w:t>i</w:t>
            </w:r>
            <w:r>
              <w:rPr>
                <w:rFonts w:ascii="Times New Roman" w:hAnsi="Times New Roman" w:cs="Times New Roman"/>
                <w:sz w:val="24"/>
                <w:szCs w:val="24"/>
              </w:rPr>
              <w:t>mple</w:t>
            </w:r>
            <w:r w:rsidR="002E77E8">
              <w:rPr>
                <w:rFonts w:ascii="Times New Roman" w:hAnsi="Times New Roman" w:cs="Times New Roman"/>
                <w:sz w:val="24"/>
                <w:szCs w:val="24"/>
              </w:rPr>
              <w:t xml:space="preserve"> Method</w:t>
            </w:r>
          </w:p>
        </w:tc>
      </w:tr>
      <w:tr w:rsidR="00CB0244" w:rsidRPr="008B5C9A" w14:paraId="2D8BF3A7" w14:textId="77777777" w:rsidTr="002B3CA2">
        <w:trPr>
          <w:trHeight w:val="323"/>
        </w:trPr>
        <w:tc>
          <w:tcPr>
            <w:tcW w:w="1524" w:type="dxa"/>
          </w:tcPr>
          <w:p w14:paraId="130B7D68" w14:textId="6A9AF0EA"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RP-HPLC</w:t>
            </w:r>
          </w:p>
        </w:tc>
        <w:tc>
          <w:tcPr>
            <w:tcW w:w="1439" w:type="dxa"/>
          </w:tcPr>
          <w:p w14:paraId="3AD6B3C2" w14:textId="77EE4E45"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High</w:t>
            </w:r>
          </w:p>
        </w:tc>
        <w:tc>
          <w:tcPr>
            <w:tcW w:w="1350" w:type="dxa"/>
          </w:tcPr>
          <w:p w14:paraId="59BADD10" w14:textId="5C6CFF2F"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High</w:t>
            </w:r>
          </w:p>
        </w:tc>
        <w:tc>
          <w:tcPr>
            <w:tcW w:w="1260" w:type="dxa"/>
          </w:tcPr>
          <w:p w14:paraId="70BF8281" w14:textId="7BF4E896"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Moderate</w:t>
            </w:r>
          </w:p>
        </w:tc>
        <w:tc>
          <w:tcPr>
            <w:tcW w:w="1717" w:type="dxa"/>
          </w:tcPr>
          <w:p w14:paraId="7DFE8AF1" w14:textId="6AA97883"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Moderate</w:t>
            </w:r>
          </w:p>
        </w:tc>
        <w:tc>
          <w:tcPr>
            <w:tcW w:w="1885" w:type="dxa"/>
          </w:tcPr>
          <w:p w14:paraId="292537F6" w14:textId="53D9CEA6"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Bulk &amp; plasma analysis</w:t>
            </w:r>
          </w:p>
        </w:tc>
        <w:tc>
          <w:tcPr>
            <w:tcW w:w="1890" w:type="dxa"/>
          </w:tcPr>
          <w:p w14:paraId="13E0AE50" w14:textId="0BD49468" w:rsidR="004D375C" w:rsidRPr="008B5C9A" w:rsidRDefault="00390EAD"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Most</w:t>
            </w:r>
            <w:r w:rsidR="00E97852">
              <w:rPr>
                <w:rFonts w:ascii="Times New Roman" w:hAnsi="Times New Roman" w:cs="Times New Roman"/>
                <w:sz w:val="24"/>
                <w:szCs w:val="24"/>
              </w:rPr>
              <w:t xml:space="preserve"> </w:t>
            </w:r>
            <w:r w:rsidRPr="00EB304F">
              <w:rPr>
                <w:rFonts w:ascii="Times New Roman" w:hAnsi="Times New Roman" w:cs="Times New Roman"/>
                <w:sz w:val="24"/>
                <w:szCs w:val="24"/>
              </w:rPr>
              <w:t>preferred method</w:t>
            </w:r>
          </w:p>
        </w:tc>
      </w:tr>
      <w:tr w:rsidR="00CB0244" w:rsidRPr="008B5C9A" w14:paraId="0F3F548D" w14:textId="77777777" w:rsidTr="002B3CA2">
        <w:tc>
          <w:tcPr>
            <w:tcW w:w="1524" w:type="dxa"/>
          </w:tcPr>
          <w:p w14:paraId="24AAD813" w14:textId="26145F86"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HPTLC</w:t>
            </w:r>
          </w:p>
        </w:tc>
        <w:tc>
          <w:tcPr>
            <w:tcW w:w="1439" w:type="dxa"/>
          </w:tcPr>
          <w:p w14:paraId="49300B92" w14:textId="5789F3FD"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Moderate</w:t>
            </w:r>
          </w:p>
        </w:tc>
        <w:tc>
          <w:tcPr>
            <w:tcW w:w="1350" w:type="dxa"/>
          </w:tcPr>
          <w:p w14:paraId="5338C27E" w14:textId="6BB16988"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Moderate</w:t>
            </w:r>
          </w:p>
        </w:tc>
        <w:tc>
          <w:tcPr>
            <w:tcW w:w="1260" w:type="dxa"/>
          </w:tcPr>
          <w:p w14:paraId="438A4F8A" w14:textId="4421EEF8"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Low- Moderate</w:t>
            </w:r>
          </w:p>
        </w:tc>
        <w:tc>
          <w:tcPr>
            <w:tcW w:w="1717" w:type="dxa"/>
          </w:tcPr>
          <w:p w14:paraId="2C1A2CF6" w14:textId="0445EA22" w:rsidR="004D375C" w:rsidRPr="008B5C9A" w:rsidRDefault="004D375C" w:rsidP="004D375C">
            <w:pPr>
              <w:tabs>
                <w:tab w:val="center" w:pos="1006"/>
              </w:tabs>
              <w:ind w:right="113"/>
              <w:rPr>
                <w:rFonts w:ascii="Times New Roman" w:hAnsi="Times New Roman" w:cs="Times New Roman"/>
                <w:b/>
                <w:bCs/>
                <w:sz w:val="24"/>
                <w:szCs w:val="24"/>
              </w:rPr>
            </w:pPr>
            <w:r w:rsidRPr="008B5C9A">
              <w:rPr>
                <w:rFonts w:ascii="Times New Roman" w:hAnsi="Times New Roman" w:cs="Times New Roman"/>
                <w:sz w:val="24"/>
                <w:szCs w:val="24"/>
              </w:rPr>
              <w:t>Moderate</w:t>
            </w:r>
          </w:p>
        </w:tc>
        <w:tc>
          <w:tcPr>
            <w:tcW w:w="1885" w:type="dxa"/>
          </w:tcPr>
          <w:p w14:paraId="033BAC51" w14:textId="35D77748"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Multiple sample analysis</w:t>
            </w:r>
          </w:p>
        </w:tc>
        <w:tc>
          <w:tcPr>
            <w:tcW w:w="1890" w:type="dxa"/>
          </w:tcPr>
          <w:p w14:paraId="234E55D3" w14:textId="08DB6C50" w:rsidR="004D375C" w:rsidRPr="008B5C9A" w:rsidRDefault="00E968BD"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Economical alternative</w:t>
            </w:r>
          </w:p>
        </w:tc>
      </w:tr>
      <w:tr w:rsidR="00CB0244" w:rsidRPr="008B5C9A" w14:paraId="10D52AB7" w14:textId="77777777" w:rsidTr="002B3CA2">
        <w:tc>
          <w:tcPr>
            <w:tcW w:w="1524" w:type="dxa"/>
          </w:tcPr>
          <w:p w14:paraId="7DAE791B" w14:textId="56A331A6"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QbD-based HPLC</w:t>
            </w:r>
          </w:p>
        </w:tc>
        <w:tc>
          <w:tcPr>
            <w:tcW w:w="1439" w:type="dxa"/>
          </w:tcPr>
          <w:p w14:paraId="2968EB5C" w14:textId="4CE5AF9F"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Very high</w:t>
            </w:r>
          </w:p>
        </w:tc>
        <w:tc>
          <w:tcPr>
            <w:tcW w:w="1350" w:type="dxa"/>
          </w:tcPr>
          <w:p w14:paraId="3919E74A" w14:textId="1D7AB0FA"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Very high</w:t>
            </w:r>
          </w:p>
        </w:tc>
        <w:tc>
          <w:tcPr>
            <w:tcW w:w="1260" w:type="dxa"/>
          </w:tcPr>
          <w:p w14:paraId="31CAC492" w14:textId="5E121F5F" w:rsidR="004D375C" w:rsidRPr="008B5C9A" w:rsidRDefault="004D375C" w:rsidP="004D375C">
            <w:pPr>
              <w:tabs>
                <w:tab w:val="center" w:pos="1006"/>
              </w:tabs>
              <w:ind w:right="113"/>
              <w:rPr>
                <w:rFonts w:ascii="Times New Roman" w:hAnsi="Times New Roman" w:cs="Times New Roman"/>
                <w:sz w:val="24"/>
                <w:szCs w:val="24"/>
              </w:rPr>
            </w:pPr>
            <w:r w:rsidRPr="008B5C9A">
              <w:rPr>
                <w:rFonts w:ascii="Times New Roman" w:hAnsi="Times New Roman" w:cs="Times New Roman"/>
                <w:sz w:val="24"/>
                <w:szCs w:val="24"/>
              </w:rPr>
              <w:t>High</w:t>
            </w:r>
          </w:p>
        </w:tc>
        <w:tc>
          <w:tcPr>
            <w:tcW w:w="1717" w:type="dxa"/>
          </w:tcPr>
          <w:p w14:paraId="4AE3E1D7" w14:textId="1A22F8B1" w:rsidR="004D375C" w:rsidRPr="008B5C9A" w:rsidRDefault="004D375C" w:rsidP="004D375C">
            <w:pPr>
              <w:tabs>
                <w:tab w:val="center" w:pos="1006"/>
              </w:tabs>
              <w:ind w:right="113"/>
              <w:rPr>
                <w:rFonts w:ascii="Times New Roman" w:hAnsi="Times New Roman" w:cs="Times New Roman"/>
                <w:b/>
                <w:bCs/>
                <w:sz w:val="24"/>
                <w:szCs w:val="24"/>
              </w:rPr>
            </w:pPr>
            <w:r w:rsidRPr="008B5C9A">
              <w:rPr>
                <w:rFonts w:ascii="Times New Roman" w:hAnsi="Times New Roman" w:cs="Times New Roman"/>
                <w:sz w:val="24"/>
                <w:szCs w:val="24"/>
              </w:rPr>
              <w:t>Moderate</w:t>
            </w:r>
          </w:p>
        </w:tc>
        <w:tc>
          <w:tcPr>
            <w:tcW w:w="1885" w:type="dxa"/>
          </w:tcPr>
          <w:p w14:paraId="235BD5EA" w14:textId="7523F222" w:rsidR="004D375C" w:rsidRPr="008B5C9A" w:rsidRDefault="004D375C"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Advanced analytical studies</w:t>
            </w:r>
          </w:p>
        </w:tc>
        <w:tc>
          <w:tcPr>
            <w:tcW w:w="1890" w:type="dxa"/>
          </w:tcPr>
          <w:p w14:paraId="152A3F90" w14:textId="305A7D28" w:rsidR="004D375C" w:rsidRPr="008B5C9A" w:rsidRDefault="008B5C9A" w:rsidP="004D375C">
            <w:pPr>
              <w:tabs>
                <w:tab w:val="center" w:pos="1006"/>
              </w:tabs>
              <w:ind w:right="113"/>
              <w:rPr>
                <w:rFonts w:ascii="Times New Roman" w:hAnsi="Times New Roman" w:cs="Times New Roman"/>
                <w:b/>
                <w:bCs/>
                <w:sz w:val="24"/>
                <w:szCs w:val="24"/>
              </w:rPr>
            </w:pPr>
            <w:r w:rsidRPr="00EB304F">
              <w:rPr>
                <w:rFonts w:ascii="Times New Roman" w:hAnsi="Times New Roman" w:cs="Times New Roman"/>
                <w:sz w:val="24"/>
                <w:szCs w:val="24"/>
              </w:rPr>
              <w:t>Highly robust and reliable</w:t>
            </w:r>
          </w:p>
        </w:tc>
      </w:tr>
    </w:tbl>
    <w:p w14:paraId="08A36327" w14:textId="77777777" w:rsidR="00710434" w:rsidRDefault="00710434" w:rsidP="00710434">
      <w:pPr>
        <w:tabs>
          <w:tab w:val="center" w:pos="1006"/>
        </w:tabs>
        <w:spacing w:line="240" w:lineRule="auto"/>
        <w:ind w:right="113"/>
        <w:rPr>
          <w:rFonts w:ascii="Times New Roman" w:hAnsi="Times New Roman" w:cs="Times New Roman"/>
          <w:b/>
          <w:bCs/>
          <w:sz w:val="24"/>
          <w:szCs w:val="24"/>
        </w:rPr>
      </w:pPr>
    </w:p>
    <w:p w14:paraId="17932145" w14:textId="77777777" w:rsidR="003D35CB" w:rsidRDefault="003D35CB" w:rsidP="00710434">
      <w:pPr>
        <w:tabs>
          <w:tab w:val="center" w:pos="1006"/>
        </w:tabs>
        <w:spacing w:line="240" w:lineRule="auto"/>
        <w:ind w:right="113"/>
        <w:rPr>
          <w:rFonts w:ascii="Times New Roman" w:hAnsi="Times New Roman" w:cs="Times New Roman"/>
          <w:b/>
          <w:bCs/>
          <w:sz w:val="24"/>
          <w:szCs w:val="24"/>
        </w:rPr>
      </w:pPr>
    </w:p>
    <w:p w14:paraId="668A2744" w14:textId="3ADD2C8B" w:rsidR="000258E2" w:rsidRDefault="009A448A" w:rsidP="00710434">
      <w:pPr>
        <w:tabs>
          <w:tab w:val="center" w:pos="1006"/>
        </w:tabs>
        <w:spacing w:line="240" w:lineRule="auto"/>
        <w:ind w:right="113"/>
        <w:rPr>
          <w:rFonts w:ascii="Times New Roman" w:hAnsi="Times New Roman" w:cs="Times New Roman"/>
          <w:b/>
          <w:bCs/>
          <w:sz w:val="24"/>
          <w:szCs w:val="24"/>
        </w:rPr>
      </w:pPr>
      <w:r w:rsidRPr="00820F4B">
        <w:rPr>
          <w:rFonts w:ascii="Times New Roman" w:hAnsi="Times New Roman" w:cs="Times New Roman"/>
          <w:b/>
          <w:bCs/>
          <w:sz w:val="24"/>
          <w:szCs w:val="24"/>
        </w:rPr>
        <w:t>Reported Methods for Assessment of Empaglifloz</w:t>
      </w:r>
      <w:r w:rsidR="009844DA" w:rsidRPr="00820F4B">
        <w:rPr>
          <w:rFonts w:ascii="Times New Roman" w:hAnsi="Times New Roman" w:cs="Times New Roman"/>
          <w:b/>
          <w:bCs/>
          <w:sz w:val="24"/>
          <w:szCs w:val="24"/>
        </w:rPr>
        <w:t>in</w:t>
      </w:r>
    </w:p>
    <w:p w14:paraId="007B084D" w14:textId="77777777" w:rsidR="00374928" w:rsidRPr="008B5C9A" w:rsidRDefault="00374928" w:rsidP="00710434">
      <w:pPr>
        <w:tabs>
          <w:tab w:val="center" w:pos="1006"/>
        </w:tabs>
        <w:spacing w:line="240" w:lineRule="auto"/>
        <w:ind w:right="113"/>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4352"/>
        <w:gridCol w:w="4387"/>
        <w:gridCol w:w="1350"/>
      </w:tblGrid>
      <w:tr w:rsidR="00EB2B6F" w:rsidRPr="00710434" w14:paraId="673BA50F" w14:textId="4C4AC62E" w:rsidTr="00CD0EDC">
        <w:trPr>
          <w:trHeight w:val="827"/>
        </w:trPr>
        <w:tc>
          <w:tcPr>
            <w:tcW w:w="796" w:type="dxa"/>
            <w:vAlign w:val="center"/>
          </w:tcPr>
          <w:p w14:paraId="52CB95B8" w14:textId="19106961" w:rsidR="00EB2B6F" w:rsidRPr="00710434" w:rsidRDefault="00EB2B6F" w:rsidP="00710434">
            <w:pPr>
              <w:spacing w:line="240" w:lineRule="auto"/>
              <w:ind w:left="113" w:right="113"/>
              <w:jc w:val="both"/>
              <w:rPr>
                <w:rFonts w:ascii="Times New Roman" w:hAnsi="Times New Roman" w:cs="Times New Roman"/>
                <w:b/>
                <w:bCs/>
                <w:sz w:val="24"/>
                <w:szCs w:val="24"/>
              </w:rPr>
            </w:pPr>
            <w:r w:rsidRPr="00710434">
              <w:rPr>
                <w:rFonts w:ascii="Times New Roman" w:hAnsi="Times New Roman" w:cs="Times New Roman"/>
                <w:b/>
                <w:bCs/>
                <w:sz w:val="24"/>
                <w:szCs w:val="24"/>
              </w:rPr>
              <w:t>Sr. No.</w:t>
            </w:r>
          </w:p>
        </w:tc>
        <w:tc>
          <w:tcPr>
            <w:tcW w:w="4352" w:type="dxa"/>
            <w:vAlign w:val="center"/>
          </w:tcPr>
          <w:p w14:paraId="46491DC6" w14:textId="2130E9A5" w:rsidR="00EB2B6F" w:rsidRPr="00710434" w:rsidRDefault="00754E65" w:rsidP="00710434">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Title</w:t>
            </w:r>
          </w:p>
        </w:tc>
        <w:tc>
          <w:tcPr>
            <w:tcW w:w="4387" w:type="dxa"/>
            <w:vAlign w:val="center"/>
          </w:tcPr>
          <w:p w14:paraId="7F8CB34B" w14:textId="5E437FD5" w:rsidR="00EB2B6F" w:rsidRPr="00710434" w:rsidRDefault="00754E65" w:rsidP="00710434">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Description</w:t>
            </w:r>
          </w:p>
        </w:tc>
        <w:tc>
          <w:tcPr>
            <w:tcW w:w="1350" w:type="dxa"/>
            <w:vAlign w:val="center"/>
          </w:tcPr>
          <w:p w14:paraId="00A58F79" w14:textId="667DB4C4" w:rsidR="00EB2B6F" w:rsidRPr="00710434" w:rsidRDefault="00EB2B6F" w:rsidP="00710434">
            <w:pPr>
              <w:spacing w:line="240" w:lineRule="auto"/>
              <w:ind w:left="113" w:right="113"/>
              <w:jc w:val="both"/>
              <w:rPr>
                <w:rFonts w:ascii="Times New Roman" w:hAnsi="Times New Roman" w:cs="Times New Roman"/>
                <w:b/>
                <w:bCs/>
                <w:sz w:val="24"/>
                <w:szCs w:val="24"/>
              </w:rPr>
            </w:pPr>
            <w:r w:rsidRPr="00710434">
              <w:rPr>
                <w:rFonts w:ascii="Times New Roman" w:hAnsi="Times New Roman" w:cs="Times New Roman"/>
                <w:b/>
                <w:bCs/>
                <w:sz w:val="24"/>
                <w:szCs w:val="24"/>
              </w:rPr>
              <w:t>Ref.</w:t>
            </w:r>
          </w:p>
          <w:p w14:paraId="6BA1A37B" w14:textId="59F5D6B2" w:rsidR="00EB2B6F" w:rsidRPr="00710434" w:rsidRDefault="00EB2B6F" w:rsidP="00710434">
            <w:pPr>
              <w:spacing w:line="240" w:lineRule="auto"/>
              <w:ind w:left="113" w:right="113"/>
              <w:jc w:val="both"/>
              <w:rPr>
                <w:rFonts w:ascii="Times New Roman" w:hAnsi="Times New Roman" w:cs="Times New Roman"/>
                <w:b/>
                <w:bCs/>
                <w:sz w:val="24"/>
                <w:szCs w:val="24"/>
              </w:rPr>
            </w:pPr>
            <w:r w:rsidRPr="00710434">
              <w:rPr>
                <w:rFonts w:ascii="Times New Roman" w:hAnsi="Times New Roman" w:cs="Times New Roman"/>
                <w:b/>
                <w:bCs/>
                <w:sz w:val="24"/>
                <w:szCs w:val="24"/>
              </w:rPr>
              <w:t>No.</w:t>
            </w:r>
          </w:p>
        </w:tc>
      </w:tr>
      <w:tr w:rsidR="008A4471" w:rsidRPr="00710434" w14:paraId="38438EBB" w14:textId="77777777" w:rsidTr="00663589">
        <w:trPr>
          <w:trHeight w:val="246"/>
        </w:trPr>
        <w:tc>
          <w:tcPr>
            <w:tcW w:w="10885" w:type="dxa"/>
            <w:gridSpan w:val="4"/>
            <w:vAlign w:val="center"/>
          </w:tcPr>
          <w:p w14:paraId="126498B8" w14:textId="24D59803" w:rsidR="008A4471" w:rsidRPr="00710434" w:rsidRDefault="00EB2B6F" w:rsidP="004729E7">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 xml:space="preserve">UV-Spectrophotometric </w:t>
            </w:r>
            <w:r w:rsidR="00842251" w:rsidRPr="00710434">
              <w:rPr>
                <w:rFonts w:ascii="Times New Roman" w:hAnsi="Times New Roman" w:cs="Times New Roman"/>
                <w:b/>
                <w:bCs/>
                <w:sz w:val="24"/>
                <w:szCs w:val="24"/>
              </w:rPr>
              <w:t>M</w:t>
            </w:r>
            <w:r w:rsidRPr="00710434">
              <w:rPr>
                <w:rFonts w:ascii="Times New Roman" w:hAnsi="Times New Roman" w:cs="Times New Roman"/>
                <w:b/>
                <w:bCs/>
                <w:sz w:val="24"/>
                <w:szCs w:val="24"/>
              </w:rPr>
              <w:t>ethod</w:t>
            </w:r>
          </w:p>
        </w:tc>
      </w:tr>
      <w:tr w:rsidR="00EB2B6F" w:rsidRPr="00710434" w14:paraId="6146775B" w14:textId="6E70E1DA" w:rsidTr="00663589">
        <w:trPr>
          <w:trHeight w:val="246"/>
        </w:trPr>
        <w:tc>
          <w:tcPr>
            <w:tcW w:w="796" w:type="dxa"/>
            <w:vAlign w:val="center"/>
          </w:tcPr>
          <w:p w14:paraId="61930C29" w14:textId="0A2F52F0" w:rsidR="00EB2B6F" w:rsidRPr="00710434" w:rsidRDefault="00EB2B6F"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1.</w:t>
            </w:r>
          </w:p>
        </w:tc>
        <w:tc>
          <w:tcPr>
            <w:tcW w:w="4352" w:type="dxa"/>
            <w:vAlign w:val="center"/>
          </w:tcPr>
          <w:p w14:paraId="3D7EA5CB" w14:textId="7CB93B16" w:rsidR="00EB2B6F" w:rsidRPr="00710434" w:rsidRDefault="00EB2B6F"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Development and validation of simple UV Spectrophotometric method for the determination of Empagliflozin</w:t>
            </w:r>
          </w:p>
        </w:tc>
        <w:tc>
          <w:tcPr>
            <w:tcW w:w="4387" w:type="dxa"/>
            <w:vAlign w:val="center"/>
          </w:tcPr>
          <w:p w14:paraId="4906A77D" w14:textId="3B0B7F30" w:rsidR="00B92C1B" w:rsidRPr="00710434" w:rsidRDefault="00B92C1B"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Solvent:</w:t>
            </w:r>
            <w:r w:rsidRPr="00710434">
              <w:rPr>
                <w:rFonts w:ascii="Times New Roman" w:hAnsi="Times New Roman" w:cs="Times New Roman"/>
                <w:sz w:val="24"/>
                <w:szCs w:val="24"/>
              </w:rPr>
              <w:t xml:space="preserve"> Water: Methanol (9.0:1.0%v/v)</w:t>
            </w:r>
          </w:p>
          <w:p w14:paraId="535F2017" w14:textId="77777777" w:rsidR="00B916F5" w:rsidRPr="00710434" w:rsidRDefault="00B92C1B"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Wavelength:</w:t>
            </w:r>
            <w:r w:rsidRPr="00710434">
              <w:rPr>
                <w:rFonts w:ascii="Times New Roman" w:hAnsi="Times New Roman" w:cs="Times New Roman"/>
                <w:sz w:val="24"/>
                <w:szCs w:val="24"/>
              </w:rPr>
              <w:t xml:space="preserve"> 224 nm </w:t>
            </w:r>
          </w:p>
          <w:p w14:paraId="25AB6D61" w14:textId="6F84C3F9" w:rsidR="00ED1DA1" w:rsidRPr="00710434" w:rsidRDefault="00B92C1B"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1.0–3.0 μg/mL</w:t>
            </w:r>
          </w:p>
          <w:p w14:paraId="65DF4DA4" w14:textId="5230654F" w:rsidR="00EB2B6F" w:rsidRPr="00710434" w:rsidRDefault="00B92C1B" w:rsidP="0026512F">
            <w:pPr>
              <w:spacing w:line="240" w:lineRule="auto"/>
              <w:ind w:left="113" w:right="113"/>
              <w:jc w:val="both"/>
              <w:rPr>
                <w:rFonts w:ascii="Times New Roman" w:hAnsi="Times New Roman" w:cs="Times New Roman"/>
                <w:b/>
                <w:bCs/>
                <w:sz w:val="24"/>
                <w:szCs w:val="24"/>
              </w:rPr>
            </w:pPr>
            <w:r w:rsidRPr="00710434">
              <w:rPr>
                <w:rFonts w:ascii="Times New Roman" w:hAnsi="Times New Roman" w:cs="Times New Roman"/>
                <w:b/>
                <w:bCs/>
                <w:sz w:val="24"/>
                <w:szCs w:val="24"/>
              </w:rPr>
              <w:t>R2:</w:t>
            </w:r>
            <w:r w:rsidRPr="00710434">
              <w:rPr>
                <w:rFonts w:ascii="Times New Roman" w:hAnsi="Times New Roman" w:cs="Times New Roman"/>
                <w:sz w:val="24"/>
                <w:szCs w:val="24"/>
              </w:rPr>
              <w:t xml:space="preserve"> 0.998</w:t>
            </w:r>
          </w:p>
        </w:tc>
        <w:tc>
          <w:tcPr>
            <w:tcW w:w="1350" w:type="dxa"/>
            <w:vAlign w:val="center"/>
          </w:tcPr>
          <w:p w14:paraId="7B9569E5" w14:textId="53D3F049" w:rsidR="00EB2B6F" w:rsidRPr="00710434" w:rsidRDefault="00B94207" w:rsidP="00B94207">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(Patil Sushil D., Chaure Sayali K</w:t>
            </w:r>
            <w:r w:rsidR="00D8634A" w:rsidRPr="00710434">
              <w:rPr>
                <w:rFonts w:ascii="Times New Roman" w:hAnsi="Times New Roman" w:cs="Times New Roman"/>
                <w:sz w:val="24"/>
                <w:szCs w:val="24"/>
              </w:rPr>
              <w:t>,</w:t>
            </w:r>
            <w:r w:rsidRPr="00710434">
              <w:rPr>
                <w:rFonts w:ascii="Times New Roman" w:hAnsi="Times New Roman" w:cs="Times New Roman"/>
                <w:sz w:val="24"/>
                <w:szCs w:val="24"/>
              </w:rPr>
              <w:t xml:space="preserve"> 2017)</w:t>
            </w:r>
          </w:p>
        </w:tc>
      </w:tr>
      <w:tr w:rsidR="00EB2B6F" w:rsidRPr="00710434" w14:paraId="594A0219" w14:textId="5EAB5C13" w:rsidTr="00663589">
        <w:trPr>
          <w:trHeight w:val="246"/>
        </w:trPr>
        <w:tc>
          <w:tcPr>
            <w:tcW w:w="796" w:type="dxa"/>
            <w:vAlign w:val="center"/>
          </w:tcPr>
          <w:p w14:paraId="5F519EE8" w14:textId="53CC97E4" w:rsidR="00EB2B6F" w:rsidRPr="00710434" w:rsidRDefault="00EB2B6F"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2.</w:t>
            </w:r>
          </w:p>
        </w:tc>
        <w:tc>
          <w:tcPr>
            <w:tcW w:w="4352" w:type="dxa"/>
            <w:vAlign w:val="center"/>
          </w:tcPr>
          <w:p w14:paraId="6430AC2E" w14:textId="2ED583A0" w:rsidR="00EB2B6F" w:rsidRPr="00710434" w:rsidRDefault="00AD0A2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Method development and validation of Empagliflozin in bulk and pharmaceutical dosage form using UV spectroscopy</w:t>
            </w:r>
          </w:p>
        </w:tc>
        <w:tc>
          <w:tcPr>
            <w:tcW w:w="4387" w:type="dxa"/>
            <w:vAlign w:val="center"/>
          </w:tcPr>
          <w:p w14:paraId="069FDCB7" w14:textId="77777777" w:rsidR="00B916F5" w:rsidRPr="00710434" w:rsidRDefault="005D0C2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Solvent:</w:t>
            </w:r>
            <w:r w:rsidRPr="00710434">
              <w:rPr>
                <w:rFonts w:ascii="Times New Roman" w:hAnsi="Times New Roman" w:cs="Times New Roman"/>
                <w:sz w:val="24"/>
                <w:szCs w:val="24"/>
              </w:rPr>
              <w:t xml:space="preserve"> Ethanol and Water </w:t>
            </w:r>
          </w:p>
          <w:p w14:paraId="485DF198" w14:textId="1425BBBC" w:rsidR="00B916F5" w:rsidRPr="00710434" w:rsidRDefault="005D0C2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Wavelength:</w:t>
            </w:r>
            <w:r w:rsidRPr="00710434">
              <w:rPr>
                <w:rFonts w:ascii="Times New Roman" w:hAnsi="Times New Roman" w:cs="Times New Roman"/>
                <w:sz w:val="24"/>
                <w:szCs w:val="24"/>
              </w:rPr>
              <w:t xml:space="preserve"> 223 nm </w:t>
            </w:r>
          </w:p>
          <w:p w14:paraId="2A2C4DBA" w14:textId="04BC56E3" w:rsidR="000F5B00" w:rsidRPr="00710434" w:rsidRDefault="005D0C2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1-30μg/mL</w:t>
            </w:r>
          </w:p>
          <w:p w14:paraId="755ADEE1" w14:textId="4A9DFE29" w:rsidR="00EB2B6F" w:rsidRPr="00710434" w:rsidRDefault="005D0C2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R2:</w:t>
            </w:r>
            <w:r w:rsidR="000F5B00" w:rsidRPr="00710434">
              <w:rPr>
                <w:rFonts w:ascii="Times New Roman" w:hAnsi="Times New Roman" w:cs="Times New Roman"/>
                <w:sz w:val="24"/>
                <w:szCs w:val="24"/>
              </w:rPr>
              <w:t xml:space="preserve"> </w:t>
            </w:r>
            <w:r w:rsidRPr="00710434">
              <w:rPr>
                <w:rFonts w:ascii="Times New Roman" w:hAnsi="Times New Roman" w:cs="Times New Roman"/>
                <w:sz w:val="24"/>
                <w:szCs w:val="24"/>
              </w:rPr>
              <w:t>0.997</w:t>
            </w:r>
          </w:p>
        </w:tc>
        <w:tc>
          <w:tcPr>
            <w:tcW w:w="1350" w:type="dxa"/>
            <w:vAlign w:val="center"/>
          </w:tcPr>
          <w:p w14:paraId="6EF81EF7" w14:textId="5ED41478" w:rsidR="00EB2B6F" w:rsidRPr="00710434" w:rsidRDefault="00D8634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w:t>
            </w:r>
            <w:r w:rsidR="003B35FA" w:rsidRPr="00710434">
              <w:rPr>
                <w:rFonts w:ascii="Times New Roman" w:hAnsi="Times New Roman" w:cs="Times New Roman"/>
                <w:sz w:val="24"/>
                <w:szCs w:val="24"/>
              </w:rPr>
              <w:t>Benazir Shaik Bima, Archana Jorige</w:t>
            </w:r>
            <w:r w:rsidRPr="00710434">
              <w:rPr>
                <w:rFonts w:ascii="Times New Roman" w:hAnsi="Times New Roman" w:cs="Times New Roman"/>
                <w:sz w:val="24"/>
                <w:szCs w:val="24"/>
              </w:rPr>
              <w:t>,</w:t>
            </w:r>
            <w:r w:rsidR="003B35FA" w:rsidRPr="00710434">
              <w:rPr>
                <w:rFonts w:ascii="Times New Roman" w:hAnsi="Times New Roman" w:cs="Times New Roman"/>
                <w:sz w:val="24"/>
                <w:szCs w:val="24"/>
              </w:rPr>
              <w:t xml:space="preserve"> 2021)</w:t>
            </w:r>
          </w:p>
        </w:tc>
      </w:tr>
      <w:tr w:rsidR="006B2CCD" w:rsidRPr="00710434" w14:paraId="4C705A6C" w14:textId="77777777" w:rsidTr="00CD0EDC">
        <w:trPr>
          <w:trHeight w:val="350"/>
        </w:trPr>
        <w:tc>
          <w:tcPr>
            <w:tcW w:w="10885" w:type="dxa"/>
            <w:gridSpan w:val="4"/>
            <w:vAlign w:val="center"/>
          </w:tcPr>
          <w:p w14:paraId="629A16FA" w14:textId="142763A3" w:rsidR="006B2CCD" w:rsidRPr="00710434" w:rsidRDefault="006C25C3" w:rsidP="004729E7">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Reverse Phase High Performance Liquid Chromatography</w:t>
            </w:r>
            <w:r w:rsidR="00A95783" w:rsidRPr="00710434">
              <w:rPr>
                <w:rFonts w:ascii="Times New Roman" w:hAnsi="Times New Roman" w:cs="Times New Roman"/>
                <w:b/>
                <w:bCs/>
                <w:sz w:val="24"/>
                <w:szCs w:val="24"/>
              </w:rPr>
              <w:t xml:space="preserve"> </w:t>
            </w:r>
            <w:r w:rsidRPr="00710434">
              <w:rPr>
                <w:rFonts w:ascii="Times New Roman" w:hAnsi="Times New Roman" w:cs="Times New Roman"/>
                <w:b/>
                <w:bCs/>
                <w:sz w:val="24"/>
                <w:szCs w:val="24"/>
              </w:rPr>
              <w:t>(RP-HPLC)</w:t>
            </w:r>
          </w:p>
        </w:tc>
      </w:tr>
      <w:tr w:rsidR="00FF6031" w:rsidRPr="00710434" w14:paraId="3FF1E65E" w14:textId="5D0E7AA1" w:rsidTr="00663589">
        <w:trPr>
          <w:trHeight w:val="246"/>
        </w:trPr>
        <w:tc>
          <w:tcPr>
            <w:tcW w:w="796" w:type="dxa"/>
            <w:vAlign w:val="center"/>
          </w:tcPr>
          <w:p w14:paraId="3EE05A38" w14:textId="24E73CBF" w:rsidR="00FF6031" w:rsidRPr="00710434" w:rsidRDefault="00FF60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3.</w:t>
            </w:r>
          </w:p>
        </w:tc>
        <w:tc>
          <w:tcPr>
            <w:tcW w:w="4352" w:type="dxa"/>
            <w:vAlign w:val="center"/>
          </w:tcPr>
          <w:p w14:paraId="36D9C94D" w14:textId="3A82D92E" w:rsidR="00FF6031" w:rsidRPr="00710434" w:rsidRDefault="00A01DE8"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 xml:space="preserve">New validated </w:t>
            </w:r>
            <w:r w:rsidR="00A17CCB" w:rsidRPr="00710434">
              <w:rPr>
                <w:rFonts w:ascii="Times New Roman" w:hAnsi="Times New Roman" w:cs="Times New Roman"/>
                <w:sz w:val="24"/>
                <w:szCs w:val="24"/>
              </w:rPr>
              <w:t>RP</w:t>
            </w:r>
            <w:r w:rsidRPr="00710434">
              <w:rPr>
                <w:rFonts w:ascii="Times New Roman" w:hAnsi="Times New Roman" w:cs="Times New Roman"/>
                <w:sz w:val="24"/>
                <w:szCs w:val="24"/>
              </w:rPr>
              <w:t>- method for the estimation of empagliflozin in human plasma</w:t>
            </w:r>
          </w:p>
        </w:tc>
        <w:tc>
          <w:tcPr>
            <w:tcW w:w="4387" w:type="dxa"/>
            <w:vAlign w:val="center"/>
          </w:tcPr>
          <w:p w14:paraId="1E34AE52" w14:textId="209865D4" w:rsidR="00FF6031" w:rsidRPr="00710434" w:rsidRDefault="003B2B72"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w:t>
            </w:r>
            <w:r w:rsidR="007C44F9" w:rsidRPr="00710434">
              <w:rPr>
                <w:rFonts w:ascii="Times New Roman" w:hAnsi="Times New Roman" w:cs="Times New Roman"/>
                <w:b/>
                <w:bCs/>
                <w:sz w:val="24"/>
                <w:szCs w:val="24"/>
              </w:rPr>
              <w:t>tionary phase:</w:t>
            </w:r>
            <w:r w:rsidR="000A13C9" w:rsidRPr="00710434">
              <w:rPr>
                <w:rFonts w:ascii="Times New Roman" w:hAnsi="Times New Roman" w:cs="Times New Roman"/>
                <w:sz w:val="24"/>
                <w:szCs w:val="24"/>
              </w:rPr>
              <w:t xml:space="preserve"> C18 column (250 mm × 4.6 mm, 5 µm)</w:t>
            </w:r>
          </w:p>
          <w:p w14:paraId="04338F01" w14:textId="0C620563" w:rsidR="007C44F9" w:rsidRPr="00710434" w:rsidRDefault="007C44F9"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000A13C9" w:rsidRPr="00710434">
              <w:rPr>
                <w:rFonts w:ascii="Times New Roman" w:hAnsi="Times New Roman" w:cs="Times New Roman"/>
                <w:sz w:val="24"/>
                <w:szCs w:val="24"/>
              </w:rPr>
              <w:t xml:space="preserve"> </w:t>
            </w:r>
            <w:r w:rsidR="00F76702" w:rsidRPr="00710434">
              <w:rPr>
                <w:rFonts w:ascii="Times New Roman" w:hAnsi="Times New Roman" w:cs="Times New Roman"/>
                <w:sz w:val="24"/>
                <w:szCs w:val="24"/>
              </w:rPr>
              <w:t>methanol and acetonitrile, 50:50% v/v</w:t>
            </w:r>
          </w:p>
          <w:p w14:paraId="0EFD3FDD" w14:textId="1749CD6B" w:rsidR="007C44F9" w:rsidRPr="00710434" w:rsidRDefault="00C55BA2"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00F76702" w:rsidRPr="00710434">
              <w:rPr>
                <w:rFonts w:ascii="Times New Roman" w:hAnsi="Times New Roman" w:cs="Times New Roman"/>
                <w:sz w:val="24"/>
                <w:szCs w:val="24"/>
              </w:rPr>
              <w:t xml:space="preserve"> </w:t>
            </w:r>
            <w:r w:rsidR="009A6290" w:rsidRPr="00710434">
              <w:rPr>
                <w:rFonts w:ascii="Times New Roman" w:hAnsi="Times New Roman" w:cs="Times New Roman"/>
                <w:sz w:val="24"/>
                <w:szCs w:val="24"/>
              </w:rPr>
              <w:t>50-150 μg/ml</w:t>
            </w:r>
          </w:p>
          <w:p w14:paraId="392086C3" w14:textId="3A61AD74" w:rsidR="00D51D7E" w:rsidRPr="00710434" w:rsidRDefault="00D51D7E"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Flowrate:</w:t>
            </w:r>
            <w:r w:rsidR="009A6290" w:rsidRPr="00710434">
              <w:rPr>
                <w:rFonts w:ascii="Times New Roman" w:hAnsi="Times New Roman" w:cs="Times New Roman"/>
                <w:sz w:val="24"/>
                <w:szCs w:val="24"/>
              </w:rPr>
              <w:t xml:space="preserve"> </w:t>
            </w:r>
            <w:r w:rsidR="00E85D9A" w:rsidRPr="00710434">
              <w:rPr>
                <w:rFonts w:ascii="Times New Roman" w:hAnsi="Times New Roman" w:cs="Times New Roman"/>
                <w:sz w:val="24"/>
                <w:szCs w:val="24"/>
              </w:rPr>
              <w:t>1.0 ml/min</w:t>
            </w:r>
          </w:p>
        </w:tc>
        <w:tc>
          <w:tcPr>
            <w:tcW w:w="1350" w:type="dxa"/>
            <w:vAlign w:val="center"/>
          </w:tcPr>
          <w:p w14:paraId="0F834A15" w14:textId="5808556E" w:rsidR="00FF6031" w:rsidRPr="00710434" w:rsidRDefault="00A903CC"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 xml:space="preserve">(N. </w:t>
            </w:r>
            <w:proofErr w:type="gramStart"/>
            <w:r w:rsidRPr="00710434">
              <w:rPr>
                <w:rFonts w:ascii="Times New Roman" w:hAnsi="Times New Roman" w:cs="Times New Roman"/>
                <w:sz w:val="24"/>
                <w:szCs w:val="24"/>
              </w:rPr>
              <w:t>Padmaja,  2018</w:t>
            </w:r>
            <w:proofErr w:type="gramEnd"/>
            <w:r w:rsidRPr="00710434">
              <w:rPr>
                <w:rFonts w:ascii="Times New Roman" w:hAnsi="Times New Roman" w:cs="Times New Roman"/>
                <w:sz w:val="24"/>
                <w:szCs w:val="24"/>
              </w:rPr>
              <w:t>)</w:t>
            </w:r>
          </w:p>
        </w:tc>
      </w:tr>
      <w:tr w:rsidR="00FF6031" w:rsidRPr="00710434" w14:paraId="142671AE" w14:textId="5E1139DD" w:rsidTr="00663589">
        <w:trPr>
          <w:trHeight w:val="246"/>
        </w:trPr>
        <w:tc>
          <w:tcPr>
            <w:tcW w:w="796" w:type="dxa"/>
            <w:vAlign w:val="center"/>
          </w:tcPr>
          <w:p w14:paraId="1303CEEF" w14:textId="6CA8984F" w:rsidR="00FF6031" w:rsidRPr="00710434" w:rsidRDefault="00FF60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4.</w:t>
            </w:r>
          </w:p>
        </w:tc>
        <w:tc>
          <w:tcPr>
            <w:tcW w:w="4352" w:type="dxa"/>
            <w:vAlign w:val="center"/>
          </w:tcPr>
          <w:p w14:paraId="4E81F414" w14:textId="2307648B" w:rsidR="00FF6031" w:rsidRPr="00710434" w:rsidRDefault="00FF60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RP-HPLC method for quantification of Empagliflozin in pharmaceutical formulation</w:t>
            </w:r>
          </w:p>
        </w:tc>
        <w:tc>
          <w:tcPr>
            <w:tcW w:w="4387" w:type="dxa"/>
            <w:vAlign w:val="center"/>
          </w:tcPr>
          <w:p w14:paraId="3E089670" w14:textId="77777777" w:rsidR="00B916F5" w:rsidRPr="00710434" w:rsidRDefault="0076246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Stationary phase:</w:t>
            </w:r>
            <w:r w:rsidRPr="00710434">
              <w:rPr>
                <w:rFonts w:ascii="Times New Roman" w:hAnsi="Times New Roman" w:cs="Times New Roman"/>
                <w:sz w:val="24"/>
                <w:szCs w:val="24"/>
              </w:rPr>
              <w:t xml:space="preserve"> C18G column (250 x 4.6 mm, 5μm) </w:t>
            </w:r>
          </w:p>
          <w:p w14:paraId="512D440D" w14:textId="77777777" w:rsidR="00B916F5" w:rsidRPr="00710434" w:rsidRDefault="0076246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Pr="00710434">
              <w:rPr>
                <w:rFonts w:ascii="Times New Roman" w:hAnsi="Times New Roman" w:cs="Times New Roman"/>
                <w:sz w:val="24"/>
                <w:szCs w:val="24"/>
              </w:rPr>
              <w:t xml:space="preserve"> </w:t>
            </w:r>
            <w:proofErr w:type="gramStart"/>
            <w:r w:rsidRPr="00710434">
              <w:rPr>
                <w:rFonts w:ascii="Times New Roman" w:hAnsi="Times New Roman" w:cs="Times New Roman"/>
                <w:sz w:val="24"/>
                <w:szCs w:val="24"/>
              </w:rPr>
              <w:t>Methanol :Water</w:t>
            </w:r>
            <w:proofErr w:type="gramEnd"/>
            <w:r w:rsidRPr="00710434">
              <w:rPr>
                <w:rFonts w:ascii="Times New Roman" w:hAnsi="Times New Roman" w:cs="Times New Roman"/>
                <w:sz w:val="24"/>
                <w:szCs w:val="24"/>
              </w:rPr>
              <w:t xml:space="preserve"> (70: 30% v/v) </w:t>
            </w:r>
          </w:p>
          <w:p w14:paraId="045553D4" w14:textId="77777777" w:rsidR="00B916F5" w:rsidRPr="00710434" w:rsidRDefault="0076246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10–90 μg/mL </w:t>
            </w:r>
          </w:p>
          <w:p w14:paraId="36AE2153" w14:textId="5098788B" w:rsidR="00FF6031" w:rsidRPr="00710434" w:rsidRDefault="0076246D"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Flowrate:</w:t>
            </w:r>
            <w:r w:rsidRPr="00710434">
              <w:rPr>
                <w:rFonts w:ascii="Times New Roman" w:hAnsi="Times New Roman" w:cs="Times New Roman"/>
                <w:sz w:val="24"/>
                <w:szCs w:val="24"/>
              </w:rPr>
              <w:t xml:space="preserve"> 1 mL/min</w:t>
            </w:r>
          </w:p>
        </w:tc>
        <w:tc>
          <w:tcPr>
            <w:tcW w:w="1350" w:type="dxa"/>
            <w:vAlign w:val="center"/>
          </w:tcPr>
          <w:p w14:paraId="55E5B358" w14:textId="7FC785CE" w:rsidR="00FF6031" w:rsidRPr="00710434" w:rsidRDefault="00625D47"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(Siridevi Mounika P, 2019)</w:t>
            </w:r>
          </w:p>
        </w:tc>
      </w:tr>
      <w:tr w:rsidR="00FF6031" w:rsidRPr="00710434" w14:paraId="607B1461" w14:textId="56CA564F" w:rsidTr="00663589">
        <w:trPr>
          <w:trHeight w:val="246"/>
        </w:trPr>
        <w:tc>
          <w:tcPr>
            <w:tcW w:w="796" w:type="dxa"/>
            <w:vAlign w:val="center"/>
          </w:tcPr>
          <w:p w14:paraId="123042B0" w14:textId="10C9D62A" w:rsidR="00FF6031" w:rsidRPr="00710434" w:rsidRDefault="00FF60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5.</w:t>
            </w:r>
          </w:p>
        </w:tc>
        <w:tc>
          <w:tcPr>
            <w:tcW w:w="4352" w:type="dxa"/>
            <w:vAlign w:val="center"/>
          </w:tcPr>
          <w:p w14:paraId="29EA7151" w14:textId="1BE85C32" w:rsidR="00FF6031" w:rsidRPr="00710434" w:rsidRDefault="00660EE6"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Development and validation of stability Indicating RP-HPLC method for Empagliflozin</w:t>
            </w:r>
          </w:p>
        </w:tc>
        <w:tc>
          <w:tcPr>
            <w:tcW w:w="4387" w:type="dxa"/>
            <w:vAlign w:val="center"/>
          </w:tcPr>
          <w:p w14:paraId="0D644C61" w14:textId="463DC381" w:rsidR="00FD0F14" w:rsidRPr="00710434" w:rsidRDefault="00FD0F14"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Stationary phase:</w:t>
            </w:r>
            <w:r w:rsidRPr="00710434">
              <w:rPr>
                <w:rFonts w:ascii="Times New Roman" w:hAnsi="Times New Roman" w:cs="Times New Roman"/>
                <w:sz w:val="24"/>
                <w:szCs w:val="24"/>
              </w:rPr>
              <w:t xml:space="preserve"> Phenomenex C18 column (250 x 4.6 mm, 5μm)</w:t>
            </w:r>
          </w:p>
          <w:p w14:paraId="6362B8B7" w14:textId="77777777" w:rsidR="00B916F5" w:rsidRPr="00710434" w:rsidRDefault="00FD0F14"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Pr="00710434">
              <w:rPr>
                <w:rFonts w:ascii="Times New Roman" w:hAnsi="Times New Roman" w:cs="Times New Roman"/>
                <w:sz w:val="24"/>
                <w:szCs w:val="24"/>
              </w:rPr>
              <w:t xml:space="preserve"> Methanol: Water (70: 30% v/v) </w:t>
            </w:r>
          </w:p>
          <w:p w14:paraId="2816C354" w14:textId="77777777" w:rsidR="00B916F5" w:rsidRPr="00710434" w:rsidRDefault="00FD0F14"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2–14 μg/mL</w:t>
            </w:r>
          </w:p>
          <w:p w14:paraId="745C5AC0" w14:textId="32407743" w:rsidR="00FF6031" w:rsidRPr="00710434" w:rsidRDefault="00FD0F14"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Flowrate:</w:t>
            </w:r>
            <w:r w:rsidRPr="00710434">
              <w:rPr>
                <w:rFonts w:ascii="Times New Roman" w:hAnsi="Times New Roman" w:cs="Times New Roman"/>
                <w:sz w:val="24"/>
                <w:szCs w:val="24"/>
              </w:rPr>
              <w:t xml:space="preserve"> 1.0 mL/min</w:t>
            </w:r>
          </w:p>
        </w:tc>
        <w:tc>
          <w:tcPr>
            <w:tcW w:w="1350" w:type="dxa"/>
            <w:vAlign w:val="center"/>
          </w:tcPr>
          <w:p w14:paraId="2B5DF223" w14:textId="4DEDCB0A" w:rsidR="00FF6031" w:rsidRPr="00710434" w:rsidRDefault="00A82523"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w:t>
            </w:r>
            <w:r w:rsidR="00E9539F" w:rsidRPr="00710434">
              <w:rPr>
                <w:rFonts w:ascii="Times New Roman" w:hAnsi="Times New Roman" w:cs="Times New Roman"/>
                <w:sz w:val="24"/>
                <w:szCs w:val="24"/>
              </w:rPr>
              <w:t>Patil Sushil D</w:t>
            </w:r>
            <w:r w:rsidR="00D05A1A" w:rsidRPr="00710434">
              <w:rPr>
                <w:rFonts w:ascii="Times New Roman" w:hAnsi="Times New Roman" w:cs="Times New Roman"/>
                <w:sz w:val="24"/>
                <w:szCs w:val="24"/>
              </w:rPr>
              <w:t>,</w:t>
            </w:r>
            <w:r w:rsidR="00E9539F" w:rsidRPr="00710434">
              <w:rPr>
                <w:rFonts w:ascii="Times New Roman" w:hAnsi="Times New Roman" w:cs="Times New Roman"/>
                <w:sz w:val="24"/>
                <w:szCs w:val="24"/>
              </w:rPr>
              <w:t xml:space="preserve"> Dr. Amurutkar</w:t>
            </w:r>
            <w:r w:rsidR="00D05A1A" w:rsidRPr="00710434">
              <w:rPr>
                <w:rFonts w:ascii="Times New Roman" w:hAnsi="Times New Roman" w:cs="Times New Roman"/>
                <w:sz w:val="24"/>
                <w:szCs w:val="24"/>
              </w:rPr>
              <w:t xml:space="preserve"> Su</w:t>
            </w:r>
            <w:r w:rsidRPr="00710434">
              <w:rPr>
                <w:rFonts w:ascii="Times New Roman" w:hAnsi="Times New Roman" w:cs="Times New Roman"/>
                <w:sz w:val="24"/>
                <w:szCs w:val="24"/>
              </w:rPr>
              <w:t>nil V</w:t>
            </w:r>
            <w:r w:rsidR="00D05A1A" w:rsidRPr="00710434">
              <w:rPr>
                <w:rFonts w:ascii="Times New Roman" w:hAnsi="Times New Roman" w:cs="Times New Roman"/>
                <w:sz w:val="24"/>
                <w:szCs w:val="24"/>
              </w:rPr>
              <w:t>,</w:t>
            </w:r>
            <w:r w:rsidR="00E9539F" w:rsidRPr="00710434">
              <w:rPr>
                <w:rFonts w:ascii="Times New Roman" w:hAnsi="Times New Roman" w:cs="Times New Roman"/>
                <w:sz w:val="24"/>
                <w:szCs w:val="24"/>
              </w:rPr>
              <w:t xml:space="preserve"> 2016)</w:t>
            </w:r>
          </w:p>
        </w:tc>
      </w:tr>
      <w:tr w:rsidR="00FF6031" w:rsidRPr="00710434" w14:paraId="7040DC72" w14:textId="1F592A87" w:rsidTr="00663589">
        <w:trPr>
          <w:trHeight w:val="246"/>
        </w:trPr>
        <w:tc>
          <w:tcPr>
            <w:tcW w:w="796" w:type="dxa"/>
            <w:vAlign w:val="center"/>
          </w:tcPr>
          <w:p w14:paraId="5A2C4ADD" w14:textId="1C9F5378" w:rsidR="00FF6031" w:rsidRPr="00710434" w:rsidRDefault="00FF60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6.</w:t>
            </w:r>
          </w:p>
        </w:tc>
        <w:tc>
          <w:tcPr>
            <w:tcW w:w="4352" w:type="dxa"/>
            <w:vAlign w:val="center"/>
          </w:tcPr>
          <w:p w14:paraId="4AA5D660" w14:textId="4821F6A1" w:rsidR="00FF6031" w:rsidRPr="00710434" w:rsidRDefault="00552833"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Empagliflozin: HPLC based analytical method development and application to pharmaceutical raw material and dosage form</w:t>
            </w:r>
          </w:p>
        </w:tc>
        <w:tc>
          <w:tcPr>
            <w:tcW w:w="4387" w:type="dxa"/>
            <w:vAlign w:val="center"/>
          </w:tcPr>
          <w:p w14:paraId="7E91E271" w14:textId="77777777" w:rsidR="00B916F5" w:rsidRPr="00710434" w:rsidRDefault="003859CE"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Stationary phase:</w:t>
            </w:r>
            <w:r w:rsidRPr="00710434">
              <w:rPr>
                <w:rFonts w:ascii="Times New Roman" w:hAnsi="Times New Roman" w:cs="Times New Roman"/>
                <w:sz w:val="24"/>
                <w:szCs w:val="24"/>
              </w:rPr>
              <w:t xml:space="preserve"> C18 column (250 x 4.6 mm, 5μm) </w:t>
            </w:r>
          </w:p>
          <w:p w14:paraId="3FB399B5" w14:textId="0C5045C9" w:rsidR="00BF14A1" w:rsidRPr="00710434" w:rsidRDefault="003859CE"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lastRenderedPageBreak/>
              <w:t>Mobile Phase:</w:t>
            </w:r>
            <w:r w:rsidRPr="00710434">
              <w:rPr>
                <w:rFonts w:ascii="Times New Roman" w:hAnsi="Times New Roman" w:cs="Times New Roman"/>
                <w:sz w:val="24"/>
                <w:szCs w:val="24"/>
              </w:rPr>
              <w:t xml:space="preserve"> Water: Acetonitrile (70:30 %v/v):0.1% Trifluoroacetic acid solution (pH 4.8)</w:t>
            </w:r>
          </w:p>
          <w:p w14:paraId="064C79F0" w14:textId="77777777" w:rsidR="00280C4A" w:rsidRDefault="003859CE" w:rsidP="00280C4A">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0.025-30 </w:t>
            </w:r>
            <w:r w:rsidRPr="00710434">
              <w:rPr>
                <w:rFonts w:ascii="Times New Roman" w:hAnsi="Times New Roman" w:cs="Times New Roman"/>
                <w:sz w:val="24"/>
                <w:szCs w:val="24"/>
              </w:rPr>
              <w:sym w:font="Symbol" w:char="F06D"/>
            </w:r>
            <w:r w:rsidRPr="00710434">
              <w:rPr>
                <w:rFonts w:ascii="Times New Roman" w:hAnsi="Times New Roman" w:cs="Times New Roman"/>
                <w:sz w:val="24"/>
                <w:szCs w:val="24"/>
              </w:rPr>
              <w:t xml:space="preserve">g mL </w:t>
            </w:r>
          </w:p>
          <w:p w14:paraId="1249198E" w14:textId="263CD1E1" w:rsidR="00FF6031" w:rsidRPr="00710434" w:rsidRDefault="003859CE" w:rsidP="00280C4A">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Flow rate:</w:t>
            </w:r>
            <w:r w:rsidRPr="00710434">
              <w:rPr>
                <w:rFonts w:ascii="Times New Roman" w:hAnsi="Times New Roman" w:cs="Times New Roman"/>
                <w:sz w:val="24"/>
                <w:szCs w:val="24"/>
              </w:rPr>
              <w:t xml:space="preserve"> 1.0 mL/ min</w:t>
            </w:r>
          </w:p>
        </w:tc>
        <w:tc>
          <w:tcPr>
            <w:tcW w:w="1350" w:type="dxa"/>
            <w:vAlign w:val="center"/>
          </w:tcPr>
          <w:p w14:paraId="3AC13E9B" w14:textId="1E2BB4E6" w:rsidR="00FF6031" w:rsidRPr="00710434" w:rsidRDefault="001A3B34"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lastRenderedPageBreak/>
              <w:t xml:space="preserve">(Anas M. Hanif, Rabia </w:t>
            </w:r>
            <w:r w:rsidRPr="00710434">
              <w:rPr>
                <w:rFonts w:ascii="Times New Roman" w:hAnsi="Times New Roman" w:cs="Times New Roman"/>
                <w:sz w:val="24"/>
                <w:szCs w:val="24"/>
              </w:rPr>
              <w:lastRenderedPageBreak/>
              <w:t>Bushra, 2021)</w:t>
            </w:r>
          </w:p>
        </w:tc>
      </w:tr>
      <w:tr w:rsidR="00FF6031" w:rsidRPr="00710434" w14:paraId="1FA4D07D" w14:textId="33D4AD54" w:rsidTr="00663589">
        <w:trPr>
          <w:trHeight w:val="246"/>
        </w:trPr>
        <w:tc>
          <w:tcPr>
            <w:tcW w:w="796" w:type="dxa"/>
            <w:vAlign w:val="center"/>
          </w:tcPr>
          <w:p w14:paraId="29A7A655" w14:textId="0A34FAB7" w:rsidR="00FF6031" w:rsidRPr="00710434" w:rsidRDefault="00FF6031" w:rsidP="0026512F">
            <w:pPr>
              <w:spacing w:line="240" w:lineRule="auto"/>
              <w:ind w:left="113" w:right="113"/>
              <w:jc w:val="both"/>
              <w:rPr>
                <w:rFonts w:ascii="Times New Roman" w:hAnsi="Times New Roman" w:cs="Times New Roman"/>
                <w:b/>
                <w:bCs/>
                <w:sz w:val="24"/>
                <w:szCs w:val="24"/>
              </w:rPr>
            </w:pPr>
            <w:r w:rsidRPr="00710434">
              <w:rPr>
                <w:rFonts w:ascii="Times New Roman" w:hAnsi="Times New Roman" w:cs="Times New Roman"/>
                <w:b/>
                <w:bCs/>
                <w:sz w:val="24"/>
                <w:szCs w:val="24"/>
              </w:rPr>
              <w:lastRenderedPageBreak/>
              <w:t>7.</w:t>
            </w:r>
          </w:p>
        </w:tc>
        <w:tc>
          <w:tcPr>
            <w:tcW w:w="4352" w:type="dxa"/>
            <w:vAlign w:val="center"/>
          </w:tcPr>
          <w:p w14:paraId="07D137E3" w14:textId="59CF99A1" w:rsidR="00FF6031" w:rsidRPr="00710434" w:rsidRDefault="00BA4F3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A new simple method development, validation and forced degradation studies of Empagliflozin by using RP-HPLC</w:t>
            </w:r>
          </w:p>
        </w:tc>
        <w:tc>
          <w:tcPr>
            <w:tcW w:w="4387" w:type="dxa"/>
            <w:vAlign w:val="center"/>
          </w:tcPr>
          <w:p w14:paraId="5A8AA696" w14:textId="77777777" w:rsidR="00B916F5" w:rsidRPr="00710434" w:rsidRDefault="00BF14A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Stationary phase:</w:t>
            </w:r>
            <w:r w:rsidRPr="00710434">
              <w:rPr>
                <w:rFonts w:ascii="Times New Roman" w:hAnsi="Times New Roman" w:cs="Times New Roman"/>
                <w:sz w:val="24"/>
                <w:szCs w:val="24"/>
              </w:rPr>
              <w:t xml:space="preserve"> Develosil ODS HG-5 RP C18 column (150 x 4.6mm,5µm)</w:t>
            </w:r>
          </w:p>
          <w:p w14:paraId="4B2232F0" w14:textId="68F2D0DC" w:rsidR="00B916F5" w:rsidRPr="00710434" w:rsidRDefault="00BF14A1"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Pr="00710434">
              <w:rPr>
                <w:rFonts w:ascii="Times New Roman" w:hAnsi="Times New Roman" w:cs="Times New Roman"/>
                <w:sz w:val="24"/>
                <w:szCs w:val="24"/>
              </w:rPr>
              <w:t xml:space="preserve"> </w:t>
            </w:r>
            <w:proofErr w:type="gramStart"/>
            <w:r w:rsidRPr="00710434">
              <w:rPr>
                <w:rFonts w:ascii="Times New Roman" w:hAnsi="Times New Roman" w:cs="Times New Roman"/>
                <w:sz w:val="24"/>
                <w:szCs w:val="24"/>
              </w:rPr>
              <w:t>Water</w:t>
            </w:r>
            <w:r w:rsidR="007271C2" w:rsidRPr="00710434">
              <w:rPr>
                <w:rFonts w:ascii="Times New Roman" w:hAnsi="Times New Roman" w:cs="Times New Roman"/>
                <w:sz w:val="24"/>
                <w:szCs w:val="24"/>
              </w:rPr>
              <w:t xml:space="preserve"> </w:t>
            </w:r>
            <w:r w:rsidRPr="00710434">
              <w:rPr>
                <w:rFonts w:ascii="Times New Roman" w:hAnsi="Times New Roman" w:cs="Times New Roman"/>
                <w:sz w:val="24"/>
                <w:szCs w:val="24"/>
              </w:rPr>
              <w:t>:</w:t>
            </w:r>
            <w:proofErr w:type="gramEnd"/>
            <w:r w:rsidRPr="00710434">
              <w:rPr>
                <w:rFonts w:ascii="Times New Roman" w:hAnsi="Times New Roman" w:cs="Times New Roman"/>
                <w:sz w:val="24"/>
                <w:szCs w:val="24"/>
              </w:rPr>
              <w:t xml:space="preserve"> Acetonitrile (45:55%v/v) Phosphate Buffer (pH 2.8) </w:t>
            </w:r>
          </w:p>
          <w:p w14:paraId="12829539" w14:textId="5CF9001A" w:rsidR="00FF6031" w:rsidRPr="00710434" w:rsidRDefault="00BF14A1" w:rsidP="00280C4A">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Linearity:</w:t>
            </w:r>
            <w:r w:rsidRPr="00710434">
              <w:rPr>
                <w:rFonts w:ascii="Times New Roman" w:hAnsi="Times New Roman" w:cs="Times New Roman"/>
                <w:sz w:val="24"/>
                <w:szCs w:val="24"/>
              </w:rPr>
              <w:t xml:space="preserve"> 0–50 µg/mL</w:t>
            </w:r>
            <w:r w:rsidR="002E42FF">
              <w:rPr>
                <w:rFonts w:ascii="Times New Roman" w:hAnsi="Times New Roman" w:cs="Times New Roman"/>
                <w:sz w:val="24"/>
                <w:szCs w:val="24"/>
              </w:rPr>
              <w:t xml:space="preserve"> </w:t>
            </w:r>
            <w:r w:rsidR="002E42FF" w:rsidRPr="00710434">
              <w:rPr>
                <w:rFonts w:ascii="Times New Roman" w:hAnsi="Times New Roman" w:cs="Times New Roman"/>
                <w:b/>
                <w:bCs/>
                <w:sz w:val="24"/>
                <w:szCs w:val="24"/>
              </w:rPr>
              <w:t>Flow rate:</w:t>
            </w:r>
            <w:r w:rsidR="002E42FF" w:rsidRPr="00710434">
              <w:rPr>
                <w:rFonts w:ascii="Times New Roman" w:hAnsi="Times New Roman" w:cs="Times New Roman"/>
                <w:sz w:val="24"/>
                <w:szCs w:val="24"/>
              </w:rPr>
              <w:t xml:space="preserve"> 1.0 mL/ min</w:t>
            </w:r>
          </w:p>
        </w:tc>
        <w:tc>
          <w:tcPr>
            <w:tcW w:w="1350" w:type="dxa"/>
            <w:vAlign w:val="center"/>
          </w:tcPr>
          <w:p w14:paraId="010A50B4" w14:textId="2D17492E" w:rsidR="00FF6031" w:rsidRPr="00710434" w:rsidRDefault="00FA6753"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(Rao Knv, V Shirisha 2019).</w:t>
            </w:r>
          </w:p>
        </w:tc>
      </w:tr>
      <w:tr w:rsidR="007F18B2" w:rsidRPr="00710434" w14:paraId="62EA5CDB" w14:textId="5D11C055" w:rsidTr="00CD0EDC">
        <w:trPr>
          <w:trHeight w:val="404"/>
        </w:trPr>
        <w:tc>
          <w:tcPr>
            <w:tcW w:w="10885" w:type="dxa"/>
            <w:gridSpan w:val="4"/>
            <w:vAlign w:val="bottom"/>
          </w:tcPr>
          <w:p w14:paraId="0D0C652F" w14:textId="52923900" w:rsidR="007F18B2" w:rsidRPr="00710434" w:rsidRDefault="007F18B2" w:rsidP="004729E7">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High-Performance Thin Layer Chromatography</w:t>
            </w:r>
            <w:r w:rsidR="00D43290" w:rsidRPr="00710434">
              <w:rPr>
                <w:rFonts w:ascii="Times New Roman" w:hAnsi="Times New Roman" w:cs="Times New Roman"/>
                <w:b/>
                <w:bCs/>
                <w:sz w:val="24"/>
                <w:szCs w:val="24"/>
              </w:rPr>
              <w:t xml:space="preserve"> </w:t>
            </w:r>
            <w:r w:rsidRPr="00710434">
              <w:rPr>
                <w:rFonts w:ascii="Times New Roman" w:hAnsi="Times New Roman" w:cs="Times New Roman"/>
                <w:b/>
                <w:bCs/>
                <w:sz w:val="24"/>
                <w:szCs w:val="24"/>
              </w:rPr>
              <w:t>(HPTLC)</w:t>
            </w:r>
          </w:p>
        </w:tc>
      </w:tr>
      <w:tr w:rsidR="007F18B2" w:rsidRPr="00710434" w14:paraId="6DF4AEF0" w14:textId="2B5D0466" w:rsidTr="00663589">
        <w:trPr>
          <w:trHeight w:val="246"/>
        </w:trPr>
        <w:tc>
          <w:tcPr>
            <w:tcW w:w="796" w:type="dxa"/>
            <w:vAlign w:val="center"/>
          </w:tcPr>
          <w:p w14:paraId="45AF3798" w14:textId="7A720E26" w:rsidR="007F18B2" w:rsidRPr="00710434" w:rsidRDefault="00821177"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8.</w:t>
            </w:r>
          </w:p>
        </w:tc>
        <w:tc>
          <w:tcPr>
            <w:tcW w:w="4352" w:type="dxa"/>
            <w:vAlign w:val="center"/>
          </w:tcPr>
          <w:p w14:paraId="52934369" w14:textId="1CDCEF02" w:rsidR="007F18B2" w:rsidRPr="00710434" w:rsidRDefault="00D65422"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A novel validated stability indicating method for quantification of Empagliflozin in bulk and marketed formulation by HPTLC applying experimental design approach.</w:t>
            </w:r>
          </w:p>
        </w:tc>
        <w:tc>
          <w:tcPr>
            <w:tcW w:w="4387" w:type="dxa"/>
            <w:vAlign w:val="center"/>
          </w:tcPr>
          <w:p w14:paraId="5975BB94" w14:textId="4C748F40" w:rsidR="00AB2A0A" w:rsidRPr="00710434" w:rsidRDefault="00AB2A0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Stationary phase:</w:t>
            </w:r>
            <w:r w:rsidRPr="00710434">
              <w:rPr>
                <w:rFonts w:ascii="Times New Roman" w:hAnsi="Times New Roman" w:cs="Times New Roman"/>
                <w:sz w:val="24"/>
                <w:szCs w:val="24"/>
              </w:rPr>
              <w:t xml:space="preserve"> Aluminum plate that had previously been coated with silica gel</w:t>
            </w:r>
          </w:p>
          <w:p w14:paraId="5B4BDD1A" w14:textId="533B1940" w:rsidR="00AB2A0A" w:rsidRPr="00710434" w:rsidRDefault="00AB2A0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Pr="00710434">
              <w:rPr>
                <w:rFonts w:ascii="Times New Roman" w:hAnsi="Times New Roman" w:cs="Times New Roman"/>
                <w:sz w:val="24"/>
                <w:szCs w:val="24"/>
              </w:rPr>
              <w:t xml:space="preserve"> Ammonium acetate (2%):</w:t>
            </w:r>
            <w:r w:rsidR="007271C2" w:rsidRPr="00710434">
              <w:rPr>
                <w:rFonts w:ascii="Times New Roman" w:hAnsi="Times New Roman" w:cs="Times New Roman"/>
                <w:sz w:val="24"/>
                <w:szCs w:val="24"/>
              </w:rPr>
              <w:t xml:space="preserve"> </w:t>
            </w:r>
            <w:proofErr w:type="gramStart"/>
            <w:r w:rsidRPr="00710434">
              <w:rPr>
                <w:rFonts w:ascii="Times New Roman" w:hAnsi="Times New Roman" w:cs="Times New Roman"/>
                <w:sz w:val="24"/>
                <w:szCs w:val="24"/>
              </w:rPr>
              <w:t>Triethylamine :</w:t>
            </w:r>
            <w:proofErr w:type="gramEnd"/>
            <w:r w:rsidRPr="00710434">
              <w:rPr>
                <w:rFonts w:ascii="Times New Roman" w:hAnsi="Times New Roman" w:cs="Times New Roman"/>
                <w:sz w:val="24"/>
                <w:szCs w:val="24"/>
              </w:rPr>
              <w:t xml:space="preserve"> Isopropyl alcohol (4:1:5 %v/v/v)</w:t>
            </w:r>
          </w:p>
          <w:p w14:paraId="566107DE" w14:textId="14AA109C" w:rsidR="007F18B2" w:rsidRPr="00710434" w:rsidRDefault="00AB2A0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Detection:</w:t>
            </w:r>
            <w:r w:rsidRPr="00710434">
              <w:rPr>
                <w:rFonts w:ascii="Times New Roman" w:hAnsi="Times New Roman" w:cs="Times New Roman"/>
                <w:sz w:val="24"/>
                <w:szCs w:val="24"/>
              </w:rPr>
              <w:t xml:space="preserve"> 237 nm</w:t>
            </w:r>
          </w:p>
        </w:tc>
        <w:tc>
          <w:tcPr>
            <w:tcW w:w="1350" w:type="dxa"/>
            <w:vAlign w:val="center"/>
          </w:tcPr>
          <w:p w14:paraId="2A7E84C3" w14:textId="7293BAD9" w:rsidR="007F18B2" w:rsidRPr="00710434" w:rsidRDefault="00FA6753"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(Manojkumar Munde, Nilesh Kulkarn, 2023).</w:t>
            </w:r>
          </w:p>
        </w:tc>
      </w:tr>
      <w:tr w:rsidR="004C0153" w:rsidRPr="00710434" w14:paraId="3AFA3271" w14:textId="69162AA6" w:rsidTr="00710434">
        <w:trPr>
          <w:trHeight w:val="359"/>
        </w:trPr>
        <w:tc>
          <w:tcPr>
            <w:tcW w:w="10885" w:type="dxa"/>
            <w:gridSpan w:val="4"/>
            <w:vAlign w:val="center"/>
          </w:tcPr>
          <w:p w14:paraId="126F1459" w14:textId="1BF66296" w:rsidR="004C0153" w:rsidRPr="00710434" w:rsidRDefault="004C0153" w:rsidP="004729E7">
            <w:pPr>
              <w:spacing w:line="240" w:lineRule="auto"/>
              <w:ind w:left="113" w:right="113"/>
              <w:jc w:val="center"/>
              <w:rPr>
                <w:rFonts w:ascii="Times New Roman" w:hAnsi="Times New Roman" w:cs="Times New Roman"/>
                <w:b/>
                <w:bCs/>
                <w:sz w:val="24"/>
                <w:szCs w:val="24"/>
              </w:rPr>
            </w:pPr>
            <w:r w:rsidRPr="00710434">
              <w:rPr>
                <w:rFonts w:ascii="Times New Roman" w:hAnsi="Times New Roman" w:cs="Times New Roman"/>
                <w:b/>
                <w:bCs/>
                <w:sz w:val="24"/>
                <w:szCs w:val="24"/>
              </w:rPr>
              <w:t xml:space="preserve">Quality by </w:t>
            </w:r>
            <w:proofErr w:type="gramStart"/>
            <w:r w:rsidRPr="00710434">
              <w:rPr>
                <w:rFonts w:ascii="Times New Roman" w:hAnsi="Times New Roman" w:cs="Times New Roman"/>
                <w:b/>
                <w:bCs/>
                <w:sz w:val="24"/>
                <w:szCs w:val="24"/>
              </w:rPr>
              <w:t>Design(</w:t>
            </w:r>
            <w:proofErr w:type="gramEnd"/>
            <w:r w:rsidRPr="00710434">
              <w:rPr>
                <w:rFonts w:ascii="Times New Roman" w:hAnsi="Times New Roman" w:cs="Times New Roman"/>
                <w:b/>
                <w:bCs/>
                <w:sz w:val="24"/>
                <w:szCs w:val="24"/>
              </w:rPr>
              <w:t>QbD)</w:t>
            </w:r>
          </w:p>
        </w:tc>
      </w:tr>
      <w:tr w:rsidR="00DC079A" w:rsidRPr="00710434" w14:paraId="3DF11195" w14:textId="518F23ED" w:rsidTr="00663589">
        <w:trPr>
          <w:trHeight w:val="246"/>
        </w:trPr>
        <w:tc>
          <w:tcPr>
            <w:tcW w:w="796" w:type="dxa"/>
            <w:vAlign w:val="center"/>
          </w:tcPr>
          <w:p w14:paraId="0FE421CB" w14:textId="48EEA7B1" w:rsidR="00DC079A" w:rsidRPr="00710434" w:rsidRDefault="00DC079A"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9</w:t>
            </w:r>
            <w:r w:rsidR="00730350" w:rsidRPr="00710434">
              <w:rPr>
                <w:rFonts w:ascii="Times New Roman" w:hAnsi="Times New Roman" w:cs="Times New Roman"/>
                <w:sz w:val="24"/>
                <w:szCs w:val="24"/>
              </w:rPr>
              <w:t>.</w:t>
            </w:r>
          </w:p>
        </w:tc>
        <w:tc>
          <w:tcPr>
            <w:tcW w:w="4352" w:type="dxa"/>
            <w:vAlign w:val="center"/>
          </w:tcPr>
          <w:p w14:paraId="065788DB" w14:textId="06533F56" w:rsidR="00DC079A" w:rsidRPr="00710434" w:rsidRDefault="00730350"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The application of quality by design in the development of the liquid chromatography method to determine Empagliflozin in the presence of its organic impurities</w:t>
            </w:r>
          </w:p>
        </w:tc>
        <w:tc>
          <w:tcPr>
            <w:tcW w:w="4387" w:type="dxa"/>
            <w:vAlign w:val="center"/>
          </w:tcPr>
          <w:p w14:paraId="06B0111E" w14:textId="77777777" w:rsidR="00667DF7" w:rsidRDefault="00212811" w:rsidP="00667DF7">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 xml:space="preserve">Stationary phase: </w:t>
            </w:r>
            <w:r w:rsidRPr="00710434">
              <w:rPr>
                <w:rFonts w:ascii="Times New Roman" w:hAnsi="Times New Roman" w:cs="Times New Roman"/>
                <w:sz w:val="24"/>
                <w:szCs w:val="24"/>
              </w:rPr>
              <w:t xml:space="preserve">C18 column (250x 4.6mm, 5µm) </w:t>
            </w:r>
          </w:p>
          <w:p w14:paraId="03213659" w14:textId="091F092F" w:rsidR="00DC079A" w:rsidRPr="00710434" w:rsidRDefault="00212811" w:rsidP="00667DF7">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b/>
                <w:bCs/>
                <w:sz w:val="24"/>
                <w:szCs w:val="24"/>
              </w:rPr>
              <w:t>Mobile phase:</w:t>
            </w:r>
            <w:r w:rsidRPr="00710434">
              <w:rPr>
                <w:rFonts w:ascii="Times New Roman" w:hAnsi="Times New Roman" w:cs="Times New Roman"/>
                <w:sz w:val="24"/>
                <w:szCs w:val="24"/>
              </w:rPr>
              <w:t xml:space="preserve"> </w:t>
            </w:r>
            <w:proofErr w:type="gramStart"/>
            <w:r w:rsidRPr="00710434">
              <w:rPr>
                <w:rFonts w:ascii="Times New Roman" w:hAnsi="Times New Roman" w:cs="Times New Roman"/>
                <w:sz w:val="24"/>
                <w:szCs w:val="24"/>
              </w:rPr>
              <w:t>Acetonitrile :water</w:t>
            </w:r>
            <w:proofErr w:type="gramEnd"/>
            <w:r w:rsidRPr="00710434">
              <w:rPr>
                <w:rFonts w:ascii="Times New Roman" w:hAnsi="Times New Roman" w:cs="Times New Roman"/>
                <w:sz w:val="24"/>
                <w:szCs w:val="24"/>
              </w:rPr>
              <w:t xml:space="preserve"> (72:28%v/v) Detection: 230 nm</w:t>
            </w:r>
          </w:p>
        </w:tc>
        <w:tc>
          <w:tcPr>
            <w:tcW w:w="1350" w:type="dxa"/>
            <w:vAlign w:val="center"/>
          </w:tcPr>
          <w:p w14:paraId="7B620E7D" w14:textId="510681FB" w:rsidR="00DC079A" w:rsidRPr="00710434" w:rsidRDefault="00555907" w:rsidP="0026512F">
            <w:pPr>
              <w:spacing w:line="240" w:lineRule="auto"/>
              <w:ind w:left="113" w:right="113"/>
              <w:jc w:val="both"/>
              <w:rPr>
                <w:rFonts w:ascii="Times New Roman" w:hAnsi="Times New Roman" w:cs="Times New Roman"/>
                <w:sz w:val="24"/>
                <w:szCs w:val="24"/>
              </w:rPr>
            </w:pPr>
            <w:r w:rsidRPr="00710434">
              <w:rPr>
                <w:rFonts w:ascii="Times New Roman" w:hAnsi="Times New Roman" w:cs="Times New Roman"/>
                <w:sz w:val="24"/>
                <w:szCs w:val="24"/>
              </w:rPr>
              <w:t>(Joanna Wittchckind Manoel, 2020).</w:t>
            </w:r>
          </w:p>
        </w:tc>
      </w:tr>
    </w:tbl>
    <w:p w14:paraId="13D5C0C4" w14:textId="77777777" w:rsidR="00893D57" w:rsidRDefault="00893D57" w:rsidP="00D66870">
      <w:pPr>
        <w:spacing w:line="240" w:lineRule="auto"/>
        <w:ind w:right="113"/>
        <w:rPr>
          <w:rFonts w:ascii="Times New Roman" w:hAnsi="Times New Roman" w:cs="Times New Roman"/>
          <w:b/>
          <w:bCs/>
          <w:sz w:val="28"/>
          <w:szCs w:val="28"/>
        </w:rPr>
      </w:pPr>
    </w:p>
    <w:p w14:paraId="58919B51" w14:textId="79FDACA9" w:rsidR="009844DA" w:rsidRPr="00820F4B" w:rsidRDefault="00820F4B" w:rsidP="00D66870">
      <w:pPr>
        <w:spacing w:line="240" w:lineRule="auto"/>
        <w:ind w:right="113"/>
        <w:rPr>
          <w:rFonts w:ascii="Times New Roman" w:hAnsi="Times New Roman" w:cs="Times New Roman"/>
          <w:b/>
          <w:bCs/>
          <w:sz w:val="28"/>
          <w:szCs w:val="28"/>
        </w:rPr>
      </w:pPr>
      <w:r w:rsidRPr="00820F4B">
        <w:rPr>
          <w:rFonts w:ascii="Times New Roman" w:hAnsi="Times New Roman" w:cs="Times New Roman"/>
          <w:b/>
          <w:bCs/>
          <w:sz w:val="28"/>
          <w:szCs w:val="28"/>
        </w:rPr>
        <w:t>CONCLUSION</w:t>
      </w:r>
    </w:p>
    <w:p w14:paraId="19E5C01F" w14:textId="77777777" w:rsidR="00BC17EE" w:rsidRPr="00D66870" w:rsidRDefault="00BC17EE" w:rsidP="00D66870">
      <w:pPr>
        <w:spacing w:before="240" w:after="240" w:line="240" w:lineRule="auto"/>
        <w:jc w:val="both"/>
        <w:rPr>
          <w:rFonts w:ascii="Times New Roman" w:hAnsi="Times New Roman" w:cs="Times New Roman"/>
          <w:sz w:val="24"/>
          <w:szCs w:val="24"/>
        </w:rPr>
      </w:pPr>
      <w:r w:rsidRPr="00D66870">
        <w:rPr>
          <w:rFonts w:ascii="Times New Roman" w:hAnsi="Times New Roman" w:cs="Times New Roman"/>
          <w:sz w:val="24"/>
          <w:szCs w:val="24"/>
        </w:rPr>
        <w:t>This review examines various analytical methods developed for estimating empagliflozin. Among these, RP-HPLC and QbD-based methods are the most reliable and widely accepted because of their superior sensitivity, precision, and robustness. Future studies should prioritize the development of analytical methods that are both environmentally sustainable and cost-efficient without compromising their high performance.</w:t>
      </w:r>
    </w:p>
    <w:p w14:paraId="27E37ABF" w14:textId="07D236CA" w:rsidR="0035613E" w:rsidRPr="00820F4B" w:rsidRDefault="00820F4B" w:rsidP="000C66C9">
      <w:pPr>
        <w:spacing w:line="240" w:lineRule="auto"/>
        <w:ind w:right="113"/>
        <w:rPr>
          <w:rFonts w:ascii="Times New Roman" w:hAnsi="Times New Roman" w:cs="Times New Roman"/>
          <w:b/>
          <w:bCs/>
          <w:sz w:val="28"/>
          <w:szCs w:val="28"/>
        </w:rPr>
      </w:pPr>
      <w:r w:rsidRPr="00820F4B">
        <w:rPr>
          <w:rFonts w:ascii="Times New Roman" w:hAnsi="Times New Roman" w:cs="Times New Roman"/>
          <w:b/>
          <w:bCs/>
          <w:sz w:val="28"/>
          <w:szCs w:val="28"/>
        </w:rPr>
        <w:t>REFERENCES</w:t>
      </w:r>
    </w:p>
    <w:p w14:paraId="1754B152" w14:textId="77777777" w:rsidR="00F8368E"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Anas M. Hanif, Rabia Bushra</w:t>
      </w:r>
      <w:r>
        <w:rPr>
          <w:rFonts w:ascii="Times New Roman" w:hAnsi="Times New Roman" w:cs="Times New Roman"/>
          <w:sz w:val="24"/>
          <w:szCs w:val="24"/>
        </w:rPr>
        <w:t xml:space="preserve"> (2021).</w:t>
      </w:r>
      <w:r w:rsidRPr="00994E3F">
        <w:rPr>
          <w:rFonts w:ascii="Times New Roman" w:hAnsi="Times New Roman" w:cs="Times New Roman"/>
          <w:sz w:val="24"/>
          <w:szCs w:val="24"/>
        </w:rPr>
        <w:t xml:space="preserve"> Empagliflozin: HPLC based analytical method development and application to pharmaceutical raw material and dosage form. Pak J. Pharm Sci</w:t>
      </w:r>
      <w:r>
        <w:rPr>
          <w:rFonts w:ascii="Times New Roman" w:hAnsi="Times New Roman" w:cs="Times New Roman"/>
          <w:sz w:val="24"/>
          <w:szCs w:val="24"/>
        </w:rPr>
        <w:t xml:space="preserve">, </w:t>
      </w:r>
      <w:r w:rsidRPr="00994E3F">
        <w:rPr>
          <w:rFonts w:ascii="Times New Roman" w:hAnsi="Times New Roman" w:cs="Times New Roman"/>
          <w:sz w:val="24"/>
          <w:szCs w:val="24"/>
        </w:rPr>
        <w:t>3</w:t>
      </w:r>
      <w:r>
        <w:rPr>
          <w:rFonts w:ascii="Times New Roman" w:hAnsi="Times New Roman" w:cs="Times New Roman"/>
          <w:sz w:val="24"/>
          <w:szCs w:val="24"/>
        </w:rPr>
        <w:t>,</w:t>
      </w:r>
      <w:r w:rsidRPr="00994E3F">
        <w:rPr>
          <w:rFonts w:ascii="Times New Roman" w:hAnsi="Times New Roman" w:cs="Times New Roman"/>
          <w:sz w:val="24"/>
          <w:szCs w:val="24"/>
        </w:rPr>
        <w:t xml:space="preserve"> 1081-1087.</w:t>
      </w:r>
    </w:p>
    <w:p w14:paraId="272344CC" w14:textId="77777777" w:rsidR="00F8368E" w:rsidRPr="00D2071F" w:rsidRDefault="00F8368E" w:rsidP="00D2071F">
      <w:pPr>
        <w:pStyle w:val="ListParagraph"/>
        <w:numPr>
          <w:ilvl w:val="0"/>
          <w:numId w:val="2"/>
        </w:numPr>
        <w:spacing w:line="240" w:lineRule="auto"/>
        <w:ind w:right="113"/>
        <w:jc w:val="both"/>
        <w:rPr>
          <w:rFonts w:ascii="Times New Roman" w:hAnsi="Times New Roman" w:cs="Times New Roman"/>
          <w:sz w:val="24"/>
          <w:szCs w:val="24"/>
        </w:rPr>
      </w:pPr>
      <w:r w:rsidRPr="00D2071F">
        <w:rPr>
          <w:rFonts w:ascii="Times New Roman" w:hAnsi="Times New Roman" w:cs="Times New Roman"/>
          <w:sz w:val="24"/>
          <w:szCs w:val="24"/>
        </w:rPr>
        <w:t>Benazir Shaik Bima, Archana Jorige (2021). Method development and validation of Empagliflozin in bulk and pharmaceutical dosage form using UV spectroscopy. Asian J. of Pharm. Analysis, 11, 123-126.</w:t>
      </w:r>
    </w:p>
    <w:p w14:paraId="0F130DD2" w14:textId="2338110F"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hyperlink r:id="rId17" w:history="1">
        <w:r w:rsidRPr="000C653F">
          <w:rPr>
            <w:rStyle w:val="Hyperlink"/>
            <w:rFonts w:ascii="Times New Roman" w:hAnsi="Times New Roman" w:cs="Times New Roman"/>
            <w:sz w:val="24"/>
            <w:szCs w:val="24"/>
          </w:rPr>
          <w:t>https://www.sciencedirect.com/science/article/abs/pii/B9780323906449000603</w:t>
        </w:r>
      </w:hyperlink>
    </w:p>
    <w:p w14:paraId="6905DE3E" w14:textId="2C51F98B"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Joanna Wittchckind Manoel, Martin Steppe</w:t>
      </w:r>
      <w:r>
        <w:rPr>
          <w:rFonts w:ascii="Times New Roman" w:hAnsi="Times New Roman" w:cs="Times New Roman"/>
          <w:sz w:val="24"/>
          <w:szCs w:val="24"/>
        </w:rPr>
        <w:t xml:space="preserve"> (2020)</w:t>
      </w:r>
      <w:r w:rsidRPr="00994E3F">
        <w:rPr>
          <w:rFonts w:ascii="Times New Roman" w:hAnsi="Times New Roman" w:cs="Times New Roman"/>
          <w:sz w:val="24"/>
          <w:szCs w:val="24"/>
        </w:rPr>
        <w:t>. The application of quality by design in the development of the l</w:t>
      </w:r>
      <w:r w:rsidR="0038119B">
        <w:rPr>
          <w:rFonts w:ascii="Times New Roman" w:hAnsi="Times New Roman" w:cs="Times New Roman"/>
          <w:sz w:val="24"/>
          <w:szCs w:val="24"/>
        </w:rPr>
        <w:t>S</w:t>
      </w:r>
      <w:r w:rsidRPr="00994E3F">
        <w:rPr>
          <w:rFonts w:ascii="Times New Roman" w:hAnsi="Times New Roman" w:cs="Times New Roman"/>
          <w:sz w:val="24"/>
          <w:szCs w:val="24"/>
        </w:rPr>
        <w:t>iquid chromatography method to determine Empagliflozin in the presence of its organic impurities. Royal soci. of chem, 10</w:t>
      </w:r>
      <w:r>
        <w:rPr>
          <w:rFonts w:ascii="Times New Roman" w:hAnsi="Times New Roman" w:cs="Times New Roman"/>
          <w:sz w:val="24"/>
          <w:szCs w:val="24"/>
        </w:rPr>
        <w:t>,</w:t>
      </w:r>
      <w:r w:rsidRPr="00994E3F">
        <w:rPr>
          <w:rFonts w:ascii="Times New Roman" w:hAnsi="Times New Roman" w:cs="Times New Roman"/>
          <w:sz w:val="24"/>
          <w:szCs w:val="24"/>
        </w:rPr>
        <w:t xml:space="preserve"> 7313-7320.</w:t>
      </w:r>
    </w:p>
    <w:p w14:paraId="212BF021"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Manojkumar Munde, Nilesh Kulkarni</w:t>
      </w:r>
      <w:r>
        <w:rPr>
          <w:rFonts w:ascii="Times New Roman" w:hAnsi="Times New Roman" w:cs="Times New Roman"/>
          <w:sz w:val="24"/>
          <w:szCs w:val="24"/>
        </w:rPr>
        <w:t xml:space="preserve"> (2023)</w:t>
      </w:r>
      <w:r w:rsidRPr="00994E3F">
        <w:rPr>
          <w:rFonts w:ascii="Times New Roman" w:hAnsi="Times New Roman" w:cs="Times New Roman"/>
          <w:sz w:val="24"/>
          <w:szCs w:val="24"/>
        </w:rPr>
        <w:t>. A novel validated stability indicating method for quantification of Empagliflozin in bulk and marketed formulation by hptlc applying experimental design approach. Indian Drugs, 60</w:t>
      </w:r>
      <w:r>
        <w:rPr>
          <w:rFonts w:ascii="Times New Roman" w:hAnsi="Times New Roman" w:cs="Times New Roman"/>
          <w:sz w:val="24"/>
          <w:szCs w:val="24"/>
        </w:rPr>
        <w:t>,</w:t>
      </w:r>
      <w:r w:rsidRPr="00994E3F">
        <w:rPr>
          <w:rFonts w:ascii="Times New Roman" w:hAnsi="Times New Roman" w:cs="Times New Roman"/>
          <w:sz w:val="24"/>
          <w:szCs w:val="24"/>
        </w:rPr>
        <w:t xml:space="preserve"> 66-75.</w:t>
      </w:r>
    </w:p>
    <w:p w14:paraId="2DA7E247"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lastRenderedPageBreak/>
        <w:t>N. Padmaja, Tegene Desalegn</w:t>
      </w:r>
      <w:r>
        <w:rPr>
          <w:rFonts w:ascii="Times New Roman" w:hAnsi="Times New Roman" w:cs="Times New Roman"/>
          <w:sz w:val="24"/>
          <w:szCs w:val="24"/>
        </w:rPr>
        <w:t xml:space="preserve"> (2018)</w:t>
      </w:r>
      <w:r w:rsidRPr="00994E3F">
        <w:rPr>
          <w:rFonts w:ascii="Times New Roman" w:hAnsi="Times New Roman" w:cs="Times New Roman"/>
          <w:sz w:val="24"/>
          <w:szCs w:val="24"/>
        </w:rPr>
        <w:t xml:space="preserve">. New validated </w:t>
      </w:r>
      <w:r>
        <w:rPr>
          <w:rFonts w:ascii="Times New Roman" w:hAnsi="Times New Roman" w:cs="Times New Roman"/>
          <w:sz w:val="24"/>
          <w:szCs w:val="24"/>
        </w:rPr>
        <w:t>RP</w:t>
      </w:r>
      <w:r w:rsidRPr="00994E3F">
        <w:rPr>
          <w:rFonts w:ascii="Times New Roman" w:hAnsi="Times New Roman" w:cs="Times New Roman"/>
          <w:sz w:val="24"/>
          <w:szCs w:val="24"/>
        </w:rPr>
        <w:t>-</w:t>
      </w:r>
      <w:r>
        <w:rPr>
          <w:rFonts w:ascii="Times New Roman" w:hAnsi="Times New Roman" w:cs="Times New Roman"/>
          <w:sz w:val="24"/>
          <w:szCs w:val="24"/>
        </w:rPr>
        <w:t>HPLC</w:t>
      </w:r>
      <w:r w:rsidRPr="00994E3F">
        <w:rPr>
          <w:rFonts w:ascii="Times New Roman" w:hAnsi="Times New Roman" w:cs="Times New Roman"/>
          <w:sz w:val="24"/>
          <w:szCs w:val="24"/>
        </w:rPr>
        <w:t xml:space="preserve"> method for the estimation of empagliflozin in human plasma. IJPSR</w:t>
      </w:r>
      <w:r>
        <w:rPr>
          <w:rFonts w:ascii="Times New Roman" w:hAnsi="Times New Roman" w:cs="Times New Roman"/>
          <w:sz w:val="24"/>
          <w:szCs w:val="24"/>
        </w:rPr>
        <w:t>,</w:t>
      </w:r>
      <w:r w:rsidRPr="00994E3F">
        <w:rPr>
          <w:rFonts w:ascii="Times New Roman" w:hAnsi="Times New Roman" w:cs="Times New Roman"/>
          <w:sz w:val="24"/>
          <w:szCs w:val="24"/>
        </w:rPr>
        <w:t xml:space="preserve"> Vol. 9(11)</w:t>
      </w:r>
      <w:r>
        <w:rPr>
          <w:rFonts w:ascii="Times New Roman" w:hAnsi="Times New Roman" w:cs="Times New Roman"/>
          <w:sz w:val="24"/>
          <w:szCs w:val="24"/>
        </w:rPr>
        <w:t>,</w:t>
      </w:r>
      <w:r w:rsidRPr="00994E3F">
        <w:rPr>
          <w:rFonts w:ascii="Times New Roman" w:hAnsi="Times New Roman" w:cs="Times New Roman"/>
          <w:sz w:val="24"/>
          <w:szCs w:val="24"/>
        </w:rPr>
        <w:t xml:space="preserve"> 4885-4889.</w:t>
      </w:r>
    </w:p>
    <w:p w14:paraId="1CA091CA"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Patil Sushil D., Chaure Sayali K</w:t>
      </w:r>
      <w:r>
        <w:rPr>
          <w:rFonts w:ascii="Times New Roman" w:hAnsi="Times New Roman" w:cs="Times New Roman"/>
          <w:sz w:val="24"/>
          <w:szCs w:val="24"/>
        </w:rPr>
        <w:t xml:space="preserve"> (2017)</w:t>
      </w:r>
      <w:r w:rsidRPr="00994E3F">
        <w:rPr>
          <w:rFonts w:ascii="Times New Roman" w:hAnsi="Times New Roman" w:cs="Times New Roman"/>
          <w:sz w:val="24"/>
          <w:szCs w:val="24"/>
        </w:rPr>
        <w:t>. Development and Validation of Simple UV Spectrophotometric Method for the Determination of Empagliflozin. Asian J. of Pharm. Analysis, 7</w:t>
      </w:r>
      <w:r>
        <w:rPr>
          <w:rFonts w:ascii="Times New Roman" w:hAnsi="Times New Roman" w:cs="Times New Roman"/>
          <w:sz w:val="24"/>
          <w:szCs w:val="24"/>
        </w:rPr>
        <w:t>,</w:t>
      </w:r>
      <w:r w:rsidRPr="00994E3F">
        <w:rPr>
          <w:rFonts w:ascii="Times New Roman" w:hAnsi="Times New Roman" w:cs="Times New Roman"/>
          <w:sz w:val="24"/>
          <w:szCs w:val="24"/>
        </w:rPr>
        <w:t xml:space="preserve"> 18-22.</w:t>
      </w:r>
    </w:p>
    <w:p w14:paraId="5705BD9C"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Patil Sushil D., Dr. Amurutkar Sunil V</w:t>
      </w:r>
      <w:r>
        <w:rPr>
          <w:rFonts w:ascii="Times New Roman" w:hAnsi="Times New Roman" w:cs="Times New Roman"/>
          <w:sz w:val="24"/>
          <w:szCs w:val="24"/>
        </w:rPr>
        <w:t xml:space="preserve"> (2016)</w:t>
      </w:r>
      <w:r w:rsidRPr="00994E3F">
        <w:rPr>
          <w:rFonts w:ascii="Times New Roman" w:hAnsi="Times New Roman" w:cs="Times New Roman"/>
          <w:sz w:val="24"/>
          <w:szCs w:val="24"/>
        </w:rPr>
        <w:t xml:space="preserve">. Development and Validation of Stability Indicating RP-HPLC Method for Empagliflozin. Asian J. of Pharm. and </w:t>
      </w:r>
      <w:proofErr w:type="gramStart"/>
      <w:r w:rsidRPr="00994E3F">
        <w:rPr>
          <w:rFonts w:ascii="Times New Roman" w:hAnsi="Times New Roman" w:cs="Times New Roman"/>
          <w:sz w:val="24"/>
          <w:szCs w:val="24"/>
        </w:rPr>
        <w:t>Tech,  6</w:t>
      </w:r>
      <w:proofErr w:type="gramEnd"/>
      <w:r>
        <w:rPr>
          <w:rFonts w:ascii="Times New Roman" w:hAnsi="Times New Roman" w:cs="Times New Roman"/>
          <w:sz w:val="24"/>
          <w:szCs w:val="24"/>
        </w:rPr>
        <w:t>,</w:t>
      </w:r>
      <w:r w:rsidRPr="00994E3F">
        <w:rPr>
          <w:rFonts w:ascii="Times New Roman" w:hAnsi="Times New Roman" w:cs="Times New Roman"/>
          <w:sz w:val="24"/>
          <w:szCs w:val="24"/>
        </w:rPr>
        <w:t xml:space="preserve"> 201-206.</w:t>
      </w:r>
    </w:p>
    <w:p w14:paraId="1247F19A" w14:textId="63B36962"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 xml:space="preserve">Pub chem, Empagliflozin, January </w:t>
      </w:r>
      <w:r>
        <w:rPr>
          <w:rFonts w:ascii="Times New Roman" w:hAnsi="Times New Roman" w:cs="Times New Roman"/>
          <w:sz w:val="24"/>
          <w:szCs w:val="24"/>
        </w:rPr>
        <w:t>(</w:t>
      </w:r>
      <w:r w:rsidRPr="00994E3F">
        <w:rPr>
          <w:rFonts w:ascii="Times New Roman" w:hAnsi="Times New Roman" w:cs="Times New Roman"/>
          <w:sz w:val="24"/>
          <w:szCs w:val="24"/>
        </w:rPr>
        <w:t>2024</w:t>
      </w:r>
      <w:r>
        <w:rPr>
          <w:rFonts w:ascii="Times New Roman" w:hAnsi="Times New Roman" w:cs="Times New Roman"/>
          <w:sz w:val="24"/>
          <w:szCs w:val="24"/>
        </w:rPr>
        <w:t>)</w:t>
      </w:r>
      <w:r w:rsidRPr="00994E3F">
        <w:rPr>
          <w:rFonts w:ascii="Times New Roman" w:hAnsi="Times New Roman" w:cs="Times New Roman"/>
          <w:sz w:val="24"/>
          <w:szCs w:val="24"/>
        </w:rPr>
        <w:t>.</w:t>
      </w:r>
      <w:r w:rsidR="00CA4F00">
        <w:rPr>
          <w:rFonts w:ascii="Times New Roman" w:hAnsi="Times New Roman" w:cs="Times New Roman"/>
          <w:sz w:val="24"/>
          <w:szCs w:val="24"/>
        </w:rPr>
        <w:t xml:space="preserve"> </w:t>
      </w:r>
      <w:r w:rsidRPr="00994E3F">
        <w:rPr>
          <w:rFonts w:ascii="Times New Roman" w:hAnsi="Times New Roman" w:cs="Times New Roman"/>
          <w:sz w:val="24"/>
          <w:szCs w:val="24"/>
        </w:rPr>
        <w:t>https://pubchem.ncbi.nlm.nih.gov /compound/Empagliflozin</w:t>
      </w:r>
    </w:p>
    <w:p w14:paraId="6D0C51F2"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Rao Knv, V Shirisha</w:t>
      </w:r>
      <w:r>
        <w:rPr>
          <w:rFonts w:ascii="Times New Roman" w:hAnsi="Times New Roman" w:cs="Times New Roman"/>
          <w:sz w:val="24"/>
          <w:szCs w:val="24"/>
        </w:rPr>
        <w:t xml:space="preserve"> (2019)</w:t>
      </w:r>
      <w:r w:rsidRPr="00994E3F">
        <w:rPr>
          <w:rFonts w:ascii="Times New Roman" w:hAnsi="Times New Roman" w:cs="Times New Roman"/>
          <w:sz w:val="24"/>
          <w:szCs w:val="24"/>
        </w:rPr>
        <w:t>. A New Simple Method Development, Validation and Forced Degradation Studies of Empagliflozin by Using RP-HPLC. Int. J. of Pharm. and scie</w:t>
      </w:r>
      <w:r>
        <w:rPr>
          <w:rFonts w:ascii="Times New Roman" w:hAnsi="Times New Roman" w:cs="Times New Roman"/>
          <w:sz w:val="24"/>
          <w:szCs w:val="24"/>
        </w:rPr>
        <w:t>nce</w:t>
      </w:r>
      <w:r w:rsidRPr="00994E3F">
        <w:rPr>
          <w:rFonts w:ascii="Times New Roman" w:hAnsi="Times New Roman" w:cs="Times New Roman"/>
          <w:sz w:val="24"/>
          <w:szCs w:val="24"/>
        </w:rPr>
        <w:t>, 9</w:t>
      </w:r>
      <w:r>
        <w:rPr>
          <w:rFonts w:ascii="Times New Roman" w:hAnsi="Times New Roman" w:cs="Times New Roman"/>
          <w:sz w:val="24"/>
          <w:szCs w:val="24"/>
        </w:rPr>
        <w:t>,</w:t>
      </w:r>
      <w:r w:rsidRPr="00994E3F">
        <w:rPr>
          <w:rFonts w:ascii="Times New Roman" w:hAnsi="Times New Roman" w:cs="Times New Roman"/>
          <w:sz w:val="24"/>
          <w:szCs w:val="24"/>
        </w:rPr>
        <w:t xml:space="preserve"> 25-35.</w:t>
      </w:r>
    </w:p>
    <w:p w14:paraId="0CB0A92D" w14:textId="66AA7B00"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 xml:space="preserve">Rx List Empaglifozin, January </w:t>
      </w:r>
      <w:r>
        <w:rPr>
          <w:rFonts w:ascii="Times New Roman" w:hAnsi="Times New Roman" w:cs="Times New Roman"/>
          <w:sz w:val="24"/>
          <w:szCs w:val="24"/>
        </w:rPr>
        <w:t>(</w:t>
      </w:r>
      <w:r w:rsidRPr="00994E3F">
        <w:rPr>
          <w:rFonts w:ascii="Times New Roman" w:hAnsi="Times New Roman" w:cs="Times New Roman"/>
          <w:sz w:val="24"/>
          <w:szCs w:val="24"/>
        </w:rPr>
        <w:t>2024</w:t>
      </w:r>
      <w:r>
        <w:rPr>
          <w:rFonts w:ascii="Times New Roman" w:hAnsi="Times New Roman" w:cs="Times New Roman"/>
          <w:sz w:val="24"/>
          <w:szCs w:val="24"/>
        </w:rPr>
        <w:t>)</w:t>
      </w:r>
      <w:r w:rsidRPr="00994E3F">
        <w:rPr>
          <w:rFonts w:ascii="Times New Roman" w:hAnsi="Times New Roman" w:cs="Times New Roman"/>
          <w:sz w:val="24"/>
          <w:szCs w:val="24"/>
        </w:rPr>
        <w:t xml:space="preserve">. </w:t>
      </w:r>
      <w:hyperlink r:id="rId18" w:history="1">
        <w:r w:rsidRPr="00CA4F00">
          <w:rPr>
            <w:rStyle w:val="Hyperlink"/>
            <w:rFonts w:ascii="Times New Roman" w:hAnsi="Times New Roman" w:cs="Times New Roman"/>
            <w:sz w:val="24"/>
            <w:szCs w:val="24"/>
          </w:rPr>
          <w:t>www.rxlist.com/jardiance-drug.htm#description</w:t>
        </w:r>
      </w:hyperlink>
    </w:p>
    <w:p w14:paraId="7056EB5A"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Saedi, E Gheini, MR; Faiz, F Arami</w:t>
      </w:r>
      <w:r>
        <w:rPr>
          <w:rFonts w:ascii="Times New Roman" w:hAnsi="Times New Roman" w:cs="Times New Roman"/>
          <w:sz w:val="24"/>
          <w:szCs w:val="24"/>
        </w:rPr>
        <w:t xml:space="preserve"> (2016).</w:t>
      </w:r>
      <w:r w:rsidRPr="00994E3F">
        <w:rPr>
          <w:rFonts w:ascii="Times New Roman" w:hAnsi="Times New Roman" w:cs="Times New Roman"/>
          <w:sz w:val="24"/>
          <w:szCs w:val="24"/>
        </w:rPr>
        <w:t xml:space="preserve"> Diabetes mellitus and cognitive impairments. World Journal of Diabetes, 7(17)</w:t>
      </w:r>
      <w:r>
        <w:rPr>
          <w:rFonts w:ascii="Times New Roman" w:hAnsi="Times New Roman" w:cs="Times New Roman"/>
          <w:sz w:val="24"/>
          <w:szCs w:val="24"/>
        </w:rPr>
        <w:t>,</w:t>
      </w:r>
      <w:r w:rsidRPr="00994E3F">
        <w:rPr>
          <w:rFonts w:ascii="Times New Roman" w:hAnsi="Times New Roman" w:cs="Times New Roman"/>
          <w:sz w:val="24"/>
          <w:szCs w:val="24"/>
        </w:rPr>
        <w:t xml:space="preserve"> 412–22.</w:t>
      </w:r>
    </w:p>
    <w:p w14:paraId="384FCBE0" w14:textId="21A40A0F" w:rsidR="00E76952" w:rsidRPr="00E76952" w:rsidRDefault="00F8368E" w:rsidP="00E76952">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 xml:space="preserve">Science direct SGLT 2 inhibitor, January </w:t>
      </w:r>
      <w:r>
        <w:rPr>
          <w:rFonts w:ascii="Times New Roman" w:hAnsi="Times New Roman" w:cs="Times New Roman"/>
          <w:sz w:val="24"/>
          <w:szCs w:val="24"/>
        </w:rPr>
        <w:t>(</w:t>
      </w:r>
      <w:r w:rsidRPr="00994E3F">
        <w:rPr>
          <w:rFonts w:ascii="Times New Roman" w:hAnsi="Times New Roman" w:cs="Times New Roman"/>
          <w:sz w:val="24"/>
          <w:szCs w:val="24"/>
        </w:rPr>
        <w:t>2024</w:t>
      </w:r>
      <w:r>
        <w:rPr>
          <w:rFonts w:ascii="Times New Roman" w:hAnsi="Times New Roman" w:cs="Times New Roman"/>
          <w:sz w:val="24"/>
          <w:szCs w:val="24"/>
        </w:rPr>
        <w:t>)</w:t>
      </w:r>
      <w:r w:rsidRPr="00994E3F">
        <w:rPr>
          <w:rFonts w:ascii="Times New Roman" w:hAnsi="Times New Roman" w:cs="Times New Roman"/>
          <w:sz w:val="24"/>
          <w:szCs w:val="24"/>
        </w:rPr>
        <w:t xml:space="preserve">. </w:t>
      </w:r>
      <w:hyperlink r:id="rId19" w:history="1">
        <w:r w:rsidRPr="00E76952">
          <w:rPr>
            <w:rStyle w:val="Hyperlink"/>
            <w:rFonts w:ascii="Times New Roman" w:hAnsi="Times New Roman" w:cs="Times New Roman"/>
            <w:sz w:val="24"/>
            <w:szCs w:val="24"/>
          </w:rPr>
          <w:t>https://www.sciencedirect.com/science /article/abs/pii/B9780323906449000603</w:t>
        </w:r>
      </w:hyperlink>
    </w:p>
    <w:p w14:paraId="14675596" w14:textId="77777777" w:rsidR="00F8368E" w:rsidRPr="00994E3F"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Siridevi Mounika P, Kumar Hemant T</w:t>
      </w:r>
      <w:r>
        <w:rPr>
          <w:rFonts w:ascii="Times New Roman" w:hAnsi="Times New Roman" w:cs="Times New Roman"/>
          <w:sz w:val="24"/>
          <w:szCs w:val="24"/>
        </w:rPr>
        <w:t xml:space="preserve"> (2019)</w:t>
      </w:r>
      <w:r w:rsidRPr="00994E3F">
        <w:rPr>
          <w:rFonts w:ascii="Times New Roman" w:hAnsi="Times New Roman" w:cs="Times New Roman"/>
          <w:sz w:val="24"/>
          <w:szCs w:val="24"/>
        </w:rPr>
        <w:t>. RP-HPLC Method for Quantification of Empagliflozin in Pharmaceutical Formulation. Asian J. of Pharm. and Tech, 9</w:t>
      </w:r>
      <w:r>
        <w:rPr>
          <w:rFonts w:ascii="Times New Roman" w:hAnsi="Times New Roman" w:cs="Times New Roman"/>
          <w:sz w:val="24"/>
          <w:szCs w:val="24"/>
        </w:rPr>
        <w:t xml:space="preserve">, </w:t>
      </w:r>
      <w:r w:rsidRPr="00994E3F">
        <w:rPr>
          <w:rFonts w:ascii="Times New Roman" w:hAnsi="Times New Roman" w:cs="Times New Roman"/>
          <w:sz w:val="24"/>
          <w:szCs w:val="24"/>
        </w:rPr>
        <w:t>208-211.</w:t>
      </w:r>
    </w:p>
    <w:p w14:paraId="5B4B1D47" w14:textId="77777777" w:rsidR="00F8368E" w:rsidRDefault="00F8368E" w:rsidP="00994E3F">
      <w:pPr>
        <w:pStyle w:val="ListParagraph"/>
        <w:numPr>
          <w:ilvl w:val="0"/>
          <w:numId w:val="2"/>
        </w:numPr>
        <w:spacing w:line="240" w:lineRule="auto"/>
        <w:ind w:right="113"/>
        <w:jc w:val="both"/>
        <w:rPr>
          <w:rFonts w:ascii="Times New Roman" w:hAnsi="Times New Roman" w:cs="Times New Roman"/>
          <w:sz w:val="24"/>
          <w:szCs w:val="24"/>
        </w:rPr>
      </w:pPr>
      <w:r w:rsidRPr="00994E3F">
        <w:rPr>
          <w:rFonts w:ascii="Times New Roman" w:hAnsi="Times New Roman" w:cs="Times New Roman"/>
          <w:sz w:val="24"/>
          <w:szCs w:val="24"/>
        </w:rPr>
        <w:t xml:space="preserve">World Health organization About diabetes, January </w:t>
      </w:r>
      <w:r>
        <w:rPr>
          <w:rFonts w:ascii="Times New Roman" w:hAnsi="Times New Roman" w:cs="Times New Roman"/>
          <w:sz w:val="24"/>
          <w:szCs w:val="24"/>
        </w:rPr>
        <w:t>(</w:t>
      </w:r>
      <w:r w:rsidRPr="00994E3F">
        <w:rPr>
          <w:rFonts w:ascii="Times New Roman" w:hAnsi="Times New Roman" w:cs="Times New Roman"/>
          <w:sz w:val="24"/>
          <w:szCs w:val="24"/>
        </w:rPr>
        <w:t>2024</w:t>
      </w:r>
      <w:r>
        <w:rPr>
          <w:rFonts w:ascii="Times New Roman" w:hAnsi="Times New Roman" w:cs="Times New Roman"/>
          <w:sz w:val="24"/>
          <w:szCs w:val="24"/>
        </w:rPr>
        <w:t>)</w:t>
      </w:r>
      <w:r w:rsidRPr="00994E3F">
        <w:rPr>
          <w:rFonts w:ascii="Times New Roman" w:hAnsi="Times New Roman" w:cs="Times New Roman"/>
          <w:sz w:val="24"/>
          <w:szCs w:val="24"/>
        </w:rPr>
        <w:t>.</w:t>
      </w:r>
    </w:p>
    <w:p w14:paraId="4AC794EA" w14:textId="54C40CDB" w:rsidR="00CA4F00" w:rsidRPr="00C60A84" w:rsidRDefault="00CA4F00" w:rsidP="00C60A84">
      <w:pPr>
        <w:spacing w:line="240" w:lineRule="auto"/>
        <w:ind w:right="113"/>
        <w:jc w:val="both"/>
        <w:rPr>
          <w:rFonts w:ascii="Times New Roman" w:hAnsi="Times New Roman" w:cs="Times New Roman"/>
          <w:sz w:val="24"/>
          <w:szCs w:val="24"/>
        </w:rPr>
      </w:pPr>
    </w:p>
    <w:p w14:paraId="2F593A49" w14:textId="77777777" w:rsidR="004E7EE6" w:rsidRDefault="004E7EE6" w:rsidP="004E7EE6">
      <w:pPr>
        <w:spacing w:line="240" w:lineRule="auto"/>
        <w:ind w:right="113"/>
        <w:jc w:val="both"/>
        <w:rPr>
          <w:rFonts w:ascii="Times New Roman" w:hAnsi="Times New Roman" w:cs="Times New Roman"/>
          <w:sz w:val="24"/>
          <w:szCs w:val="24"/>
        </w:rPr>
      </w:pPr>
    </w:p>
    <w:p w14:paraId="55ADC637" w14:textId="725CACA9" w:rsidR="004E7EE6" w:rsidRPr="004E7EE6" w:rsidRDefault="004E7EE6" w:rsidP="004E7EE6">
      <w:pPr>
        <w:spacing w:line="240" w:lineRule="auto"/>
        <w:ind w:right="113"/>
        <w:jc w:val="both"/>
        <w:rPr>
          <w:rFonts w:ascii="Times New Roman" w:hAnsi="Times New Roman" w:cs="Times New Roman"/>
          <w:sz w:val="24"/>
          <w:szCs w:val="24"/>
        </w:rPr>
      </w:pPr>
    </w:p>
    <w:sectPr w:rsidR="004E7EE6" w:rsidRPr="004E7EE6" w:rsidSect="00102D44">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C13D" w14:textId="77777777" w:rsidR="00397C87" w:rsidRDefault="00397C87" w:rsidP="0035613E">
      <w:pPr>
        <w:spacing w:after="0" w:line="240" w:lineRule="auto"/>
      </w:pPr>
      <w:r>
        <w:separator/>
      </w:r>
    </w:p>
  </w:endnote>
  <w:endnote w:type="continuationSeparator" w:id="0">
    <w:p w14:paraId="0795A0E2" w14:textId="77777777" w:rsidR="00397C87" w:rsidRDefault="00397C87" w:rsidP="0035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4209" w14:textId="77777777" w:rsidR="00397C87" w:rsidRDefault="00397C87" w:rsidP="0035613E">
      <w:pPr>
        <w:spacing w:after="0" w:line="240" w:lineRule="auto"/>
      </w:pPr>
      <w:r>
        <w:separator/>
      </w:r>
    </w:p>
  </w:footnote>
  <w:footnote w:type="continuationSeparator" w:id="0">
    <w:p w14:paraId="7233AEB0" w14:textId="77777777" w:rsidR="00397C87" w:rsidRDefault="00397C87" w:rsidP="00356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C4D"/>
    <w:multiLevelType w:val="hybridMultilevel"/>
    <w:tmpl w:val="2D22ECB0"/>
    <w:lvl w:ilvl="0" w:tplc="9E62972E">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1" w15:restartNumberingAfterBreak="0">
    <w:nsid w:val="681B1EC0"/>
    <w:multiLevelType w:val="hybridMultilevel"/>
    <w:tmpl w:val="D2E2A9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A9F222B"/>
    <w:multiLevelType w:val="hybridMultilevel"/>
    <w:tmpl w:val="0C00C9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4453949">
    <w:abstractNumId w:val="2"/>
  </w:num>
  <w:num w:numId="2" w16cid:durableId="1942175440">
    <w:abstractNumId w:val="1"/>
  </w:num>
  <w:num w:numId="3" w16cid:durableId="78605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6D"/>
    <w:rsid w:val="000050CA"/>
    <w:rsid w:val="0002216D"/>
    <w:rsid w:val="000258E2"/>
    <w:rsid w:val="00025DB4"/>
    <w:rsid w:val="00031C5D"/>
    <w:rsid w:val="000334F1"/>
    <w:rsid w:val="00033FD4"/>
    <w:rsid w:val="00041749"/>
    <w:rsid w:val="000443EE"/>
    <w:rsid w:val="000566E6"/>
    <w:rsid w:val="00060319"/>
    <w:rsid w:val="00061B5E"/>
    <w:rsid w:val="00062A21"/>
    <w:rsid w:val="0006458A"/>
    <w:rsid w:val="000667E2"/>
    <w:rsid w:val="000725FA"/>
    <w:rsid w:val="0008362A"/>
    <w:rsid w:val="0009394A"/>
    <w:rsid w:val="0009546F"/>
    <w:rsid w:val="000A13C9"/>
    <w:rsid w:val="000A56D4"/>
    <w:rsid w:val="000A589D"/>
    <w:rsid w:val="000B02F2"/>
    <w:rsid w:val="000B472A"/>
    <w:rsid w:val="000C653F"/>
    <w:rsid w:val="000C66C9"/>
    <w:rsid w:val="000C6C98"/>
    <w:rsid w:val="000D234C"/>
    <w:rsid w:val="000E2163"/>
    <w:rsid w:val="000E4BF5"/>
    <w:rsid w:val="000F0090"/>
    <w:rsid w:val="000F4FEB"/>
    <w:rsid w:val="000F5287"/>
    <w:rsid w:val="000F5B00"/>
    <w:rsid w:val="00102D44"/>
    <w:rsid w:val="0011265B"/>
    <w:rsid w:val="00113FC8"/>
    <w:rsid w:val="0011650E"/>
    <w:rsid w:val="001273FE"/>
    <w:rsid w:val="00134C95"/>
    <w:rsid w:val="00137661"/>
    <w:rsid w:val="00140021"/>
    <w:rsid w:val="00152426"/>
    <w:rsid w:val="00154EE3"/>
    <w:rsid w:val="00155795"/>
    <w:rsid w:val="0016767B"/>
    <w:rsid w:val="00171F98"/>
    <w:rsid w:val="001820CB"/>
    <w:rsid w:val="001859A1"/>
    <w:rsid w:val="00185ADD"/>
    <w:rsid w:val="0019200D"/>
    <w:rsid w:val="001937A6"/>
    <w:rsid w:val="00193CBC"/>
    <w:rsid w:val="001A1534"/>
    <w:rsid w:val="001A3B34"/>
    <w:rsid w:val="001A7633"/>
    <w:rsid w:val="001C128A"/>
    <w:rsid w:val="001C376F"/>
    <w:rsid w:val="001E0510"/>
    <w:rsid w:val="001E15C2"/>
    <w:rsid w:val="001E4274"/>
    <w:rsid w:val="001E7236"/>
    <w:rsid w:val="001E7385"/>
    <w:rsid w:val="001F69B2"/>
    <w:rsid w:val="00203B8D"/>
    <w:rsid w:val="002110AF"/>
    <w:rsid w:val="00212811"/>
    <w:rsid w:val="002137F8"/>
    <w:rsid w:val="00214FD9"/>
    <w:rsid w:val="00216404"/>
    <w:rsid w:val="00216604"/>
    <w:rsid w:val="00217844"/>
    <w:rsid w:val="002346F0"/>
    <w:rsid w:val="00237540"/>
    <w:rsid w:val="002622F0"/>
    <w:rsid w:val="00264F4A"/>
    <w:rsid w:val="0026512F"/>
    <w:rsid w:val="00266DA9"/>
    <w:rsid w:val="002751C8"/>
    <w:rsid w:val="00276D1B"/>
    <w:rsid w:val="00280C4A"/>
    <w:rsid w:val="0028246C"/>
    <w:rsid w:val="00285302"/>
    <w:rsid w:val="00287616"/>
    <w:rsid w:val="002951EE"/>
    <w:rsid w:val="00296D39"/>
    <w:rsid w:val="002A304D"/>
    <w:rsid w:val="002B291A"/>
    <w:rsid w:val="002B3CA2"/>
    <w:rsid w:val="002B6230"/>
    <w:rsid w:val="002C1FE2"/>
    <w:rsid w:val="002C5F9B"/>
    <w:rsid w:val="002D48B7"/>
    <w:rsid w:val="002E18BA"/>
    <w:rsid w:val="002E42FF"/>
    <w:rsid w:val="002E4661"/>
    <w:rsid w:val="002E6E80"/>
    <w:rsid w:val="002E77E8"/>
    <w:rsid w:val="003015DB"/>
    <w:rsid w:val="0031085E"/>
    <w:rsid w:val="00311D7A"/>
    <w:rsid w:val="00315790"/>
    <w:rsid w:val="00320F35"/>
    <w:rsid w:val="0032176B"/>
    <w:rsid w:val="0033149C"/>
    <w:rsid w:val="00333A05"/>
    <w:rsid w:val="00341DD3"/>
    <w:rsid w:val="00347E8C"/>
    <w:rsid w:val="00352E38"/>
    <w:rsid w:val="00353381"/>
    <w:rsid w:val="0035613E"/>
    <w:rsid w:val="003633C9"/>
    <w:rsid w:val="003655EE"/>
    <w:rsid w:val="00374928"/>
    <w:rsid w:val="0038119B"/>
    <w:rsid w:val="003859CE"/>
    <w:rsid w:val="00390EAD"/>
    <w:rsid w:val="00394A90"/>
    <w:rsid w:val="003970BE"/>
    <w:rsid w:val="00397209"/>
    <w:rsid w:val="00397C87"/>
    <w:rsid w:val="003A310F"/>
    <w:rsid w:val="003A7807"/>
    <w:rsid w:val="003B2B72"/>
    <w:rsid w:val="003B35FA"/>
    <w:rsid w:val="003C27C2"/>
    <w:rsid w:val="003D0111"/>
    <w:rsid w:val="003D12D9"/>
    <w:rsid w:val="003D290B"/>
    <w:rsid w:val="003D35CB"/>
    <w:rsid w:val="003D44C3"/>
    <w:rsid w:val="003E3481"/>
    <w:rsid w:val="003E4024"/>
    <w:rsid w:val="003E496F"/>
    <w:rsid w:val="003E4CB5"/>
    <w:rsid w:val="003E51D8"/>
    <w:rsid w:val="003E71A6"/>
    <w:rsid w:val="003F5575"/>
    <w:rsid w:val="00412A9B"/>
    <w:rsid w:val="00415A34"/>
    <w:rsid w:val="00420123"/>
    <w:rsid w:val="00422098"/>
    <w:rsid w:val="00423E26"/>
    <w:rsid w:val="00427BB2"/>
    <w:rsid w:val="004443EC"/>
    <w:rsid w:val="004622E5"/>
    <w:rsid w:val="00462E09"/>
    <w:rsid w:val="00463A40"/>
    <w:rsid w:val="00471E9C"/>
    <w:rsid w:val="004729E7"/>
    <w:rsid w:val="004730BB"/>
    <w:rsid w:val="00484A34"/>
    <w:rsid w:val="00492D0A"/>
    <w:rsid w:val="004A0188"/>
    <w:rsid w:val="004A1E43"/>
    <w:rsid w:val="004B1132"/>
    <w:rsid w:val="004B1A40"/>
    <w:rsid w:val="004C0153"/>
    <w:rsid w:val="004C0971"/>
    <w:rsid w:val="004C3150"/>
    <w:rsid w:val="004D375C"/>
    <w:rsid w:val="004D6978"/>
    <w:rsid w:val="004D6B49"/>
    <w:rsid w:val="004E40CB"/>
    <w:rsid w:val="004E4908"/>
    <w:rsid w:val="004E554C"/>
    <w:rsid w:val="004E5D1C"/>
    <w:rsid w:val="004E66CD"/>
    <w:rsid w:val="004E7EE6"/>
    <w:rsid w:val="004F19A4"/>
    <w:rsid w:val="004F2C1F"/>
    <w:rsid w:val="005049E7"/>
    <w:rsid w:val="0050609D"/>
    <w:rsid w:val="00506C6E"/>
    <w:rsid w:val="00524B7D"/>
    <w:rsid w:val="00527C19"/>
    <w:rsid w:val="00532842"/>
    <w:rsid w:val="00544416"/>
    <w:rsid w:val="005475F9"/>
    <w:rsid w:val="00552833"/>
    <w:rsid w:val="00554D27"/>
    <w:rsid w:val="00555907"/>
    <w:rsid w:val="005570D9"/>
    <w:rsid w:val="005649C6"/>
    <w:rsid w:val="005674DA"/>
    <w:rsid w:val="00570684"/>
    <w:rsid w:val="005929D9"/>
    <w:rsid w:val="005A2D1C"/>
    <w:rsid w:val="005B3635"/>
    <w:rsid w:val="005B69AF"/>
    <w:rsid w:val="005B7B1F"/>
    <w:rsid w:val="005C1557"/>
    <w:rsid w:val="005C271D"/>
    <w:rsid w:val="005C5FB3"/>
    <w:rsid w:val="005C6EF7"/>
    <w:rsid w:val="005C7833"/>
    <w:rsid w:val="005C7B0E"/>
    <w:rsid w:val="005D0C2D"/>
    <w:rsid w:val="005D11F2"/>
    <w:rsid w:val="005D3860"/>
    <w:rsid w:val="005D4279"/>
    <w:rsid w:val="005D4729"/>
    <w:rsid w:val="005E1080"/>
    <w:rsid w:val="005E7AE8"/>
    <w:rsid w:val="005F442D"/>
    <w:rsid w:val="005F602E"/>
    <w:rsid w:val="00603234"/>
    <w:rsid w:val="006049F3"/>
    <w:rsid w:val="00612591"/>
    <w:rsid w:val="006162D1"/>
    <w:rsid w:val="00623F5C"/>
    <w:rsid w:val="00624AC0"/>
    <w:rsid w:val="00625D47"/>
    <w:rsid w:val="006309AD"/>
    <w:rsid w:val="00631486"/>
    <w:rsid w:val="0063344F"/>
    <w:rsid w:val="00636B9A"/>
    <w:rsid w:val="00660EE6"/>
    <w:rsid w:val="00663589"/>
    <w:rsid w:val="00664CFE"/>
    <w:rsid w:val="00665FDA"/>
    <w:rsid w:val="00667DF7"/>
    <w:rsid w:val="006717B4"/>
    <w:rsid w:val="00680C1D"/>
    <w:rsid w:val="00686E0E"/>
    <w:rsid w:val="006936D5"/>
    <w:rsid w:val="00696BE2"/>
    <w:rsid w:val="006A2431"/>
    <w:rsid w:val="006A5957"/>
    <w:rsid w:val="006B1902"/>
    <w:rsid w:val="006B293E"/>
    <w:rsid w:val="006B2CCD"/>
    <w:rsid w:val="006C25C3"/>
    <w:rsid w:val="006C341C"/>
    <w:rsid w:val="006C4CBB"/>
    <w:rsid w:val="006C69AA"/>
    <w:rsid w:val="006D3933"/>
    <w:rsid w:val="006D62A9"/>
    <w:rsid w:val="006E1EF5"/>
    <w:rsid w:val="006F79A8"/>
    <w:rsid w:val="00701931"/>
    <w:rsid w:val="0070744F"/>
    <w:rsid w:val="00710434"/>
    <w:rsid w:val="00714BA5"/>
    <w:rsid w:val="00724061"/>
    <w:rsid w:val="007271C2"/>
    <w:rsid w:val="00730350"/>
    <w:rsid w:val="007303D8"/>
    <w:rsid w:val="007306B1"/>
    <w:rsid w:val="0073280B"/>
    <w:rsid w:val="00734393"/>
    <w:rsid w:val="00734DFC"/>
    <w:rsid w:val="00743A34"/>
    <w:rsid w:val="00752455"/>
    <w:rsid w:val="00754E65"/>
    <w:rsid w:val="0076246D"/>
    <w:rsid w:val="0076345C"/>
    <w:rsid w:val="00763E27"/>
    <w:rsid w:val="00767D53"/>
    <w:rsid w:val="007700D7"/>
    <w:rsid w:val="0077029A"/>
    <w:rsid w:val="00772D12"/>
    <w:rsid w:val="007815E4"/>
    <w:rsid w:val="007972B5"/>
    <w:rsid w:val="007A044A"/>
    <w:rsid w:val="007A1C20"/>
    <w:rsid w:val="007A7D63"/>
    <w:rsid w:val="007B6A4B"/>
    <w:rsid w:val="007C2748"/>
    <w:rsid w:val="007C44F9"/>
    <w:rsid w:val="007C6E60"/>
    <w:rsid w:val="007F18B2"/>
    <w:rsid w:val="007F4C9E"/>
    <w:rsid w:val="0080505F"/>
    <w:rsid w:val="00805787"/>
    <w:rsid w:val="00810C5D"/>
    <w:rsid w:val="00820F4B"/>
    <w:rsid w:val="00821177"/>
    <w:rsid w:val="0082408E"/>
    <w:rsid w:val="0083022B"/>
    <w:rsid w:val="00842251"/>
    <w:rsid w:val="00844BD8"/>
    <w:rsid w:val="00845CAA"/>
    <w:rsid w:val="00852E55"/>
    <w:rsid w:val="008555AE"/>
    <w:rsid w:val="008657ED"/>
    <w:rsid w:val="00872865"/>
    <w:rsid w:val="00874853"/>
    <w:rsid w:val="0088265F"/>
    <w:rsid w:val="00882FF2"/>
    <w:rsid w:val="00893D57"/>
    <w:rsid w:val="00897370"/>
    <w:rsid w:val="008A0933"/>
    <w:rsid w:val="008A4471"/>
    <w:rsid w:val="008A6347"/>
    <w:rsid w:val="008B5C9A"/>
    <w:rsid w:val="008C49DD"/>
    <w:rsid w:val="008D0D48"/>
    <w:rsid w:val="008E14F1"/>
    <w:rsid w:val="00900D8F"/>
    <w:rsid w:val="00901960"/>
    <w:rsid w:val="009031C0"/>
    <w:rsid w:val="0090323A"/>
    <w:rsid w:val="00912A9E"/>
    <w:rsid w:val="00914EA2"/>
    <w:rsid w:val="009170CD"/>
    <w:rsid w:val="0092056F"/>
    <w:rsid w:val="00926C6C"/>
    <w:rsid w:val="0092759C"/>
    <w:rsid w:val="009475E1"/>
    <w:rsid w:val="00953F54"/>
    <w:rsid w:val="00966308"/>
    <w:rsid w:val="00972B2D"/>
    <w:rsid w:val="00973C5B"/>
    <w:rsid w:val="00975BF8"/>
    <w:rsid w:val="009844DA"/>
    <w:rsid w:val="00985F63"/>
    <w:rsid w:val="0099180C"/>
    <w:rsid w:val="00994E3F"/>
    <w:rsid w:val="009A448A"/>
    <w:rsid w:val="009A4717"/>
    <w:rsid w:val="009A6290"/>
    <w:rsid w:val="009A6326"/>
    <w:rsid w:val="009B3281"/>
    <w:rsid w:val="009C2188"/>
    <w:rsid w:val="009C2DE8"/>
    <w:rsid w:val="009D58D6"/>
    <w:rsid w:val="009E0650"/>
    <w:rsid w:val="009E11B9"/>
    <w:rsid w:val="009F0DA7"/>
    <w:rsid w:val="009F26DE"/>
    <w:rsid w:val="009F4B3B"/>
    <w:rsid w:val="009F7236"/>
    <w:rsid w:val="00A00029"/>
    <w:rsid w:val="00A01DE8"/>
    <w:rsid w:val="00A13DCA"/>
    <w:rsid w:val="00A17CCB"/>
    <w:rsid w:val="00A269FA"/>
    <w:rsid w:val="00A319A2"/>
    <w:rsid w:val="00A37CEA"/>
    <w:rsid w:val="00A440A2"/>
    <w:rsid w:val="00A52D19"/>
    <w:rsid w:val="00A52E15"/>
    <w:rsid w:val="00A54F3B"/>
    <w:rsid w:val="00A61A16"/>
    <w:rsid w:val="00A6726B"/>
    <w:rsid w:val="00A7432F"/>
    <w:rsid w:val="00A82523"/>
    <w:rsid w:val="00A845DE"/>
    <w:rsid w:val="00A86CC6"/>
    <w:rsid w:val="00A903CC"/>
    <w:rsid w:val="00A9284B"/>
    <w:rsid w:val="00A94BE1"/>
    <w:rsid w:val="00A953F1"/>
    <w:rsid w:val="00A95783"/>
    <w:rsid w:val="00AA39B9"/>
    <w:rsid w:val="00AA4074"/>
    <w:rsid w:val="00AA5F30"/>
    <w:rsid w:val="00AB121A"/>
    <w:rsid w:val="00AB2A0A"/>
    <w:rsid w:val="00AB7CA0"/>
    <w:rsid w:val="00AC177A"/>
    <w:rsid w:val="00AC32A6"/>
    <w:rsid w:val="00AC42C2"/>
    <w:rsid w:val="00AD0A2A"/>
    <w:rsid w:val="00AD0BC5"/>
    <w:rsid w:val="00AE51AA"/>
    <w:rsid w:val="00AE5916"/>
    <w:rsid w:val="00AF3888"/>
    <w:rsid w:val="00B05BEA"/>
    <w:rsid w:val="00B125B0"/>
    <w:rsid w:val="00B14454"/>
    <w:rsid w:val="00B301CA"/>
    <w:rsid w:val="00B34F01"/>
    <w:rsid w:val="00B41AE1"/>
    <w:rsid w:val="00B44E7A"/>
    <w:rsid w:val="00B46C43"/>
    <w:rsid w:val="00B46DA5"/>
    <w:rsid w:val="00B5403F"/>
    <w:rsid w:val="00B62B94"/>
    <w:rsid w:val="00B67DC2"/>
    <w:rsid w:val="00B7124B"/>
    <w:rsid w:val="00B85DCC"/>
    <w:rsid w:val="00B90B95"/>
    <w:rsid w:val="00B90EEF"/>
    <w:rsid w:val="00B916F5"/>
    <w:rsid w:val="00B92C1B"/>
    <w:rsid w:val="00B94207"/>
    <w:rsid w:val="00B94C67"/>
    <w:rsid w:val="00B96F01"/>
    <w:rsid w:val="00BA36A4"/>
    <w:rsid w:val="00BA4F31"/>
    <w:rsid w:val="00BA5516"/>
    <w:rsid w:val="00BC17EE"/>
    <w:rsid w:val="00BD63EF"/>
    <w:rsid w:val="00BD6D80"/>
    <w:rsid w:val="00BE3155"/>
    <w:rsid w:val="00BE613A"/>
    <w:rsid w:val="00BE6997"/>
    <w:rsid w:val="00BF14A1"/>
    <w:rsid w:val="00BF7AF3"/>
    <w:rsid w:val="00C036EF"/>
    <w:rsid w:val="00C141DB"/>
    <w:rsid w:val="00C14587"/>
    <w:rsid w:val="00C41626"/>
    <w:rsid w:val="00C42ABA"/>
    <w:rsid w:val="00C55702"/>
    <w:rsid w:val="00C55BA2"/>
    <w:rsid w:val="00C55FEF"/>
    <w:rsid w:val="00C60828"/>
    <w:rsid w:val="00C60A84"/>
    <w:rsid w:val="00C67E23"/>
    <w:rsid w:val="00C71453"/>
    <w:rsid w:val="00C85423"/>
    <w:rsid w:val="00C939F0"/>
    <w:rsid w:val="00C946D2"/>
    <w:rsid w:val="00CA1483"/>
    <w:rsid w:val="00CA4F00"/>
    <w:rsid w:val="00CA58FB"/>
    <w:rsid w:val="00CA7DB7"/>
    <w:rsid w:val="00CB0244"/>
    <w:rsid w:val="00CB03F0"/>
    <w:rsid w:val="00CB692E"/>
    <w:rsid w:val="00CC0343"/>
    <w:rsid w:val="00CC12E7"/>
    <w:rsid w:val="00CC5344"/>
    <w:rsid w:val="00CC7259"/>
    <w:rsid w:val="00CC7D75"/>
    <w:rsid w:val="00CD05F0"/>
    <w:rsid w:val="00CD0EDC"/>
    <w:rsid w:val="00CD4B1F"/>
    <w:rsid w:val="00CE0DD1"/>
    <w:rsid w:val="00CF1CD0"/>
    <w:rsid w:val="00D03057"/>
    <w:rsid w:val="00D0503A"/>
    <w:rsid w:val="00D0512E"/>
    <w:rsid w:val="00D05A1A"/>
    <w:rsid w:val="00D10E36"/>
    <w:rsid w:val="00D16DAA"/>
    <w:rsid w:val="00D177E3"/>
    <w:rsid w:val="00D2071F"/>
    <w:rsid w:val="00D207C6"/>
    <w:rsid w:val="00D22CE8"/>
    <w:rsid w:val="00D376E8"/>
    <w:rsid w:val="00D43290"/>
    <w:rsid w:val="00D45033"/>
    <w:rsid w:val="00D46984"/>
    <w:rsid w:val="00D47765"/>
    <w:rsid w:val="00D47A67"/>
    <w:rsid w:val="00D51D7E"/>
    <w:rsid w:val="00D612CB"/>
    <w:rsid w:val="00D641DC"/>
    <w:rsid w:val="00D64B75"/>
    <w:rsid w:val="00D65422"/>
    <w:rsid w:val="00D66870"/>
    <w:rsid w:val="00D81118"/>
    <w:rsid w:val="00D850DD"/>
    <w:rsid w:val="00D85F79"/>
    <w:rsid w:val="00D8634A"/>
    <w:rsid w:val="00D8710C"/>
    <w:rsid w:val="00D918DD"/>
    <w:rsid w:val="00DA098A"/>
    <w:rsid w:val="00DA1CC2"/>
    <w:rsid w:val="00DA56DF"/>
    <w:rsid w:val="00DC079A"/>
    <w:rsid w:val="00DC4AF4"/>
    <w:rsid w:val="00DD122D"/>
    <w:rsid w:val="00DD36F5"/>
    <w:rsid w:val="00DE1061"/>
    <w:rsid w:val="00DE74CA"/>
    <w:rsid w:val="00DF1C7E"/>
    <w:rsid w:val="00DF6698"/>
    <w:rsid w:val="00E023D2"/>
    <w:rsid w:val="00E043F9"/>
    <w:rsid w:val="00E11F96"/>
    <w:rsid w:val="00E15CEE"/>
    <w:rsid w:val="00E23800"/>
    <w:rsid w:val="00E370C8"/>
    <w:rsid w:val="00E40F58"/>
    <w:rsid w:val="00E47CA1"/>
    <w:rsid w:val="00E51ED6"/>
    <w:rsid w:val="00E52FE2"/>
    <w:rsid w:val="00E53E46"/>
    <w:rsid w:val="00E574B4"/>
    <w:rsid w:val="00E60181"/>
    <w:rsid w:val="00E625ED"/>
    <w:rsid w:val="00E6653E"/>
    <w:rsid w:val="00E66BAE"/>
    <w:rsid w:val="00E702A6"/>
    <w:rsid w:val="00E76952"/>
    <w:rsid w:val="00E77758"/>
    <w:rsid w:val="00E854C8"/>
    <w:rsid w:val="00E85D9A"/>
    <w:rsid w:val="00E871FC"/>
    <w:rsid w:val="00E9539F"/>
    <w:rsid w:val="00E968BD"/>
    <w:rsid w:val="00E97852"/>
    <w:rsid w:val="00EA1051"/>
    <w:rsid w:val="00EA2355"/>
    <w:rsid w:val="00EA2A0D"/>
    <w:rsid w:val="00EA3213"/>
    <w:rsid w:val="00EA3E9F"/>
    <w:rsid w:val="00EA76AF"/>
    <w:rsid w:val="00EB2B6F"/>
    <w:rsid w:val="00EC2DAA"/>
    <w:rsid w:val="00EC4DBE"/>
    <w:rsid w:val="00EC6180"/>
    <w:rsid w:val="00ED1DA1"/>
    <w:rsid w:val="00ED58F0"/>
    <w:rsid w:val="00ED58F7"/>
    <w:rsid w:val="00EE3C06"/>
    <w:rsid w:val="00EF1303"/>
    <w:rsid w:val="00EF225F"/>
    <w:rsid w:val="00EF308D"/>
    <w:rsid w:val="00EF7183"/>
    <w:rsid w:val="00F005D9"/>
    <w:rsid w:val="00F019AB"/>
    <w:rsid w:val="00F026D6"/>
    <w:rsid w:val="00F05606"/>
    <w:rsid w:val="00F10EA8"/>
    <w:rsid w:val="00F23930"/>
    <w:rsid w:val="00F24B42"/>
    <w:rsid w:val="00F25711"/>
    <w:rsid w:val="00F3271E"/>
    <w:rsid w:val="00F32E21"/>
    <w:rsid w:val="00F34E67"/>
    <w:rsid w:val="00F36B6A"/>
    <w:rsid w:val="00F36F04"/>
    <w:rsid w:val="00F44F0C"/>
    <w:rsid w:val="00F57163"/>
    <w:rsid w:val="00F6069B"/>
    <w:rsid w:val="00F615F1"/>
    <w:rsid w:val="00F64441"/>
    <w:rsid w:val="00F6616D"/>
    <w:rsid w:val="00F742B4"/>
    <w:rsid w:val="00F76702"/>
    <w:rsid w:val="00F82646"/>
    <w:rsid w:val="00F83475"/>
    <w:rsid w:val="00F8368E"/>
    <w:rsid w:val="00F84460"/>
    <w:rsid w:val="00F863BF"/>
    <w:rsid w:val="00FA4928"/>
    <w:rsid w:val="00FA6753"/>
    <w:rsid w:val="00FB5245"/>
    <w:rsid w:val="00FB7574"/>
    <w:rsid w:val="00FB7CC0"/>
    <w:rsid w:val="00FC60F7"/>
    <w:rsid w:val="00FC6C65"/>
    <w:rsid w:val="00FD0572"/>
    <w:rsid w:val="00FD0F14"/>
    <w:rsid w:val="00FD6EE4"/>
    <w:rsid w:val="00FE288F"/>
    <w:rsid w:val="00FF6031"/>
    <w:rsid w:val="00FF65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2CA9"/>
  <w15:chartTrackingRefBased/>
  <w15:docId w15:val="{0802517B-9092-49DF-87FF-267F9250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16D"/>
    <w:rPr>
      <w:rFonts w:eastAsiaTheme="majorEastAsia" w:cstheme="majorBidi"/>
      <w:color w:val="272727" w:themeColor="text1" w:themeTint="D8"/>
    </w:rPr>
  </w:style>
  <w:style w:type="paragraph" w:styleId="Title">
    <w:name w:val="Title"/>
    <w:basedOn w:val="Normal"/>
    <w:next w:val="Normal"/>
    <w:link w:val="TitleChar"/>
    <w:uiPriority w:val="10"/>
    <w:qFormat/>
    <w:rsid w:val="0002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16D"/>
    <w:pPr>
      <w:spacing w:before="160"/>
      <w:jc w:val="center"/>
    </w:pPr>
    <w:rPr>
      <w:i/>
      <w:iCs/>
      <w:color w:val="404040" w:themeColor="text1" w:themeTint="BF"/>
    </w:rPr>
  </w:style>
  <w:style w:type="character" w:customStyle="1" w:styleId="QuoteChar">
    <w:name w:val="Quote Char"/>
    <w:basedOn w:val="DefaultParagraphFont"/>
    <w:link w:val="Quote"/>
    <w:uiPriority w:val="29"/>
    <w:rsid w:val="0002216D"/>
    <w:rPr>
      <w:i/>
      <w:iCs/>
      <w:color w:val="404040" w:themeColor="text1" w:themeTint="BF"/>
    </w:rPr>
  </w:style>
  <w:style w:type="paragraph" w:styleId="ListParagraph">
    <w:name w:val="List Paragraph"/>
    <w:basedOn w:val="Normal"/>
    <w:uiPriority w:val="34"/>
    <w:qFormat/>
    <w:rsid w:val="0002216D"/>
    <w:pPr>
      <w:ind w:left="720"/>
      <w:contextualSpacing/>
    </w:pPr>
  </w:style>
  <w:style w:type="character" w:styleId="IntenseEmphasis">
    <w:name w:val="Intense Emphasis"/>
    <w:basedOn w:val="DefaultParagraphFont"/>
    <w:uiPriority w:val="21"/>
    <w:qFormat/>
    <w:rsid w:val="0002216D"/>
    <w:rPr>
      <w:i/>
      <w:iCs/>
      <w:color w:val="2F5496" w:themeColor="accent1" w:themeShade="BF"/>
    </w:rPr>
  </w:style>
  <w:style w:type="paragraph" w:styleId="IntenseQuote">
    <w:name w:val="Intense Quote"/>
    <w:basedOn w:val="Normal"/>
    <w:next w:val="Normal"/>
    <w:link w:val="IntenseQuoteChar"/>
    <w:uiPriority w:val="30"/>
    <w:qFormat/>
    <w:rsid w:val="0002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16D"/>
    <w:rPr>
      <w:i/>
      <w:iCs/>
      <w:color w:val="2F5496" w:themeColor="accent1" w:themeShade="BF"/>
    </w:rPr>
  </w:style>
  <w:style w:type="character" w:styleId="IntenseReference">
    <w:name w:val="Intense Reference"/>
    <w:basedOn w:val="DefaultParagraphFont"/>
    <w:uiPriority w:val="32"/>
    <w:qFormat/>
    <w:rsid w:val="0002216D"/>
    <w:rPr>
      <w:b/>
      <w:bCs/>
      <w:smallCaps/>
      <w:color w:val="2F5496" w:themeColor="accent1" w:themeShade="BF"/>
      <w:spacing w:val="5"/>
    </w:rPr>
  </w:style>
  <w:style w:type="paragraph" w:styleId="Header">
    <w:name w:val="header"/>
    <w:basedOn w:val="Normal"/>
    <w:link w:val="HeaderChar"/>
    <w:uiPriority w:val="99"/>
    <w:unhideWhenUsed/>
    <w:rsid w:val="00356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3E"/>
  </w:style>
  <w:style w:type="paragraph" w:styleId="Footer">
    <w:name w:val="footer"/>
    <w:basedOn w:val="Normal"/>
    <w:link w:val="FooterChar"/>
    <w:uiPriority w:val="99"/>
    <w:unhideWhenUsed/>
    <w:rsid w:val="00356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3E"/>
  </w:style>
  <w:style w:type="character" w:styleId="Hyperlink">
    <w:name w:val="Hyperlink"/>
    <w:basedOn w:val="DefaultParagraphFont"/>
    <w:uiPriority w:val="99"/>
    <w:unhideWhenUsed/>
    <w:rsid w:val="007C6E60"/>
    <w:rPr>
      <w:color w:val="0563C1" w:themeColor="hyperlink"/>
      <w:u w:val="single"/>
    </w:rPr>
  </w:style>
  <w:style w:type="character" w:styleId="UnresolvedMention">
    <w:name w:val="Unresolved Mention"/>
    <w:basedOn w:val="DefaultParagraphFont"/>
    <w:uiPriority w:val="99"/>
    <w:semiHidden/>
    <w:unhideWhenUsed/>
    <w:rsid w:val="007C6E60"/>
    <w:rPr>
      <w:color w:val="605E5C"/>
      <w:shd w:val="clear" w:color="auto" w:fill="E1DFDD"/>
    </w:rPr>
  </w:style>
  <w:style w:type="table" w:styleId="TableGrid">
    <w:name w:val="Table Grid"/>
    <w:basedOn w:val="TableNormal"/>
    <w:uiPriority w:val="39"/>
    <w:rsid w:val="00FB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hyperlink" Target="www.rxlist.com/jardiance-drug.htm%23descrip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s://www.sciencedirect.com/science/article/abs/pii/B978032390644900060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9" Type="http://schemas.openxmlformats.org/officeDocument/2006/relationships/hyperlink" Target="https://www.sciencedirect.com/science%20/article/abs/pii/B9780323906449000603" TargetMode="External"/><Relationship Id="rId4" Type="http://schemas.openxmlformats.org/officeDocument/2006/relationships/settings" Target="settings.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8T17:38:48.108"/>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5FBF-ED57-47FC-8878-651A8706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Lalit Bhoye</cp:lastModifiedBy>
  <cp:revision>13</cp:revision>
  <cp:lastPrinted>2026-04-05T08:40:00Z</cp:lastPrinted>
  <dcterms:created xsi:type="dcterms:W3CDTF">2026-04-05T08:36:00Z</dcterms:created>
  <dcterms:modified xsi:type="dcterms:W3CDTF">2026-04-05T08:51:00Z</dcterms:modified>
</cp:coreProperties>
</file>