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3.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4.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5.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6.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7.xml" ContentType="application/vnd.openxmlformats-officedocument.drawingml.chartshapes+xml"/>
  <Override PartName="/word/charts/chart9.xml" ContentType="application/vnd.openxmlformats-officedocument.drawingml.chart+xml"/>
  <Override PartName="/word/theme/themeOverride9.xml" ContentType="application/vnd.openxmlformats-officedocument.themeOverride+xml"/>
  <Override PartName="/word/drawings/drawing8.xml" ContentType="application/vnd.openxmlformats-officedocument.drawingml.chartshapes+xml"/>
  <Override PartName="/word/charts/chart10.xml" ContentType="application/vnd.openxmlformats-officedocument.drawingml.chart+xml"/>
  <Override PartName="/word/theme/themeOverride10.xml" ContentType="application/vnd.openxmlformats-officedocument.themeOverride+xml"/>
  <Override PartName="/word/drawings/drawing9.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098" w:rsidRPr="00277ADA" w:rsidRDefault="00744946" w:rsidP="00BB4C73">
      <w:pPr>
        <w:spacing w:after="0" w:line="240" w:lineRule="auto"/>
        <w:jc w:val="center"/>
        <w:rPr>
          <w:rFonts w:ascii="Times New Roman" w:hAnsi="Times New Roman"/>
          <w:b/>
          <w:bCs/>
          <w:sz w:val="24"/>
          <w:szCs w:val="24"/>
        </w:rPr>
      </w:pPr>
      <w:r w:rsidRPr="00277ADA">
        <w:rPr>
          <w:rFonts w:ascii="Times New Roman" w:hAnsi="Times New Roman"/>
          <w:b/>
          <w:bCs/>
          <w:sz w:val="24"/>
          <w:szCs w:val="24"/>
        </w:rPr>
        <w:t xml:space="preserve">Effect of mode of treatment of Brevibacillus </w:t>
      </w:r>
      <w:r w:rsidRPr="00277ADA">
        <w:rPr>
          <w:rFonts w:ascii="Times New Roman" w:hAnsi="Times New Roman"/>
          <w:b/>
          <w:bCs/>
          <w:i/>
          <w:sz w:val="24"/>
          <w:szCs w:val="24"/>
        </w:rPr>
        <w:t>brevis</w:t>
      </w:r>
      <w:r w:rsidRPr="00277ADA">
        <w:rPr>
          <w:rFonts w:ascii="Times New Roman" w:hAnsi="Times New Roman"/>
          <w:b/>
          <w:bCs/>
          <w:sz w:val="24"/>
          <w:szCs w:val="24"/>
        </w:rPr>
        <w:t xml:space="preserve"> on </w:t>
      </w:r>
      <w:r w:rsidR="00F31098" w:rsidRPr="00277ADA">
        <w:rPr>
          <w:rFonts w:ascii="Times New Roman" w:hAnsi="Times New Roman"/>
          <w:b/>
          <w:bCs/>
          <w:sz w:val="24"/>
          <w:szCs w:val="24"/>
        </w:rPr>
        <w:t xml:space="preserve">Plasticity </w:t>
      </w:r>
      <w:r w:rsidRPr="00277ADA">
        <w:rPr>
          <w:rFonts w:ascii="Times New Roman" w:hAnsi="Times New Roman"/>
          <w:b/>
          <w:bCs/>
          <w:sz w:val="24"/>
          <w:szCs w:val="24"/>
        </w:rPr>
        <w:t xml:space="preserve">characteristics </w:t>
      </w:r>
      <w:r w:rsidR="00F31098" w:rsidRPr="00277ADA">
        <w:rPr>
          <w:rFonts w:ascii="Times New Roman" w:hAnsi="Times New Roman"/>
          <w:b/>
          <w:bCs/>
          <w:sz w:val="24"/>
          <w:szCs w:val="24"/>
        </w:rPr>
        <w:t xml:space="preserve">of </w:t>
      </w:r>
      <w:r w:rsidRPr="00277ADA">
        <w:rPr>
          <w:rFonts w:ascii="Times New Roman" w:hAnsi="Times New Roman"/>
          <w:b/>
          <w:bCs/>
          <w:sz w:val="24"/>
          <w:szCs w:val="24"/>
        </w:rPr>
        <w:t>bio-</w:t>
      </w:r>
      <w:r w:rsidR="00F31098" w:rsidRPr="00277ADA">
        <w:rPr>
          <w:rFonts w:ascii="Times New Roman" w:hAnsi="Times New Roman"/>
          <w:b/>
          <w:bCs/>
          <w:sz w:val="24"/>
          <w:szCs w:val="24"/>
        </w:rPr>
        <w:t>treated lateritic soil in microbial</w:t>
      </w:r>
      <w:r w:rsidR="00DC394F" w:rsidRPr="00277ADA">
        <w:rPr>
          <w:rFonts w:ascii="Times New Roman" w:hAnsi="Times New Roman"/>
          <w:b/>
          <w:bCs/>
          <w:sz w:val="24"/>
          <w:szCs w:val="24"/>
        </w:rPr>
        <w:t>-</w:t>
      </w:r>
      <w:r w:rsidR="00F31098" w:rsidRPr="00277ADA">
        <w:rPr>
          <w:rFonts w:ascii="Times New Roman" w:hAnsi="Times New Roman"/>
          <w:b/>
          <w:bCs/>
          <w:sz w:val="24"/>
          <w:szCs w:val="24"/>
        </w:rPr>
        <w:t>induced calcite precipitat</w:t>
      </w:r>
      <w:r w:rsidR="00DC394F" w:rsidRPr="00277ADA">
        <w:rPr>
          <w:rFonts w:ascii="Times New Roman" w:hAnsi="Times New Roman"/>
          <w:b/>
          <w:bCs/>
          <w:sz w:val="24"/>
          <w:szCs w:val="24"/>
        </w:rPr>
        <w:t>ion</w:t>
      </w:r>
      <w:r w:rsidR="00F31098" w:rsidRPr="00277ADA">
        <w:rPr>
          <w:rFonts w:ascii="Times New Roman" w:hAnsi="Times New Roman"/>
          <w:b/>
          <w:bCs/>
          <w:sz w:val="24"/>
          <w:szCs w:val="24"/>
        </w:rPr>
        <w:t xml:space="preserve"> application</w:t>
      </w:r>
    </w:p>
    <w:p w:rsidR="00BB4C73" w:rsidRDefault="00BB4C73" w:rsidP="00BB4C73">
      <w:pPr>
        <w:tabs>
          <w:tab w:val="center" w:pos="4907"/>
          <w:tab w:val="right" w:pos="9368"/>
        </w:tabs>
        <w:spacing w:after="2" w:line="356" w:lineRule="auto"/>
        <w:ind w:left="456" w:right="-8" w:hanging="10"/>
        <w:jc w:val="center"/>
        <w:rPr>
          <w:rFonts w:ascii="Arial" w:hAnsi="Arial" w:cs="Arial"/>
          <w:color w:val="000000"/>
        </w:rPr>
      </w:pPr>
    </w:p>
    <w:p w:rsidR="00BB4C73" w:rsidRPr="001840FB" w:rsidRDefault="00BB4C73" w:rsidP="00BB4C73">
      <w:pPr>
        <w:tabs>
          <w:tab w:val="center" w:pos="4907"/>
          <w:tab w:val="right" w:pos="9368"/>
        </w:tabs>
        <w:spacing w:after="2" w:line="356" w:lineRule="auto"/>
        <w:ind w:left="456" w:right="-8" w:hanging="10"/>
        <w:jc w:val="center"/>
        <w:rPr>
          <w:rFonts w:ascii="Arial" w:hAnsi="Arial" w:cs="Arial"/>
          <w:color w:val="000000"/>
        </w:rPr>
      </w:pPr>
      <w:r>
        <w:rPr>
          <w:rFonts w:ascii="Arial" w:hAnsi="Arial" w:cs="Arial"/>
          <w:color w:val="000000"/>
        </w:rPr>
        <w:t>M. Abubakar</w:t>
      </w:r>
      <w:r w:rsidRPr="00FB4A10">
        <w:rPr>
          <w:rFonts w:ascii="Arial" w:hAnsi="Arial" w:cs="Arial"/>
          <w:color w:val="000000"/>
          <w:vertAlign w:val="superscript"/>
        </w:rPr>
        <w:t>1*</w:t>
      </w:r>
      <w:r>
        <w:rPr>
          <w:rFonts w:ascii="Arial" w:hAnsi="Arial" w:cs="Arial"/>
          <w:color w:val="000000"/>
        </w:rPr>
        <w:t>, M. A. Garba</w:t>
      </w:r>
      <w:r w:rsidRPr="00FB4A10">
        <w:rPr>
          <w:rFonts w:ascii="Arial" w:hAnsi="Arial" w:cs="Arial"/>
          <w:color w:val="000000"/>
          <w:vertAlign w:val="superscript"/>
        </w:rPr>
        <w:t>1</w:t>
      </w:r>
      <w:r>
        <w:rPr>
          <w:rFonts w:ascii="Arial" w:hAnsi="Arial" w:cs="Arial"/>
          <w:color w:val="000000"/>
        </w:rPr>
        <w:t>,</w:t>
      </w:r>
      <w:r w:rsidRPr="001840FB">
        <w:rPr>
          <w:rFonts w:ascii="Arial" w:hAnsi="Arial" w:cs="Arial"/>
          <w:color w:val="000000"/>
        </w:rPr>
        <w:t xml:space="preserve"> K. J. Osinubi</w:t>
      </w:r>
      <w:r>
        <w:rPr>
          <w:rFonts w:ascii="Arial" w:hAnsi="Arial" w:cs="Arial"/>
          <w:color w:val="000000"/>
          <w:vertAlign w:val="superscript"/>
        </w:rPr>
        <w:t>2</w:t>
      </w:r>
      <w:r>
        <w:rPr>
          <w:rFonts w:ascii="Arial" w:hAnsi="Arial" w:cs="Arial"/>
          <w:color w:val="000000"/>
        </w:rPr>
        <w:t>, F.ASCE</w:t>
      </w:r>
      <w:r w:rsidRPr="001840FB">
        <w:rPr>
          <w:rFonts w:ascii="Arial" w:hAnsi="Arial" w:cs="Arial"/>
          <w:color w:val="000000"/>
          <w:vertAlign w:val="superscript"/>
        </w:rPr>
        <w:t xml:space="preserve"> </w:t>
      </w:r>
      <w:r w:rsidRPr="001840FB">
        <w:rPr>
          <w:rFonts w:ascii="Arial" w:hAnsi="Arial" w:cs="Arial"/>
          <w:color w:val="000000"/>
        </w:rPr>
        <w:t>A. O. Eberemu</w:t>
      </w:r>
      <w:r>
        <w:rPr>
          <w:rFonts w:ascii="Arial" w:hAnsi="Arial" w:cs="Arial"/>
          <w:color w:val="000000"/>
          <w:vertAlign w:val="superscript"/>
        </w:rPr>
        <w:t>3</w:t>
      </w:r>
      <w:r>
        <w:rPr>
          <w:rFonts w:ascii="Arial" w:hAnsi="Arial" w:cs="Arial"/>
          <w:color w:val="000000"/>
        </w:rPr>
        <w:t>, M.ASCE</w:t>
      </w:r>
    </w:p>
    <w:p w:rsidR="00BB4C73" w:rsidRPr="00C51A12" w:rsidRDefault="00BB4C73" w:rsidP="00BB4C73">
      <w:pPr>
        <w:tabs>
          <w:tab w:val="center" w:pos="4907"/>
          <w:tab w:val="right" w:pos="9368"/>
        </w:tabs>
        <w:spacing w:after="0" w:line="356" w:lineRule="auto"/>
        <w:ind w:right="-8"/>
        <w:rPr>
          <w:rFonts w:ascii="Segoe UI" w:hAnsi="Segoe UI" w:cs="Segoe UI"/>
          <w:sz w:val="18"/>
          <w:szCs w:val="20"/>
        </w:rPr>
      </w:pPr>
    </w:p>
    <w:p w:rsidR="00BB4C73" w:rsidRPr="00C51A12" w:rsidRDefault="00BB4C73" w:rsidP="00BB4C73">
      <w:pPr>
        <w:spacing w:after="0" w:line="356" w:lineRule="auto"/>
        <w:ind w:left="456" w:right="-8" w:hanging="10"/>
        <w:jc w:val="center"/>
        <w:rPr>
          <w:rFonts w:ascii="Segoe UI" w:eastAsia="Calibri" w:hAnsi="Segoe UI" w:cs="Segoe UI"/>
          <w:i/>
          <w:sz w:val="18"/>
          <w:szCs w:val="20"/>
        </w:rPr>
      </w:pPr>
      <w:r w:rsidRPr="00C51A12">
        <w:rPr>
          <w:rFonts w:ascii="Segoe UI" w:hAnsi="Segoe UI" w:cs="Segoe UI"/>
          <w:i/>
          <w:sz w:val="18"/>
          <w:szCs w:val="20"/>
          <w:vertAlign w:val="superscript"/>
        </w:rPr>
        <w:t>1</w:t>
      </w:r>
      <w:r w:rsidRPr="00C51A12">
        <w:rPr>
          <w:rFonts w:ascii="Segoe UI" w:hAnsi="Segoe UI" w:cs="Segoe UI"/>
          <w:i/>
          <w:sz w:val="18"/>
          <w:szCs w:val="20"/>
        </w:rPr>
        <w:t>Professor, Ahmadu Bello University Zaria, Kaduna State, Nigeria</w:t>
      </w:r>
    </w:p>
    <w:p w:rsidR="00BB4C73" w:rsidRPr="00C51A12" w:rsidRDefault="00BB4C73" w:rsidP="00BB4C73">
      <w:pPr>
        <w:spacing w:after="0" w:line="356" w:lineRule="auto"/>
        <w:ind w:left="456" w:right="-8" w:hanging="10"/>
        <w:jc w:val="center"/>
        <w:rPr>
          <w:rFonts w:ascii="Segoe UI" w:hAnsi="Segoe UI" w:cs="Segoe UI"/>
          <w:i/>
          <w:color w:val="000000"/>
          <w:sz w:val="18"/>
          <w:szCs w:val="20"/>
        </w:rPr>
      </w:pPr>
      <w:r w:rsidRPr="00C51A12">
        <w:rPr>
          <w:rFonts w:ascii="Segoe UI" w:hAnsi="Segoe UI" w:cs="Segoe UI"/>
          <w:i/>
          <w:color w:val="000000"/>
          <w:sz w:val="18"/>
          <w:szCs w:val="20"/>
          <w:vertAlign w:val="superscript"/>
        </w:rPr>
        <w:t>3</w:t>
      </w:r>
      <w:r w:rsidRPr="00C51A12">
        <w:rPr>
          <w:rFonts w:ascii="Segoe UI" w:hAnsi="Segoe UI" w:cs="Segoe UI"/>
          <w:i/>
          <w:color w:val="000000"/>
          <w:sz w:val="18"/>
          <w:szCs w:val="20"/>
        </w:rPr>
        <w:t>Professor, Ahmadu Bello University and Africa Center of Excellence on New Pedagogies in Engineering</w:t>
      </w:r>
    </w:p>
    <w:p w:rsidR="00BB4C73" w:rsidRPr="00C51A12" w:rsidRDefault="00BB4C73" w:rsidP="00BB4C73">
      <w:pPr>
        <w:spacing w:after="0" w:line="356" w:lineRule="auto"/>
        <w:ind w:left="456" w:right="-8" w:hanging="10"/>
        <w:jc w:val="center"/>
        <w:rPr>
          <w:rFonts w:ascii="Segoe UI" w:eastAsia="Calibri" w:hAnsi="Segoe UI" w:cs="Segoe UI"/>
          <w:i/>
          <w:sz w:val="18"/>
          <w:szCs w:val="20"/>
        </w:rPr>
      </w:pPr>
      <w:r w:rsidRPr="00C51A12">
        <w:rPr>
          <w:rFonts w:ascii="Segoe UI" w:hAnsi="Segoe UI" w:cs="Segoe UI"/>
          <w:i/>
          <w:color w:val="000000"/>
          <w:sz w:val="18"/>
          <w:szCs w:val="20"/>
        </w:rPr>
        <w:t>Education (ACENPEE), Kaduna State, Nigeria</w:t>
      </w:r>
    </w:p>
    <w:p w:rsidR="00BB4C73" w:rsidRPr="00C51A12" w:rsidRDefault="00BB4C73" w:rsidP="00BB4C73">
      <w:pPr>
        <w:tabs>
          <w:tab w:val="center" w:pos="4907"/>
          <w:tab w:val="right" w:pos="9368"/>
        </w:tabs>
        <w:spacing w:after="0" w:line="356" w:lineRule="auto"/>
        <w:ind w:left="456" w:right="-8" w:hanging="10"/>
        <w:jc w:val="center"/>
        <w:rPr>
          <w:rFonts w:ascii="Segoe UI" w:eastAsia="Calibri" w:hAnsi="Segoe UI" w:cs="Segoe UI"/>
          <w:i/>
          <w:sz w:val="18"/>
          <w:szCs w:val="20"/>
        </w:rPr>
      </w:pPr>
      <w:r w:rsidRPr="00C51A12">
        <w:rPr>
          <w:rFonts w:ascii="Segoe UI" w:hAnsi="Segoe UI" w:cs="Segoe UI"/>
          <w:i/>
          <w:sz w:val="18"/>
          <w:szCs w:val="20"/>
          <w:vertAlign w:val="superscript"/>
        </w:rPr>
        <w:t>1*</w:t>
      </w:r>
      <w:r w:rsidRPr="00C51A12">
        <w:rPr>
          <w:rFonts w:ascii="Segoe UI" w:hAnsi="Segoe UI" w:cs="Segoe UI"/>
          <w:i/>
          <w:sz w:val="18"/>
          <w:szCs w:val="20"/>
        </w:rPr>
        <w:t xml:space="preserve">Lecturer Federal Polytechnic Daura, Katsina State and Graduate student, Ahmadu Bello University Zaria, Kaduna State, Nigeria, </w:t>
      </w:r>
    </w:p>
    <w:p w:rsidR="00BB4C73" w:rsidRPr="00C51A12" w:rsidRDefault="00BB4C73" w:rsidP="00BB4C73">
      <w:pPr>
        <w:tabs>
          <w:tab w:val="center" w:pos="4907"/>
          <w:tab w:val="right" w:pos="9368"/>
        </w:tabs>
        <w:spacing w:after="0" w:line="356" w:lineRule="auto"/>
        <w:ind w:left="456" w:right="-8" w:hanging="10"/>
        <w:rPr>
          <w:rFonts w:ascii="Segoe UI" w:eastAsia="Calibri" w:hAnsi="Segoe UI" w:cs="Segoe UI"/>
          <w:i/>
          <w:sz w:val="18"/>
          <w:szCs w:val="20"/>
        </w:rPr>
      </w:pPr>
      <w:r w:rsidRPr="00C51A12">
        <w:rPr>
          <w:rFonts w:ascii="Segoe UI" w:hAnsi="Segoe UI" w:cs="Segoe UI"/>
          <w:i/>
          <w:sz w:val="18"/>
          <w:szCs w:val="20"/>
          <w:vertAlign w:val="superscript"/>
        </w:rPr>
        <w:t>1</w:t>
      </w:r>
      <w:r w:rsidRPr="00C51A12">
        <w:rPr>
          <w:rFonts w:ascii="Segoe UI" w:hAnsi="Segoe UI" w:cs="Segoe UI"/>
          <w:i/>
          <w:sz w:val="18"/>
          <w:szCs w:val="20"/>
        </w:rPr>
        <w:t>Graduate student, Ahmadu Bello University Zaria, Kaduna State, Nigeria</w:t>
      </w:r>
    </w:p>
    <w:p w:rsidR="00BB4C73" w:rsidRPr="00C51A12" w:rsidRDefault="00BB4C73" w:rsidP="00BB4C73">
      <w:pPr>
        <w:tabs>
          <w:tab w:val="center" w:pos="4907"/>
          <w:tab w:val="right" w:pos="9368"/>
        </w:tabs>
        <w:spacing w:after="0" w:line="356" w:lineRule="auto"/>
        <w:ind w:left="456" w:right="-8" w:hanging="10"/>
        <w:jc w:val="center"/>
        <w:rPr>
          <w:rFonts w:ascii="Segoe UI" w:hAnsi="Segoe UI" w:cs="Segoe UI"/>
          <w:sz w:val="18"/>
          <w:szCs w:val="20"/>
        </w:rPr>
      </w:pPr>
      <w:r w:rsidRPr="00C51A12">
        <w:rPr>
          <w:rFonts w:ascii="Segoe UI" w:hAnsi="Segoe UI" w:cs="Segoe UI"/>
          <w:sz w:val="18"/>
          <w:szCs w:val="20"/>
        </w:rPr>
        <w:t xml:space="preserve">*Corresponding Author: </w:t>
      </w:r>
      <w:hyperlink r:id="rId7" w:history="1">
        <w:r w:rsidRPr="00C51A12">
          <w:rPr>
            <w:rFonts w:ascii="Segoe UI" w:hAnsi="Segoe UI" w:cs="Segoe UI"/>
            <w:i/>
            <w:sz w:val="18"/>
            <w:szCs w:val="20"/>
            <w:u w:val="single"/>
          </w:rPr>
          <w:t>mabubakar9194</w:t>
        </w:r>
        <w:r w:rsidRPr="00C51A12">
          <w:rPr>
            <w:rFonts w:ascii="Segoe UI" w:eastAsia="Calibri" w:hAnsi="Segoe UI" w:cs="Segoe UI"/>
            <w:i/>
            <w:sz w:val="18"/>
            <w:szCs w:val="20"/>
            <w:u w:val="single"/>
          </w:rPr>
          <w:t>@gmail.com</w:t>
        </w:r>
      </w:hyperlink>
    </w:p>
    <w:p w:rsidR="00BB4C73" w:rsidRPr="00C51A12" w:rsidRDefault="00BB4C73" w:rsidP="00BB4C73">
      <w:pPr>
        <w:pStyle w:val="NoSpacing"/>
        <w:jc w:val="center"/>
        <w:outlineLvl w:val="0"/>
        <w:rPr>
          <w:rFonts w:ascii="Segoe UI" w:hAnsi="Segoe UI" w:cs="Segoe UI" w:hint="default"/>
          <w:sz w:val="18"/>
        </w:rPr>
      </w:pPr>
      <w:r w:rsidRPr="00C51A12">
        <w:rPr>
          <w:rFonts w:ascii="Segoe UI" w:hAnsi="Segoe UI" w:cs="Segoe UI" w:hint="default"/>
          <w:sz w:val="18"/>
        </w:rPr>
        <w:t>+234 803 845 9194</w:t>
      </w:r>
    </w:p>
    <w:p w:rsidR="00F31098" w:rsidRPr="00277ADA" w:rsidRDefault="00BB4C73" w:rsidP="00BB4C73">
      <w:pPr>
        <w:spacing w:after="0" w:line="240" w:lineRule="auto"/>
        <w:rPr>
          <w:rFonts w:ascii="Times New Roman" w:hAnsi="Times New Roman"/>
          <w:b/>
          <w:bCs/>
          <w:sz w:val="24"/>
          <w:szCs w:val="24"/>
        </w:rPr>
      </w:pPr>
      <w:r>
        <w:rPr>
          <w:rFonts w:ascii="Times New Roman" w:hAnsi="Times New Roman"/>
          <w:b/>
          <w:bCs/>
          <w:sz w:val="24"/>
          <w:szCs w:val="24"/>
        </w:rPr>
        <w:t>Abstract</w:t>
      </w:r>
    </w:p>
    <w:p w:rsidR="00F31098" w:rsidRPr="00BB4C73" w:rsidRDefault="00F31098" w:rsidP="00076A1E">
      <w:pPr>
        <w:spacing w:after="0" w:line="240" w:lineRule="auto"/>
        <w:jc w:val="both"/>
        <w:rPr>
          <w:rFonts w:ascii="Times New Roman" w:hAnsi="Times New Roman"/>
          <w:i/>
          <w:sz w:val="24"/>
          <w:szCs w:val="24"/>
        </w:rPr>
      </w:pPr>
      <w:r w:rsidRPr="00BB4C73">
        <w:rPr>
          <w:rFonts w:ascii="Times New Roman" w:hAnsi="Times New Roman"/>
          <w:i/>
          <w:sz w:val="24"/>
          <w:szCs w:val="24"/>
        </w:rPr>
        <w:t xml:space="preserve">An economical and sustainable method of soil improvement known as Microbial Induced Calcite Precipitation (MICP) has received significant </w:t>
      </w:r>
      <w:r w:rsidR="006D20D8" w:rsidRPr="00BB4C73">
        <w:rPr>
          <w:rFonts w:ascii="Times New Roman" w:hAnsi="Times New Roman"/>
          <w:i/>
          <w:sz w:val="24"/>
          <w:szCs w:val="24"/>
        </w:rPr>
        <w:t>gratitude</w:t>
      </w:r>
      <w:r w:rsidRPr="00BB4C73">
        <w:rPr>
          <w:rFonts w:ascii="Times New Roman" w:hAnsi="Times New Roman"/>
          <w:i/>
          <w:sz w:val="24"/>
          <w:szCs w:val="24"/>
        </w:rPr>
        <w:t xml:space="preserve"> in the </w:t>
      </w:r>
      <w:r w:rsidR="006D20D8" w:rsidRPr="00BB4C73">
        <w:rPr>
          <w:rFonts w:ascii="Times New Roman" w:hAnsi="Times New Roman"/>
          <w:i/>
          <w:sz w:val="24"/>
          <w:szCs w:val="24"/>
        </w:rPr>
        <w:t>former</w:t>
      </w:r>
      <w:r w:rsidRPr="00BB4C73">
        <w:rPr>
          <w:rFonts w:ascii="Times New Roman" w:hAnsi="Times New Roman"/>
          <w:i/>
          <w:sz w:val="24"/>
          <w:szCs w:val="24"/>
        </w:rPr>
        <w:t xml:space="preserve"> decade.</w:t>
      </w:r>
    </w:p>
    <w:p w:rsidR="00F31098" w:rsidRPr="00BB4C73" w:rsidRDefault="00F31098" w:rsidP="00076A1E">
      <w:pPr>
        <w:spacing w:after="0" w:line="240" w:lineRule="auto"/>
        <w:jc w:val="both"/>
        <w:rPr>
          <w:rFonts w:ascii="Times New Roman" w:hAnsi="Times New Roman"/>
          <w:i/>
          <w:sz w:val="24"/>
          <w:szCs w:val="24"/>
        </w:rPr>
      </w:pPr>
      <w:r w:rsidRPr="00BB4C73">
        <w:rPr>
          <w:rFonts w:ascii="Times New Roman" w:hAnsi="Times New Roman"/>
          <w:i/>
          <w:sz w:val="24"/>
          <w:szCs w:val="24"/>
        </w:rPr>
        <w:t xml:space="preserve">The plasticity of lateritic soil </w:t>
      </w:r>
      <w:r w:rsidR="00041148" w:rsidRPr="00BB4C73">
        <w:rPr>
          <w:rFonts w:ascii="Times New Roman" w:hAnsi="Times New Roman"/>
          <w:i/>
          <w:sz w:val="24"/>
          <w:szCs w:val="24"/>
        </w:rPr>
        <w:t>bio-</w:t>
      </w:r>
      <w:r w:rsidRPr="00BB4C73">
        <w:rPr>
          <w:rFonts w:ascii="Times New Roman" w:hAnsi="Times New Roman"/>
          <w:i/>
          <w:sz w:val="24"/>
          <w:szCs w:val="24"/>
        </w:rPr>
        <w:t xml:space="preserve">treated at </w:t>
      </w:r>
      <w:r w:rsidR="00041148" w:rsidRPr="00BB4C73">
        <w:rPr>
          <w:rFonts w:ascii="Times New Roman" w:hAnsi="Times New Roman"/>
          <w:i/>
          <w:sz w:val="24"/>
          <w:szCs w:val="24"/>
        </w:rPr>
        <w:t>stepped</w:t>
      </w:r>
      <w:r w:rsidRPr="00BB4C73">
        <w:rPr>
          <w:rFonts w:ascii="Times New Roman" w:hAnsi="Times New Roman"/>
          <w:i/>
          <w:sz w:val="24"/>
          <w:szCs w:val="24"/>
        </w:rPr>
        <w:t xml:space="preserve"> Brevibacillus brevis (B. </w:t>
      </w:r>
      <w:r w:rsidR="00012B83" w:rsidRPr="00BB4C73">
        <w:rPr>
          <w:rFonts w:ascii="Times New Roman" w:hAnsi="Times New Roman"/>
          <w:i/>
          <w:sz w:val="24"/>
          <w:szCs w:val="24"/>
        </w:rPr>
        <w:t>brevis) suspension</w:t>
      </w:r>
      <w:r w:rsidRPr="00BB4C73">
        <w:rPr>
          <w:rFonts w:ascii="Times New Roman" w:hAnsi="Times New Roman"/>
          <w:i/>
          <w:sz w:val="24"/>
          <w:szCs w:val="24"/>
        </w:rPr>
        <w:t xml:space="preserve"> densit</w:t>
      </w:r>
      <w:r w:rsidR="00041148" w:rsidRPr="00BB4C73">
        <w:rPr>
          <w:rFonts w:ascii="Times New Roman" w:hAnsi="Times New Roman"/>
          <w:i/>
          <w:sz w:val="24"/>
          <w:szCs w:val="24"/>
        </w:rPr>
        <w:t>y</w:t>
      </w:r>
      <w:r w:rsidRPr="00BB4C73">
        <w:rPr>
          <w:rFonts w:ascii="Times New Roman" w:hAnsi="Times New Roman"/>
          <w:i/>
          <w:sz w:val="24"/>
          <w:szCs w:val="24"/>
        </w:rPr>
        <w:t xml:space="preserve"> and cementation reagent concentration</w:t>
      </w:r>
      <w:r w:rsidR="00F12EF2" w:rsidRPr="00BB4C73">
        <w:rPr>
          <w:rFonts w:ascii="Times New Roman" w:hAnsi="Times New Roman"/>
          <w:i/>
          <w:sz w:val="24"/>
          <w:szCs w:val="24"/>
        </w:rPr>
        <w:t xml:space="preserve"> using three mode of treatment (i.e. mixing, injection and spraying method)</w:t>
      </w:r>
      <w:r w:rsidRPr="00BB4C73">
        <w:rPr>
          <w:rFonts w:ascii="Times New Roman" w:hAnsi="Times New Roman"/>
          <w:i/>
          <w:sz w:val="24"/>
          <w:szCs w:val="24"/>
        </w:rPr>
        <w:t xml:space="preserve">. The B. brevis suspension densities and cementation reagents used to trigger the MICP process are 0, 0.5, 2.0, 4.0, 6.0 and 8.0 McFarland </w:t>
      </w:r>
      <w:r w:rsidR="00041148" w:rsidRPr="00BB4C73">
        <w:rPr>
          <w:rFonts w:ascii="Times New Roman" w:hAnsi="Times New Roman"/>
          <w:i/>
          <w:sz w:val="24"/>
          <w:szCs w:val="24"/>
        </w:rPr>
        <w:t>S</w:t>
      </w:r>
      <w:r w:rsidRPr="00BB4C73">
        <w:rPr>
          <w:rFonts w:ascii="Times New Roman" w:hAnsi="Times New Roman"/>
          <w:i/>
          <w:sz w:val="24"/>
          <w:szCs w:val="24"/>
        </w:rPr>
        <w:t>tandards (i.e., 0, 1.50 × 10</w:t>
      </w:r>
      <w:r w:rsidRPr="00BB4C73">
        <w:rPr>
          <w:rFonts w:ascii="Times New Roman" w:hAnsi="Times New Roman"/>
          <w:i/>
          <w:sz w:val="24"/>
          <w:szCs w:val="24"/>
          <w:vertAlign w:val="superscript"/>
        </w:rPr>
        <w:t>8</w:t>
      </w:r>
      <w:r w:rsidRPr="00BB4C73">
        <w:rPr>
          <w:rFonts w:ascii="Times New Roman" w:hAnsi="Times New Roman"/>
          <w:i/>
          <w:sz w:val="24"/>
          <w:szCs w:val="24"/>
        </w:rPr>
        <w:t>, 6.0 × 10</w:t>
      </w:r>
      <w:r w:rsidRPr="00BB4C73">
        <w:rPr>
          <w:rFonts w:ascii="Times New Roman" w:hAnsi="Times New Roman"/>
          <w:i/>
          <w:sz w:val="24"/>
          <w:szCs w:val="24"/>
          <w:vertAlign w:val="superscript"/>
        </w:rPr>
        <w:t>8</w:t>
      </w:r>
      <w:r w:rsidRPr="00BB4C73">
        <w:rPr>
          <w:rFonts w:ascii="Times New Roman" w:hAnsi="Times New Roman"/>
          <w:i/>
          <w:sz w:val="24"/>
          <w:szCs w:val="24"/>
        </w:rPr>
        <w:t>, 1.20 × 10</w:t>
      </w:r>
      <w:r w:rsidRPr="00BB4C73">
        <w:rPr>
          <w:rFonts w:ascii="Times New Roman" w:hAnsi="Times New Roman"/>
          <w:i/>
          <w:sz w:val="24"/>
          <w:szCs w:val="24"/>
          <w:vertAlign w:val="superscript"/>
        </w:rPr>
        <w:t>9</w:t>
      </w:r>
      <w:r w:rsidRPr="00BB4C73">
        <w:rPr>
          <w:rFonts w:ascii="Times New Roman" w:hAnsi="Times New Roman"/>
          <w:i/>
          <w:sz w:val="24"/>
          <w:szCs w:val="24"/>
        </w:rPr>
        <w:t>, 1.80 × 10</w:t>
      </w:r>
      <w:r w:rsidRPr="00BB4C73">
        <w:rPr>
          <w:rFonts w:ascii="Times New Roman" w:hAnsi="Times New Roman"/>
          <w:i/>
          <w:sz w:val="24"/>
          <w:szCs w:val="24"/>
          <w:vertAlign w:val="superscript"/>
        </w:rPr>
        <w:t>9</w:t>
      </w:r>
      <w:r w:rsidRPr="00BB4C73">
        <w:rPr>
          <w:rFonts w:ascii="Times New Roman" w:hAnsi="Times New Roman"/>
          <w:i/>
          <w:sz w:val="24"/>
          <w:szCs w:val="24"/>
        </w:rPr>
        <w:t xml:space="preserve"> and 2.40 × 10</w:t>
      </w:r>
      <w:r w:rsidRPr="00BB4C73">
        <w:rPr>
          <w:rFonts w:ascii="Times New Roman" w:hAnsi="Times New Roman"/>
          <w:i/>
          <w:sz w:val="24"/>
          <w:szCs w:val="24"/>
          <w:vertAlign w:val="superscript"/>
        </w:rPr>
        <w:t>9</w:t>
      </w:r>
      <w:r w:rsidRPr="00BB4C73">
        <w:rPr>
          <w:rFonts w:ascii="Times New Roman" w:hAnsi="Times New Roman"/>
          <w:i/>
          <w:sz w:val="24"/>
          <w:szCs w:val="24"/>
        </w:rPr>
        <w:t xml:space="preserve"> cells/ml and 0.25, 0.5, 0.75 and 1.0 M,</w:t>
      </w:r>
      <w:r w:rsidR="00041148" w:rsidRPr="00BB4C73">
        <w:rPr>
          <w:rFonts w:ascii="Times New Roman" w:hAnsi="Times New Roman"/>
          <w:i/>
          <w:sz w:val="24"/>
          <w:szCs w:val="24"/>
        </w:rPr>
        <w:t xml:space="preserve"> respectively.</w:t>
      </w:r>
      <w:r w:rsidRPr="00BB4C73">
        <w:rPr>
          <w:rFonts w:ascii="Times New Roman" w:hAnsi="Times New Roman"/>
          <w:i/>
          <w:sz w:val="24"/>
          <w:szCs w:val="24"/>
        </w:rPr>
        <w:t xml:space="preserve">  </w:t>
      </w:r>
      <w:r w:rsidR="00012B83" w:rsidRPr="00BB4C73">
        <w:rPr>
          <w:rFonts w:ascii="Times New Roman" w:hAnsi="Times New Roman"/>
          <w:i/>
          <w:sz w:val="24"/>
          <w:szCs w:val="24"/>
        </w:rPr>
        <w:t>The liquid</w:t>
      </w:r>
      <w:r w:rsidRPr="00BB4C73">
        <w:rPr>
          <w:rFonts w:ascii="Times New Roman" w:hAnsi="Times New Roman"/>
          <w:i/>
          <w:sz w:val="24"/>
          <w:szCs w:val="24"/>
        </w:rPr>
        <w:t xml:space="preserve"> limit value used to </w:t>
      </w:r>
      <w:r w:rsidR="00012B83" w:rsidRPr="00BB4C73">
        <w:rPr>
          <w:rFonts w:ascii="Times New Roman" w:hAnsi="Times New Roman"/>
          <w:i/>
          <w:sz w:val="24"/>
          <w:szCs w:val="24"/>
        </w:rPr>
        <w:t>prepare</w:t>
      </w:r>
      <w:r w:rsidRPr="00BB4C73">
        <w:rPr>
          <w:rFonts w:ascii="Times New Roman" w:hAnsi="Times New Roman"/>
          <w:i/>
          <w:sz w:val="24"/>
          <w:szCs w:val="24"/>
        </w:rPr>
        <w:t xml:space="preserve"> the samples with three mix proportions of the bacteria and cementation reagent (viz: 25% bacteria</w:t>
      </w:r>
      <w:r w:rsidR="00012B83" w:rsidRPr="00BB4C73">
        <w:rPr>
          <w:rFonts w:ascii="Times New Roman" w:hAnsi="Times New Roman"/>
          <w:i/>
          <w:sz w:val="24"/>
          <w:szCs w:val="24"/>
        </w:rPr>
        <w:t>-</w:t>
      </w:r>
      <w:r w:rsidRPr="00BB4C73">
        <w:rPr>
          <w:rFonts w:ascii="Times New Roman" w:hAnsi="Times New Roman"/>
          <w:i/>
          <w:sz w:val="24"/>
          <w:szCs w:val="24"/>
        </w:rPr>
        <w:t>75% cementation reagent, 50% bacteria</w:t>
      </w:r>
      <w:r w:rsidR="00012B83" w:rsidRPr="00BB4C73">
        <w:rPr>
          <w:rFonts w:ascii="Times New Roman" w:hAnsi="Times New Roman"/>
          <w:i/>
          <w:sz w:val="24"/>
          <w:szCs w:val="24"/>
        </w:rPr>
        <w:t>-</w:t>
      </w:r>
      <w:r w:rsidRPr="00BB4C73">
        <w:rPr>
          <w:rFonts w:ascii="Times New Roman" w:hAnsi="Times New Roman"/>
          <w:i/>
          <w:sz w:val="24"/>
          <w:szCs w:val="24"/>
        </w:rPr>
        <w:t>50% cementation reagent and 75% bacteria</w:t>
      </w:r>
      <w:r w:rsidR="00012B83" w:rsidRPr="00BB4C73">
        <w:rPr>
          <w:rFonts w:ascii="Times New Roman" w:hAnsi="Times New Roman"/>
          <w:i/>
          <w:sz w:val="24"/>
          <w:szCs w:val="24"/>
        </w:rPr>
        <w:t>-</w:t>
      </w:r>
      <w:r w:rsidRPr="00BB4C73">
        <w:rPr>
          <w:rFonts w:ascii="Times New Roman" w:hAnsi="Times New Roman"/>
          <w:i/>
          <w:sz w:val="24"/>
          <w:szCs w:val="24"/>
        </w:rPr>
        <w:t>25% cementation reagent) is the one obtained from natural lateritic soil</w:t>
      </w:r>
      <w:r w:rsidR="00F12EF2" w:rsidRPr="00BB4C73">
        <w:rPr>
          <w:rFonts w:ascii="Times New Roman" w:hAnsi="Times New Roman"/>
          <w:i/>
          <w:sz w:val="24"/>
          <w:szCs w:val="24"/>
        </w:rPr>
        <w:t xml:space="preserve"> for all the three modes outlined</w:t>
      </w:r>
      <w:r w:rsidRPr="00BB4C73">
        <w:rPr>
          <w:rFonts w:ascii="Times New Roman" w:hAnsi="Times New Roman"/>
          <w:i/>
          <w:sz w:val="24"/>
          <w:szCs w:val="24"/>
        </w:rPr>
        <w:t xml:space="preserve">. </w:t>
      </w:r>
      <w:r w:rsidR="00012B83" w:rsidRPr="00BB4C73">
        <w:rPr>
          <w:rFonts w:ascii="Times New Roman" w:hAnsi="Times New Roman"/>
          <w:i/>
          <w:sz w:val="24"/>
          <w:szCs w:val="24"/>
        </w:rPr>
        <w:t>The B.</w:t>
      </w:r>
      <w:r w:rsidRPr="00BB4C73">
        <w:rPr>
          <w:rFonts w:ascii="Times New Roman" w:hAnsi="Times New Roman"/>
          <w:i/>
          <w:sz w:val="24"/>
          <w:szCs w:val="24"/>
        </w:rPr>
        <w:t xml:space="preserve"> brevis suspension densities used to trigger the MICP process are 0, 0.5, 2.0, 4.0, 6.0 and 8.0 based on McFarland standards (i.e., 0, 1.50 × 10</w:t>
      </w:r>
      <w:r w:rsidRPr="00BB4C73">
        <w:rPr>
          <w:rFonts w:ascii="Times New Roman" w:hAnsi="Times New Roman"/>
          <w:i/>
          <w:sz w:val="24"/>
          <w:szCs w:val="24"/>
          <w:vertAlign w:val="superscript"/>
        </w:rPr>
        <w:t>8</w:t>
      </w:r>
      <w:r w:rsidRPr="00BB4C73">
        <w:rPr>
          <w:rFonts w:ascii="Times New Roman" w:hAnsi="Times New Roman"/>
          <w:i/>
          <w:sz w:val="24"/>
          <w:szCs w:val="24"/>
        </w:rPr>
        <w:t>, 6.0 × 10</w:t>
      </w:r>
      <w:r w:rsidRPr="00BB4C73">
        <w:rPr>
          <w:rFonts w:ascii="Times New Roman" w:hAnsi="Times New Roman"/>
          <w:i/>
          <w:sz w:val="24"/>
          <w:szCs w:val="24"/>
          <w:vertAlign w:val="superscript"/>
        </w:rPr>
        <w:t>8</w:t>
      </w:r>
      <w:r w:rsidRPr="00BB4C73">
        <w:rPr>
          <w:rFonts w:ascii="Times New Roman" w:hAnsi="Times New Roman"/>
          <w:i/>
          <w:sz w:val="24"/>
          <w:szCs w:val="24"/>
        </w:rPr>
        <w:t>, 1.20 × 10</w:t>
      </w:r>
      <w:r w:rsidRPr="00BB4C73">
        <w:rPr>
          <w:rFonts w:ascii="Times New Roman" w:hAnsi="Times New Roman"/>
          <w:i/>
          <w:sz w:val="24"/>
          <w:szCs w:val="24"/>
          <w:vertAlign w:val="superscript"/>
        </w:rPr>
        <w:t>9</w:t>
      </w:r>
      <w:r w:rsidRPr="00BB4C73">
        <w:rPr>
          <w:rFonts w:ascii="Times New Roman" w:hAnsi="Times New Roman"/>
          <w:i/>
          <w:sz w:val="24"/>
          <w:szCs w:val="24"/>
        </w:rPr>
        <w:t>, 1.80 × 10</w:t>
      </w:r>
      <w:r w:rsidRPr="00BB4C73">
        <w:rPr>
          <w:rFonts w:ascii="Times New Roman" w:hAnsi="Times New Roman"/>
          <w:i/>
          <w:sz w:val="24"/>
          <w:szCs w:val="24"/>
          <w:vertAlign w:val="superscript"/>
        </w:rPr>
        <w:t>9</w:t>
      </w:r>
      <w:r w:rsidRPr="00BB4C73">
        <w:rPr>
          <w:rFonts w:ascii="Times New Roman" w:hAnsi="Times New Roman"/>
          <w:i/>
          <w:sz w:val="24"/>
          <w:szCs w:val="24"/>
        </w:rPr>
        <w:t xml:space="preserve"> and 2.40 × 10</w:t>
      </w:r>
      <w:r w:rsidRPr="00BB4C73">
        <w:rPr>
          <w:rFonts w:ascii="Times New Roman" w:hAnsi="Times New Roman"/>
          <w:i/>
          <w:sz w:val="24"/>
          <w:szCs w:val="24"/>
          <w:vertAlign w:val="superscript"/>
        </w:rPr>
        <w:t>9</w:t>
      </w:r>
      <w:r w:rsidRPr="00BB4C73">
        <w:rPr>
          <w:rFonts w:ascii="Times New Roman" w:hAnsi="Times New Roman"/>
          <w:i/>
          <w:sz w:val="24"/>
          <w:szCs w:val="24"/>
        </w:rPr>
        <w:t xml:space="preserve"> cells/ml, </w:t>
      </w:r>
      <w:r w:rsidR="00365073" w:rsidRPr="00BB4C73">
        <w:rPr>
          <w:rFonts w:ascii="Times New Roman" w:hAnsi="Times New Roman"/>
          <w:i/>
          <w:sz w:val="24"/>
          <w:szCs w:val="24"/>
        </w:rPr>
        <w:t>respective</w:t>
      </w:r>
      <w:r w:rsidRPr="00BB4C73">
        <w:rPr>
          <w:rFonts w:ascii="Times New Roman" w:hAnsi="Times New Roman"/>
          <w:i/>
          <w:sz w:val="24"/>
          <w:szCs w:val="24"/>
        </w:rPr>
        <w:t>ly). Atterberg limits</w:t>
      </w:r>
      <w:r w:rsidR="00B36055" w:rsidRPr="00BB4C73">
        <w:rPr>
          <w:rFonts w:ascii="Times New Roman" w:hAnsi="Times New Roman"/>
          <w:i/>
          <w:sz w:val="24"/>
          <w:szCs w:val="24"/>
        </w:rPr>
        <w:t xml:space="preserve"> </w:t>
      </w:r>
      <w:r w:rsidRPr="00BB4C73">
        <w:rPr>
          <w:rFonts w:ascii="Times New Roman" w:hAnsi="Times New Roman"/>
          <w:i/>
          <w:sz w:val="24"/>
          <w:szCs w:val="24"/>
        </w:rPr>
        <w:t>and calcite content using the acid wash method tests were conducted on the treated s</w:t>
      </w:r>
      <w:r w:rsidR="00365073" w:rsidRPr="00BB4C73">
        <w:rPr>
          <w:rFonts w:ascii="Times New Roman" w:hAnsi="Times New Roman"/>
          <w:i/>
          <w:sz w:val="24"/>
          <w:szCs w:val="24"/>
        </w:rPr>
        <w:t>pecimens</w:t>
      </w:r>
      <w:r w:rsidR="00584BD7" w:rsidRPr="00BB4C73">
        <w:rPr>
          <w:rFonts w:ascii="Times New Roman" w:hAnsi="Times New Roman"/>
          <w:i/>
          <w:sz w:val="24"/>
          <w:szCs w:val="24"/>
        </w:rPr>
        <w:t xml:space="preserve"> for all the three treatment modes</w:t>
      </w:r>
      <w:r w:rsidRPr="00BB4C73">
        <w:rPr>
          <w:rFonts w:ascii="Times New Roman" w:hAnsi="Times New Roman"/>
          <w:i/>
          <w:sz w:val="24"/>
          <w:szCs w:val="24"/>
        </w:rPr>
        <w:t xml:space="preserve">. Results obtained </w:t>
      </w:r>
      <w:r w:rsidR="00365073" w:rsidRPr="00BB4C73">
        <w:rPr>
          <w:rFonts w:ascii="Times New Roman" w:hAnsi="Times New Roman"/>
          <w:i/>
          <w:sz w:val="24"/>
          <w:szCs w:val="24"/>
        </w:rPr>
        <w:t>show</w:t>
      </w:r>
      <w:r w:rsidRPr="00BB4C73">
        <w:rPr>
          <w:rFonts w:ascii="Times New Roman" w:hAnsi="Times New Roman"/>
          <w:i/>
          <w:sz w:val="24"/>
          <w:szCs w:val="24"/>
        </w:rPr>
        <w:t xml:space="preserve"> a general dec</w:t>
      </w:r>
      <w:r w:rsidR="00365073" w:rsidRPr="00BB4C73">
        <w:rPr>
          <w:rFonts w:ascii="Times New Roman" w:hAnsi="Times New Roman"/>
          <w:i/>
          <w:sz w:val="24"/>
          <w:szCs w:val="24"/>
        </w:rPr>
        <w:t>rease</w:t>
      </w:r>
      <w:r w:rsidRPr="00BB4C73">
        <w:rPr>
          <w:rFonts w:ascii="Times New Roman" w:hAnsi="Times New Roman"/>
          <w:i/>
          <w:sz w:val="24"/>
          <w:szCs w:val="24"/>
        </w:rPr>
        <w:t xml:space="preserve"> in the Atterberg limit</w:t>
      </w:r>
      <w:r w:rsidR="00365073" w:rsidRPr="00BB4C73">
        <w:rPr>
          <w:rFonts w:ascii="Times New Roman" w:hAnsi="Times New Roman"/>
          <w:i/>
          <w:sz w:val="24"/>
          <w:szCs w:val="24"/>
        </w:rPr>
        <w:t>s</w:t>
      </w:r>
      <w:r w:rsidRPr="00BB4C73">
        <w:rPr>
          <w:rFonts w:ascii="Times New Roman" w:hAnsi="Times New Roman"/>
          <w:i/>
          <w:sz w:val="24"/>
          <w:szCs w:val="24"/>
        </w:rPr>
        <w:t xml:space="preserve"> with higher B. brevis suspension density and cementation reagent concentration</w:t>
      </w:r>
      <w:r w:rsidR="005D2D2B" w:rsidRPr="00BB4C73">
        <w:rPr>
          <w:rFonts w:ascii="Times New Roman" w:hAnsi="Times New Roman"/>
          <w:i/>
          <w:sz w:val="24"/>
          <w:szCs w:val="24"/>
        </w:rPr>
        <w:t xml:space="preserve"> for mixing, injection and spraying method</w:t>
      </w:r>
      <w:r w:rsidR="00B36055" w:rsidRPr="00BB4C73">
        <w:rPr>
          <w:rFonts w:ascii="Times New Roman" w:hAnsi="Times New Roman"/>
          <w:i/>
          <w:sz w:val="24"/>
          <w:szCs w:val="24"/>
        </w:rPr>
        <w:t xml:space="preserve"> respectively</w:t>
      </w:r>
      <w:r w:rsidRPr="00BB4C73">
        <w:rPr>
          <w:rFonts w:ascii="Times New Roman" w:hAnsi="Times New Roman"/>
          <w:i/>
          <w:sz w:val="24"/>
          <w:szCs w:val="24"/>
        </w:rPr>
        <w:t xml:space="preserve">. The best enhancement of plasticity index was obtained for lateritic soil sample </w:t>
      </w:r>
      <w:r w:rsidR="00365073" w:rsidRPr="00BB4C73">
        <w:rPr>
          <w:rFonts w:ascii="Times New Roman" w:hAnsi="Times New Roman"/>
          <w:i/>
          <w:sz w:val="24"/>
          <w:szCs w:val="24"/>
        </w:rPr>
        <w:t>treat</w:t>
      </w:r>
      <w:r w:rsidRPr="00BB4C73">
        <w:rPr>
          <w:rFonts w:ascii="Times New Roman" w:hAnsi="Times New Roman"/>
          <w:i/>
          <w:sz w:val="24"/>
          <w:szCs w:val="24"/>
        </w:rPr>
        <w:t xml:space="preserve">ed with </w:t>
      </w:r>
      <w:r w:rsidR="006810E5" w:rsidRPr="00BB4C73">
        <w:rPr>
          <w:rFonts w:ascii="Times New Roman" w:hAnsi="Times New Roman"/>
          <w:i/>
          <w:sz w:val="24"/>
          <w:szCs w:val="24"/>
        </w:rPr>
        <w:t>a</w:t>
      </w:r>
      <w:r w:rsidRPr="00BB4C73">
        <w:rPr>
          <w:rFonts w:ascii="Times New Roman" w:hAnsi="Times New Roman"/>
          <w:i/>
          <w:sz w:val="24"/>
          <w:szCs w:val="24"/>
        </w:rPr>
        <w:t xml:space="preserve"> </w:t>
      </w:r>
      <w:r w:rsidR="006810E5" w:rsidRPr="00BB4C73">
        <w:rPr>
          <w:rFonts w:ascii="Times New Roman" w:hAnsi="Times New Roman"/>
          <w:i/>
          <w:sz w:val="24"/>
          <w:szCs w:val="24"/>
        </w:rPr>
        <w:t xml:space="preserve">mix ratio of </w:t>
      </w:r>
      <w:r w:rsidRPr="00BB4C73">
        <w:rPr>
          <w:rFonts w:ascii="Times New Roman" w:hAnsi="Times New Roman"/>
          <w:i/>
          <w:sz w:val="24"/>
          <w:szCs w:val="24"/>
        </w:rPr>
        <w:t>75</w:t>
      </w:r>
      <w:r w:rsidR="00365073" w:rsidRPr="00BB4C73">
        <w:rPr>
          <w:rFonts w:ascii="Times New Roman" w:hAnsi="Times New Roman"/>
          <w:i/>
          <w:sz w:val="24"/>
          <w:szCs w:val="24"/>
        </w:rPr>
        <w:t xml:space="preserve"> </w:t>
      </w:r>
      <w:r w:rsidRPr="00BB4C73">
        <w:rPr>
          <w:rFonts w:ascii="Times New Roman" w:hAnsi="Times New Roman"/>
          <w:i/>
          <w:sz w:val="24"/>
          <w:szCs w:val="24"/>
        </w:rPr>
        <w:t xml:space="preserve">% B. </w:t>
      </w:r>
      <w:r w:rsidR="00041148" w:rsidRPr="00BB4C73">
        <w:rPr>
          <w:rFonts w:ascii="Times New Roman" w:hAnsi="Times New Roman"/>
          <w:i/>
          <w:sz w:val="24"/>
          <w:szCs w:val="24"/>
        </w:rPr>
        <w:t>b</w:t>
      </w:r>
      <w:r w:rsidRPr="00BB4C73">
        <w:rPr>
          <w:rFonts w:ascii="Times New Roman" w:hAnsi="Times New Roman"/>
          <w:i/>
          <w:sz w:val="24"/>
          <w:szCs w:val="24"/>
        </w:rPr>
        <w:t>revis (2.40 × 10</w:t>
      </w:r>
      <w:r w:rsidRPr="00BB4C73">
        <w:rPr>
          <w:rFonts w:ascii="Times New Roman" w:hAnsi="Times New Roman"/>
          <w:i/>
          <w:sz w:val="24"/>
          <w:szCs w:val="24"/>
          <w:vertAlign w:val="superscript"/>
        </w:rPr>
        <w:t>9</w:t>
      </w:r>
      <w:r w:rsidRPr="00BB4C73">
        <w:rPr>
          <w:rFonts w:ascii="Times New Roman" w:hAnsi="Times New Roman"/>
          <w:i/>
          <w:sz w:val="24"/>
          <w:szCs w:val="24"/>
        </w:rPr>
        <w:t xml:space="preserve"> cells/ml</w:t>
      </w:r>
      <w:r w:rsidR="001316A2" w:rsidRPr="00BB4C73">
        <w:rPr>
          <w:rFonts w:ascii="Times New Roman" w:hAnsi="Times New Roman"/>
          <w:i/>
          <w:sz w:val="24"/>
          <w:szCs w:val="24"/>
        </w:rPr>
        <w:t xml:space="preserve"> for mixing an injection as well as 1.8 × 10</w:t>
      </w:r>
      <w:r w:rsidR="001316A2" w:rsidRPr="00BB4C73">
        <w:rPr>
          <w:rFonts w:ascii="Times New Roman" w:hAnsi="Times New Roman"/>
          <w:i/>
          <w:sz w:val="24"/>
          <w:szCs w:val="24"/>
          <w:vertAlign w:val="superscript"/>
        </w:rPr>
        <w:t>9</w:t>
      </w:r>
      <w:r w:rsidR="001316A2" w:rsidRPr="00BB4C73">
        <w:rPr>
          <w:rFonts w:ascii="Times New Roman" w:hAnsi="Times New Roman"/>
          <w:i/>
          <w:sz w:val="24"/>
          <w:szCs w:val="24"/>
        </w:rPr>
        <w:t xml:space="preserve"> cells/ml for spraying method of treatment </w:t>
      </w:r>
      <w:r w:rsidRPr="00BB4C73">
        <w:rPr>
          <w:rFonts w:ascii="Times New Roman" w:hAnsi="Times New Roman"/>
          <w:i/>
          <w:sz w:val="24"/>
          <w:szCs w:val="24"/>
        </w:rPr>
        <w:t>)</w:t>
      </w:r>
      <w:r w:rsidR="00365073" w:rsidRPr="00BB4C73">
        <w:rPr>
          <w:rFonts w:ascii="Times New Roman" w:hAnsi="Times New Roman"/>
          <w:i/>
          <w:sz w:val="24"/>
          <w:szCs w:val="24"/>
        </w:rPr>
        <w:t>:</w:t>
      </w:r>
      <w:r w:rsidRPr="00BB4C73">
        <w:rPr>
          <w:rFonts w:ascii="Times New Roman" w:hAnsi="Times New Roman"/>
          <w:i/>
          <w:sz w:val="24"/>
          <w:szCs w:val="24"/>
        </w:rPr>
        <w:t xml:space="preserve"> 25</w:t>
      </w:r>
      <w:r w:rsidR="00365073" w:rsidRPr="00BB4C73">
        <w:rPr>
          <w:rFonts w:ascii="Times New Roman" w:hAnsi="Times New Roman"/>
          <w:i/>
          <w:sz w:val="24"/>
          <w:szCs w:val="24"/>
        </w:rPr>
        <w:t xml:space="preserve"> </w:t>
      </w:r>
      <w:r w:rsidRPr="00BB4C73">
        <w:rPr>
          <w:rFonts w:ascii="Times New Roman" w:hAnsi="Times New Roman"/>
          <w:i/>
          <w:sz w:val="24"/>
          <w:szCs w:val="24"/>
        </w:rPr>
        <w:t>% cementation reagent (</w:t>
      </w:r>
      <w:r w:rsidR="001316A2" w:rsidRPr="00BB4C73">
        <w:rPr>
          <w:rFonts w:ascii="Times New Roman" w:hAnsi="Times New Roman"/>
          <w:i/>
          <w:sz w:val="24"/>
          <w:szCs w:val="24"/>
        </w:rPr>
        <w:t xml:space="preserve">0.50M, </w:t>
      </w:r>
      <w:r w:rsidRPr="00BB4C73">
        <w:rPr>
          <w:rFonts w:ascii="Times New Roman" w:hAnsi="Times New Roman"/>
          <w:i/>
          <w:sz w:val="24"/>
          <w:szCs w:val="24"/>
        </w:rPr>
        <w:t>0.</w:t>
      </w:r>
      <w:r w:rsidR="001316A2" w:rsidRPr="00BB4C73">
        <w:rPr>
          <w:rFonts w:ascii="Times New Roman" w:hAnsi="Times New Roman"/>
          <w:i/>
          <w:sz w:val="24"/>
          <w:szCs w:val="24"/>
        </w:rPr>
        <w:t>2</w:t>
      </w:r>
      <w:r w:rsidRPr="00BB4C73">
        <w:rPr>
          <w:rFonts w:ascii="Times New Roman" w:hAnsi="Times New Roman"/>
          <w:i/>
          <w:sz w:val="24"/>
          <w:szCs w:val="24"/>
        </w:rPr>
        <w:t>5 M</w:t>
      </w:r>
      <w:r w:rsidR="001316A2" w:rsidRPr="00BB4C73">
        <w:rPr>
          <w:rFonts w:ascii="Times New Roman" w:hAnsi="Times New Roman"/>
          <w:i/>
          <w:sz w:val="24"/>
          <w:szCs w:val="24"/>
        </w:rPr>
        <w:t xml:space="preserve"> and 0.75M for mixing, injection and spraying mode</w:t>
      </w:r>
      <w:r w:rsidRPr="00BB4C73">
        <w:rPr>
          <w:rFonts w:ascii="Times New Roman" w:hAnsi="Times New Roman"/>
          <w:i/>
          <w:sz w:val="24"/>
          <w:szCs w:val="24"/>
        </w:rPr>
        <w:t>) with a corresponding peak calcite content</w:t>
      </w:r>
      <w:r w:rsidR="001316A2" w:rsidRPr="00BB4C73">
        <w:rPr>
          <w:rFonts w:ascii="Times New Roman" w:hAnsi="Times New Roman"/>
          <w:i/>
          <w:sz w:val="24"/>
          <w:szCs w:val="24"/>
        </w:rPr>
        <w:t xml:space="preserve"> </w:t>
      </w:r>
      <w:r w:rsidR="00C929C7" w:rsidRPr="00BB4C73">
        <w:rPr>
          <w:rFonts w:ascii="Times New Roman" w:hAnsi="Times New Roman"/>
          <w:i/>
          <w:sz w:val="24"/>
          <w:szCs w:val="24"/>
        </w:rPr>
        <w:t xml:space="preserve"> of 12.0 (2.40 × 10</w:t>
      </w:r>
      <w:r w:rsidR="00C929C7" w:rsidRPr="00BB4C73">
        <w:rPr>
          <w:rFonts w:ascii="Times New Roman" w:hAnsi="Times New Roman"/>
          <w:i/>
          <w:sz w:val="24"/>
          <w:szCs w:val="24"/>
          <w:vertAlign w:val="superscript"/>
        </w:rPr>
        <w:t>9</w:t>
      </w:r>
      <w:r w:rsidR="00C929C7" w:rsidRPr="00BB4C73">
        <w:rPr>
          <w:rFonts w:ascii="Times New Roman" w:hAnsi="Times New Roman"/>
          <w:i/>
          <w:sz w:val="24"/>
          <w:szCs w:val="24"/>
        </w:rPr>
        <w:t xml:space="preserve"> cells/ml and 1.0M), 5.38 (2.40 × 10</w:t>
      </w:r>
      <w:r w:rsidR="00C929C7" w:rsidRPr="00BB4C73">
        <w:rPr>
          <w:rFonts w:ascii="Times New Roman" w:hAnsi="Times New Roman"/>
          <w:i/>
          <w:sz w:val="24"/>
          <w:szCs w:val="24"/>
          <w:vertAlign w:val="superscript"/>
        </w:rPr>
        <w:t>9</w:t>
      </w:r>
      <w:r w:rsidR="00C929C7" w:rsidRPr="00BB4C73">
        <w:rPr>
          <w:rFonts w:ascii="Times New Roman" w:hAnsi="Times New Roman"/>
          <w:i/>
          <w:sz w:val="24"/>
          <w:szCs w:val="24"/>
        </w:rPr>
        <w:t xml:space="preserve"> cells/ml and 1.0M) and 3.50% (1.8 × 10</w:t>
      </w:r>
      <w:r w:rsidR="00C929C7" w:rsidRPr="00BB4C73">
        <w:rPr>
          <w:rFonts w:ascii="Times New Roman" w:hAnsi="Times New Roman"/>
          <w:i/>
          <w:sz w:val="24"/>
          <w:szCs w:val="24"/>
          <w:vertAlign w:val="superscript"/>
        </w:rPr>
        <w:t>9</w:t>
      </w:r>
      <w:r w:rsidR="00C929C7" w:rsidRPr="00BB4C73">
        <w:rPr>
          <w:rFonts w:ascii="Times New Roman" w:hAnsi="Times New Roman"/>
          <w:i/>
          <w:sz w:val="24"/>
          <w:szCs w:val="24"/>
        </w:rPr>
        <w:t xml:space="preserve"> cells/ml and 1.0M) </w:t>
      </w:r>
      <w:r w:rsidR="001316A2" w:rsidRPr="00BB4C73">
        <w:rPr>
          <w:rFonts w:ascii="Times New Roman" w:hAnsi="Times New Roman"/>
          <w:i/>
          <w:sz w:val="24"/>
          <w:szCs w:val="24"/>
        </w:rPr>
        <w:t xml:space="preserve">for </w:t>
      </w:r>
      <w:r w:rsidR="00C929C7" w:rsidRPr="00BB4C73">
        <w:rPr>
          <w:rFonts w:ascii="Times New Roman" w:hAnsi="Times New Roman"/>
          <w:i/>
          <w:sz w:val="24"/>
          <w:szCs w:val="24"/>
        </w:rPr>
        <w:t>mixing, injection and spraying treatment mode respectively.</w:t>
      </w:r>
    </w:p>
    <w:p w:rsidR="00F31098" w:rsidRPr="00BB4C73" w:rsidRDefault="00E75D82" w:rsidP="00076A1E">
      <w:pPr>
        <w:tabs>
          <w:tab w:val="left" w:pos="3165"/>
        </w:tabs>
        <w:spacing w:after="0" w:line="240" w:lineRule="auto"/>
        <w:rPr>
          <w:rFonts w:ascii="Times New Roman" w:hAnsi="Times New Roman"/>
          <w:i/>
          <w:sz w:val="24"/>
          <w:szCs w:val="24"/>
        </w:rPr>
      </w:pPr>
      <w:r w:rsidRPr="00BB4C73">
        <w:rPr>
          <w:rFonts w:ascii="Times New Roman" w:hAnsi="Times New Roman"/>
          <w:i/>
          <w:sz w:val="24"/>
          <w:szCs w:val="24"/>
        </w:rPr>
        <w:tab/>
      </w:r>
    </w:p>
    <w:p w:rsidR="00A530BA" w:rsidRPr="00BB4C73" w:rsidRDefault="00F31098" w:rsidP="00076A1E">
      <w:pPr>
        <w:spacing w:after="0" w:line="240" w:lineRule="auto"/>
        <w:rPr>
          <w:rFonts w:ascii="Times New Roman" w:hAnsi="Times New Roman"/>
          <w:i/>
          <w:sz w:val="24"/>
          <w:szCs w:val="24"/>
        </w:rPr>
      </w:pPr>
      <w:r w:rsidRPr="00BB4C73">
        <w:rPr>
          <w:rFonts w:ascii="Times New Roman" w:hAnsi="Times New Roman"/>
          <w:b/>
          <w:bCs/>
          <w:i/>
          <w:sz w:val="24"/>
          <w:szCs w:val="24"/>
        </w:rPr>
        <w:t>Keywords</w:t>
      </w:r>
      <w:r w:rsidRPr="00BB4C73">
        <w:rPr>
          <w:rFonts w:ascii="Times New Roman" w:hAnsi="Times New Roman"/>
          <w:i/>
          <w:sz w:val="24"/>
          <w:szCs w:val="24"/>
        </w:rPr>
        <w:t>:  Atterberg limits</w:t>
      </w:r>
      <w:r w:rsidR="00041148" w:rsidRPr="00BB4C73">
        <w:rPr>
          <w:rFonts w:ascii="Times New Roman" w:hAnsi="Times New Roman"/>
          <w:i/>
          <w:sz w:val="24"/>
          <w:szCs w:val="24"/>
        </w:rPr>
        <w:t>,</w:t>
      </w:r>
      <w:r w:rsidRPr="00BB4C73">
        <w:rPr>
          <w:rFonts w:ascii="Times New Roman" w:hAnsi="Times New Roman"/>
          <w:i/>
          <w:sz w:val="24"/>
          <w:szCs w:val="24"/>
        </w:rPr>
        <w:t> </w:t>
      </w:r>
      <w:r w:rsidR="00041148" w:rsidRPr="00BB4C73">
        <w:rPr>
          <w:rFonts w:ascii="Times New Roman" w:hAnsi="Times New Roman"/>
          <w:i/>
          <w:sz w:val="24"/>
          <w:szCs w:val="24"/>
        </w:rPr>
        <w:t>Brevibacillus brevis,</w:t>
      </w:r>
      <w:r w:rsidR="00041148" w:rsidRPr="00BB4C73" w:rsidDel="00041148">
        <w:rPr>
          <w:rFonts w:ascii="Times New Roman" w:hAnsi="Times New Roman"/>
          <w:i/>
          <w:sz w:val="24"/>
          <w:szCs w:val="24"/>
        </w:rPr>
        <w:t xml:space="preserve"> </w:t>
      </w:r>
      <w:r w:rsidRPr="00BB4C73">
        <w:rPr>
          <w:rFonts w:ascii="Times New Roman" w:hAnsi="Times New Roman"/>
          <w:i/>
          <w:sz w:val="24"/>
          <w:szCs w:val="24"/>
        </w:rPr>
        <w:t>Lateritic soil</w:t>
      </w:r>
      <w:r w:rsidR="00041148" w:rsidRPr="00BB4C73">
        <w:rPr>
          <w:rFonts w:ascii="Times New Roman" w:hAnsi="Times New Roman"/>
          <w:i/>
          <w:sz w:val="24"/>
          <w:szCs w:val="24"/>
        </w:rPr>
        <w:t>,</w:t>
      </w:r>
      <w:r w:rsidRPr="00BB4C73">
        <w:rPr>
          <w:rFonts w:ascii="Times New Roman" w:hAnsi="Times New Roman"/>
          <w:i/>
          <w:sz w:val="24"/>
          <w:szCs w:val="24"/>
        </w:rPr>
        <w:t> Plasticity</w:t>
      </w:r>
      <w:r w:rsidR="00041148" w:rsidRPr="00BB4C73">
        <w:rPr>
          <w:rFonts w:ascii="Times New Roman" w:hAnsi="Times New Roman"/>
          <w:i/>
          <w:sz w:val="24"/>
          <w:szCs w:val="24"/>
        </w:rPr>
        <w:t>,</w:t>
      </w:r>
      <w:r w:rsidRPr="00BB4C73">
        <w:rPr>
          <w:rFonts w:ascii="Times New Roman" w:hAnsi="Times New Roman"/>
          <w:i/>
          <w:sz w:val="24"/>
          <w:szCs w:val="24"/>
        </w:rPr>
        <w:t> Microbial-induced calcite precipitation (MICP)</w:t>
      </w:r>
      <w:r w:rsidR="00880CDB" w:rsidRPr="00BB4C73">
        <w:rPr>
          <w:rFonts w:ascii="Times New Roman" w:hAnsi="Times New Roman"/>
          <w:i/>
          <w:sz w:val="24"/>
          <w:szCs w:val="24"/>
        </w:rPr>
        <w:t>.</w:t>
      </w:r>
    </w:p>
    <w:p w:rsidR="00880CDB" w:rsidRPr="00277ADA" w:rsidRDefault="00880CDB" w:rsidP="00076A1E">
      <w:pPr>
        <w:spacing w:after="0" w:line="240" w:lineRule="auto"/>
        <w:rPr>
          <w:rFonts w:ascii="Times New Roman" w:hAnsi="Times New Roman"/>
          <w:sz w:val="24"/>
          <w:szCs w:val="24"/>
        </w:rPr>
      </w:pPr>
    </w:p>
    <w:p w:rsidR="00880CDB" w:rsidRDefault="00880CDB" w:rsidP="00076A1E">
      <w:pPr>
        <w:spacing w:after="0" w:line="240" w:lineRule="auto"/>
        <w:rPr>
          <w:rFonts w:ascii="Times New Roman" w:hAnsi="Times New Roman"/>
          <w:sz w:val="24"/>
          <w:szCs w:val="24"/>
        </w:rPr>
      </w:pPr>
    </w:p>
    <w:p w:rsidR="00123529" w:rsidRDefault="00123529" w:rsidP="00123529">
      <w:pPr>
        <w:spacing w:after="0" w:line="240" w:lineRule="auto"/>
      </w:pPr>
    </w:p>
    <w:p w:rsidR="00123529" w:rsidRDefault="00123529" w:rsidP="00123529">
      <w:pPr>
        <w:spacing w:after="0" w:line="240" w:lineRule="auto"/>
      </w:pPr>
    </w:p>
    <w:p w:rsidR="00C20BCF" w:rsidRPr="00123529" w:rsidRDefault="00C20BCF" w:rsidP="00123529">
      <w:pPr>
        <w:spacing w:after="0" w:line="240" w:lineRule="auto"/>
      </w:pPr>
    </w:p>
    <w:p w:rsidR="00880CDB" w:rsidRPr="00277ADA" w:rsidRDefault="00880CDB" w:rsidP="00076A1E">
      <w:pPr>
        <w:numPr>
          <w:ilvl w:val="0"/>
          <w:numId w:val="27"/>
        </w:numPr>
        <w:spacing w:after="0" w:line="240" w:lineRule="auto"/>
        <w:jc w:val="both"/>
        <w:rPr>
          <w:rFonts w:ascii="Times New Roman" w:hAnsi="Times New Roman"/>
          <w:b/>
          <w:sz w:val="24"/>
          <w:szCs w:val="24"/>
          <w:lang w:val="de-DE"/>
        </w:rPr>
      </w:pPr>
      <w:r w:rsidRPr="00277ADA">
        <w:rPr>
          <w:rFonts w:ascii="Times New Roman" w:hAnsi="Times New Roman"/>
          <w:b/>
          <w:color w:val="000000"/>
          <w:sz w:val="24"/>
          <w:szCs w:val="24"/>
        </w:rPr>
        <w:lastRenderedPageBreak/>
        <w:t>INTRODUCTION</w:t>
      </w:r>
    </w:p>
    <w:p w:rsidR="00D33D4C" w:rsidRDefault="00D33D4C" w:rsidP="00076A1E">
      <w:pPr>
        <w:spacing w:after="0" w:line="240" w:lineRule="auto"/>
        <w:jc w:val="both"/>
        <w:rPr>
          <w:rFonts w:ascii="Times New Roman" w:hAnsi="Times New Roman"/>
          <w:b/>
          <w:sz w:val="24"/>
          <w:szCs w:val="24"/>
          <w:lang w:val="de-DE"/>
        </w:rPr>
      </w:pPr>
      <w:r w:rsidRPr="009E16C5">
        <w:rPr>
          <w:rFonts w:ascii="Times New Roman" w:hAnsi="Times New Roman"/>
          <w:color w:val="000000"/>
          <w:sz w:val="24"/>
          <w:szCs w:val="24"/>
        </w:rPr>
        <w:t xml:space="preserve">The improvement in the engineering properties of soil from the addition of additives is known as soil stabilization. These engineering properties include soil stiffness, shear strength, durability and reduction in hydraulic conductivity etc. Mechanical, chemical, biological or both biological and chemical additives be able to use to improve the engineering </w:t>
      </w:r>
      <w:r>
        <w:rPr>
          <w:rFonts w:ascii="Times New Roman" w:hAnsi="Times New Roman"/>
          <w:color w:val="000000"/>
          <w:sz w:val="24"/>
          <w:szCs w:val="24"/>
        </w:rPr>
        <w:t>behaviour</w:t>
      </w:r>
      <w:r w:rsidRPr="009E16C5">
        <w:rPr>
          <w:rFonts w:ascii="Times New Roman" w:hAnsi="Times New Roman"/>
          <w:color w:val="000000"/>
          <w:sz w:val="24"/>
          <w:szCs w:val="24"/>
        </w:rPr>
        <w:t xml:space="preserve"> of soils. Current rese</w:t>
      </w:r>
      <w:r w:rsidRPr="009E16C5">
        <w:rPr>
          <w:rFonts w:ascii="Times New Roman" w:hAnsi="Times New Roman"/>
          <w:sz w:val="24"/>
          <w:szCs w:val="24"/>
        </w:rPr>
        <w:t>arch involves a novel, green, economical and sustainable system known as the Microbial Induced Calcite Precipitate (MICP) process</w:t>
      </w:r>
      <w:r>
        <w:rPr>
          <w:rFonts w:ascii="Times New Roman" w:hAnsi="Times New Roman"/>
          <w:sz w:val="24"/>
          <w:szCs w:val="24"/>
        </w:rPr>
        <w:t xml:space="preserve">, </w:t>
      </w:r>
      <w:r w:rsidRPr="009E16C5">
        <w:rPr>
          <w:rFonts w:ascii="Times New Roman" w:hAnsi="Times New Roman"/>
          <w:color w:val="000000"/>
          <w:sz w:val="24"/>
          <w:szCs w:val="24"/>
        </w:rPr>
        <w:t>which utilises chemicals and micro-organisms to improve soil propertie</w:t>
      </w:r>
      <w:r w:rsidRPr="009E16C5">
        <w:rPr>
          <w:rFonts w:ascii="Times New Roman" w:hAnsi="Times New Roman"/>
          <w:sz w:val="24"/>
          <w:szCs w:val="24"/>
        </w:rPr>
        <w:t>s. This method is promising and studies conducted earlier recorded successful results (e.g.,</w:t>
      </w:r>
      <w:r w:rsidRPr="00537A13">
        <w:rPr>
          <w:rFonts w:ascii="Times New Roman" w:hAnsi="Times New Roman"/>
          <w:sz w:val="24"/>
          <w:szCs w:val="24"/>
        </w:rPr>
        <w:t xml:space="preserve"> </w:t>
      </w:r>
      <w:r w:rsidRPr="009B735C">
        <w:rPr>
          <w:rFonts w:ascii="Times New Roman" w:hAnsi="Times New Roman"/>
          <w:sz w:val="24"/>
          <w:szCs w:val="24"/>
        </w:rPr>
        <w:t>DeJong, Fritzges, and Klaus, 2006; Lee, Wei, Chew, and Siew, 2012; Chu, Ivanov, and Stabnikov, 2014</w:t>
      </w:r>
      <w:r w:rsidRPr="00D33D4C">
        <w:rPr>
          <w:rFonts w:ascii="Times New Roman" w:eastAsia="Calibri" w:hAnsi="Times New Roman"/>
          <w:sz w:val="24"/>
          <w:szCs w:val="24"/>
        </w:rPr>
        <w:t>; Sani, Moses</w:t>
      </w:r>
      <w:r w:rsidRPr="009B735C">
        <w:rPr>
          <w:rFonts w:ascii="Times New Roman" w:hAnsi="Times New Roman"/>
          <w:sz w:val="24"/>
          <w:szCs w:val="24"/>
        </w:rPr>
        <w:t>, and Oriola, 2020</w:t>
      </w:r>
      <w:r w:rsidRPr="009E16C5">
        <w:rPr>
          <w:rFonts w:ascii="Times New Roman" w:hAnsi="Times New Roman"/>
          <w:sz w:val="24"/>
          <w:szCs w:val="24"/>
        </w:rPr>
        <w:t xml:space="preserve">; </w:t>
      </w:r>
      <w:r w:rsidRPr="00D33D4C">
        <w:rPr>
          <w:rFonts w:ascii="Times New Roman" w:eastAsia="Calibri" w:hAnsi="Times New Roman"/>
          <w:sz w:val="24"/>
          <w:szCs w:val="24"/>
        </w:rPr>
        <w:t>Sani and Bala, 2021</w:t>
      </w:r>
      <w:r w:rsidRPr="009E16C5">
        <w:rPr>
          <w:rFonts w:ascii="Times New Roman" w:hAnsi="Times New Roman"/>
          <w:sz w:val="24"/>
          <w:szCs w:val="24"/>
        </w:rPr>
        <w:t>) indicative of soil improvement.</w:t>
      </w:r>
    </w:p>
    <w:p w:rsidR="00D33D4C" w:rsidRPr="00D33D4C" w:rsidRDefault="00D33D4C" w:rsidP="00076A1E">
      <w:pPr>
        <w:spacing w:after="0" w:line="240" w:lineRule="auto"/>
        <w:jc w:val="both"/>
        <w:rPr>
          <w:rFonts w:ascii="Times New Roman" w:hAnsi="Times New Roman"/>
          <w:b/>
          <w:sz w:val="24"/>
          <w:szCs w:val="24"/>
          <w:lang w:val="de-DE"/>
        </w:rPr>
      </w:pPr>
      <w:r w:rsidRPr="009E16C5">
        <w:rPr>
          <w:rFonts w:ascii="Times New Roman" w:hAnsi="Times New Roman"/>
          <w:color w:val="000000"/>
          <w:sz w:val="24"/>
          <w:szCs w:val="24"/>
        </w:rPr>
        <w:t xml:space="preserve">The use of microbes for the purpose of stabilisation of soil is a novel option for enhancement of the engineering </w:t>
      </w:r>
      <w:r>
        <w:rPr>
          <w:rFonts w:ascii="Times New Roman" w:hAnsi="Times New Roman"/>
          <w:color w:val="000000"/>
          <w:sz w:val="24"/>
          <w:szCs w:val="24"/>
        </w:rPr>
        <w:t>properties of sand</w:t>
      </w:r>
      <w:r w:rsidRPr="009E16C5">
        <w:rPr>
          <w:rFonts w:ascii="Times New Roman" w:hAnsi="Times New Roman"/>
          <w:color w:val="000000"/>
          <w:sz w:val="24"/>
          <w:szCs w:val="24"/>
        </w:rPr>
        <w:t xml:space="preserve">. </w:t>
      </w:r>
      <w:r>
        <w:rPr>
          <w:rFonts w:ascii="Times New Roman" w:hAnsi="Times New Roman"/>
          <w:color w:val="000000"/>
          <w:sz w:val="24"/>
          <w:szCs w:val="24"/>
        </w:rPr>
        <w:t xml:space="preserve">The </w:t>
      </w:r>
      <w:r w:rsidRPr="009E16C5">
        <w:rPr>
          <w:rFonts w:ascii="Times New Roman" w:hAnsi="Times New Roman"/>
          <w:color w:val="000000"/>
          <w:sz w:val="24"/>
          <w:szCs w:val="24"/>
        </w:rPr>
        <w:t xml:space="preserve">microbiological method is more ecologically friendly than other ordinary treatment techniques in practice (Wath and Pusadkar, 2016; </w:t>
      </w:r>
      <w:r w:rsidRPr="00D33D4C">
        <w:rPr>
          <w:rFonts w:ascii="Times New Roman" w:eastAsia="Calibri" w:hAnsi="Times New Roman"/>
          <w:sz w:val="24"/>
          <w:szCs w:val="24"/>
        </w:rPr>
        <w:t xml:space="preserve">Sani </w:t>
      </w:r>
      <w:r w:rsidRPr="009E16C5">
        <w:rPr>
          <w:rFonts w:ascii="Times New Roman" w:hAnsi="Times New Roman"/>
          <w:i/>
          <w:sz w:val="24"/>
          <w:szCs w:val="24"/>
        </w:rPr>
        <w:t>et al</w:t>
      </w:r>
      <w:r w:rsidRPr="009E16C5">
        <w:rPr>
          <w:rFonts w:ascii="Times New Roman" w:hAnsi="Times New Roman"/>
          <w:sz w:val="24"/>
          <w:szCs w:val="24"/>
        </w:rPr>
        <w:t xml:space="preserve">., 2020; </w:t>
      </w:r>
      <w:r w:rsidRPr="00D33D4C">
        <w:rPr>
          <w:rFonts w:ascii="Times New Roman" w:eastAsia="Calibri" w:hAnsi="Times New Roman"/>
          <w:sz w:val="24"/>
          <w:szCs w:val="24"/>
        </w:rPr>
        <w:t>Sani and Bala, 2021</w:t>
      </w:r>
      <w:r w:rsidRPr="009E16C5">
        <w:rPr>
          <w:rFonts w:ascii="Times New Roman" w:hAnsi="Times New Roman"/>
          <w:color w:val="000000"/>
          <w:sz w:val="24"/>
          <w:szCs w:val="24"/>
        </w:rPr>
        <w:t>). Bio-cementation using (MICP) technique involves the use of microbes in urea hydrolysis to produce carbonate ions that re-join with solution that is rich in calcium (i.e., CaCl</w:t>
      </w:r>
      <w:r w:rsidRPr="009E16C5">
        <w:rPr>
          <w:rFonts w:ascii="Times New Roman" w:hAnsi="Times New Roman"/>
          <w:color w:val="000000"/>
          <w:sz w:val="24"/>
          <w:szCs w:val="24"/>
          <w:vertAlign w:val="subscript"/>
        </w:rPr>
        <w:t>2</w:t>
      </w:r>
      <w:r w:rsidRPr="009E16C5">
        <w:rPr>
          <w:rFonts w:ascii="Times New Roman" w:hAnsi="Times New Roman"/>
          <w:color w:val="000000"/>
          <w:sz w:val="24"/>
          <w:szCs w:val="24"/>
        </w:rPr>
        <w:t>) to produce calcium carbonate that fixes ground specimens in position; this results in improving the soil engineering properties (</w:t>
      </w:r>
      <w:r w:rsidRPr="00872EC1">
        <w:rPr>
          <w:rFonts w:ascii="Times New Roman" w:hAnsi="Times New Roman"/>
          <w:sz w:val="24"/>
          <w:szCs w:val="24"/>
        </w:rPr>
        <w:t>Cheng,</w:t>
      </w:r>
      <w:r>
        <w:t xml:space="preserve"> </w:t>
      </w:r>
      <w:r w:rsidRPr="00872EC1">
        <w:rPr>
          <w:rFonts w:ascii="Times New Roman" w:hAnsi="Times New Roman"/>
          <w:sz w:val="24"/>
          <w:szCs w:val="24"/>
        </w:rPr>
        <w:t>Shahin,</w:t>
      </w:r>
      <w:r>
        <w:t xml:space="preserve"> </w:t>
      </w:r>
      <w:r w:rsidRPr="00872EC1">
        <w:rPr>
          <w:rFonts w:ascii="Times New Roman" w:hAnsi="Times New Roman"/>
          <w:sz w:val="24"/>
          <w:szCs w:val="24"/>
        </w:rPr>
        <w:t xml:space="preserve">Cord-Ruwisch, </w:t>
      </w:r>
      <w:r>
        <w:t xml:space="preserve"> </w:t>
      </w:r>
      <w:r w:rsidRPr="00872EC1">
        <w:rPr>
          <w:rFonts w:ascii="Times New Roman" w:hAnsi="Times New Roman"/>
          <w:sz w:val="24"/>
          <w:szCs w:val="24"/>
        </w:rPr>
        <w:t>Addis,</w:t>
      </w:r>
      <w:r>
        <w:t xml:space="preserve"> </w:t>
      </w:r>
      <w:r w:rsidRPr="00872EC1">
        <w:rPr>
          <w:rFonts w:ascii="Times New Roman" w:hAnsi="Times New Roman"/>
          <w:sz w:val="24"/>
          <w:szCs w:val="24"/>
        </w:rPr>
        <w:t>Hartanto,</w:t>
      </w:r>
      <w:r>
        <w:rPr>
          <w:rFonts w:ascii="Times New Roman" w:hAnsi="Times New Roman"/>
          <w:sz w:val="24"/>
          <w:szCs w:val="24"/>
        </w:rPr>
        <w:t xml:space="preserve"> </w:t>
      </w:r>
      <w:r w:rsidRPr="00872EC1">
        <w:rPr>
          <w:rFonts w:ascii="Times New Roman" w:hAnsi="Times New Roman"/>
          <w:sz w:val="24"/>
          <w:szCs w:val="24"/>
        </w:rPr>
        <w:t>and Elms</w:t>
      </w:r>
      <w:r>
        <w:t xml:space="preserve">, </w:t>
      </w:r>
      <w:r w:rsidRPr="00872EC1">
        <w:rPr>
          <w:rFonts w:ascii="Times New Roman" w:hAnsi="Times New Roman"/>
          <w:sz w:val="24"/>
          <w:szCs w:val="24"/>
        </w:rPr>
        <w:t>2014</w:t>
      </w:r>
      <w:r>
        <w:rPr>
          <w:rFonts w:ascii="Times New Roman" w:hAnsi="Times New Roman"/>
          <w:sz w:val="24"/>
          <w:szCs w:val="24"/>
        </w:rPr>
        <w:t>a</w:t>
      </w:r>
      <w:r w:rsidRPr="009E16C5">
        <w:rPr>
          <w:rFonts w:ascii="Times New Roman" w:hAnsi="Times New Roman"/>
          <w:color w:val="000000"/>
          <w:sz w:val="24"/>
          <w:szCs w:val="24"/>
        </w:rPr>
        <w:t>;</w:t>
      </w:r>
      <w:bookmarkStart w:id="0" w:name="_Hlk70678054"/>
      <w:r w:rsidRPr="009E16C5">
        <w:rPr>
          <w:rFonts w:ascii="Times New Roman" w:hAnsi="Times New Roman"/>
          <w:sz w:val="24"/>
          <w:szCs w:val="24"/>
        </w:rPr>
        <w:t xml:space="preserve"> </w:t>
      </w:r>
      <w:r w:rsidRPr="00507F36">
        <w:rPr>
          <w:rFonts w:ascii="Times New Roman" w:hAnsi="Times New Roman"/>
          <w:sz w:val="24"/>
          <w:szCs w:val="24"/>
        </w:rPr>
        <w:t>Rajabi</w:t>
      </w:r>
      <w:r>
        <w:rPr>
          <w:rFonts w:ascii="Times New Roman" w:hAnsi="Times New Roman"/>
          <w:sz w:val="24"/>
          <w:szCs w:val="24"/>
        </w:rPr>
        <w:t xml:space="preserve">, </w:t>
      </w:r>
      <w:r w:rsidRPr="00507F36">
        <w:rPr>
          <w:rFonts w:ascii="Times New Roman" w:hAnsi="Times New Roman"/>
          <w:sz w:val="24"/>
          <w:szCs w:val="24"/>
        </w:rPr>
        <w:t>Kiani</w:t>
      </w:r>
      <w:r>
        <w:rPr>
          <w:rFonts w:ascii="Times New Roman" w:hAnsi="Times New Roman"/>
          <w:sz w:val="24"/>
          <w:szCs w:val="24"/>
        </w:rPr>
        <w:t xml:space="preserve">, </w:t>
      </w:r>
      <w:r w:rsidRPr="00507F36">
        <w:rPr>
          <w:rFonts w:ascii="Times New Roman" w:hAnsi="Times New Roman"/>
          <w:sz w:val="24"/>
          <w:szCs w:val="24"/>
        </w:rPr>
        <w:t>Khavazi</w:t>
      </w:r>
      <w:r>
        <w:rPr>
          <w:rFonts w:ascii="Times New Roman" w:hAnsi="Times New Roman"/>
          <w:sz w:val="24"/>
          <w:szCs w:val="24"/>
        </w:rPr>
        <w:t xml:space="preserve">, </w:t>
      </w:r>
      <w:r w:rsidRPr="00507F36">
        <w:rPr>
          <w:rFonts w:ascii="Times New Roman" w:hAnsi="Times New Roman"/>
          <w:sz w:val="24"/>
          <w:szCs w:val="24"/>
        </w:rPr>
        <w:t>Rouhipour</w:t>
      </w:r>
      <w:r>
        <w:rPr>
          <w:rFonts w:ascii="Times New Roman" w:hAnsi="Times New Roman"/>
          <w:sz w:val="24"/>
          <w:szCs w:val="24"/>
        </w:rPr>
        <w:t xml:space="preserve">, and Khormali, </w:t>
      </w:r>
      <w:r w:rsidRPr="009E16C5">
        <w:rPr>
          <w:rFonts w:ascii="Times New Roman" w:hAnsi="Times New Roman"/>
          <w:sz w:val="24"/>
          <w:szCs w:val="24"/>
        </w:rPr>
        <w:t>2019</w:t>
      </w:r>
      <w:bookmarkEnd w:id="0"/>
      <w:r w:rsidRPr="009E16C5">
        <w:rPr>
          <w:rFonts w:ascii="Times New Roman" w:hAnsi="Times New Roman"/>
          <w:sz w:val="24"/>
          <w:szCs w:val="24"/>
        </w:rPr>
        <w:t>;</w:t>
      </w:r>
      <w:r w:rsidRPr="009E16C5">
        <w:rPr>
          <w:rFonts w:ascii="Times New Roman" w:hAnsi="Times New Roman"/>
          <w:i/>
          <w:sz w:val="24"/>
          <w:szCs w:val="24"/>
        </w:rPr>
        <w:t xml:space="preserve"> </w:t>
      </w:r>
      <w:r w:rsidRPr="000051C1">
        <w:rPr>
          <w:rFonts w:ascii="Times New Roman" w:hAnsi="Times New Roman"/>
          <w:sz w:val="24"/>
          <w:szCs w:val="24"/>
        </w:rPr>
        <w:t>Osinubi</w:t>
      </w:r>
      <w:r>
        <w:rPr>
          <w:rFonts w:ascii="Times New Roman" w:hAnsi="Times New Roman"/>
          <w:sz w:val="24"/>
          <w:szCs w:val="24"/>
        </w:rPr>
        <w:t xml:space="preserve">, </w:t>
      </w:r>
      <w:r w:rsidRPr="000051C1">
        <w:rPr>
          <w:rFonts w:ascii="Times New Roman" w:hAnsi="Times New Roman"/>
          <w:sz w:val="24"/>
          <w:szCs w:val="24"/>
        </w:rPr>
        <w:t>Eberemu</w:t>
      </w:r>
      <w:r>
        <w:rPr>
          <w:rFonts w:ascii="Times New Roman" w:hAnsi="Times New Roman"/>
          <w:sz w:val="24"/>
          <w:szCs w:val="24"/>
        </w:rPr>
        <w:t xml:space="preserve">, </w:t>
      </w:r>
      <w:r w:rsidRPr="000051C1">
        <w:rPr>
          <w:rFonts w:ascii="Times New Roman" w:hAnsi="Times New Roman"/>
          <w:sz w:val="24"/>
          <w:szCs w:val="24"/>
        </w:rPr>
        <w:t>Ijimdiya</w:t>
      </w:r>
      <w:r>
        <w:rPr>
          <w:rFonts w:ascii="Times New Roman" w:hAnsi="Times New Roman"/>
          <w:sz w:val="24"/>
          <w:szCs w:val="24"/>
        </w:rPr>
        <w:t xml:space="preserve">, </w:t>
      </w:r>
      <w:r w:rsidRPr="000051C1">
        <w:rPr>
          <w:rFonts w:ascii="Times New Roman" w:hAnsi="Times New Roman"/>
          <w:sz w:val="24"/>
          <w:szCs w:val="24"/>
        </w:rPr>
        <w:t>Yakubu</w:t>
      </w:r>
      <w:r>
        <w:rPr>
          <w:rFonts w:ascii="Times New Roman" w:hAnsi="Times New Roman"/>
          <w:sz w:val="24"/>
          <w:szCs w:val="24"/>
        </w:rPr>
        <w:t xml:space="preserve">, </w:t>
      </w:r>
      <w:r w:rsidRPr="000051C1">
        <w:rPr>
          <w:rFonts w:ascii="Times New Roman" w:hAnsi="Times New Roman"/>
          <w:sz w:val="24"/>
          <w:szCs w:val="24"/>
        </w:rPr>
        <w:t>Gadzama</w:t>
      </w:r>
      <w:r>
        <w:rPr>
          <w:rFonts w:ascii="Times New Roman" w:hAnsi="Times New Roman"/>
          <w:sz w:val="24"/>
          <w:szCs w:val="24"/>
        </w:rPr>
        <w:t>, S</w:t>
      </w:r>
      <w:r w:rsidRPr="000051C1">
        <w:rPr>
          <w:rFonts w:ascii="Times New Roman" w:hAnsi="Times New Roman"/>
          <w:sz w:val="24"/>
          <w:szCs w:val="24"/>
        </w:rPr>
        <w:t>ani</w:t>
      </w:r>
      <w:r>
        <w:rPr>
          <w:rFonts w:ascii="Times New Roman" w:hAnsi="Times New Roman"/>
          <w:sz w:val="24"/>
          <w:szCs w:val="24"/>
        </w:rPr>
        <w:t xml:space="preserve">, and </w:t>
      </w:r>
      <w:r w:rsidRPr="000051C1">
        <w:rPr>
          <w:rFonts w:ascii="Times New Roman" w:hAnsi="Times New Roman"/>
          <w:sz w:val="24"/>
          <w:szCs w:val="24"/>
        </w:rPr>
        <w:t>Yohanna</w:t>
      </w:r>
      <w:r>
        <w:rPr>
          <w:rFonts w:ascii="Times New Roman" w:hAnsi="Times New Roman"/>
          <w:sz w:val="24"/>
          <w:szCs w:val="24"/>
        </w:rPr>
        <w:t xml:space="preserve">, </w:t>
      </w:r>
      <w:r w:rsidRPr="009E16C5">
        <w:rPr>
          <w:rFonts w:ascii="Times New Roman" w:hAnsi="Times New Roman"/>
          <w:sz w:val="24"/>
          <w:szCs w:val="24"/>
        </w:rPr>
        <w:t>2020</w:t>
      </w:r>
      <w:r w:rsidRPr="009E16C5">
        <w:rPr>
          <w:rFonts w:ascii="Times New Roman" w:hAnsi="Times New Roman"/>
          <w:color w:val="000000"/>
          <w:sz w:val="24"/>
          <w:szCs w:val="24"/>
        </w:rPr>
        <w:t>). However, regardless of the perfections associated with MICP urease positive microbes, it should be dispersed consistently and</w:t>
      </w:r>
      <w:r>
        <w:rPr>
          <w:rFonts w:ascii="Times New Roman" w:hAnsi="Times New Roman"/>
          <w:color w:val="000000"/>
          <w:sz w:val="24"/>
          <w:szCs w:val="24"/>
        </w:rPr>
        <w:t xml:space="preserve"> stable in places where they were introduced into the sand. Inadequate</w:t>
      </w:r>
      <w:r w:rsidRPr="009E16C5">
        <w:rPr>
          <w:rFonts w:ascii="Times New Roman" w:hAnsi="Times New Roman"/>
          <w:color w:val="000000"/>
          <w:sz w:val="24"/>
          <w:szCs w:val="24"/>
        </w:rPr>
        <w:t xml:space="preserve"> mode of treatment lead the microbes</w:t>
      </w:r>
      <w:r>
        <w:rPr>
          <w:rFonts w:ascii="Times New Roman" w:hAnsi="Times New Roman"/>
          <w:color w:val="000000"/>
          <w:sz w:val="24"/>
          <w:szCs w:val="24"/>
        </w:rPr>
        <w:t xml:space="preserve"> to be situated only in some</w:t>
      </w:r>
      <w:r w:rsidRPr="009E16C5">
        <w:rPr>
          <w:rFonts w:ascii="Times New Roman" w:hAnsi="Times New Roman"/>
          <w:color w:val="000000"/>
          <w:sz w:val="24"/>
          <w:szCs w:val="24"/>
        </w:rPr>
        <w:t xml:space="preserve"> portions of </w:t>
      </w:r>
      <w:r>
        <w:rPr>
          <w:rFonts w:ascii="Times New Roman" w:hAnsi="Times New Roman"/>
          <w:color w:val="000000"/>
          <w:sz w:val="24"/>
          <w:szCs w:val="24"/>
        </w:rPr>
        <w:t>sand</w:t>
      </w:r>
      <w:r w:rsidRPr="009E16C5">
        <w:rPr>
          <w:rFonts w:ascii="Times New Roman" w:hAnsi="Times New Roman"/>
          <w:color w:val="000000"/>
          <w:sz w:val="24"/>
          <w:szCs w:val="24"/>
        </w:rPr>
        <w:t xml:space="preserve"> or be blushed out </w:t>
      </w:r>
      <w:r>
        <w:rPr>
          <w:rFonts w:ascii="Times New Roman" w:hAnsi="Times New Roman"/>
          <w:color w:val="000000"/>
          <w:sz w:val="24"/>
          <w:szCs w:val="24"/>
        </w:rPr>
        <w:t>o</w:t>
      </w:r>
      <w:r w:rsidRPr="009E16C5">
        <w:rPr>
          <w:rFonts w:ascii="Times New Roman" w:hAnsi="Times New Roman"/>
          <w:color w:val="000000"/>
          <w:sz w:val="24"/>
          <w:szCs w:val="24"/>
        </w:rPr>
        <w:t>f</w:t>
      </w:r>
      <w:r>
        <w:rPr>
          <w:rFonts w:ascii="Times New Roman" w:hAnsi="Times New Roman"/>
          <w:color w:val="000000"/>
          <w:sz w:val="24"/>
          <w:szCs w:val="24"/>
        </w:rPr>
        <w:t xml:space="preserve"> the sand</w:t>
      </w:r>
      <w:r w:rsidRPr="009E16C5">
        <w:rPr>
          <w:rFonts w:ascii="Times New Roman" w:hAnsi="Times New Roman"/>
          <w:color w:val="000000"/>
          <w:sz w:val="24"/>
          <w:szCs w:val="24"/>
        </w:rPr>
        <w:t xml:space="preserve"> being treated. the available approaches to distribute microbes and relax them over an 18</w:t>
      </w:r>
      <w:r>
        <w:rPr>
          <w:rFonts w:ascii="Times New Roman" w:hAnsi="Times New Roman"/>
          <w:color w:val="000000"/>
          <w:sz w:val="24"/>
          <w:szCs w:val="24"/>
        </w:rPr>
        <w:t xml:space="preserve"> </w:t>
      </w:r>
      <w:r w:rsidRPr="009E16C5">
        <w:rPr>
          <w:rFonts w:ascii="Times New Roman" w:hAnsi="Times New Roman"/>
          <w:color w:val="000000"/>
          <w:sz w:val="24"/>
          <w:szCs w:val="24"/>
        </w:rPr>
        <w:t xml:space="preserve">cm long soil </w:t>
      </w:r>
      <w:r w:rsidRPr="000051C1">
        <w:rPr>
          <w:rFonts w:ascii="Times New Roman" w:hAnsi="Times New Roman"/>
          <w:color w:val="000000"/>
          <w:sz w:val="24"/>
          <w:szCs w:val="24"/>
        </w:rPr>
        <w:t>Harkes</w:t>
      </w:r>
      <w:r>
        <w:rPr>
          <w:rFonts w:ascii="Times New Roman" w:hAnsi="Times New Roman"/>
          <w:color w:val="000000"/>
          <w:sz w:val="24"/>
          <w:szCs w:val="24"/>
        </w:rPr>
        <w:t xml:space="preserve">, </w:t>
      </w:r>
      <w:r w:rsidRPr="000051C1">
        <w:rPr>
          <w:rFonts w:ascii="Times New Roman" w:hAnsi="Times New Roman"/>
          <w:color w:val="000000"/>
          <w:sz w:val="24"/>
          <w:szCs w:val="24"/>
        </w:rPr>
        <w:t>van Paassen</w:t>
      </w:r>
      <w:r>
        <w:rPr>
          <w:rFonts w:ascii="Times New Roman" w:hAnsi="Times New Roman"/>
          <w:color w:val="000000"/>
          <w:sz w:val="24"/>
          <w:szCs w:val="24"/>
        </w:rPr>
        <w:t xml:space="preserve">, </w:t>
      </w:r>
      <w:r w:rsidRPr="000051C1">
        <w:rPr>
          <w:rFonts w:ascii="Times New Roman" w:hAnsi="Times New Roman"/>
          <w:color w:val="000000"/>
          <w:sz w:val="24"/>
          <w:szCs w:val="24"/>
        </w:rPr>
        <w:t>Booster</w:t>
      </w:r>
      <w:r>
        <w:rPr>
          <w:rFonts w:ascii="Times New Roman" w:hAnsi="Times New Roman"/>
          <w:color w:val="000000"/>
          <w:sz w:val="24"/>
          <w:szCs w:val="24"/>
        </w:rPr>
        <w:t xml:space="preserve">, </w:t>
      </w:r>
      <w:r w:rsidRPr="000051C1">
        <w:rPr>
          <w:rFonts w:ascii="Times New Roman" w:hAnsi="Times New Roman"/>
          <w:color w:val="000000"/>
          <w:sz w:val="24"/>
          <w:szCs w:val="24"/>
        </w:rPr>
        <w:t>Whiffin</w:t>
      </w:r>
      <w:r>
        <w:rPr>
          <w:rFonts w:ascii="Times New Roman" w:hAnsi="Times New Roman"/>
          <w:color w:val="000000"/>
          <w:sz w:val="24"/>
          <w:szCs w:val="24"/>
        </w:rPr>
        <w:t xml:space="preserve">, </w:t>
      </w:r>
      <w:r w:rsidRPr="000051C1">
        <w:rPr>
          <w:rFonts w:ascii="Times New Roman" w:hAnsi="Times New Roman"/>
          <w:color w:val="000000"/>
          <w:sz w:val="24"/>
          <w:szCs w:val="24"/>
        </w:rPr>
        <w:t>and van Loosdrecht</w:t>
      </w:r>
      <w:r>
        <w:rPr>
          <w:rFonts w:ascii="Times New Roman" w:hAnsi="Times New Roman"/>
          <w:color w:val="000000"/>
          <w:sz w:val="24"/>
          <w:szCs w:val="24"/>
        </w:rPr>
        <w:t xml:space="preserve">, </w:t>
      </w:r>
      <w:r w:rsidRPr="009E16C5">
        <w:rPr>
          <w:rFonts w:ascii="Times New Roman" w:hAnsi="Times New Roman"/>
          <w:color w:val="000000"/>
          <w:sz w:val="24"/>
          <w:szCs w:val="24"/>
        </w:rPr>
        <w:t>(2010) reported cradle; the authors originate</w:t>
      </w:r>
      <w:r>
        <w:rPr>
          <w:rFonts w:ascii="Times New Roman" w:hAnsi="Times New Roman"/>
          <w:color w:val="000000"/>
          <w:sz w:val="24"/>
          <w:szCs w:val="24"/>
        </w:rPr>
        <w:t>d</w:t>
      </w:r>
      <w:r w:rsidRPr="009E16C5">
        <w:rPr>
          <w:rFonts w:ascii="Times New Roman" w:hAnsi="Times New Roman"/>
          <w:color w:val="000000"/>
          <w:sz w:val="24"/>
          <w:szCs w:val="24"/>
        </w:rPr>
        <w:t xml:space="preserve"> that introduction of unmixed bacteria </w:t>
      </w:r>
      <w:r>
        <w:rPr>
          <w:rFonts w:ascii="Times New Roman" w:hAnsi="Times New Roman"/>
          <w:color w:val="000000"/>
          <w:sz w:val="24"/>
          <w:szCs w:val="24"/>
        </w:rPr>
        <w:t>solution</w:t>
      </w:r>
      <w:r w:rsidRPr="009E16C5">
        <w:rPr>
          <w:rFonts w:ascii="Times New Roman" w:hAnsi="Times New Roman"/>
          <w:color w:val="000000"/>
          <w:sz w:val="24"/>
          <w:szCs w:val="24"/>
        </w:rPr>
        <w:t>, trailed</w:t>
      </w:r>
      <w:r>
        <w:rPr>
          <w:rFonts w:ascii="Times New Roman" w:hAnsi="Times New Roman"/>
          <w:color w:val="000000"/>
          <w:sz w:val="24"/>
          <w:szCs w:val="24"/>
        </w:rPr>
        <w:t xml:space="preserve"> by the 1-</w:t>
      </w:r>
      <w:r w:rsidRPr="009E16C5">
        <w:rPr>
          <w:rFonts w:ascii="Times New Roman" w:hAnsi="Times New Roman"/>
          <w:color w:val="000000"/>
          <w:sz w:val="24"/>
          <w:szCs w:val="24"/>
        </w:rPr>
        <w:t xml:space="preserve"> pore volume of high salinity obsession watery (50 mM of calcium chloride) can effectively grip nearly all microorganisms suspension present in the soil bed. It is pertinent to state that, presently there is no preferred mode of treatment; only the most commonly used method (i.e., Injection method) is well documented in the literature (</w:t>
      </w:r>
      <w:r w:rsidRPr="009E16C5">
        <w:rPr>
          <w:rFonts w:ascii="Times New Roman" w:hAnsi="Times New Roman"/>
          <w:sz w:val="24"/>
        </w:rPr>
        <w:t>David</w:t>
      </w:r>
      <w:r>
        <w:rPr>
          <w:rFonts w:ascii="Times New Roman" w:hAnsi="Times New Roman"/>
          <w:sz w:val="24"/>
        </w:rPr>
        <w:t>,</w:t>
      </w:r>
      <w:r w:rsidRPr="009E16C5">
        <w:rPr>
          <w:rFonts w:ascii="Times New Roman" w:hAnsi="Times New Roman"/>
          <w:sz w:val="24"/>
        </w:rPr>
        <w:t xml:space="preserve"> 2019</w:t>
      </w:r>
      <w:r w:rsidRPr="009E16C5">
        <w:rPr>
          <w:rFonts w:ascii="Times New Roman" w:hAnsi="Times New Roman"/>
          <w:color w:val="000000"/>
          <w:sz w:val="24"/>
          <w:szCs w:val="24"/>
        </w:rPr>
        <w:t>)</w:t>
      </w:r>
      <w:r>
        <w:rPr>
          <w:rFonts w:ascii="Times New Roman" w:hAnsi="Times New Roman"/>
          <w:sz w:val="24"/>
          <w:szCs w:val="24"/>
        </w:rPr>
        <w:t>.</w:t>
      </w:r>
    </w:p>
    <w:p w:rsidR="006802B1" w:rsidRDefault="006802B1" w:rsidP="00076A1E">
      <w:pPr>
        <w:spacing w:after="0" w:line="240" w:lineRule="auto"/>
        <w:jc w:val="both"/>
        <w:rPr>
          <w:rFonts w:ascii="Times New Roman" w:hAnsi="Times New Roman"/>
          <w:sz w:val="24"/>
          <w:szCs w:val="24"/>
        </w:rPr>
      </w:pPr>
      <w:r w:rsidRPr="00D33D4C">
        <w:rPr>
          <w:rFonts w:ascii="Times New Roman" w:hAnsi="Times New Roman"/>
          <w:sz w:val="24"/>
          <w:szCs w:val="24"/>
        </w:rPr>
        <w:t>Currently there is no preferred mode of treatment available, only the most commonly used method is revealed (i.e., injection method).</w:t>
      </w:r>
    </w:p>
    <w:p w:rsidR="00123529" w:rsidRPr="00123529" w:rsidRDefault="00123529" w:rsidP="00123529">
      <w:pPr>
        <w:spacing w:after="0" w:line="240" w:lineRule="auto"/>
      </w:pPr>
    </w:p>
    <w:p w:rsidR="00880CDB" w:rsidRDefault="00212585" w:rsidP="00076A1E">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2. </w:t>
      </w:r>
      <w:r w:rsidR="00880CDB" w:rsidRPr="00277ADA">
        <w:rPr>
          <w:rFonts w:ascii="Times New Roman" w:hAnsi="Times New Roman"/>
          <w:b/>
          <w:color w:val="000000"/>
          <w:sz w:val="24"/>
          <w:szCs w:val="24"/>
        </w:rPr>
        <w:t xml:space="preserve">MATERIALS AND METHODS </w:t>
      </w:r>
    </w:p>
    <w:p w:rsidR="00172F3C" w:rsidRPr="00212585" w:rsidRDefault="00172F3C" w:rsidP="00076A1E">
      <w:pPr>
        <w:autoSpaceDE w:val="0"/>
        <w:autoSpaceDN w:val="0"/>
        <w:adjustRightInd w:val="0"/>
        <w:spacing w:after="0" w:line="240" w:lineRule="auto"/>
        <w:rPr>
          <w:rFonts w:ascii="Times New Roman" w:hAnsi="Times New Roman"/>
          <w:sz w:val="24"/>
          <w:szCs w:val="24"/>
          <w:lang w:val="en-GB" w:eastAsia="en-GB"/>
        </w:rPr>
      </w:pPr>
      <w:r w:rsidRPr="00212585">
        <w:rPr>
          <w:rFonts w:ascii="Times New Roman" w:hAnsi="Times New Roman"/>
          <w:sz w:val="24"/>
          <w:szCs w:val="24"/>
          <w:lang w:val="en-GB" w:eastAsia="en-GB"/>
        </w:rPr>
        <w:t>2.1 Materials</w:t>
      </w:r>
    </w:p>
    <w:p w:rsidR="00172F3C" w:rsidRPr="00212585" w:rsidRDefault="00172F3C" w:rsidP="00076A1E">
      <w:pPr>
        <w:autoSpaceDE w:val="0"/>
        <w:autoSpaceDN w:val="0"/>
        <w:adjustRightInd w:val="0"/>
        <w:spacing w:after="0" w:line="240" w:lineRule="auto"/>
        <w:rPr>
          <w:rFonts w:ascii="Times New Roman" w:hAnsi="Times New Roman"/>
          <w:sz w:val="24"/>
          <w:szCs w:val="24"/>
        </w:rPr>
      </w:pPr>
      <w:r w:rsidRPr="00212585">
        <w:rPr>
          <w:rFonts w:ascii="Times New Roman" w:hAnsi="Times New Roman"/>
          <w:sz w:val="24"/>
          <w:szCs w:val="24"/>
          <w:lang w:val="en-GB" w:eastAsia="en-GB"/>
        </w:rPr>
        <w:t xml:space="preserve">2.1.1. </w:t>
      </w:r>
      <w:r w:rsidR="00212585">
        <w:rPr>
          <w:rFonts w:ascii="Times New Roman" w:hAnsi="Times New Roman"/>
          <w:sz w:val="24"/>
          <w:szCs w:val="24"/>
          <w:lang w:val="en-GB" w:eastAsia="en-GB"/>
        </w:rPr>
        <w:t xml:space="preserve">Soil </w:t>
      </w:r>
      <w:r w:rsidR="00FC4FE3">
        <w:rPr>
          <w:rFonts w:ascii="Times New Roman" w:hAnsi="Times New Roman"/>
          <w:sz w:val="24"/>
          <w:szCs w:val="24"/>
          <w:lang w:val="en-GB" w:eastAsia="en-GB"/>
        </w:rPr>
        <w:t>sample:</w:t>
      </w:r>
      <w:r w:rsidR="00FC4FE3" w:rsidRPr="00212585">
        <w:rPr>
          <w:rFonts w:ascii="Times New Roman" w:hAnsi="Times New Roman"/>
          <w:sz w:val="24"/>
          <w:szCs w:val="24"/>
        </w:rPr>
        <w:t xml:space="preserve"> The</w:t>
      </w:r>
      <w:r w:rsidRPr="00212585">
        <w:rPr>
          <w:rFonts w:ascii="Times New Roman" w:hAnsi="Times New Roman"/>
          <w:sz w:val="24"/>
          <w:szCs w:val="24"/>
        </w:rPr>
        <w:t xml:space="preserve"> laterite soil specimens used in this research, was obtained from a burrow pit in Shika, Sabon Gari Local Government Area of Kaduna State, Nigeria. </w:t>
      </w:r>
    </w:p>
    <w:p w:rsidR="00E43F0F" w:rsidRDefault="00E43F0F" w:rsidP="00076A1E">
      <w:pPr>
        <w:autoSpaceDE w:val="0"/>
        <w:autoSpaceDN w:val="0"/>
        <w:adjustRightInd w:val="0"/>
        <w:spacing w:after="0" w:line="240" w:lineRule="auto"/>
        <w:rPr>
          <w:rFonts w:ascii="Times New Roman" w:hAnsi="Times New Roman"/>
          <w:sz w:val="24"/>
          <w:szCs w:val="24"/>
          <w:lang w:val="en-GB" w:eastAsia="en-GB"/>
        </w:rPr>
      </w:pPr>
    </w:p>
    <w:p w:rsidR="00172F3C" w:rsidRPr="00212585" w:rsidRDefault="00172F3C" w:rsidP="00076A1E">
      <w:pPr>
        <w:autoSpaceDE w:val="0"/>
        <w:autoSpaceDN w:val="0"/>
        <w:adjustRightInd w:val="0"/>
        <w:spacing w:after="0" w:line="240" w:lineRule="auto"/>
        <w:rPr>
          <w:rFonts w:ascii="Times New Roman" w:eastAsia="CIDFont+F5" w:hAnsi="Times New Roman"/>
          <w:sz w:val="24"/>
          <w:szCs w:val="24"/>
          <w:lang w:val="en-GB" w:eastAsia="en-GB"/>
        </w:rPr>
      </w:pPr>
      <w:r w:rsidRPr="00212585">
        <w:rPr>
          <w:rFonts w:ascii="Times New Roman" w:hAnsi="Times New Roman"/>
          <w:sz w:val="24"/>
          <w:szCs w:val="24"/>
          <w:lang w:val="en-GB" w:eastAsia="en-GB"/>
        </w:rPr>
        <w:t>2.1.2</w:t>
      </w:r>
      <w:r w:rsidRPr="00212585">
        <w:rPr>
          <w:rFonts w:ascii="Times New Roman" w:hAnsi="Times New Roman"/>
          <w:color w:val="000000"/>
          <w:sz w:val="24"/>
          <w:szCs w:val="24"/>
        </w:rPr>
        <w:t xml:space="preserve"> The urease positive bacterium is rod-shaped, spore-forming and Gram-positive</w:t>
      </w:r>
      <w:r w:rsidRPr="00212585">
        <w:rPr>
          <w:rFonts w:ascii="Times New Roman" w:eastAsia="CIDFont+F5" w:hAnsi="Times New Roman"/>
          <w:sz w:val="24"/>
          <w:szCs w:val="24"/>
          <w:lang w:val="en-GB" w:eastAsia="en-GB"/>
        </w:rPr>
        <w:t xml:space="preserve"> was used.</w:t>
      </w:r>
    </w:p>
    <w:p w:rsidR="00E43F0F" w:rsidRDefault="00E43F0F" w:rsidP="00076A1E">
      <w:pPr>
        <w:autoSpaceDE w:val="0"/>
        <w:autoSpaceDN w:val="0"/>
        <w:adjustRightInd w:val="0"/>
        <w:spacing w:after="0" w:line="240" w:lineRule="auto"/>
        <w:rPr>
          <w:rFonts w:ascii="Times New Roman" w:hAnsi="Times New Roman"/>
          <w:sz w:val="24"/>
          <w:szCs w:val="24"/>
          <w:lang w:val="en-GB" w:eastAsia="en-GB"/>
        </w:rPr>
      </w:pPr>
    </w:p>
    <w:p w:rsidR="003C1A68" w:rsidRPr="00212585" w:rsidRDefault="00172F3C" w:rsidP="00076A1E">
      <w:pPr>
        <w:autoSpaceDE w:val="0"/>
        <w:autoSpaceDN w:val="0"/>
        <w:adjustRightInd w:val="0"/>
        <w:spacing w:after="0" w:line="240" w:lineRule="auto"/>
        <w:rPr>
          <w:rFonts w:ascii="Times New Roman" w:hAnsi="Times New Roman"/>
          <w:sz w:val="24"/>
          <w:szCs w:val="24"/>
          <w:lang w:val="en-GB" w:eastAsia="en-GB"/>
        </w:rPr>
      </w:pPr>
      <w:r w:rsidRPr="00212585">
        <w:rPr>
          <w:rFonts w:ascii="Times New Roman" w:hAnsi="Times New Roman"/>
          <w:sz w:val="24"/>
          <w:szCs w:val="24"/>
          <w:lang w:val="en-GB" w:eastAsia="en-GB"/>
        </w:rPr>
        <w:t xml:space="preserve">2.1.3 </w:t>
      </w:r>
      <w:r w:rsidR="003C1A68" w:rsidRPr="00212585">
        <w:rPr>
          <w:rFonts w:ascii="Times New Roman" w:hAnsi="Times New Roman"/>
          <w:color w:val="000000"/>
          <w:sz w:val="24"/>
          <w:szCs w:val="24"/>
        </w:rPr>
        <w:t>The cementation reagent</w:t>
      </w:r>
      <w:r w:rsidR="00D60C14">
        <w:rPr>
          <w:rFonts w:ascii="Times New Roman" w:hAnsi="Times New Roman"/>
          <w:color w:val="000000"/>
          <w:sz w:val="24"/>
          <w:szCs w:val="24"/>
        </w:rPr>
        <w:t>:</w:t>
      </w:r>
      <w:r w:rsidR="003C1A68" w:rsidRPr="00212585">
        <w:rPr>
          <w:rFonts w:ascii="Times New Roman" w:hAnsi="Times New Roman"/>
          <w:color w:val="000000"/>
          <w:sz w:val="24"/>
          <w:szCs w:val="24"/>
        </w:rPr>
        <w:t xml:space="preserve"> constituted of 20 g Urea, 10 g NH</w:t>
      </w:r>
      <w:r w:rsidR="003C1A68" w:rsidRPr="00212585">
        <w:rPr>
          <w:rFonts w:ascii="Times New Roman" w:hAnsi="Times New Roman"/>
          <w:color w:val="000000"/>
          <w:sz w:val="24"/>
          <w:szCs w:val="24"/>
          <w:vertAlign w:val="subscript"/>
        </w:rPr>
        <w:t>4</w:t>
      </w:r>
      <w:r w:rsidR="003C1A68" w:rsidRPr="00212585">
        <w:rPr>
          <w:rFonts w:ascii="Times New Roman" w:hAnsi="Times New Roman"/>
          <w:color w:val="000000"/>
          <w:sz w:val="24"/>
          <w:szCs w:val="24"/>
        </w:rPr>
        <w:t>Cl, 3 g Nutrient broth, 2.8 g CaCl</w:t>
      </w:r>
      <w:r w:rsidR="003C1A68" w:rsidRPr="00212585">
        <w:rPr>
          <w:rFonts w:ascii="Times New Roman" w:hAnsi="Times New Roman"/>
          <w:color w:val="000000"/>
          <w:sz w:val="24"/>
          <w:szCs w:val="24"/>
          <w:vertAlign w:val="subscript"/>
        </w:rPr>
        <w:t>4</w:t>
      </w:r>
      <w:r w:rsidR="003C1A68" w:rsidRPr="00212585">
        <w:rPr>
          <w:rFonts w:ascii="Times New Roman" w:hAnsi="Times New Roman"/>
          <w:color w:val="000000"/>
          <w:sz w:val="24"/>
          <w:szCs w:val="24"/>
        </w:rPr>
        <w:t xml:space="preserve"> and 2.12 g NaHCO</w:t>
      </w:r>
      <w:r w:rsidR="003C1A68" w:rsidRPr="00212585">
        <w:rPr>
          <w:rFonts w:ascii="Times New Roman" w:hAnsi="Times New Roman"/>
          <w:color w:val="000000"/>
          <w:sz w:val="24"/>
          <w:szCs w:val="24"/>
          <w:vertAlign w:val="subscript"/>
        </w:rPr>
        <w:t>3</w:t>
      </w:r>
      <w:r w:rsidR="003C1A68" w:rsidRPr="00212585">
        <w:rPr>
          <w:rFonts w:ascii="Times New Roman" w:hAnsi="Times New Roman"/>
          <w:color w:val="000000"/>
          <w:sz w:val="24"/>
          <w:szCs w:val="24"/>
        </w:rPr>
        <w:t xml:space="preserve"> per litre of distilled water, which has been used as reported (Stocks-Fischer </w:t>
      </w:r>
      <w:r w:rsidR="003C1A68" w:rsidRPr="00212585">
        <w:rPr>
          <w:rFonts w:ascii="Times New Roman" w:hAnsi="Times New Roman"/>
          <w:i/>
          <w:color w:val="000000"/>
          <w:sz w:val="24"/>
          <w:szCs w:val="24"/>
        </w:rPr>
        <w:t>et al</w:t>
      </w:r>
      <w:r w:rsidR="003C1A68" w:rsidRPr="00212585">
        <w:rPr>
          <w:rFonts w:ascii="Times New Roman" w:hAnsi="Times New Roman"/>
          <w:color w:val="000000"/>
          <w:sz w:val="24"/>
          <w:szCs w:val="24"/>
        </w:rPr>
        <w:t xml:space="preserve">., 1999; DeJong </w:t>
      </w:r>
      <w:r w:rsidR="003C1A68" w:rsidRPr="00212585">
        <w:rPr>
          <w:rFonts w:ascii="Times New Roman" w:hAnsi="Times New Roman"/>
          <w:i/>
          <w:color w:val="000000"/>
          <w:sz w:val="24"/>
          <w:szCs w:val="24"/>
        </w:rPr>
        <w:t>et al</w:t>
      </w:r>
      <w:r w:rsidR="003C1A68" w:rsidRPr="00212585">
        <w:rPr>
          <w:rFonts w:ascii="Times New Roman" w:hAnsi="Times New Roman"/>
          <w:color w:val="000000"/>
          <w:sz w:val="24"/>
          <w:szCs w:val="24"/>
        </w:rPr>
        <w:t xml:space="preserve">., 2006; Al Qabany </w:t>
      </w:r>
      <w:r w:rsidR="003C1A68" w:rsidRPr="00212585">
        <w:rPr>
          <w:rFonts w:ascii="Times New Roman" w:hAnsi="Times New Roman"/>
          <w:i/>
          <w:color w:val="000000"/>
          <w:sz w:val="24"/>
          <w:szCs w:val="24"/>
        </w:rPr>
        <w:t>et al</w:t>
      </w:r>
      <w:r w:rsidR="003C1A68" w:rsidRPr="00212585">
        <w:rPr>
          <w:rFonts w:ascii="Times New Roman" w:hAnsi="Times New Roman"/>
          <w:color w:val="000000"/>
          <w:sz w:val="24"/>
          <w:szCs w:val="24"/>
        </w:rPr>
        <w:t xml:space="preserve">., 2011; Park </w:t>
      </w:r>
      <w:r w:rsidR="003C1A68" w:rsidRPr="00212585">
        <w:rPr>
          <w:rFonts w:ascii="Times New Roman" w:hAnsi="Times New Roman"/>
          <w:i/>
          <w:color w:val="000000"/>
          <w:sz w:val="24"/>
          <w:szCs w:val="24"/>
        </w:rPr>
        <w:t>et al</w:t>
      </w:r>
      <w:r w:rsidR="003C1A68" w:rsidRPr="00212585">
        <w:rPr>
          <w:rFonts w:ascii="Times New Roman" w:hAnsi="Times New Roman"/>
          <w:color w:val="000000"/>
          <w:sz w:val="24"/>
          <w:szCs w:val="24"/>
        </w:rPr>
        <w:t>., 2014; Tirkolaei and Bilsel, 2016).</w:t>
      </w:r>
    </w:p>
    <w:p w:rsidR="002B34F7" w:rsidRPr="00212585" w:rsidRDefault="002B34F7" w:rsidP="00076A1E">
      <w:pPr>
        <w:autoSpaceDE w:val="0"/>
        <w:autoSpaceDN w:val="0"/>
        <w:adjustRightInd w:val="0"/>
        <w:spacing w:after="0" w:line="240" w:lineRule="auto"/>
        <w:rPr>
          <w:rFonts w:ascii="Times New Roman" w:eastAsia="CIDFont+F5" w:hAnsi="Times New Roman"/>
          <w:sz w:val="24"/>
          <w:szCs w:val="24"/>
          <w:lang w:val="en-GB" w:eastAsia="en-GB"/>
        </w:rPr>
      </w:pPr>
    </w:p>
    <w:p w:rsidR="00172F3C" w:rsidRPr="00212585" w:rsidRDefault="00172F3C" w:rsidP="00076A1E">
      <w:pPr>
        <w:autoSpaceDE w:val="0"/>
        <w:autoSpaceDN w:val="0"/>
        <w:adjustRightInd w:val="0"/>
        <w:spacing w:after="0" w:line="240" w:lineRule="auto"/>
        <w:rPr>
          <w:rFonts w:ascii="Times New Roman" w:hAnsi="Times New Roman"/>
          <w:sz w:val="24"/>
          <w:szCs w:val="24"/>
          <w:lang w:val="en-GB" w:eastAsia="en-GB"/>
        </w:rPr>
      </w:pPr>
      <w:r w:rsidRPr="00212585">
        <w:rPr>
          <w:rFonts w:ascii="Times New Roman" w:hAnsi="Times New Roman"/>
          <w:sz w:val="24"/>
          <w:szCs w:val="24"/>
          <w:lang w:val="en-GB" w:eastAsia="en-GB"/>
        </w:rPr>
        <w:t>2.2 Methods</w:t>
      </w:r>
    </w:p>
    <w:p w:rsidR="00172F3C" w:rsidRPr="00212585" w:rsidRDefault="00172F3C" w:rsidP="00076A1E">
      <w:pPr>
        <w:autoSpaceDE w:val="0"/>
        <w:autoSpaceDN w:val="0"/>
        <w:adjustRightInd w:val="0"/>
        <w:spacing w:after="0" w:line="240" w:lineRule="auto"/>
        <w:rPr>
          <w:rFonts w:ascii="Times New Roman" w:eastAsia="CIDFont+F5" w:hAnsi="Times New Roman"/>
          <w:sz w:val="24"/>
          <w:szCs w:val="24"/>
        </w:rPr>
      </w:pPr>
      <w:r w:rsidRPr="00212585">
        <w:rPr>
          <w:rFonts w:ascii="Times New Roman" w:hAnsi="Times New Roman"/>
          <w:sz w:val="24"/>
          <w:szCs w:val="24"/>
        </w:rPr>
        <w:t xml:space="preserve">2.2.1 Isolation of the bacterium species from lateritic soil. </w:t>
      </w:r>
      <w:r w:rsidRPr="00212585">
        <w:rPr>
          <w:rFonts w:ascii="Times New Roman" w:eastAsia="CIDFont+F5" w:hAnsi="Times New Roman"/>
          <w:sz w:val="24"/>
          <w:szCs w:val="24"/>
        </w:rPr>
        <w:t>Isolation of the bacterium species from lateritic</w:t>
      </w:r>
      <w:r w:rsidR="00D51B65" w:rsidRPr="00212585">
        <w:rPr>
          <w:rFonts w:ascii="Times New Roman" w:eastAsia="CIDFont+F5" w:hAnsi="Times New Roman"/>
          <w:sz w:val="24"/>
          <w:szCs w:val="24"/>
        </w:rPr>
        <w:t xml:space="preserve"> </w:t>
      </w:r>
      <w:r w:rsidRPr="00212585">
        <w:rPr>
          <w:rFonts w:ascii="Times New Roman" w:eastAsia="CIDFont+F5" w:hAnsi="Times New Roman"/>
          <w:sz w:val="24"/>
          <w:szCs w:val="24"/>
        </w:rPr>
        <w:t>soil was done by serial dilution</w:t>
      </w:r>
    </w:p>
    <w:p w:rsidR="00F96436" w:rsidRDefault="00F96436" w:rsidP="00076A1E">
      <w:pPr>
        <w:autoSpaceDE w:val="0"/>
        <w:autoSpaceDN w:val="0"/>
        <w:adjustRightInd w:val="0"/>
        <w:spacing w:after="0" w:line="240" w:lineRule="auto"/>
        <w:rPr>
          <w:rFonts w:ascii="Times New Roman" w:hAnsi="Times New Roman"/>
          <w:b/>
          <w:color w:val="000000"/>
          <w:sz w:val="24"/>
          <w:szCs w:val="24"/>
        </w:rPr>
      </w:pPr>
    </w:p>
    <w:p w:rsidR="00277ADA" w:rsidRPr="00F96436" w:rsidRDefault="006E767A" w:rsidP="00076A1E">
      <w:pPr>
        <w:autoSpaceDE w:val="0"/>
        <w:autoSpaceDN w:val="0"/>
        <w:adjustRightInd w:val="0"/>
        <w:spacing w:after="0" w:line="240" w:lineRule="auto"/>
        <w:rPr>
          <w:rFonts w:ascii="Times New Roman" w:eastAsia="CIDFont+F5" w:hAnsi="Times New Roman"/>
          <w:sz w:val="24"/>
          <w:szCs w:val="24"/>
          <w:lang w:val="en-GB" w:eastAsia="en-GB"/>
        </w:rPr>
      </w:pPr>
      <w:r w:rsidRPr="00212585">
        <w:rPr>
          <w:rFonts w:ascii="Times New Roman" w:hAnsi="Times New Roman"/>
          <w:sz w:val="24"/>
          <w:szCs w:val="24"/>
          <w:lang w:val="en-GB" w:eastAsia="en-GB"/>
        </w:rPr>
        <w:t>2.2.</w:t>
      </w:r>
      <w:r w:rsidR="00F96436">
        <w:rPr>
          <w:rFonts w:ascii="Times New Roman" w:hAnsi="Times New Roman"/>
          <w:sz w:val="24"/>
          <w:szCs w:val="24"/>
          <w:lang w:val="en-GB" w:eastAsia="en-GB"/>
        </w:rPr>
        <w:t>2</w:t>
      </w:r>
      <w:r w:rsidRPr="00212585">
        <w:rPr>
          <w:rFonts w:ascii="Times New Roman" w:hAnsi="Times New Roman"/>
          <w:sz w:val="24"/>
          <w:szCs w:val="24"/>
          <w:lang w:val="en-GB" w:eastAsia="en-GB"/>
        </w:rPr>
        <w:t xml:space="preserve"> Index properties</w:t>
      </w:r>
      <w:r w:rsidR="00E622AA">
        <w:rPr>
          <w:rFonts w:ascii="Times New Roman" w:hAnsi="Times New Roman"/>
          <w:sz w:val="24"/>
          <w:szCs w:val="24"/>
          <w:lang w:val="en-GB" w:eastAsia="en-GB"/>
        </w:rPr>
        <w:t>:</w:t>
      </w:r>
      <w:r w:rsidRPr="00212585">
        <w:rPr>
          <w:rFonts w:ascii="Times New Roman" w:hAnsi="Times New Roman"/>
          <w:sz w:val="24"/>
          <w:szCs w:val="24"/>
          <w:lang w:val="en-GB" w:eastAsia="en-GB"/>
        </w:rPr>
        <w:t xml:space="preserve"> </w:t>
      </w:r>
      <w:r w:rsidR="00E622AA" w:rsidRPr="0099438A">
        <w:rPr>
          <w:rFonts w:ascii="Times New Roman" w:hAnsi="Times New Roman"/>
          <w:sz w:val="24"/>
          <w:szCs w:val="24"/>
        </w:rPr>
        <w:t>The experimental p</w:t>
      </w:r>
      <w:r w:rsidR="00E622AA">
        <w:rPr>
          <w:rFonts w:ascii="Times New Roman" w:hAnsi="Times New Roman"/>
          <w:sz w:val="24"/>
          <w:szCs w:val="24"/>
        </w:rPr>
        <w:t xml:space="preserve">rocedures </w:t>
      </w:r>
      <w:r w:rsidR="00E622AA" w:rsidRPr="0099438A">
        <w:rPr>
          <w:rFonts w:ascii="Times New Roman" w:hAnsi="Times New Roman"/>
          <w:sz w:val="24"/>
          <w:szCs w:val="24"/>
        </w:rPr>
        <w:t>was conducted in accordance with procedures outlined in BS 1377 (1990) and BS 1924 (1990) for control and treated soil samples</w:t>
      </w:r>
      <w:r w:rsidR="00DC4DF5">
        <w:rPr>
          <w:rFonts w:ascii="Times New Roman" w:hAnsi="Times New Roman"/>
          <w:sz w:val="24"/>
          <w:szCs w:val="24"/>
        </w:rPr>
        <w:t>.</w:t>
      </w:r>
    </w:p>
    <w:p w:rsidR="00DC4DF5" w:rsidRDefault="00DC4DF5" w:rsidP="00076A1E">
      <w:pPr>
        <w:autoSpaceDE w:val="0"/>
        <w:autoSpaceDN w:val="0"/>
        <w:adjustRightInd w:val="0"/>
        <w:spacing w:after="0" w:line="240" w:lineRule="auto"/>
        <w:rPr>
          <w:rFonts w:ascii="Times New Roman" w:hAnsi="Times New Roman"/>
          <w:sz w:val="24"/>
          <w:szCs w:val="24"/>
          <w:lang w:val="en-GB" w:eastAsia="en-GB"/>
        </w:rPr>
      </w:pPr>
    </w:p>
    <w:p w:rsidR="00CF7A76" w:rsidRPr="00583619" w:rsidRDefault="00CF7A76" w:rsidP="00076A1E">
      <w:pPr>
        <w:spacing w:after="0" w:line="240" w:lineRule="auto"/>
        <w:rPr>
          <w:rFonts w:ascii="Times New Roman" w:hAnsi="Times New Roman"/>
          <w:sz w:val="24"/>
          <w:szCs w:val="24"/>
        </w:rPr>
      </w:pPr>
      <w:r w:rsidRPr="00212585">
        <w:rPr>
          <w:rFonts w:ascii="Times New Roman" w:hAnsi="Times New Roman"/>
          <w:sz w:val="24"/>
          <w:szCs w:val="24"/>
          <w:lang w:val="en-GB" w:eastAsia="en-GB"/>
        </w:rPr>
        <w:t>2.2.</w:t>
      </w:r>
      <w:r w:rsidR="00CE392B">
        <w:rPr>
          <w:rFonts w:ascii="Times New Roman" w:hAnsi="Times New Roman"/>
          <w:sz w:val="24"/>
          <w:szCs w:val="24"/>
          <w:lang w:val="en-GB" w:eastAsia="en-GB"/>
        </w:rPr>
        <w:t>3</w:t>
      </w:r>
      <w:r w:rsidRPr="00212585">
        <w:rPr>
          <w:rFonts w:ascii="Times New Roman" w:hAnsi="Times New Roman"/>
          <w:sz w:val="24"/>
          <w:szCs w:val="24"/>
          <w:lang w:val="en-GB" w:eastAsia="en-GB"/>
        </w:rPr>
        <w:t xml:space="preserve"> Calcium carbonate content</w:t>
      </w:r>
      <w:r w:rsidR="00D60C14">
        <w:rPr>
          <w:rFonts w:ascii="Times New Roman" w:hAnsi="Times New Roman"/>
          <w:sz w:val="24"/>
          <w:szCs w:val="24"/>
          <w:lang w:val="en-GB" w:eastAsia="en-GB"/>
        </w:rPr>
        <w:t>:</w:t>
      </w:r>
      <w:r w:rsidRPr="00212585">
        <w:rPr>
          <w:rFonts w:ascii="Times New Roman" w:hAnsi="Times New Roman"/>
          <w:sz w:val="24"/>
          <w:szCs w:val="24"/>
          <w:lang w:val="en-GB" w:eastAsia="en-GB"/>
        </w:rPr>
        <w:t xml:space="preserve"> </w:t>
      </w:r>
      <w:r w:rsidRPr="00212585">
        <w:rPr>
          <w:rFonts w:ascii="Times New Roman" w:eastAsia="CIDFont+F5" w:hAnsi="Times New Roman"/>
          <w:sz w:val="24"/>
          <w:szCs w:val="24"/>
          <w:lang w:val="en-GB" w:eastAsia="en-GB"/>
        </w:rPr>
        <w:t xml:space="preserve">The </w:t>
      </w:r>
      <w:r w:rsidR="00787CDD">
        <w:rPr>
          <w:rFonts w:ascii="Times New Roman" w:eastAsia="CIDFont+F5" w:hAnsi="Times New Roman"/>
          <w:sz w:val="24"/>
          <w:szCs w:val="24"/>
          <w:lang w:val="en-GB" w:eastAsia="en-GB"/>
        </w:rPr>
        <w:t>determination</w:t>
      </w:r>
      <w:r w:rsidRPr="00212585">
        <w:rPr>
          <w:rFonts w:ascii="Times New Roman" w:eastAsia="CIDFont+F5" w:hAnsi="Times New Roman"/>
          <w:sz w:val="24"/>
          <w:szCs w:val="24"/>
          <w:lang w:val="en-GB" w:eastAsia="en-GB"/>
        </w:rPr>
        <w:t xml:space="preserve"> method used is in accordance with that </w:t>
      </w:r>
      <w:r w:rsidR="008661CC">
        <w:rPr>
          <w:rFonts w:ascii="Times New Roman" w:eastAsia="CIDFont+F5" w:hAnsi="Times New Roman"/>
          <w:sz w:val="24"/>
          <w:szCs w:val="24"/>
          <w:lang w:val="en-GB" w:eastAsia="en-GB"/>
        </w:rPr>
        <w:t>report</w:t>
      </w:r>
      <w:r w:rsidRPr="00212585">
        <w:rPr>
          <w:rFonts w:ascii="Times New Roman" w:eastAsia="CIDFont+F5" w:hAnsi="Times New Roman"/>
          <w:sz w:val="24"/>
          <w:szCs w:val="24"/>
          <w:lang w:val="en-GB" w:eastAsia="en-GB"/>
        </w:rPr>
        <w:t>ed by</w:t>
      </w:r>
      <w:r w:rsidR="0083481E">
        <w:rPr>
          <w:rFonts w:ascii="Times New Roman" w:eastAsia="CIDFont+F5" w:hAnsi="Times New Roman"/>
          <w:sz w:val="24"/>
          <w:szCs w:val="24"/>
          <w:lang w:val="en-GB" w:eastAsia="en-GB"/>
        </w:rPr>
        <w:t xml:space="preserve"> </w:t>
      </w:r>
      <w:r w:rsidR="00E33183" w:rsidRPr="00787CDD">
        <w:rPr>
          <w:rFonts w:ascii="Times New Roman" w:eastAsia="CIDFont+F5" w:hAnsi="Times New Roman"/>
          <w:sz w:val="24"/>
          <w:szCs w:val="24"/>
          <w:lang w:val="en-GB" w:eastAsia="en-GB"/>
        </w:rPr>
        <w:t>Mortensen</w:t>
      </w:r>
      <w:r w:rsidR="00E33183" w:rsidRPr="00787CDD">
        <w:rPr>
          <w:rFonts w:ascii="Times New Roman" w:hAnsi="Times New Roman"/>
          <w:sz w:val="24"/>
          <w:szCs w:val="24"/>
        </w:rPr>
        <w:t xml:space="preserve"> et al. (</w:t>
      </w:r>
      <w:r w:rsidR="00E33183" w:rsidRPr="00787CDD">
        <w:rPr>
          <w:rFonts w:ascii="Times New Roman" w:eastAsia="CIDFont+F5" w:hAnsi="Times New Roman"/>
          <w:sz w:val="24"/>
          <w:szCs w:val="24"/>
          <w:lang w:val="en-GB" w:eastAsia="en-GB"/>
        </w:rPr>
        <w:t>2011) and Choi et al.</w:t>
      </w:r>
      <w:r w:rsidR="00E33183" w:rsidRPr="00787CDD">
        <w:rPr>
          <w:rFonts w:ascii="Times New Roman" w:hAnsi="Times New Roman"/>
          <w:sz w:val="24"/>
          <w:szCs w:val="24"/>
        </w:rPr>
        <w:t xml:space="preserve"> (</w:t>
      </w:r>
      <w:r w:rsidR="00E33183" w:rsidRPr="00787CDD">
        <w:rPr>
          <w:rFonts w:ascii="Times New Roman" w:eastAsia="CIDFont+F5" w:hAnsi="Times New Roman"/>
          <w:sz w:val="24"/>
          <w:szCs w:val="24"/>
          <w:lang w:val="en-GB" w:eastAsia="en-GB"/>
        </w:rPr>
        <w:t>2017)</w:t>
      </w:r>
      <w:r w:rsidR="00F617CC" w:rsidRPr="00787CDD">
        <w:rPr>
          <w:rFonts w:ascii="Times New Roman" w:hAnsi="Times New Roman"/>
          <w:sz w:val="24"/>
          <w:szCs w:val="24"/>
        </w:rPr>
        <w:t xml:space="preserve"> </w:t>
      </w:r>
      <w:r w:rsidR="00AC106A">
        <w:rPr>
          <w:rFonts w:ascii="Times New Roman" w:eastAsia="CIDFont+F5" w:hAnsi="Times New Roman"/>
          <w:sz w:val="24"/>
          <w:szCs w:val="24"/>
          <w:lang w:val="en-GB" w:eastAsia="en-GB"/>
        </w:rPr>
        <w:t>known as</w:t>
      </w:r>
      <w:r w:rsidRPr="00212585">
        <w:rPr>
          <w:rFonts w:ascii="Times New Roman" w:eastAsia="CIDFont+F5" w:hAnsi="Times New Roman"/>
          <w:sz w:val="24"/>
          <w:szCs w:val="24"/>
          <w:lang w:val="en-GB" w:eastAsia="en-GB"/>
        </w:rPr>
        <w:t xml:space="preserve"> the acid wash method. In this </w:t>
      </w:r>
      <w:r w:rsidR="00AC106A">
        <w:rPr>
          <w:rFonts w:ascii="Times New Roman" w:eastAsia="CIDFont+F5" w:hAnsi="Times New Roman"/>
          <w:sz w:val="24"/>
          <w:szCs w:val="24"/>
          <w:lang w:val="en-GB" w:eastAsia="en-GB"/>
        </w:rPr>
        <w:t>approach</w:t>
      </w:r>
      <w:r w:rsidRPr="00212585">
        <w:rPr>
          <w:rFonts w:ascii="Times New Roman" w:eastAsia="CIDFont+F5" w:hAnsi="Times New Roman"/>
          <w:sz w:val="24"/>
          <w:szCs w:val="24"/>
          <w:lang w:val="en-GB" w:eastAsia="en-GB"/>
        </w:rPr>
        <w:t xml:space="preserve">, 5 g of natural and </w:t>
      </w:r>
      <w:r w:rsidRPr="00212585">
        <w:rPr>
          <w:rFonts w:ascii="Times New Roman" w:hAnsi="Times New Roman"/>
          <w:sz w:val="24"/>
          <w:szCs w:val="24"/>
          <w:lang w:val="en-GB" w:eastAsia="en-GB"/>
        </w:rPr>
        <w:t xml:space="preserve">B. </w:t>
      </w:r>
      <w:r w:rsidR="00F617CC" w:rsidRPr="00AC106A">
        <w:rPr>
          <w:rFonts w:ascii="Times New Roman" w:hAnsi="Times New Roman"/>
          <w:i/>
          <w:iCs/>
          <w:sz w:val="24"/>
          <w:szCs w:val="24"/>
          <w:lang w:val="en-GB" w:eastAsia="en-GB"/>
        </w:rPr>
        <w:t>brevis</w:t>
      </w:r>
      <w:r w:rsidRPr="00212585">
        <w:rPr>
          <w:rFonts w:ascii="Times New Roman" w:hAnsi="Times New Roman"/>
          <w:sz w:val="24"/>
          <w:szCs w:val="24"/>
          <w:lang w:val="en-GB" w:eastAsia="en-GB"/>
        </w:rPr>
        <w:t xml:space="preserve"> </w:t>
      </w:r>
      <w:r w:rsidR="00AC106A">
        <w:rPr>
          <w:rFonts w:ascii="Times New Roman" w:eastAsia="CIDFont+F5" w:hAnsi="Times New Roman"/>
          <w:sz w:val="24"/>
          <w:szCs w:val="24"/>
          <w:lang w:val="en-GB" w:eastAsia="en-GB"/>
        </w:rPr>
        <w:t>treated soil</w:t>
      </w:r>
      <w:r w:rsidR="00AC106A">
        <w:t xml:space="preserve"> </w:t>
      </w:r>
      <w:r w:rsidRPr="00212585">
        <w:rPr>
          <w:rFonts w:ascii="Times New Roman" w:eastAsia="CIDFont+F5" w:hAnsi="Times New Roman"/>
          <w:sz w:val="24"/>
          <w:szCs w:val="24"/>
          <w:lang w:val="en-GB" w:eastAsia="en-GB"/>
        </w:rPr>
        <w:t>were mixed with 20 mL 1-M hydrochloric acid (HCl) acid to dissolve calcium carbonate</w:t>
      </w:r>
      <w:r w:rsidR="00D462EE">
        <w:rPr>
          <w:rFonts w:ascii="Times New Roman" w:eastAsia="CIDFont+F5" w:hAnsi="Times New Roman"/>
          <w:sz w:val="24"/>
          <w:szCs w:val="24"/>
          <w:lang w:val="en-GB" w:eastAsia="en-GB"/>
        </w:rPr>
        <w:t xml:space="preserve">. </w:t>
      </w:r>
      <w:r w:rsidRPr="00212585">
        <w:rPr>
          <w:rFonts w:ascii="Times New Roman" w:eastAsia="CIDFont+F5" w:hAnsi="Times New Roman"/>
          <w:sz w:val="24"/>
          <w:szCs w:val="24"/>
          <w:lang w:val="en-GB" w:eastAsia="en-GB"/>
        </w:rPr>
        <w:t xml:space="preserve">Then all the solution and insoluble solids were </w:t>
      </w:r>
      <w:r w:rsidR="00CF6E5F" w:rsidRPr="00212585">
        <w:rPr>
          <w:rFonts w:ascii="Times New Roman" w:eastAsia="CIDFont+F5" w:hAnsi="Times New Roman"/>
          <w:sz w:val="24"/>
          <w:szCs w:val="24"/>
          <w:lang w:val="en-GB" w:eastAsia="en-GB"/>
        </w:rPr>
        <w:t>wash away</w:t>
      </w:r>
      <w:r w:rsidRPr="00212585">
        <w:rPr>
          <w:rFonts w:ascii="Times New Roman" w:eastAsia="CIDFont+F5" w:hAnsi="Times New Roman"/>
          <w:sz w:val="24"/>
          <w:szCs w:val="24"/>
          <w:lang w:val="en-GB" w:eastAsia="en-GB"/>
        </w:rPr>
        <w:t xml:space="preserve"> by distilled water </w:t>
      </w:r>
      <w:r w:rsidR="001052A0">
        <w:rPr>
          <w:rFonts w:ascii="Times New Roman" w:eastAsia="CIDFont+F5" w:hAnsi="Times New Roman"/>
          <w:sz w:val="24"/>
          <w:szCs w:val="24"/>
          <w:lang w:val="en-GB" w:eastAsia="en-GB"/>
        </w:rPr>
        <w:t xml:space="preserve">using </w:t>
      </w:r>
      <w:r w:rsidR="001052A0" w:rsidRPr="00212585">
        <w:rPr>
          <w:rFonts w:ascii="Times New Roman" w:eastAsia="CIDFont+F5" w:hAnsi="Times New Roman"/>
          <w:sz w:val="24"/>
          <w:szCs w:val="24"/>
          <w:lang w:val="en-GB" w:eastAsia="en-GB"/>
        </w:rPr>
        <w:t>filter</w:t>
      </w:r>
      <w:r w:rsidRPr="00212585">
        <w:rPr>
          <w:rFonts w:ascii="Times New Roman" w:eastAsia="CIDFont+F5" w:hAnsi="Times New Roman"/>
          <w:sz w:val="24"/>
          <w:szCs w:val="24"/>
          <w:lang w:val="en-GB" w:eastAsia="en-GB"/>
        </w:rPr>
        <w:t xml:space="preserve"> paper</w:t>
      </w:r>
      <w:r w:rsidR="00361F78">
        <w:t xml:space="preserve"> </w:t>
      </w:r>
      <w:r w:rsidRPr="00212585">
        <w:rPr>
          <w:rFonts w:ascii="Times New Roman" w:eastAsia="CIDFont+F5" w:hAnsi="Times New Roman"/>
          <w:sz w:val="24"/>
          <w:szCs w:val="24"/>
          <w:lang w:val="en-GB" w:eastAsia="en-GB"/>
        </w:rPr>
        <w:t xml:space="preserve">with a coarse </w:t>
      </w:r>
      <w:r w:rsidR="00361F78" w:rsidRPr="00212585">
        <w:rPr>
          <w:rFonts w:ascii="Times New Roman" w:eastAsia="CIDFont+F5" w:hAnsi="Times New Roman"/>
          <w:sz w:val="24"/>
          <w:szCs w:val="24"/>
          <w:lang w:val="en-GB" w:eastAsia="en-GB"/>
        </w:rPr>
        <w:t>aperture</w:t>
      </w:r>
      <w:r w:rsidRPr="00212585">
        <w:rPr>
          <w:rFonts w:ascii="Times New Roman" w:eastAsia="CIDFont+F5" w:hAnsi="Times New Roman"/>
          <w:sz w:val="24"/>
          <w:szCs w:val="24"/>
          <w:lang w:val="en-GB" w:eastAsia="en-GB"/>
        </w:rPr>
        <w:t xml:space="preserve"> size in a No. 200 sieve for 10 min</w:t>
      </w:r>
      <w:r w:rsidR="00361F78">
        <w:rPr>
          <w:rFonts w:ascii="Times New Roman" w:eastAsia="CIDFont+F5" w:hAnsi="Times New Roman"/>
          <w:sz w:val="24"/>
          <w:szCs w:val="24"/>
          <w:lang w:val="en-GB" w:eastAsia="en-GB"/>
        </w:rPr>
        <w:t>ute</w:t>
      </w:r>
      <w:r w:rsidRPr="00212585">
        <w:rPr>
          <w:rFonts w:ascii="Times New Roman" w:eastAsia="CIDFont+F5" w:hAnsi="Times New Roman"/>
          <w:sz w:val="24"/>
          <w:szCs w:val="24"/>
          <w:lang w:val="en-GB" w:eastAsia="en-GB"/>
        </w:rPr>
        <w:t xml:space="preserve">s. </w:t>
      </w:r>
      <w:r w:rsidR="00C0545D">
        <w:rPr>
          <w:rFonts w:ascii="Times New Roman" w:eastAsia="CIDFont+F5" w:hAnsi="Times New Roman"/>
          <w:sz w:val="24"/>
          <w:szCs w:val="24"/>
          <w:lang w:val="en-GB" w:eastAsia="en-GB"/>
        </w:rPr>
        <w:t>A</w:t>
      </w:r>
      <w:r w:rsidRPr="00212585">
        <w:rPr>
          <w:rFonts w:ascii="Times New Roman" w:eastAsia="CIDFont+F5" w:hAnsi="Times New Roman"/>
          <w:sz w:val="24"/>
          <w:szCs w:val="24"/>
          <w:lang w:val="en-GB" w:eastAsia="en-GB"/>
        </w:rPr>
        <w:t>ll soluble</w:t>
      </w:r>
      <w:r w:rsidR="001052A0">
        <w:t xml:space="preserve"> </w:t>
      </w:r>
      <w:r w:rsidRPr="00212585">
        <w:rPr>
          <w:rFonts w:ascii="Times New Roman" w:eastAsia="CIDFont+F5" w:hAnsi="Times New Roman"/>
          <w:sz w:val="24"/>
          <w:szCs w:val="24"/>
          <w:lang w:val="en-GB" w:eastAsia="en-GB"/>
        </w:rPr>
        <w:t xml:space="preserve">calcium </w:t>
      </w:r>
      <w:r w:rsidR="00CE392B">
        <w:rPr>
          <w:rFonts w:ascii="Times New Roman" w:eastAsia="CIDFont+F5" w:hAnsi="Times New Roman"/>
          <w:sz w:val="24"/>
          <w:szCs w:val="24"/>
          <w:lang w:val="en-GB" w:eastAsia="en-GB"/>
        </w:rPr>
        <w:t>was</w:t>
      </w:r>
      <w:r w:rsidR="00C0545D">
        <w:rPr>
          <w:rFonts w:ascii="Times New Roman" w:eastAsia="CIDFont+F5" w:hAnsi="Times New Roman"/>
          <w:sz w:val="24"/>
          <w:szCs w:val="24"/>
          <w:lang w:val="en-GB" w:eastAsia="en-GB"/>
        </w:rPr>
        <w:t xml:space="preserve"> removed </w:t>
      </w:r>
      <w:r w:rsidRPr="00212585">
        <w:rPr>
          <w:rFonts w:ascii="Times New Roman" w:eastAsia="CIDFont+F5" w:hAnsi="Times New Roman"/>
          <w:sz w:val="24"/>
          <w:szCs w:val="24"/>
          <w:lang w:val="en-GB" w:eastAsia="en-GB"/>
        </w:rPr>
        <w:t xml:space="preserve">from the soil </w:t>
      </w:r>
      <w:r w:rsidR="00C0545D" w:rsidRPr="00212585">
        <w:rPr>
          <w:rFonts w:ascii="Times New Roman" w:eastAsia="CIDFont+F5" w:hAnsi="Times New Roman"/>
          <w:sz w:val="24"/>
          <w:szCs w:val="24"/>
          <w:lang w:val="en-GB" w:eastAsia="en-GB"/>
        </w:rPr>
        <w:t>atoms</w:t>
      </w:r>
      <w:r w:rsidRPr="00212585">
        <w:rPr>
          <w:rFonts w:ascii="Times New Roman" w:eastAsia="CIDFont+F5" w:hAnsi="Times New Roman"/>
          <w:sz w:val="24"/>
          <w:szCs w:val="24"/>
          <w:lang w:val="en-GB" w:eastAsia="en-GB"/>
        </w:rPr>
        <w:t xml:space="preserve">. </w:t>
      </w:r>
      <w:r w:rsidR="001052A0" w:rsidRPr="00212585">
        <w:rPr>
          <w:rFonts w:ascii="Times New Roman" w:eastAsia="CIDFont+F5" w:hAnsi="Times New Roman"/>
          <w:sz w:val="24"/>
          <w:szCs w:val="24"/>
          <w:lang w:val="en-GB" w:eastAsia="en-GB"/>
        </w:rPr>
        <w:t>At that moment</w:t>
      </w:r>
      <w:r w:rsidRPr="00212585">
        <w:rPr>
          <w:rFonts w:ascii="Times New Roman" w:eastAsia="CIDFont+F5" w:hAnsi="Times New Roman"/>
          <w:sz w:val="24"/>
          <w:szCs w:val="24"/>
          <w:lang w:val="en-GB" w:eastAsia="en-GB"/>
        </w:rPr>
        <w:t xml:space="preserve"> all </w:t>
      </w:r>
      <w:r w:rsidR="001052A0">
        <w:rPr>
          <w:rFonts w:ascii="Times New Roman" w:eastAsia="CIDFont+F5" w:hAnsi="Times New Roman"/>
          <w:sz w:val="24"/>
          <w:szCs w:val="24"/>
          <w:lang w:val="en-GB" w:eastAsia="en-GB"/>
        </w:rPr>
        <w:t>residue</w:t>
      </w:r>
      <w:r w:rsidRPr="00212585">
        <w:rPr>
          <w:rFonts w:ascii="Times New Roman" w:eastAsia="CIDFont+F5" w:hAnsi="Times New Roman"/>
          <w:sz w:val="24"/>
          <w:szCs w:val="24"/>
          <w:lang w:val="en-GB" w:eastAsia="en-GB"/>
        </w:rPr>
        <w:t xml:space="preserve"> on the sieve were oven-dried and weighed.</w:t>
      </w:r>
      <w:r w:rsidR="00583619">
        <w:t xml:space="preserve"> </w:t>
      </w:r>
      <w:r w:rsidRPr="00583619">
        <w:rPr>
          <w:rFonts w:ascii="Times New Roman" w:eastAsia="CIDFont+F5" w:hAnsi="Times New Roman"/>
          <w:sz w:val="24"/>
          <w:szCs w:val="24"/>
          <w:lang w:val="en-GB" w:eastAsia="en-GB"/>
        </w:rPr>
        <w:t xml:space="preserve">The difference </w:t>
      </w:r>
      <w:r w:rsidR="0009459F" w:rsidRPr="00583619">
        <w:rPr>
          <w:rFonts w:ascii="Times New Roman" w:eastAsia="CIDFont+F5" w:hAnsi="Times New Roman"/>
          <w:sz w:val="24"/>
          <w:szCs w:val="24"/>
          <w:lang w:val="en-GB" w:eastAsia="en-GB"/>
        </w:rPr>
        <w:t xml:space="preserve">in weight </w:t>
      </w:r>
      <w:r w:rsidRPr="00583619">
        <w:rPr>
          <w:rFonts w:ascii="Times New Roman" w:eastAsia="CIDFont+F5" w:hAnsi="Times New Roman"/>
          <w:sz w:val="24"/>
          <w:szCs w:val="24"/>
          <w:lang w:val="en-GB" w:eastAsia="en-GB"/>
        </w:rPr>
        <w:t xml:space="preserve">between the </w:t>
      </w:r>
      <w:r w:rsidR="0009459F" w:rsidRPr="00583619">
        <w:rPr>
          <w:rFonts w:ascii="Times New Roman" w:eastAsia="CIDFont+F5" w:hAnsi="Times New Roman"/>
          <w:sz w:val="24"/>
          <w:szCs w:val="24"/>
          <w:lang w:val="en-GB" w:eastAsia="en-GB"/>
        </w:rPr>
        <w:t>novel</w:t>
      </w:r>
      <w:r w:rsidRPr="00583619">
        <w:rPr>
          <w:rFonts w:ascii="Times New Roman" w:eastAsia="CIDFont+F5" w:hAnsi="Times New Roman"/>
          <w:sz w:val="24"/>
          <w:szCs w:val="24"/>
          <w:lang w:val="en-GB" w:eastAsia="en-GB"/>
        </w:rPr>
        <w:t xml:space="preserve"> soil sample (</w:t>
      </w:r>
      <w:r w:rsidR="008B6EAE" w:rsidRPr="00583619">
        <w:rPr>
          <w:rFonts w:ascii="Times New Roman" w:eastAsia="CIDFont+F5" w:hAnsi="Times New Roman"/>
          <w:sz w:val="24"/>
          <w:szCs w:val="24"/>
          <w:lang w:val="en-GB" w:eastAsia="en-GB"/>
        </w:rPr>
        <w:t>A</w:t>
      </w:r>
      <w:r w:rsidRPr="00583619">
        <w:rPr>
          <w:rFonts w:ascii="Times New Roman" w:eastAsia="CIDFont+F5" w:hAnsi="Times New Roman"/>
          <w:sz w:val="24"/>
          <w:szCs w:val="24"/>
          <w:lang w:val="en-GB" w:eastAsia="en-GB"/>
        </w:rPr>
        <w:t xml:space="preserve">) and </w:t>
      </w:r>
      <w:r w:rsidR="0009459F" w:rsidRPr="00583619">
        <w:rPr>
          <w:rFonts w:ascii="Times New Roman" w:eastAsia="CIDFont+F5" w:hAnsi="Times New Roman"/>
          <w:sz w:val="24"/>
          <w:szCs w:val="24"/>
          <w:lang w:val="en-GB" w:eastAsia="en-GB"/>
        </w:rPr>
        <w:t>after</w:t>
      </w:r>
      <w:r w:rsidRPr="00583619">
        <w:rPr>
          <w:rFonts w:ascii="Times New Roman" w:eastAsia="CIDFont+F5" w:hAnsi="Times New Roman"/>
          <w:sz w:val="24"/>
          <w:szCs w:val="24"/>
          <w:lang w:val="en-GB" w:eastAsia="en-GB"/>
        </w:rPr>
        <w:t xml:space="preserve"> washing sample (</w:t>
      </w:r>
      <w:r w:rsidR="008B6EAE" w:rsidRPr="00583619">
        <w:rPr>
          <w:rFonts w:ascii="Times New Roman" w:eastAsia="CIDFont+F5" w:hAnsi="Times New Roman"/>
          <w:sz w:val="24"/>
          <w:szCs w:val="24"/>
          <w:lang w:val="en-GB" w:eastAsia="en-GB"/>
        </w:rPr>
        <w:t>B</w:t>
      </w:r>
      <w:r w:rsidRPr="00583619">
        <w:rPr>
          <w:rFonts w:ascii="Times New Roman" w:eastAsia="CIDFont+F5" w:hAnsi="Times New Roman"/>
          <w:sz w:val="24"/>
          <w:szCs w:val="24"/>
          <w:lang w:val="en-GB" w:eastAsia="en-GB"/>
        </w:rPr>
        <w:t xml:space="preserve">) was the </w:t>
      </w:r>
      <w:r w:rsidR="0009459F" w:rsidRPr="00583619">
        <w:rPr>
          <w:rFonts w:ascii="Times New Roman" w:eastAsia="CIDFont+F5" w:hAnsi="Times New Roman"/>
          <w:sz w:val="24"/>
          <w:szCs w:val="24"/>
          <w:lang w:val="en-GB" w:eastAsia="en-GB"/>
        </w:rPr>
        <w:t>weight</w:t>
      </w:r>
      <w:r w:rsidRPr="00583619">
        <w:rPr>
          <w:rFonts w:ascii="Times New Roman" w:eastAsia="CIDFont+F5" w:hAnsi="Times New Roman"/>
          <w:sz w:val="24"/>
          <w:szCs w:val="24"/>
          <w:lang w:val="en-GB" w:eastAsia="en-GB"/>
        </w:rPr>
        <w:t xml:space="preserve"> of</w:t>
      </w:r>
      <w:r w:rsidR="008B6EAE" w:rsidRPr="00583619">
        <w:rPr>
          <w:rFonts w:ascii="Times New Roman" w:eastAsia="CIDFont+F5" w:hAnsi="Times New Roman"/>
          <w:sz w:val="24"/>
          <w:szCs w:val="24"/>
          <w:lang w:val="en-GB" w:eastAsia="en-GB"/>
        </w:rPr>
        <w:t xml:space="preserve"> </w:t>
      </w:r>
      <w:r w:rsidRPr="00583619">
        <w:rPr>
          <w:rFonts w:ascii="Times New Roman" w:eastAsia="CIDFont+F5" w:hAnsi="Times New Roman"/>
          <w:sz w:val="24"/>
          <w:szCs w:val="24"/>
          <w:lang w:val="en-GB" w:eastAsia="en-GB"/>
        </w:rPr>
        <w:t>calcium carbonate content (CCC)</w:t>
      </w:r>
      <w:r w:rsidR="0009459F" w:rsidRPr="00583619">
        <w:rPr>
          <w:rFonts w:ascii="Times New Roman" w:eastAsia="CIDFont+F5" w:hAnsi="Times New Roman"/>
          <w:sz w:val="24"/>
          <w:szCs w:val="24"/>
          <w:lang w:val="en-GB" w:eastAsia="en-GB"/>
        </w:rPr>
        <w:t xml:space="preserve"> present</w:t>
      </w:r>
      <w:r w:rsidRPr="00583619">
        <w:rPr>
          <w:rFonts w:ascii="Times New Roman" w:eastAsia="CIDFont+F5" w:hAnsi="Times New Roman"/>
          <w:sz w:val="24"/>
          <w:szCs w:val="24"/>
          <w:lang w:val="en-GB" w:eastAsia="en-GB"/>
        </w:rPr>
        <w:t xml:space="preserve">. The CCC was </w:t>
      </w:r>
      <w:r w:rsidR="007D0824" w:rsidRPr="00583619">
        <w:rPr>
          <w:rFonts w:ascii="Times New Roman" w:eastAsia="CIDFont+F5" w:hAnsi="Times New Roman"/>
          <w:sz w:val="24"/>
          <w:szCs w:val="24"/>
          <w:lang w:val="en-GB" w:eastAsia="en-GB"/>
        </w:rPr>
        <w:t xml:space="preserve">evaluated </w:t>
      </w:r>
      <w:r w:rsidRPr="00583619">
        <w:rPr>
          <w:rFonts w:ascii="Times New Roman" w:eastAsia="CIDFont+F5" w:hAnsi="Times New Roman"/>
          <w:sz w:val="24"/>
          <w:szCs w:val="24"/>
          <w:lang w:val="en-GB" w:eastAsia="en-GB"/>
        </w:rPr>
        <w:t>as</w:t>
      </w:r>
    </w:p>
    <w:p w:rsidR="00277ADA" w:rsidRPr="00846F64" w:rsidRDefault="00CF7A76" w:rsidP="00076A1E">
      <w:pPr>
        <w:autoSpaceDE w:val="0"/>
        <w:autoSpaceDN w:val="0"/>
        <w:adjustRightInd w:val="0"/>
        <w:spacing w:after="0" w:line="240" w:lineRule="auto"/>
        <w:rPr>
          <w:rFonts w:ascii="Times New Roman" w:eastAsia="CIDFont+F7" w:hAnsi="Times New Roman"/>
          <w:sz w:val="24"/>
          <w:szCs w:val="24"/>
          <w:lang w:val="en-GB" w:eastAsia="en-GB"/>
        </w:rPr>
      </w:pPr>
      <w:r w:rsidRPr="00846F64">
        <w:rPr>
          <w:rFonts w:ascii="Cambria Math" w:eastAsia="CIDFont+F7" w:hAnsi="Cambria Math" w:cs="Cambria Math"/>
          <w:sz w:val="24"/>
          <w:szCs w:val="24"/>
          <w:lang w:val="en-GB" w:eastAsia="en-GB"/>
        </w:rPr>
        <w:t>𝐶𝐶𝐶</w:t>
      </w:r>
      <w:r w:rsidRPr="00846F64">
        <w:rPr>
          <w:rFonts w:ascii="Times New Roman" w:eastAsia="CIDFont+F7" w:hAnsi="Times New Roman"/>
          <w:sz w:val="24"/>
          <w:szCs w:val="24"/>
          <w:lang w:val="en-GB" w:eastAsia="en-GB"/>
        </w:rPr>
        <w:t xml:space="preserve"> = </w:t>
      </w:r>
      <w:r w:rsidR="009A6439" w:rsidRPr="00846F64">
        <w:rPr>
          <w:rFonts w:ascii="Times New Roman" w:eastAsia="CIDFont+F7" w:hAnsi="Times New Roman"/>
          <w:sz w:val="24"/>
          <w:szCs w:val="24"/>
          <w:lang w:val="en-GB" w:eastAsia="en-GB"/>
        </w:rPr>
        <w:t>(</w:t>
      </w:r>
      <w:r w:rsidRPr="00846F64">
        <w:rPr>
          <w:rFonts w:ascii="Times New Roman" w:eastAsia="CIDFont+F7" w:hAnsi="Times New Roman"/>
          <w:sz w:val="24"/>
          <w:szCs w:val="24"/>
          <w:lang w:val="en-GB" w:eastAsia="en-GB"/>
        </w:rPr>
        <w:t xml:space="preserve">100 </w:t>
      </w:r>
      <w:r w:rsidR="000C688F" w:rsidRPr="00846F64">
        <w:rPr>
          <w:rFonts w:ascii="Times New Roman" w:eastAsia="CIDFont+F7" w:hAnsi="Times New Roman"/>
          <w:sz w:val="24"/>
          <w:szCs w:val="24"/>
          <w:lang w:val="en-GB" w:eastAsia="en-GB"/>
        </w:rPr>
        <w:t>–(</w:t>
      </w:r>
      <w:r w:rsidR="008B6EAE" w:rsidRPr="00846F64">
        <w:rPr>
          <w:rFonts w:ascii="Times New Roman" w:eastAsia="CIDFont+F7" w:hAnsi="Times New Roman"/>
          <w:sz w:val="24"/>
          <w:szCs w:val="24"/>
          <w:lang w:val="en-GB" w:eastAsia="en-GB"/>
        </w:rPr>
        <w:t>B</w:t>
      </w:r>
      <w:r w:rsidR="000C688F" w:rsidRPr="00846F64">
        <w:rPr>
          <w:rFonts w:ascii="Times New Roman" w:eastAsia="CIDFont+F7" w:hAnsi="Times New Roman"/>
          <w:sz w:val="24"/>
          <w:szCs w:val="24"/>
          <w:lang w:val="en-GB" w:eastAsia="en-GB"/>
        </w:rPr>
        <w:t>/A)</w:t>
      </w:r>
      <w:r w:rsidR="009A6439" w:rsidRPr="00846F64">
        <w:rPr>
          <w:rFonts w:ascii="Times New Roman" w:eastAsia="CIDFont+F7" w:hAnsi="Times New Roman"/>
          <w:sz w:val="24"/>
          <w:szCs w:val="24"/>
          <w:lang w:val="en-GB" w:eastAsia="en-GB"/>
        </w:rPr>
        <w:t xml:space="preserve">) </w:t>
      </w:r>
      <w:r w:rsidRPr="00846F64">
        <w:rPr>
          <w:rFonts w:ascii="Times New Roman" w:eastAsia="CIDFont+F7" w:hAnsi="Times New Roman"/>
          <w:sz w:val="24"/>
          <w:szCs w:val="24"/>
          <w:lang w:val="en-GB" w:eastAsia="en-GB"/>
        </w:rPr>
        <w:t xml:space="preserve">× 100 </w:t>
      </w:r>
      <w:r w:rsidR="009A6439" w:rsidRPr="00846F64">
        <w:rPr>
          <w:rFonts w:ascii="Times New Roman" w:eastAsia="CIDFont+F7" w:hAnsi="Times New Roman"/>
          <w:sz w:val="24"/>
          <w:szCs w:val="24"/>
          <w:lang w:val="en-GB" w:eastAsia="en-GB"/>
        </w:rPr>
        <w:t>…………………………………………………………………….</w:t>
      </w:r>
      <w:r w:rsidRPr="00846F64">
        <w:rPr>
          <w:rFonts w:ascii="Times New Roman" w:eastAsia="CIDFont+F7" w:hAnsi="Times New Roman"/>
          <w:sz w:val="24"/>
          <w:szCs w:val="24"/>
          <w:lang w:val="en-GB" w:eastAsia="en-GB"/>
        </w:rPr>
        <w:t>1</w:t>
      </w:r>
    </w:p>
    <w:p w:rsidR="00E80367" w:rsidRDefault="00E80367" w:rsidP="00076A1E">
      <w:pPr>
        <w:spacing w:after="0" w:line="240" w:lineRule="auto"/>
        <w:jc w:val="both"/>
        <w:rPr>
          <w:rFonts w:ascii="Times New Roman" w:hAnsi="Times New Roman"/>
          <w:b/>
          <w:sz w:val="24"/>
          <w:szCs w:val="24"/>
        </w:rPr>
      </w:pPr>
    </w:p>
    <w:p w:rsidR="00412ED5" w:rsidRPr="00277ADA" w:rsidRDefault="000F1180" w:rsidP="00076A1E">
      <w:pPr>
        <w:spacing w:after="0" w:line="240" w:lineRule="auto"/>
        <w:jc w:val="both"/>
        <w:rPr>
          <w:rFonts w:ascii="Times New Roman" w:hAnsi="Times New Roman"/>
          <w:b/>
          <w:sz w:val="24"/>
          <w:szCs w:val="24"/>
        </w:rPr>
      </w:pPr>
      <w:r>
        <w:rPr>
          <w:rFonts w:ascii="Times New Roman" w:hAnsi="Times New Roman"/>
          <w:b/>
          <w:sz w:val="24"/>
          <w:szCs w:val="24"/>
        </w:rPr>
        <w:t xml:space="preserve">3.0 </w:t>
      </w:r>
      <w:r w:rsidR="00DA3DE3" w:rsidRPr="00277ADA">
        <w:rPr>
          <w:rFonts w:ascii="Times New Roman" w:hAnsi="Times New Roman"/>
          <w:b/>
          <w:sz w:val="24"/>
          <w:szCs w:val="24"/>
        </w:rPr>
        <w:t xml:space="preserve">Results </w:t>
      </w:r>
      <w:r w:rsidR="00DA3DE3">
        <w:rPr>
          <w:rFonts w:ascii="Times New Roman" w:hAnsi="Times New Roman"/>
          <w:b/>
          <w:sz w:val="24"/>
          <w:szCs w:val="24"/>
        </w:rPr>
        <w:t xml:space="preserve">and </w:t>
      </w:r>
      <w:r w:rsidR="00123529">
        <w:rPr>
          <w:rFonts w:ascii="Times New Roman" w:hAnsi="Times New Roman"/>
          <w:b/>
          <w:sz w:val="24"/>
          <w:szCs w:val="24"/>
        </w:rPr>
        <w:t>D</w:t>
      </w:r>
      <w:r w:rsidR="00DA3DE3" w:rsidRPr="00277ADA">
        <w:rPr>
          <w:rFonts w:ascii="Times New Roman" w:hAnsi="Times New Roman"/>
          <w:b/>
          <w:sz w:val="24"/>
          <w:szCs w:val="24"/>
        </w:rPr>
        <w:t>iscussion</w:t>
      </w:r>
    </w:p>
    <w:p w:rsidR="00412ED5" w:rsidRPr="00277ADA"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277ADA">
        <w:rPr>
          <w:rFonts w:ascii="Times New Roman" w:eastAsia="Calibri" w:hAnsi="Times New Roman"/>
          <w:color w:val="000000"/>
          <w:sz w:val="24"/>
          <w:szCs w:val="24"/>
        </w:rPr>
        <w:t xml:space="preserve">The summary of these properties are shown in </w:t>
      </w:r>
      <w:r w:rsidRPr="00277ADA">
        <w:rPr>
          <w:rFonts w:ascii="Times New Roman" w:eastAsia="Calibri" w:hAnsi="Times New Roman"/>
          <w:sz w:val="24"/>
          <w:szCs w:val="24"/>
        </w:rPr>
        <w:t xml:space="preserve">Table 1. The </w:t>
      </w:r>
      <w:r w:rsidRPr="00277ADA">
        <w:rPr>
          <w:rFonts w:ascii="Times New Roman" w:eastAsia="Calibri" w:hAnsi="Times New Roman"/>
          <w:color w:val="000000"/>
          <w:sz w:val="24"/>
          <w:szCs w:val="24"/>
        </w:rPr>
        <w:t xml:space="preserve">particle size distribution curve is shown in </w:t>
      </w:r>
      <w:r w:rsidRPr="00DD184D">
        <w:rPr>
          <w:rFonts w:ascii="Times New Roman" w:eastAsia="Calibri" w:hAnsi="Times New Roman"/>
          <w:sz w:val="24"/>
          <w:szCs w:val="24"/>
        </w:rPr>
        <w:t>Figure 1</w:t>
      </w:r>
      <w:r w:rsidRPr="00277ADA">
        <w:rPr>
          <w:rFonts w:ascii="Times New Roman" w:eastAsia="Calibri" w:hAnsi="Times New Roman"/>
          <w:color w:val="000000"/>
          <w:sz w:val="24"/>
          <w:szCs w:val="24"/>
        </w:rPr>
        <w:t>. The soil is reddish brown in colour with liquid limit of 46.27 %, plastic limit of 27.37 % and plasticity index of 18.90 % respectively. The soil is classified as CL soil in the Unified Soil Classification System USCS (ASTM, 1992), while A-</w:t>
      </w:r>
      <w:r w:rsidRPr="00277ADA">
        <w:rPr>
          <w:rFonts w:ascii="Times New Roman" w:eastAsia="Calibri" w:hAnsi="Times New Roman"/>
          <w:sz w:val="24"/>
          <w:szCs w:val="24"/>
        </w:rPr>
        <w:t xml:space="preserve">7-6(4) </w:t>
      </w:r>
      <w:r w:rsidRPr="00277ADA">
        <w:rPr>
          <w:rFonts w:ascii="Times New Roman" w:eastAsia="Calibri" w:hAnsi="Times New Roman"/>
          <w:color w:val="000000"/>
          <w:sz w:val="24"/>
          <w:szCs w:val="24"/>
        </w:rPr>
        <w:t>according to AASHTO soil classification system (AASHTO, 1986). The natural soil also has linear shrinkage of 11.3 % and specific gravity of 2.55 respectively.</w:t>
      </w:r>
    </w:p>
    <w:p w:rsidR="00BB4C73" w:rsidRDefault="00BB4C73" w:rsidP="00076A1E">
      <w:pPr>
        <w:spacing w:after="0" w:line="240" w:lineRule="auto"/>
        <w:jc w:val="both"/>
        <w:outlineLvl w:val="0"/>
        <w:rPr>
          <w:rFonts w:ascii="Times New Roman" w:hAnsi="Times New Roman"/>
          <w:b/>
          <w:bCs/>
          <w:sz w:val="24"/>
          <w:szCs w:val="24"/>
        </w:rPr>
        <w:sectPr w:rsidR="00BB4C73">
          <w:footerReference w:type="default" r:id="rId8"/>
          <w:pgSz w:w="12240" w:h="15840"/>
          <w:pgMar w:top="1440" w:right="1440" w:bottom="1440" w:left="1440" w:header="720" w:footer="720" w:gutter="0"/>
          <w:cols w:space="720"/>
          <w:docGrid w:linePitch="360"/>
        </w:sectPr>
      </w:pPr>
    </w:p>
    <w:p w:rsidR="00412ED5" w:rsidRPr="00277ADA" w:rsidRDefault="00412ED5" w:rsidP="00076A1E">
      <w:pPr>
        <w:spacing w:after="0" w:line="240" w:lineRule="auto"/>
        <w:jc w:val="both"/>
        <w:outlineLvl w:val="0"/>
        <w:rPr>
          <w:rFonts w:ascii="Times New Roman" w:eastAsia="Times New Roman" w:hAnsi="Times New Roman"/>
          <w:b/>
          <w:bCs/>
          <w:sz w:val="24"/>
          <w:szCs w:val="24"/>
        </w:rPr>
      </w:pPr>
      <w:r w:rsidRPr="00277ADA">
        <w:rPr>
          <w:rFonts w:ascii="Times New Roman" w:hAnsi="Times New Roman"/>
          <w:b/>
          <w:bCs/>
          <w:sz w:val="24"/>
          <w:szCs w:val="24"/>
        </w:rPr>
        <w:lastRenderedPageBreak/>
        <w:t>Table 1: Properties of the natural black cotton soil</w:t>
      </w:r>
    </w:p>
    <w:tbl>
      <w:tblPr>
        <w:tblW w:w="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1182"/>
      </w:tblGrid>
      <w:tr w:rsidR="00412ED5" w:rsidRPr="00D85B6E" w:rsidTr="00BB4C73">
        <w:trPr>
          <w:trHeight w:val="286"/>
        </w:trPr>
        <w:tc>
          <w:tcPr>
            <w:tcW w:w="3416" w:type="dxa"/>
            <w:tcBorders>
              <w:top w:val="single" w:sz="4" w:space="0" w:color="auto"/>
              <w:left w:val="single" w:sz="4" w:space="0" w:color="auto"/>
              <w:bottom w:val="single" w:sz="4" w:space="0" w:color="auto"/>
              <w:right w:val="single" w:sz="4" w:space="0" w:color="auto"/>
            </w:tcBorders>
            <w:shd w:val="clear" w:color="auto" w:fill="auto"/>
            <w:hideMark/>
          </w:tcPr>
          <w:p w:rsidR="00412ED5" w:rsidRPr="00D85B6E"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 xml:space="preserve">Property </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412ED5" w:rsidRPr="00D85B6E"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 xml:space="preserve">Quantity </w:t>
            </w:r>
          </w:p>
        </w:tc>
      </w:tr>
      <w:tr w:rsidR="00412ED5" w:rsidRPr="00D85B6E" w:rsidTr="00BB4C73">
        <w:trPr>
          <w:trHeight w:val="2551"/>
        </w:trPr>
        <w:tc>
          <w:tcPr>
            <w:tcW w:w="3416" w:type="dxa"/>
            <w:tcBorders>
              <w:top w:val="single" w:sz="4" w:space="0" w:color="auto"/>
              <w:left w:val="single" w:sz="4" w:space="0" w:color="auto"/>
              <w:bottom w:val="single" w:sz="4" w:space="0" w:color="auto"/>
              <w:right w:val="single" w:sz="4" w:space="0" w:color="auto"/>
            </w:tcBorders>
            <w:shd w:val="clear" w:color="auto" w:fill="auto"/>
          </w:tcPr>
          <w:p w:rsidR="00412ED5" w:rsidRPr="00D85B6E"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Percentage passing No. 200 sieve</w:t>
            </w:r>
          </w:p>
          <w:p w:rsidR="00412ED5" w:rsidRPr="00D85B6E"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Natural moisture content (%)</w:t>
            </w:r>
          </w:p>
          <w:p w:rsidR="00412ED5" w:rsidRPr="00D85B6E"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Liquid limit (%)</w:t>
            </w:r>
          </w:p>
          <w:p w:rsidR="00412ED5" w:rsidRPr="00D85B6E"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Plastic limit (%)</w:t>
            </w:r>
          </w:p>
          <w:p w:rsidR="00412ED5" w:rsidRPr="00D85B6E"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Plasticity index (%)</w:t>
            </w:r>
          </w:p>
          <w:p w:rsidR="00412ED5" w:rsidRPr="00D85B6E"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Linear shrinkage (%)</w:t>
            </w:r>
          </w:p>
          <w:p w:rsidR="00412ED5" w:rsidRPr="00D85B6E"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Specific gravity</w:t>
            </w:r>
          </w:p>
          <w:p w:rsidR="00412ED5" w:rsidRPr="00D85B6E"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AASHTO classification</w:t>
            </w:r>
          </w:p>
          <w:p w:rsidR="00412ED5" w:rsidRPr="00C57283" w:rsidRDefault="00412ED5" w:rsidP="00076A1E">
            <w:pPr>
              <w:autoSpaceDE w:val="0"/>
              <w:autoSpaceDN w:val="0"/>
              <w:adjustRightInd w:val="0"/>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USCS classification</w:t>
            </w: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412ED5" w:rsidRPr="00D85B6E" w:rsidRDefault="00412ED5" w:rsidP="00076A1E">
            <w:pPr>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58.05</w:t>
            </w:r>
          </w:p>
          <w:p w:rsidR="00412ED5" w:rsidRPr="00D85B6E" w:rsidRDefault="00412ED5" w:rsidP="00076A1E">
            <w:pPr>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16.30</w:t>
            </w:r>
          </w:p>
          <w:p w:rsidR="00412ED5" w:rsidRPr="00D85B6E" w:rsidRDefault="00412ED5" w:rsidP="00076A1E">
            <w:pPr>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46.27</w:t>
            </w:r>
          </w:p>
          <w:p w:rsidR="00412ED5" w:rsidRPr="00D85B6E" w:rsidRDefault="00412ED5" w:rsidP="00076A1E">
            <w:pPr>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27.37</w:t>
            </w:r>
          </w:p>
          <w:p w:rsidR="00412ED5" w:rsidRPr="00D85B6E" w:rsidRDefault="00412ED5" w:rsidP="00076A1E">
            <w:pPr>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18.90</w:t>
            </w:r>
          </w:p>
          <w:p w:rsidR="00412ED5" w:rsidRPr="00D85B6E" w:rsidRDefault="00412ED5" w:rsidP="00076A1E">
            <w:pPr>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11.30</w:t>
            </w:r>
          </w:p>
          <w:p w:rsidR="00412ED5" w:rsidRPr="00D85B6E" w:rsidRDefault="00412ED5" w:rsidP="00076A1E">
            <w:pPr>
              <w:spacing w:after="0" w:line="240" w:lineRule="auto"/>
              <w:jc w:val="both"/>
              <w:rPr>
                <w:rFonts w:ascii="Times New Roman" w:eastAsia="Calibri" w:hAnsi="Times New Roman"/>
                <w:color w:val="000000"/>
                <w:sz w:val="24"/>
                <w:szCs w:val="24"/>
              </w:rPr>
            </w:pPr>
            <w:r w:rsidRPr="00D85B6E">
              <w:rPr>
                <w:rFonts w:ascii="Times New Roman" w:eastAsia="Calibri" w:hAnsi="Times New Roman"/>
                <w:color w:val="000000"/>
                <w:sz w:val="24"/>
                <w:szCs w:val="24"/>
              </w:rPr>
              <w:t>2.55</w:t>
            </w:r>
          </w:p>
          <w:p w:rsidR="00412ED5" w:rsidRPr="00277ADA" w:rsidRDefault="00412ED5" w:rsidP="00076A1E">
            <w:pPr>
              <w:pStyle w:val="Default"/>
              <w:jc w:val="both"/>
            </w:pPr>
            <w:r w:rsidRPr="00277ADA">
              <w:t>A-7-6(4)</w:t>
            </w:r>
          </w:p>
          <w:p w:rsidR="00412ED5" w:rsidRPr="00C57283" w:rsidRDefault="00412ED5" w:rsidP="00076A1E">
            <w:pPr>
              <w:pStyle w:val="Default"/>
              <w:jc w:val="both"/>
            </w:pPr>
            <w:r w:rsidRPr="00277ADA">
              <w:t>CL</w:t>
            </w:r>
          </w:p>
        </w:tc>
      </w:tr>
    </w:tbl>
    <w:p w:rsidR="00BB4C73" w:rsidRDefault="00BB4C73" w:rsidP="00BB4C73">
      <w:pPr>
        <w:spacing w:after="0" w:line="240" w:lineRule="auto"/>
      </w:pPr>
    </w:p>
    <w:p w:rsidR="00BB4C73" w:rsidRPr="00BB4C73" w:rsidRDefault="00123529" w:rsidP="00BB4C73">
      <w:pPr>
        <w:spacing w:after="0" w:line="240" w:lineRule="auto"/>
      </w:pPr>
      <w:r w:rsidRPr="00277ADA">
        <w:rPr>
          <w:rFonts w:ascii="Times New Roman" w:hAnsi="Times New Roman"/>
          <w:noProof/>
          <w:sz w:val="24"/>
          <w:szCs w:val="24"/>
          <w:lang w:eastAsia="en-US"/>
        </w:rPr>
        <w:lastRenderedPageBreak/>
        <w:drawing>
          <wp:inline distT="0" distB="0" distL="0" distR="0">
            <wp:extent cx="2797175" cy="1835785"/>
            <wp:effectExtent l="0" t="0" r="3175" b="12065"/>
            <wp:docPr id="2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B4C73" w:rsidRDefault="00BB4C73" w:rsidP="00076A1E">
      <w:pPr>
        <w:spacing w:after="0" w:line="240" w:lineRule="auto"/>
        <w:jc w:val="center"/>
        <w:rPr>
          <w:rFonts w:ascii="Times New Roman" w:hAnsi="Times New Roman"/>
          <w:sz w:val="24"/>
          <w:szCs w:val="24"/>
        </w:rPr>
      </w:pPr>
    </w:p>
    <w:p w:rsidR="00412ED5" w:rsidRPr="00277ADA" w:rsidRDefault="00412ED5" w:rsidP="00076A1E">
      <w:pPr>
        <w:spacing w:after="0" w:line="240" w:lineRule="auto"/>
        <w:jc w:val="center"/>
        <w:rPr>
          <w:rFonts w:ascii="Times New Roman" w:hAnsi="Times New Roman"/>
          <w:sz w:val="24"/>
          <w:szCs w:val="24"/>
        </w:rPr>
      </w:pPr>
      <w:r w:rsidRPr="00277ADA">
        <w:rPr>
          <w:rFonts w:ascii="Times New Roman" w:hAnsi="Times New Roman"/>
          <w:sz w:val="24"/>
          <w:szCs w:val="24"/>
        </w:rPr>
        <w:t>Fig. 1: Particle size distribution curve of the natural silty sand used in the study</w:t>
      </w:r>
    </w:p>
    <w:p w:rsidR="00BB4C73" w:rsidRDefault="00BB4C73" w:rsidP="00076A1E">
      <w:pPr>
        <w:spacing w:after="0" w:line="240" w:lineRule="auto"/>
        <w:jc w:val="both"/>
        <w:rPr>
          <w:rFonts w:ascii="Times New Roman" w:hAnsi="Times New Roman"/>
          <w:b/>
          <w:color w:val="000000"/>
          <w:sz w:val="24"/>
          <w:szCs w:val="24"/>
        </w:rPr>
        <w:sectPr w:rsidR="00BB4C73" w:rsidSect="00BB4C73">
          <w:type w:val="continuous"/>
          <w:pgSz w:w="12240" w:h="15840"/>
          <w:pgMar w:top="1440" w:right="1440" w:bottom="1440" w:left="1440" w:header="720" w:footer="720" w:gutter="0"/>
          <w:cols w:num="2" w:space="720"/>
          <w:docGrid w:linePitch="360"/>
        </w:sectPr>
      </w:pPr>
    </w:p>
    <w:p w:rsidR="00277ADA" w:rsidRPr="00277ADA" w:rsidRDefault="00277ADA" w:rsidP="00076A1E">
      <w:pPr>
        <w:spacing w:after="0" w:line="240" w:lineRule="auto"/>
        <w:jc w:val="both"/>
        <w:rPr>
          <w:rFonts w:ascii="Times New Roman" w:hAnsi="Times New Roman"/>
          <w:b/>
          <w:color w:val="000000"/>
          <w:sz w:val="24"/>
          <w:szCs w:val="24"/>
        </w:rPr>
      </w:pPr>
    </w:p>
    <w:p w:rsidR="00412ED5" w:rsidRPr="00277ADA" w:rsidRDefault="006B7895" w:rsidP="00076A1E">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3.1 </w:t>
      </w:r>
      <w:r w:rsidR="00412ED5" w:rsidRPr="00277ADA">
        <w:rPr>
          <w:rFonts w:ascii="Times New Roman" w:hAnsi="Times New Roman"/>
          <w:b/>
          <w:color w:val="000000"/>
          <w:sz w:val="24"/>
          <w:szCs w:val="24"/>
        </w:rPr>
        <w:t>Atterberg limit</w:t>
      </w:r>
    </w:p>
    <w:p w:rsidR="00E75D82" w:rsidRDefault="00E75D82" w:rsidP="00076A1E">
      <w:pPr>
        <w:spacing w:after="0" w:line="240" w:lineRule="auto"/>
        <w:jc w:val="both"/>
        <w:rPr>
          <w:rFonts w:ascii="Times New Roman" w:hAnsi="Times New Roman"/>
          <w:color w:val="000000"/>
          <w:sz w:val="24"/>
          <w:szCs w:val="24"/>
        </w:rPr>
      </w:pPr>
      <w:r w:rsidRPr="009E16C5">
        <w:rPr>
          <w:rFonts w:ascii="Times New Roman" w:hAnsi="Times New Roman"/>
          <w:color w:val="000000"/>
          <w:sz w:val="24"/>
          <w:szCs w:val="24"/>
        </w:rPr>
        <w:t xml:space="preserve">Consistency tests (i.e., liquid limit (LL), plastic limit (PL) and plasticity index (PI)) were used to appraise the plastic performance of soils in relation to the water content of  the soil with respect to its change from -solid to liquid state (Kanyi, 2017, </w:t>
      </w:r>
      <w:r w:rsidRPr="005864C0">
        <w:rPr>
          <w:rFonts w:ascii="Times New Roman" w:hAnsi="Times New Roman"/>
          <w:color w:val="000000"/>
          <w:sz w:val="24"/>
          <w:szCs w:val="24"/>
        </w:rPr>
        <w:t>Yohanna</w:t>
      </w:r>
      <w:r>
        <w:rPr>
          <w:rFonts w:ascii="Times New Roman" w:hAnsi="Times New Roman"/>
          <w:color w:val="000000"/>
          <w:sz w:val="24"/>
          <w:szCs w:val="24"/>
        </w:rPr>
        <w:t xml:space="preserve">, </w:t>
      </w:r>
      <w:r w:rsidRPr="005864C0">
        <w:rPr>
          <w:rFonts w:ascii="Times New Roman" w:hAnsi="Times New Roman"/>
          <w:color w:val="000000"/>
          <w:sz w:val="24"/>
          <w:szCs w:val="24"/>
        </w:rPr>
        <w:t>Osinubi</w:t>
      </w:r>
      <w:r>
        <w:rPr>
          <w:rFonts w:ascii="Times New Roman" w:hAnsi="Times New Roman"/>
          <w:color w:val="000000"/>
          <w:sz w:val="24"/>
          <w:szCs w:val="24"/>
        </w:rPr>
        <w:t xml:space="preserve">, </w:t>
      </w:r>
      <w:r w:rsidRPr="005864C0">
        <w:rPr>
          <w:rFonts w:ascii="Times New Roman" w:hAnsi="Times New Roman"/>
          <w:color w:val="000000"/>
          <w:sz w:val="24"/>
          <w:szCs w:val="24"/>
        </w:rPr>
        <w:t>Eberemu</w:t>
      </w:r>
      <w:r>
        <w:rPr>
          <w:rFonts w:ascii="Times New Roman" w:hAnsi="Times New Roman"/>
          <w:color w:val="000000"/>
          <w:sz w:val="24"/>
          <w:szCs w:val="24"/>
        </w:rPr>
        <w:t xml:space="preserve">, Ijimdiya, and </w:t>
      </w:r>
      <w:r w:rsidRPr="005864C0">
        <w:rPr>
          <w:rFonts w:ascii="Times New Roman" w:hAnsi="Times New Roman"/>
          <w:color w:val="000000"/>
          <w:sz w:val="24"/>
          <w:szCs w:val="24"/>
        </w:rPr>
        <w:t>Sani</w:t>
      </w:r>
      <w:r>
        <w:rPr>
          <w:rFonts w:ascii="Times New Roman" w:hAnsi="Times New Roman"/>
          <w:color w:val="000000"/>
          <w:sz w:val="24"/>
          <w:szCs w:val="24"/>
        </w:rPr>
        <w:t xml:space="preserve">, </w:t>
      </w:r>
      <w:r w:rsidRPr="009E16C5">
        <w:rPr>
          <w:rFonts w:ascii="Times New Roman" w:hAnsi="Times New Roman"/>
          <w:color w:val="000000"/>
          <w:sz w:val="24"/>
          <w:szCs w:val="24"/>
        </w:rPr>
        <w:t xml:space="preserve">2022). The effects of different mix ratios of </w:t>
      </w:r>
      <w:r w:rsidRPr="009E16C5">
        <w:rPr>
          <w:rFonts w:ascii="Times New Roman" w:hAnsi="Times New Roman"/>
          <w:i/>
          <w:iCs/>
          <w:color w:val="000000"/>
          <w:sz w:val="24"/>
          <w:szCs w:val="24"/>
        </w:rPr>
        <w:t>B.</w:t>
      </w:r>
      <w:r w:rsidRPr="009E16C5">
        <w:rPr>
          <w:rFonts w:ascii="Times New Roman" w:hAnsi="Times New Roman"/>
          <w:color w:val="000000"/>
          <w:sz w:val="24"/>
          <w:szCs w:val="24"/>
        </w:rPr>
        <w:t xml:space="preserve"> </w:t>
      </w:r>
      <w:r w:rsidRPr="009E16C5">
        <w:rPr>
          <w:rFonts w:ascii="Times New Roman" w:hAnsi="Times New Roman"/>
          <w:i/>
          <w:iCs/>
          <w:color w:val="000000"/>
          <w:sz w:val="24"/>
          <w:szCs w:val="24"/>
        </w:rPr>
        <w:t xml:space="preserve">brevis </w:t>
      </w:r>
      <w:r w:rsidRPr="009E16C5">
        <w:rPr>
          <w:rFonts w:ascii="Times New Roman" w:hAnsi="Times New Roman"/>
          <w:iCs/>
          <w:color w:val="000000"/>
          <w:sz w:val="24"/>
          <w:szCs w:val="24"/>
        </w:rPr>
        <w:t xml:space="preserve">(B) </w:t>
      </w:r>
      <w:r w:rsidRPr="009E16C5">
        <w:rPr>
          <w:rFonts w:ascii="Times New Roman" w:hAnsi="Times New Roman"/>
          <w:color w:val="000000"/>
          <w:sz w:val="24"/>
          <w:szCs w:val="24"/>
        </w:rPr>
        <w:t xml:space="preserve">and cementation reagent (C) for different </w:t>
      </w:r>
      <w:r w:rsidRPr="009E16C5">
        <w:rPr>
          <w:rFonts w:ascii="Times New Roman" w:hAnsi="Times New Roman"/>
          <w:i/>
          <w:iCs/>
          <w:color w:val="000000"/>
          <w:sz w:val="24"/>
          <w:szCs w:val="24"/>
        </w:rPr>
        <w:t>B. brevis</w:t>
      </w:r>
      <w:r w:rsidRPr="009E16C5">
        <w:rPr>
          <w:rFonts w:ascii="Times New Roman" w:hAnsi="Times New Roman"/>
          <w:color w:val="000000"/>
          <w:sz w:val="24"/>
          <w:szCs w:val="24"/>
        </w:rPr>
        <w:t xml:space="preserve"> nucleation sites on consistency of lateritic soil treated with different mix ratios (i.e., 25 % B : 75 % C, 50 % B : 50 % C</w:t>
      </w:r>
      <w:r w:rsidRPr="009E16C5" w:rsidDel="00B82A8A">
        <w:rPr>
          <w:rFonts w:ascii="Times New Roman" w:hAnsi="Times New Roman"/>
          <w:color w:val="000000"/>
          <w:sz w:val="24"/>
          <w:szCs w:val="24"/>
        </w:rPr>
        <w:t xml:space="preserve"> </w:t>
      </w:r>
      <w:r w:rsidRPr="009E16C5">
        <w:rPr>
          <w:rFonts w:ascii="Times New Roman" w:hAnsi="Times New Roman"/>
          <w:color w:val="000000"/>
          <w:sz w:val="24"/>
          <w:szCs w:val="24"/>
        </w:rPr>
        <w:t xml:space="preserve"> and 75 % B : 25 % C) are shown in Figs. </w:t>
      </w:r>
      <w:r>
        <w:rPr>
          <w:rFonts w:ascii="Times New Roman" w:hAnsi="Times New Roman"/>
          <w:color w:val="000000"/>
          <w:sz w:val="24"/>
          <w:szCs w:val="24"/>
        </w:rPr>
        <w:t>4.4 (a–c)</w:t>
      </w:r>
      <w:r w:rsidRPr="009E16C5">
        <w:rPr>
          <w:rFonts w:ascii="Times New Roman" w:hAnsi="Times New Roman"/>
          <w:color w:val="000000"/>
          <w:sz w:val="24"/>
          <w:szCs w:val="24"/>
        </w:rPr>
        <w:t>.</w:t>
      </w:r>
      <w:r>
        <w:rPr>
          <w:rFonts w:ascii="Times New Roman" w:hAnsi="Times New Roman"/>
          <w:color w:val="000000"/>
          <w:sz w:val="24"/>
          <w:szCs w:val="24"/>
        </w:rPr>
        <w:t xml:space="preserve"> </w:t>
      </w:r>
    </w:p>
    <w:p w:rsidR="00E75D82" w:rsidRPr="009F12FC" w:rsidRDefault="00E75D82" w:rsidP="00076A1E">
      <w:pPr>
        <w:spacing w:after="0" w:line="240" w:lineRule="auto"/>
        <w:jc w:val="both"/>
        <w:rPr>
          <w:rFonts w:ascii="Times New Roman" w:hAnsi="Times New Roman"/>
          <w:color w:val="000000"/>
          <w:sz w:val="24"/>
          <w:szCs w:val="24"/>
        </w:rPr>
      </w:pPr>
    </w:p>
    <w:p w:rsidR="00123529" w:rsidRDefault="00123529" w:rsidP="00076A1E">
      <w:pPr>
        <w:autoSpaceDE w:val="0"/>
        <w:autoSpaceDN w:val="0"/>
        <w:adjustRightInd w:val="0"/>
        <w:spacing w:after="0" w:line="240" w:lineRule="auto"/>
        <w:jc w:val="both"/>
        <w:rPr>
          <w:rFonts w:ascii="Times New Roman" w:hAnsi="Times New Roman"/>
          <w:b/>
          <w:iCs/>
          <w:color w:val="000000"/>
          <w:sz w:val="24"/>
          <w:szCs w:val="24"/>
        </w:rPr>
      </w:pPr>
    </w:p>
    <w:p w:rsidR="00E75D82" w:rsidRPr="00076A1E" w:rsidRDefault="00E75D82" w:rsidP="00076A1E">
      <w:pPr>
        <w:autoSpaceDE w:val="0"/>
        <w:autoSpaceDN w:val="0"/>
        <w:adjustRightInd w:val="0"/>
        <w:spacing w:after="0" w:line="240" w:lineRule="auto"/>
        <w:jc w:val="both"/>
        <w:rPr>
          <w:rFonts w:ascii="Times New Roman" w:hAnsi="Times New Roman"/>
          <w:b/>
          <w:iCs/>
          <w:color w:val="000000"/>
          <w:sz w:val="24"/>
          <w:szCs w:val="24"/>
        </w:rPr>
      </w:pPr>
      <w:r w:rsidRPr="00076A1E">
        <w:rPr>
          <w:rFonts w:ascii="Times New Roman" w:hAnsi="Times New Roman"/>
          <w:b/>
          <w:iCs/>
          <w:color w:val="000000"/>
          <w:sz w:val="24"/>
          <w:szCs w:val="24"/>
        </w:rPr>
        <w:t>3.1</w:t>
      </w:r>
      <w:r w:rsidR="00076A1E" w:rsidRPr="00076A1E">
        <w:rPr>
          <w:rFonts w:ascii="Times New Roman" w:hAnsi="Times New Roman"/>
          <w:b/>
          <w:iCs/>
          <w:color w:val="000000"/>
          <w:sz w:val="24"/>
          <w:szCs w:val="24"/>
        </w:rPr>
        <w:t>.1</w:t>
      </w:r>
      <w:r w:rsidRPr="00076A1E">
        <w:rPr>
          <w:rFonts w:ascii="Times New Roman" w:hAnsi="Times New Roman"/>
          <w:b/>
          <w:iCs/>
          <w:color w:val="000000"/>
          <w:sz w:val="24"/>
          <w:szCs w:val="24"/>
        </w:rPr>
        <w:t xml:space="preserve"> Liquid limit </w:t>
      </w:r>
    </w:p>
    <w:p w:rsidR="00E75D82" w:rsidRPr="009E16C5" w:rsidRDefault="00E75D82" w:rsidP="00076A1E">
      <w:pPr>
        <w:autoSpaceDE w:val="0"/>
        <w:autoSpaceDN w:val="0"/>
        <w:adjustRightInd w:val="0"/>
        <w:spacing w:after="0" w:line="240" w:lineRule="auto"/>
        <w:jc w:val="both"/>
        <w:rPr>
          <w:rFonts w:ascii="Times New Roman" w:hAnsi="Times New Roman"/>
          <w:sz w:val="24"/>
          <w:szCs w:val="24"/>
        </w:rPr>
      </w:pPr>
      <w:r w:rsidRPr="009E16C5">
        <w:rPr>
          <w:rFonts w:ascii="Times New Roman" w:hAnsi="Times New Roman"/>
          <w:bCs/>
          <w:iCs/>
          <w:color w:val="000000"/>
          <w:sz w:val="24"/>
          <w:szCs w:val="24"/>
        </w:rPr>
        <w:lastRenderedPageBreak/>
        <w:t xml:space="preserve">The effects of B. </w:t>
      </w:r>
      <w:r w:rsidRPr="009E16C5">
        <w:rPr>
          <w:rFonts w:ascii="Times New Roman" w:hAnsi="Times New Roman"/>
          <w:bCs/>
          <w:i/>
          <w:iCs/>
          <w:color w:val="000000"/>
          <w:sz w:val="24"/>
          <w:szCs w:val="24"/>
        </w:rPr>
        <w:t>brevis</w:t>
      </w:r>
      <w:r w:rsidRPr="009E16C5">
        <w:rPr>
          <w:rFonts w:ascii="Times New Roman" w:hAnsi="Times New Roman"/>
          <w:bCs/>
          <w:iCs/>
          <w:color w:val="000000"/>
          <w:sz w:val="24"/>
          <w:szCs w:val="24"/>
        </w:rPr>
        <w:t xml:space="preserve"> nucleation site and cementation concentration on liquid limit (LL) of lateritic soil for the three modes of treatment are shown in Fig. </w:t>
      </w:r>
      <w:r>
        <w:rPr>
          <w:rFonts w:ascii="Times New Roman" w:hAnsi="Times New Roman"/>
          <w:bCs/>
          <w:iCs/>
          <w:color w:val="000000"/>
          <w:sz w:val="24"/>
          <w:szCs w:val="24"/>
        </w:rPr>
        <w:t>4.</w:t>
      </w:r>
      <w:r w:rsidRPr="009E16C5">
        <w:rPr>
          <w:rFonts w:ascii="Times New Roman" w:hAnsi="Times New Roman"/>
          <w:bCs/>
          <w:iCs/>
          <w:color w:val="000000"/>
          <w:sz w:val="24"/>
          <w:szCs w:val="24"/>
        </w:rPr>
        <w:t>4</w:t>
      </w:r>
      <w:r>
        <w:rPr>
          <w:rFonts w:ascii="Times New Roman" w:hAnsi="Times New Roman"/>
          <w:bCs/>
          <w:iCs/>
          <w:color w:val="000000"/>
          <w:sz w:val="24"/>
          <w:szCs w:val="24"/>
        </w:rPr>
        <w:t>(a)</w:t>
      </w:r>
      <w:r w:rsidRPr="009E16C5">
        <w:rPr>
          <w:rFonts w:ascii="Times New Roman" w:hAnsi="Times New Roman"/>
          <w:bCs/>
          <w:iCs/>
          <w:color w:val="000000"/>
          <w:sz w:val="24"/>
          <w:szCs w:val="24"/>
        </w:rPr>
        <w:t xml:space="preserve">. </w:t>
      </w:r>
      <w:r w:rsidRPr="009E16C5">
        <w:rPr>
          <w:rFonts w:ascii="Times New Roman" w:hAnsi="Times New Roman"/>
          <w:sz w:val="24"/>
          <w:szCs w:val="24"/>
        </w:rPr>
        <w:t xml:space="preserve">In all the mixing modes considered, the LL values initially increased to peak values and thereafter decreased with increase in B. </w:t>
      </w:r>
      <w:r w:rsidRPr="009E16C5">
        <w:rPr>
          <w:rFonts w:ascii="Times New Roman" w:hAnsi="Times New Roman"/>
          <w:i/>
          <w:sz w:val="24"/>
          <w:szCs w:val="24"/>
        </w:rPr>
        <w:t xml:space="preserve">brevis </w:t>
      </w:r>
      <w:r w:rsidRPr="009E16C5">
        <w:rPr>
          <w:rFonts w:ascii="Times New Roman" w:hAnsi="Times New Roman"/>
          <w:sz w:val="24"/>
          <w:szCs w:val="24"/>
        </w:rPr>
        <w:t xml:space="preserve">nucleation site and cementation reagent concentration. </w:t>
      </w:r>
    </w:p>
    <w:p w:rsidR="00E75D82" w:rsidRPr="009E16C5" w:rsidRDefault="00123529" w:rsidP="00076A1E">
      <w:pPr>
        <w:spacing w:after="0" w:line="240" w:lineRule="auto"/>
        <w:jc w:val="both"/>
        <w:outlineLvl w:val="0"/>
        <w:rPr>
          <w:rFonts w:ascii="Times New Roman" w:hAnsi="Times New Roman"/>
          <w:noProof/>
          <w:sz w:val="24"/>
          <w:szCs w:val="24"/>
        </w:rPr>
      </w:pPr>
      <w:r w:rsidRPr="00040644">
        <w:rPr>
          <w:noProof/>
          <w:lang w:eastAsia="en-US"/>
        </w:rPr>
        <w:drawing>
          <wp:inline distT="0" distB="0" distL="0" distR="0">
            <wp:extent cx="5926455" cy="2315210"/>
            <wp:effectExtent l="0" t="0" r="17145" b="8890"/>
            <wp:docPr id="2" name="Chart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75D82" w:rsidRPr="009E16C5" w:rsidRDefault="00E75D82" w:rsidP="00076A1E">
      <w:pPr>
        <w:autoSpaceDE w:val="0"/>
        <w:autoSpaceDN w:val="0"/>
        <w:adjustRightInd w:val="0"/>
        <w:spacing w:after="0" w:line="240" w:lineRule="auto"/>
        <w:jc w:val="both"/>
        <w:rPr>
          <w:rFonts w:ascii="Times New Roman" w:hAnsi="Times New Roman"/>
          <w:sz w:val="24"/>
          <w:szCs w:val="24"/>
        </w:rPr>
      </w:pPr>
    </w:p>
    <w:p w:rsidR="00E75D82" w:rsidRPr="009E16C5" w:rsidRDefault="00123529" w:rsidP="00076A1E">
      <w:pPr>
        <w:spacing w:after="0" w:line="240" w:lineRule="auto"/>
        <w:jc w:val="both"/>
        <w:rPr>
          <w:rFonts w:ascii="Times New Roman" w:hAnsi="Times New Roman"/>
          <w:b/>
          <w:color w:val="000000"/>
          <w:sz w:val="24"/>
          <w:szCs w:val="24"/>
        </w:rPr>
      </w:pPr>
      <w:r w:rsidRPr="00040644">
        <w:rPr>
          <w:noProof/>
          <w:lang w:eastAsia="en-US"/>
        </w:rPr>
        <w:drawing>
          <wp:inline distT="0" distB="0" distL="0" distR="0">
            <wp:extent cx="5926455" cy="1760855"/>
            <wp:effectExtent l="0" t="0" r="17145" b="10795"/>
            <wp:docPr id="3" name="Chart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75D82" w:rsidRDefault="00E75D82" w:rsidP="00076A1E">
      <w:pPr>
        <w:spacing w:after="0" w:line="240" w:lineRule="auto"/>
        <w:jc w:val="both"/>
        <w:rPr>
          <w:rFonts w:ascii="Times New Roman" w:hAnsi="Times New Roman"/>
          <w:iCs/>
          <w:sz w:val="24"/>
          <w:szCs w:val="24"/>
        </w:rPr>
      </w:pPr>
    </w:p>
    <w:p w:rsidR="00E75D82" w:rsidRPr="009E16C5" w:rsidRDefault="00123529" w:rsidP="00076A1E">
      <w:pPr>
        <w:spacing w:after="0" w:line="240" w:lineRule="auto"/>
        <w:jc w:val="both"/>
        <w:rPr>
          <w:rFonts w:ascii="Times New Roman" w:hAnsi="Times New Roman"/>
          <w:b/>
          <w:color w:val="000000"/>
          <w:sz w:val="24"/>
          <w:szCs w:val="24"/>
        </w:rPr>
      </w:pPr>
      <w:r w:rsidRPr="00040644">
        <w:rPr>
          <w:noProof/>
          <w:lang w:eastAsia="en-US"/>
        </w:rPr>
        <w:drawing>
          <wp:inline distT="0" distB="0" distL="0" distR="0">
            <wp:extent cx="5657850" cy="1854200"/>
            <wp:effectExtent l="0" t="0" r="0" b="12700"/>
            <wp:docPr id="4" name="Chart 4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75D82" w:rsidRDefault="00E75D82" w:rsidP="00076A1E">
      <w:pPr>
        <w:spacing w:after="0" w:line="240" w:lineRule="auto"/>
        <w:jc w:val="both"/>
        <w:outlineLvl w:val="0"/>
        <w:rPr>
          <w:rFonts w:ascii="Times New Roman" w:eastAsia="Times New Roman" w:hAnsi="Times New Roman"/>
          <w:sz w:val="24"/>
          <w:szCs w:val="24"/>
        </w:rPr>
      </w:pPr>
      <w:r>
        <w:rPr>
          <w:rFonts w:ascii="Times New Roman" w:eastAsia="Times New Roman" w:hAnsi="Times New Roman" w:hint="eastAsia"/>
          <w:sz w:val="24"/>
          <w:szCs w:val="24"/>
        </w:rPr>
        <w:t>Figure 4.4</w:t>
      </w:r>
      <w:r w:rsidRPr="00E6247A">
        <w:rPr>
          <w:rFonts w:ascii="Times New Roman" w:eastAsia="Times New Roman" w:hAnsi="Times New Roman" w:hint="eastAsia"/>
          <w:sz w:val="24"/>
          <w:szCs w:val="24"/>
        </w:rPr>
        <w:t xml:space="preserve">(a) Variation of liquid limit of lateritic soil - B. </w:t>
      </w:r>
      <w:r w:rsidRPr="00E6247A">
        <w:rPr>
          <w:rFonts w:ascii="Times New Roman" w:eastAsia="Times New Roman" w:hAnsi="Times New Roman" w:hint="eastAsia"/>
          <w:i/>
          <w:sz w:val="24"/>
          <w:szCs w:val="24"/>
        </w:rPr>
        <w:t>brevis</w:t>
      </w:r>
      <w:r w:rsidRPr="00E6247A">
        <w:rPr>
          <w:rFonts w:ascii="Times New Roman" w:eastAsia="Times New Roman" w:hAnsi="Times New Roman" w:hint="eastAsia"/>
          <w:sz w:val="24"/>
          <w:szCs w:val="24"/>
        </w:rPr>
        <w:t xml:space="preserve"> (B) mixtures with cementation reagent concentration (C) for the three modes of application when prepared with different mix ratios: (a) 25 % B : 75 % (b) 50 % B : 50 % C (c) 75 % B : 25 % C</w:t>
      </w:r>
      <w:r>
        <w:rPr>
          <w:rFonts w:ascii="Times New Roman" w:eastAsia="Times New Roman" w:hAnsi="Times New Roman"/>
          <w:sz w:val="24"/>
          <w:szCs w:val="24"/>
        </w:rPr>
        <w:tab/>
      </w:r>
    </w:p>
    <w:p w:rsidR="00123529" w:rsidRPr="00123529" w:rsidRDefault="00123529" w:rsidP="00123529">
      <w:pPr>
        <w:spacing w:after="0" w:line="240" w:lineRule="auto"/>
      </w:pPr>
    </w:p>
    <w:p w:rsidR="00E75D82" w:rsidRPr="00AA3771" w:rsidRDefault="00E75D82" w:rsidP="00076A1E">
      <w:pPr>
        <w:spacing w:after="0" w:line="240" w:lineRule="auto"/>
        <w:jc w:val="both"/>
        <w:outlineLvl w:val="0"/>
        <w:rPr>
          <w:rFonts w:ascii="Times New Roman" w:hAnsi="Times New Roman"/>
          <w:color w:val="000000"/>
          <w:sz w:val="24"/>
          <w:szCs w:val="24"/>
        </w:rPr>
      </w:pPr>
      <w:r w:rsidRPr="009E16C5">
        <w:rPr>
          <w:rFonts w:ascii="Times New Roman" w:hAnsi="Times New Roman"/>
          <w:sz w:val="24"/>
          <w:szCs w:val="24"/>
        </w:rPr>
        <w:t>In the mixing method of treatment of lateritic soil peak LL values of 41.4 % (12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M), 39.3 % (6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M) and 40.3 % (0 cells/ml and 0.25 M) for </w:t>
      </w:r>
      <w:r w:rsidRPr="009E16C5">
        <w:rPr>
          <w:rFonts w:ascii="Times New Roman" w:hAnsi="Times New Roman"/>
          <w:sz w:val="24"/>
          <w:szCs w:val="24"/>
        </w:rPr>
        <w:lastRenderedPageBreak/>
        <w:t>specimens prepared with 25 % B : 75 %, 50 % B : 50 % C and 75 % B : 25 % C, respectively. For the injection method of treatment of lateritic soil peak LL values of 42.9 % (12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M), 43.0 % (12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0.5 M) and 42 % (12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0.5 &amp; 1 M) for specimens prepared with 25 % B : 75 %, 50 % B : 50 % C and 75 % B : 25 % C, respectively. The spraying method of treatment of lateritic soil recorded peak LL values of 44.5 % (12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M), 43.9 % (12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M) and 46.0 % (12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M) for specimens prepared with 25 % B : 75 %, 50 % B : 50 % C and 75 % B : 25 % C, respectively. For all the mix ratios (i.e., 25 % B : 75 % C, 50 % B : 50 % C and 75 % B : 25 % C) and modes of treatment (i.e., mixing, injection and spraying) considered, the primary reason for the increase in LL values recorded could probably be connected to the increase in water content necessary for the hydrolysis of urea. The urease positive enzymes formed through biological reaction was required to energetically hydrolyze urea into ammonium ions (NH</w:t>
      </w:r>
      <w:r w:rsidRPr="009E16C5">
        <w:rPr>
          <w:rFonts w:ascii="Times New Roman" w:hAnsi="Times New Roman"/>
          <w:sz w:val="24"/>
          <w:szCs w:val="24"/>
          <w:vertAlign w:val="superscript"/>
        </w:rPr>
        <w:t>4+</w:t>
      </w:r>
      <w:r w:rsidRPr="009E16C5">
        <w:rPr>
          <w:rFonts w:ascii="Times New Roman" w:hAnsi="Times New Roman"/>
          <w:sz w:val="24"/>
          <w:szCs w:val="24"/>
        </w:rPr>
        <w:t>) and carbonate ions (CO</w:t>
      </w:r>
      <w:r w:rsidRPr="009E16C5">
        <w:rPr>
          <w:rFonts w:ascii="Times New Roman" w:hAnsi="Times New Roman"/>
          <w:sz w:val="24"/>
          <w:szCs w:val="24"/>
          <w:vertAlign w:val="subscript"/>
        </w:rPr>
        <w:t>3</w:t>
      </w:r>
      <w:r w:rsidRPr="009E16C5">
        <w:rPr>
          <w:rFonts w:ascii="Times New Roman" w:hAnsi="Times New Roman"/>
          <w:sz w:val="24"/>
          <w:szCs w:val="24"/>
          <w:vertAlign w:val="superscript"/>
        </w:rPr>
        <w:t>2-</w:t>
      </w:r>
      <w:r w:rsidRPr="009E16C5">
        <w:rPr>
          <w:rFonts w:ascii="Times New Roman" w:hAnsi="Times New Roman"/>
          <w:sz w:val="24"/>
          <w:szCs w:val="24"/>
        </w:rPr>
        <w:t>) in solution which increased the pH of the mixtures (</w:t>
      </w:r>
      <w:r w:rsidRPr="00414A03">
        <w:rPr>
          <w:rFonts w:ascii="Times New Roman" w:hAnsi="Times New Roman"/>
          <w:sz w:val="24"/>
          <w:szCs w:val="24"/>
        </w:rPr>
        <w:t>Osinubi</w:t>
      </w:r>
      <w:r>
        <w:rPr>
          <w:rFonts w:ascii="Times New Roman" w:hAnsi="Times New Roman"/>
          <w:sz w:val="24"/>
          <w:szCs w:val="24"/>
        </w:rPr>
        <w:t>,</w:t>
      </w:r>
      <w:r w:rsidRPr="00414A03">
        <w:rPr>
          <w:rFonts w:ascii="Times New Roman" w:hAnsi="Times New Roman"/>
          <w:sz w:val="24"/>
          <w:szCs w:val="24"/>
        </w:rPr>
        <w:t>Yohanna</w:t>
      </w:r>
      <w:r>
        <w:rPr>
          <w:rFonts w:ascii="Times New Roman" w:hAnsi="Times New Roman"/>
          <w:sz w:val="24"/>
          <w:szCs w:val="24"/>
        </w:rPr>
        <w:t xml:space="preserve">, </w:t>
      </w:r>
      <w:r w:rsidRPr="00414A03">
        <w:rPr>
          <w:rFonts w:ascii="Times New Roman" w:hAnsi="Times New Roman"/>
          <w:sz w:val="24"/>
          <w:szCs w:val="24"/>
        </w:rPr>
        <w:t>Eberem</w:t>
      </w:r>
      <w:r>
        <w:rPr>
          <w:rFonts w:ascii="Times New Roman" w:hAnsi="Times New Roman"/>
          <w:sz w:val="24"/>
          <w:szCs w:val="24"/>
        </w:rPr>
        <w:t>u, and Ijimdiya, 2</w:t>
      </w:r>
      <w:r w:rsidRPr="009E16C5">
        <w:rPr>
          <w:rFonts w:ascii="Times New Roman" w:hAnsi="Times New Roman"/>
          <w:sz w:val="24"/>
          <w:szCs w:val="24"/>
        </w:rPr>
        <w:t xml:space="preserve">019a; </w:t>
      </w:r>
      <w:r w:rsidRPr="00414A03">
        <w:rPr>
          <w:rFonts w:ascii="Times New Roman" w:hAnsi="Times New Roman"/>
          <w:sz w:val="24"/>
          <w:szCs w:val="24"/>
        </w:rPr>
        <w:t>Wangvan</w:t>
      </w:r>
      <w:r>
        <w:rPr>
          <w:rFonts w:ascii="Times New Roman" w:hAnsi="Times New Roman"/>
          <w:sz w:val="24"/>
          <w:szCs w:val="24"/>
        </w:rPr>
        <w:t>,</w:t>
      </w:r>
      <w:r w:rsidRPr="00414A03">
        <w:rPr>
          <w:rFonts w:ascii="Times New Roman" w:hAnsi="Times New Roman"/>
          <w:sz w:val="24"/>
          <w:szCs w:val="24"/>
        </w:rPr>
        <w:t xml:space="preserve"> Paassen</w:t>
      </w:r>
      <w:r>
        <w:rPr>
          <w:rFonts w:ascii="Times New Roman" w:hAnsi="Times New Roman"/>
          <w:sz w:val="24"/>
          <w:szCs w:val="24"/>
        </w:rPr>
        <w:t xml:space="preserve">, and Edward, </w:t>
      </w:r>
      <w:r w:rsidRPr="009E16C5">
        <w:rPr>
          <w:rFonts w:ascii="Times New Roman" w:hAnsi="Times New Roman"/>
          <w:sz w:val="24"/>
          <w:szCs w:val="24"/>
        </w:rPr>
        <w:t xml:space="preserve">2020). This process possibly increased the attraction of the soil clay crystal for water that improved its diffuse double layer and thus increased the liquid </w:t>
      </w:r>
      <w:r w:rsidRPr="00AA3771">
        <w:rPr>
          <w:rFonts w:ascii="Times New Roman" w:hAnsi="Times New Roman"/>
          <w:sz w:val="24"/>
          <w:szCs w:val="24"/>
        </w:rPr>
        <w:t>limit of the mixtures in consideration (</w:t>
      </w:r>
      <w:r w:rsidRPr="00AA3771">
        <w:rPr>
          <w:rFonts w:ascii="Times New Roman" w:hAnsi="Times New Roman"/>
          <w:color w:val="000000"/>
          <w:sz w:val="24"/>
          <w:szCs w:val="24"/>
        </w:rPr>
        <w:t>Neumann</w:t>
      </w:r>
      <w:r>
        <w:rPr>
          <w:rFonts w:ascii="Times New Roman" w:hAnsi="Times New Roman"/>
          <w:color w:val="000000"/>
          <w:sz w:val="24"/>
          <w:szCs w:val="24"/>
        </w:rPr>
        <w:t xml:space="preserve">, </w:t>
      </w:r>
      <w:r w:rsidRPr="00AA3771">
        <w:rPr>
          <w:rFonts w:ascii="Times New Roman" w:hAnsi="Times New Roman"/>
          <w:color w:val="000000"/>
          <w:sz w:val="24"/>
          <w:szCs w:val="24"/>
        </w:rPr>
        <w:t>David</w:t>
      </w:r>
      <w:r>
        <w:rPr>
          <w:rFonts w:ascii="Times New Roman" w:hAnsi="Times New Roman"/>
          <w:color w:val="000000"/>
          <w:sz w:val="24"/>
          <w:szCs w:val="24"/>
        </w:rPr>
        <w:t xml:space="preserve">, and Zuo, </w:t>
      </w:r>
      <w:r w:rsidRPr="00AA3771">
        <w:rPr>
          <w:rFonts w:ascii="Times New Roman" w:hAnsi="Times New Roman"/>
          <w:color w:val="000000"/>
          <w:sz w:val="24"/>
          <w:szCs w:val="24"/>
        </w:rPr>
        <w:t>2011</w:t>
      </w:r>
      <w:r>
        <w:rPr>
          <w:rFonts w:ascii="Times New Roman" w:hAnsi="Times New Roman"/>
          <w:color w:val="000000"/>
          <w:sz w:val="24"/>
          <w:szCs w:val="24"/>
        </w:rPr>
        <w:t xml:space="preserve">; Sani, </w:t>
      </w:r>
      <w:r w:rsidRPr="00AA3771">
        <w:rPr>
          <w:rFonts w:ascii="Times New Roman" w:hAnsi="Times New Roman"/>
          <w:color w:val="000000"/>
          <w:sz w:val="24"/>
          <w:szCs w:val="24"/>
        </w:rPr>
        <w:t>Etim</w:t>
      </w:r>
      <w:r>
        <w:rPr>
          <w:rFonts w:ascii="Times New Roman" w:hAnsi="Times New Roman"/>
          <w:color w:val="000000"/>
          <w:sz w:val="24"/>
          <w:szCs w:val="24"/>
        </w:rPr>
        <w:t xml:space="preserve">, and, Joseph, </w:t>
      </w:r>
      <w:r w:rsidRPr="00AA3771">
        <w:rPr>
          <w:rFonts w:ascii="Times New Roman" w:hAnsi="Times New Roman"/>
          <w:color w:val="000000"/>
          <w:sz w:val="24"/>
          <w:szCs w:val="24"/>
        </w:rPr>
        <w:t>2019</w:t>
      </w:r>
      <w:r w:rsidRPr="009E16C5">
        <w:rPr>
          <w:rFonts w:ascii="Times New Roman" w:hAnsi="Times New Roman"/>
          <w:color w:val="000000"/>
          <w:sz w:val="24"/>
          <w:szCs w:val="24"/>
        </w:rPr>
        <w:t>)</w:t>
      </w:r>
      <w:r w:rsidRPr="009E16C5">
        <w:rPr>
          <w:rFonts w:ascii="Times New Roman" w:hAnsi="Times New Roman"/>
          <w:sz w:val="24"/>
          <w:szCs w:val="24"/>
        </w:rPr>
        <w:t xml:space="preserve">. </w:t>
      </w:r>
    </w:p>
    <w:p w:rsidR="00E75D82" w:rsidRPr="00AA3771" w:rsidRDefault="00E75D82" w:rsidP="00076A1E">
      <w:pPr>
        <w:spacing w:after="0" w:line="240" w:lineRule="auto"/>
        <w:jc w:val="both"/>
        <w:rPr>
          <w:rFonts w:ascii="Times New Roman" w:hAnsi="Times New Roman"/>
          <w:sz w:val="24"/>
          <w:szCs w:val="24"/>
        </w:rPr>
      </w:pPr>
      <w:r w:rsidRPr="009E16C5">
        <w:rPr>
          <w:rFonts w:ascii="Times New Roman" w:hAnsi="Times New Roman"/>
          <w:sz w:val="24"/>
          <w:szCs w:val="24"/>
        </w:rPr>
        <w:t xml:space="preserve">The decrease in LL values with higher </w:t>
      </w:r>
      <w:r w:rsidRPr="009E16C5">
        <w:rPr>
          <w:rFonts w:ascii="Times New Roman" w:hAnsi="Times New Roman"/>
          <w:i/>
          <w:sz w:val="24"/>
          <w:szCs w:val="24"/>
        </w:rPr>
        <w:t xml:space="preserve">B. brevis </w:t>
      </w:r>
      <w:r w:rsidRPr="009E16C5">
        <w:rPr>
          <w:rFonts w:ascii="Times New Roman" w:hAnsi="Times New Roman"/>
          <w:sz w:val="24"/>
          <w:szCs w:val="24"/>
        </w:rPr>
        <w:t>nucleation site could probably be due to increased  cell developing units that  provided larger surface area for  calcium carbonate (CaCO</w:t>
      </w:r>
      <w:r w:rsidRPr="009E16C5">
        <w:rPr>
          <w:rFonts w:ascii="Times New Roman" w:hAnsi="Times New Roman"/>
          <w:sz w:val="24"/>
          <w:szCs w:val="24"/>
          <w:vertAlign w:val="subscript"/>
        </w:rPr>
        <w:t>3</w:t>
      </w:r>
      <w:r w:rsidRPr="009E16C5">
        <w:rPr>
          <w:rFonts w:ascii="Times New Roman" w:hAnsi="Times New Roman"/>
          <w:sz w:val="24"/>
          <w:szCs w:val="24"/>
        </w:rPr>
        <w:t>) and free Ca</w:t>
      </w:r>
      <w:r w:rsidRPr="009E16C5">
        <w:rPr>
          <w:rFonts w:ascii="Times New Roman" w:hAnsi="Times New Roman"/>
          <w:sz w:val="24"/>
          <w:szCs w:val="24"/>
          <w:vertAlign w:val="superscript"/>
        </w:rPr>
        <w:t>2+</w:t>
      </w:r>
      <w:r w:rsidRPr="009E16C5">
        <w:rPr>
          <w:rFonts w:ascii="Times New Roman" w:hAnsi="Times New Roman"/>
          <w:sz w:val="24"/>
          <w:szCs w:val="24"/>
        </w:rPr>
        <w:t>(Osinubi</w:t>
      </w:r>
      <w:r w:rsidRPr="009E16C5">
        <w:rPr>
          <w:rFonts w:ascii="Times New Roman" w:hAnsi="Times New Roman"/>
          <w:i/>
          <w:sz w:val="24"/>
          <w:szCs w:val="24"/>
        </w:rPr>
        <w:t xml:space="preserve"> et al</w:t>
      </w:r>
      <w:r w:rsidRPr="009E16C5">
        <w:rPr>
          <w:rFonts w:ascii="Times New Roman" w:hAnsi="Times New Roman"/>
          <w:sz w:val="24"/>
          <w:szCs w:val="24"/>
        </w:rPr>
        <w:t xml:space="preserve">., 2020; </w:t>
      </w:r>
      <w:r w:rsidRPr="00AA3771">
        <w:rPr>
          <w:rFonts w:ascii="Times New Roman" w:hAnsi="Times New Roman"/>
          <w:sz w:val="24"/>
          <w:szCs w:val="24"/>
        </w:rPr>
        <w:t>Muynck</w:t>
      </w:r>
      <w:r>
        <w:rPr>
          <w:rFonts w:ascii="Times New Roman" w:hAnsi="Times New Roman"/>
          <w:sz w:val="24"/>
          <w:szCs w:val="24"/>
        </w:rPr>
        <w:t xml:space="preserve">, </w:t>
      </w:r>
      <w:r w:rsidRPr="00AA3771">
        <w:rPr>
          <w:rFonts w:ascii="Times New Roman" w:hAnsi="Times New Roman"/>
          <w:sz w:val="24"/>
          <w:szCs w:val="24"/>
        </w:rPr>
        <w:t>Belie</w:t>
      </w:r>
      <w:r>
        <w:rPr>
          <w:rFonts w:ascii="Times New Roman" w:hAnsi="Times New Roman"/>
          <w:sz w:val="24"/>
          <w:szCs w:val="24"/>
        </w:rPr>
        <w:t xml:space="preserve">, </w:t>
      </w:r>
      <w:r w:rsidRPr="00AA3771">
        <w:rPr>
          <w:rFonts w:ascii="Times New Roman" w:hAnsi="Times New Roman"/>
          <w:sz w:val="24"/>
          <w:szCs w:val="24"/>
        </w:rPr>
        <w:t>and Verstraet</w:t>
      </w:r>
      <w:r>
        <w:rPr>
          <w:rFonts w:ascii="Times New Roman" w:hAnsi="Times New Roman"/>
          <w:sz w:val="24"/>
          <w:szCs w:val="24"/>
        </w:rPr>
        <w:t xml:space="preserve">e, </w:t>
      </w:r>
      <w:r w:rsidRPr="009E16C5">
        <w:rPr>
          <w:rFonts w:ascii="Times New Roman" w:hAnsi="Times New Roman"/>
          <w:sz w:val="24"/>
          <w:szCs w:val="24"/>
        </w:rPr>
        <w:t>2020). The non-plastic CaCO</w:t>
      </w:r>
      <w:r w:rsidRPr="009E16C5">
        <w:rPr>
          <w:rFonts w:ascii="Times New Roman" w:hAnsi="Times New Roman"/>
          <w:sz w:val="24"/>
          <w:szCs w:val="24"/>
          <w:vertAlign w:val="subscript"/>
        </w:rPr>
        <w:t xml:space="preserve">3 </w:t>
      </w:r>
      <w:r w:rsidRPr="009E16C5">
        <w:rPr>
          <w:rFonts w:ascii="Times New Roman" w:hAnsi="Times New Roman"/>
          <w:sz w:val="24"/>
          <w:szCs w:val="24"/>
        </w:rPr>
        <w:t xml:space="preserve">that was precipitaed in the pore space of the soil also reduced the LL values of the treated soil sample (Neupane, 2016; </w:t>
      </w:r>
      <w:r w:rsidRPr="00AA3771">
        <w:rPr>
          <w:rFonts w:ascii="Times New Roman" w:hAnsi="Times New Roman"/>
          <w:sz w:val="24"/>
          <w:szCs w:val="24"/>
        </w:rPr>
        <w:t>Osinubi</w:t>
      </w:r>
      <w:r>
        <w:rPr>
          <w:rFonts w:ascii="Times New Roman" w:hAnsi="Times New Roman"/>
          <w:sz w:val="24"/>
          <w:szCs w:val="24"/>
        </w:rPr>
        <w:t xml:space="preserve">, </w:t>
      </w:r>
      <w:r w:rsidRPr="00AA3771">
        <w:rPr>
          <w:rFonts w:ascii="Times New Roman" w:hAnsi="Times New Roman"/>
          <w:sz w:val="24"/>
          <w:szCs w:val="24"/>
        </w:rPr>
        <w:t>Gadzama</w:t>
      </w:r>
      <w:r>
        <w:rPr>
          <w:rFonts w:ascii="Times New Roman" w:hAnsi="Times New Roman"/>
          <w:sz w:val="24"/>
          <w:szCs w:val="24"/>
        </w:rPr>
        <w:t xml:space="preserve">, </w:t>
      </w:r>
      <w:r w:rsidRPr="00AA3771">
        <w:rPr>
          <w:rFonts w:ascii="Times New Roman" w:hAnsi="Times New Roman"/>
          <w:sz w:val="24"/>
          <w:szCs w:val="24"/>
        </w:rPr>
        <w:t>Eberemu</w:t>
      </w:r>
      <w:r>
        <w:rPr>
          <w:rFonts w:ascii="Times New Roman" w:hAnsi="Times New Roman"/>
          <w:sz w:val="24"/>
          <w:szCs w:val="24"/>
        </w:rPr>
        <w:t xml:space="preserve">, </w:t>
      </w:r>
      <w:r w:rsidRPr="00AA3771">
        <w:rPr>
          <w:rFonts w:ascii="Times New Roman" w:hAnsi="Times New Roman"/>
          <w:sz w:val="24"/>
          <w:szCs w:val="24"/>
        </w:rPr>
        <w:t>Ijimdiya</w:t>
      </w:r>
      <w:r>
        <w:rPr>
          <w:rFonts w:ascii="Times New Roman" w:hAnsi="Times New Roman"/>
          <w:sz w:val="24"/>
          <w:szCs w:val="24"/>
        </w:rPr>
        <w:t xml:space="preserve">, </w:t>
      </w:r>
      <w:r w:rsidRPr="00AA3771">
        <w:rPr>
          <w:rFonts w:ascii="Times New Roman" w:hAnsi="Times New Roman"/>
          <w:sz w:val="24"/>
          <w:szCs w:val="24"/>
        </w:rPr>
        <w:t>and Yakubu</w:t>
      </w:r>
      <w:r>
        <w:rPr>
          <w:rFonts w:ascii="Times New Roman" w:hAnsi="Times New Roman"/>
          <w:sz w:val="24"/>
          <w:szCs w:val="24"/>
        </w:rPr>
        <w:t xml:space="preserve">, </w:t>
      </w:r>
      <w:r w:rsidRPr="00AA3771">
        <w:rPr>
          <w:rFonts w:ascii="Times New Roman" w:hAnsi="Times New Roman"/>
          <w:sz w:val="24"/>
          <w:szCs w:val="24"/>
        </w:rPr>
        <w:t>2019b</w:t>
      </w:r>
      <w:r w:rsidRPr="009E16C5">
        <w:rPr>
          <w:rFonts w:ascii="Times New Roman" w:hAnsi="Times New Roman"/>
          <w:sz w:val="24"/>
          <w:szCs w:val="24"/>
        </w:rPr>
        <w:t xml:space="preserve">). The study showed that higher </w:t>
      </w:r>
      <w:r w:rsidRPr="009E16C5">
        <w:rPr>
          <w:rFonts w:ascii="Times New Roman" w:hAnsi="Times New Roman"/>
          <w:i/>
          <w:sz w:val="24"/>
          <w:szCs w:val="24"/>
        </w:rPr>
        <w:t xml:space="preserve">B. brevis </w:t>
      </w:r>
      <w:r w:rsidRPr="009E16C5">
        <w:rPr>
          <w:rFonts w:ascii="Times New Roman" w:hAnsi="Times New Roman"/>
          <w:sz w:val="24"/>
          <w:szCs w:val="24"/>
        </w:rPr>
        <w:t xml:space="preserve">nucleation site is vital for the significant </w:t>
      </w:r>
      <w:r w:rsidRPr="00AA3771">
        <w:rPr>
          <w:rFonts w:ascii="Times New Roman" w:hAnsi="Times New Roman"/>
          <w:sz w:val="24"/>
          <w:szCs w:val="24"/>
        </w:rPr>
        <w:t xml:space="preserve">reduction in the LL value of lateritic soil (Osinubi, Gadzama, Eberemu, and Ijimdiya, 2019c). </w:t>
      </w:r>
      <w:r w:rsidRPr="00AA3771">
        <w:rPr>
          <w:rFonts w:ascii="Times New Roman" w:hAnsi="Times New Roman"/>
          <w:color w:val="000000"/>
          <w:sz w:val="24"/>
          <w:szCs w:val="24"/>
        </w:rPr>
        <w:t xml:space="preserve">Detailed tests results are given in Table </w:t>
      </w:r>
      <w:r w:rsidR="00076A1E" w:rsidRPr="00AA3771">
        <w:rPr>
          <w:rFonts w:ascii="Times New Roman" w:hAnsi="Times New Roman"/>
          <w:color w:val="000000"/>
          <w:sz w:val="24"/>
          <w:szCs w:val="24"/>
        </w:rPr>
        <w:t>A4.6 (</w:t>
      </w:r>
      <w:r w:rsidRPr="00AA3771">
        <w:rPr>
          <w:rFonts w:ascii="Times New Roman" w:hAnsi="Times New Roman"/>
          <w:color w:val="000000"/>
          <w:sz w:val="24"/>
          <w:szCs w:val="24"/>
        </w:rPr>
        <w:t>a-c</w:t>
      </w:r>
      <w:r w:rsidR="00076A1E" w:rsidRPr="00AA3771">
        <w:rPr>
          <w:rFonts w:ascii="Times New Roman" w:hAnsi="Times New Roman"/>
          <w:color w:val="000000"/>
          <w:sz w:val="24"/>
          <w:szCs w:val="24"/>
        </w:rPr>
        <w:t>) of</w:t>
      </w:r>
      <w:r w:rsidRPr="00AA3771">
        <w:rPr>
          <w:rFonts w:ascii="Times New Roman" w:hAnsi="Times New Roman"/>
          <w:color w:val="000000"/>
          <w:sz w:val="24"/>
          <w:szCs w:val="24"/>
        </w:rPr>
        <w:t xml:space="preserve"> the Appendix.</w:t>
      </w:r>
    </w:p>
    <w:p w:rsidR="00E75D82" w:rsidRPr="009E16C5" w:rsidRDefault="00E75D82" w:rsidP="00076A1E">
      <w:pPr>
        <w:spacing w:after="0" w:line="240" w:lineRule="auto"/>
        <w:jc w:val="both"/>
        <w:rPr>
          <w:rFonts w:ascii="Times New Roman" w:hAnsi="Times New Roman"/>
          <w:b/>
          <w:color w:val="000000"/>
          <w:sz w:val="24"/>
          <w:szCs w:val="24"/>
        </w:rPr>
      </w:pPr>
    </w:p>
    <w:p w:rsidR="00E75D82" w:rsidRPr="00076A1E" w:rsidRDefault="00E75D82" w:rsidP="00076A1E">
      <w:pPr>
        <w:spacing w:after="0" w:line="240" w:lineRule="auto"/>
        <w:jc w:val="both"/>
        <w:rPr>
          <w:rFonts w:ascii="Times New Roman" w:hAnsi="Times New Roman"/>
          <w:b/>
          <w:color w:val="000000"/>
          <w:sz w:val="24"/>
          <w:szCs w:val="24"/>
        </w:rPr>
      </w:pPr>
      <w:r w:rsidRPr="00076A1E">
        <w:rPr>
          <w:rFonts w:ascii="Times New Roman" w:hAnsi="Times New Roman"/>
          <w:b/>
          <w:iCs/>
          <w:color w:val="000000"/>
          <w:sz w:val="24"/>
          <w:szCs w:val="24"/>
        </w:rPr>
        <w:t>3.</w:t>
      </w:r>
      <w:r w:rsidR="00076A1E" w:rsidRPr="00076A1E">
        <w:rPr>
          <w:rFonts w:ascii="Times New Roman" w:hAnsi="Times New Roman"/>
          <w:b/>
          <w:iCs/>
          <w:color w:val="000000"/>
          <w:sz w:val="24"/>
          <w:szCs w:val="24"/>
        </w:rPr>
        <w:t>1.</w:t>
      </w:r>
      <w:r w:rsidRPr="00076A1E">
        <w:rPr>
          <w:rFonts w:ascii="Times New Roman" w:hAnsi="Times New Roman"/>
          <w:b/>
          <w:iCs/>
          <w:color w:val="000000"/>
          <w:sz w:val="24"/>
          <w:szCs w:val="24"/>
        </w:rPr>
        <w:t xml:space="preserve">2 </w:t>
      </w:r>
      <w:r w:rsidRPr="00076A1E">
        <w:rPr>
          <w:rFonts w:ascii="Times New Roman" w:hAnsi="Times New Roman"/>
          <w:b/>
          <w:color w:val="000000"/>
          <w:sz w:val="24"/>
          <w:szCs w:val="24"/>
        </w:rPr>
        <w:t>Plastic limit</w:t>
      </w:r>
    </w:p>
    <w:p w:rsidR="00E75D82" w:rsidRPr="009E16C5" w:rsidRDefault="00E75D82" w:rsidP="00076A1E">
      <w:pPr>
        <w:autoSpaceDE w:val="0"/>
        <w:autoSpaceDN w:val="0"/>
        <w:adjustRightInd w:val="0"/>
        <w:spacing w:after="0" w:line="240" w:lineRule="auto"/>
        <w:jc w:val="both"/>
        <w:rPr>
          <w:rFonts w:ascii="Times New Roman" w:hAnsi="Times New Roman"/>
          <w:sz w:val="24"/>
          <w:szCs w:val="24"/>
        </w:rPr>
      </w:pPr>
      <w:r w:rsidRPr="009E16C5">
        <w:rPr>
          <w:rFonts w:ascii="Times New Roman" w:hAnsi="Times New Roman"/>
          <w:bCs/>
          <w:iCs/>
          <w:color w:val="000000"/>
          <w:sz w:val="24"/>
          <w:szCs w:val="24"/>
        </w:rPr>
        <w:t xml:space="preserve">The effects of B. </w:t>
      </w:r>
      <w:r w:rsidRPr="009E16C5">
        <w:rPr>
          <w:rFonts w:ascii="Times New Roman" w:hAnsi="Times New Roman"/>
          <w:bCs/>
          <w:i/>
          <w:iCs/>
          <w:color w:val="000000"/>
          <w:sz w:val="24"/>
          <w:szCs w:val="24"/>
        </w:rPr>
        <w:t>brevis</w:t>
      </w:r>
      <w:r w:rsidRPr="009E16C5">
        <w:rPr>
          <w:rFonts w:ascii="Times New Roman" w:hAnsi="Times New Roman"/>
          <w:bCs/>
          <w:iCs/>
          <w:color w:val="000000"/>
          <w:sz w:val="24"/>
          <w:szCs w:val="24"/>
        </w:rPr>
        <w:t xml:space="preserve"> suspension density and cementation reagent concentration on plastic limit (PL) of lateritic soil for the three modes of treatment are shown in Fig. </w:t>
      </w:r>
      <w:r>
        <w:rPr>
          <w:rFonts w:ascii="Times New Roman" w:hAnsi="Times New Roman"/>
          <w:bCs/>
          <w:iCs/>
          <w:color w:val="000000"/>
          <w:sz w:val="24"/>
          <w:szCs w:val="24"/>
        </w:rPr>
        <w:t>4.4(b)</w:t>
      </w:r>
      <w:r w:rsidRPr="009E16C5">
        <w:rPr>
          <w:rFonts w:ascii="Times New Roman" w:hAnsi="Times New Roman"/>
          <w:bCs/>
          <w:iCs/>
          <w:color w:val="000000"/>
          <w:sz w:val="24"/>
          <w:szCs w:val="24"/>
        </w:rPr>
        <w:t xml:space="preserve">. </w:t>
      </w:r>
    </w:p>
    <w:p w:rsidR="00E75D82" w:rsidRPr="009E16C5" w:rsidRDefault="00E75D82" w:rsidP="00076A1E">
      <w:pPr>
        <w:autoSpaceDE w:val="0"/>
        <w:autoSpaceDN w:val="0"/>
        <w:adjustRightInd w:val="0"/>
        <w:spacing w:after="0" w:line="240" w:lineRule="auto"/>
        <w:jc w:val="both"/>
        <w:rPr>
          <w:rFonts w:ascii="Times New Roman" w:hAnsi="Times New Roman"/>
          <w:sz w:val="24"/>
          <w:szCs w:val="24"/>
        </w:rPr>
      </w:pPr>
    </w:p>
    <w:p w:rsidR="00E75D82" w:rsidRPr="009E16C5" w:rsidRDefault="00123529" w:rsidP="00076A1E">
      <w:pPr>
        <w:spacing w:after="0" w:line="240" w:lineRule="auto"/>
        <w:jc w:val="both"/>
        <w:rPr>
          <w:rFonts w:ascii="Times New Roman" w:hAnsi="Times New Roman"/>
          <w:b/>
          <w:color w:val="000000"/>
          <w:sz w:val="24"/>
          <w:szCs w:val="24"/>
        </w:rPr>
      </w:pPr>
      <w:r w:rsidRPr="00040644">
        <w:rPr>
          <w:noProof/>
          <w:lang w:eastAsia="en-US"/>
        </w:rPr>
        <w:drawing>
          <wp:inline distT="0" distB="0" distL="0" distR="0">
            <wp:extent cx="5942965" cy="1895475"/>
            <wp:effectExtent l="0" t="0" r="635" b="9525"/>
            <wp:docPr id="5" name="Chart 4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75D82" w:rsidRPr="009E16C5" w:rsidRDefault="00E75D82" w:rsidP="00076A1E">
      <w:pPr>
        <w:autoSpaceDE w:val="0"/>
        <w:autoSpaceDN w:val="0"/>
        <w:adjustRightInd w:val="0"/>
        <w:spacing w:after="0" w:line="240" w:lineRule="auto"/>
        <w:jc w:val="both"/>
        <w:rPr>
          <w:rFonts w:ascii="Times New Roman" w:hAnsi="Times New Roman"/>
          <w:sz w:val="24"/>
          <w:szCs w:val="24"/>
        </w:rPr>
      </w:pPr>
    </w:p>
    <w:p w:rsidR="00E75D82" w:rsidRPr="009E16C5" w:rsidRDefault="00123529" w:rsidP="00076A1E">
      <w:pPr>
        <w:spacing w:after="0" w:line="240" w:lineRule="auto"/>
        <w:jc w:val="both"/>
        <w:rPr>
          <w:rFonts w:ascii="Times New Roman" w:hAnsi="Times New Roman"/>
          <w:b/>
          <w:color w:val="000000"/>
          <w:sz w:val="24"/>
          <w:szCs w:val="24"/>
        </w:rPr>
      </w:pPr>
      <w:r w:rsidRPr="00040644">
        <w:rPr>
          <w:noProof/>
          <w:lang w:eastAsia="en-US"/>
        </w:rPr>
        <w:lastRenderedPageBreak/>
        <w:drawing>
          <wp:inline distT="0" distB="0" distL="0" distR="0">
            <wp:extent cx="5942965" cy="2373630"/>
            <wp:effectExtent l="0" t="0" r="635" b="7620"/>
            <wp:docPr id="6" name="Chart 4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75D82" w:rsidRPr="009E16C5" w:rsidRDefault="00E75D82" w:rsidP="00076A1E">
      <w:pPr>
        <w:spacing w:after="0" w:line="240" w:lineRule="auto"/>
        <w:jc w:val="both"/>
        <w:outlineLvl w:val="0"/>
        <w:rPr>
          <w:rFonts w:ascii="Times New Roman" w:hAnsi="Times New Roman"/>
          <w:iCs/>
          <w:sz w:val="24"/>
          <w:szCs w:val="24"/>
        </w:rPr>
      </w:pPr>
    </w:p>
    <w:p w:rsidR="00E75D82" w:rsidRPr="009E16C5" w:rsidRDefault="00123529" w:rsidP="00076A1E">
      <w:pPr>
        <w:spacing w:after="0" w:line="240" w:lineRule="auto"/>
        <w:jc w:val="both"/>
        <w:rPr>
          <w:rFonts w:ascii="Times New Roman" w:hAnsi="Times New Roman"/>
          <w:b/>
          <w:color w:val="000000"/>
          <w:sz w:val="24"/>
          <w:szCs w:val="24"/>
        </w:rPr>
      </w:pPr>
      <w:r w:rsidRPr="00040644">
        <w:rPr>
          <w:noProof/>
          <w:lang w:eastAsia="en-US"/>
        </w:rPr>
        <w:drawing>
          <wp:inline distT="0" distB="0" distL="0" distR="0">
            <wp:extent cx="5674360" cy="2029460"/>
            <wp:effectExtent l="0" t="0" r="2540" b="8890"/>
            <wp:docPr id="7" name="Chart 4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75D82" w:rsidRDefault="00E75D82" w:rsidP="00076A1E">
      <w:pPr>
        <w:spacing w:after="0" w:line="240" w:lineRule="auto"/>
        <w:jc w:val="both"/>
        <w:outlineLvl w:val="0"/>
        <w:rPr>
          <w:rFonts w:ascii="Times New Roman" w:hAnsi="Times New Roman"/>
          <w:sz w:val="24"/>
          <w:szCs w:val="24"/>
        </w:rPr>
      </w:pPr>
      <w:r>
        <w:rPr>
          <w:rFonts w:ascii="Times New Roman" w:hAnsi="Times New Roman"/>
          <w:iCs/>
          <w:sz w:val="24"/>
          <w:szCs w:val="24"/>
        </w:rPr>
        <w:t>Fig.</w:t>
      </w:r>
      <w:r w:rsidRPr="009E16C5">
        <w:rPr>
          <w:rFonts w:ascii="Times New Roman" w:hAnsi="Times New Roman"/>
          <w:iCs/>
          <w:sz w:val="24"/>
          <w:szCs w:val="24"/>
        </w:rPr>
        <w:t xml:space="preserve"> </w:t>
      </w:r>
      <w:r>
        <w:rPr>
          <w:rFonts w:ascii="Times New Roman" w:hAnsi="Times New Roman"/>
          <w:iCs/>
          <w:sz w:val="24"/>
          <w:szCs w:val="24"/>
        </w:rPr>
        <w:t>4.4(b):</w:t>
      </w:r>
      <w:r w:rsidRPr="009E16C5">
        <w:rPr>
          <w:rFonts w:ascii="Times New Roman" w:hAnsi="Times New Roman"/>
          <w:iCs/>
          <w:sz w:val="24"/>
          <w:szCs w:val="24"/>
        </w:rPr>
        <w:t xml:space="preserve"> Variation of plastic limit of lateritic soil - B. </w:t>
      </w:r>
      <w:r w:rsidRPr="009E16C5">
        <w:rPr>
          <w:rFonts w:ascii="Times New Roman" w:hAnsi="Times New Roman"/>
          <w:i/>
          <w:iCs/>
          <w:sz w:val="24"/>
          <w:szCs w:val="24"/>
        </w:rPr>
        <w:t>brevis</w:t>
      </w:r>
      <w:r w:rsidRPr="009E16C5">
        <w:rPr>
          <w:rFonts w:ascii="Times New Roman" w:hAnsi="Times New Roman"/>
          <w:iCs/>
          <w:sz w:val="24"/>
          <w:szCs w:val="24"/>
        </w:rPr>
        <w:t xml:space="preserve"> (B) mixtures with cementation reagent</w:t>
      </w:r>
      <w:r w:rsidRPr="009E16C5">
        <w:rPr>
          <w:rFonts w:ascii="Times New Roman" w:hAnsi="Times New Roman"/>
          <w:sz w:val="24"/>
          <w:szCs w:val="24"/>
        </w:rPr>
        <w:t xml:space="preserve"> concentration (C) for the three modes of application when prepared with different mix ratios: (a) 25 % B: 75 % (b) 50 % B : 50 % C (c) 75 % B : 25 % C</w:t>
      </w:r>
    </w:p>
    <w:p w:rsidR="00123529" w:rsidRPr="00123529" w:rsidRDefault="00123529" w:rsidP="00123529">
      <w:pPr>
        <w:spacing w:after="0" w:line="240" w:lineRule="auto"/>
      </w:pPr>
    </w:p>
    <w:p w:rsidR="00E75D82" w:rsidRDefault="00E75D82" w:rsidP="00076A1E">
      <w:pPr>
        <w:spacing w:after="0" w:line="240" w:lineRule="auto"/>
        <w:jc w:val="both"/>
        <w:outlineLvl w:val="0"/>
        <w:rPr>
          <w:rFonts w:ascii="Times New Roman" w:hAnsi="Times New Roman"/>
          <w:sz w:val="24"/>
          <w:szCs w:val="24"/>
        </w:rPr>
      </w:pPr>
      <w:r w:rsidRPr="009E16C5">
        <w:rPr>
          <w:rFonts w:ascii="Times New Roman" w:hAnsi="Times New Roman"/>
          <w:sz w:val="24"/>
          <w:szCs w:val="24"/>
        </w:rPr>
        <w:t>In the mixing method of treatment of lateritic soil peak PL values of 21.6 % (0 cells/ml and 0.25 M), 20 % (0 cells/ml and 0.25 M) and 22.8 % (1.5 &amp; 6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0.75 M) for specimens prepared with 25 % B : 75 %, 50 % B : 50 % C and 75 % B : 25 % C, respectively, this might be connected to the hydrolysed urea thus led to the development of calcite thus support in hardening  the soil (Yohanna </w:t>
      </w:r>
      <w:r w:rsidRPr="009E16C5">
        <w:rPr>
          <w:rFonts w:ascii="Times New Roman" w:hAnsi="Times New Roman"/>
          <w:i/>
          <w:sz w:val="24"/>
          <w:szCs w:val="24"/>
        </w:rPr>
        <w:t>et., al,</w:t>
      </w:r>
      <w:r w:rsidRPr="009E16C5">
        <w:rPr>
          <w:rFonts w:ascii="Times New Roman" w:hAnsi="Times New Roman"/>
          <w:sz w:val="24"/>
          <w:szCs w:val="24"/>
        </w:rPr>
        <w:t xml:space="preserve"> 2022). For the injection method of treatment of latertic soil peak LL values of 23.0 % (6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M), 23.1 % (1.50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0.5 M) and 24.5 % (6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&amp; 0.5 M) for specimens prepared with 25 % B : 75 %, 50 % B : 50 % C and 75 % B : 25 % C, respectively. The spraying method of treatment of lateritic soil recorded peak LL values of 24.1 % (1.50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M), 23.0 % (1.50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0.25 M) and 28.4 % (12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1 M) for specimens prepared with 25 % B : 75 %, 50 % B : 50 % C and 75 % B : 25 % C, respectively. For all the mix ratios and modes of treatment considered, the probable reason for the increase in PL values might not be unconnected to the decreased quantity of Ca</w:t>
      </w:r>
      <w:r w:rsidRPr="009E16C5">
        <w:rPr>
          <w:rFonts w:ascii="Times New Roman" w:hAnsi="Times New Roman"/>
          <w:sz w:val="24"/>
          <w:szCs w:val="24"/>
          <w:vertAlign w:val="superscript"/>
        </w:rPr>
        <w:t xml:space="preserve">2+ </w:t>
      </w:r>
      <w:r w:rsidRPr="009E16C5">
        <w:rPr>
          <w:rFonts w:ascii="Times New Roman" w:hAnsi="Times New Roman"/>
          <w:sz w:val="24"/>
          <w:szCs w:val="24"/>
        </w:rPr>
        <w:t xml:space="preserve"> in solution that facilitated the formation  of anhydrous calcite (CaCO</w:t>
      </w:r>
      <w:r w:rsidRPr="009E16C5">
        <w:rPr>
          <w:rFonts w:ascii="Times New Roman" w:hAnsi="Times New Roman"/>
          <w:sz w:val="24"/>
          <w:szCs w:val="24"/>
          <w:vertAlign w:val="subscript"/>
        </w:rPr>
        <w:t>3</w:t>
      </w:r>
      <w:r w:rsidRPr="009E16C5">
        <w:rPr>
          <w:rFonts w:ascii="Times New Roman" w:hAnsi="Times New Roman"/>
          <w:sz w:val="24"/>
          <w:szCs w:val="24"/>
        </w:rPr>
        <w:t>.H</w:t>
      </w:r>
      <w:r w:rsidRPr="009E16C5">
        <w:rPr>
          <w:rFonts w:ascii="Times New Roman" w:hAnsi="Times New Roman"/>
          <w:sz w:val="24"/>
          <w:szCs w:val="24"/>
          <w:vertAlign w:val="subscript"/>
        </w:rPr>
        <w:t>2</w:t>
      </w:r>
      <w:r w:rsidRPr="009E16C5">
        <w:rPr>
          <w:rFonts w:ascii="Times New Roman" w:hAnsi="Times New Roman"/>
          <w:sz w:val="24"/>
          <w:szCs w:val="24"/>
        </w:rPr>
        <w:t xml:space="preserve">O) (Li </w:t>
      </w:r>
      <w:r w:rsidRPr="009E16C5">
        <w:rPr>
          <w:rFonts w:ascii="Times New Roman" w:hAnsi="Times New Roman"/>
          <w:i/>
          <w:sz w:val="24"/>
          <w:szCs w:val="24"/>
        </w:rPr>
        <w:t>et al</w:t>
      </w:r>
      <w:r w:rsidRPr="009E16C5">
        <w:rPr>
          <w:rFonts w:ascii="Times New Roman" w:hAnsi="Times New Roman"/>
          <w:sz w:val="24"/>
          <w:szCs w:val="24"/>
        </w:rPr>
        <w:t xml:space="preserve">., 2013; Dhami </w:t>
      </w:r>
      <w:r w:rsidRPr="009E16C5">
        <w:rPr>
          <w:rFonts w:ascii="Times New Roman" w:hAnsi="Times New Roman"/>
          <w:i/>
          <w:sz w:val="24"/>
          <w:szCs w:val="24"/>
        </w:rPr>
        <w:t>et al</w:t>
      </w:r>
      <w:r w:rsidRPr="009E16C5">
        <w:rPr>
          <w:rFonts w:ascii="Times New Roman" w:hAnsi="Times New Roman"/>
          <w:sz w:val="24"/>
          <w:szCs w:val="24"/>
        </w:rPr>
        <w:t xml:space="preserve">., 2016; Yohanna </w:t>
      </w:r>
      <w:r w:rsidRPr="009E16C5">
        <w:rPr>
          <w:rFonts w:ascii="Times New Roman" w:hAnsi="Times New Roman"/>
          <w:i/>
          <w:sz w:val="24"/>
          <w:szCs w:val="24"/>
        </w:rPr>
        <w:t>et., al,</w:t>
      </w:r>
      <w:r w:rsidRPr="009E16C5">
        <w:rPr>
          <w:rFonts w:ascii="Times New Roman" w:hAnsi="Times New Roman"/>
          <w:sz w:val="24"/>
          <w:szCs w:val="24"/>
        </w:rPr>
        <w:t xml:space="preserve"> 2022). Adequate quantity of Ca</w:t>
      </w:r>
      <w:r w:rsidRPr="009E16C5">
        <w:rPr>
          <w:rFonts w:ascii="Times New Roman" w:hAnsi="Times New Roman"/>
          <w:sz w:val="24"/>
          <w:szCs w:val="24"/>
          <w:vertAlign w:val="superscript"/>
        </w:rPr>
        <w:t>2+</w:t>
      </w:r>
      <w:r w:rsidRPr="009E16C5">
        <w:rPr>
          <w:rFonts w:ascii="Times New Roman" w:hAnsi="Times New Roman"/>
          <w:sz w:val="24"/>
          <w:szCs w:val="24"/>
        </w:rPr>
        <w:t xml:space="preserve"> was neither accessible nor adsorbed on calcite surface triggering reduced deposition of ion couples (CaCO</w:t>
      </w:r>
      <w:r w:rsidRPr="009E16C5">
        <w:rPr>
          <w:rFonts w:ascii="Times New Roman" w:hAnsi="Times New Roman"/>
          <w:sz w:val="24"/>
          <w:szCs w:val="24"/>
          <w:vertAlign w:val="subscript"/>
        </w:rPr>
        <w:t>3</w:t>
      </w:r>
      <w:r w:rsidRPr="009E16C5">
        <w:rPr>
          <w:rFonts w:ascii="Times New Roman" w:hAnsi="Times New Roman"/>
          <w:sz w:val="24"/>
          <w:szCs w:val="24"/>
        </w:rPr>
        <w:t xml:space="preserve">) and alteration of anhydrous calcite (vaterite) to calcium carbonate which reduced the plastic limit </w:t>
      </w:r>
      <w:r w:rsidRPr="009E16C5">
        <w:rPr>
          <w:rFonts w:ascii="Times New Roman" w:hAnsi="Times New Roman"/>
          <w:sz w:val="24"/>
          <w:szCs w:val="24"/>
        </w:rPr>
        <w:lastRenderedPageBreak/>
        <w:t>(PL) (</w:t>
      </w:r>
      <w:r w:rsidRPr="0097723F">
        <w:rPr>
          <w:rFonts w:ascii="Times New Roman" w:hAnsi="Times New Roman"/>
          <w:sz w:val="24"/>
          <w:szCs w:val="24"/>
        </w:rPr>
        <w:t xml:space="preserve">Dhami., Sundhakara, and Mukherjee, 2013; </w:t>
      </w:r>
      <w:r>
        <w:rPr>
          <w:rFonts w:ascii="Times New Roman" w:hAnsi="Times New Roman"/>
          <w:sz w:val="24"/>
          <w:szCs w:val="24"/>
        </w:rPr>
        <w:t xml:space="preserve">Li, </w:t>
      </w:r>
      <w:r w:rsidRPr="0097723F">
        <w:rPr>
          <w:rFonts w:ascii="Times New Roman" w:hAnsi="Times New Roman"/>
          <w:sz w:val="24"/>
          <w:szCs w:val="24"/>
        </w:rPr>
        <w:t>Cheng, Zhou, Zhu, and Yu, 2013; Yohanna</w:t>
      </w:r>
      <w:r w:rsidRPr="009E16C5">
        <w:rPr>
          <w:rFonts w:ascii="Times New Roman" w:hAnsi="Times New Roman"/>
          <w:sz w:val="24"/>
          <w:szCs w:val="24"/>
        </w:rPr>
        <w:t xml:space="preserve"> </w:t>
      </w:r>
      <w:r w:rsidRPr="009E16C5">
        <w:rPr>
          <w:rFonts w:ascii="Times New Roman" w:hAnsi="Times New Roman"/>
          <w:i/>
          <w:sz w:val="24"/>
          <w:szCs w:val="24"/>
        </w:rPr>
        <w:t>et., al,</w:t>
      </w:r>
      <w:r w:rsidRPr="009E16C5">
        <w:rPr>
          <w:rFonts w:ascii="Times New Roman" w:hAnsi="Times New Roman"/>
          <w:sz w:val="24"/>
          <w:szCs w:val="24"/>
        </w:rPr>
        <w:t xml:space="preserve"> 2022). This indicates that the conserved water in vaterite could have started a vital increase in moisture of the mixture that led to increased PL values that increased with higher B. </w:t>
      </w:r>
      <w:r w:rsidRPr="009E16C5">
        <w:rPr>
          <w:rFonts w:ascii="Times New Roman" w:hAnsi="Times New Roman"/>
          <w:i/>
          <w:sz w:val="24"/>
          <w:szCs w:val="24"/>
        </w:rPr>
        <w:t xml:space="preserve">brevis </w:t>
      </w:r>
      <w:r w:rsidRPr="009E16C5">
        <w:rPr>
          <w:rFonts w:ascii="Times New Roman" w:hAnsi="Times New Roman"/>
          <w:sz w:val="24"/>
          <w:szCs w:val="24"/>
        </w:rPr>
        <w:t>nucleation site and cementation reagent concentration. Similar findings were reported by researc</w:t>
      </w:r>
      <w:r>
        <w:rPr>
          <w:rFonts w:ascii="Times New Roman" w:hAnsi="Times New Roman"/>
          <w:sz w:val="24"/>
          <w:szCs w:val="24"/>
        </w:rPr>
        <w:t>h</w:t>
      </w:r>
      <w:r w:rsidRPr="009E16C5">
        <w:rPr>
          <w:rFonts w:ascii="Times New Roman" w:hAnsi="Times New Roman"/>
          <w:sz w:val="24"/>
          <w:szCs w:val="24"/>
        </w:rPr>
        <w:t>ers (</w:t>
      </w:r>
      <w:r>
        <w:rPr>
          <w:rFonts w:ascii="Times New Roman" w:hAnsi="Times New Roman"/>
          <w:sz w:val="24"/>
          <w:szCs w:val="24"/>
        </w:rPr>
        <w:t xml:space="preserve">e.g., </w:t>
      </w:r>
      <w:r w:rsidRPr="009E16C5">
        <w:rPr>
          <w:rFonts w:ascii="Times New Roman" w:hAnsi="Times New Roman"/>
          <w:sz w:val="24"/>
          <w:szCs w:val="24"/>
        </w:rPr>
        <w:t xml:space="preserve">Neupane, 2016; Osinubi </w:t>
      </w:r>
      <w:r w:rsidRPr="009E16C5">
        <w:rPr>
          <w:rFonts w:ascii="Times New Roman" w:hAnsi="Times New Roman"/>
          <w:i/>
          <w:sz w:val="24"/>
          <w:szCs w:val="24"/>
        </w:rPr>
        <w:t>et al</w:t>
      </w:r>
      <w:r w:rsidRPr="009E16C5">
        <w:rPr>
          <w:rFonts w:ascii="Times New Roman" w:hAnsi="Times New Roman"/>
          <w:sz w:val="24"/>
          <w:szCs w:val="24"/>
        </w:rPr>
        <w:t>., 2017; 2019</w:t>
      </w:r>
      <w:r>
        <w:rPr>
          <w:rFonts w:ascii="Times New Roman" w:hAnsi="Times New Roman"/>
          <w:sz w:val="24"/>
          <w:szCs w:val="24"/>
        </w:rPr>
        <w:t>b)</w:t>
      </w:r>
      <w:r w:rsidRPr="009E16C5">
        <w:rPr>
          <w:rFonts w:ascii="Times New Roman" w:hAnsi="Times New Roman"/>
          <w:sz w:val="24"/>
          <w:szCs w:val="24"/>
        </w:rPr>
        <w:t xml:space="preserve">. This underscores the significance of the treatment constituents on the plasticity of lateritic soil treated with </w:t>
      </w:r>
      <w:r w:rsidRPr="009E16C5">
        <w:rPr>
          <w:rFonts w:ascii="Times New Roman" w:hAnsi="Times New Roman"/>
          <w:i/>
          <w:iCs/>
          <w:sz w:val="24"/>
          <w:szCs w:val="24"/>
        </w:rPr>
        <w:t xml:space="preserve">B. brevis </w:t>
      </w:r>
      <w:r w:rsidRPr="009E16C5">
        <w:rPr>
          <w:rFonts w:ascii="Times New Roman" w:hAnsi="Times New Roman"/>
          <w:sz w:val="24"/>
          <w:szCs w:val="24"/>
        </w:rPr>
        <w:t xml:space="preserve">suspension density. Consequently, appropriate consideration of treatment constituents is essential for field application in order to attain the anticipated workability (Yohanna </w:t>
      </w:r>
      <w:r w:rsidRPr="009E16C5">
        <w:rPr>
          <w:rFonts w:ascii="Times New Roman" w:hAnsi="Times New Roman"/>
          <w:i/>
          <w:sz w:val="24"/>
          <w:szCs w:val="24"/>
        </w:rPr>
        <w:t>et al.,</w:t>
      </w:r>
      <w:r w:rsidRPr="009E16C5">
        <w:rPr>
          <w:rFonts w:ascii="Times New Roman" w:hAnsi="Times New Roman"/>
          <w:sz w:val="24"/>
          <w:szCs w:val="24"/>
        </w:rPr>
        <w:t xml:space="preserve"> 2022).</w:t>
      </w:r>
      <w:r>
        <w:rPr>
          <w:rFonts w:ascii="Times New Roman" w:hAnsi="Times New Roman"/>
          <w:sz w:val="24"/>
          <w:szCs w:val="24"/>
        </w:rPr>
        <w:t xml:space="preserve"> </w:t>
      </w:r>
      <w:r>
        <w:rPr>
          <w:rFonts w:ascii="Times New Roman" w:hAnsi="Times New Roman"/>
          <w:color w:val="000000"/>
          <w:sz w:val="24"/>
          <w:szCs w:val="24"/>
        </w:rPr>
        <w:t xml:space="preserve">Detailed tests results are given in </w:t>
      </w:r>
      <w:r w:rsidRPr="0097723F">
        <w:rPr>
          <w:rFonts w:ascii="Times New Roman" w:hAnsi="Times New Roman"/>
          <w:color w:val="000000"/>
          <w:sz w:val="24"/>
          <w:szCs w:val="24"/>
        </w:rPr>
        <w:t xml:space="preserve">Table </w:t>
      </w:r>
      <w:r>
        <w:rPr>
          <w:rFonts w:ascii="Times New Roman" w:hAnsi="Times New Roman"/>
          <w:color w:val="000000"/>
          <w:sz w:val="24"/>
          <w:szCs w:val="24"/>
        </w:rPr>
        <w:t>A4.6 (d</w:t>
      </w:r>
      <w:r w:rsidRPr="0097723F">
        <w:rPr>
          <w:rFonts w:ascii="Times New Roman" w:hAnsi="Times New Roman"/>
          <w:color w:val="000000"/>
          <w:sz w:val="24"/>
          <w:szCs w:val="24"/>
        </w:rPr>
        <w:t>-</w:t>
      </w:r>
      <w:r>
        <w:rPr>
          <w:rFonts w:ascii="Times New Roman" w:hAnsi="Times New Roman"/>
          <w:color w:val="000000"/>
          <w:sz w:val="24"/>
          <w:szCs w:val="24"/>
        </w:rPr>
        <w:t>f) of the Appendix.</w:t>
      </w:r>
    </w:p>
    <w:p w:rsidR="00E75D82" w:rsidRDefault="00E75D82" w:rsidP="00076A1E">
      <w:pPr>
        <w:spacing w:after="0" w:line="240" w:lineRule="auto"/>
        <w:jc w:val="both"/>
        <w:outlineLvl w:val="0"/>
        <w:rPr>
          <w:rFonts w:ascii="Times New Roman" w:hAnsi="Times New Roman"/>
          <w:sz w:val="24"/>
          <w:szCs w:val="24"/>
        </w:rPr>
      </w:pPr>
    </w:p>
    <w:p w:rsidR="00E75D82" w:rsidRPr="009F12FC" w:rsidRDefault="00E75D82" w:rsidP="00076A1E">
      <w:pPr>
        <w:spacing w:after="0" w:line="240" w:lineRule="auto"/>
        <w:jc w:val="both"/>
        <w:outlineLvl w:val="0"/>
        <w:rPr>
          <w:rFonts w:ascii="Times New Roman" w:hAnsi="Times New Roman"/>
          <w:sz w:val="24"/>
          <w:szCs w:val="24"/>
        </w:rPr>
      </w:pPr>
    </w:p>
    <w:p w:rsidR="00E75D82" w:rsidRPr="00076A1E" w:rsidRDefault="00E75D82" w:rsidP="00076A1E">
      <w:pPr>
        <w:spacing w:after="0" w:line="240" w:lineRule="auto"/>
        <w:jc w:val="both"/>
        <w:rPr>
          <w:rFonts w:ascii="Times New Roman" w:hAnsi="Times New Roman"/>
          <w:b/>
          <w:color w:val="000000"/>
          <w:sz w:val="24"/>
          <w:szCs w:val="24"/>
        </w:rPr>
      </w:pPr>
      <w:r w:rsidRPr="00076A1E">
        <w:rPr>
          <w:rFonts w:ascii="Times New Roman" w:hAnsi="Times New Roman"/>
          <w:b/>
          <w:iCs/>
          <w:color w:val="000000"/>
          <w:sz w:val="24"/>
          <w:szCs w:val="24"/>
        </w:rPr>
        <w:t>3.</w:t>
      </w:r>
      <w:r w:rsidR="00076A1E" w:rsidRPr="00076A1E">
        <w:rPr>
          <w:rFonts w:ascii="Times New Roman" w:hAnsi="Times New Roman"/>
          <w:b/>
          <w:iCs/>
          <w:color w:val="000000"/>
          <w:sz w:val="24"/>
          <w:szCs w:val="24"/>
        </w:rPr>
        <w:t>1.</w:t>
      </w:r>
      <w:r w:rsidRPr="00076A1E">
        <w:rPr>
          <w:rFonts w:ascii="Times New Roman" w:hAnsi="Times New Roman"/>
          <w:b/>
          <w:iCs/>
          <w:color w:val="000000"/>
          <w:sz w:val="24"/>
          <w:szCs w:val="24"/>
        </w:rPr>
        <w:t xml:space="preserve">3 </w:t>
      </w:r>
      <w:r w:rsidRPr="00076A1E">
        <w:rPr>
          <w:rFonts w:ascii="Times New Roman" w:hAnsi="Times New Roman"/>
          <w:b/>
          <w:color w:val="000000"/>
          <w:sz w:val="24"/>
          <w:szCs w:val="24"/>
        </w:rPr>
        <w:t xml:space="preserve">Plasticity index </w:t>
      </w:r>
    </w:p>
    <w:p w:rsidR="00E75D82" w:rsidRPr="009E16C5" w:rsidRDefault="00E75D82" w:rsidP="00076A1E">
      <w:pPr>
        <w:autoSpaceDE w:val="0"/>
        <w:autoSpaceDN w:val="0"/>
        <w:adjustRightInd w:val="0"/>
        <w:spacing w:after="0" w:line="240" w:lineRule="auto"/>
        <w:jc w:val="both"/>
        <w:rPr>
          <w:rFonts w:ascii="Times New Roman" w:hAnsi="Times New Roman"/>
          <w:color w:val="000000"/>
          <w:sz w:val="24"/>
          <w:szCs w:val="24"/>
        </w:rPr>
      </w:pPr>
      <w:r w:rsidRPr="009E16C5">
        <w:rPr>
          <w:rFonts w:ascii="Times New Roman" w:hAnsi="Times New Roman"/>
          <w:bCs/>
          <w:iCs/>
          <w:color w:val="000000"/>
          <w:sz w:val="24"/>
          <w:szCs w:val="24"/>
        </w:rPr>
        <w:t xml:space="preserve">The variation of plasticity index of lateritic soil - </w:t>
      </w:r>
      <w:r w:rsidRPr="009E16C5">
        <w:rPr>
          <w:rFonts w:ascii="Times New Roman" w:hAnsi="Times New Roman"/>
          <w:sz w:val="24"/>
          <w:szCs w:val="24"/>
        </w:rPr>
        <w:t xml:space="preserve">B. </w:t>
      </w:r>
      <w:r w:rsidRPr="009E16C5">
        <w:rPr>
          <w:rFonts w:ascii="Times New Roman" w:hAnsi="Times New Roman"/>
          <w:i/>
          <w:iCs/>
          <w:sz w:val="24"/>
          <w:szCs w:val="24"/>
        </w:rPr>
        <w:t xml:space="preserve">brevis </w:t>
      </w:r>
      <w:r w:rsidRPr="009E16C5">
        <w:rPr>
          <w:rFonts w:ascii="Times New Roman" w:hAnsi="Times New Roman"/>
          <w:sz w:val="24"/>
          <w:szCs w:val="24"/>
        </w:rPr>
        <w:t xml:space="preserve">mixtures with cementation reagent concentration for the various modes of treatment when different mix ratios were used is shown in Fig. </w:t>
      </w:r>
      <w:r>
        <w:rPr>
          <w:rFonts w:ascii="Times New Roman" w:hAnsi="Times New Roman"/>
          <w:sz w:val="24"/>
          <w:szCs w:val="24"/>
        </w:rPr>
        <w:t>4.4(c)</w:t>
      </w:r>
      <w:r w:rsidRPr="009E16C5">
        <w:rPr>
          <w:rFonts w:ascii="Times New Roman" w:hAnsi="Times New Roman"/>
          <w:sz w:val="24"/>
          <w:szCs w:val="24"/>
        </w:rPr>
        <w:t>.</w:t>
      </w:r>
      <w:r w:rsidRPr="009E16C5">
        <w:rPr>
          <w:rFonts w:ascii="Times New Roman" w:hAnsi="Times New Roman"/>
          <w:bCs/>
          <w:iCs/>
          <w:color w:val="000000"/>
          <w:sz w:val="24"/>
          <w:szCs w:val="24"/>
        </w:rPr>
        <w:t xml:space="preserve"> </w:t>
      </w:r>
      <w:r w:rsidRPr="009E16C5">
        <w:rPr>
          <w:rFonts w:ascii="Times New Roman" w:hAnsi="Times New Roman"/>
          <w:color w:val="000000"/>
          <w:sz w:val="24"/>
          <w:szCs w:val="24"/>
        </w:rPr>
        <w:t xml:space="preserve"> </w:t>
      </w:r>
    </w:p>
    <w:p w:rsidR="00E75D82" w:rsidRPr="009E16C5" w:rsidRDefault="00123529" w:rsidP="00076A1E">
      <w:pPr>
        <w:spacing w:after="0" w:line="240" w:lineRule="auto"/>
        <w:jc w:val="center"/>
        <w:rPr>
          <w:rFonts w:ascii="Times New Roman" w:hAnsi="Times New Roman"/>
          <w:b/>
          <w:color w:val="000000"/>
          <w:sz w:val="24"/>
          <w:szCs w:val="24"/>
        </w:rPr>
      </w:pPr>
      <w:r w:rsidRPr="00040644">
        <w:rPr>
          <w:noProof/>
          <w:lang w:eastAsia="en-US"/>
        </w:rPr>
        <w:drawing>
          <wp:inline distT="0" distB="0" distL="0" distR="0">
            <wp:extent cx="5805805" cy="1697990"/>
            <wp:effectExtent l="0" t="0" r="4445" b="16510"/>
            <wp:docPr id="8" name="Chart 4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75D82" w:rsidRPr="009E16C5" w:rsidRDefault="00E75D82" w:rsidP="00076A1E">
      <w:pPr>
        <w:spacing w:after="0" w:line="240" w:lineRule="auto"/>
        <w:jc w:val="both"/>
        <w:rPr>
          <w:rFonts w:ascii="Times New Roman" w:hAnsi="Times New Roman"/>
          <w:b/>
          <w:color w:val="000000"/>
          <w:sz w:val="24"/>
          <w:szCs w:val="24"/>
        </w:rPr>
      </w:pPr>
    </w:p>
    <w:p w:rsidR="00E75D82" w:rsidRPr="009E16C5" w:rsidRDefault="00123529" w:rsidP="00076A1E">
      <w:pPr>
        <w:spacing w:after="0" w:line="240" w:lineRule="auto"/>
        <w:jc w:val="both"/>
        <w:rPr>
          <w:rFonts w:ascii="Times New Roman" w:hAnsi="Times New Roman"/>
          <w:b/>
          <w:color w:val="000000"/>
          <w:sz w:val="24"/>
          <w:szCs w:val="24"/>
        </w:rPr>
      </w:pPr>
      <w:r w:rsidRPr="00040644">
        <w:rPr>
          <w:noProof/>
          <w:lang w:eastAsia="en-US"/>
        </w:rPr>
        <w:drawing>
          <wp:inline distT="0" distB="0" distL="0" distR="0">
            <wp:extent cx="5855335" cy="2119630"/>
            <wp:effectExtent l="0" t="0" r="12065" b="13970"/>
            <wp:docPr id="9" name="Chart 4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75D82" w:rsidRPr="009E16C5" w:rsidRDefault="00E75D82" w:rsidP="00076A1E">
      <w:pPr>
        <w:spacing w:after="0" w:line="240" w:lineRule="auto"/>
        <w:jc w:val="both"/>
        <w:rPr>
          <w:rFonts w:ascii="Times New Roman" w:hAnsi="Times New Roman"/>
          <w:sz w:val="24"/>
          <w:szCs w:val="24"/>
        </w:rPr>
      </w:pPr>
    </w:p>
    <w:p w:rsidR="00E75D82" w:rsidRPr="009E16C5" w:rsidRDefault="00123529" w:rsidP="00076A1E">
      <w:pPr>
        <w:spacing w:after="0" w:line="240" w:lineRule="auto"/>
        <w:jc w:val="center"/>
        <w:rPr>
          <w:rFonts w:ascii="Times New Roman" w:hAnsi="Times New Roman"/>
          <w:sz w:val="24"/>
          <w:szCs w:val="24"/>
        </w:rPr>
      </w:pPr>
      <w:r w:rsidRPr="00040644">
        <w:rPr>
          <w:noProof/>
          <w:lang w:eastAsia="en-US"/>
        </w:rPr>
        <w:lastRenderedPageBreak/>
        <w:drawing>
          <wp:inline distT="0" distB="0" distL="0" distR="0">
            <wp:extent cx="5895340" cy="1946275"/>
            <wp:effectExtent l="0" t="0" r="10160" b="15875"/>
            <wp:docPr id="10" name="Chart 4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75D82" w:rsidRDefault="00E75D82" w:rsidP="00076A1E">
      <w:pPr>
        <w:spacing w:after="0" w:line="240" w:lineRule="auto"/>
        <w:jc w:val="both"/>
        <w:outlineLvl w:val="0"/>
        <w:rPr>
          <w:rFonts w:ascii="Times New Roman" w:hAnsi="Times New Roman"/>
          <w:sz w:val="24"/>
          <w:szCs w:val="24"/>
        </w:rPr>
      </w:pPr>
      <w:r>
        <w:rPr>
          <w:rFonts w:ascii="Times New Roman" w:hAnsi="Times New Roman"/>
          <w:iCs/>
          <w:sz w:val="24"/>
          <w:szCs w:val="24"/>
        </w:rPr>
        <w:t>Fig.</w:t>
      </w:r>
      <w:r w:rsidRPr="009E16C5">
        <w:rPr>
          <w:rFonts w:ascii="Times New Roman" w:hAnsi="Times New Roman"/>
          <w:iCs/>
          <w:sz w:val="24"/>
          <w:szCs w:val="24"/>
        </w:rPr>
        <w:t xml:space="preserve"> </w:t>
      </w:r>
      <w:r>
        <w:rPr>
          <w:rFonts w:ascii="Times New Roman" w:hAnsi="Times New Roman"/>
          <w:iCs/>
          <w:sz w:val="24"/>
          <w:szCs w:val="24"/>
        </w:rPr>
        <w:t>4.4(c):</w:t>
      </w:r>
      <w:r w:rsidRPr="009E16C5">
        <w:rPr>
          <w:rFonts w:ascii="Times New Roman" w:hAnsi="Times New Roman"/>
          <w:iCs/>
          <w:sz w:val="24"/>
          <w:szCs w:val="24"/>
        </w:rPr>
        <w:t xml:space="preserve"> Variation of plasticity index of lateritic soil - B. </w:t>
      </w:r>
      <w:r w:rsidRPr="009E16C5">
        <w:rPr>
          <w:rFonts w:ascii="Times New Roman" w:hAnsi="Times New Roman"/>
          <w:i/>
          <w:iCs/>
          <w:sz w:val="24"/>
          <w:szCs w:val="24"/>
        </w:rPr>
        <w:t>brevis</w:t>
      </w:r>
      <w:r w:rsidRPr="009E16C5">
        <w:rPr>
          <w:rFonts w:ascii="Times New Roman" w:hAnsi="Times New Roman"/>
          <w:iCs/>
          <w:sz w:val="24"/>
          <w:szCs w:val="24"/>
        </w:rPr>
        <w:t xml:space="preserve"> (B) mixtures with cementation reagent</w:t>
      </w:r>
      <w:r w:rsidRPr="009E16C5">
        <w:rPr>
          <w:rFonts w:ascii="Times New Roman" w:hAnsi="Times New Roman"/>
          <w:sz w:val="24"/>
          <w:szCs w:val="24"/>
        </w:rPr>
        <w:t xml:space="preserve"> concentration (C) for the three modes of application when prepared with different mix ratios: (a) 25 % B: 75 % (b) 50 % B : 50 % C (c) 75 % B : 25 % C</w:t>
      </w:r>
    </w:p>
    <w:p w:rsidR="00123529" w:rsidRPr="00123529" w:rsidRDefault="00123529" w:rsidP="00123529">
      <w:pPr>
        <w:spacing w:after="0" w:line="240" w:lineRule="auto"/>
      </w:pPr>
    </w:p>
    <w:p w:rsidR="00E75D82" w:rsidRPr="009E16C5" w:rsidRDefault="00E75D82" w:rsidP="00076A1E">
      <w:pPr>
        <w:spacing w:after="0" w:line="240" w:lineRule="auto"/>
        <w:jc w:val="both"/>
        <w:outlineLvl w:val="0"/>
        <w:rPr>
          <w:rFonts w:ascii="Times New Roman" w:hAnsi="Times New Roman"/>
          <w:sz w:val="24"/>
          <w:szCs w:val="24"/>
        </w:rPr>
      </w:pPr>
      <w:r w:rsidRPr="009E16C5">
        <w:rPr>
          <w:rFonts w:ascii="Times New Roman" w:hAnsi="Times New Roman"/>
          <w:sz w:val="24"/>
          <w:szCs w:val="24"/>
        </w:rPr>
        <w:t>In the mixing method of treatment of lateritic soil peak PI values of 25.9 % (24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0.5 M), 23.4 % (6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0.75 M) and 17.9 % (0 cells/ml and 0.25 M) for specimens prepared with 25 % B : 75 %, 50 % B : 50 % C and 75 % B : 25 % C, respectively. For the injection method of treatment of lateritic soil peak PI values of 24.8 % (24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1 M), 20.7 % (24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1 M) and 18.9 % (18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1 M) for specimens prepared with 25 % B : 75 %, 50 % B : 50 % C and 75 % B : 25 % C, respectively. The spraying method of treatment of lateritic soil recorded peak PI values of 25.3 % (24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1 M), 21.9 % (12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0.75 M) and 19.4 % (18 x 10</w:t>
      </w:r>
      <w:r w:rsidRPr="009E16C5">
        <w:rPr>
          <w:rFonts w:ascii="Times New Roman" w:hAnsi="Times New Roman"/>
          <w:sz w:val="24"/>
          <w:szCs w:val="24"/>
          <w:vertAlign w:val="superscript"/>
        </w:rPr>
        <w:t>8</w:t>
      </w:r>
      <w:r w:rsidRPr="009E16C5">
        <w:rPr>
          <w:rFonts w:ascii="Times New Roman" w:hAnsi="Times New Roman"/>
          <w:sz w:val="24"/>
          <w:szCs w:val="24"/>
        </w:rPr>
        <w:t xml:space="preserve"> cells/ml and 1 M) for specimens prepared with 25 % B : 75 %, 50 % B : 50 % C and 75 % B : 25 % C, respectively. </w:t>
      </w:r>
    </w:p>
    <w:p w:rsidR="00E75D82" w:rsidRPr="0097723F" w:rsidRDefault="00E75D82" w:rsidP="00076A1E">
      <w:pPr>
        <w:spacing w:after="0" w:line="240" w:lineRule="auto"/>
        <w:jc w:val="both"/>
        <w:outlineLvl w:val="0"/>
        <w:rPr>
          <w:rFonts w:ascii="Times New Roman" w:hAnsi="Times New Roman"/>
          <w:color w:val="000000"/>
          <w:sz w:val="24"/>
          <w:szCs w:val="24"/>
        </w:rPr>
      </w:pPr>
      <w:r w:rsidRPr="009E16C5">
        <w:rPr>
          <w:rFonts w:ascii="Times New Roman" w:hAnsi="Times New Roman"/>
          <w:sz w:val="24"/>
          <w:szCs w:val="24"/>
        </w:rPr>
        <w:t>For the plasticity index (PI), all the mix ratios and modes of treatment considered t</w:t>
      </w:r>
      <w:r w:rsidRPr="009E16C5">
        <w:rPr>
          <w:rFonts w:ascii="Times New Roman" w:hAnsi="Times New Roman"/>
          <w:color w:val="000000"/>
          <w:sz w:val="24"/>
          <w:szCs w:val="24"/>
        </w:rPr>
        <w:t xml:space="preserve">he decrease in values could probably be due to increase in the quantity of urease positive enzyme released within the soil matrix for possible calcite formation by </w:t>
      </w:r>
      <w:r w:rsidRPr="009E16C5">
        <w:rPr>
          <w:rFonts w:ascii="Times New Roman" w:hAnsi="Times New Roman"/>
          <w:i/>
          <w:iCs/>
          <w:color w:val="000000"/>
          <w:sz w:val="24"/>
          <w:szCs w:val="24"/>
        </w:rPr>
        <w:t xml:space="preserve">B. brevis </w:t>
      </w:r>
      <w:r w:rsidRPr="009E16C5">
        <w:rPr>
          <w:rFonts w:ascii="Times New Roman" w:hAnsi="Times New Roman"/>
          <w:color w:val="000000"/>
          <w:sz w:val="24"/>
          <w:szCs w:val="24"/>
        </w:rPr>
        <w:t xml:space="preserve">that caused the decrease in the plasticity of the specimens. Similar findings were reported by </w:t>
      </w:r>
      <w:r w:rsidRPr="00D631BC">
        <w:rPr>
          <w:rFonts w:ascii="Times New Roman" w:hAnsi="Times New Roman"/>
          <w:color w:val="000000"/>
          <w:sz w:val="24"/>
          <w:szCs w:val="24"/>
        </w:rPr>
        <w:t xml:space="preserve">Osinubi </w:t>
      </w:r>
      <w:r w:rsidRPr="00D631BC">
        <w:rPr>
          <w:rFonts w:ascii="Times New Roman" w:hAnsi="Times New Roman"/>
          <w:i/>
          <w:iCs/>
          <w:color w:val="000000"/>
          <w:sz w:val="24"/>
          <w:szCs w:val="24"/>
        </w:rPr>
        <w:t>et al</w:t>
      </w:r>
      <w:r w:rsidRPr="00D631BC">
        <w:rPr>
          <w:rFonts w:ascii="Times New Roman" w:hAnsi="Times New Roman"/>
          <w:color w:val="000000"/>
          <w:sz w:val="24"/>
          <w:szCs w:val="24"/>
        </w:rPr>
        <w:t>. (2017);</w:t>
      </w:r>
      <w:r w:rsidRPr="00D631BC">
        <w:rPr>
          <w:rFonts w:ascii="Times New Roman" w:hAnsi="Times New Roman"/>
          <w:sz w:val="24"/>
          <w:szCs w:val="24"/>
        </w:rPr>
        <w:t xml:space="preserve"> </w:t>
      </w:r>
      <w:r w:rsidRPr="00D631BC">
        <w:rPr>
          <w:rFonts w:ascii="Times New Roman" w:hAnsi="Times New Roman"/>
          <w:color w:val="000000"/>
          <w:sz w:val="24"/>
          <w:szCs w:val="24"/>
        </w:rPr>
        <w:t xml:space="preserve">Osinubi, Eberemu, Yohanna, Ijimdiya, Adjei, and Sada, (2018a) who used </w:t>
      </w:r>
      <w:r w:rsidRPr="00D631BC">
        <w:rPr>
          <w:rFonts w:ascii="Times New Roman" w:hAnsi="Times New Roman"/>
          <w:i/>
          <w:iCs/>
          <w:color w:val="000000"/>
          <w:sz w:val="24"/>
          <w:szCs w:val="24"/>
        </w:rPr>
        <w:t>B</w:t>
      </w:r>
      <w:r w:rsidRPr="00D631BC">
        <w:rPr>
          <w:rFonts w:ascii="Times New Roman" w:hAnsi="Times New Roman"/>
          <w:color w:val="000000"/>
          <w:sz w:val="24"/>
          <w:szCs w:val="24"/>
        </w:rPr>
        <w:t xml:space="preserve">. </w:t>
      </w:r>
      <w:r w:rsidRPr="00D631BC">
        <w:rPr>
          <w:rFonts w:ascii="Times New Roman" w:hAnsi="Times New Roman"/>
          <w:i/>
          <w:iCs/>
          <w:color w:val="000000"/>
          <w:sz w:val="24"/>
          <w:szCs w:val="24"/>
        </w:rPr>
        <w:t xml:space="preserve">pumilus </w:t>
      </w:r>
      <w:r w:rsidRPr="00D631BC">
        <w:rPr>
          <w:rFonts w:ascii="Times New Roman" w:hAnsi="Times New Roman"/>
          <w:color w:val="000000"/>
          <w:sz w:val="24"/>
          <w:szCs w:val="24"/>
        </w:rPr>
        <w:t xml:space="preserve">and Sporosarcina </w:t>
      </w:r>
      <w:r w:rsidRPr="00D631BC">
        <w:rPr>
          <w:rFonts w:ascii="Times New Roman" w:hAnsi="Times New Roman"/>
          <w:i/>
          <w:color w:val="000000"/>
          <w:sz w:val="24"/>
          <w:szCs w:val="24"/>
        </w:rPr>
        <w:t>pasteurii</w:t>
      </w:r>
      <w:r w:rsidRPr="00D631BC">
        <w:rPr>
          <w:color w:val="000000"/>
        </w:rPr>
        <w:t xml:space="preserve"> i</w:t>
      </w:r>
      <w:r w:rsidRPr="00D631BC">
        <w:rPr>
          <w:rFonts w:ascii="Times New Roman" w:hAnsi="Times New Roman"/>
          <w:color w:val="000000"/>
          <w:sz w:val="24"/>
          <w:szCs w:val="24"/>
        </w:rPr>
        <w:t xml:space="preserve">n their studies. Also, Sheelah and Yosadian (2012) reported decrease in PI with increase in </w:t>
      </w:r>
      <w:r w:rsidRPr="00D631BC">
        <w:rPr>
          <w:rFonts w:ascii="Times New Roman" w:hAnsi="Times New Roman"/>
          <w:i/>
          <w:iCs/>
          <w:color w:val="000000"/>
          <w:sz w:val="24"/>
          <w:szCs w:val="24"/>
        </w:rPr>
        <w:t xml:space="preserve">B. pasteurii </w:t>
      </w:r>
      <w:r w:rsidRPr="00D631BC">
        <w:rPr>
          <w:rFonts w:ascii="Times New Roman" w:hAnsi="Times New Roman"/>
          <w:color w:val="000000"/>
          <w:sz w:val="24"/>
          <w:szCs w:val="24"/>
        </w:rPr>
        <w:t>in the improvement of cohesive soils. O</w:t>
      </w:r>
      <w:r w:rsidRPr="009E16C5">
        <w:rPr>
          <w:rFonts w:ascii="Times New Roman" w:hAnsi="Times New Roman"/>
          <w:color w:val="000000"/>
          <w:sz w:val="24"/>
          <w:szCs w:val="24"/>
        </w:rPr>
        <w:t>ther factors that could be responsible  for the decrease in PI are the geochemical processes that usually occur within the soil structure such as biofilm formation, biogas generation and the formation of biopolymers and other extracellular polymeric substances (EPS) (</w:t>
      </w:r>
      <w:r w:rsidRPr="00D631BC">
        <w:rPr>
          <w:rFonts w:ascii="Times New Roman" w:hAnsi="Times New Roman"/>
          <w:color w:val="000000"/>
          <w:sz w:val="24"/>
          <w:szCs w:val="24"/>
        </w:rPr>
        <w:t>Kavazanjian</w:t>
      </w:r>
      <w:r>
        <w:rPr>
          <w:rFonts w:ascii="Times New Roman" w:hAnsi="Times New Roman"/>
          <w:color w:val="000000"/>
          <w:sz w:val="24"/>
          <w:szCs w:val="24"/>
        </w:rPr>
        <w:t xml:space="preserve">, </w:t>
      </w:r>
      <w:r w:rsidRPr="00D631BC">
        <w:rPr>
          <w:rFonts w:ascii="Times New Roman" w:hAnsi="Times New Roman"/>
          <w:color w:val="000000"/>
          <w:sz w:val="24"/>
          <w:szCs w:val="24"/>
        </w:rPr>
        <w:t>Iglesias</w:t>
      </w:r>
      <w:r>
        <w:rPr>
          <w:rFonts w:ascii="Times New Roman" w:hAnsi="Times New Roman"/>
          <w:color w:val="000000"/>
          <w:sz w:val="24"/>
          <w:szCs w:val="24"/>
        </w:rPr>
        <w:t xml:space="preserve">, </w:t>
      </w:r>
      <w:r w:rsidRPr="00D631BC">
        <w:rPr>
          <w:rFonts w:ascii="Times New Roman" w:hAnsi="Times New Roman"/>
          <w:color w:val="000000"/>
          <w:sz w:val="24"/>
          <w:szCs w:val="24"/>
        </w:rPr>
        <w:t>Karatas</w:t>
      </w:r>
      <w:r>
        <w:rPr>
          <w:rFonts w:ascii="Times New Roman" w:hAnsi="Times New Roman"/>
          <w:color w:val="000000"/>
          <w:sz w:val="24"/>
          <w:szCs w:val="24"/>
        </w:rPr>
        <w:t xml:space="preserve">, </w:t>
      </w:r>
      <w:r w:rsidRPr="00D631BC">
        <w:rPr>
          <w:rFonts w:ascii="Times New Roman" w:hAnsi="Times New Roman"/>
          <w:color w:val="000000"/>
          <w:sz w:val="24"/>
          <w:szCs w:val="24"/>
        </w:rPr>
        <w:t>2009</w:t>
      </w:r>
      <w:r w:rsidRPr="009E16C5">
        <w:rPr>
          <w:rFonts w:ascii="Times New Roman" w:hAnsi="Times New Roman"/>
          <w:color w:val="000000"/>
          <w:sz w:val="24"/>
          <w:szCs w:val="24"/>
        </w:rPr>
        <w:t xml:space="preserve">; </w:t>
      </w:r>
      <w:r w:rsidRPr="00D631BC">
        <w:rPr>
          <w:rFonts w:ascii="Times New Roman" w:hAnsi="Times New Roman"/>
          <w:color w:val="000000"/>
          <w:sz w:val="24"/>
          <w:szCs w:val="24"/>
        </w:rPr>
        <w:t>DeJong</w:t>
      </w:r>
      <w:r>
        <w:rPr>
          <w:rFonts w:ascii="Times New Roman" w:hAnsi="Times New Roman"/>
          <w:color w:val="000000"/>
          <w:sz w:val="24"/>
          <w:szCs w:val="24"/>
        </w:rPr>
        <w:t xml:space="preserve">, </w:t>
      </w:r>
      <w:r w:rsidRPr="00D631BC">
        <w:rPr>
          <w:rFonts w:ascii="Times New Roman" w:hAnsi="Times New Roman"/>
          <w:color w:val="000000"/>
          <w:sz w:val="24"/>
          <w:szCs w:val="24"/>
        </w:rPr>
        <w:t>Soga</w:t>
      </w:r>
      <w:r>
        <w:rPr>
          <w:rFonts w:ascii="Times New Roman" w:hAnsi="Times New Roman"/>
          <w:color w:val="000000"/>
          <w:sz w:val="24"/>
          <w:szCs w:val="24"/>
        </w:rPr>
        <w:t xml:space="preserve">, </w:t>
      </w:r>
      <w:r w:rsidRPr="00D631BC">
        <w:rPr>
          <w:rFonts w:ascii="Times New Roman" w:hAnsi="Times New Roman"/>
          <w:color w:val="000000"/>
          <w:sz w:val="24"/>
          <w:szCs w:val="24"/>
        </w:rPr>
        <w:t>Kavazanijian</w:t>
      </w:r>
      <w:r>
        <w:rPr>
          <w:rFonts w:ascii="Times New Roman" w:hAnsi="Times New Roman"/>
          <w:color w:val="000000"/>
          <w:sz w:val="24"/>
          <w:szCs w:val="24"/>
        </w:rPr>
        <w:t xml:space="preserve">, </w:t>
      </w:r>
      <w:r w:rsidRPr="00D631BC">
        <w:rPr>
          <w:rFonts w:ascii="Times New Roman" w:hAnsi="Times New Roman"/>
          <w:color w:val="000000"/>
          <w:sz w:val="24"/>
          <w:szCs w:val="24"/>
        </w:rPr>
        <w:t>Burns</w:t>
      </w:r>
      <w:r>
        <w:rPr>
          <w:rFonts w:ascii="Times New Roman" w:hAnsi="Times New Roman"/>
          <w:color w:val="000000"/>
          <w:sz w:val="24"/>
          <w:szCs w:val="24"/>
        </w:rPr>
        <w:t xml:space="preserve">, </w:t>
      </w:r>
      <w:r w:rsidRPr="00D631BC">
        <w:rPr>
          <w:rFonts w:ascii="Times New Roman" w:hAnsi="Times New Roman"/>
          <w:color w:val="000000"/>
          <w:sz w:val="24"/>
          <w:szCs w:val="24"/>
        </w:rPr>
        <w:t>van Paassen</w:t>
      </w:r>
      <w:r>
        <w:rPr>
          <w:rFonts w:ascii="Times New Roman" w:hAnsi="Times New Roman"/>
          <w:color w:val="000000"/>
          <w:sz w:val="24"/>
          <w:szCs w:val="24"/>
        </w:rPr>
        <w:t xml:space="preserve">, </w:t>
      </w:r>
      <w:r w:rsidRPr="009E16C5">
        <w:rPr>
          <w:rFonts w:ascii="Times New Roman" w:hAnsi="Times New Roman"/>
          <w:color w:val="000000"/>
          <w:sz w:val="24"/>
          <w:szCs w:val="24"/>
        </w:rPr>
        <w:t xml:space="preserve">2013; Osinubi </w:t>
      </w:r>
      <w:r w:rsidRPr="009E16C5">
        <w:rPr>
          <w:rFonts w:ascii="Times New Roman" w:hAnsi="Times New Roman"/>
          <w:i/>
          <w:color w:val="000000"/>
          <w:sz w:val="24"/>
          <w:szCs w:val="24"/>
        </w:rPr>
        <w:t>et al.,</w:t>
      </w:r>
      <w:r w:rsidRPr="009E16C5">
        <w:rPr>
          <w:rFonts w:ascii="Times New Roman" w:hAnsi="Times New Roman"/>
          <w:color w:val="000000"/>
          <w:sz w:val="24"/>
          <w:szCs w:val="24"/>
        </w:rPr>
        <w:t xml:space="preserve"> 2019c). The results of this study show that constituent parameters (i.e., Bacteria : Cementation reagent mix ratio) could significantly affect the plasticity behaviour of fine-grained soils through the MICP process in agreement with the findings reported by Osinubi </w:t>
      </w:r>
      <w:r w:rsidRPr="009E16C5">
        <w:rPr>
          <w:rFonts w:ascii="Times New Roman" w:hAnsi="Times New Roman"/>
          <w:i/>
          <w:color w:val="000000"/>
          <w:sz w:val="24"/>
          <w:szCs w:val="24"/>
        </w:rPr>
        <w:t>et al</w:t>
      </w:r>
      <w:r w:rsidRPr="009E16C5">
        <w:rPr>
          <w:rFonts w:ascii="Times New Roman" w:hAnsi="Times New Roman"/>
          <w:color w:val="000000"/>
          <w:sz w:val="24"/>
          <w:szCs w:val="24"/>
        </w:rPr>
        <w:t>. (</w:t>
      </w:r>
      <w:r>
        <w:rPr>
          <w:rFonts w:ascii="Times New Roman" w:hAnsi="Times New Roman"/>
          <w:sz w:val="24"/>
          <w:szCs w:val="24"/>
        </w:rPr>
        <w:t>2019c</w:t>
      </w:r>
      <w:r w:rsidRPr="009E16C5">
        <w:rPr>
          <w:rFonts w:ascii="Times New Roman" w:hAnsi="Times New Roman"/>
          <w:sz w:val="24"/>
          <w:szCs w:val="24"/>
        </w:rPr>
        <w:t>)</w:t>
      </w:r>
      <w:r w:rsidRPr="009E16C5">
        <w:rPr>
          <w:rFonts w:ascii="Times New Roman" w:hAnsi="Times New Roman"/>
          <w:color w:val="000000"/>
          <w:sz w:val="24"/>
          <w:szCs w:val="24"/>
        </w:rPr>
        <w:t xml:space="preserve">. </w:t>
      </w:r>
      <w:r w:rsidRPr="009E16C5">
        <w:rPr>
          <w:rFonts w:ascii="Times New Roman" w:hAnsi="Times New Roman"/>
          <w:sz w:val="24"/>
          <w:szCs w:val="24"/>
        </w:rPr>
        <w:t>This was also as a result of the precipitation of calcites produced during the MICP process.</w:t>
      </w:r>
    </w:p>
    <w:p w:rsidR="00E75D82" w:rsidRPr="009E16C5" w:rsidRDefault="00E75D82" w:rsidP="00076A1E">
      <w:pPr>
        <w:spacing w:after="0" w:line="240" w:lineRule="auto"/>
        <w:jc w:val="both"/>
        <w:rPr>
          <w:rFonts w:ascii="Times New Roman" w:hAnsi="Times New Roman"/>
          <w:b/>
          <w:bCs/>
          <w:sz w:val="24"/>
          <w:szCs w:val="24"/>
        </w:rPr>
      </w:pPr>
      <w:r w:rsidRPr="009E16C5">
        <w:rPr>
          <w:rFonts w:ascii="Times New Roman" w:hAnsi="Times New Roman"/>
          <w:sz w:val="24"/>
          <w:szCs w:val="24"/>
        </w:rPr>
        <w:t>Generally, the reduction in PI values recorded for all the three modes of treatment considered showed signified  improvement in soil property with mode of treatment in in the order mixing mode &gt; injection mode &gt; spraying mode. The probable explanation for this trend of reduction in PI value is not unconnected to the retention capacity and the mobilisation of the urease enzyme when ureolytic bacteria was introduced into the soil matrix (Bernard, 2019).</w:t>
      </w:r>
      <w:r>
        <w:rPr>
          <w:rFonts w:ascii="Times New Roman" w:hAnsi="Times New Roman"/>
          <w:sz w:val="24"/>
          <w:szCs w:val="24"/>
        </w:rPr>
        <w:t xml:space="preserve"> </w:t>
      </w:r>
      <w:r>
        <w:rPr>
          <w:rFonts w:ascii="Times New Roman" w:hAnsi="Times New Roman"/>
          <w:color w:val="000000"/>
          <w:sz w:val="24"/>
          <w:szCs w:val="24"/>
        </w:rPr>
        <w:t xml:space="preserve">Detailed tests results are given </w:t>
      </w:r>
      <w:r w:rsidRPr="00BD6534">
        <w:rPr>
          <w:rFonts w:ascii="Times New Roman" w:hAnsi="Times New Roman"/>
          <w:color w:val="000000"/>
          <w:sz w:val="24"/>
          <w:szCs w:val="24"/>
        </w:rPr>
        <w:t>in Table A4</w:t>
      </w:r>
      <w:r>
        <w:rPr>
          <w:rFonts w:ascii="Times New Roman" w:hAnsi="Times New Roman"/>
          <w:color w:val="000000"/>
          <w:sz w:val="24"/>
          <w:szCs w:val="24"/>
        </w:rPr>
        <w:t>.6 (g - i)</w:t>
      </w:r>
      <w:r w:rsidRPr="00BD6534">
        <w:rPr>
          <w:rFonts w:ascii="Times New Roman" w:hAnsi="Times New Roman"/>
          <w:color w:val="000000"/>
          <w:sz w:val="24"/>
          <w:szCs w:val="24"/>
        </w:rPr>
        <w:t xml:space="preserve"> of</w:t>
      </w:r>
      <w:r>
        <w:rPr>
          <w:rFonts w:ascii="Times New Roman" w:hAnsi="Times New Roman"/>
          <w:color w:val="000000"/>
          <w:sz w:val="24"/>
          <w:szCs w:val="24"/>
        </w:rPr>
        <w:t xml:space="preserve"> the Appendix.</w:t>
      </w:r>
    </w:p>
    <w:p w:rsidR="00074960" w:rsidRDefault="00074960" w:rsidP="00076A1E">
      <w:pPr>
        <w:spacing w:after="0" w:line="240" w:lineRule="auto"/>
        <w:jc w:val="both"/>
        <w:rPr>
          <w:rFonts w:ascii="Times New Roman" w:hAnsi="Times New Roman"/>
          <w:b/>
          <w:bCs/>
          <w:sz w:val="24"/>
          <w:szCs w:val="24"/>
        </w:rPr>
      </w:pPr>
    </w:p>
    <w:p w:rsidR="00BB4C73" w:rsidRPr="008F1D7F" w:rsidRDefault="00BB4C73" w:rsidP="00123529">
      <w:pPr>
        <w:tabs>
          <w:tab w:val="center" w:pos="4680"/>
          <w:tab w:val="left" w:pos="6180"/>
        </w:tabs>
        <w:autoSpaceDE w:val="0"/>
        <w:autoSpaceDN w:val="0"/>
        <w:adjustRightInd w:val="0"/>
        <w:spacing w:after="0" w:line="240" w:lineRule="auto"/>
        <w:jc w:val="both"/>
        <w:rPr>
          <w:rFonts w:ascii="Times New Roman" w:eastAsia="Roboto" w:hAnsi="Times New Roman"/>
          <w:b/>
          <w:bCs/>
          <w:sz w:val="24"/>
          <w:szCs w:val="24"/>
        </w:rPr>
      </w:pPr>
      <w:bookmarkStart w:id="1" w:name="_GoBack"/>
      <w:bookmarkEnd w:id="1"/>
      <w:r w:rsidRPr="008F1D7F">
        <w:rPr>
          <w:rFonts w:ascii="Times New Roman" w:eastAsia="Roboto" w:hAnsi="Times New Roman"/>
          <w:b/>
          <w:bCs/>
          <w:sz w:val="24"/>
          <w:szCs w:val="24"/>
        </w:rPr>
        <w:lastRenderedPageBreak/>
        <w:t>Conclusion</w:t>
      </w:r>
    </w:p>
    <w:p w:rsidR="00BB4C73" w:rsidRPr="008F1D7F" w:rsidRDefault="00BB4C73" w:rsidP="00123529">
      <w:pPr>
        <w:autoSpaceDE w:val="0"/>
        <w:autoSpaceDN w:val="0"/>
        <w:adjustRightInd w:val="0"/>
        <w:spacing w:after="0" w:line="240" w:lineRule="auto"/>
        <w:jc w:val="both"/>
        <w:rPr>
          <w:rFonts w:ascii="Times New Roman" w:eastAsia="Roboto" w:hAnsi="Times New Roman"/>
          <w:sz w:val="24"/>
          <w:szCs w:val="24"/>
        </w:rPr>
      </w:pPr>
      <w:r w:rsidRPr="008F1D7F">
        <w:rPr>
          <w:rFonts w:ascii="Times New Roman" w:eastAsia="Roboto" w:hAnsi="Times New Roman"/>
          <w:sz w:val="24"/>
          <w:szCs w:val="24"/>
        </w:rPr>
        <w:t xml:space="preserve">The lateritic soil categorized as A–7-6 (4) and CL in AASHTO and USCS, respectively, was treated with </w:t>
      </w:r>
      <w:r w:rsidRPr="008F1D7F">
        <w:rPr>
          <w:rFonts w:ascii="Times New Roman" w:eastAsia="Roboto" w:hAnsi="Times New Roman"/>
          <w:i/>
          <w:sz w:val="24"/>
          <w:szCs w:val="24"/>
        </w:rPr>
        <w:t xml:space="preserve">B. brevis, </w:t>
      </w:r>
      <w:r>
        <w:rPr>
          <w:rFonts w:ascii="Times New Roman" w:eastAsia="Roboto" w:hAnsi="Times New Roman"/>
          <w:sz w:val="24"/>
          <w:szCs w:val="24"/>
        </w:rPr>
        <w:t>nucleation sites</w:t>
      </w:r>
      <w:r w:rsidRPr="008F1D7F">
        <w:rPr>
          <w:rFonts w:ascii="Times New Roman" w:eastAsia="Roboto" w:hAnsi="Times New Roman"/>
          <w:sz w:val="24"/>
          <w:szCs w:val="24"/>
        </w:rPr>
        <w:t xml:space="preserve"> of 0, 1.5 x 10</w:t>
      </w:r>
      <w:r w:rsidRPr="008F1D7F">
        <w:rPr>
          <w:rFonts w:ascii="Times New Roman" w:eastAsia="Roboto" w:hAnsi="Times New Roman"/>
          <w:sz w:val="24"/>
          <w:szCs w:val="24"/>
          <w:vertAlign w:val="superscript"/>
        </w:rPr>
        <w:t>8</w:t>
      </w:r>
      <w:r w:rsidRPr="008F1D7F">
        <w:rPr>
          <w:rFonts w:ascii="Times New Roman" w:eastAsia="Roboto" w:hAnsi="Times New Roman"/>
          <w:sz w:val="24"/>
          <w:szCs w:val="24"/>
        </w:rPr>
        <w:t>, 6.0 x 10</w:t>
      </w:r>
      <w:r w:rsidRPr="008F1D7F">
        <w:rPr>
          <w:rFonts w:ascii="Times New Roman" w:eastAsia="Roboto" w:hAnsi="Times New Roman"/>
          <w:sz w:val="24"/>
          <w:szCs w:val="24"/>
          <w:vertAlign w:val="superscript"/>
        </w:rPr>
        <w:t>8</w:t>
      </w:r>
      <w:r w:rsidRPr="008F1D7F">
        <w:rPr>
          <w:rFonts w:ascii="Times New Roman" w:eastAsia="Roboto" w:hAnsi="Times New Roman"/>
          <w:sz w:val="24"/>
          <w:szCs w:val="24"/>
        </w:rPr>
        <w:t>, 1.2 x 10</w:t>
      </w:r>
      <w:r w:rsidRPr="008F1D7F">
        <w:rPr>
          <w:rFonts w:ascii="Times New Roman" w:eastAsia="Roboto" w:hAnsi="Times New Roman"/>
          <w:sz w:val="24"/>
          <w:szCs w:val="24"/>
          <w:vertAlign w:val="superscript"/>
        </w:rPr>
        <w:t>9</w:t>
      </w:r>
      <w:r w:rsidRPr="008F1D7F">
        <w:rPr>
          <w:rFonts w:ascii="Times New Roman" w:eastAsia="Roboto" w:hAnsi="Times New Roman"/>
          <w:sz w:val="24"/>
          <w:szCs w:val="24"/>
        </w:rPr>
        <w:t>, 1.8 x 10</w:t>
      </w:r>
      <w:r w:rsidRPr="008F1D7F">
        <w:rPr>
          <w:rFonts w:ascii="Times New Roman" w:eastAsia="Roboto" w:hAnsi="Times New Roman"/>
          <w:sz w:val="24"/>
          <w:szCs w:val="24"/>
          <w:vertAlign w:val="superscript"/>
        </w:rPr>
        <w:t>9</w:t>
      </w:r>
      <w:r w:rsidRPr="008F1D7F">
        <w:rPr>
          <w:rFonts w:ascii="Times New Roman" w:eastAsia="Roboto" w:hAnsi="Times New Roman"/>
          <w:sz w:val="24"/>
          <w:szCs w:val="24"/>
        </w:rPr>
        <w:t xml:space="preserve"> and 2.4 x 10</w:t>
      </w:r>
      <w:r w:rsidRPr="008F1D7F">
        <w:rPr>
          <w:rFonts w:ascii="Times New Roman" w:eastAsia="Roboto" w:hAnsi="Times New Roman"/>
          <w:sz w:val="24"/>
          <w:szCs w:val="24"/>
          <w:vertAlign w:val="superscript"/>
        </w:rPr>
        <w:t>9</w:t>
      </w:r>
      <w:r w:rsidRPr="008F1D7F">
        <w:rPr>
          <w:rFonts w:ascii="Times New Roman" w:eastAsia="Roboto" w:hAnsi="Times New Roman"/>
          <w:sz w:val="24"/>
          <w:szCs w:val="24"/>
        </w:rPr>
        <w:t xml:space="preserve"> cells/ml. Samples were subjected to pH, electrical conductivity, index properties, calcite contents and linear shrinkage tests using the British Standard light (</w:t>
      </w:r>
      <w:r>
        <w:rPr>
          <w:rFonts w:ascii="Times New Roman" w:eastAsia="Roboto" w:hAnsi="Times New Roman"/>
          <w:sz w:val="24"/>
          <w:szCs w:val="24"/>
        </w:rPr>
        <w:t xml:space="preserve">BSL) energy level. For the consistency </w:t>
      </w:r>
      <w:r w:rsidRPr="008F1D7F">
        <w:rPr>
          <w:rFonts w:ascii="Times New Roman" w:eastAsia="Roboto" w:hAnsi="Times New Roman"/>
          <w:sz w:val="24"/>
          <w:szCs w:val="24"/>
        </w:rPr>
        <w:t>properties and linear shrinkage characteristics, on</w:t>
      </w:r>
      <w:r>
        <w:rPr>
          <w:rFonts w:ascii="Times New Roman" w:eastAsia="Roboto" w:hAnsi="Times New Roman"/>
          <w:sz w:val="24"/>
          <w:szCs w:val="24"/>
        </w:rPr>
        <w:t>ly cementation reagent was us</w:t>
      </w:r>
      <w:r w:rsidRPr="008F1D7F">
        <w:rPr>
          <w:rFonts w:ascii="Times New Roman" w:eastAsia="Roboto" w:hAnsi="Times New Roman"/>
          <w:sz w:val="24"/>
          <w:szCs w:val="24"/>
        </w:rPr>
        <w:t>ed to the control samples, while three trial mixes were adopted for the B.</w:t>
      </w:r>
      <w:r w:rsidRPr="008F1D7F">
        <w:rPr>
          <w:rFonts w:ascii="Times New Roman" w:eastAsia="Roboto" w:hAnsi="Times New Roman"/>
          <w:i/>
          <w:sz w:val="24"/>
          <w:szCs w:val="24"/>
        </w:rPr>
        <w:t xml:space="preserve"> brevis</w:t>
      </w:r>
      <w:r w:rsidRPr="008F1D7F">
        <w:rPr>
          <w:rFonts w:ascii="Times New Roman" w:eastAsia="Roboto" w:hAnsi="Times New Roman"/>
          <w:sz w:val="24"/>
          <w:szCs w:val="24"/>
        </w:rPr>
        <w:t xml:space="preserve"> treated samples, to study the effect of the bacteria (B)-cementation (C) reagent blend treatment on the soil sample. The trial mixes for the bacteria (B)-cementation (C) reagent combination treatment include, 50B-50C, 25B-75C and 75B-25C. Established on the</w:t>
      </w:r>
      <w:r>
        <w:rPr>
          <w:rFonts w:ascii="Times New Roman" w:eastAsia="Roboto" w:hAnsi="Times New Roman"/>
          <w:sz w:val="24"/>
          <w:szCs w:val="24"/>
        </w:rPr>
        <w:t xml:space="preserve"> </w:t>
      </w:r>
      <w:r w:rsidRPr="008F1D7F">
        <w:rPr>
          <w:rFonts w:ascii="Times New Roman" w:eastAsia="Roboto" w:hAnsi="Times New Roman"/>
          <w:sz w:val="24"/>
          <w:szCs w:val="24"/>
        </w:rPr>
        <w:t>recorded</w:t>
      </w:r>
      <w:r>
        <w:rPr>
          <w:rFonts w:ascii="Times New Roman" w:eastAsia="Roboto" w:hAnsi="Times New Roman"/>
          <w:sz w:val="24"/>
          <w:szCs w:val="24"/>
        </w:rPr>
        <w:t xml:space="preserve"> results</w:t>
      </w:r>
      <w:r w:rsidRPr="008F1D7F">
        <w:rPr>
          <w:rFonts w:ascii="Times New Roman" w:eastAsia="Roboto" w:hAnsi="Times New Roman"/>
          <w:sz w:val="24"/>
          <w:szCs w:val="24"/>
        </w:rPr>
        <w:t xml:space="preserve"> in th</w:t>
      </w:r>
      <w:r>
        <w:rPr>
          <w:rFonts w:ascii="Times New Roman" w:eastAsia="Roboto" w:hAnsi="Times New Roman"/>
          <w:sz w:val="24"/>
          <w:szCs w:val="24"/>
        </w:rPr>
        <w:t>is</w:t>
      </w:r>
      <w:r w:rsidRPr="008F1D7F">
        <w:rPr>
          <w:rFonts w:ascii="Times New Roman" w:eastAsia="Roboto" w:hAnsi="Times New Roman"/>
          <w:sz w:val="24"/>
          <w:szCs w:val="24"/>
        </w:rPr>
        <w:t xml:space="preserve"> </w:t>
      </w:r>
      <w:r>
        <w:rPr>
          <w:rFonts w:ascii="Times New Roman" w:eastAsia="Roboto" w:hAnsi="Times New Roman"/>
          <w:sz w:val="24"/>
          <w:szCs w:val="24"/>
        </w:rPr>
        <w:t xml:space="preserve">research the below deductions </w:t>
      </w:r>
      <w:r w:rsidRPr="008F1D7F">
        <w:rPr>
          <w:rFonts w:ascii="Times New Roman" w:eastAsia="Roboto" w:hAnsi="Times New Roman"/>
          <w:sz w:val="24"/>
          <w:szCs w:val="24"/>
        </w:rPr>
        <w:t>can be made:</w:t>
      </w:r>
    </w:p>
    <w:p w:rsidR="00BB4C73" w:rsidRPr="008F1D7F" w:rsidRDefault="00BB4C73" w:rsidP="00123529">
      <w:pPr>
        <w:autoSpaceDE w:val="0"/>
        <w:autoSpaceDN w:val="0"/>
        <w:adjustRightInd w:val="0"/>
        <w:spacing w:after="0" w:line="240" w:lineRule="auto"/>
        <w:ind w:left="720" w:hanging="720"/>
        <w:jc w:val="both"/>
        <w:rPr>
          <w:rFonts w:ascii="Times New Roman" w:eastAsia="Roboto" w:hAnsi="Times New Roman"/>
          <w:sz w:val="24"/>
          <w:szCs w:val="24"/>
        </w:rPr>
      </w:pPr>
      <w:r w:rsidRPr="008F1D7F">
        <w:rPr>
          <w:rFonts w:ascii="Times New Roman" w:eastAsia="Roboto" w:hAnsi="Times New Roman"/>
          <w:sz w:val="24"/>
          <w:szCs w:val="24"/>
        </w:rPr>
        <w:t xml:space="preserve">  </w:t>
      </w:r>
    </w:p>
    <w:p w:rsidR="00BB4C73" w:rsidRPr="008F1D7F" w:rsidRDefault="00BB4C73" w:rsidP="00123529">
      <w:pPr>
        <w:numPr>
          <w:ilvl w:val="0"/>
          <w:numId w:val="32"/>
        </w:numPr>
        <w:autoSpaceDE w:val="0"/>
        <w:autoSpaceDN w:val="0"/>
        <w:adjustRightInd w:val="0"/>
        <w:spacing w:after="0" w:line="240" w:lineRule="auto"/>
        <w:jc w:val="both"/>
        <w:rPr>
          <w:rFonts w:ascii="Times New Roman" w:eastAsia="Roboto" w:hAnsi="Times New Roman"/>
          <w:sz w:val="24"/>
          <w:szCs w:val="24"/>
        </w:rPr>
      </w:pPr>
      <w:r>
        <w:rPr>
          <w:rFonts w:ascii="Times New Roman" w:eastAsia="Roboto" w:hAnsi="Times New Roman"/>
          <w:sz w:val="24"/>
          <w:szCs w:val="24"/>
        </w:rPr>
        <w:t>Consistency properties (LL, PL and PI</w:t>
      </w:r>
      <w:r w:rsidR="00123529">
        <w:rPr>
          <w:rFonts w:ascii="Times New Roman" w:eastAsia="Roboto" w:hAnsi="Times New Roman"/>
          <w:sz w:val="24"/>
          <w:szCs w:val="24"/>
        </w:rPr>
        <w:t xml:space="preserve">) </w:t>
      </w:r>
      <w:r w:rsidRPr="008F1D7F">
        <w:rPr>
          <w:rFonts w:ascii="Times New Roman" w:eastAsia="Roboto" w:hAnsi="Times New Roman"/>
          <w:sz w:val="24"/>
          <w:szCs w:val="24"/>
        </w:rPr>
        <w:t xml:space="preserve">enhanced with greater B. </w:t>
      </w:r>
      <w:r w:rsidRPr="008F1D7F">
        <w:rPr>
          <w:rFonts w:ascii="Times New Roman" w:eastAsia="Roboto" w:hAnsi="Times New Roman"/>
          <w:i/>
          <w:sz w:val="24"/>
          <w:szCs w:val="24"/>
        </w:rPr>
        <w:t xml:space="preserve">brevis </w:t>
      </w:r>
      <w:r>
        <w:rPr>
          <w:rFonts w:ascii="Times New Roman" w:eastAsia="Roboto" w:hAnsi="Times New Roman"/>
          <w:sz w:val="24"/>
          <w:szCs w:val="24"/>
        </w:rPr>
        <w:t>nucleation site</w:t>
      </w:r>
      <w:r w:rsidRPr="008F1D7F">
        <w:rPr>
          <w:rFonts w:ascii="Times New Roman" w:eastAsia="Roboto" w:hAnsi="Times New Roman"/>
          <w:sz w:val="24"/>
          <w:szCs w:val="24"/>
        </w:rPr>
        <w:t xml:space="preserve"> with the best outcomes documented for the 75B-72C mix. However, the results fell below the Nigerian General Specifications requirements of </w:t>
      </w:r>
      <w:r>
        <w:rPr>
          <w:rFonts w:ascii="Times New Roman" w:eastAsia="Roboto" w:hAnsi="Times New Roman"/>
          <w:sz w:val="24"/>
          <w:szCs w:val="24"/>
        </w:rPr>
        <w:t>less than or equal to</w:t>
      </w:r>
      <w:r w:rsidRPr="008F1D7F">
        <w:rPr>
          <w:rFonts w:ascii="Times New Roman" w:eastAsia="Roboto" w:hAnsi="Times New Roman"/>
          <w:sz w:val="24"/>
          <w:szCs w:val="24"/>
        </w:rPr>
        <w:t xml:space="preserve"> 35 % Liquid limit, 12 % Plasticity index and 35 % passing No. 200 sieve, for use as a sub-base material for all treatment modes and mixes ratio considered except for 75 % B: 25 % C where by the Liquid limit and Plastic limit from 12 x 10</w:t>
      </w:r>
      <w:r w:rsidRPr="008F1D7F">
        <w:rPr>
          <w:rFonts w:ascii="Times New Roman" w:eastAsia="Roboto" w:hAnsi="Times New Roman"/>
          <w:sz w:val="24"/>
          <w:szCs w:val="24"/>
          <w:vertAlign w:val="superscript"/>
        </w:rPr>
        <w:t>8</w:t>
      </w:r>
      <w:r w:rsidRPr="008F1D7F">
        <w:rPr>
          <w:rFonts w:ascii="Times New Roman" w:eastAsia="Roboto" w:hAnsi="Times New Roman"/>
          <w:sz w:val="24"/>
          <w:szCs w:val="24"/>
        </w:rPr>
        <w:t xml:space="preserve"> up to 24 x 10</w:t>
      </w:r>
      <w:r w:rsidRPr="008F1D7F">
        <w:rPr>
          <w:rFonts w:ascii="Times New Roman" w:eastAsia="Roboto" w:hAnsi="Times New Roman"/>
          <w:sz w:val="24"/>
          <w:szCs w:val="24"/>
          <w:vertAlign w:val="superscript"/>
        </w:rPr>
        <w:t xml:space="preserve">8 </w:t>
      </w:r>
      <w:r w:rsidRPr="008F1D7F">
        <w:rPr>
          <w:rFonts w:ascii="Times New Roman" w:eastAsia="Roboto" w:hAnsi="Times New Roman"/>
          <w:sz w:val="24"/>
          <w:szCs w:val="24"/>
        </w:rPr>
        <w:t>cells/ml conformed with Nigerian General Specifications requirements.</w:t>
      </w:r>
    </w:p>
    <w:p w:rsidR="00BB4C73" w:rsidRPr="008F1D7F" w:rsidRDefault="00BB4C73" w:rsidP="00123529">
      <w:pPr>
        <w:autoSpaceDE w:val="0"/>
        <w:autoSpaceDN w:val="0"/>
        <w:adjustRightInd w:val="0"/>
        <w:spacing w:after="0" w:line="240" w:lineRule="auto"/>
        <w:ind w:left="720" w:hanging="720"/>
        <w:jc w:val="both"/>
        <w:rPr>
          <w:rFonts w:ascii="Times New Roman" w:eastAsia="Roboto" w:hAnsi="Times New Roman"/>
          <w:sz w:val="24"/>
          <w:szCs w:val="24"/>
        </w:rPr>
      </w:pPr>
    </w:p>
    <w:p w:rsidR="00BB4C73" w:rsidRPr="008F1D7F" w:rsidRDefault="00BB4C73" w:rsidP="00123529">
      <w:pPr>
        <w:spacing w:after="0" w:line="240" w:lineRule="auto"/>
        <w:jc w:val="both"/>
        <w:rPr>
          <w:rFonts w:ascii="Times New Roman" w:eastAsia="Roboto" w:hAnsi="Times New Roman"/>
          <w:b/>
          <w:bCs/>
          <w:sz w:val="24"/>
          <w:szCs w:val="24"/>
        </w:rPr>
      </w:pPr>
      <w:r w:rsidRPr="008F1D7F">
        <w:rPr>
          <w:rFonts w:ascii="Times New Roman" w:eastAsia="Roboto" w:hAnsi="Times New Roman"/>
          <w:b/>
          <w:bCs/>
          <w:sz w:val="24"/>
          <w:szCs w:val="24"/>
        </w:rPr>
        <w:t>Recommendation</w:t>
      </w:r>
    </w:p>
    <w:p w:rsidR="00BB4C73" w:rsidRPr="008F1D7F" w:rsidRDefault="00BB4C73" w:rsidP="00123529">
      <w:pPr>
        <w:spacing w:after="0" w:line="240" w:lineRule="auto"/>
        <w:jc w:val="both"/>
        <w:rPr>
          <w:rFonts w:ascii="Times New Roman" w:eastAsia="Roboto" w:hAnsi="Times New Roman"/>
          <w:bCs/>
          <w:sz w:val="24"/>
          <w:szCs w:val="24"/>
        </w:rPr>
      </w:pPr>
      <w:r w:rsidRPr="008F1D7F">
        <w:rPr>
          <w:rFonts w:ascii="Times New Roman" w:eastAsia="Roboto" w:hAnsi="Times New Roman"/>
          <w:bCs/>
          <w:sz w:val="24"/>
          <w:szCs w:val="24"/>
        </w:rPr>
        <w:t xml:space="preserve">From the results obtained in this research work, it is recommended that 75 % B. </w:t>
      </w:r>
      <w:r w:rsidRPr="008F1D7F">
        <w:rPr>
          <w:rFonts w:ascii="Times New Roman" w:eastAsia="Roboto" w:hAnsi="Times New Roman"/>
          <w:bCs/>
          <w:i/>
          <w:sz w:val="24"/>
          <w:szCs w:val="24"/>
        </w:rPr>
        <w:t>brevis</w:t>
      </w:r>
      <w:r w:rsidRPr="008F1D7F">
        <w:rPr>
          <w:rFonts w:ascii="Times New Roman" w:eastAsia="Roboto" w:hAnsi="Times New Roman"/>
          <w:bCs/>
          <w:sz w:val="24"/>
          <w:szCs w:val="24"/>
        </w:rPr>
        <w:t xml:space="preserve"> – 25 % Cementation reagent mix ratio be used for the upgrading of the index properties </w:t>
      </w:r>
      <w:r w:rsidRPr="008F1D7F">
        <w:rPr>
          <w:rFonts w:ascii="Times New Roman" w:eastAsia="Roboto" w:hAnsi="Times New Roman"/>
          <w:sz w:val="24"/>
          <w:szCs w:val="24"/>
        </w:rPr>
        <w:t xml:space="preserve">and calcite contents </w:t>
      </w:r>
      <w:r w:rsidRPr="008F1D7F">
        <w:rPr>
          <w:rFonts w:ascii="Times New Roman" w:eastAsia="Roboto" w:hAnsi="Times New Roman"/>
          <w:bCs/>
          <w:sz w:val="24"/>
          <w:szCs w:val="24"/>
        </w:rPr>
        <w:t>of lateritic soil as a subgrade material in the erection of low-volume roads.</w:t>
      </w:r>
    </w:p>
    <w:p w:rsidR="004904C3" w:rsidRDefault="004904C3" w:rsidP="004904C3">
      <w:pPr>
        <w:spacing w:after="0" w:line="240" w:lineRule="auto"/>
      </w:pPr>
      <w:r w:rsidRPr="004904C3">
        <w:t>.</w:t>
      </w:r>
    </w:p>
    <w:p w:rsidR="004904C3" w:rsidRDefault="004904C3" w:rsidP="004904C3">
      <w:pPr>
        <w:spacing w:after="0" w:line="240" w:lineRule="auto"/>
      </w:pPr>
    </w:p>
    <w:p w:rsidR="004904C3" w:rsidRPr="004904C3" w:rsidRDefault="004904C3" w:rsidP="004904C3">
      <w:pPr>
        <w:spacing w:after="0" w:line="240" w:lineRule="auto"/>
      </w:pPr>
    </w:p>
    <w:p w:rsidR="00691A07" w:rsidRPr="00DB0049" w:rsidRDefault="00691A07" w:rsidP="00076A1E">
      <w:pPr>
        <w:spacing w:after="0" w:line="240" w:lineRule="auto"/>
        <w:jc w:val="both"/>
        <w:rPr>
          <w:rFonts w:ascii="Times New Roman" w:hAnsi="Times New Roman"/>
          <w:b/>
          <w:bCs/>
          <w:sz w:val="24"/>
          <w:szCs w:val="24"/>
        </w:rPr>
      </w:pPr>
      <w:r w:rsidRPr="00DB0049">
        <w:rPr>
          <w:rFonts w:ascii="Times New Roman" w:hAnsi="Times New Roman"/>
          <w:b/>
          <w:bCs/>
          <w:sz w:val="24"/>
          <w:szCs w:val="24"/>
        </w:rPr>
        <w:t>REFERENCES</w:t>
      </w:r>
    </w:p>
    <w:p w:rsidR="005318AE" w:rsidRPr="005318AE" w:rsidRDefault="005318AE" w:rsidP="00076A1E">
      <w:pPr>
        <w:autoSpaceDE w:val="0"/>
        <w:autoSpaceDN w:val="0"/>
        <w:adjustRightInd w:val="0"/>
        <w:spacing w:after="0" w:line="240" w:lineRule="auto"/>
        <w:ind w:left="630" w:hanging="630"/>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AASHTO (1986). “Standard Specifications for Transport Materials and Methods of Sampling and Testing.” 14th Edition, </w:t>
      </w:r>
      <w:r w:rsidRPr="005318AE">
        <w:rPr>
          <w:rFonts w:ascii="Times New Roman" w:eastAsia="Calibri" w:hAnsi="Times New Roman"/>
          <w:i/>
          <w:iCs/>
          <w:sz w:val="24"/>
          <w:szCs w:val="24"/>
          <w:lang w:eastAsia="en-US"/>
        </w:rPr>
        <w:t>American Association of State Highway and Transport Officials (AASHTO),</w:t>
      </w:r>
      <w:r w:rsidRPr="005318AE">
        <w:rPr>
          <w:rFonts w:ascii="Times New Roman" w:eastAsia="Calibri" w:hAnsi="Times New Roman"/>
          <w:sz w:val="24"/>
          <w:szCs w:val="24"/>
          <w:lang w:eastAsia="en-US"/>
        </w:rPr>
        <w:t xml:space="preserve"> Washington, D.C.</w:t>
      </w:r>
    </w:p>
    <w:p w:rsidR="00807A69" w:rsidRDefault="00807A69" w:rsidP="00076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Al Qabany A, Mortensen B, Martinez B, Soga K, Dejong J (2011) Microbial carbonate </w:t>
      </w:r>
      <w:r>
        <w:rPr>
          <w:rFonts w:ascii="Times New Roman" w:hAnsi="Times New Roman"/>
          <w:sz w:val="24"/>
          <w:szCs w:val="24"/>
        </w:rPr>
        <w:tab/>
        <w:t xml:space="preserve">precipitation: correlation of S-wave velocity with calcite precipitation. In: </w:t>
      </w:r>
      <w:r>
        <w:rPr>
          <w:rFonts w:ascii="Times New Roman" w:hAnsi="Times New Roman"/>
          <w:sz w:val="24"/>
          <w:szCs w:val="24"/>
        </w:rPr>
        <w:tab/>
      </w:r>
      <w:r w:rsidRPr="00683F54">
        <w:rPr>
          <w:rFonts w:ascii="Times New Roman" w:hAnsi="Times New Roman"/>
          <w:i/>
          <w:sz w:val="24"/>
          <w:szCs w:val="24"/>
        </w:rPr>
        <w:t xml:space="preserve">Proceedings </w:t>
      </w:r>
      <w:r>
        <w:rPr>
          <w:rFonts w:ascii="Times New Roman" w:hAnsi="Times New Roman"/>
          <w:i/>
          <w:sz w:val="24"/>
          <w:szCs w:val="24"/>
        </w:rPr>
        <w:tab/>
      </w:r>
      <w:r w:rsidRPr="00683F54">
        <w:rPr>
          <w:rFonts w:ascii="Times New Roman" w:hAnsi="Times New Roman"/>
          <w:i/>
          <w:sz w:val="24"/>
          <w:szCs w:val="24"/>
        </w:rPr>
        <w:t>of geo frontiers in geotechnical engineering 2011</w:t>
      </w:r>
      <w:r>
        <w:rPr>
          <w:rFonts w:ascii="Times New Roman" w:hAnsi="Times New Roman"/>
          <w:sz w:val="24"/>
          <w:szCs w:val="24"/>
        </w:rPr>
        <w:t xml:space="preserve">: technical papers, </w:t>
      </w:r>
      <w:r>
        <w:rPr>
          <w:rFonts w:ascii="Times New Roman" w:hAnsi="Times New Roman"/>
          <w:sz w:val="24"/>
          <w:szCs w:val="24"/>
        </w:rPr>
        <w:tab/>
        <w:t xml:space="preserve">ASCE, pp </w:t>
      </w:r>
      <w:r>
        <w:rPr>
          <w:rFonts w:ascii="Times New Roman" w:hAnsi="Times New Roman"/>
          <w:sz w:val="24"/>
          <w:szCs w:val="24"/>
        </w:rPr>
        <w:tab/>
        <w:t>3993–4001</w:t>
      </w:r>
    </w:p>
    <w:p w:rsidR="005318AE" w:rsidRPr="005318AE" w:rsidRDefault="005318AE" w:rsidP="00076A1E">
      <w:pPr>
        <w:autoSpaceDE w:val="0"/>
        <w:autoSpaceDN w:val="0"/>
        <w:adjustRightInd w:val="0"/>
        <w:spacing w:after="0" w:line="240" w:lineRule="auto"/>
        <w:ind w:left="630" w:hanging="630"/>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ASTM (1992). </w:t>
      </w:r>
      <w:r w:rsidRPr="005318AE">
        <w:rPr>
          <w:rFonts w:ascii="Times New Roman" w:eastAsia="Calibri" w:hAnsi="Times New Roman"/>
          <w:i/>
          <w:iCs/>
          <w:sz w:val="24"/>
          <w:szCs w:val="24"/>
          <w:lang w:eastAsia="en-US"/>
        </w:rPr>
        <w:t>Annual Book of Standards</w:t>
      </w:r>
      <w:r w:rsidRPr="005318AE">
        <w:rPr>
          <w:rFonts w:ascii="Times New Roman" w:eastAsia="Calibri" w:hAnsi="Times New Roman"/>
          <w:sz w:val="24"/>
          <w:szCs w:val="24"/>
          <w:lang w:eastAsia="en-US"/>
        </w:rPr>
        <w:t xml:space="preserve"> Vol. 04.08, American Society for Testing and Materials, Philadelphia.</w:t>
      </w:r>
    </w:p>
    <w:p w:rsidR="005318AE" w:rsidRPr="005318AE" w:rsidRDefault="005318AE" w:rsidP="00076A1E">
      <w:pPr>
        <w:autoSpaceDE w:val="0"/>
        <w:autoSpaceDN w:val="0"/>
        <w:adjustRightInd w:val="0"/>
        <w:spacing w:after="0" w:line="240" w:lineRule="auto"/>
        <w:jc w:val="both"/>
        <w:rPr>
          <w:rFonts w:ascii="Times New Roman" w:eastAsia="Calibri" w:hAnsi="Times New Roman"/>
          <w:i/>
          <w:sz w:val="24"/>
          <w:szCs w:val="24"/>
          <w:lang w:eastAsia="en-US"/>
        </w:rPr>
      </w:pPr>
      <w:r w:rsidRPr="005318AE">
        <w:rPr>
          <w:rFonts w:ascii="Times New Roman" w:eastAsia="Calibri" w:hAnsi="Times New Roman"/>
          <w:sz w:val="24"/>
          <w:szCs w:val="24"/>
          <w:lang w:eastAsia="en-US"/>
        </w:rPr>
        <w:t xml:space="preserve">Bernard L. D.L.M (2019).  </w:t>
      </w:r>
      <w:r w:rsidRPr="005318AE">
        <w:rPr>
          <w:rFonts w:ascii="Times New Roman" w:eastAsia="Calibri" w:hAnsi="Times New Roman"/>
          <w:bCs/>
          <w:i/>
          <w:sz w:val="24"/>
          <w:szCs w:val="24"/>
          <w:lang w:eastAsia="en-US"/>
        </w:rPr>
        <w:t>Biologically Induced Cementation for Soil Stabilisation,</w:t>
      </w:r>
      <w:r w:rsidRPr="005318AE">
        <w:rPr>
          <w:rFonts w:ascii="Times New Roman" w:eastAsia="Calibri" w:hAnsi="Times New Roman"/>
          <w:bCs/>
          <w:sz w:val="24"/>
          <w:szCs w:val="24"/>
          <w:lang w:eastAsia="en-US"/>
        </w:rPr>
        <w:t xml:space="preserve"> pp. 16</w:t>
      </w:r>
    </w:p>
    <w:p w:rsidR="005318AE" w:rsidRPr="005318AE" w:rsidRDefault="005318AE" w:rsidP="00076A1E">
      <w:pPr>
        <w:spacing w:after="0" w:line="240" w:lineRule="auto"/>
        <w:jc w:val="both"/>
        <w:rPr>
          <w:rFonts w:ascii="Times New Roman" w:eastAsia="Calibri" w:hAnsi="Times New Roman"/>
          <w:i/>
          <w:iCs/>
          <w:sz w:val="24"/>
          <w:szCs w:val="24"/>
          <w:lang w:eastAsia="en-US"/>
        </w:rPr>
      </w:pPr>
      <w:r w:rsidRPr="005318AE">
        <w:rPr>
          <w:rFonts w:ascii="Times New Roman" w:eastAsia="Calibri" w:hAnsi="Times New Roman"/>
          <w:sz w:val="24"/>
          <w:szCs w:val="24"/>
          <w:lang w:eastAsia="en-US"/>
        </w:rPr>
        <w:t xml:space="preserve">BS 1377 (1990). Method of Testing Soils for Civil Engineering Purpose. </w:t>
      </w:r>
      <w:r w:rsidRPr="005318AE">
        <w:rPr>
          <w:rFonts w:ascii="Times New Roman" w:eastAsia="Calibri" w:hAnsi="Times New Roman"/>
          <w:i/>
          <w:iCs/>
          <w:sz w:val="24"/>
          <w:szCs w:val="24"/>
          <w:lang w:eastAsia="en-US"/>
        </w:rPr>
        <w:t xml:space="preserve">British Standard </w:t>
      </w:r>
      <w:r w:rsidR="005E67CF" w:rsidRPr="00DB0049">
        <w:rPr>
          <w:rFonts w:ascii="Times New Roman" w:eastAsia="Calibri" w:hAnsi="Times New Roman"/>
          <w:i/>
          <w:iCs/>
          <w:sz w:val="24"/>
          <w:szCs w:val="24"/>
          <w:lang w:eastAsia="en-US"/>
        </w:rPr>
        <w:tab/>
      </w:r>
      <w:r w:rsidRPr="005318AE">
        <w:rPr>
          <w:rFonts w:ascii="Times New Roman" w:eastAsia="Calibri" w:hAnsi="Times New Roman"/>
          <w:i/>
          <w:iCs/>
          <w:sz w:val="24"/>
          <w:szCs w:val="24"/>
          <w:lang w:eastAsia="en-US"/>
        </w:rPr>
        <w:t xml:space="preserve">Institute, BSI, </w:t>
      </w:r>
      <w:r w:rsidRPr="005318AE">
        <w:rPr>
          <w:rFonts w:ascii="Times New Roman" w:eastAsia="Calibri" w:hAnsi="Times New Roman"/>
          <w:i/>
          <w:iCs/>
          <w:sz w:val="24"/>
          <w:szCs w:val="24"/>
          <w:lang w:eastAsia="en-US"/>
        </w:rPr>
        <w:tab/>
        <w:t>London.</w:t>
      </w:r>
    </w:p>
    <w:p w:rsidR="005318AE" w:rsidRPr="005318AE" w:rsidRDefault="005318AE" w:rsidP="00076A1E">
      <w:pPr>
        <w:spacing w:after="0" w:line="240" w:lineRule="auto"/>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Coka E. (2001) Use of class C fly ashes for the stabilization of an expansive soil. </w:t>
      </w:r>
      <w:r w:rsidRPr="005318AE">
        <w:rPr>
          <w:rFonts w:ascii="Times New Roman" w:eastAsia="Calibri" w:hAnsi="Times New Roman"/>
          <w:i/>
          <w:iCs/>
          <w:sz w:val="24"/>
          <w:szCs w:val="24"/>
          <w:lang w:eastAsia="en-US"/>
        </w:rPr>
        <w:t xml:space="preserve">ASCE Journal </w:t>
      </w:r>
      <w:r w:rsidR="005E67CF" w:rsidRPr="00DB0049">
        <w:rPr>
          <w:rFonts w:ascii="Times New Roman" w:eastAsia="Calibri" w:hAnsi="Times New Roman"/>
          <w:i/>
          <w:iCs/>
          <w:sz w:val="24"/>
          <w:szCs w:val="24"/>
          <w:lang w:eastAsia="en-US"/>
        </w:rPr>
        <w:tab/>
      </w:r>
      <w:r w:rsidR="0081184C">
        <w:rPr>
          <w:rFonts w:ascii="Times New Roman" w:eastAsia="Calibri" w:hAnsi="Times New Roman"/>
          <w:i/>
          <w:iCs/>
          <w:sz w:val="24"/>
          <w:szCs w:val="24"/>
          <w:lang w:eastAsia="en-US"/>
        </w:rPr>
        <w:tab/>
      </w:r>
      <w:r w:rsidRPr="005318AE">
        <w:rPr>
          <w:rFonts w:ascii="Times New Roman" w:eastAsia="Calibri" w:hAnsi="Times New Roman"/>
          <w:i/>
          <w:iCs/>
          <w:sz w:val="24"/>
          <w:szCs w:val="24"/>
          <w:lang w:eastAsia="en-US"/>
        </w:rPr>
        <w:t xml:space="preserve">of </w:t>
      </w:r>
      <w:r w:rsidRPr="005318AE">
        <w:rPr>
          <w:rFonts w:ascii="Times New Roman" w:eastAsia="Calibri" w:hAnsi="Times New Roman"/>
          <w:i/>
          <w:iCs/>
          <w:sz w:val="24"/>
          <w:szCs w:val="24"/>
          <w:lang w:eastAsia="en-US"/>
        </w:rPr>
        <w:tab/>
        <w:t xml:space="preserve">Geotechnical and Geoenvironmental Engneering </w:t>
      </w:r>
      <w:r w:rsidRPr="005318AE">
        <w:rPr>
          <w:rFonts w:ascii="Times New Roman" w:eastAsia="Calibri" w:hAnsi="Times New Roman"/>
          <w:b/>
          <w:bCs/>
          <w:sz w:val="24"/>
          <w:szCs w:val="24"/>
          <w:lang w:eastAsia="en-US"/>
        </w:rPr>
        <w:t>127</w:t>
      </w:r>
      <w:r w:rsidRPr="005318AE">
        <w:rPr>
          <w:rFonts w:ascii="Times New Roman" w:eastAsia="Calibri" w:hAnsi="Times New Roman"/>
          <w:sz w:val="24"/>
          <w:szCs w:val="24"/>
          <w:lang w:eastAsia="en-US"/>
        </w:rPr>
        <w:t>(7):568–573</w:t>
      </w:r>
    </w:p>
    <w:p w:rsidR="005318AE" w:rsidRPr="005318AE" w:rsidRDefault="005318AE" w:rsidP="00076A1E">
      <w:pPr>
        <w:autoSpaceDE w:val="0"/>
        <w:autoSpaceDN w:val="0"/>
        <w:adjustRightInd w:val="0"/>
        <w:spacing w:after="0" w:line="240" w:lineRule="auto"/>
        <w:jc w:val="both"/>
        <w:rPr>
          <w:rFonts w:ascii="Times New Roman" w:eastAsia="CIDFont+F5" w:hAnsi="Times New Roman"/>
          <w:sz w:val="24"/>
          <w:szCs w:val="24"/>
          <w:lang w:val="en-GB" w:eastAsia="en-US"/>
        </w:rPr>
      </w:pPr>
      <w:r w:rsidRPr="005318AE">
        <w:rPr>
          <w:rFonts w:ascii="Times New Roman" w:eastAsia="CIDFont+F5" w:hAnsi="Times New Roman"/>
          <w:sz w:val="24"/>
          <w:szCs w:val="24"/>
          <w:lang w:val="en-GB" w:eastAsia="en-US"/>
        </w:rPr>
        <w:t xml:space="preserve">Choi S G, Park S S, Wu S and Chu J 2017 Methods for Calcium Carbonate Content </w:t>
      </w:r>
      <w:r w:rsidR="005E67CF" w:rsidRPr="00DB0049">
        <w:rPr>
          <w:rFonts w:ascii="Times New Roman" w:eastAsia="CIDFont+F5" w:hAnsi="Times New Roman"/>
          <w:sz w:val="24"/>
          <w:szCs w:val="24"/>
          <w:lang w:val="en-GB" w:eastAsia="en-US"/>
        </w:rPr>
        <w:tab/>
      </w:r>
      <w:r w:rsidRPr="005318AE">
        <w:rPr>
          <w:rFonts w:ascii="Times New Roman" w:eastAsia="CIDFont+F5" w:hAnsi="Times New Roman"/>
          <w:sz w:val="24"/>
          <w:szCs w:val="24"/>
          <w:lang w:val="en-GB" w:eastAsia="en-US"/>
        </w:rPr>
        <w:t>Measurement of</w:t>
      </w:r>
      <w:r w:rsidR="005E67CF" w:rsidRPr="00DB0049">
        <w:rPr>
          <w:rFonts w:ascii="Times New Roman" w:eastAsia="CIDFont+F5" w:hAnsi="Times New Roman"/>
          <w:sz w:val="24"/>
          <w:szCs w:val="24"/>
          <w:lang w:val="en-GB" w:eastAsia="en-US"/>
        </w:rPr>
        <w:t xml:space="preserve"> </w:t>
      </w:r>
      <w:r w:rsidRPr="005318AE">
        <w:rPr>
          <w:rFonts w:ascii="Times New Roman" w:eastAsia="CIDFont+F5" w:hAnsi="Times New Roman"/>
          <w:sz w:val="24"/>
          <w:szCs w:val="24"/>
          <w:lang w:val="en-GB" w:eastAsia="en-US"/>
        </w:rPr>
        <w:t>Biocemented Soils</w:t>
      </w:r>
      <w:r w:rsidRPr="005318AE">
        <w:rPr>
          <w:rFonts w:ascii="Times New Roman" w:eastAsia="CIDFont+F5" w:hAnsi="Times New Roman"/>
          <w:i/>
          <w:iCs/>
          <w:sz w:val="24"/>
          <w:szCs w:val="24"/>
          <w:lang w:val="en-GB" w:eastAsia="en-US"/>
        </w:rPr>
        <w:t xml:space="preserve">. Journal of Materials in Civil Engineering, Technical </w:t>
      </w:r>
      <w:r w:rsidR="005E67CF" w:rsidRPr="00DB0049">
        <w:rPr>
          <w:rFonts w:ascii="Times New Roman" w:eastAsia="CIDFont+F5" w:hAnsi="Times New Roman"/>
          <w:i/>
          <w:iCs/>
          <w:sz w:val="24"/>
          <w:szCs w:val="24"/>
          <w:lang w:val="en-GB" w:eastAsia="en-US"/>
        </w:rPr>
        <w:tab/>
      </w:r>
      <w:r w:rsidRPr="005318AE">
        <w:rPr>
          <w:rFonts w:ascii="Times New Roman" w:eastAsia="CIDFont+F5" w:hAnsi="Times New Roman"/>
          <w:i/>
          <w:iCs/>
          <w:sz w:val="24"/>
          <w:szCs w:val="24"/>
          <w:lang w:val="en-GB" w:eastAsia="en-US"/>
        </w:rPr>
        <w:t>note</w:t>
      </w:r>
      <w:r w:rsidRPr="005318AE">
        <w:rPr>
          <w:rFonts w:ascii="Times New Roman" w:eastAsia="CIDFont+F5" w:hAnsi="Times New Roman"/>
          <w:sz w:val="24"/>
          <w:szCs w:val="24"/>
          <w:lang w:val="en-GB" w:eastAsia="en-US"/>
        </w:rPr>
        <w:t xml:space="preserve"> 29(11): 06017015.</w:t>
      </w:r>
    </w:p>
    <w:p w:rsidR="005318AE" w:rsidRPr="005318AE" w:rsidRDefault="005318AE" w:rsidP="00076A1E">
      <w:pPr>
        <w:autoSpaceDE w:val="0"/>
        <w:autoSpaceDN w:val="0"/>
        <w:adjustRightInd w:val="0"/>
        <w:spacing w:after="0" w:line="240" w:lineRule="auto"/>
        <w:jc w:val="both"/>
        <w:rPr>
          <w:rFonts w:ascii="Times New Roman" w:eastAsia="CIDFont+F5" w:hAnsi="Times New Roman"/>
          <w:i/>
          <w:iCs/>
          <w:sz w:val="24"/>
          <w:szCs w:val="24"/>
          <w:lang w:val="en-GB" w:eastAsia="en-US"/>
        </w:rPr>
      </w:pPr>
      <w:r w:rsidRPr="005318AE">
        <w:rPr>
          <w:rFonts w:ascii="Times New Roman" w:eastAsia="CIDFont+F5" w:hAnsi="Times New Roman"/>
          <w:sz w:val="24"/>
          <w:szCs w:val="24"/>
          <w:lang w:val="en-GB" w:eastAsia="en-US"/>
        </w:rPr>
        <w:t xml:space="preserve">Chi L, De Y, Shihui L, Tuanjie Z, Siriguleng B, Yu G and Lin L (2017) Improvement of </w:t>
      </w:r>
      <w:r w:rsidR="005E67CF" w:rsidRPr="00DB0049">
        <w:rPr>
          <w:rFonts w:ascii="Times New Roman" w:eastAsia="CIDFont+F5" w:hAnsi="Times New Roman"/>
          <w:sz w:val="24"/>
          <w:szCs w:val="24"/>
          <w:lang w:val="en-GB" w:eastAsia="en-US"/>
        </w:rPr>
        <w:tab/>
      </w:r>
      <w:r w:rsidRPr="005318AE">
        <w:rPr>
          <w:rFonts w:ascii="Times New Roman" w:eastAsia="CIDFont+F5" w:hAnsi="Times New Roman"/>
          <w:sz w:val="24"/>
          <w:szCs w:val="24"/>
          <w:lang w:val="en-GB" w:eastAsia="en-US"/>
        </w:rPr>
        <w:t xml:space="preserve">Geomechanical </w:t>
      </w:r>
      <w:r w:rsidRPr="005318AE">
        <w:rPr>
          <w:rFonts w:ascii="Times New Roman" w:eastAsia="CIDFont+F5" w:hAnsi="Times New Roman"/>
          <w:sz w:val="24"/>
          <w:szCs w:val="24"/>
          <w:lang w:val="en-GB" w:eastAsia="en-US"/>
        </w:rPr>
        <w:tab/>
        <w:t>Properties of Bio-remediated Aeolian Sand</w:t>
      </w:r>
      <w:r w:rsidRPr="005318AE">
        <w:rPr>
          <w:rFonts w:ascii="Times New Roman" w:eastAsia="CIDFont+F5" w:hAnsi="Times New Roman"/>
          <w:i/>
          <w:iCs/>
          <w:sz w:val="24"/>
          <w:szCs w:val="24"/>
          <w:lang w:val="en-GB" w:eastAsia="en-US"/>
        </w:rPr>
        <w:t>,</w:t>
      </w:r>
      <w:r w:rsidRPr="005318AE">
        <w:rPr>
          <w:rFonts w:ascii="Times New Roman" w:eastAsia="CIDFont+F5" w:hAnsi="Times New Roman"/>
          <w:sz w:val="24"/>
          <w:szCs w:val="24"/>
          <w:lang w:val="en-GB" w:eastAsia="en-US"/>
        </w:rPr>
        <w:t xml:space="preserve"> </w:t>
      </w:r>
      <w:r w:rsidRPr="005318AE">
        <w:rPr>
          <w:rFonts w:ascii="Times New Roman" w:eastAsia="CIDFont+F5" w:hAnsi="Times New Roman"/>
          <w:i/>
          <w:iCs/>
          <w:sz w:val="24"/>
          <w:szCs w:val="24"/>
          <w:lang w:val="en-GB" w:eastAsia="en-US"/>
        </w:rPr>
        <w:t xml:space="preserve">Geomicrobiology </w:t>
      </w:r>
      <w:r w:rsidR="005E67CF" w:rsidRPr="00DB0049">
        <w:rPr>
          <w:rFonts w:ascii="Times New Roman" w:eastAsia="CIDFont+F5" w:hAnsi="Times New Roman"/>
          <w:i/>
          <w:iCs/>
          <w:sz w:val="24"/>
          <w:szCs w:val="24"/>
          <w:lang w:val="en-GB" w:eastAsia="en-US"/>
        </w:rPr>
        <w:tab/>
      </w:r>
      <w:r w:rsidRPr="005318AE">
        <w:rPr>
          <w:rFonts w:ascii="Times New Roman" w:eastAsia="CIDFont+F5" w:hAnsi="Times New Roman"/>
          <w:i/>
          <w:iCs/>
          <w:sz w:val="24"/>
          <w:szCs w:val="24"/>
          <w:lang w:val="en-GB" w:eastAsia="en-US"/>
        </w:rPr>
        <w:t>Journal.</w:t>
      </w:r>
      <w:r w:rsidR="005E67CF" w:rsidRPr="00DB0049">
        <w:rPr>
          <w:rFonts w:ascii="Times New Roman" w:eastAsia="CIDFont+F5" w:hAnsi="Times New Roman"/>
          <w:i/>
          <w:iCs/>
          <w:sz w:val="24"/>
          <w:szCs w:val="24"/>
          <w:lang w:val="en-GB" w:eastAsia="en-US"/>
        </w:rPr>
        <w:t xml:space="preserve"> </w:t>
      </w:r>
      <w:r w:rsidRPr="005318AE">
        <w:rPr>
          <w:rFonts w:ascii="Times New Roman" w:eastAsia="CIDFont+F5" w:hAnsi="Times New Roman"/>
          <w:sz w:val="24"/>
          <w:szCs w:val="24"/>
          <w:lang w:val="en-GB" w:eastAsia="en-US"/>
        </w:rPr>
        <w:t>DOI: 10.1080/01490451.2017.1338798.</w:t>
      </w:r>
    </w:p>
    <w:p w:rsidR="005318AE" w:rsidRPr="005318AE" w:rsidRDefault="005318AE" w:rsidP="00076A1E">
      <w:pPr>
        <w:spacing w:after="0" w:line="240" w:lineRule="auto"/>
        <w:jc w:val="both"/>
        <w:rPr>
          <w:rFonts w:ascii="Times New Roman" w:eastAsia="Calibri" w:hAnsi="Times New Roman"/>
          <w:sz w:val="24"/>
          <w:szCs w:val="24"/>
          <w:u w:val="single"/>
          <w:lang w:eastAsia="en-US"/>
        </w:rPr>
      </w:pPr>
      <w:r w:rsidRPr="005318AE">
        <w:rPr>
          <w:rFonts w:ascii="Times New Roman" w:eastAsia="Calibri" w:hAnsi="Times New Roman"/>
          <w:sz w:val="24"/>
          <w:szCs w:val="24"/>
          <w:lang w:eastAsia="en-US"/>
        </w:rPr>
        <w:lastRenderedPageBreak/>
        <w:t xml:space="preserve">Dhami NK, Mukherjee A and Reddy MS (2016) </w:t>
      </w:r>
      <w:r w:rsidRPr="005318AE">
        <w:rPr>
          <w:rFonts w:ascii="Times New Roman" w:eastAsia="Calibri" w:hAnsi="Times New Roman"/>
          <w:i/>
          <w:iCs/>
          <w:sz w:val="24"/>
          <w:szCs w:val="24"/>
          <w:lang w:eastAsia="en-US"/>
        </w:rPr>
        <w:t>Micrographical, minerological and nano-</w:t>
      </w:r>
      <w:r w:rsidR="005E67CF" w:rsidRPr="00DB0049">
        <w:rPr>
          <w:rFonts w:ascii="Times New Roman" w:eastAsia="Calibri" w:hAnsi="Times New Roman"/>
          <w:i/>
          <w:iCs/>
          <w:sz w:val="24"/>
          <w:szCs w:val="24"/>
          <w:lang w:eastAsia="en-US"/>
        </w:rPr>
        <w:tab/>
      </w:r>
      <w:r w:rsidRPr="005318AE">
        <w:rPr>
          <w:rFonts w:ascii="Times New Roman" w:eastAsia="Calibri" w:hAnsi="Times New Roman"/>
          <w:i/>
          <w:iCs/>
          <w:sz w:val="24"/>
          <w:szCs w:val="24"/>
          <w:lang w:eastAsia="en-US"/>
        </w:rPr>
        <w:t xml:space="preserve">mechanical </w:t>
      </w:r>
      <w:r w:rsidRPr="005318AE">
        <w:rPr>
          <w:rFonts w:ascii="Times New Roman" w:eastAsia="Calibri" w:hAnsi="Times New Roman"/>
          <w:i/>
          <w:iCs/>
          <w:sz w:val="24"/>
          <w:szCs w:val="24"/>
          <w:lang w:eastAsia="en-US"/>
        </w:rPr>
        <w:tab/>
        <w:t xml:space="preserve">characterization of microbial carbonates from urease and carbonic </w:t>
      </w:r>
      <w:r w:rsidR="005E67CF" w:rsidRPr="00DB0049">
        <w:rPr>
          <w:rFonts w:ascii="Times New Roman" w:eastAsia="Calibri" w:hAnsi="Times New Roman"/>
          <w:i/>
          <w:iCs/>
          <w:sz w:val="24"/>
          <w:szCs w:val="24"/>
          <w:lang w:eastAsia="en-US"/>
        </w:rPr>
        <w:tab/>
      </w:r>
      <w:r w:rsidRPr="005318AE">
        <w:rPr>
          <w:rFonts w:ascii="Times New Roman" w:eastAsia="Calibri" w:hAnsi="Times New Roman"/>
          <w:i/>
          <w:iCs/>
          <w:sz w:val="24"/>
          <w:szCs w:val="24"/>
          <w:lang w:eastAsia="en-US"/>
        </w:rPr>
        <w:t>anhydrase producing bacteria</w:t>
      </w:r>
      <w:r w:rsidRPr="005318AE">
        <w:rPr>
          <w:rFonts w:ascii="Times New Roman" w:eastAsia="Calibri" w:hAnsi="Times New Roman"/>
          <w:sz w:val="24"/>
          <w:szCs w:val="24"/>
          <w:lang w:eastAsia="en-US"/>
        </w:rPr>
        <w:t xml:space="preserve">. </w:t>
      </w:r>
      <w:r w:rsidRPr="005318AE">
        <w:rPr>
          <w:rFonts w:ascii="Times New Roman" w:eastAsia="Calibri" w:hAnsi="Times New Roman"/>
          <w:sz w:val="24"/>
          <w:szCs w:val="24"/>
          <w:lang w:eastAsia="en-US"/>
        </w:rPr>
        <w:tab/>
      </w:r>
      <w:r w:rsidRPr="005318AE">
        <w:rPr>
          <w:rFonts w:ascii="Times New Roman" w:eastAsia="Calibri" w:hAnsi="Times New Roman"/>
          <w:i/>
          <w:iCs/>
          <w:sz w:val="24"/>
          <w:szCs w:val="24"/>
          <w:lang w:eastAsia="en-US"/>
        </w:rPr>
        <w:t>Ecological</w:t>
      </w:r>
      <w:r w:rsidRPr="005318AE">
        <w:rPr>
          <w:rFonts w:ascii="Times New Roman" w:eastAsia="Calibri" w:hAnsi="Times New Roman"/>
          <w:i/>
          <w:iCs/>
          <w:sz w:val="24"/>
          <w:szCs w:val="24"/>
          <w:lang w:eastAsia="en-US"/>
        </w:rPr>
        <w:tab/>
        <w:t xml:space="preserve">Engineering </w:t>
      </w:r>
      <w:r w:rsidRPr="005318AE">
        <w:rPr>
          <w:rFonts w:ascii="Times New Roman" w:eastAsia="Calibri" w:hAnsi="Times New Roman"/>
          <w:b/>
          <w:bCs/>
          <w:sz w:val="24"/>
          <w:szCs w:val="24"/>
          <w:lang w:eastAsia="en-US"/>
        </w:rPr>
        <w:t>94</w:t>
      </w:r>
      <w:r w:rsidRPr="005318AE">
        <w:rPr>
          <w:rFonts w:ascii="Times New Roman" w:eastAsia="Calibri" w:hAnsi="Times New Roman"/>
          <w:sz w:val="24"/>
          <w:szCs w:val="24"/>
          <w:lang w:eastAsia="en-US"/>
        </w:rPr>
        <w:t xml:space="preserve">, 443–454. </w:t>
      </w:r>
    </w:p>
    <w:p w:rsidR="005318AE" w:rsidRPr="00123529" w:rsidRDefault="005318AE" w:rsidP="00076A1E">
      <w:pPr>
        <w:spacing w:after="0" w:line="240" w:lineRule="auto"/>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Etim RK, Attah IC, Yohanna P (2020) Experimental study on potential of oyster shell ash in </w:t>
      </w:r>
      <w:r w:rsidR="005E67CF"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structural strength </w:t>
      </w:r>
      <w:r w:rsidRPr="005318AE">
        <w:rPr>
          <w:rFonts w:ascii="Times New Roman" w:eastAsia="Calibri" w:hAnsi="Times New Roman"/>
          <w:sz w:val="24"/>
          <w:szCs w:val="24"/>
          <w:lang w:eastAsia="en-US"/>
        </w:rPr>
        <w:tab/>
        <w:t xml:space="preserve">improvement of lateritic soil for road construction. </w:t>
      </w:r>
      <w:r w:rsidRPr="005318AE">
        <w:rPr>
          <w:rFonts w:ascii="Times New Roman" w:eastAsia="Calibri" w:hAnsi="Times New Roman"/>
          <w:i/>
          <w:iCs/>
          <w:sz w:val="24"/>
          <w:szCs w:val="24"/>
          <w:lang w:eastAsia="en-US"/>
        </w:rPr>
        <w:t xml:space="preserve">International </w:t>
      </w:r>
      <w:r w:rsidR="005E67CF" w:rsidRPr="00DB0049">
        <w:rPr>
          <w:rFonts w:ascii="Times New Roman" w:eastAsia="Calibri" w:hAnsi="Times New Roman"/>
          <w:i/>
          <w:iCs/>
          <w:sz w:val="24"/>
          <w:szCs w:val="24"/>
          <w:lang w:eastAsia="en-US"/>
        </w:rPr>
        <w:tab/>
      </w:r>
      <w:r w:rsidRPr="005318AE">
        <w:rPr>
          <w:rFonts w:ascii="Times New Roman" w:eastAsia="Calibri" w:hAnsi="Times New Roman"/>
          <w:i/>
          <w:iCs/>
          <w:sz w:val="24"/>
          <w:szCs w:val="24"/>
          <w:lang w:eastAsia="en-US"/>
        </w:rPr>
        <w:t xml:space="preserve">Journal of Pavement Research </w:t>
      </w:r>
      <w:r w:rsidRPr="005318AE">
        <w:rPr>
          <w:rFonts w:ascii="Times New Roman" w:eastAsia="Calibri" w:hAnsi="Times New Roman"/>
          <w:i/>
          <w:iCs/>
          <w:sz w:val="24"/>
          <w:szCs w:val="24"/>
          <w:lang w:eastAsia="en-US"/>
        </w:rPr>
        <w:tab/>
        <w:t xml:space="preserve">Technology </w:t>
      </w:r>
      <w:hyperlink r:id="rId19" w:history="1">
        <w:r w:rsidR="005E67CF" w:rsidRPr="00123529">
          <w:rPr>
            <w:rStyle w:val="Hyperlink"/>
            <w:rFonts w:ascii="Times New Roman" w:eastAsia="Calibri" w:hAnsi="Times New Roman"/>
            <w:color w:val="auto"/>
            <w:sz w:val="24"/>
            <w:szCs w:val="24"/>
            <w:u w:val="none"/>
            <w:lang w:eastAsia="en-US"/>
          </w:rPr>
          <w:t>https://doi.org/10.1007/s42947-02</w:t>
        </w:r>
        <w:r w:rsidR="005E67CF" w:rsidRPr="00123529">
          <w:rPr>
            <w:rStyle w:val="Hyperlink"/>
            <w:rFonts w:ascii="Times New Roman" w:eastAsia="Calibri" w:hAnsi="Times New Roman"/>
            <w:color w:val="auto"/>
            <w:sz w:val="24"/>
            <w:szCs w:val="24"/>
            <w:u w:val="none"/>
            <w:lang w:eastAsia="en-US"/>
          </w:rPr>
          <w:tab/>
          <w:t>0290-y</w:t>
        </w:r>
      </w:hyperlink>
    </w:p>
    <w:p w:rsidR="005318AE" w:rsidRPr="005318AE" w:rsidRDefault="005318AE" w:rsidP="00076A1E">
      <w:pPr>
        <w:spacing w:after="0" w:line="240" w:lineRule="auto"/>
        <w:jc w:val="both"/>
        <w:rPr>
          <w:rFonts w:ascii="Times New Roman" w:eastAsia="Calibri" w:hAnsi="Times New Roman"/>
          <w:sz w:val="24"/>
          <w:szCs w:val="24"/>
          <w:u w:val="single"/>
          <w:lang w:eastAsia="en-US"/>
        </w:rPr>
      </w:pPr>
      <w:r w:rsidRPr="005318AE">
        <w:rPr>
          <w:rFonts w:ascii="Times New Roman" w:eastAsia="Calibri" w:hAnsi="Times New Roman"/>
          <w:sz w:val="24"/>
          <w:szCs w:val="24"/>
          <w:lang w:eastAsia="en-US"/>
        </w:rPr>
        <w:t xml:space="preserve">Li W, Cheng W, Zhou P, Zhu S and Yu L (2013) Influence of initial calcium ion concentration </w:t>
      </w:r>
      <w:r w:rsidR="008A4A40"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on the </w:t>
      </w:r>
      <w:r w:rsidRPr="005318AE">
        <w:rPr>
          <w:rFonts w:ascii="Times New Roman" w:eastAsia="Calibri" w:hAnsi="Times New Roman"/>
          <w:sz w:val="24"/>
          <w:szCs w:val="24"/>
          <w:lang w:eastAsia="en-US"/>
        </w:rPr>
        <w:tab/>
        <w:t xml:space="preserve">precipitate </w:t>
      </w:r>
      <w:r w:rsidRPr="005318AE">
        <w:rPr>
          <w:rFonts w:ascii="Times New Roman" w:eastAsia="Calibri" w:hAnsi="Times New Roman"/>
          <w:sz w:val="24"/>
          <w:szCs w:val="24"/>
          <w:lang w:eastAsia="en-US"/>
        </w:rPr>
        <w:tab/>
        <w:t xml:space="preserve">and crystal morphology of calcium carbonate induced by bacteria </w:t>
      </w:r>
      <w:r w:rsidR="008A4A40"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carbonic anhydrase. </w:t>
      </w:r>
      <w:r w:rsidRPr="005318AE">
        <w:rPr>
          <w:rFonts w:ascii="Times New Roman" w:eastAsia="Calibri" w:hAnsi="Times New Roman"/>
          <w:sz w:val="24"/>
          <w:szCs w:val="24"/>
          <w:lang w:eastAsia="en-US"/>
        </w:rPr>
        <w:tab/>
      </w:r>
      <w:r w:rsidRPr="005318AE">
        <w:rPr>
          <w:rFonts w:ascii="Times New Roman" w:eastAsia="Calibri" w:hAnsi="Times New Roman"/>
          <w:i/>
          <w:iCs/>
          <w:sz w:val="24"/>
          <w:szCs w:val="24"/>
          <w:lang w:eastAsia="en-US"/>
        </w:rPr>
        <w:t xml:space="preserve">Chemical Engineewering Journal. </w:t>
      </w:r>
      <w:r w:rsidRPr="005318AE">
        <w:rPr>
          <w:rFonts w:ascii="Times New Roman" w:eastAsia="Calibri" w:hAnsi="Times New Roman"/>
          <w:b/>
          <w:bCs/>
          <w:sz w:val="24"/>
          <w:szCs w:val="24"/>
          <w:lang w:eastAsia="en-US"/>
        </w:rPr>
        <w:t>218</w:t>
      </w:r>
      <w:r w:rsidRPr="005318AE">
        <w:rPr>
          <w:rFonts w:ascii="Times New Roman" w:eastAsia="Calibri" w:hAnsi="Times New Roman"/>
          <w:sz w:val="24"/>
          <w:szCs w:val="24"/>
          <w:lang w:eastAsia="en-US"/>
        </w:rPr>
        <w:t xml:space="preserve">, 65-72.  </w:t>
      </w:r>
      <w:r w:rsidR="008A4A40" w:rsidRPr="00DB0049">
        <w:rPr>
          <w:rFonts w:ascii="Times New Roman" w:eastAsia="Calibri" w:hAnsi="Times New Roman"/>
          <w:sz w:val="24"/>
          <w:szCs w:val="24"/>
          <w:lang w:eastAsia="en-US"/>
        </w:rPr>
        <w:tab/>
      </w:r>
      <w:r w:rsidR="008A4A40" w:rsidRPr="00DB0049">
        <w:rPr>
          <w:rFonts w:ascii="Times New Roman" w:eastAsia="Calibri" w:hAnsi="Times New Roman"/>
          <w:sz w:val="24"/>
          <w:szCs w:val="24"/>
          <w:lang w:eastAsia="en-US"/>
        </w:rPr>
        <w:tab/>
      </w:r>
      <w:hyperlink r:id="rId20" w:history="1">
        <w:r w:rsidR="008A4A40" w:rsidRPr="005318AE">
          <w:rPr>
            <w:rStyle w:val="Hyperlink"/>
            <w:rFonts w:ascii="Times New Roman" w:eastAsia="Calibri" w:hAnsi="Times New Roman"/>
            <w:color w:val="auto"/>
            <w:sz w:val="24"/>
            <w:szCs w:val="24"/>
            <w:lang w:eastAsia="en-US"/>
          </w:rPr>
          <w:t>http://dx.doi.org/10.1016/j.cej.2012.12.034</w:t>
        </w:r>
      </w:hyperlink>
    </w:p>
    <w:p w:rsidR="005318AE" w:rsidRPr="005318AE" w:rsidRDefault="005318AE" w:rsidP="00076A1E">
      <w:pPr>
        <w:spacing w:after="0" w:line="240" w:lineRule="auto"/>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Muynck WD, Belie ND and Verstraete W (2020) Microbial carbonate precipitation in </w:t>
      </w:r>
      <w:r w:rsidR="008A4A40"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construction materials: a </w:t>
      </w:r>
      <w:r w:rsidRPr="005318AE">
        <w:rPr>
          <w:rFonts w:ascii="Times New Roman" w:eastAsia="Calibri" w:hAnsi="Times New Roman"/>
          <w:sz w:val="24"/>
          <w:szCs w:val="24"/>
          <w:lang w:eastAsia="en-US"/>
        </w:rPr>
        <w:tab/>
        <w:t xml:space="preserve">review. </w:t>
      </w:r>
      <w:r w:rsidRPr="005318AE">
        <w:rPr>
          <w:rFonts w:ascii="Times New Roman" w:eastAsia="Calibri" w:hAnsi="Times New Roman"/>
          <w:i/>
          <w:iCs/>
          <w:sz w:val="24"/>
          <w:szCs w:val="24"/>
          <w:lang w:eastAsia="en-US"/>
        </w:rPr>
        <w:t xml:space="preserve">Ecological Engineering </w:t>
      </w:r>
      <w:r w:rsidRPr="005318AE">
        <w:rPr>
          <w:rFonts w:ascii="Times New Roman" w:eastAsia="Calibri" w:hAnsi="Times New Roman"/>
          <w:b/>
          <w:bCs/>
          <w:sz w:val="24"/>
          <w:szCs w:val="24"/>
          <w:lang w:eastAsia="en-US"/>
        </w:rPr>
        <w:t xml:space="preserve">36 </w:t>
      </w:r>
      <w:r w:rsidRPr="005318AE">
        <w:rPr>
          <w:rFonts w:ascii="Times New Roman" w:eastAsia="Calibri" w:hAnsi="Times New Roman"/>
          <w:sz w:val="24"/>
          <w:szCs w:val="24"/>
          <w:lang w:eastAsia="en-US"/>
        </w:rPr>
        <w:t>(2):118–36.</w:t>
      </w:r>
    </w:p>
    <w:p w:rsidR="005318AE" w:rsidRPr="005318AE" w:rsidRDefault="005318AE" w:rsidP="00076A1E">
      <w:pPr>
        <w:autoSpaceDE w:val="0"/>
        <w:autoSpaceDN w:val="0"/>
        <w:adjustRightInd w:val="0"/>
        <w:spacing w:after="0" w:line="240" w:lineRule="auto"/>
        <w:jc w:val="both"/>
        <w:rPr>
          <w:rFonts w:ascii="Times New Roman" w:eastAsia="CIDFont+F5" w:hAnsi="Times New Roman"/>
          <w:sz w:val="24"/>
          <w:szCs w:val="24"/>
          <w:lang w:val="en-GB" w:eastAsia="en-US"/>
        </w:rPr>
      </w:pPr>
      <w:r w:rsidRPr="005318AE">
        <w:rPr>
          <w:rFonts w:ascii="Times New Roman" w:eastAsia="CIDFont+F5" w:hAnsi="Times New Roman"/>
          <w:sz w:val="24"/>
          <w:szCs w:val="24"/>
          <w:lang w:val="en-GB" w:eastAsia="en-US"/>
        </w:rPr>
        <w:t xml:space="preserve">Mortensen B M, Haber M J, DeJong J T, Caslake L F and Nelson D C (2011) Effects of </w:t>
      </w:r>
      <w:r w:rsidR="008A4A40" w:rsidRPr="00DB0049">
        <w:rPr>
          <w:rFonts w:ascii="Times New Roman" w:eastAsia="CIDFont+F5" w:hAnsi="Times New Roman"/>
          <w:sz w:val="24"/>
          <w:szCs w:val="24"/>
          <w:lang w:val="en-GB" w:eastAsia="en-US"/>
        </w:rPr>
        <w:tab/>
      </w:r>
      <w:r w:rsidRPr="005318AE">
        <w:rPr>
          <w:rFonts w:ascii="Times New Roman" w:eastAsia="CIDFont+F5" w:hAnsi="Times New Roman"/>
          <w:sz w:val="24"/>
          <w:szCs w:val="24"/>
          <w:lang w:val="en-GB" w:eastAsia="en-US"/>
        </w:rPr>
        <w:t>environmental</w:t>
      </w:r>
      <w:r w:rsidR="008A4A40" w:rsidRPr="00DB0049">
        <w:rPr>
          <w:rFonts w:ascii="Times New Roman" w:eastAsia="CIDFont+F5" w:hAnsi="Times New Roman"/>
          <w:sz w:val="24"/>
          <w:szCs w:val="24"/>
          <w:lang w:val="en-GB" w:eastAsia="en-US"/>
        </w:rPr>
        <w:t xml:space="preserve"> </w:t>
      </w:r>
      <w:r w:rsidRPr="005318AE">
        <w:rPr>
          <w:rFonts w:ascii="Times New Roman" w:eastAsia="CIDFont+F5" w:hAnsi="Times New Roman"/>
          <w:sz w:val="24"/>
          <w:szCs w:val="24"/>
          <w:lang w:val="en-GB" w:eastAsia="en-US"/>
        </w:rPr>
        <w:t xml:space="preserve">factors on microbial induced calcium carbonate precipitation. </w:t>
      </w:r>
      <w:r w:rsidRPr="005318AE">
        <w:rPr>
          <w:rFonts w:ascii="Times New Roman" w:eastAsia="CIDFont+F5" w:hAnsi="Times New Roman"/>
          <w:i/>
          <w:iCs/>
          <w:sz w:val="24"/>
          <w:szCs w:val="24"/>
          <w:lang w:val="en-GB" w:eastAsia="en-US"/>
        </w:rPr>
        <w:t xml:space="preserve">Journal of </w:t>
      </w:r>
      <w:r w:rsidR="008A4A40" w:rsidRPr="00DB0049">
        <w:rPr>
          <w:rFonts w:ascii="Times New Roman" w:eastAsia="CIDFont+F5" w:hAnsi="Times New Roman"/>
          <w:i/>
          <w:iCs/>
          <w:sz w:val="24"/>
          <w:szCs w:val="24"/>
          <w:lang w:val="en-GB" w:eastAsia="en-US"/>
        </w:rPr>
        <w:tab/>
      </w:r>
      <w:r w:rsidRPr="005318AE">
        <w:rPr>
          <w:rFonts w:ascii="Times New Roman" w:eastAsia="CIDFont+F5" w:hAnsi="Times New Roman"/>
          <w:i/>
          <w:iCs/>
          <w:sz w:val="24"/>
          <w:szCs w:val="24"/>
          <w:lang w:val="en-GB" w:eastAsia="en-US"/>
        </w:rPr>
        <w:t>Applied Microbiology</w:t>
      </w:r>
      <w:r w:rsidRPr="005318AE">
        <w:rPr>
          <w:rFonts w:ascii="Times New Roman" w:eastAsia="CIDFont+F5" w:hAnsi="Times New Roman"/>
          <w:sz w:val="24"/>
          <w:szCs w:val="24"/>
          <w:lang w:val="en-GB" w:eastAsia="en-US"/>
        </w:rPr>
        <w:t>.</w:t>
      </w:r>
      <w:r w:rsidR="008A4A40" w:rsidRPr="00DB0049">
        <w:rPr>
          <w:rFonts w:ascii="Times New Roman" w:eastAsia="CIDFont+F5" w:hAnsi="Times New Roman"/>
          <w:sz w:val="24"/>
          <w:szCs w:val="24"/>
          <w:lang w:val="en-GB" w:eastAsia="en-US"/>
        </w:rPr>
        <w:t xml:space="preserve"> </w:t>
      </w:r>
      <w:r w:rsidRPr="005318AE">
        <w:rPr>
          <w:rFonts w:ascii="Times New Roman" w:eastAsia="CIDFont+F5" w:hAnsi="Times New Roman"/>
          <w:sz w:val="24"/>
          <w:szCs w:val="24"/>
          <w:lang w:val="en-GB" w:eastAsia="en-US"/>
        </w:rPr>
        <w:t>doi:10.1111/j.1365-2672.2011. 05065.x</w:t>
      </w:r>
    </w:p>
    <w:p w:rsidR="005318AE" w:rsidRPr="005318AE" w:rsidRDefault="005318AE" w:rsidP="00076A1E">
      <w:pPr>
        <w:autoSpaceDE w:val="0"/>
        <w:autoSpaceDN w:val="0"/>
        <w:adjustRightInd w:val="0"/>
        <w:spacing w:after="0" w:line="240" w:lineRule="auto"/>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Neumann AW, David R and Zuo Y (2011) </w:t>
      </w:r>
      <w:r w:rsidRPr="005318AE">
        <w:rPr>
          <w:rFonts w:ascii="Times New Roman" w:eastAsia="Calibri" w:hAnsi="Times New Roman"/>
          <w:i/>
          <w:iCs/>
          <w:sz w:val="24"/>
          <w:szCs w:val="24"/>
          <w:lang w:eastAsia="en-US"/>
        </w:rPr>
        <w:t>Applied surface thermodynamics</w:t>
      </w:r>
      <w:r w:rsidRPr="005318AE">
        <w:rPr>
          <w:rFonts w:ascii="Times New Roman" w:eastAsia="Calibri" w:hAnsi="Times New Roman"/>
          <w:sz w:val="24"/>
          <w:szCs w:val="24"/>
          <w:lang w:eastAsia="en-US"/>
        </w:rPr>
        <w:t xml:space="preserve">. Focus Surf. 2011, </w:t>
      </w:r>
      <w:r w:rsidR="00420580" w:rsidRPr="00DB0049">
        <w:rPr>
          <w:rFonts w:ascii="Times New Roman" w:eastAsia="Calibri" w:hAnsi="Times New Roman"/>
          <w:sz w:val="24"/>
          <w:szCs w:val="24"/>
          <w:lang w:eastAsia="en-US"/>
        </w:rPr>
        <w:tab/>
      </w:r>
      <w:r w:rsidRPr="005318AE">
        <w:rPr>
          <w:rFonts w:ascii="Times New Roman" w:eastAsia="Calibri" w:hAnsi="Times New Roman"/>
          <w:b/>
          <w:bCs/>
          <w:sz w:val="24"/>
          <w:szCs w:val="24"/>
          <w:lang w:eastAsia="en-US"/>
        </w:rPr>
        <w:t>6</w:t>
      </w:r>
      <w:r w:rsidRPr="005318AE">
        <w:rPr>
          <w:rFonts w:ascii="Times New Roman" w:eastAsia="Calibri" w:hAnsi="Times New Roman"/>
          <w:sz w:val="24"/>
          <w:szCs w:val="24"/>
          <w:lang w:eastAsia="en-US"/>
        </w:rPr>
        <w:t xml:space="preserve">. </w:t>
      </w:r>
    </w:p>
    <w:p w:rsidR="005318AE" w:rsidRDefault="005318AE" w:rsidP="00076A1E">
      <w:pPr>
        <w:spacing w:after="0" w:line="240" w:lineRule="auto"/>
        <w:jc w:val="both"/>
        <w:rPr>
          <w:rFonts w:ascii="Times New Roman" w:eastAsia="Calibri" w:hAnsi="Times New Roman"/>
          <w:i/>
          <w:iCs/>
          <w:sz w:val="24"/>
          <w:szCs w:val="24"/>
          <w:lang w:eastAsia="en-US"/>
        </w:rPr>
      </w:pPr>
      <w:r w:rsidRPr="005318AE">
        <w:rPr>
          <w:rFonts w:ascii="Times New Roman" w:eastAsia="Calibri" w:hAnsi="Times New Roman"/>
          <w:sz w:val="24"/>
          <w:szCs w:val="24"/>
          <w:lang w:eastAsia="en-US"/>
        </w:rPr>
        <w:t xml:space="preserve">Neupane S (2016) Evaluating the suitability of microbial induced calcite precipitation technique </w:t>
      </w:r>
      <w:r w:rsidR="00420580"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for stabilizing </w:t>
      </w:r>
      <w:r w:rsidRPr="005318AE">
        <w:rPr>
          <w:rFonts w:ascii="Times New Roman" w:eastAsia="Calibri" w:hAnsi="Times New Roman"/>
          <w:sz w:val="24"/>
          <w:szCs w:val="24"/>
          <w:lang w:eastAsia="en-US"/>
        </w:rPr>
        <w:tab/>
        <w:t xml:space="preserve">expansive soils. </w:t>
      </w:r>
      <w:r w:rsidRPr="005318AE">
        <w:rPr>
          <w:rFonts w:ascii="Times New Roman" w:eastAsia="Calibri" w:hAnsi="Times New Roman"/>
          <w:i/>
          <w:iCs/>
          <w:sz w:val="24"/>
          <w:szCs w:val="24"/>
          <w:lang w:eastAsia="en-US"/>
        </w:rPr>
        <w:t>An unpublished thesis submitted to Boise State University</w:t>
      </w:r>
    </w:p>
    <w:p w:rsidR="005318AE" w:rsidRPr="005318AE" w:rsidRDefault="005318AE" w:rsidP="00076A1E">
      <w:pPr>
        <w:autoSpaceDE w:val="0"/>
        <w:autoSpaceDN w:val="0"/>
        <w:adjustRightInd w:val="0"/>
        <w:spacing w:after="0" w:line="240" w:lineRule="auto"/>
        <w:jc w:val="both"/>
        <w:rPr>
          <w:rFonts w:ascii="Times New Roman" w:eastAsia="Calibri" w:hAnsi="Times New Roman"/>
          <w:sz w:val="24"/>
          <w:szCs w:val="24"/>
          <w:lang w:val="en-GB" w:eastAsia="en-US"/>
        </w:rPr>
      </w:pPr>
      <w:r w:rsidRPr="005318AE">
        <w:rPr>
          <w:rFonts w:ascii="Times New Roman" w:eastAsia="Calibri" w:hAnsi="Times New Roman"/>
          <w:sz w:val="24"/>
          <w:szCs w:val="24"/>
          <w:lang w:val="en-GB" w:eastAsia="en-US"/>
        </w:rPr>
        <w:t xml:space="preserve">Osinubi KJ, Eberemu AO, Ijimdiya ST, Yakubu SE &amp; Sani JE (2017). ‘Potential use of Bacillus </w:t>
      </w:r>
      <w:r w:rsidR="00420580" w:rsidRPr="00DB0049">
        <w:rPr>
          <w:rFonts w:ascii="Times New Roman" w:eastAsia="Calibri" w:hAnsi="Times New Roman"/>
          <w:sz w:val="24"/>
          <w:szCs w:val="24"/>
          <w:lang w:val="en-GB" w:eastAsia="en-US"/>
        </w:rPr>
        <w:tab/>
      </w:r>
      <w:r w:rsidRPr="005318AE">
        <w:rPr>
          <w:rFonts w:ascii="Times New Roman" w:eastAsia="Calibri" w:hAnsi="Times New Roman"/>
          <w:i/>
          <w:iCs/>
          <w:sz w:val="24"/>
          <w:szCs w:val="24"/>
          <w:lang w:val="en-GB" w:eastAsia="en-US"/>
        </w:rPr>
        <w:t xml:space="preserve">Pumilus </w:t>
      </w:r>
      <w:r w:rsidRPr="005318AE">
        <w:rPr>
          <w:rFonts w:ascii="Times New Roman" w:eastAsia="Calibri" w:hAnsi="Times New Roman"/>
          <w:sz w:val="24"/>
          <w:szCs w:val="24"/>
          <w:lang w:val="en-GB" w:eastAsia="en-US"/>
        </w:rPr>
        <w:t xml:space="preserve">in </w:t>
      </w:r>
      <w:r w:rsidRPr="005318AE">
        <w:rPr>
          <w:rFonts w:ascii="Times New Roman" w:eastAsia="Calibri" w:hAnsi="Times New Roman"/>
          <w:sz w:val="24"/>
          <w:szCs w:val="24"/>
          <w:lang w:val="en-GB" w:eastAsia="en-US"/>
        </w:rPr>
        <w:tab/>
        <w:t xml:space="preserve">microbial induced calcite precipitation improvement of lateritic soil’. </w:t>
      </w:r>
      <w:r w:rsidR="00420580" w:rsidRPr="00DB0049">
        <w:rPr>
          <w:rFonts w:ascii="Times New Roman" w:eastAsia="Calibri" w:hAnsi="Times New Roman"/>
          <w:sz w:val="24"/>
          <w:szCs w:val="24"/>
          <w:lang w:val="en-GB" w:eastAsia="en-US"/>
        </w:rPr>
        <w:tab/>
      </w:r>
      <w:r w:rsidRPr="005318AE">
        <w:rPr>
          <w:rFonts w:ascii="Times New Roman" w:eastAsia="Calibri" w:hAnsi="Times New Roman"/>
          <w:i/>
          <w:iCs/>
          <w:sz w:val="24"/>
          <w:szCs w:val="24"/>
          <w:lang w:val="en-GB" w:eastAsia="en-US"/>
        </w:rPr>
        <w:t xml:space="preserve">Proceedings of the 2nd Symposium </w:t>
      </w:r>
      <w:r w:rsidRPr="005318AE">
        <w:rPr>
          <w:rFonts w:ascii="Times New Roman" w:eastAsia="Calibri" w:hAnsi="Times New Roman"/>
          <w:i/>
          <w:iCs/>
          <w:sz w:val="24"/>
          <w:szCs w:val="24"/>
          <w:lang w:val="en-GB" w:eastAsia="en-US"/>
        </w:rPr>
        <w:tab/>
        <w:t xml:space="preserve">on Coupled Phenomena in Environmental </w:t>
      </w:r>
      <w:r w:rsidR="00420580" w:rsidRPr="00DB0049">
        <w:rPr>
          <w:rFonts w:ascii="Times New Roman" w:eastAsia="Calibri" w:hAnsi="Times New Roman"/>
          <w:i/>
          <w:iCs/>
          <w:sz w:val="24"/>
          <w:szCs w:val="24"/>
          <w:lang w:val="en-GB" w:eastAsia="en-US"/>
        </w:rPr>
        <w:tab/>
      </w:r>
      <w:r w:rsidRPr="005318AE">
        <w:rPr>
          <w:rFonts w:ascii="Times New Roman" w:eastAsia="Calibri" w:hAnsi="Times New Roman"/>
          <w:i/>
          <w:iCs/>
          <w:sz w:val="24"/>
          <w:szCs w:val="24"/>
          <w:lang w:val="en-GB" w:eastAsia="en-US"/>
        </w:rPr>
        <w:t>Geotechnics (CPEG2</w:t>
      </w:r>
      <w:r w:rsidRPr="005318AE">
        <w:rPr>
          <w:rFonts w:ascii="Times New Roman" w:eastAsia="Calibri" w:hAnsi="Times New Roman"/>
          <w:sz w:val="24"/>
          <w:szCs w:val="24"/>
          <w:lang w:val="en-GB" w:eastAsia="en-US"/>
        </w:rPr>
        <w:t xml:space="preserve">), Leeds, United Kingdom, 6-8 </w:t>
      </w:r>
      <w:r w:rsidRPr="005318AE">
        <w:rPr>
          <w:rFonts w:ascii="Times New Roman" w:eastAsia="Calibri" w:hAnsi="Times New Roman"/>
          <w:sz w:val="24"/>
          <w:szCs w:val="24"/>
          <w:lang w:val="en-GB" w:eastAsia="en-US"/>
        </w:rPr>
        <w:tab/>
        <w:t xml:space="preserve">September. Session: </w:t>
      </w:r>
      <w:r w:rsidR="00420580" w:rsidRPr="00DB0049">
        <w:rPr>
          <w:rFonts w:ascii="Times New Roman" w:eastAsia="Calibri" w:hAnsi="Times New Roman"/>
          <w:sz w:val="24"/>
          <w:szCs w:val="24"/>
          <w:lang w:val="en-GB" w:eastAsia="en-US"/>
        </w:rPr>
        <w:tab/>
      </w:r>
      <w:r w:rsidRPr="005318AE">
        <w:rPr>
          <w:rFonts w:ascii="Times New Roman" w:eastAsia="Calibri" w:hAnsi="Times New Roman"/>
          <w:sz w:val="24"/>
          <w:szCs w:val="24"/>
          <w:lang w:val="en-GB" w:eastAsia="en-US"/>
        </w:rPr>
        <w:t>Cleanups, Paper #64, Pp. 1 – 6.</w:t>
      </w:r>
    </w:p>
    <w:p w:rsidR="005318AE" w:rsidRPr="005318AE" w:rsidRDefault="005318AE" w:rsidP="00076A1E">
      <w:pPr>
        <w:autoSpaceDE w:val="0"/>
        <w:autoSpaceDN w:val="0"/>
        <w:adjustRightInd w:val="0"/>
        <w:spacing w:after="0" w:line="240" w:lineRule="auto"/>
        <w:jc w:val="both"/>
        <w:rPr>
          <w:rFonts w:ascii="Times New Roman" w:eastAsia="Calibri" w:hAnsi="Times New Roman"/>
          <w:sz w:val="24"/>
          <w:szCs w:val="24"/>
          <w:lang w:val="en-GB" w:eastAsia="en-US"/>
        </w:rPr>
      </w:pPr>
      <w:r w:rsidRPr="005318AE">
        <w:rPr>
          <w:rFonts w:ascii="Times New Roman" w:eastAsia="Calibri" w:hAnsi="Times New Roman"/>
          <w:sz w:val="24"/>
          <w:szCs w:val="24"/>
          <w:lang w:val="en-GB" w:eastAsia="en-US"/>
        </w:rPr>
        <w:t xml:space="preserve">Osinubi KJ, Eberemu AO, Sani JE, Ijimdiya TS, Taman J &amp; Abdulmutallib M (2018). Effect of </w:t>
      </w:r>
      <w:r w:rsidR="00420580" w:rsidRPr="00DB0049">
        <w:rPr>
          <w:rFonts w:ascii="Times New Roman" w:eastAsia="Calibri" w:hAnsi="Times New Roman"/>
          <w:sz w:val="24"/>
          <w:szCs w:val="24"/>
          <w:lang w:val="en-GB" w:eastAsia="en-US"/>
        </w:rPr>
        <w:tab/>
      </w:r>
      <w:r w:rsidRPr="005318AE">
        <w:rPr>
          <w:rFonts w:ascii="Times New Roman" w:eastAsia="Calibri" w:hAnsi="Times New Roman"/>
          <w:sz w:val="24"/>
          <w:szCs w:val="24"/>
          <w:lang w:val="en-GB" w:eastAsia="en-US"/>
        </w:rPr>
        <w:t xml:space="preserve">Bacillus </w:t>
      </w:r>
      <w:r w:rsidRPr="005318AE">
        <w:rPr>
          <w:rFonts w:ascii="Times New Roman" w:eastAsia="Calibri" w:hAnsi="Times New Roman"/>
          <w:sz w:val="24"/>
          <w:szCs w:val="24"/>
          <w:lang w:val="en-GB" w:eastAsia="en-US"/>
        </w:rPr>
        <w:tab/>
      </w:r>
      <w:r w:rsidRPr="005318AE">
        <w:rPr>
          <w:rFonts w:ascii="Times New Roman" w:eastAsia="Calibri" w:hAnsi="Times New Roman"/>
          <w:i/>
          <w:iCs/>
          <w:sz w:val="24"/>
          <w:szCs w:val="24"/>
          <w:lang w:val="en-GB" w:eastAsia="en-US"/>
        </w:rPr>
        <w:t xml:space="preserve">pumulus </w:t>
      </w:r>
      <w:r w:rsidRPr="005318AE">
        <w:rPr>
          <w:rFonts w:ascii="Times New Roman" w:eastAsia="Calibri" w:hAnsi="Times New Roman"/>
          <w:sz w:val="24"/>
          <w:szCs w:val="24"/>
          <w:lang w:val="en-GB" w:eastAsia="en-US"/>
        </w:rPr>
        <w:t xml:space="preserve">–induced precipitation on the index properties and compaction </w:t>
      </w:r>
      <w:r w:rsidR="00420580" w:rsidRPr="00DB0049">
        <w:rPr>
          <w:rFonts w:ascii="Times New Roman" w:eastAsia="Calibri" w:hAnsi="Times New Roman"/>
          <w:sz w:val="24"/>
          <w:szCs w:val="24"/>
          <w:lang w:val="en-GB" w:eastAsia="en-US"/>
        </w:rPr>
        <w:tab/>
      </w:r>
      <w:r w:rsidRPr="005318AE">
        <w:rPr>
          <w:rFonts w:ascii="Times New Roman" w:eastAsia="Calibri" w:hAnsi="Times New Roman"/>
          <w:sz w:val="24"/>
          <w:szCs w:val="24"/>
          <w:lang w:val="en-GB" w:eastAsia="en-US"/>
        </w:rPr>
        <w:t xml:space="preserve">characteristics of lateritic and </w:t>
      </w:r>
      <w:r w:rsidRPr="005318AE">
        <w:rPr>
          <w:rFonts w:ascii="Times New Roman" w:eastAsia="Calibri" w:hAnsi="Times New Roman"/>
          <w:sz w:val="24"/>
          <w:szCs w:val="24"/>
          <w:lang w:val="en-GB" w:eastAsia="en-US"/>
        </w:rPr>
        <w:tab/>
        <w:t xml:space="preserve">black cotton soils. </w:t>
      </w:r>
      <w:r w:rsidRPr="005318AE">
        <w:rPr>
          <w:rFonts w:ascii="Times New Roman" w:eastAsia="Calibri" w:hAnsi="Times New Roman"/>
          <w:i/>
          <w:iCs/>
          <w:sz w:val="24"/>
          <w:szCs w:val="24"/>
          <w:lang w:val="en-GB" w:eastAsia="en-US"/>
        </w:rPr>
        <w:t xml:space="preserve">2018 Nigerian Building and </w:t>
      </w:r>
      <w:r w:rsidR="00420580" w:rsidRPr="00DB0049">
        <w:rPr>
          <w:rFonts w:ascii="Times New Roman" w:eastAsia="Calibri" w:hAnsi="Times New Roman"/>
          <w:i/>
          <w:iCs/>
          <w:sz w:val="24"/>
          <w:szCs w:val="24"/>
          <w:lang w:val="en-GB" w:eastAsia="en-US"/>
        </w:rPr>
        <w:tab/>
      </w:r>
      <w:r w:rsidRPr="005318AE">
        <w:rPr>
          <w:rFonts w:ascii="Times New Roman" w:eastAsia="Calibri" w:hAnsi="Times New Roman"/>
          <w:i/>
          <w:iCs/>
          <w:sz w:val="24"/>
          <w:szCs w:val="24"/>
          <w:lang w:val="en-GB" w:eastAsia="en-US"/>
        </w:rPr>
        <w:t xml:space="preserve">Road Research Institute International Conference. </w:t>
      </w:r>
      <w:r w:rsidRPr="005318AE">
        <w:rPr>
          <w:rFonts w:ascii="Times New Roman" w:eastAsia="Calibri" w:hAnsi="Times New Roman"/>
          <w:i/>
          <w:iCs/>
          <w:sz w:val="24"/>
          <w:szCs w:val="24"/>
          <w:lang w:val="en-GB" w:eastAsia="en-US"/>
        </w:rPr>
        <w:tab/>
        <w:t xml:space="preserve">Theme: Sustainable Development </w:t>
      </w:r>
      <w:r w:rsidR="00420580" w:rsidRPr="00DB0049">
        <w:rPr>
          <w:rFonts w:ascii="Times New Roman" w:eastAsia="Calibri" w:hAnsi="Times New Roman"/>
          <w:i/>
          <w:iCs/>
          <w:sz w:val="24"/>
          <w:szCs w:val="24"/>
          <w:lang w:val="en-GB" w:eastAsia="en-US"/>
        </w:rPr>
        <w:tab/>
      </w:r>
      <w:r w:rsidRPr="005318AE">
        <w:rPr>
          <w:rFonts w:ascii="Times New Roman" w:eastAsia="Calibri" w:hAnsi="Times New Roman"/>
          <w:i/>
          <w:iCs/>
          <w:sz w:val="24"/>
          <w:szCs w:val="24"/>
          <w:lang w:val="en-GB" w:eastAsia="en-US"/>
        </w:rPr>
        <w:t xml:space="preserve">Goals (SDGs) and the Nigerian Construction Industry – Challenges </w:t>
      </w:r>
      <w:r w:rsidRPr="005318AE">
        <w:rPr>
          <w:rFonts w:ascii="Times New Roman" w:eastAsia="Calibri" w:hAnsi="Times New Roman"/>
          <w:i/>
          <w:iCs/>
          <w:sz w:val="24"/>
          <w:szCs w:val="24"/>
          <w:lang w:val="en-GB" w:eastAsia="en-US"/>
        </w:rPr>
        <w:tab/>
        <w:t xml:space="preserve">and the Way </w:t>
      </w:r>
      <w:r w:rsidR="00420580" w:rsidRPr="00DB0049">
        <w:rPr>
          <w:rFonts w:ascii="Times New Roman" w:eastAsia="Calibri" w:hAnsi="Times New Roman"/>
          <w:i/>
          <w:iCs/>
          <w:sz w:val="24"/>
          <w:szCs w:val="24"/>
          <w:lang w:val="en-GB" w:eastAsia="en-US"/>
        </w:rPr>
        <w:tab/>
      </w:r>
      <w:r w:rsidRPr="005318AE">
        <w:rPr>
          <w:rFonts w:ascii="Times New Roman" w:eastAsia="Calibri" w:hAnsi="Times New Roman"/>
          <w:i/>
          <w:iCs/>
          <w:sz w:val="24"/>
          <w:szCs w:val="24"/>
          <w:lang w:val="en-GB" w:eastAsia="en-US"/>
        </w:rPr>
        <w:t>Forward.</w:t>
      </w:r>
      <w:r w:rsidRPr="005318AE">
        <w:rPr>
          <w:rFonts w:ascii="Times New Roman" w:eastAsia="Calibri" w:hAnsi="Times New Roman"/>
          <w:sz w:val="24"/>
          <w:szCs w:val="24"/>
          <w:lang w:val="en-GB" w:eastAsia="en-US"/>
        </w:rPr>
        <w:t xml:space="preserve"> 12 – 14 June, Abuja, Nigeria, Book of Abstracts, p. 41.</w:t>
      </w:r>
    </w:p>
    <w:p w:rsidR="005318AE" w:rsidRPr="005318AE" w:rsidRDefault="005318AE" w:rsidP="00076A1E">
      <w:pPr>
        <w:autoSpaceDE w:val="0"/>
        <w:autoSpaceDN w:val="0"/>
        <w:adjustRightInd w:val="0"/>
        <w:spacing w:after="0" w:line="240" w:lineRule="auto"/>
        <w:jc w:val="both"/>
        <w:rPr>
          <w:rFonts w:ascii="Times New Roman" w:eastAsia="Calibri" w:hAnsi="Times New Roman"/>
          <w:sz w:val="24"/>
          <w:szCs w:val="24"/>
          <w:lang w:val="en-GB" w:eastAsia="en-US"/>
        </w:rPr>
      </w:pPr>
      <w:r w:rsidRPr="005318AE">
        <w:rPr>
          <w:rFonts w:ascii="Times New Roman" w:eastAsia="Calibri" w:hAnsi="Times New Roman"/>
          <w:sz w:val="24"/>
          <w:szCs w:val="24"/>
          <w:lang w:val="en-GB" w:eastAsia="en-US"/>
        </w:rPr>
        <w:t xml:space="preserve">Osinubi KJ, Eberemu AO, Gadzama EW, Ijimdiya TS, Jonathan OJ and Al-Mustapha I (2018a) </w:t>
      </w:r>
      <w:r w:rsidR="0001538C" w:rsidRPr="00DB0049">
        <w:rPr>
          <w:rFonts w:ascii="Times New Roman" w:eastAsia="Calibri" w:hAnsi="Times New Roman"/>
          <w:sz w:val="24"/>
          <w:szCs w:val="24"/>
          <w:lang w:val="en-GB" w:eastAsia="en-US"/>
        </w:rPr>
        <w:tab/>
      </w:r>
      <w:r w:rsidRPr="005318AE">
        <w:rPr>
          <w:rFonts w:ascii="Times New Roman" w:eastAsia="Calibri" w:hAnsi="Times New Roman"/>
          <w:sz w:val="24"/>
          <w:szCs w:val="24"/>
          <w:lang w:val="en-GB" w:eastAsia="en-US"/>
        </w:rPr>
        <w:t xml:space="preserve">Comparative </w:t>
      </w:r>
      <w:r w:rsidRPr="005318AE">
        <w:rPr>
          <w:rFonts w:ascii="Times New Roman" w:eastAsia="Calibri" w:hAnsi="Times New Roman"/>
          <w:sz w:val="24"/>
          <w:szCs w:val="24"/>
          <w:lang w:val="en-GB" w:eastAsia="en-US"/>
        </w:rPr>
        <w:tab/>
        <w:t xml:space="preserve">Effect of Sporosarcina Pasteurii on the Index Properties and Compaction </w:t>
      </w:r>
      <w:r w:rsidR="0001538C" w:rsidRPr="00DB0049">
        <w:rPr>
          <w:rFonts w:ascii="Times New Roman" w:eastAsia="Calibri" w:hAnsi="Times New Roman"/>
          <w:sz w:val="24"/>
          <w:szCs w:val="24"/>
          <w:lang w:val="en-GB" w:eastAsia="en-US"/>
        </w:rPr>
        <w:tab/>
      </w:r>
      <w:r w:rsidRPr="005318AE">
        <w:rPr>
          <w:rFonts w:ascii="Times New Roman" w:eastAsia="Calibri" w:hAnsi="Times New Roman"/>
          <w:sz w:val="24"/>
          <w:szCs w:val="24"/>
          <w:lang w:val="en-GB" w:eastAsia="en-US"/>
        </w:rPr>
        <w:t xml:space="preserve">Characteristics of Black Cotton </w:t>
      </w:r>
      <w:r w:rsidRPr="005318AE">
        <w:rPr>
          <w:rFonts w:ascii="Times New Roman" w:eastAsia="Calibri" w:hAnsi="Times New Roman"/>
          <w:sz w:val="24"/>
          <w:szCs w:val="24"/>
          <w:lang w:val="en-GB" w:eastAsia="en-US"/>
        </w:rPr>
        <w:tab/>
        <w:t xml:space="preserve">and Lateritic Soils. </w:t>
      </w:r>
      <w:r w:rsidRPr="005318AE">
        <w:rPr>
          <w:rFonts w:ascii="Times New Roman" w:eastAsia="Calibri" w:hAnsi="Times New Roman"/>
          <w:i/>
          <w:iCs/>
          <w:sz w:val="24"/>
          <w:szCs w:val="24"/>
          <w:lang w:val="en-GB" w:eastAsia="en-US"/>
        </w:rPr>
        <w:t xml:space="preserve">Proceedings of NBRRI </w:t>
      </w:r>
      <w:r w:rsidR="0001538C" w:rsidRPr="00DB0049">
        <w:rPr>
          <w:rFonts w:ascii="Times New Roman" w:eastAsia="Calibri" w:hAnsi="Times New Roman"/>
          <w:i/>
          <w:iCs/>
          <w:sz w:val="24"/>
          <w:szCs w:val="24"/>
          <w:lang w:val="en-GB" w:eastAsia="en-US"/>
        </w:rPr>
        <w:tab/>
      </w:r>
      <w:r w:rsidRPr="005318AE">
        <w:rPr>
          <w:rFonts w:ascii="Times New Roman" w:eastAsia="Calibri" w:hAnsi="Times New Roman"/>
          <w:i/>
          <w:iCs/>
          <w:sz w:val="24"/>
          <w:szCs w:val="24"/>
          <w:lang w:val="en-GB" w:eastAsia="en-US"/>
        </w:rPr>
        <w:t xml:space="preserve">International Conf. on Sustainable Development Goals &amp; </w:t>
      </w:r>
      <w:r w:rsidRPr="005318AE">
        <w:rPr>
          <w:rFonts w:ascii="Times New Roman" w:eastAsia="Calibri" w:hAnsi="Times New Roman"/>
          <w:i/>
          <w:iCs/>
          <w:sz w:val="24"/>
          <w:szCs w:val="24"/>
          <w:lang w:val="en-GB" w:eastAsia="en-US"/>
        </w:rPr>
        <w:tab/>
        <w:t xml:space="preserve">Nigerian Construction </w:t>
      </w:r>
      <w:r w:rsidR="0001538C" w:rsidRPr="00DB0049">
        <w:rPr>
          <w:rFonts w:ascii="Times New Roman" w:eastAsia="Calibri" w:hAnsi="Times New Roman"/>
          <w:i/>
          <w:iCs/>
          <w:sz w:val="24"/>
          <w:szCs w:val="24"/>
          <w:lang w:val="en-GB" w:eastAsia="en-US"/>
        </w:rPr>
        <w:tab/>
      </w:r>
      <w:r w:rsidRPr="005318AE">
        <w:rPr>
          <w:rFonts w:ascii="Times New Roman" w:eastAsia="Calibri" w:hAnsi="Times New Roman"/>
          <w:i/>
          <w:iCs/>
          <w:sz w:val="24"/>
          <w:szCs w:val="24"/>
          <w:lang w:val="en-GB" w:eastAsia="en-US"/>
        </w:rPr>
        <w:t>Industry</w:t>
      </w:r>
      <w:r w:rsidRPr="005318AE">
        <w:rPr>
          <w:rFonts w:ascii="Times New Roman" w:eastAsia="Calibri" w:hAnsi="Times New Roman"/>
          <w:sz w:val="24"/>
          <w:szCs w:val="24"/>
          <w:lang w:val="en-GB" w:eastAsia="en-US"/>
        </w:rPr>
        <w:t xml:space="preserve">, 12-14th June 2018. Pp. 351-361. </w:t>
      </w:r>
    </w:p>
    <w:p w:rsidR="005318AE" w:rsidRPr="005318AE" w:rsidRDefault="005318AE" w:rsidP="00076A1E">
      <w:pPr>
        <w:spacing w:after="0" w:line="240" w:lineRule="auto"/>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Osinubi KJ, Eberemu AO, Yohanna P, Ijimdiya TS, Adjei A and Sada YY (2018b) Effect of </w:t>
      </w:r>
      <w:r w:rsidR="0001538C"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Bacillus </w:t>
      </w:r>
      <w:r w:rsidRPr="005318AE">
        <w:rPr>
          <w:rFonts w:ascii="Times New Roman" w:eastAsia="Calibri" w:hAnsi="Times New Roman"/>
          <w:sz w:val="24"/>
          <w:szCs w:val="24"/>
          <w:lang w:eastAsia="en-US"/>
        </w:rPr>
        <w:tab/>
        <w:t>Coagulans-</w:t>
      </w:r>
      <w:r w:rsidRPr="005318AE">
        <w:rPr>
          <w:rFonts w:ascii="Times New Roman" w:eastAsia="Calibri" w:hAnsi="Times New Roman"/>
          <w:sz w:val="24"/>
          <w:szCs w:val="24"/>
          <w:lang w:eastAsia="en-US"/>
        </w:rPr>
        <w:tab/>
        <w:t xml:space="preserve">Induced Calcite Precipitate on the Index and Compaction </w:t>
      </w:r>
      <w:r w:rsidR="0001538C"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Properties of Lateritic and </w:t>
      </w:r>
      <w:r w:rsidRPr="005318AE">
        <w:rPr>
          <w:rFonts w:ascii="Times New Roman" w:eastAsia="Calibri" w:hAnsi="Times New Roman"/>
          <w:sz w:val="24"/>
          <w:szCs w:val="24"/>
          <w:lang w:eastAsia="en-US"/>
        </w:rPr>
        <w:tab/>
        <w:t xml:space="preserve">Black Cotton Soils. </w:t>
      </w:r>
      <w:r w:rsidRPr="005318AE">
        <w:rPr>
          <w:rFonts w:ascii="Times New Roman" w:eastAsia="Calibri" w:hAnsi="Times New Roman"/>
          <w:sz w:val="24"/>
          <w:szCs w:val="24"/>
          <w:lang w:eastAsia="en-US"/>
        </w:rPr>
        <w:tab/>
      </w:r>
      <w:r w:rsidRPr="005318AE">
        <w:rPr>
          <w:rFonts w:ascii="Times New Roman" w:eastAsia="Calibri" w:hAnsi="Times New Roman"/>
          <w:i/>
          <w:iCs/>
          <w:sz w:val="24"/>
          <w:szCs w:val="24"/>
          <w:lang w:eastAsia="en-US"/>
        </w:rPr>
        <w:t xml:space="preserve">Proceedings of NBRRI International </w:t>
      </w:r>
      <w:r w:rsidR="0001538C" w:rsidRPr="00DB0049">
        <w:rPr>
          <w:rFonts w:ascii="Times New Roman" w:eastAsia="Calibri" w:hAnsi="Times New Roman"/>
          <w:i/>
          <w:iCs/>
          <w:sz w:val="24"/>
          <w:szCs w:val="24"/>
          <w:lang w:eastAsia="en-US"/>
        </w:rPr>
        <w:tab/>
      </w:r>
      <w:r w:rsidRPr="005318AE">
        <w:rPr>
          <w:rFonts w:ascii="Times New Roman" w:eastAsia="Calibri" w:hAnsi="Times New Roman"/>
          <w:i/>
          <w:iCs/>
          <w:sz w:val="24"/>
          <w:szCs w:val="24"/>
          <w:lang w:eastAsia="en-US"/>
        </w:rPr>
        <w:t xml:space="preserve">Conf. on Sustainable Development Goals &amp; </w:t>
      </w:r>
      <w:r w:rsidRPr="005318AE">
        <w:rPr>
          <w:rFonts w:ascii="Times New Roman" w:eastAsia="Calibri" w:hAnsi="Times New Roman"/>
          <w:i/>
          <w:iCs/>
          <w:sz w:val="24"/>
          <w:szCs w:val="24"/>
          <w:lang w:eastAsia="en-US"/>
        </w:rPr>
        <w:tab/>
        <w:t xml:space="preserve">Nigerian Construction </w:t>
      </w:r>
      <w:r w:rsidRPr="005318AE">
        <w:rPr>
          <w:rFonts w:ascii="Times New Roman" w:eastAsia="Calibri" w:hAnsi="Times New Roman"/>
          <w:i/>
          <w:iCs/>
          <w:sz w:val="24"/>
          <w:szCs w:val="24"/>
          <w:lang w:eastAsia="en-US"/>
        </w:rPr>
        <w:tab/>
        <w:t>Industry</w:t>
      </w:r>
      <w:r w:rsidRPr="005318AE">
        <w:rPr>
          <w:rFonts w:ascii="Times New Roman" w:eastAsia="Calibri" w:hAnsi="Times New Roman"/>
          <w:sz w:val="24"/>
          <w:szCs w:val="24"/>
          <w:lang w:eastAsia="en-US"/>
        </w:rPr>
        <w:t>, 12-</w:t>
      </w:r>
      <w:r w:rsidR="0001538C"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14th June 2018. Pp. 362-372</w:t>
      </w:r>
    </w:p>
    <w:p w:rsidR="005318AE" w:rsidRPr="005318AE" w:rsidRDefault="005318AE" w:rsidP="00076A1E">
      <w:pPr>
        <w:autoSpaceDE w:val="0"/>
        <w:autoSpaceDN w:val="0"/>
        <w:adjustRightInd w:val="0"/>
        <w:spacing w:after="0" w:line="240" w:lineRule="auto"/>
        <w:jc w:val="both"/>
        <w:rPr>
          <w:rFonts w:ascii="Times New Roman" w:eastAsia="CIDFont+F5" w:hAnsi="Times New Roman"/>
          <w:sz w:val="24"/>
          <w:szCs w:val="24"/>
          <w:lang w:val="en-GB" w:eastAsia="en-US"/>
        </w:rPr>
      </w:pPr>
      <w:r w:rsidRPr="005318AE">
        <w:rPr>
          <w:rFonts w:ascii="Times New Roman" w:eastAsia="CIDFont+F5" w:hAnsi="Times New Roman"/>
          <w:sz w:val="24"/>
          <w:szCs w:val="24"/>
          <w:lang w:val="en-GB" w:eastAsia="en-US"/>
        </w:rPr>
        <w:t xml:space="preserve">Osinubi KJ, Yohanna P, Eberemu AO and Ijimdiya T S (2019) Evaluation of hydraulic </w:t>
      </w:r>
      <w:r w:rsidR="007D4DC7" w:rsidRPr="00DB0049">
        <w:rPr>
          <w:rFonts w:ascii="Times New Roman" w:eastAsia="CIDFont+F5" w:hAnsi="Times New Roman"/>
          <w:sz w:val="24"/>
          <w:szCs w:val="24"/>
          <w:lang w:val="en-GB" w:eastAsia="en-US"/>
        </w:rPr>
        <w:tab/>
      </w:r>
      <w:r w:rsidRPr="005318AE">
        <w:rPr>
          <w:rFonts w:ascii="Times New Roman" w:eastAsia="CIDFont+F5" w:hAnsi="Times New Roman"/>
          <w:sz w:val="24"/>
          <w:szCs w:val="24"/>
          <w:lang w:val="en-GB" w:eastAsia="en-US"/>
        </w:rPr>
        <w:t xml:space="preserve">conductivity of lateritic </w:t>
      </w:r>
      <w:r w:rsidRPr="005318AE">
        <w:rPr>
          <w:rFonts w:ascii="Times New Roman" w:eastAsia="CIDFont+F5" w:hAnsi="Times New Roman"/>
          <w:sz w:val="24"/>
          <w:szCs w:val="24"/>
          <w:lang w:val="en-GB" w:eastAsia="en-US"/>
        </w:rPr>
        <w:tab/>
        <w:t xml:space="preserve">soil treated with Bacillus coagulans for use in waste </w:t>
      </w:r>
      <w:r w:rsidR="007D4DC7" w:rsidRPr="00DB0049">
        <w:rPr>
          <w:rFonts w:ascii="Times New Roman" w:eastAsia="CIDFont+F5" w:hAnsi="Times New Roman"/>
          <w:sz w:val="24"/>
          <w:szCs w:val="24"/>
          <w:lang w:val="en-GB" w:eastAsia="en-US"/>
        </w:rPr>
        <w:tab/>
      </w:r>
      <w:r w:rsidRPr="005318AE">
        <w:rPr>
          <w:rFonts w:ascii="Times New Roman" w:eastAsia="CIDFont+F5" w:hAnsi="Times New Roman"/>
          <w:sz w:val="24"/>
          <w:szCs w:val="24"/>
          <w:lang w:val="en-GB" w:eastAsia="en-US"/>
        </w:rPr>
        <w:t xml:space="preserve">containment applications.’ </w:t>
      </w:r>
      <w:r w:rsidRPr="005318AE">
        <w:rPr>
          <w:rFonts w:ascii="Times New Roman" w:eastAsia="CIDFont+F5" w:hAnsi="Times New Roman"/>
          <w:i/>
          <w:iCs/>
          <w:sz w:val="24"/>
          <w:szCs w:val="24"/>
          <w:lang w:val="en-GB" w:eastAsia="en-US"/>
        </w:rPr>
        <w:t xml:space="preserve">Proceedings of the 8th </w:t>
      </w:r>
      <w:r w:rsidRPr="005318AE">
        <w:rPr>
          <w:rFonts w:ascii="Times New Roman" w:eastAsia="CIDFont+F5" w:hAnsi="Times New Roman"/>
          <w:i/>
          <w:iCs/>
          <w:sz w:val="24"/>
          <w:szCs w:val="24"/>
          <w:lang w:val="en-GB" w:eastAsia="en-US"/>
        </w:rPr>
        <w:tab/>
        <w:t xml:space="preserve">International Congress on </w:t>
      </w:r>
      <w:r w:rsidR="007D4DC7" w:rsidRPr="00DB0049">
        <w:rPr>
          <w:rFonts w:ascii="Times New Roman" w:eastAsia="CIDFont+F5" w:hAnsi="Times New Roman"/>
          <w:i/>
          <w:iCs/>
          <w:sz w:val="24"/>
          <w:szCs w:val="24"/>
          <w:lang w:val="en-GB" w:eastAsia="en-US"/>
        </w:rPr>
        <w:tab/>
      </w:r>
      <w:r w:rsidRPr="005318AE">
        <w:rPr>
          <w:rFonts w:ascii="Times New Roman" w:eastAsia="CIDFont+F5" w:hAnsi="Times New Roman"/>
          <w:i/>
          <w:iCs/>
          <w:sz w:val="24"/>
          <w:szCs w:val="24"/>
          <w:lang w:val="en-GB" w:eastAsia="en-US"/>
        </w:rPr>
        <w:t>Environmental Geotechnics (ICEG 2018)</w:t>
      </w:r>
      <w:r w:rsidRPr="005318AE">
        <w:rPr>
          <w:rFonts w:ascii="Times New Roman" w:eastAsia="CIDFont+F5" w:hAnsi="Times New Roman"/>
          <w:sz w:val="24"/>
          <w:szCs w:val="24"/>
          <w:lang w:val="en-GB" w:eastAsia="en-US"/>
        </w:rPr>
        <w:t xml:space="preserve">, “Towards a Sustainable </w:t>
      </w:r>
      <w:r w:rsidRPr="005318AE">
        <w:rPr>
          <w:rFonts w:ascii="Times New Roman" w:eastAsia="CIDFont+F5" w:hAnsi="Times New Roman"/>
          <w:sz w:val="24"/>
          <w:szCs w:val="24"/>
          <w:lang w:val="en-GB" w:eastAsia="en-US"/>
        </w:rPr>
        <w:tab/>
        <w:t xml:space="preserve">Geoenvironment” </w:t>
      </w:r>
      <w:r w:rsidR="007D4DC7" w:rsidRPr="00DB0049">
        <w:rPr>
          <w:rFonts w:ascii="Times New Roman" w:eastAsia="CIDFont+F5" w:hAnsi="Times New Roman"/>
          <w:sz w:val="24"/>
          <w:szCs w:val="24"/>
          <w:lang w:val="en-GB" w:eastAsia="en-US"/>
        </w:rPr>
        <w:tab/>
      </w:r>
      <w:r w:rsidRPr="005318AE">
        <w:rPr>
          <w:rFonts w:ascii="Times New Roman" w:eastAsia="CIDFont+F5" w:hAnsi="Times New Roman"/>
          <w:sz w:val="24"/>
          <w:szCs w:val="24"/>
          <w:lang w:val="en-GB" w:eastAsia="en-US"/>
        </w:rPr>
        <w:t xml:space="preserve">Edited by Liangtong Zhan, Yunmin Chen and Abdelmalek Bouazza, 28th October – </w:t>
      </w:r>
      <w:r w:rsidRPr="005318AE">
        <w:rPr>
          <w:rFonts w:ascii="Times New Roman" w:eastAsia="CIDFont+F5" w:hAnsi="Times New Roman"/>
          <w:sz w:val="24"/>
          <w:szCs w:val="24"/>
          <w:lang w:val="en-GB" w:eastAsia="en-US"/>
        </w:rPr>
        <w:lastRenderedPageBreak/>
        <w:tab/>
        <w:t>1st November, Hangzhou, China, © Springer Nature Singapore Pte Ltd., Vol. 3, pp. 401–</w:t>
      </w:r>
      <w:r w:rsidR="007D4DC7" w:rsidRPr="00DB0049">
        <w:rPr>
          <w:rFonts w:ascii="Times New Roman" w:eastAsia="CIDFont+F5" w:hAnsi="Times New Roman"/>
          <w:sz w:val="24"/>
          <w:szCs w:val="24"/>
          <w:lang w:val="en-GB" w:eastAsia="en-US"/>
        </w:rPr>
        <w:tab/>
      </w:r>
      <w:r w:rsidRPr="005318AE">
        <w:rPr>
          <w:rFonts w:ascii="Times New Roman" w:eastAsia="CIDFont+F5" w:hAnsi="Times New Roman"/>
          <w:sz w:val="24"/>
          <w:szCs w:val="24"/>
          <w:lang w:val="en-GB" w:eastAsia="en-US"/>
        </w:rPr>
        <w:t xml:space="preserve">409, On-line: </w:t>
      </w:r>
      <w:r w:rsidRPr="005318AE">
        <w:rPr>
          <w:rFonts w:ascii="Times New Roman" w:eastAsia="CIDFont+F5" w:hAnsi="Times New Roman"/>
          <w:sz w:val="24"/>
          <w:szCs w:val="24"/>
          <w:lang w:val="en-GB" w:eastAsia="en-US"/>
        </w:rPr>
        <w:tab/>
        <w:t>https://doi.org/10.1007/978-981-13-2227-3_50.</w:t>
      </w:r>
    </w:p>
    <w:p w:rsidR="005318AE" w:rsidRPr="005318AE" w:rsidRDefault="005318AE" w:rsidP="00076A1E">
      <w:pPr>
        <w:spacing w:after="0" w:line="240" w:lineRule="auto"/>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Osinubi KJ, Gadzama EW, Eberemu AO, Ijimdiya TS and Yakubu SE (2019c) Evaluation of the </w:t>
      </w:r>
      <w:r w:rsidR="00414B01"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strength of </w:t>
      </w:r>
      <w:r w:rsidRPr="005318AE">
        <w:rPr>
          <w:rFonts w:ascii="Times New Roman" w:eastAsia="Calibri" w:hAnsi="Times New Roman"/>
          <w:sz w:val="24"/>
          <w:szCs w:val="24"/>
          <w:lang w:eastAsia="en-US"/>
        </w:rPr>
        <w:tab/>
        <w:t xml:space="preserve">compacted lateritic soil treated with Sporosarcina pasteurii. In: Zhan L, </w:t>
      </w:r>
      <w:r w:rsidR="00414B01"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Chen Y, Bouazza A (eds) </w:t>
      </w:r>
      <w:r w:rsidRPr="005318AE">
        <w:rPr>
          <w:rFonts w:ascii="Times New Roman" w:eastAsia="Calibri" w:hAnsi="Times New Roman"/>
          <w:sz w:val="24"/>
          <w:szCs w:val="24"/>
          <w:lang w:eastAsia="en-US"/>
        </w:rPr>
        <w:tab/>
      </w:r>
      <w:r w:rsidRPr="005318AE">
        <w:rPr>
          <w:rFonts w:ascii="Times New Roman" w:eastAsia="Calibri" w:hAnsi="Times New Roman"/>
          <w:i/>
          <w:iCs/>
          <w:sz w:val="24"/>
          <w:szCs w:val="24"/>
          <w:lang w:eastAsia="en-US"/>
        </w:rPr>
        <w:t xml:space="preserve">Proceedings of the 8th international congress on </w:t>
      </w:r>
      <w:r w:rsidR="00414B01" w:rsidRPr="00DB0049">
        <w:rPr>
          <w:rFonts w:ascii="Times New Roman" w:eastAsia="Calibri" w:hAnsi="Times New Roman"/>
          <w:i/>
          <w:iCs/>
          <w:sz w:val="24"/>
          <w:szCs w:val="24"/>
          <w:lang w:eastAsia="en-US"/>
        </w:rPr>
        <w:tab/>
      </w:r>
      <w:r w:rsidRPr="005318AE">
        <w:rPr>
          <w:rFonts w:ascii="Times New Roman" w:eastAsia="Calibri" w:hAnsi="Times New Roman"/>
          <w:i/>
          <w:iCs/>
          <w:sz w:val="24"/>
          <w:szCs w:val="24"/>
          <w:lang w:eastAsia="en-US"/>
        </w:rPr>
        <w:t xml:space="preserve">environmental geotechnics (ICEG 2018). Towards a </w:t>
      </w:r>
      <w:r w:rsidRPr="005318AE">
        <w:rPr>
          <w:rFonts w:ascii="Times New Roman" w:eastAsia="Calibri" w:hAnsi="Times New Roman"/>
          <w:i/>
          <w:iCs/>
          <w:sz w:val="24"/>
          <w:szCs w:val="24"/>
          <w:lang w:eastAsia="en-US"/>
        </w:rPr>
        <w:tab/>
        <w:t xml:space="preserve">sustainable geoenvironment, </w:t>
      </w:r>
      <w:r w:rsidR="00414B01" w:rsidRPr="00DB0049">
        <w:rPr>
          <w:rFonts w:ascii="Times New Roman" w:eastAsia="Calibri" w:hAnsi="Times New Roman"/>
          <w:i/>
          <w:iCs/>
          <w:sz w:val="24"/>
          <w:szCs w:val="24"/>
          <w:lang w:eastAsia="en-US"/>
        </w:rPr>
        <w:tab/>
      </w:r>
      <w:r w:rsidRPr="005318AE">
        <w:rPr>
          <w:rFonts w:ascii="Times New Roman" w:eastAsia="Calibri" w:hAnsi="Times New Roman"/>
          <w:i/>
          <w:iCs/>
          <w:sz w:val="24"/>
          <w:szCs w:val="24"/>
          <w:lang w:eastAsia="en-US"/>
        </w:rPr>
        <w:t xml:space="preserve">3. Springer, Hangzhou, </w:t>
      </w:r>
      <w:r w:rsidRPr="005318AE">
        <w:rPr>
          <w:rFonts w:ascii="Times New Roman" w:eastAsia="Calibri" w:hAnsi="Times New Roman"/>
          <w:sz w:val="24"/>
          <w:szCs w:val="24"/>
          <w:lang w:eastAsia="en-US"/>
        </w:rPr>
        <w:t>pp 419–428. https://doi. org/10.1007/978-981-13-</w:t>
      </w:r>
      <w:r w:rsidRPr="005318AE">
        <w:rPr>
          <w:rFonts w:ascii="Times New Roman" w:eastAsia="Calibri" w:hAnsi="Times New Roman"/>
          <w:sz w:val="24"/>
          <w:szCs w:val="24"/>
          <w:lang w:eastAsia="en-US"/>
        </w:rPr>
        <w:tab/>
        <w:t>2227-3_52</w:t>
      </w:r>
    </w:p>
    <w:p w:rsidR="005318AE" w:rsidRPr="005318AE" w:rsidRDefault="005318AE" w:rsidP="00076A1E">
      <w:pPr>
        <w:spacing w:after="0" w:line="240" w:lineRule="auto"/>
        <w:jc w:val="both"/>
        <w:rPr>
          <w:rFonts w:ascii="Times New Roman" w:eastAsia="Calibri" w:hAnsi="Times New Roman"/>
          <w:sz w:val="24"/>
          <w:szCs w:val="24"/>
          <w:u w:val="single"/>
          <w:lang w:eastAsia="en-US"/>
        </w:rPr>
      </w:pPr>
      <w:r w:rsidRPr="005318AE">
        <w:rPr>
          <w:rFonts w:ascii="Times New Roman" w:eastAsia="Calibri" w:hAnsi="Times New Roman"/>
          <w:sz w:val="24"/>
          <w:szCs w:val="24"/>
          <w:lang w:eastAsia="en-US"/>
        </w:rPr>
        <w:t xml:space="preserve">Osinubi KJ, Eberemu AO, Gadzama EW, Ijimdiya TS (2019e) Plasticity characteristics of </w:t>
      </w:r>
      <w:r w:rsidR="002A3891"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lateritic soil treated </w:t>
      </w:r>
      <w:r w:rsidRPr="005318AE">
        <w:rPr>
          <w:rFonts w:ascii="Times New Roman" w:eastAsia="Calibri" w:hAnsi="Times New Roman"/>
          <w:sz w:val="24"/>
          <w:szCs w:val="24"/>
          <w:lang w:eastAsia="en-US"/>
        </w:rPr>
        <w:tab/>
        <w:t>with Sporosarcina pasteurii in microbial</w:t>
      </w:r>
      <w:r w:rsidRPr="005318AE">
        <w:rPr>
          <w:rFonts w:ascii="Times New Roman" w:eastAsia="Calibri" w:hAnsi="Times New Roman"/>
          <w:sz w:val="24"/>
          <w:szCs w:val="24"/>
          <w:lang w:eastAsia="en-US"/>
        </w:rPr>
        <w:noBreakHyphen/>
        <w:t xml:space="preserve">induced calcite </w:t>
      </w:r>
      <w:r w:rsidR="002A3891"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precipitation application. </w:t>
      </w:r>
      <w:r w:rsidRPr="005318AE">
        <w:rPr>
          <w:rFonts w:ascii="Times New Roman" w:eastAsia="Calibri" w:hAnsi="Times New Roman"/>
          <w:i/>
          <w:iCs/>
          <w:sz w:val="24"/>
          <w:szCs w:val="24"/>
          <w:lang w:eastAsia="en-US"/>
        </w:rPr>
        <w:t xml:space="preserve">SN Applied Sciences </w:t>
      </w:r>
      <w:r w:rsidRPr="005318AE">
        <w:rPr>
          <w:rFonts w:ascii="Times New Roman" w:eastAsia="Calibri" w:hAnsi="Times New Roman"/>
          <w:i/>
          <w:iCs/>
          <w:sz w:val="24"/>
          <w:szCs w:val="24"/>
          <w:lang w:eastAsia="en-US"/>
        </w:rPr>
        <w:tab/>
      </w:r>
      <w:r w:rsidRPr="005318AE">
        <w:rPr>
          <w:rFonts w:ascii="Times New Roman" w:eastAsia="Calibri" w:hAnsi="Times New Roman"/>
          <w:b/>
          <w:bCs/>
          <w:sz w:val="24"/>
          <w:szCs w:val="24"/>
          <w:lang w:eastAsia="en-US"/>
        </w:rPr>
        <w:t>1</w:t>
      </w:r>
      <w:r w:rsidRPr="005318AE">
        <w:rPr>
          <w:rFonts w:ascii="Times New Roman" w:eastAsia="Calibri" w:hAnsi="Times New Roman"/>
          <w:sz w:val="24"/>
          <w:szCs w:val="24"/>
          <w:lang w:eastAsia="en-US"/>
        </w:rPr>
        <w:t xml:space="preserve">,829. </w:t>
      </w:r>
      <w:r w:rsidR="002A3891" w:rsidRPr="00DB0049">
        <w:rPr>
          <w:rFonts w:ascii="Times New Roman" w:eastAsia="Calibri" w:hAnsi="Times New Roman"/>
          <w:sz w:val="24"/>
          <w:szCs w:val="24"/>
          <w:lang w:eastAsia="en-US"/>
        </w:rPr>
        <w:tab/>
      </w:r>
      <w:r w:rsidR="002A3891" w:rsidRPr="00DB0049">
        <w:rPr>
          <w:rFonts w:ascii="Times New Roman" w:eastAsia="Calibri" w:hAnsi="Times New Roman"/>
          <w:sz w:val="24"/>
          <w:szCs w:val="24"/>
          <w:lang w:eastAsia="en-US"/>
        </w:rPr>
        <w:tab/>
      </w:r>
      <w:r w:rsidR="002A3891" w:rsidRPr="00DB0049">
        <w:rPr>
          <w:rFonts w:ascii="Times New Roman" w:eastAsia="Calibri" w:hAnsi="Times New Roman"/>
          <w:sz w:val="24"/>
          <w:szCs w:val="24"/>
          <w:lang w:eastAsia="en-US"/>
        </w:rPr>
        <w:tab/>
      </w:r>
      <w:hyperlink r:id="rId21" w:history="1">
        <w:r w:rsidR="002A3891" w:rsidRPr="005318AE">
          <w:rPr>
            <w:rStyle w:val="Hyperlink"/>
            <w:rFonts w:ascii="Times New Roman" w:eastAsia="Calibri" w:hAnsi="Times New Roman"/>
            <w:color w:val="auto"/>
            <w:sz w:val="24"/>
            <w:szCs w:val="24"/>
            <w:lang w:eastAsia="en-US"/>
          </w:rPr>
          <w:t>https://doi.org/10.1007/s42452-019-0868-7</w:t>
        </w:r>
      </w:hyperlink>
    </w:p>
    <w:p w:rsidR="005318AE" w:rsidRPr="005318AE" w:rsidRDefault="005318AE" w:rsidP="00076A1E">
      <w:pPr>
        <w:spacing w:after="0" w:line="240" w:lineRule="auto"/>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Osinubi KJ, Eberemu AO, Ijimdiya TS, Yakubu SE, Gadzama EW, Sani JE and Yohanna P </w:t>
      </w:r>
      <w:r w:rsidR="002A3891"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(2020b) Review of </w:t>
      </w:r>
      <w:r w:rsidRPr="005318AE">
        <w:rPr>
          <w:rFonts w:ascii="Times New Roman" w:eastAsia="Calibri" w:hAnsi="Times New Roman"/>
          <w:sz w:val="24"/>
          <w:szCs w:val="24"/>
          <w:lang w:eastAsia="en-US"/>
        </w:rPr>
        <w:tab/>
        <w:t xml:space="preserve">the use of microorganisms in geotechnical engineering </w:t>
      </w:r>
      <w:r w:rsidR="002A3891"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applications. </w:t>
      </w:r>
      <w:r w:rsidRPr="005318AE">
        <w:rPr>
          <w:rFonts w:ascii="Times New Roman" w:eastAsia="Calibri" w:hAnsi="Times New Roman"/>
          <w:b/>
          <w:bCs/>
          <w:sz w:val="24"/>
          <w:szCs w:val="24"/>
          <w:lang w:eastAsia="en-US"/>
        </w:rPr>
        <w:t>2</w:t>
      </w:r>
      <w:r w:rsidRPr="005318AE">
        <w:rPr>
          <w:rFonts w:ascii="Times New Roman" w:eastAsia="Calibri" w:hAnsi="Times New Roman"/>
          <w:sz w:val="24"/>
          <w:szCs w:val="24"/>
          <w:lang w:eastAsia="en-US"/>
        </w:rPr>
        <w:t xml:space="preserve">, 207. </w:t>
      </w:r>
      <w:r w:rsidRPr="005318AE">
        <w:rPr>
          <w:rFonts w:ascii="Times New Roman" w:eastAsia="Calibri" w:hAnsi="Times New Roman"/>
          <w:sz w:val="24"/>
          <w:szCs w:val="24"/>
          <w:lang w:eastAsia="en-US"/>
        </w:rPr>
        <w:tab/>
      </w:r>
      <w:hyperlink r:id="rId22" w:history="1">
        <w:r w:rsidRPr="005318AE">
          <w:rPr>
            <w:rFonts w:ascii="Times New Roman" w:eastAsia="Calibri" w:hAnsi="Times New Roman"/>
            <w:sz w:val="24"/>
            <w:szCs w:val="24"/>
            <w:u w:val="single"/>
            <w:lang w:eastAsia="en-US"/>
          </w:rPr>
          <w:t>https://doi.org/10.1007/s42452-020-1974-2</w:t>
        </w:r>
      </w:hyperlink>
    </w:p>
    <w:p w:rsidR="0078072A" w:rsidRDefault="0078072A" w:rsidP="00076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Al Qabany A, Mortensen B, Martinez B, Soga K, Dejong J (2011) Microbial carbonate </w:t>
      </w:r>
      <w:r>
        <w:rPr>
          <w:rFonts w:ascii="Times New Roman" w:hAnsi="Times New Roman"/>
          <w:sz w:val="24"/>
          <w:szCs w:val="24"/>
        </w:rPr>
        <w:tab/>
        <w:t xml:space="preserve">precipitation: correlation of S-wave velocity with calcite precipitation. In: </w:t>
      </w:r>
      <w:r>
        <w:rPr>
          <w:rFonts w:ascii="Times New Roman" w:hAnsi="Times New Roman"/>
          <w:sz w:val="24"/>
          <w:szCs w:val="24"/>
        </w:rPr>
        <w:tab/>
      </w:r>
      <w:r w:rsidRPr="00683F54">
        <w:rPr>
          <w:rFonts w:ascii="Times New Roman" w:hAnsi="Times New Roman"/>
          <w:i/>
          <w:sz w:val="24"/>
          <w:szCs w:val="24"/>
        </w:rPr>
        <w:t xml:space="preserve">Proceedings </w:t>
      </w:r>
      <w:r>
        <w:rPr>
          <w:rFonts w:ascii="Times New Roman" w:hAnsi="Times New Roman"/>
          <w:i/>
          <w:sz w:val="24"/>
          <w:szCs w:val="24"/>
        </w:rPr>
        <w:tab/>
      </w:r>
      <w:r w:rsidRPr="00683F54">
        <w:rPr>
          <w:rFonts w:ascii="Times New Roman" w:hAnsi="Times New Roman"/>
          <w:i/>
          <w:sz w:val="24"/>
          <w:szCs w:val="24"/>
        </w:rPr>
        <w:t>of geo frontiers in geotechnical engineering 2011</w:t>
      </w:r>
      <w:r>
        <w:rPr>
          <w:rFonts w:ascii="Times New Roman" w:hAnsi="Times New Roman"/>
          <w:sz w:val="24"/>
          <w:szCs w:val="24"/>
        </w:rPr>
        <w:t xml:space="preserve">: technical papers, </w:t>
      </w:r>
      <w:r>
        <w:rPr>
          <w:rFonts w:ascii="Times New Roman" w:hAnsi="Times New Roman"/>
          <w:sz w:val="24"/>
          <w:szCs w:val="24"/>
        </w:rPr>
        <w:tab/>
        <w:t xml:space="preserve">ASCE, pp </w:t>
      </w:r>
      <w:r>
        <w:rPr>
          <w:rFonts w:ascii="Times New Roman" w:hAnsi="Times New Roman"/>
          <w:sz w:val="24"/>
          <w:szCs w:val="24"/>
        </w:rPr>
        <w:tab/>
        <w:t>3993–4001</w:t>
      </w:r>
    </w:p>
    <w:p w:rsidR="0078072A" w:rsidRDefault="0078072A" w:rsidP="00076A1E">
      <w:pPr>
        <w:spacing w:after="0" w:line="240" w:lineRule="auto"/>
        <w:jc w:val="both"/>
        <w:rPr>
          <w:rFonts w:ascii="Times New Roman" w:hAnsi="Times New Roman"/>
          <w:sz w:val="24"/>
          <w:szCs w:val="24"/>
        </w:rPr>
      </w:pPr>
      <w:r>
        <w:rPr>
          <w:rFonts w:ascii="Times New Roman" w:eastAsia="DengXian" w:hAnsi="Times New Roman"/>
          <w:sz w:val="24"/>
          <w:szCs w:val="24"/>
        </w:rPr>
        <w:t xml:space="preserve">Park S-S, Choi S-G and Nam I-H, (2014). Effect of plant-induced calcite precipitation on the </w:t>
      </w:r>
      <w:r>
        <w:rPr>
          <w:rFonts w:ascii="Times New Roman" w:eastAsia="DengXian" w:hAnsi="Times New Roman"/>
          <w:sz w:val="24"/>
          <w:szCs w:val="24"/>
        </w:rPr>
        <w:tab/>
        <w:t xml:space="preserve">strength of sand. </w:t>
      </w:r>
      <w:r w:rsidRPr="00271FFF">
        <w:rPr>
          <w:rFonts w:ascii="Times New Roman" w:hAnsi="Times New Roman"/>
          <w:i/>
          <w:sz w:val="24"/>
          <w:szCs w:val="24"/>
        </w:rPr>
        <w:t>J</w:t>
      </w:r>
      <w:r>
        <w:rPr>
          <w:rFonts w:ascii="Times New Roman" w:hAnsi="Times New Roman"/>
          <w:i/>
          <w:sz w:val="24"/>
          <w:szCs w:val="24"/>
        </w:rPr>
        <w:t>ournal of</w:t>
      </w:r>
      <w:r w:rsidRPr="00271FFF">
        <w:rPr>
          <w:rFonts w:ascii="Times New Roman" w:hAnsi="Times New Roman"/>
          <w:i/>
          <w:sz w:val="24"/>
          <w:szCs w:val="24"/>
        </w:rPr>
        <w:t xml:space="preserve"> Mater</w:t>
      </w:r>
      <w:r>
        <w:rPr>
          <w:rFonts w:ascii="Times New Roman" w:hAnsi="Times New Roman"/>
          <w:i/>
          <w:sz w:val="24"/>
          <w:szCs w:val="24"/>
        </w:rPr>
        <w:t>ial/</w:t>
      </w:r>
      <w:r w:rsidRPr="00271FFF">
        <w:rPr>
          <w:rFonts w:ascii="Times New Roman" w:hAnsi="Times New Roman"/>
          <w:i/>
          <w:sz w:val="24"/>
          <w:szCs w:val="24"/>
        </w:rPr>
        <w:t>Civ</w:t>
      </w:r>
      <w:r>
        <w:rPr>
          <w:rFonts w:ascii="Times New Roman" w:hAnsi="Times New Roman"/>
          <w:i/>
          <w:sz w:val="24"/>
          <w:szCs w:val="24"/>
        </w:rPr>
        <w:t>il</w:t>
      </w:r>
      <w:r w:rsidRPr="00271FFF">
        <w:rPr>
          <w:rFonts w:ascii="Times New Roman" w:hAnsi="Times New Roman"/>
          <w:i/>
          <w:sz w:val="24"/>
          <w:szCs w:val="24"/>
        </w:rPr>
        <w:t xml:space="preserve"> </w:t>
      </w:r>
      <w:r>
        <w:rPr>
          <w:rFonts w:ascii="Times New Roman" w:hAnsi="Times New Roman"/>
          <w:i/>
          <w:sz w:val="24"/>
          <w:szCs w:val="24"/>
        </w:rPr>
        <w:tab/>
      </w:r>
      <w:r w:rsidRPr="00271FFF">
        <w:rPr>
          <w:rFonts w:ascii="Times New Roman" w:hAnsi="Times New Roman"/>
          <w:i/>
          <w:sz w:val="24"/>
          <w:szCs w:val="24"/>
        </w:rPr>
        <w:t>Eng</w:t>
      </w:r>
      <w:r>
        <w:rPr>
          <w:rFonts w:ascii="Times New Roman" w:hAnsi="Times New Roman"/>
          <w:i/>
          <w:sz w:val="24"/>
          <w:szCs w:val="24"/>
        </w:rPr>
        <w:t>ineering</w:t>
      </w:r>
      <w:r>
        <w:rPr>
          <w:rFonts w:ascii="Times New Roman" w:eastAsia="DengXian" w:hAnsi="Times New Roman"/>
          <w:sz w:val="24"/>
          <w:szCs w:val="24"/>
        </w:rPr>
        <w:t xml:space="preserve"> 26(8): 06014017</w:t>
      </w:r>
    </w:p>
    <w:p w:rsidR="005318AE" w:rsidRPr="005318AE" w:rsidRDefault="005318AE" w:rsidP="00076A1E">
      <w:pPr>
        <w:spacing w:after="0" w:line="240" w:lineRule="auto"/>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Sani JE, Etim RK and Joseph A (2019) Compaction Behaviour of Lateritic Soil–Calcium </w:t>
      </w:r>
      <w:r w:rsidR="002A3891"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Chloride Mixtures. </w:t>
      </w:r>
      <w:r w:rsidRPr="005318AE">
        <w:rPr>
          <w:rFonts w:ascii="Times New Roman" w:eastAsia="Calibri" w:hAnsi="Times New Roman"/>
          <w:sz w:val="24"/>
          <w:szCs w:val="24"/>
          <w:lang w:eastAsia="en-US"/>
        </w:rPr>
        <w:tab/>
      </w:r>
      <w:r w:rsidRPr="005318AE">
        <w:rPr>
          <w:rFonts w:ascii="Times New Roman" w:eastAsia="Calibri" w:hAnsi="Times New Roman"/>
          <w:i/>
          <w:iCs/>
          <w:sz w:val="24"/>
          <w:szCs w:val="24"/>
          <w:lang w:eastAsia="en-US"/>
        </w:rPr>
        <w:t>Geotechnical and Geological Engineering</w:t>
      </w:r>
      <w:r w:rsidRPr="005318AE">
        <w:rPr>
          <w:rFonts w:ascii="Times New Roman" w:eastAsia="Calibri" w:hAnsi="Times New Roman"/>
          <w:sz w:val="24"/>
          <w:szCs w:val="24"/>
          <w:lang w:eastAsia="en-US"/>
        </w:rPr>
        <w:t xml:space="preserve">. Springer Nature </w:t>
      </w:r>
      <w:r w:rsidR="002A3891"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Switzerland. </w:t>
      </w:r>
      <w:r w:rsidRPr="005318AE">
        <w:rPr>
          <w:rFonts w:ascii="Times New Roman" w:eastAsia="Calibri" w:hAnsi="Times New Roman"/>
          <w:b/>
          <w:bCs/>
          <w:sz w:val="24"/>
          <w:szCs w:val="24"/>
          <w:lang w:eastAsia="en-US"/>
        </w:rPr>
        <w:t>37</w:t>
      </w:r>
      <w:r w:rsidRPr="005318AE">
        <w:rPr>
          <w:rFonts w:ascii="Times New Roman" w:eastAsia="Calibri" w:hAnsi="Times New Roman"/>
          <w:sz w:val="24"/>
          <w:szCs w:val="24"/>
          <w:lang w:eastAsia="en-US"/>
        </w:rPr>
        <w:t xml:space="preserve">,2343- 2362. </w:t>
      </w:r>
      <w:r w:rsidRPr="005318AE">
        <w:rPr>
          <w:rFonts w:ascii="Times New Roman" w:eastAsia="Calibri" w:hAnsi="Times New Roman"/>
          <w:sz w:val="24"/>
          <w:szCs w:val="24"/>
          <w:lang w:eastAsia="en-US"/>
        </w:rPr>
        <w:tab/>
      </w:r>
      <w:hyperlink r:id="rId23" w:history="1">
        <w:r w:rsidRPr="005318AE">
          <w:rPr>
            <w:rFonts w:ascii="Times New Roman" w:eastAsia="Calibri" w:hAnsi="Times New Roman"/>
            <w:sz w:val="24"/>
            <w:szCs w:val="24"/>
            <w:u w:val="single"/>
            <w:lang w:eastAsia="en-US"/>
          </w:rPr>
          <w:t>https://doi.org/10.1007/s10706-018-00760-6</w:t>
        </w:r>
      </w:hyperlink>
    </w:p>
    <w:p w:rsidR="005318AE" w:rsidRDefault="005318AE" w:rsidP="00076A1E">
      <w:pPr>
        <w:autoSpaceDE w:val="0"/>
        <w:autoSpaceDN w:val="0"/>
        <w:adjustRightInd w:val="0"/>
        <w:spacing w:after="0" w:line="240" w:lineRule="auto"/>
        <w:jc w:val="both"/>
        <w:rPr>
          <w:rFonts w:ascii="Times New Roman" w:eastAsia="CIDFont+F5" w:hAnsi="Times New Roman"/>
          <w:sz w:val="24"/>
          <w:szCs w:val="24"/>
          <w:lang w:val="en-GB" w:eastAsia="en-GB"/>
        </w:rPr>
      </w:pPr>
      <w:r w:rsidRPr="005318AE">
        <w:rPr>
          <w:rFonts w:ascii="Times New Roman" w:eastAsia="CIDFont+F5" w:hAnsi="Times New Roman"/>
          <w:sz w:val="24"/>
          <w:szCs w:val="24"/>
          <w:lang w:val="en-GB" w:eastAsia="en-GB"/>
        </w:rPr>
        <w:t xml:space="preserve">Stocks-Fischer S, Galinat J K and Bang S S 1999 Microbiological precipitation of CaCO3. Soil </w:t>
      </w:r>
      <w:r w:rsidR="002A3891" w:rsidRPr="00DB0049">
        <w:rPr>
          <w:rFonts w:ascii="Times New Roman" w:eastAsia="CIDFont+F5" w:hAnsi="Times New Roman"/>
          <w:sz w:val="24"/>
          <w:szCs w:val="24"/>
          <w:lang w:val="en-GB" w:eastAsia="en-GB"/>
        </w:rPr>
        <w:tab/>
      </w:r>
      <w:r w:rsidRPr="005318AE">
        <w:rPr>
          <w:rFonts w:ascii="Times New Roman" w:eastAsia="CIDFont+F5" w:hAnsi="Times New Roman"/>
          <w:sz w:val="24"/>
          <w:szCs w:val="24"/>
          <w:lang w:val="en-GB" w:eastAsia="en-GB"/>
        </w:rPr>
        <w:t xml:space="preserve">Biology </w:t>
      </w:r>
      <w:r w:rsidRPr="005318AE">
        <w:rPr>
          <w:rFonts w:ascii="Times New Roman" w:eastAsia="CIDFont+F5" w:hAnsi="Times New Roman"/>
          <w:sz w:val="24"/>
          <w:szCs w:val="24"/>
          <w:lang w:val="en-GB" w:eastAsia="en-GB"/>
        </w:rPr>
        <w:tab/>
        <w:t>Biochemistry 31 (11): 1563</w:t>
      </w:r>
      <w:r w:rsidRPr="005318AE">
        <w:rPr>
          <w:rFonts w:ascii="Times New Roman" w:eastAsia="CIDFont+F5" w:hAnsi="Times New Roman" w:hint="eastAsia"/>
          <w:sz w:val="24"/>
          <w:szCs w:val="24"/>
          <w:lang w:val="en-GB" w:eastAsia="en-GB"/>
        </w:rPr>
        <w:t>–</w:t>
      </w:r>
      <w:r w:rsidRPr="005318AE">
        <w:rPr>
          <w:rFonts w:ascii="Times New Roman" w:eastAsia="CIDFont+F5" w:hAnsi="Times New Roman"/>
          <w:sz w:val="24"/>
          <w:szCs w:val="24"/>
          <w:lang w:val="en-GB" w:eastAsia="en-GB"/>
        </w:rPr>
        <w:t>1571.</w:t>
      </w:r>
    </w:p>
    <w:p w:rsidR="00A04CBC" w:rsidRDefault="00A04CBC" w:rsidP="00076A1E">
      <w:p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Tirkolaei HK, Bilsel H (2016) Statistical modeling of environmental factors on microbial </w:t>
      </w:r>
      <w:r>
        <w:rPr>
          <w:rFonts w:ascii="Times New Roman" w:hAnsi="Times New Roman"/>
          <w:sz w:val="24"/>
          <w:szCs w:val="24"/>
        </w:rPr>
        <w:tab/>
        <w:t xml:space="preserve">ureolysis process for biocement production. </w:t>
      </w:r>
      <w:r w:rsidRPr="0067053D">
        <w:rPr>
          <w:rFonts w:ascii="Times New Roman" w:hAnsi="Times New Roman"/>
          <w:i/>
          <w:sz w:val="24"/>
          <w:szCs w:val="24"/>
        </w:rPr>
        <w:t xml:space="preserve">Advance Material Science Engineering </w:t>
      </w:r>
      <w:r>
        <w:rPr>
          <w:rFonts w:ascii="Times New Roman" w:hAnsi="Times New Roman"/>
          <w:sz w:val="24"/>
          <w:szCs w:val="24"/>
        </w:rPr>
        <w:tab/>
        <w:t xml:space="preserve">2015:1–14. Https </w:t>
      </w:r>
      <w:r>
        <w:rPr>
          <w:rFonts w:ascii="Times New Roman" w:hAnsi="Times New Roman"/>
          <w:sz w:val="24"/>
          <w:szCs w:val="24"/>
        </w:rPr>
        <w:tab/>
        <w:t>://doi.org/10.1155/2015/34093 0</w:t>
      </w:r>
    </w:p>
    <w:p w:rsidR="005318AE" w:rsidRPr="005318AE" w:rsidRDefault="005318AE" w:rsidP="00076A1E">
      <w:pPr>
        <w:spacing w:after="0" w:line="240" w:lineRule="auto"/>
        <w:jc w:val="both"/>
        <w:rPr>
          <w:rFonts w:ascii="Times New Roman" w:eastAsia="Calibri" w:hAnsi="Times New Roman"/>
          <w:sz w:val="24"/>
          <w:szCs w:val="24"/>
          <w:lang w:eastAsia="en-US"/>
        </w:rPr>
      </w:pPr>
      <w:r w:rsidRPr="005318AE">
        <w:rPr>
          <w:rFonts w:ascii="Times New Roman" w:eastAsia="Calibri" w:hAnsi="Times New Roman"/>
          <w:sz w:val="24"/>
          <w:szCs w:val="24"/>
          <w:lang w:eastAsia="en-US"/>
        </w:rPr>
        <w:t xml:space="preserve">Wang L, van Paassen, LA and Edward Kavazanjian Jr., E (2020) Feasibility Study on </w:t>
      </w:r>
      <w:r w:rsidR="002A3891" w:rsidRPr="00DB0049">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Liquefaction Mitigation </w:t>
      </w:r>
      <w:r w:rsidRPr="005318AE">
        <w:rPr>
          <w:rFonts w:ascii="Times New Roman" w:eastAsia="Calibri" w:hAnsi="Times New Roman"/>
          <w:sz w:val="24"/>
          <w:szCs w:val="24"/>
          <w:lang w:eastAsia="en-US"/>
        </w:rPr>
        <w:tab/>
        <w:t xml:space="preserve">of Fraser River Sediments by Microbial Induced </w:t>
      </w:r>
      <w:r w:rsidR="00A04CBC">
        <w:rPr>
          <w:rFonts w:ascii="Times New Roman" w:eastAsia="Calibri" w:hAnsi="Times New Roman"/>
          <w:sz w:val="24"/>
          <w:szCs w:val="24"/>
          <w:lang w:eastAsia="en-US"/>
        </w:rPr>
        <w:tab/>
      </w:r>
      <w:r w:rsidRPr="005318AE">
        <w:rPr>
          <w:rFonts w:ascii="Times New Roman" w:eastAsia="Calibri" w:hAnsi="Times New Roman"/>
          <w:sz w:val="24"/>
          <w:szCs w:val="24"/>
          <w:lang w:eastAsia="en-US"/>
        </w:rPr>
        <w:t xml:space="preserve">Desaturation and Precipitation (MIDP). </w:t>
      </w:r>
      <w:r w:rsidRPr="005318AE">
        <w:rPr>
          <w:rFonts w:ascii="Times New Roman" w:eastAsia="Calibri" w:hAnsi="Times New Roman"/>
          <w:i/>
          <w:iCs/>
          <w:sz w:val="24"/>
          <w:szCs w:val="24"/>
          <w:lang w:eastAsia="en-US"/>
        </w:rPr>
        <w:t xml:space="preserve">In proceedings </w:t>
      </w:r>
      <w:r w:rsidRPr="005318AE">
        <w:rPr>
          <w:rFonts w:ascii="Times New Roman" w:eastAsia="Calibri" w:hAnsi="Times New Roman"/>
          <w:i/>
          <w:iCs/>
          <w:sz w:val="24"/>
          <w:szCs w:val="24"/>
          <w:lang w:eastAsia="en-US"/>
        </w:rPr>
        <w:tab/>
        <w:t xml:space="preserve">of  Geo-Congress 2020. </w:t>
      </w:r>
      <w:r w:rsidR="00A04CBC">
        <w:rPr>
          <w:rFonts w:ascii="Times New Roman" w:eastAsia="Calibri" w:hAnsi="Times New Roman"/>
          <w:i/>
          <w:iCs/>
          <w:sz w:val="24"/>
          <w:szCs w:val="24"/>
          <w:lang w:eastAsia="en-US"/>
        </w:rPr>
        <w:tab/>
      </w:r>
      <w:r w:rsidRPr="005318AE">
        <w:rPr>
          <w:rFonts w:ascii="Times New Roman" w:eastAsia="Calibri" w:hAnsi="Times New Roman"/>
          <w:i/>
          <w:iCs/>
          <w:sz w:val="24"/>
          <w:szCs w:val="24"/>
          <w:lang w:eastAsia="en-US"/>
        </w:rPr>
        <w:t xml:space="preserve">American Society of Civil Engineers, GSP </w:t>
      </w:r>
      <w:r w:rsidRPr="005318AE">
        <w:rPr>
          <w:rFonts w:ascii="Times New Roman" w:eastAsia="Calibri" w:hAnsi="Times New Roman"/>
          <w:b/>
          <w:bCs/>
          <w:sz w:val="24"/>
          <w:szCs w:val="24"/>
          <w:lang w:eastAsia="en-US"/>
        </w:rPr>
        <w:t>320</w:t>
      </w:r>
      <w:r w:rsidRPr="005318AE">
        <w:rPr>
          <w:rFonts w:ascii="Times New Roman" w:eastAsia="Calibri" w:hAnsi="Times New Roman"/>
          <w:sz w:val="24"/>
          <w:szCs w:val="24"/>
          <w:lang w:eastAsia="en-US"/>
        </w:rPr>
        <w:t>, pp. 121 – 131</w:t>
      </w:r>
    </w:p>
    <w:p w:rsidR="005318AE" w:rsidRPr="005318AE" w:rsidRDefault="005318AE" w:rsidP="00076A1E">
      <w:pPr>
        <w:autoSpaceDE w:val="0"/>
        <w:autoSpaceDN w:val="0"/>
        <w:adjustRightInd w:val="0"/>
        <w:spacing w:after="0" w:line="240" w:lineRule="auto"/>
        <w:jc w:val="both"/>
        <w:rPr>
          <w:rFonts w:ascii="Times New Roman" w:eastAsia="Calibri" w:hAnsi="Times New Roman"/>
          <w:color w:val="FF0000"/>
          <w:sz w:val="24"/>
          <w:szCs w:val="24"/>
          <w:lang w:val="en-GB" w:eastAsia="en-US"/>
        </w:rPr>
      </w:pPr>
    </w:p>
    <w:p w:rsidR="005318AE" w:rsidRPr="005318AE" w:rsidRDefault="005318AE" w:rsidP="00076A1E">
      <w:pPr>
        <w:spacing w:after="0" w:line="240" w:lineRule="auto"/>
        <w:rPr>
          <w:rFonts w:eastAsia="Calibri"/>
          <w:color w:val="FF0000"/>
          <w:lang w:eastAsia="en-US"/>
        </w:rPr>
      </w:pPr>
    </w:p>
    <w:p w:rsidR="00880CDB" w:rsidRDefault="00880CDB" w:rsidP="00076A1E">
      <w:pPr>
        <w:spacing w:after="0" w:line="240" w:lineRule="auto"/>
        <w:rPr>
          <w:rFonts w:ascii="Times New Roman" w:hAnsi="Times New Roman"/>
          <w:sz w:val="24"/>
          <w:szCs w:val="24"/>
        </w:rPr>
      </w:pPr>
    </w:p>
    <w:p w:rsidR="00A04CBC" w:rsidRDefault="00A04CBC" w:rsidP="00076A1E">
      <w:pPr>
        <w:spacing w:after="0" w:line="240" w:lineRule="auto"/>
        <w:rPr>
          <w:sz w:val="20"/>
          <w:szCs w:val="20"/>
        </w:rPr>
      </w:pPr>
    </w:p>
    <w:sectPr w:rsidR="00A04CBC" w:rsidSect="00BB4C7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3DB" w:rsidRDefault="004D33DB" w:rsidP="00986F46">
      <w:pPr>
        <w:spacing w:after="0" w:line="240" w:lineRule="auto"/>
      </w:pPr>
      <w:r>
        <w:separator/>
      </w:r>
    </w:p>
  </w:endnote>
  <w:endnote w:type="continuationSeparator" w:id="0">
    <w:p w:rsidR="004D33DB" w:rsidRDefault="004D33DB" w:rsidP="00986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5">
    <w:altName w:val="Yu Gothic"/>
    <w:charset w:val="80"/>
    <w:family w:val="auto"/>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IDFont+F7">
    <w:altName w:val="Yu Gothic"/>
    <w:panose1 w:val="00000000000000000000"/>
    <w:charset w:val="80"/>
    <w:family w:val="auto"/>
    <w:notTrueType/>
    <w:pitch w:val="default"/>
    <w:sig w:usb0="00000001" w:usb1="08070000" w:usb2="00000010" w:usb3="00000000" w:csb0="00020000" w:csb1="00000000"/>
  </w:font>
  <w:font w:name="Roboto">
    <w:altName w:val="Times New Roman"/>
    <w:charset w:val="00"/>
    <w:family w:val="auto"/>
    <w:pitch w:val="variable"/>
    <w:sig w:usb0="00000001" w:usb1="5000217F" w:usb2="00000021" w:usb3="00000000" w:csb0="0000019F" w:csb1="00000000"/>
  </w:font>
  <w:font w:name="DengXian">
    <w:altName w:val="Arial Unicode MS"/>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D7F" w:rsidRDefault="00D56D7F">
    <w:pPr>
      <w:pStyle w:val="Footer"/>
      <w:jc w:val="center"/>
    </w:pPr>
    <w:r>
      <w:fldChar w:fldCharType="begin"/>
    </w:r>
    <w:r>
      <w:instrText xml:space="preserve"> PAGE   \* MERGEFORMAT </w:instrText>
    </w:r>
    <w:r>
      <w:fldChar w:fldCharType="separate"/>
    </w:r>
    <w:r w:rsidR="00C20BCF">
      <w:rPr>
        <w:noProof/>
      </w:rPr>
      <w:t>11</w:t>
    </w:r>
    <w:r>
      <w:rPr>
        <w:noProof/>
      </w:rPr>
      <w:fldChar w:fldCharType="end"/>
    </w:r>
  </w:p>
  <w:p w:rsidR="00D56D7F" w:rsidRDefault="00D56D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3DB" w:rsidRDefault="004D33DB" w:rsidP="00986F46">
      <w:pPr>
        <w:spacing w:after="0" w:line="240" w:lineRule="auto"/>
      </w:pPr>
      <w:r>
        <w:separator/>
      </w:r>
    </w:p>
  </w:footnote>
  <w:footnote w:type="continuationSeparator" w:id="0">
    <w:p w:rsidR="004D33DB" w:rsidRDefault="004D33DB" w:rsidP="00986F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B8F6599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11"/>
    <w:multiLevelType w:val="multilevel"/>
    <w:tmpl w:val="6D0E2F4A"/>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0000017"/>
    <w:multiLevelType w:val="hybridMultilevel"/>
    <w:tmpl w:val="F0E88D20"/>
    <w:lvl w:ilvl="0" w:tplc="0809000F">
      <w:start w:val="1"/>
      <w:numFmt w:val="decimal"/>
      <w:lvlText w:val="%1."/>
      <w:lvlJc w:val="left"/>
      <w:pPr>
        <w:ind w:left="720" w:hanging="360"/>
      </w:pPr>
      <w:rPr>
        <w:rFonts w:hint="default"/>
      </w:rPr>
    </w:lvl>
    <w:lvl w:ilvl="1" w:tplc="A5C4EDE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18"/>
    <w:multiLevelType w:val="multilevel"/>
    <w:tmpl w:val="8262889A"/>
    <w:lvl w:ilvl="0">
      <w:start w:val="1"/>
      <w:numFmt w:val="lowerRoman"/>
      <w:lvlText w:val="(%1)"/>
      <w:lvlJc w:val="left"/>
      <w:pPr>
        <w:ind w:left="435" w:hanging="435"/>
      </w:pPr>
      <w:rPr>
        <w:rFonts w:cs="Times New Roman" w:hint="default"/>
        <w:sz w:val="23"/>
      </w:rPr>
    </w:lvl>
    <w:lvl w:ilvl="1">
      <w:start w:val="1"/>
      <w:numFmt w:val="decimal"/>
      <w:lvlText w:val="%1.%2"/>
      <w:lvlJc w:val="left"/>
      <w:pPr>
        <w:ind w:left="435" w:hanging="435"/>
      </w:pPr>
      <w:rPr>
        <w:rFonts w:ascii="Calibri" w:eastAsia="Times New Roman" w:hAnsi="Calibri" w:cs="Times New Roman" w:hint="default"/>
        <w:sz w:val="24"/>
        <w:szCs w:val="24"/>
      </w:rPr>
    </w:lvl>
    <w:lvl w:ilvl="2">
      <w:start w:val="2"/>
      <w:numFmt w:val="decimal"/>
      <w:lvlText w:val="%1.%2.%3"/>
      <w:lvlJc w:val="left"/>
      <w:pPr>
        <w:ind w:left="720" w:hanging="720"/>
      </w:pPr>
      <w:rPr>
        <w:rFonts w:ascii="Times New Roman" w:eastAsia="Times New Roman" w:hAnsi="Times New Roman" w:cs="Times New Roman" w:hint="default"/>
        <w:b/>
        <w:sz w:val="24"/>
        <w:szCs w:val="24"/>
      </w:rPr>
    </w:lvl>
    <w:lvl w:ilvl="3">
      <w:start w:val="1"/>
      <w:numFmt w:val="decimal"/>
      <w:lvlText w:val="%1.%2.%3.%4"/>
      <w:lvlJc w:val="left"/>
      <w:pPr>
        <w:ind w:left="720" w:hanging="720"/>
      </w:pPr>
      <w:rPr>
        <w:rFonts w:ascii="Calibri" w:eastAsia="Times New Roman" w:hAnsi="Calibri" w:cs="Times New Roman" w:hint="default"/>
        <w:sz w:val="23"/>
      </w:rPr>
    </w:lvl>
    <w:lvl w:ilvl="4">
      <w:start w:val="1"/>
      <w:numFmt w:val="decimal"/>
      <w:lvlText w:val="%1.%2.%3.%4.%5"/>
      <w:lvlJc w:val="left"/>
      <w:pPr>
        <w:ind w:left="720" w:hanging="720"/>
      </w:pPr>
      <w:rPr>
        <w:rFonts w:ascii="Calibri" w:eastAsia="Times New Roman" w:hAnsi="Calibri" w:cs="Times New Roman" w:hint="default"/>
        <w:sz w:val="23"/>
      </w:rPr>
    </w:lvl>
    <w:lvl w:ilvl="5">
      <w:start w:val="1"/>
      <w:numFmt w:val="decimal"/>
      <w:lvlText w:val="%1.%2.%3.%4.%5.%6"/>
      <w:lvlJc w:val="left"/>
      <w:pPr>
        <w:ind w:left="1080" w:hanging="1080"/>
      </w:pPr>
      <w:rPr>
        <w:rFonts w:ascii="Calibri" w:eastAsia="Times New Roman" w:hAnsi="Calibri" w:cs="Times New Roman" w:hint="default"/>
        <w:sz w:val="23"/>
      </w:rPr>
    </w:lvl>
    <w:lvl w:ilvl="6">
      <w:start w:val="1"/>
      <w:numFmt w:val="decimal"/>
      <w:lvlText w:val="%1.%2.%3.%4.%5.%6.%7"/>
      <w:lvlJc w:val="left"/>
      <w:pPr>
        <w:ind w:left="1080" w:hanging="1080"/>
      </w:pPr>
      <w:rPr>
        <w:rFonts w:ascii="Calibri" w:eastAsia="Times New Roman" w:hAnsi="Calibri" w:cs="Times New Roman" w:hint="default"/>
        <w:sz w:val="23"/>
      </w:rPr>
    </w:lvl>
    <w:lvl w:ilvl="7">
      <w:start w:val="1"/>
      <w:numFmt w:val="decimal"/>
      <w:lvlText w:val="%1.%2.%3.%4.%5.%6.%7.%8"/>
      <w:lvlJc w:val="left"/>
      <w:pPr>
        <w:ind w:left="1440" w:hanging="1440"/>
      </w:pPr>
      <w:rPr>
        <w:rFonts w:ascii="Calibri" w:eastAsia="Times New Roman" w:hAnsi="Calibri" w:cs="Times New Roman" w:hint="default"/>
        <w:sz w:val="23"/>
      </w:rPr>
    </w:lvl>
    <w:lvl w:ilvl="8">
      <w:start w:val="1"/>
      <w:numFmt w:val="decimal"/>
      <w:lvlText w:val="%1.%2.%3.%4.%5.%6.%7.%8.%9"/>
      <w:lvlJc w:val="left"/>
      <w:pPr>
        <w:ind w:left="1440" w:hanging="1440"/>
      </w:pPr>
      <w:rPr>
        <w:rFonts w:ascii="Calibri" w:eastAsia="Times New Roman" w:hAnsi="Calibri" w:cs="Times New Roman" w:hint="default"/>
        <w:sz w:val="23"/>
      </w:rPr>
    </w:lvl>
  </w:abstractNum>
  <w:abstractNum w:abstractNumId="4">
    <w:nsid w:val="009F6F86"/>
    <w:multiLevelType w:val="hybridMultilevel"/>
    <w:tmpl w:val="439892C8"/>
    <w:lvl w:ilvl="0" w:tplc="D02E1C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41A1116"/>
    <w:multiLevelType w:val="hybridMultilevel"/>
    <w:tmpl w:val="675EE2CC"/>
    <w:lvl w:ilvl="0" w:tplc="0E7ABE4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0D3B37AA"/>
    <w:multiLevelType w:val="hybridMultilevel"/>
    <w:tmpl w:val="2F9CE950"/>
    <w:lvl w:ilvl="0" w:tplc="86AC070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FD44FB"/>
    <w:multiLevelType w:val="hybridMultilevel"/>
    <w:tmpl w:val="2F9CE950"/>
    <w:lvl w:ilvl="0" w:tplc="86AC070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0536C29"/>
    <w:multiLevelType w:val="hybridMultilevel"/>
    <w:tmpl w:val="135AB6CA"/>
    <w:lvl w:ilvl="0" w:tplc="B0B46C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3CE6959"/>
    <w:multiLevelType w:val="hybridMultilevel"/>
    <w:tmpl w:val="6DF0F7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A62733"/>
    <w:multiLevelType w:val="hybridMultilevel"/>
    <w:tmpl w:val="F314E7F4"/>
    <w:lvl w:ilvl="0" w:tplc="0E7ABE4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3814370"/>
    <w:multiLevelType w:val="hybridMultilevel"/>
    <w:tmpl w:val="489C068C"/>
    <w:lvl w:ilvl="0" w:tplc="0E7ABE4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2E442931"/>
    <w:multiLevelType w:val="hybridMultilevel"/>
    <w:tmpl w:val="D4A8EDD8"/>
    <w:lvl w:ilvl="0" w:tplc="DF3A44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E842DCA"/>
    <w:multiLevelType w:val="hybridMultilevel"/>
    <w:tmpl w:val="18DE5B08"/>
    <w:lvl w:ilvl="0" w:tplc="00087F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346591"/>
    <w:multiLevelType w:val="hybridMultilevel"/>
    <w:tmpl w:val="81844052"/>
    <w:lvl w:ilvl="0" w:tplc="FC82CB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36B5012"/>
    <w:multiLevelType w:val="hybridMultilevel"/>
    <w:tmpl w:val="0088B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48463E"/>
    <w:multiLevelType w:val="hybridMultilevel"/>
    <w:tmpl w:val="0CC416D8"/>
    <w:lvl w:ilvl="0" w:tplc="BE72B5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C0127C8"/>
    <w:multiLevelType w:val="hybridMultilevel"/>
    <w:tmpl w:val="22964C2A"/>
    <w:lvl w:ilvl="0" w:tplc="D33AF7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E155DA2"/>
    <w:multiLevelType w:val="hybridMultilevel"/>
    <w:tmpl w:val="D4AA0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A1D7698"/>
    <w:multiLevelType w:val="hybridMultilevel"/>
    <w:tmpl w:val="656AF636"/>
    <w:lvl w:ilvl="0" w:tplc="BFEE9EC4">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CD7C37"/>
    <w:multiLevelType w:val="multilevel"/>
    <w:tmpl w:val="40BCFAA0"/>
    <w:lvl w:ilvl="0">
      <w:start w:val="2"/>
      <w:numFmt w:val="decimal"/>
      <w:lvlText w:val="%1"/>
      <w:lvlJc w:val="left"/>
      <w:pPr>
        <w:ind w:left="435" w:hanging="435"/>
      </w:pPr>
      <w:rPr>
        <w:rFonts w:ascii="Calibri" w:eastAsia="Times New Roman" w:hAnsi="Calibri" w:cs="Times New Roman" w:hint="default"/>
        <w:sz w:val="23"/>
      </w:rPr>
    </w:lvl>
    <w:lvl w:ilvl="1">
      <w:start w:val="1"/>
      <w:numFmt w:val="decimal"/>
      <w:lvlText w:val="%1.%2"/>
      <w:lvlJc w:val="left"/>
      <w:pPr>
        <w:ind w:left="435" w:hanging="435"/>
      </w:pPr>
      <w:rPr>
        <w:rFonts w:ascii="Calibri" w:eastAsia="Times New Roman" w:hAnsi="Calibri" w:cs="Times New Roman" w:hint="default"/>
        <w:sz w:val="24"/>
        <w:szCs w:val="24"/>
      </w:rPr>
    </w:lvl>
    <w:lvl w:ilvl="2">
      <w:start w:val="2"/>
      <w:numFmt w:val="decimal"/>
      <w:lvlText w:val="%1.%2.%3"/>
      <w:lvlJc w:val="left"/>
      <w:pPr>
        <w:ind w:left="720" w:hanging="720"/>
      </w:pPr>
      <w:rPr>
        <w:rFonts w:ascii="Times New Roman" w:eastAsia="Times New Roman" w:hAnsi="Times New Roman" w:cs="Times New Roman" w:hint="default"/>
        <w:b/>
        <w:sz w:val="24"/>
        <w:szCs w:val="24"/>
      </w:rPr>
    </w:lvl>
    <w:lvl w:ilvl="3">
      <w:start w:val="1"/>
      <w:numFmt w:val="decimal"/>
      <w:lvlText w:val="%1.%2.%3.%4"/>
      <w:lvlJc w:val="left"/>
      <w:pPr>
        <w:ind w:left="720" w:hanging="720"/>
      </w:pPr>
      <w:rPr>
        <w:rFonts w:ascii="Calibri" w:eastAsia="Times New Roman" w:hAnsi="Calibri" w:cs="Times New Roman" w:hint="default"/>
        <w:sz w:val="23"/>
      </w:rPr>
    </w:lvl>
    <w:lvl w:ilvl="4">
      <w:start w:val="1"/>
      <w:numFmt w:val="decimal"/>
      <w:lvlText w:val="%1.%2.%3.%4.%5"/>
      <w:lvlJc w:val="left"/>
      <w:pPr>
        <w:ind w:left="720" w:hanging="720"/>
      </w:pPr>
      <w:rPr>
        <w:rFonts w:ascii="Calibri" w:eastAsia="Times New Roman" w:hAnsi="Calibri" w:cs="Times New Roman" w:hint="default"/>
        <w:sz w:val="23"/>
      </w:rPr>
    </w:lvl>
    <w:lvl w:ilvl="5">
      <w:start w:val="1"/>
      <w:numFmt w:val="decimal"/>
      <w:lvlText w:val="%1.%2.%3.%4.%5.%6"/>
      <w:lvlJc w:val="left"/>
      <w:pPr>
        <w:ind w:left="1080" w:hanging="1080"/>
      </w:pPr>
      <w:rPr>
        <w:rFonts w:ascii="Calibri" w:eastAsia="Times New Roman" w:hAnsi="Calibri" w:cs="Times New Roman" w:hint="default"/>
        <w:sz w:val="23"/>
      </w:rPr>
    </w:lvl>
    <w:lvl w:ilvl="6">
      <w:start w:val="1"/>
      <w:numFmt w:val="decimal"/>
      <w:lvlText w:val="%1.%2.%3.%4.%5.%6.%7"/>
      <w:lvlJc w:val="left"/>
      <w:pPr>
        <w:ind w:left="1080" w:hanging="1080"/>
      </w:pPr>
      <w:rPr>
        <w:rFonts w:ascii="Calibri" w:eastAsia="Times New Roman" w:hAnsi="Calibri" w:cs="Times New Roman" w:hint="default"/>
        <w:sz w:val="23"/>
      </w:rPr>
    </w:lvl>
    <w:lvl w:ilvl="7">
      <w:start w:val="1"/>
      <w:numFmt w:val="decimal"/>
      <w:lvlText w:val="%1.%2.%3.%4.%5.%6.%7.%8"/>
      <w:lvlJc w:val="left"/>
      <w:pPr>
        <w:ind w:left="1440" w:hanging="1440"/>
      </w:pPr>
      <w:rPr>
        <w:rFonts w:ascii="Calibri" w:eastAsia="Times New Roman" w:hAnsi="Calibri" w:cs="Times New Roman" w:hint="default"/>
        <w:sz w:val="23"/>
      </w:rPr>
    </w:lvl>
    <w:lvl w:ilvl="8">
      <w:start w:val="1"/>
      <w:numFmt w:val="decimal"/>
      <w:lvlText w:val="%1.%2.%3.%4.%5.%6.%7.%8.%9"/>
      <w:lvlJc w:val="left"/>
      <w:pPr>
        <w:ind w:left="1440" w:hanging="1440"/>
      </w:pPr>
      <w:rPr>
        <w:rFonts w:ascii="Calibri" w:eastAsia="Times New Roman" w:hAnsi="Calibri" w:cs="Times New Roman" w:hint="default"/>
        <w:sz w:val="23"/>
      </w:rPr>
    </w:lvl>
  </w:abstractNum>
  <w:abstractNum w:abstractNumId="21">
    <w:nsid w:val="51A870EA"/>
    <w:multiLevelType w:val="hybridMultilevel"/>
    <w:tmpl w:val="608EBA62"/>
    <w:lvl w:ilvl="0" w:tplc="CBD66D1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FCD7DC7"/>
    <w:multiLevelType w:val="hybridMultilevel"/>
    <w:tmpl w:val="AA32EF92"/>
    <w:lvl w:ilvl="0" w:tplc="6C7EA7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3B84AC7"/>
    <w:multiLevelType w:val="hybridMultilevel"/>
    <w:tmpl w:val="22403DB4"/>
    <w:lvl w:ilvl="0" w:tplc="C8F05B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5EF486E"/>
    <w:multiLevelType w:val="hybridMultilevel"/>
    <w:tmpl w:val="32229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F420DF"/>
    <w:multiLevelType w:val="hybridMultilevel"/>
    <w:tmpl w:val="A28E98B8"/>
    <w:lvl w:ilvl="0" w:tplc="567648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E7E28EE"/>
    <w:multiLevelType w:val="hybridMultilevel"/>
    <w:tmpl w:val="0CC416D8"/>
    <w:lvl w:ilvl="0" w:tplc="BE72B52C">
      <w:start w:val="1"/>
      <w:numFmt w:val="decimal"/>
      <w:lvlText w:val="%1."/>
      <w:lvlJc w:val="left"/>
      <w:pPr>
        <w:ind w:left="1080" w:hanging="72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27">
    <w:nsid w:val="73E73EE0"/>
    <w:multiLevelType w:val="hybridMultilevel"/>
    <w:tmpl w:val="E61080A2"/>
    <w:lvl w:ilvl="0" w:tplc="E66687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D690AB7"/>
    <w:multiLevelType w:val="hybridMultilevel"/>
    <w:tmpl w:val="5D9CBBBE"/>
    <w:lvl w:ilvl="0" w:tplc="4246F0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D6D1DBE"/>
    <w:multiLevelType w:val="hybridMultilevel"/>
    <w:tmpl w:val="29ECB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DAC765E"/>
    <w:multiLevelType w:val="hybridMultilevel"/>
    <w:tmpl w:val="67E071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0"/>
  </w:num>
  <w:num w:numId="3">
    <w:abstractNumId w:val="2"/>
  </w:num>
  <w:num w:numId="4">
    <w:abstractNumId w:val="0"/>
  </w:num>
  <w:num w:numId="5">
    <w:abstractNumId w:val="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5"/>
  </w:num>
  <w:num w:numId="9">
    <w:abstractNumId w:val="28"/>
  </w:num>
  <w:num w:numId="10">
    <w:abstractNumId w:val="8"/>
  </w:num>
  <w:num w:numId="11">
    <w:abstractNumId w:val="23"/>
  </w:num>
  <w:num w:numId="12">
    <w:abstractNumId w:val="17"/>
  </w:num>
  <w:num w:numId="13">
    <w:abstractNumId w:val="25"/>
  </w:num>
  <w:num w:numId="14">
    <w:abstractNumId w:val="14"/>
  </w:num>
  <w:num w:numId="15">
    <w:abstractNumId w:val="6"/>
  </w:num>
  <w:num w:numId="16">
    <w:abstractNumId w:val="7"/>
  </w:num>
  <w:num w:numId="17">
    <w:abstractNumId w:val="13"/>
  </w:num>
  <w:num w:numId="18">
    <w:abstractNumId w:val="12"/>
  </w:num>
  <w:num w:numId="19">
    <w:abstractNumId w:val="2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7"/>
  </w:num>
  <w:num w:numId="25">
    <w:abstractNumId w:val="22"/>
  </w:num>
  <w:num w:numId="26">
    <w:abstractNumId w:val="16"/>
  </w:num>
  <w:num w:numId="27">
    <w:abstractNumId w:val="19"/>
  </w:num>
  <w:num w:numId="28">
    <w:abstractNumId w:val="18"/>
  </w:num>
  <w:num w:numId="29">
    <w:abstractNumId w:val="29"/>
  </w:num>
  <w:num w:numId="30">
    <w:abstractNumId w:val="9"/>
  </w:num>
  <w:num w:numId="31">
    <w:abstractNumId w:val="3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5BF"/>
    <w:rsid w:val="00010604"/>
    <w:rsid w:val="00012B83"/>
    <w:rsid w:val="0001538C"/>
    <w:rsid w:val="00020311"/>
    <w:rsid w:val="000215DB"/>
    <w:rsid w:val="00041148"/>
    <w:rsid w:val="000724BD"/>
    <w:rsid w:val="00074960"/>
    <w:rsid w:val="00076A1E"/>
    <w:rsid w:val="00077C45"/>
    <w:rsid w:val="000806FD"/>
    <w:rsid w:val="00081180"/>
    <w:rsid w:val="0009459F"/>
    <w:rsid w:val="000C688F"/>
    <w:rsid w:val="000D5DE3"/>
    <w:rsid w:val="000D644D"/>
    <w:rsid w:val="000D6487"/>
    <w:rsid w:val="000D70D5"/>
    <w:rsid w:val="000D7C7E"/>
    <w:rsid w:val="000F1180"/>
    <w:rsid w:val="001052A0"/>
    <w:rsid w:val="001065A5"/>
    <w:rsid w:val="00120FF0"/>
    <w:rsid w:val="001221CB"/>
    <w:rsid w:val="00123529"/>
    <w:rsid w:val="001316A2"/>
    <w:rsid w:val="00137C0B"/>
    <w:rsid w:val="0016573C"/>
    <w:rsid w:val="00172A27"/>
    <w:rsid w:val="00172F3C"/>
    <w:rsid w:val="001939E9"/>
    <w:rsid w:val="0021252D"/>
    <w:rsid w:val="00212585"/>
    <w:rsid w:val="00214F39"/>
    <w:rsid w:val="002447F8"/>
    <w:rsid w:val="00247792"/>
    <w:rsid w:val="00272DBB"/>
    <w:rsid w:val="00277ADA"/>
    <w:rsid w:val="00296723"/>
    <w:rsid w:val="00297F1F"/>
    <w:rsid w:val="002A3891"/>
    <w:rsid w:val="002A4598"/>
    <w:rsid w:val="002A685F"/>
    <w:rsid w:val="002B34F7"/>
    <w:rsid w:val="002F327E"/>
    <w:rsid w:val="00302D58"/>
    <w:rsid w:val="00307C90"/>
    <w:rsid w:val="003474F5"/>
    <w:rsid w:val="00361F78"/>
    <w:rsid w:val="00362417"/>
    <w:rsid w:val="00365073"/>
    <w:rsid w:val="0037063C"/>
    <w:rsid w:val="003916A8"/>
    <w:rsid w:val="003C1A68"/>
    <w:rsid w:val="003E34E0"/>
    <w:rsid w:val="00412ED5"/>
    <w:rsid w:val="00414B01"/>
    <w:rsid w:val="00420580"/>
    <w:rsid w:val="00433A67"/>
    <w:rsid w:val="004904C3"/>
    <w:rsid w:val="00495DA3"/>
    <w:rsid w:val="004A72D3"/>
    <w:rsid w:val="004C7FA6"/>
    <w:rsid w:val="004D33DB"/>
    <w:rsid w:val="004F02C3"/>
    <w:rsid w:val="004F57F2"/>
    <w:rsid w:val="004F5B20"/>
    <w:rsid w:val="00505AC7"/>
    <w:rsid w:val="005318AE"/>
    <w:rsid w:val="00583619"/>
    <w:rsid w:val="00584BD7"/>
    <w:rsid w:val="00593793"/>
    <w:rsid w:val="005C1A9A"/>
    <w:rsid w:val="005D2D2B"/>
    <w:rsid w:val="005E67CF"/>
    <w:rsid w:val="006148E7"/>
    <w:rsid w:val="0061574E"/>
    <w:rsid w:val="006234D7"/>
    <w:rsid w:val="006272D7"/>
    <w:rsid w:val="006537B8"/>
    <w:rsid w:val="00656DF8"/>
    <w:rsid w:val="00675C37"/>
    <w:rsid w:val="006802B1"/>
    <w:rsid w:val="006810E5"/>
    <w:rsid w:val="00691A07"/>
    <w:rsid w:val="006976B8"/>
    <w:rsid w:val="006A1EBD"/>
    <w:rsid w:val="006A66F9"/>
    <w:rsid w:val="006B0A69"/>
    <w:rsid w:val="006B10FB"/>
    <w:rsid w:val="006B31B0"/>
    <w:rsid w:val="006B7895"/>
    <w:rsid w:val="006D20D8"/>
    <w:rsid w:val="006D555B"/>
    <w:rsid w:val="006E767A"/>
    <w:rsid w:val="006F2909"/>
    <w:rsid w:val="006F6826"/>
    <w:rsid w:val="007046A7"/>
    <w:rsid w:val="00715649"/>
    <w:rsid w:val="00734C9B"/>
    <w:rsid w:val="0074379D"/>
    <w:rsid w:val="00744946"/>
    <w:rsid w:val="00780624"/>
    <w:rsid w:val="0078072A"/>
    <w:rsid w:val="00787CDD"/>
    <w:rsid w:val="007A5F7F"/>
    <w:rsid w:val="007A795A"/>
    <w:rsid w:val="007B599A"/>
    <w:rsid w:val="007D0824"/>
    <w:rsid w:val="007D4DC7"/>
    <w:rsid w:val="007E1364"/>
    <w:rsid w:val="007F55BF"/>
    <w:rsid w:val="00807A69"/>
    <w:rsid w:val="0081184C"/>
    <w:rsid w:val="0083481E"/>
    <w:rsid w:val="00840510"/>
    <w:rsid w:val="00844F75"/>
    <w:rsid w:val="00846F64"/>
    <w:rsid w:val="00851D02"/>
    <w:rsid w:val="0085340B"/>
    <w:rsid w:val="008661CC"/>
    <w:rsid w:val="00876A42"/>
    <w:rsid w:val="00880CDB"/>
    <w:rsid w:val="008A0CF0"/>
    <w:rsid w:val="008A4A40"/>
    <w:rsid w:val="008B6EAE"/>
    <w:rsid w:val="008C1448"/>
    <w:rsid w:val="008F2CE9"/>
    <w:rsid w:val="00953793"/>
    <w:rsid w:val="00975AB4"/>
    <w:rsid w:val="00986F46"/>
    <w:rsid w:val="009A30A5"/>
    <w:rsid w:val="009A6439"/>
    <w:rsid w:val="009B000B"/>
    <w:rsid w:val="009B64C8"/>
    <w:rsid w:val="009E0060"/>
    <w:rsid w:val="009F7F4E"/>
    <w:rsid w:val="00A04CBC"/>
    <w:rsid w:val="00A113DD"/>
    <w:rsid w:val="00A21621"/>
    <w:rsid w:val="00A530BA"/>
    <w:rsid w:val="00A67D8F"/>
    <w:rsid w:val="00A70D81"/>
    <w:rsid w:val="00AA0B8D"/>
    <w:rsid w:val="00AC106A"/>
    <w:rsid w:val="00B050B2"/>
    <w:rsid w:val="00B32939"/>
    <w:rsid w:val="00B36055"/>
    <w:rsid w:val="00B40BB0"/>
    <w:rsid w:val="00B73B4B"/>
    <w:rsid w:val="00B955D8"/>
    <w:rsid w:val="00BB3395"/>
    <w:rsid w:val="00BB4147"/>
    <w:rsid w:val="00BB4C73"/>
    <w:rsid w:val="00BF53D2"/>
    <w:rsid w:val="00C0545D"/>
    <w:rsid w:val="00C20BCF"/>
    <w:rsid w:val="00C57283"/>
    <w:rsid w:val="00C6743F"/>
    <w:rsid w:val="00C74B79"/>
    <w:rsid w:val="00C83CC7"/>
    <w:rsid w:val="00C929C7"/>
    <w:rsid w:val="00C93CCE"/>
    <w:rsid w:val="00CB4E97"/>
    <w:rsid w:val="00CC203F"/>
    <w:rsid w:val="00CE392B"/>
    <w:rsid w:val="00CF5D95"/>
    <w:rsid w:val="00CF6E5F"/>
    <w:rsid w:val="00CF7A76"/>
    <w:rsid w:val="00D141C6"/>
    <w:rsid w:val="00D33D4C"/>
    <w:rsid w:val="00D462EE"/>
    <w:rsid w:val="00D51B65"/>
    <w:rsid w:val="00D52271"/>
    <w:rsid w:val="00D56D7F"/>
    <w:rsid w:val="00D57B4E"/>
    <w:rsid w:val="00D60C14"/>
    <w:rsid w:val="00D76F15"/>
    <w:rsid w:val="00D85B6E"/>
    <w:rsid w:val="00D87408"/>
    <w:rsid w:val="00D974DE"/>
    <w:rsid w:val="00DA3DE3"/>
    <w:rsid w:val="00DA5343"/>
    <w:rsid w:val="00DB0049"/>
    <w:rsid w:val="00DC394F"/>
    <w:rsid w:val="00DC4DF5"/>
    <w:rsid w:val="00DD184D"/>
    <w:rsid w:val="00DF01B6"/>
    <w:rsid w:val="00E055FB"/>
    <w:rsid w:val="00E25B38"/>
    <w:rsid w:val="00E33183"/>
    <w:rsid w:val="00E436AC"/>
    <w:rsid w:val="00E43F0F"/>
    <w:rsid w:val="00E45687"/>
    <w:rsid w:val="00E50446"/>
    <w:rsid w:val="00E622AA"/>
    <w:rsid w:val="00E63C8A"/>
    <w:rsid w:val="00E75D82"/>
    <w:rsid w:val="00E80367"/>
    <w:rsid w:val="00E87EA1"/>
    <w:rsid w:val="00EB3F90"/>
    <w:rsid w:val="00ED0B0B"/>
    <w:rsid w:val="00EF0399"/>
    <w:rsid w:val="00F03F74"/>
    <w:rsid w:val="00F04131"/>
    <w:rsid w:val="00F12EF2"/>
    <w:rsid w:val="00F21AE2"/>
    <w:rsid w:val="00F31098"/>
    <w:rsid w:val="00F44580"/>
    <w:rsid w:val="00F54B1D"/>
    <w:rsid w:val="00F61609"/>
    <w:rsid w:val="00F617CC"/>
    <w:rsid w:val="00F755CD"/>
    <w:rsid w:val="00F810EB"/>
    <w:rsid w:val="00F81493"/>
    <w:rsid w:val="00F91FC5"/>
    <w:rsid w:val="00F96436"/>
    <w:rsid w:val="00FB1D38"/>
    <w:rsid w:val="00FC3F54"/>
    <w:rsid w:val="00FC4FE3"/>
    <w:rsid w:val="00FC549E"/>
    <w:rsid w:val="00FD51EF"/>
    <w:rsid w:val="00FE515D"/>
    <w:rsid w:val="00FF0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0"/>
  <w15:chartTrackingRefBased/>
  <w15:docId w15:val="{BFBB493C-FD0B-4BAD-B6E4-1228FCC8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1">
    <w:name w:val="heading 1"/>
    <w:qFormat/>
    <w:pPr>
      <w:keepNext/>
      <w:keepLines/>
      <w:widowControl w:val="0"/>
      <w:spacing w:after="132"/>
      <w:ind w:left="456" w:right="-8" w:hanging="10"/>
      <w:outlineLvl w:val="0"/>
    </w:pPr>
    <w:rPr>
      <w:rFonts w:ascii="Times New Roman" w:eastAsia="Times New Roman" w:hAnsi="Times New Roman" w:hint="eastAsia"/>
      <w:b/>
      <w:color w:val="000000"/>
      <w:sz w:val="24"/>
      <w:lang w:val="en-GB" w:eastAsia="en-GB"/>
    </w:rPr>
  </w:style>
  <w:style w:type="paragraph" w:styleId="Heading2">
    <w:name w:val="heading 2"/>
    <w:basedOn w:val="Normal"/>
    <w:next w:val="Normal"/>
    <w:link w:val="Heading2Char"/>
    <w:qFormat/>
    <w:rsid w:val="00412ED5"/>
    <w:pPr>
      <w:keepNext/>
      <w:spacing w:before="240" w:after="60" w:line="259" w:lineRule="auto"/>
      <w:outlineLvl w:val="1"/>
    </w:pPr>
    <w:rPr>
      <w:rFonts w:ascii="Calibri Light" w:eastAsia="Times New Roman" w:hAnsi="Calibri Light"/>
      <w:b/>
      <w:bCs/>
      <w:i/>
      <w:iCs/>
      <w:sz w:val="28"/>
      <w:szCs w:val="28"/>
      <w:lang w:eastAsia="en-US"/>
    </w:rPr>
  </w:style>
  <w:style w:type="paragraph" w:styleId="Heading3">
    <w:name w:val="heading 3"/>
    <w:basedOn w:val="Normal"/>
    <w:next w:val="Normal"/>
    <w:link w:val="Heading3Char"/>
    <w:unhideWhenUsed/>
    <w:qFormat/>
    <w:rsid w:val="00412ED5"/>
    <w:pPr>
      <w:keepNext/>
      <w:spacing w:before="240" w:after="60" w:line="259" w:lineRule="auto"/>
      <w:outlineLvl w:val="2"/>
    </w:pPr>
    <w:rPr>
      <w:rFonts w:ascii="Calibri Light" w:eastAsia="Times New Roman" w:hAnsi="Calibri Light"/>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Pr>
      <w:rFonts w:eastAsia="Calibri" w:hint="eastAsia"/>
      <w:sz w:val="21"/>
      <w:lang w:val="en-GB" w:eastAsia="en-GB"/>
    </w:rPr>
  </w:style>
  <w:style w:type="character" w:styleId="Hyperlink">
    <w:name w:val="Hyperlink"/>
    <w:uiPriority w:val="99"/>
    <w:rPr>
      <w:rFonts w:ascii="Calibri" w:eastAsia="SimSun" w:hAnsi="Calibri" w:cs="Times New Roman"/>
      <w:color w:val="0563C1"/>
      <w:u w:val="single"/>
    </w:rPr>
  </w:style>
  <w:style w:type="paragraph" w:styleId="CommentText">
    <w:name w:val="annotation text"/>
    <w:basedOn w:val="Normal"/>
    <w:link w:val="CommentTextChar"/>
    <w:uiPriority w:val="99"/>
    <w:pPr>
      <w:spacing w:after="2" w:line="240" w:lineRule="auto"/>
      <w:ind w:left="456" w:right="-8" w:hanging="10"/>
      <w:jc w:val="both"/>
    </w:pPr>
    <w:rPr>
      <w:rFonts w:ascii="Times New Roman" w:eastAsia="Times New Roman" w:hAnsi="Times New Roman" w:hint="eastAsia"/>
      <w:color w:val="000000"/>
      <w:sz w:val="20"/>
      <w:szCs w:val="20"/>
    </w:rPr>
  </w:style>
  <w:style w:type="character" w:styleId="CommentReference">
    <w:name w:val="annotation reference"/>
    <w:rPr>
      <w:rFonts w:ascii="Calibri" w:eastAsia="SimSun" w:hAnsi="Calibri" w:cs="Times New Roman"/>
      <w:sz w:val="16"/>
      <w:szCs w:val="16"/>
    </w:rPr>
  </w:style>
  <w:style w:type="paragraph" w:styleId="BalloonText">
    <w:name w:val="Balloon Text"/>
    <w:basedOn w:val="Normal"/>
    <w:link w:val="BalloonTextChar"/>
    <w:uiPriority w:val="99"/>
    <w:rPr>
      <w:rFonts w:ascii="Tahoma" w:hAnsi="Tahoma" w:cs="Tahoma"/>
      <w:sz w:val="16"/>
      <w:szCs w:val="16"/>
    </w:rPr>
  </w:style>
  <w:style w:type="paragraph" w:styleId="DocumentMap">
    <w:name w:val="Document Map"/>
    <w:basedOn w:val="Normal"/>
    <w:pPr>
      <w:shd w:val="clear" w:color="auto" w:fill="000080"/>
    </w:pPr>
    <w:rPr>
      <w:rFonts w:ascii="Tahoma" w:hAnsi="Tahoma" w:cs="Tahoma"/>
      <w:sz w:val="20"/>
      <w:szCs w:val="20"/>
    </w:rPr>
  </w:style>
  <w:style w:type="paragraph" w:customStyle="1" w:styleId="Default">
    <w:name w:val="Default"/>
    <w:rsid w:val="00412ED5"/>
    <w:pPr>
      <w:autoSpaceDE w:val="0"/>
      <w:autoSpaceDN w:val="0"/>
      <w:adjustRightInd w:val="0"/>
    </w:pPr>
    <w:rPr>
      <w:rFonts w:ascii="Times New Roman" w:eastAsia="Calibri" w:hAnsi="Times New Roman"/>
      <w:color w:val="000000"/>
      <w:sz w:val="24"/>
      <w:szCs w:val="24"/>
      <w:lang w:val="en-GB"/>
    </w:rPr>
  </w:style>
  <w:style w:type="table" w:styleId="TableGrid">
    <w:name w:val="Table Grid"/>
    <w:basedOn w:val="TableNormal"/>
    <w:uiPriority w:val="59"/>
    <w:rsid w:val="00412ED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412ED5"/>
    <w:rPr>
      <w:rFonts w:ascii="Calibri Light" w:eastAsia="Times New Roman" w:hAnsi="Calibri Light" w:cs="Times New Roman"/>
      <w:b/>
      <w:bCs/>
      <w:i/>
      <w:iCs/>
      <w:sz w:val="28"/>
      <w:szCs w:val="28"/>
      <w:lang w:val="en-US" w:eastAsia="en-US"/>
    </w:rPr>
  </w:style>
  <w:style w:type="character" w:customStyle="1" w:styleId="Heading3Char">
    <w:name w:val="Heading 3 Char"/>
    <w:link w:val="Heading3"/>
    <w:rsid w:val="00412ED5"/>
    <w:rPr>
      <w:rFonts w:ascii="Calibri Light" w:eastAsia="Times New Roman" w:hAnsi="Calibri Light" w:cs="Times New Roman"/>
      <w:b/>
      <w:bCs/>
      <w:sz w:val="26"/>
      <w:szCs w:val="26"/>
      <w:lang w:val="en-US" w:eastAsia="en-US"/>
    </w:rPr>
  </w:style>
  <w:style w:type="paragraph" w:styleId="ListParagraph">
    <w:name w:val="List Paragraph"/>
    <w:basedOn w:val="Normal"/>
    <w:uiPriority w:val="34"/>
    <w:qFormat/>
    <w:rsid w:val="00412ED5"/>
    <w:pPr>
      <w:spacing w:after="160" w:line="259" w:lineRule="auto"/>
      <w:ind w:left="720"/>
    </w:pPr>
    <w:rPr>
      <w:rFonts w:eastAsia="Calibri"/>
      <w:sz w:val="21"/>
      <w:lang w:val="en-GB"/>
    </w:rPr>
  </w:style>
  <w:style w:type="character" w:customStyle="1" w:styleId="fontstyle01">
    <w:name w:val="fontstyle01"/>
    <w:rsid w:val="00412ED5"/>
    <w:rPr>
      <w:rFonts w:ascii="Times New Roman" w:hAnsi="Times New Roman" w:cs="Times New Roman" w:hint="default"/>
      <w:b w:val="0"/>
      <w:bCs w:val="0"/>
      <w:i w:val="0"/>
      <w:iCs w:val="0"/>
      <w:color w:val="000000"/>
      <w:sz w:val="18"/>
      <w:szCs w:val="18"/>
    </w:rPr>
  </w:style>
  <w:style w:type="character" w:customStyle="1" w:styleId="CommentTextChar">
    <w:name w:val="Comment Text Char"/>
    <w:link w:val="CommentText"/>
    <w:uiPriority w:val="99"/>
    <w:rsid w:val="00412ED5"/>
    <w:rPr>
      <w:rFonts w:ascii="Times New Roman" w:eastAsia="Times New Roman" w:hAnsi="Times New Roman"/>
      <w:color w:val="000000"/>
      <w:lang w:val="en-US" w:eastAsia="zh-CN"/>
    </w:rPr>
  </w:style>
  <w:style w:type="character" w:customStyle="1" w:styleId="BalloonTextChar">
    <w:name w:val="Balloon Text Char"/>
    <w:link w:val="BalloonText"/>
    <w:uiPriority w:val="99"/>
    <w:rsid w:val="00412ED5"/>
    <w:rPr>
      <w:rFonts w:ascii="Tahoma" w:hAnsi="Tahoma" w:cs="Tahoma"/>
      <w:sz w:val="16"/>
      <w:szCs w:val="16"/>
      <w:lang w:val="en-US" w:eastAsia="zh-CN"/>
    </w:rPr>
  </w:style>
  <w:style w:type="paragraph" w:styleId="Header">
    <w:name w:val="header"/>
    <w:basedOn w:val="Normal"/>
    <w:link w:val="HeaderChar"/>
    <w:uiPriority w:val="99"/>
    <w:unhideWhenUsed/>
    <w:rsid w:val="00412ED5"/>
    <w:pPr>
      <w:tabs>
        <w:tab w:val="center" w:pos="4513"/>
        <w:tab w:val="right" w:pos="9026"/>
      </w:tabs>
      <w:spacing w:after="0" w:line="240" w:lineRule="auto"/>
    </w:pPr>
    <w:rPr>
      <w:rFonts w:eastAsia="Calibri"/>
      <w:lang w:eastAsia="en-US"/>
    </w:rPr>
  </w:style>
  <w:style w:type="character" w:customStyle="1" w:styleId="HeaderChar">
    <w:name w:val="Header Char"/>
    <w:link w:val="Header"/>
    <w:uiPriority w:val="99"/>
    <w:rsid w:val="00412ED5"/>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412ED5"/>
    <w:pPr>
      <w:tabs>
        <w:tab w:val="center" w:pos="4513"/>
        <w:tab w:val="right" w:pos="9026"/>
      </w:tabs>
      <w:spacing w:after="0" w:line="240" w:lineRule="auto"/>
    </w:pPr>
    <w:rPr>
      <w:rFonts w:eastAsia="Calibri"/>
      <w:lang w:eastAsia="en-US"/>
    </w:rPr>
  </w:style>
  <w:style w:type="character" w:customStyle="1" w:styleId="FooterChar">
    <w:name w:val="Footer Char"/>
    <w:link w:val="Footer"/>
    <w:uiPriority w:val="99"/>
    <w:rsid w:val="00412ED5"/>
    <w:rPr>
      <w:rFonts w:ascii="Calibri" w:eastAsia="Calibri" w:hAnsi="Calibri" w:cs="Times New Roman"/>
      <w:sz w:val="22"/>
      <w:szCs w:val="22"/>
      <w:lang w:val="en-US" w:eastAsia="en-US"/>
    </w:rPr>
  </w:style>
  <w:style w:type="character" w:customStyle="1" w:styleId="UnresolvedMention">
    <w:name w:val="Unresolved Mention"/>
    <w:uiPriority w:val="99"/>
    <w:semiHidden/>
    <w:unhideWhenUsed/>
    <w:rsid w:val="00412ED5"/>
    <w:rPr>
      <w:rFonts w:ascii="Calibri" w:eastAsia="SimSun" w:hAnsi="Calibri"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ettings" Target="settings.xml"/><Relationship Id="rId21" Type="http://schemas.openxmlformats.org/officeDocument/2006/relationships/hyperlink" Target="https://doi.org/10.1007/s42452-019-0868-7" TargetMode="External"/><Relationship Id="rId7" Type="http://schemas.openxmlformats.org/officeDocument/2006/relationships/hyperlink" Target="mailto:mabubakar9194@gmail.com" TargetMode="Externa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hyperlink" Target="http://dx.doi.org/10.1016/j.cej.2012.12.0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hyperlink" Target="https://doi.org/10.1007/s10706-018-00760-6" TargetMode="External"/><Relationship Id="rId10" Type="http://schemas.openxmlformats.org/officeDocument/2006/relationships/chart" Target="charts/chart2.xml"/><Relationship Id="rId19" Type="http://schemas.openxmlformats.org/officeDocument/2006/relationships/hyperlink" Target="https://doi.org/10.1007/s42947-02%090290-y"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doi.org/10.1007/s42452-020-1974-2"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IGS\Desktop\M.%20ABUBAKAR%20RESULT.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oleObject" Target="file:///C:\Users\MY-PC\Desktop\THESIS\MA%201.xlsx"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MY-PC\Desktop\THESIS\MA%20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MY-PC\Desktop\THESIS\MA%20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Users\MY-PC\Desktop\THESIS\MA%201.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C:\Users\MY-PC\Desktop\THESIS\MA%201.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C:\Users\MY-PC\Desktop\THESIS\MA%201.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C:\Users\MY-PC\Desktop\THESIS\MA%201.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oleObject" Target="file:///C:\Users\MY-PC\Desktop\THESIS\MA%201.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oleObject" Target="file:///C:\Users\MY-PC\Desktop\THESIS\MA%201.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xVal>
            <c:numRef>
              <c:f>'Hydrometer &amp; S.A'!$B$39:$B$53</c:f>
              <c:numCache>
                <c:formatCode>General</c:formatCode>
                <c:ptCount val="15"/>
                <c:pt idx="0">
                  <c:v>2.8</c:v>
                </c:pt>
                <c:pt idx="1">
                  <c:v>1.4</c:v>
                </c:pt>
                <c:pt idx="2">
                  <c:v>0.71</c:v>
                </c:pt>
                <c:pt idx="3">
                  <c:v>0.42499999999999999</c:v>
                </c:pt>
                <c:pt idx="4">
                  <c:v>0.36</c:v>
                </c:pt>
                <c:pt idx="5">
                  <c:v>0.21199999999999999</c:v>
                </c:pt>
                <c:pt idx="6">
                  <c:v>0.15</c:v>
                </c:pt>
                <c:pt idx="7">
                  <c:v>7.4999999999999997E-2</c:v>
                </c:pt>
                <c:pt idx="8">
                  <c:v>2.2684851935450962E-2</c:v>
                </c:pt>
                <c:pt idx="9">
                  <c:v>1.773159836844947E-2</c:v>
                </c:pt>
                <c:pt idx="10">
                  <c:v>1.3402992372663153E-2</c:v>
                </c:pt>
                <c:pt idx="11">
                  <c:v>1.0000900850048459E-2</c:v>
                </c:pt>
                <c:pt idx="12">
                  <c:v>8.3712593868677989E-3</c:v>
                </c:pt>
                <c:pt idx="13">
                  <c:v>6.0331346689207373E-3</c:v>
                </c:pt>
                <c:pt idx="14">
                  <c:v>4.3450222096990225E-3</c:v>
                </c:pt>
              </c:numCache>
            </c:numRef>
          </c:xVal>
          <c:yVal>
            <c:numRef>
              <c:f>'Hydrometer &amp; S.A'!$C$39:$C$53</c:f>
              <c:numCache>
                <c:formatCode>General</c:formatCode>
                <c:ptCount val="15"/>
                <c:pt idx="0">
                  <c:v>95.7</c:v>
                </c:pt>
                <c:pt idx="1">
                  <c:v>95</c:v>
                </c:pt>
                <c:pt idx="2">
                  <c:v>83.45</c:v>
                </c:pt>
                <c:pt idx="3">
                  <c:v>79.8</c:v>
                </c:pt>
                <c:pt idx="4">
                  <c:v>76.7</c:v>
                </c:pt>
                <c:pt idx="5">
                  <c:v>72</c:v>
                </c:pt>
                <c:pt idx="6">
                  <c:v>67.900000000000006</c:v>
                </c:pt>
                <c:pt idx="7">
                  <c:v>58.05</c:v>
                </c:pt>
                <c:pt idx="8">
                  <c:v>25.392957746478874</c:v>
                </c:pt>
                <c:pt idx="9">
                  <c:v>19.428169014084506</c:v>
                </c:pt>
                <c:pt idx="10">
                  <c:v>14.741549295774648</c:v>
                </c:pt>
                <c:pt idx="11">
                  <c:v>10.480985915492958</c:v>
                </c:pt>
                <c:pt idx="12">
                  <c:v>8.3507042253521124</c:v>
                </c:pt>
                <c:pt idx="13">
                  <c:v>6.5464788729999999</c:v>
                </c:pt>
                <c:pt idx="14">
                  <c:v>5.0422535210000001</c:v>
                </c:pt>
              </c:numCache>
            </c:numRef>
          </c:yVal>
          <c:smooth val="1"/>
          <c:extLst xmlns:c16r2="http://schemas.microsoft.com/office/drawing/2015/06/chart">
            <c:ext xmlns:c16="http://schemas.microsoft.com/office/drawing/2014/chart" uri="{C3380CC4-5D6E-409C-BE32-E72D297353CC}">
              <c16:uniqueId val="{00000000-DA0F-4E8E-A9FB-0E92AD5B4B65}"/>
            </c:ext>
          </c:extLst>
        </c:ser>
        <c:dLbls>
          <c:showLegendKey val="0"/>
          <c:showVal val="0"/>
          <c:showCatName val="0"/>
          <c:showSerName val="0"/>
          <c:showPercent val="0"/>
          <c:showBubbleSize val="0"/>
        </c:dLbls>
        <c:axId val="817204648"/>
        <c:axId val="817206608"/>
      </c:scatterChart>
      <c:valAx>
        <c:axId val="817204648"/>
        <c:scaling>
          <c:logBase val="10"/>
          <c:orientation val="minMax"/>
          <c:max val="10"/>
          <c:min val="1.0000000000000022E-3"/>
        </c:scaling>
        <c:delete val="0"/>
        <c:axPos val="b"/>
        <c:majorGridlines/>
        <c:minorGridlines/>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Times New Roman" panose="02020603050405020304" pitchFamily="18" charset="0"/>
                    <a:cs typeface="Times New Roman" panose="02020603050405020304" pitchFamily="18" charset="0"/>
                  </a:rPr>
                  <a:t>Particle</a:t>
                </a:r>
                <a:r>
                  <a:rPr lang="en-US" sz="1200" baseline="0">
                    <a:latin typeface="Times New Roman" panose="02020603050405020304" pitchFamily="18" charset="0"/>
                    <a:cs typeface="Times New Roman" panose="02020603050405020304" pitchFamily="18" charset="0"/>
                  </a:rPr>
                  <a:t> Size (mm)</a:t>
                </a:r>
                <a:endParaRPr lang="en-US" sz="12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817206608"/>
        <c:crosses val="autoZero"/>
        <c:crossBetween val="midCat"/>
        <c:majorUnit val="10"/>
        <c:minorUnit val="10"/>
      </c:valAx>
      <c:valAx>
        <c:axId val="817206608"/>
        <c:scaling>
          <c:orientation val="minMax"/>
          <c:max val="100"/>
        </c:scaling>
        <c:delete val="0"/>
        <c:axPos val="l"/>
        <c:majorGridlines/>
        <c:minorGridlines/>
        <c:title>
          <c:tx>
            <c:rich>
              <a:bodyPr rot="-5400000" spcFirstLastPara="0" vertOverflow="ellipsis" vert="horz" wrap="square" anchor="ctr" anchorCtr="1"/>
              <a:lstStyle/>
              <a:p>
                <a:pPr>
                  <a:defRPr lang="en-US"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 Passing</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817204648"/>
        <c:crossesAt val="1.0000000000000022E-3"/>
        <c:crossBetween val="midCat"/>
        <c:majorUnit val="10"/>
      </c:valAx>
    </c:plotArea>
    <c:plotVisOnly val="1"/>
    <c:dispBlanksAs val="gap"/>
    <c:showDLblsOverMax val="0"/>
  </c:chart>
  <c:txPr>
    <a:bodyPr/>
    <a:lstStyle/>
    <a:p>
      <a:pPr>
        <a:defRPr lang="en-US"/>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0.00E+00 cells/ml</c:v>
          </c:tx>
          <c:spPr>
            <a:solidFill>
              <a:schemeClr val="accent1"/>
            </a:solidFill>
            <a:ln>
              <a:noFill/>
            </a:ln>
            <a:effectLst/>
          </c:spPr>
          <c:invertIfNegative val="0"/>
          <c:cat>
            <c:strRef>
              <c:f>Sheet2!$R$393:$AE$393</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Sheet2!$R$394:$AE$394</c:f>
              <c:numCache>
                <c:formatCode>General</c:formatCode>
                <c:ptCount val="14"/>
                <c:pt idx="0">
                  <c:v>17.899999999999999</c:v>
                </c:pt>
                <c:pt idx="1">
                  <c:v>17.7</c:v>
                </c:pt>
                <c:pt idx="2">
                  <c:v>17</c:v>
                </c:pt>
                <c:pt idx="3">
                  <c:v>16.8</c:v>
                </c:pt>
                <c:pt idx="5">
                  <c:v>18</c:v>
                </c:pt>
                <c:pt idx="6">
                  <c:v>18.399999999999999</c:v>
                </c:pt>
                <c:pt idx="7">
                  <c:v>18.7</c:v>
                </c:pt>
                <c:pt idx="8">
                  <c:v>18.8</c:v>
                </c:pt>
                <c:pt idx="10">
                  <c:v>18.8</c:v>
                </c:pt>
                <c:pt idx="11">
                  <c:v>19</c:v>
                </c:pt>
                <c:pt idx="12">
                  <c:v>19.2</c:v>
                </c:pt>
                <c:pt idx="13">
                  <c:v>19.5</c:v>
                </c:pt>
              </c:numCache>
            </c:numRef>
          </c:val>
          <c:extLst xmlns:c16r2="http://schemas.microsoft.com/office/drawing/2015/06/chart">
            <c:ext xmlns:c16="http://schemas.microsoft.com/office/drawing/2014/chart" uri="{C3380CC4-5D6E-409C-BE32-E72D297353CC}">
              <c16:uniqueId val="{00000000-4363-4F70-BDA8-A7866DBE28E5}"/>
            </c:ext>
          </c:extLst>
        </c:ser>
        <c:ser>
          <c:idx val="1"/>
          <c:order val="1"/>
          <c:tx>
            <c:v>1.50E+08 cells/ml</c:v>
          </c:tx>
          <c:spPr>
            <a:solidFill>
              <a:schemeClr val="accent2"/>
            </a:solidFill>
            <a:ln>
              <a:noFill/>
            </a:ln>
            <a:effectLst/>
          </c:spPr>
          <c:invertIfNegative val="0"/>
          <c:cat>
            <c:strRef>
              <c:f>Sheet2!$R$393:$AE$393</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Sheet2!$R$395:$AE$395</c:f>
              <c:numCache>
                <c:formatCode>General</c:formatCode>
                <c:ptCount val="14"/>
                <c:pt idx="0">
                  <c:v>17.399999999999999</c:v>
                </c:pt>
                <c:pt idx="1">
                  <c:v>17</c:v>
                </c:pt>
                <c:pt idx="2">
                  <c:v>16.399999999999999</c:v>
                </c:pt>
                <c:pt idx="3">
                  <c:v>16</c:v>
                </c:pt>
                <c:pt idx="5">
                  <c:v>17.399999999999999</c:v>
                </c:pt>
                <c:pt idx="6">
                  <c:v>17.600000000000001</c:v>
                </c:pt>
                <c:pt idx="7">
                  <c:v>17.899999999999999</c:v>
                </c:pt>
                <c:pt idx="8">
                  <c:v>17</c:v>
                </c:pt>
                <c:pt idx="10">
                  <c:v>18.2</c:v>
                </c:pt>
                <c:pt idx="11">
                  <c:v>18.399999999999999</c:v>
                </c:pt>
                <c:pt idx="12">
                  <c:v>18.7</c:v>
                </c:pt>
                <c:pt idx="13">
                  <c:v>18.5</c:v>
                </c:pt>
              </c:numCache>
            </c:numRef>
          </c:val>
          <c:extLst xmlns:c16r2="http://schemas.microsoft.com/office/drawing/2015/06/chart">
            <c:ext xmlns:c16="http://schemas.microsoft.com/office/drawing/2014/chart" uri="{C3380CC4-5D6E-409C-BE32-E72D297353CC}">
              <c16:uniqueId val="{00000001-4363-4F70-BDA8-A7866DBE28E5}"/>
            </c:ext>
          </c:extLst>
        </c:ser>
        <c:ser>
          <c:idx val="2"/>
          <c:order val="2"/>
          <c:tx>
            <c:v>6.00E+08 cells/ml</c:v>
          </c:tx>
          <c:spPr>
            <a:solidFill>
              <a:schemeClr val="accent3"/>
            </a:solidFill>
            <a:ln>
              <a:noFill/>
            </a:ln>
            <a:effectLst/>
          </c:spPr>
          <c:invertIfNegative val="0"/>
          <c:cat>
            <c:strRef>
              <c:f>Sheet2!$R$393:$AE$393</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Sheet2!$R$396:$AE$396</c:f>
              <c:numCache>
                <c:formatCode>General</c:formatCode>
                <c:ptCount val="14"/>
                <c:pt idx="0">
                  <c:v>17</c:v>
                </c:pt>
                <c:pt idx="1">
                  <c:v>16.899999999999999</c:v>
                </c:pt>
                <c:pt idx="2">
                  <c:v>16.100000000000001</c:v>
                </c:pt>
                <c:pt idx="3">
                  <c:v>15.9</c:v>
                </c:pt>
                <c:pt idx="5">
                  <c:v>17.100000000000001</c:v>
                </c:pt>
                <c:pt idx="6">
                  <c:v>17.3</c:v>
                </c:pt>
                <c:pt idx="7">
                  <c:v>17.600000000000001</c:v>
                </c:pt>
                <c:pt idx="8">
                  <c:v>17.8</c:v>
                </c:pt>
                <c:pt idx="10">
                  <c:v>17.7</c:v>
                </c:pt>
                <c:pt idx="11">
                  <c:v>18.100000000000001</c:v>
                </c:pt>
                <c:pt idx="12">
                  <c:v>18.2</c:v>
                </c:pt>
                <c:pt idx="13">
                  <c:v>17.2</c:v>
                </c:pt>
              </c:numCache>
            </c:numRef>
          </c:val>
          <c:extLst xmlns:c16r2="http://schemas.microsoft.com/office/drawing/2015/06/chart">
            <c:ext xmlns:c16="http://schemas.microsoft.com/office/drawing/2014/chart" uri="{C3380CC4-5D6E-409C-BE32-E72D297353CC}">
              <c16:uniqueId val="{00000002-4363-4F70-BDA8-A7866DBE28E5}"/>
            </c:ext>
          </c:extLst>
        </c:ser>
        <c:ser>
          <c:idx val="3"/>
          <c:order val="3"/>
          <c:tx>
            <c:v>1.20E+09 cells/ml</c:v>
          </c:tx>
          <c:spPr>
            <a:solidFill>
              <a:schemeClr val="accent4"/>
            </a:solidFill>
            <a:ln>
              <a:noFill/>
            </a:ln>
            <a:effectLst/>
          </c:spPr>
          <c:invertIfNegative val="0"/>
          <c:cat>
            <c:strRef>
              <c:f>Sheet2!$R$393:$AE$393</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Sheet2!$R$397:$AE$397</c:f>
              <c:numCache>
                <c:formatCode>General</c:formatCode>
                <c:ptCount val="14"/>
                <c:pt idx="0">
                  <c:v>10.3</c:v>
                </c:pt>
                <c:pt idx="1">
                  <c:v>9.6</c:v>
                </c:pt>
                <c:pt idx="2">
                  <c:v>9.5</c:v>
                </c:pt>
                <c:pt idx="3">
                  <c:v>7.5</c:v>
                </c:pt>
                <c:pt idx="5">
                  <c:v>17.600000000000001</c:v>
                </c:pt>
                <c:pt idx="6">
                  <c:v>17.899999999999999</c:v>
                </c:pt>
                <c:pt idx="7">
                  <c:v>18</c:v>
                </c:pt>
                <c:pt idx="8">
                  <c:v>18.399999999999999</c:v>
                </c:pt>
                <c:pt idx="10">
                  <c:v>18.3</c:v>
                </c:pt>
                <c:pt idx="11">
                  <c:v>18.600000000000001</c:v>
                </c:pt>
                <c:pt idx="12">
                  <c:v>18.7</c:v>
                </c:pt>
                <c:pt idx="13">
                  <c:v>17.399999999999999</c:v>
                </c:pt>
              </c:numCache>
            </c:numRef>
          </c:val>
          <c:extLst xmlns:c16r2="http://schemas.microsoft.com/office/drawing/2015/06/chart">
            <c:ext xmlns:c16="http://schemas.microsoft.com/office/drawing/2014/chart" uri="{C3380CC4-5D6E-409C-BE32-E72D297353CC}">
              <c16:uniqueId val="{00000003-4363-4F70-BDA8-A7866DBE28E5}"/>
            </c:ext>
          </c:extLst>
        </c:ser>
        <c:ser>
          <c:idx val="4"/>
          <c:order val="4"/>
          <c:tx>
            <c:v>1.80E+09 cells/ml</c:v>
          </c:tx>
          <c:spPr>
            <a:solidFill>
              <a:schemeClr val="accent5"/>
            </a:solidFill>
            <a:ln>
              <a:noFill/>
            </a:ln>
            <a:effectLst/>
          </c:spPr>
          <c:invertIfNegative val="0"/>
          <c:cat>
            <c:strRef>
              <c:f>Sheet2!$R$393:$AE$393</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Sheet2!$R$398:$AE$398</c:f>
              <c:numCache>
                <c:formatCode>General</c:formatCode>
                <c:ptCount val="14"/>
                <c:pt idx="0">
                  <c:v>9.6</c:v>
                </c:pt>
                <c:pt idx="1">
                  <c:v>10.5</c:v>
                </c:pt>
                <c:pt idx="2">
                  <c:v>10.7</c:v>
                </c:pt>
                <c:pt idx="3">
                  <c:v>8.4</c:v>
                </c:pt>
                <c:pt idx="5">
                  <c:v>18</c:v>
                </c:pt>
                <c:pt idx="6">
                  <c:v>18.399999999999999</c:v>
                </c:pt>
                <c:pt idx="7">
                  <c:v>18.600000000000001</c:v>
                </c:pt>
                <c:pt idx="8">
                  <c:v>18.899999999999999</c:v>
                </c:pt>
                <c:pt idx="10">
                  <c:v>18.7</c:v>
                </c:pt>
                <c:pt idx="11">
                  <c:v>19</c:v>
                </c:pt>
                <c:pt idx="12">
                  <c:v>19.2</c:v>
                </c:pt>
                <c:pt idx="13">
                  <c:v>19.399999999999999</c:v>
                </c:pt>
              </c:numCache>
            </c:numRef>
          </c:val>
          <c:extLst xmlns:c16r2="http://schemas.microsoft.com/office/drawing/2015/06/chart">
            <c:ext xmlns:c16="http://schemas.microsoft.com/office/drawing/2014/chart" uri="{C3380CC4-5D6E-409C-BE32-E72D297353CC}">
              <c16:uniqueId val="{00000004-4363-4F70-BDA8-A7866DBE28E5}"/>
            </c:ext>
          </c:extLst>
        </c:ser>
        <c:ser>
          <c:idx val="5"/>
          <c:order val="5"/>
          <c:tx>
            <c:v>2.40E+09 cells/ml</c:v>
          </c:tx>
          <c:spPr>
            <a:solidFill>
              <a:schemeClr val="accent6"/>
            </a:solidFill>
            <a:ln>
              <a:noFill/>
            </a:ln>
            <a:effectLst/>
          </c:spPr>
          <c:invertIfNegative val="0"/>
          <c:cat>
            <c:strRef>
              <c:f>Sheet2!$R$393:$AE$393</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Sheet2!$R$399:$AE$399</c:f>
              <c:numCache>
                <c:formatCode>General</c:formatCode>
                <c:ptCount val="14"/>
                <c:pt idx="0">
                  <c:v>9.4</c:v>
                </c:pt>
                <c:pt idx="1">
                  <c:v>9.6</c:v>
                </c:pt>
                <c:pt idx="2">
                  <c:v>8.8000000000000007</c:v>
                </c:pt>
                <c:pt idx="3">
                  <c:v>6.2</c:v>
                </c:pt>
                <c:pt idx="5">
                  <c:v>17.2</c:v>
                </c:pt>
                <c:pt idx="6">
                  <c:v>16.8</c:v>
                </c:pt>
                <c:pt idx="7">
                  <c:v>16.3</c:v>
                </c:pt>
                <c:pt idx="8">
                  <c:v>17</c:v>
                </c:pt>
                <c:pt idx="10">
                  <c:v>17.100000000000001</c:v>
                </c:pt>
                <c:pt idx="11">
                  <c:v>17.3</c:v>
                </c:pt>
                <c:pt idx="12">
                  <c:v>17.399999999999999</c:v>
                </c:pt>
                <c:pt idx="13">
                  <c:v>17.8</c:v>
                </c:pt>
              </c:numCache>
            </c:numRef>
          </c:val>
          <c:extLst xmlns:c16r2="http://schemas.microsoft.com/office/drawing/2015/06/chart">
            <c:ext xmlns:c16="http://schemas.microsoft.com/office/drawing/2014/chart" uri="{C3380CC4-5D6E-409C-BE32-E72D297353CC}">
              <c16:uniqueId val="{00000005-4363-4F70-BDA8-A7866DBE28E5}"/>
            </c:ext>
          </c:extLst>
        </c:ser>
        <c:dLbls>
          <c:showLegendKey val="0"/>
          <c:showVal val="0"/>
          <c:showCatName val="0"/>
          <c:showSerName val="0"/>
          <c:showPercent val="0"/>
          <c:showBubbleSize val="0"/>
        </c:dLbls>
        <c:gapWidth val="219"/>
        <c:overlap val="-27"/>
        <c:axId val="586204744"/>
        <c:axId val="586205136"/>
      </c:barChart>
      <c:catAx>
        <c:axId val="586204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Mixing	  Injection	                      Spraying</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6205136"/>
        <c:crosses val="autoZero"/>
        <c:auto val="1"/>
        <c:lblAlgn val="ctr"/>
        <c:lblOffset val="100"/>
        <c:noMultiLvlLbl val="0"/>
      </c:catAx>
      <c:valAx>
        <c:axId val="58620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Plasticity Index (%)</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62047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0.00E+00 cells/ml</c:v>
          </c:tx>
          <c:spPr>
            <a:solidFill>
              <a:schemeClr val="accent1"/>
            </a:solidFill>
            <a:ln>
              <a:noFill/>
            </a:ln>
            <a:effectLst/>
          </c:spPr>
          <c:invertIfNegative val="0"/>
          <c:cat>
            <c:strRef>
              <c:f>Sheet2!$S$252:$AF$252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Sheet2!$S$253:$AF$253</c:f>
              <c:numCache>
                <c:formatCode>General</c:formatCode>
                <c:ptCount val="14"/>
                <c:pt idx="0">
                  <c:v>39.6</c:v>
                </c:pt>
                <c:pt idx="1">
                  <c:v>39.200000000000003</c:v>
                </c:pt>
                <c:pt idx="2">
                  <c:v>38.700000000000003</c:v>
                </c:pt>
                <c:pt idx="3">
                  <c:v>38.1</c:v>
                </c:pt>
                <c:pt idx="5">
                  <c:v>40.6</c:v>
                </c:pt>
                <c:pt idx="6">
                  <c:v>40.1</c:v>
                </c:pt>
                <c:pt idx="7">
                  <c:v>39.200000000000003</c:v>
                </c:pt>
                <c:pt idx="8">
                  <c:v>37.700000000000003</c:v>
                </c:pt>
                <c:pt idx="10">
                  <c:v>43</c:v>
                </c:pt>
                <c:pt idx="11">
                  <c:v>42.8</c:v>
                </c:pt>
                <c:pt idx="12">
                  <c:v>42.2</c:v>
                </c:pt>
                <c:pt idx="13">
                  <c:v>41.4</c:v>
                </c:pt>
              </c:numCache>
            </c:numRef>
          </c:val>
          <c:extLst xmlns:c16r2="http://schemas.microsoft.com/office/drawing/2015/06/chart">
            <c:ext xmlns:c16="http://schemas.microsoft.com/office/drawing/2014/chart" uri="{C3380CC4-5D6E-409C-BE32-E72D297353CC}">
              <c16:uniqueId val="{00000000-12D4-423A-AD4A-98FDBDB9492A}"/>
            </c:ext>
          </c:extLst>
        </c:ser>
        <c:ser>
          <c:idx val="1"/>
          <c:order val="1"/>
          <c:tx>
            <c:v>1.50E+08 cells/ml</c:v>
          </c:tx>
          <c:spPr>
            <a:solidFill>
              <a:schemeClr val="accent2"/>
            </a:solidFill>
            <a:ln>
              <a:noFill/>
            </a:ln>
            <a:effectLst/>
          </c:spPr>
          <c:invertIfNegative val="0"/>
          <c:cat>
            <c:strRef>
              <c:f>Sheet2!$S$252:$AF$252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Sheet2!$S$254:$AF$254</c:f>
              <c:numCache>
                <c:formatCode>General</c:formatCode>
                <c:ptCount val="14"/>
                <c:pt idx="0">
                  <c:v>40.299999999999997</c:v>
                </c:pt>
                <c:pt idx="1">
                  <c:v>40</c:v>
                </c:pt>
                <c:pt idx="2">
                  <c:v>39</c:v>
                </c:pt>
                <c:pt idx="3">
                  <c:v>38.9</c:v>
                </c:pt>
                <c:pt idx="5">
                  <c:v>41.4</c:v>
                </c:pt>
                <c:pt idx="6">
                  <c:v>41.9</c:v>
                </c:pt>
                <c:pt idx="7">
                  <c:v>40.700000000000003</c:v>
                </c:pt>
                <c:pt idx="8">
                  <c:v>39.799999999999997</c:v>
                </c:pt>
                <c:pt idx="10">
                  <c:v>43.6</c:v>
                </c:pt>
                <c:pt idx="11">
                  <c:v>43</c:v>
                </c:pt>
                <c:pt idx="12">
                  <c:v>42.9</c:v>
                </c:pt>
                <c:pt idx="13">
                  <c:v>42</c:v>
                </c:pt>
              </c:numCache>
            </c:numRef>
          </c:val>
          <c:extLst xmlns:c16r2="http://schemas.microsoft.com/office/drawing/2015/06/chart">
            <c:ext xmlns:c16="http://schemas.microsoft.com/office/drawing/2014/chart" uri="{C3380CC4-5D6E-409C-BE32-E72D297353CC}">
              <c16:uniqueId val="{00000001-12D4-423A-AD4A-98FDBDB9492A}"/>
            </c:ext>
          </c:extLst>
        </c:ser>
        <c:ser>
          <c:idx val="2"/>
          <c:order val="2"/>
          <c:tx>
            <c:v>6.00E+08 cells/ml</c:v>
          </c:tx>
          <c:spPr>
            <a:solidFill>
              <a:schemeClr val="accent3"/>
            </a:solidFill>
            <a:ln>
              <a:noFill/>
            </a:ln>
            <a:effectLst/>
          </c:spPr>
          <c:invertIfNegative val="0"/>
          <c:cat>
            <c:strRef>
              <c:f>Sheet2!$S$252:$AF$252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Sheet2!$S$255:$AF$255</c:f>
              <c:numCache>
                <c:formatCode>General</c:formatCode>
                <c:ptCount val="14"/>
                <c:pt idx="0">
                  <c:v>41.1</c:v>
                </c:pt>
                <c:pt idx="1">
                  <c:v>40.6</c:v>
                </c:pt>
                <c:pt idx="2">
                  <c:v>39.6</c:v>
                </c:pt>
                <c:pt idx="3">
                  <c:v>39.6</c:v>
                </c:pt>
                <c:pt idx="5">
                  <c:v>41.9</c:v>
                </c:pt>
                <c:pt idx="6">
                  <c:v>42.3</c:v>
                </c:pt>
                <c:pt idx="7">
                  <c:v>41.4</c:v>
                </c:pt>
                <c:pt idx="8">
                  <c:v>40.200000000000003</c:v>
                </c:pt>
                <c:pt idx="10">
                  <c:v>44</c:v>
                </c:pt>
                <c:pt idx="11">
                  <c:v>43.7</c:v>
                </c:pt>
                <c:pt idx="12">
                  <c:v>43.4</c:v>
                </c:pt>
                <c:pt idx="13">
                  <c:v>42.8</c:v>
                </c:pt>
              </c:numCache>
            </c:numRef>
          </c:val>
          <c:extLst xmlns:c16r2="http://schemas.microsoft.com/office/drawing/2015/06/chart">
            <c:ext xmlns:c16="http://schemas.microsoft.com/office/drawing/2014/chart" uri="{C3380CC4-5D6E-409C-BE32-E72D297353CC}">
              <c16:uniqueId val="{00000002-12D4-423A-AD4A-98FDBDB9492A}"/>
            </c:ext>
          </c:extLst>
        </c:ser>
        <c:ser>
          <c:idx val="3"/>
          <c:order val="3"/>
          <c:tx>
            <c:v>1.20E+09 cells/ml</c:v>
          </c:tx>
          <c:spPr>
            <a:solidFill>
              <a:schemeClr val="accent4"/>
            </a:solidFill>
            <a:ln>
              <a:noFill/>
            </a:ln>
            <a:effectLst/>
          </c:spPr>
          <c:invertIfNegative val="0"/>
          <c:cat>
            <c:strRef>
              <c:f>Sheet2!$S$252:$AF$252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Sheet2!$S$256:$AF$256</c:f>
              <c:numCache>
                <c:formatCode>General</c:formatCode>
                <c:ptCount val="14"/>
                <c:pt idx="0">
                  <c:v>41.4</c:v>
                </c:pt>
                <c:pt idx="1">
                  <c:v>40.9</c:v>
                </c:pt>
                <c:pt idx="2">
                  <c:v>40</c:v>
                </c:pt>
                <c:pt idx="3">
                  <c:v>40.1</c:v>
                </c:pt>
                <c:pt idx="5">
                  <c:v>42.6</c:v>
                </c:pt>
                <c:pt idx="6">
                  <c:v>42.9</c:v>
                </c:pt>
                <c:pt idx="7">
                  <c:v>42</c:v>
                </c:pt>
                <c:pt idx="8">
                  <c:v>41.6</c:v>
                </c:pt>
                <c:pt idx="10">
                  <c:v>44.5</c:v>
                </c:pt>
                <c:pt idx="11">
                  <c:v>44</c:v>
                </c:pt>
                <c:pt idx="12">
                  <c:v>44</c:v>
                </c:pt>
                <c:pt idx="13">
                  <c:v>43.6</c:v>
                </c:pt>
              </c:numCache>
            </c:numRef>
          </c:val>
          <c:extLst xmlns:c16r2="http://schemas.microsoft.com/office/drawing/2015/06/chart">
            <c:ext xmlns:c16="http://schemas.microsoft.com/office/drawing/2014/chart" uri="{C3380CC4-5D6E-409C-BE32-E72D297353CC}">
              <c16:uniqueId val="{00000003-12D4-423A-AD4A-98FDBDB9492A}"/>
            </c:ext>
          </c:extLst>
        </c:ser>
        <c:ser>
          <c:idx val="4"/>
          <c:order val="4"/>
          <c:tx>
            <c:v>1.80E+09 cells/ml</c:v>
          </c:tx>
          <c:spPr>
            <a:solidFill>
              <a:schemeClr val="accent5"/>
            </a:solidFill>
            <a:ln>
              <a:noFill/>
            </a:ln>
            <a:effectLst/>
          </c:spPr>
          <c:invertIfNegative val="0"/>
          <c:cat>
            <c:strRef>
              <c:f>Sheet2!$S$252:$AF$252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Sheet2!$S$257:$AF$257</c:f>
              <c:numCache>
                <c:formatCode>General</c:formatCode>
                <c:ptCount val="14"/>
                <c:pt idx="0">
                  <c:v>40.299999999999997</c:v>
                </c:pt>
                <c:pt idx="1">
                  <c:v>40.299999999999997</c:v>
                </c:pt>
                <c:pt idx="2">
                  <c:v>39</c:v>
                </c:pt>
                <c:pt idx="3">
                  <c:v>38.9</c:v>
                </c:pt>
                <c:pt idx="5">
                  <c:v>40.9</c:v>
                </c:pt>
                <c:pt idx="6">
                  <c:v>41</c:v>
                </c:pt>
                <c:pt idx="7">
                  <c:v>40.6</c:v>
                </c:pt>
                <c:pt idx="8">
                  <c:v>40</c:v>
                </c:pt>
                <c:pt idx="10">
                  <c:v>41.6</c:v>
                </c:pt>
                <c:pt idx="11">
                  <c:v>41</c:v>
                </c:pt>
                <c:pt idx="12">
                  <c:v>40.6</c:v>
                </c:pt>
                <c:pt idx="13">
                  <c:v>40</c:v>
                </c:pt>
              </c:numCache>
            </c:numRef>
          </c:val>
          <c:extLst xmlns:c16r2="http://schemas.microsoft.com/office/drawing/2015/06/chart">
            <c:ext xmlns:c16="http://schemas.microsoft.com/office/drawing/2014/chart" uri="{C3380CC4-5D6E-409C-BE32-E72D297353CC}">
              <c16:uniqueId val="{00000004-12D4-423A-AD4A-98FDBDB9492A}"/>
            </c:ext>
          </c:extLst>
        </c:ser>
        <c:ser>
          <c:idx val="5"/>
          <c:order val="5"/>
          <c:tx>
            <c:v>2.40E+09 cells/ml</c:v>
          </c:tx>
          <c:spPr>
            <a:solidFill>
              <a:schemeClr val="accent6"/>
            </a:solidFill>
            <a:ln>
              <a:noFill/>
            </a:ln>
            <a:effectLst/>
          </c:spPr>
          <c:invertIfNegative val="0"/>
          <c:cat>
            <c:strRef>
              <c:f>Sheet2!$S$252:$AF$252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Sheet2!$S$258:$AF$258</c:f>
              <c:numCache>
                <c:formatCode>General</c:formatCode>
                <c:ptCount val="14"/>
                <c:pt idx="0">
                  <c:v>39.9</c:v>
                </c:pt>
                <c:pt idx="1">
                  <c:v>40</c:v>
                </c:pt>
                <c:pt idx="2">
                  <c:v>38.4</c:v>
                </c:pt>
                <c:pt idx="3">
                  <c:v>38.1</c:v>
                </c:pt>
                <c:pt idx="5">
                  <c:v>39.700000000000003</c:v>
                </c:pt>
                <c:pt idx="6">
                  <c:v>39.9</c:v>
                </c:pt>
                <c:pt idx="7">
                  <c:v>40</c:v>
                </c:pt>
                <c:pt idx="8">
                  <c:v>39.299999999999997</c:v>
                </c:pt>
                <c:pt idx="10">
                  <c:v>40</c:v>
                </c:pt>
                <c:pt idx="11">
                  <c:v>39.799999999999997</c:v>
                </c:pt>
                <c:pt idx="12">
                  <c:v>39.5</c:v>
                </c:pt>
                <c:pt idx="13">
                  <c:v>39</c:v>
                </c:pt>
              </c:numCache>
            </c:numRef>
          </c:val>
          <c:extLst xmlns:c16r2="http://schemas.microsoft.com/office/drawing/2015/06/chart">
            <c:ext xmlns:c16="http://schemas.microsoft.com/office/drawing/2014/chart" uri="{C3380CC4-5D6E-409C-BE32-E72D297353CC}">
              <c16:uniqueId val="{00000005-12D4-423A-AD4A-98FDBDB9492A}"/>
            </c:ext>
          </c:extLst>
        </c:ser>
        <c:dLbls>
          <c:showLegendKey val="0"/>
          <c:showVal val="0"/>
          <c:showCatName val="0"/>
          <c:showSerName val="0"/>
          <c:showPercent val="0"/>
          <c:showBubbleSize val="0"/>
        </c:dLbls>
        <c:gapWidth val="219"/>
        <c:overlap val="-27"/>
        <c:axId val="817202296"/>
        <c:axId val="817211312"/>
      </c:barChart>
      <c:catAx>
        <c:axId val="817202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Mixing		Injection	  	Spraying</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11312"/>
        <c:crosses val="autoZero"/>
        <c:auto val="1"/>
        <c:lblAlgn val="ctr"/>
        <c:lblOffset val="100"/>
        <c:noMultiLvlLbl val="0"/>
      </c:catAx>
      <c:valAx>
        <c:axId val="817211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800" b="0" i="0" baseline="0">
                    <a:effectLst/>
                  </a:rPr>
                  <a:t>Liquid Limit (%)</a:t>
                </a:r>
                <a:endParaRPr lang="en-GB">
                  <a:effectLst/>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022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0.00E+00 cells/ml</c:v>
          </c:tx>
          <c:spPr>
            <a:solidFill>
              <a:schemeClr val="accent1"/>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Sheet2!$S$237:$AF$237</c:f>
              <c:numCache>
                <c:formatCode>General</c:formatCode>
                <c:ptCount val="14"/>
                <c:pt idx="0">
                  <c:v>38.700000000000003</c:v>
                </c:pt>
                <c:pt idx="1">
                  <c:v>38.200000000000003</c:v>
                </c:pt>
                <c:pt idx="2">
                  <c:v>38</c:v>
                </c:pt>
                <c:pt idx="3">
                  <c:v>37.5</c:v>
                </c:pt>
                <c:pt idx="5">
                  <c:v>39.200000000000003</c:v>
                </c:pt>
                <c:pt idx="6">
                  <c:v>40.799999999999997</c:v>
                </c:pt>
                <c:pt idx="7">
                  <c:v>38.700000000000003</c:v>
                </c:pt>
                <c:pt idx="8">
                  <c:v>38.1</c:v>
                </c:pt>
                <c:pt idx="10">
                  <c:v>42.6</c:v>
                </c:pt>
                <c:pt idx="11">
                  <c:v>42</c:v>
                </c:pt>
                <c:pt idx="12">
                  <c:v>41.2</c:v>
                </c:pt>
                <c:pt idx="13">
                  <c:v>40</c:v>
                </c:pt>
              </c:numCache>
            </c:numRef>
          </c:val>
          <c:extLst xmlns:c16r2="http://schemas.microsoft.com/office/drawing/2015/06/chart">
            <c:ext xmlns:c16="http://schemas.microsoft.com/office/drawing/2014/chart" uri="{C3380CC4-5D6E-409C-BE32-E72D297353CC}">
              <c16:uniqueId val="{00000000-35F5-4CE6-8CF3-DDDE47FF9E84}"/>
            </c:ext>
          </c:extLst>
        </c:ser>
        <c:ser>
          <c:idx val="1"/>
          <c:order val="1"/>
          <c:tx>
            <c:v>1.50E+08 cells/ml</c:v>
          </c:tx>
          <c:spPr>
            <a:solidFill>
              <a:schemeClr val="accent2"/>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Sheet2!$S$238:$AF$238</c:f>
              <c:numCache>
                <c:formatCode>General</c:formatCode>
                <c:ptCount val="14"/>
                <c:pt idx="0">
                  <c:v>38.9</c:v>
                </c:pt>
                <c:pt idx="1">
                  <c:v>38.6</c:v>
                </c:pt>
                <c:pt idx="2">
                  <c:v>38.4</c:v>
                </c:pt>
                <c:pt idx="3">
                  <c:v>38.1</c:v>
                </c:pt>
                <c:pt idx="5">
                  <c:v>42.3</c:v>
                </c:pt>
                <c:pt idx="6">
                  <c:v>41.8</c:v>
                </c:pt>
                <c:pt idx="7">
                  <c:v>41</c:v>
                </c:pt>
                <c:pt idx="8">
                  <c:v>40.5</c:v>
                </c:pt>
                <c:pt idx="10">
                  <c:v>43.1</c:v>
                </c:pt>
                <c:pt idx="11">
                  <c:v>42.8</c:v>
                </c:pt>
                <c:pt idx="12">
                  <c:v>42</c:v>
                </c:pt>
                <c:pt idx="13">
                  <c:v>41.2</c:v>
                </c:pt>
              </c:numCache>
            </c:numRef>
          </c:val>
          <c:extLst xmlns:c16r2="http://schemas.microsoft.com/office/drawing/2015/06/chart">
            <c:ext xmlns:c16="http://schemas.microsoft.com/office/drawing/2014/chart" uri="{C3380CC4-5D6E-409C-BE32-E72D297353CC}">
              <c16:uniqueId val="{00000001-35F5-4CE6-8CF3-DDDE47FF9E84}"/>
            </c:ext>
          </c:extLst>
        </c:ser>
        <c:ser>
          <c:idx val="2"/>
          <c:order val="2"/>
          <c:tx>
            <c:v>6.00E+08 cells/ml</c:v>
          </c:tx>
          <c:spPr>
            <a:solidFill>
              <a:schemeClr val="accent3"/>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Sheet2!$S$239:$AF$239</c:f>
              <c:numCache>
                <c:formatCode>General</c:formatCode>
                <c:ptCount val="14"/>
                <c:pt idx="0">
                  <c:v>39.299999999999997</c:v>
                </c:pt>
                <c:pt idx="1">
                  <c:v>38.700000000000003</c:v>
                </c:pt>
                <c:pt idx="2">
                  <c:v>38.799999999999997</c:v>
                </c:pt>
                <c:pt idx="3">
                  <c:v>38.299999999999997</c:v>
                </c:pt>
                <c:pt idx="5">
                  <c:v>42.9</c:v>
                </c:pt>
                <c:pt idx="6">
                  <c:v>42.7</c:v>
                </c:pt>
                <c:pt idx="7">
                  <c:v>41.7</c:v>
                </c:pt>
                <c:pt idx="8">
                  <c:v>41.2</c:v>
                </c:pt>
                <c:pt idx="10">
                  <c:v>43.4</c:v>
                </c:pt>
                <c:pt idx="11">
                  <c:v>43.1</c:v>
                </c:pt>
                <c:pt idx="12">
                  <c:v>42.9</c:v>
                </c:pt>
                <c:pt idx="13">
                  <c:v>42</c:v>
                </c:pt>
              </c:numCache>
            </c:numRef>
          </c:val>
          <c:extLst xmlns:c16r2="http://schemas.microsoft.com/office/drawing/2015/06/chart">
            <c:ext xmlns:c16="http://schemas.microsoft.com/office/drawing/2014/chart" uri="{C3380CC4-5D6E-409C-BE32-E72D297353CC}">
              <c16:uniqueId val="{00000002-35F5-4CE6-8CF3-DDDE47FF9E84}"/>
            </c:ext>
          </c:extLst>
        </c:ser>
        <c:ser>
          <c:idx val="3"/>
          <c:order val="3"/>
          <c:tx>
            <c:v>1.20E+09 cells/ml</c:v>
          </c:tx>
          <c:spPr>
            <a:solidFill>
              <a:schemeClr val="accent4"/>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Sheet2!$S$240:$AF$240</c:f>
              <c:numCache>
                <c:formatCode>General</c:formatCode>
                <c:ptCount val="14"/>
                <c:pt idx="0">
                  <c:v>38.9</c:v>
                </c:pt>
                <c:pt idx="1">
                  <c:v>38</c:v>
                </c:pt>
                <c:pt idx="2">
                  <c:v>37.799999999999997</c:v>
                </c:pt>
                <c:pt idx="3">
                  <c:v>36.799999999999997</c:v>
                </c:pt>
                <c:pt idx="5">
                  <c:v>43</c:v>
                </c:pt>
                <c:pt idx="6">
                  <c:v>42.9</c:v>
                </c:pt>
                <c:pt idx="7">
                  <c:v>42.4</c:v>
                </c:pt>
                <c:pt idx="8">
                  <c:v>42</c:v>
                </c:pt>
                <c:pt idx="10">
                  <c:v>43.9</c:v>
                </c:pt>
                <c:pt idx="11">
                  <c:v>44</c:v>
                </c:pt>
                <c:pt idx="12">
                  <c:v>43.2</c:v>
                </c:pt>
                <c:pt idx="13">
                  <c:v>42.8</c:v>
                </c:pt>
              </c:numCache>
            </c:numRef>
          </c:val>
          <c:extLst xmlns:c16r2="http://schemas.microsoft.com/office/drawing/2015/06/chart">
            <c:ext xmlns:c16="http://schemas.microsoft.com/office/drawing/2014/chart" uri="{C3380CC4-5D6E-409C-BE32-E72D297353CC}">
              <c16:uniqueId val="{00000003-35F5-4CE6-8CF3-DDDE47FF9E84}"/>
            </c:ext>
          </c:extLst>
        </c:ser>
        <c:ser>
          <c:idx val="4"/>
          <c:order val="4"/>
          <c:tx>
            <c:v>1.80E+09 cells/ml</c:v>
          </c:tx>
          <c:spPr>
            <a:solidFill>
              <a:schemeClr val="accent5"/>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Sheet2!$S$241:$AF$241</c:f>
              <c:numCache>
                <c:formatCode>General</c:formatCode>
                <c:ptCount val="14"/>
                <c:pt idx="0">
                  <c:v>38.6</c:v>
                </c:pt>
                <c:pt idx="1">
                  <c:v>37.4</c:v>
                </c:pt>
                <c:pt idx="2">
                  <c:v>36.6</c:v>
                </c:pt>
                <c:pt idx="3">
                  <c:v>36</c:v>
                </c:pt>
                <c:pt idx="5">
                  <c:v>39.700000000000003</c:v>
                </c:pt>
                <c:pt idx="6">
                  <c:v>40.1</c:v>
                </c:pt>
                <c:pt idx="7">
                  <c:v>39.799999999999997</c:v>
                </c:pt>
                <c:pt idx="8">
                  <c:v>38.799999999999997</c:v>
                </c:pt>
                <c:pt idx="10">
                  <c:v>41.2</c:v>
                </c:pt>
                <c:pt idx="11">
                  <c:v>40.799999999999997</c:v>
                </c:pt>
                <c:pt idx="12">
                  <c:v>40</c:v>
                </c:pt>
                <c:pt idx="13">
                  <c:v>39.799999999999997</c:v>
                </c:pt>
              </c:numCache>
            </c:numRef>
          </c:val>
          <c:extLst xmlns:c16r2="http://schemas.microsoft.com/office/drawing/2015/06/chart">
            <c:ext xmlns:c16="http://schemas.microsoft.com/office/drawing/2014/chart" uri="{C3380CC4-5D6E-409C-BE32-E72D297353CC}">
              <c16:uniqueId val="{00000004-35F5-4CE6-8CF3-DDDE47FF9E84}"/>
            </c:ext>
          </c:extLst>
        </c:ser>
        <c:ser>
          <c:idx val="5"/>
          <c:order val="5"/>
          <c:tx>
            <c:v>2.40E+09 cells/ml</c:v>
          </c:tx>
          <c:spPr>
            <a:solidFill>
              <a:schemeClr val="accent6"/>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Sheet2!$S$242:$AF$242</c:f>
              <c:numCache>
                <c:formatCode>General</c:formatCode>
                <c:ptCount val="14"/>
                <c:pt idx="0">
                  <c:v>37.200000000000003</c:v>
                </c:pt>
                <c:pt idx="1">
                  <c:v>36</c:v>
                </c:pt>
                <c:pt idx="2">
                  <c:v>36</c:v>
                </c:pt>
                <c:pt idx="3">
                  <c:v>35.5</c:v>
                </c:pt>
                <c:pt idx="5">
                  <c:v>38.4</c:v>
                </c:pt>
                <c:pt idx="6">
                  <c:v>37.5</c:v>
                </c:pt>
                <c:pt idx="7">
                  <c:v>37.1</c:v>
                </c:pt>
                <c:pt idx="8">
                  <c:v>37</c:v>
                </c:pt>
                <c:pt idx="10">
                  <c:v>40.799999999999997</c:v>
                </c:pt>
                <c:pt idx="11">
                  <c:v>40.200000000000003</c:v>
                </c:pt>
                <c:pt idx="12">
                  <c:v>39.5</c:v>
                </c:pt>
                <c:pt idx="13">
                  <c:v>37.4</c:v>
                </c:pt>
              </c:numCache>
            </c:numRef>
          </c:val>
          <c:extLst xmlns:c16r2="http://schemas.microsoft.com/office/drawing/2015/06/chart">
            <c:ext xmlns:c16="http://schemas.microsoft.com/office/drawing/2014/chart" uri="{C3380CC4-5D6E-409C-BE32-E72D297353CC}">
              <c16:uniqueId val="{00000005-35F5-4CE6-8CF3-DDDE47FF9E84}"/>
            </c:ext>
          </c:extLst>
        </c:ser>
        <c:dLbls>
          <c:showLegendKey val="0"/>
          <c:showVal val="0"/>
          <c:showCatName val="0"/>
          <c:showSerName val="0"/>
          <c:showPercent val="0"/>
          <c:showBubbleSize val="0"/>
        </c:dLbls>
        <c:gapWidth val="219"/>
        <c:overlap val="-27"/>
        <c:axId val="817208176"/>
        <c:axId val="817207392"/>
      </c:barChart>
      <c:catAx>
        <c:axId val="817208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Mixing		Injection	  	Spraying</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07392"/>
        <c:crosses val="autoZero"/>
        <c:auto val="1"/>
        <c:lblAlgn val="ctr"/>
        <c:lblOffset val="100"/>
        <c:noMultiLvlLbl val="0"/>
      </c:catAx>
      <c:valAx>
        <c:axId val="81720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Liquid Limit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081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0.00E+00 cells/ml</c:v>
          </c:tx>
          <c:spPr>
            <a:solidFill>
              <a:schemeClr val="accent1"/>
            </a:solidFill>
            <a:ln>
              <a:noFill/>
            </a:ln>
            <a:effectLst/>
          </c:spPr>
          <c:invertIfNegative val="0"/>
          <c:cat>
            <c:strRef>
              <c:f>Sheet2!$S$270:$AF$270</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Sheet2!$S$271:$AF$271</c:f>
              <c:numCache>
                <c:formatCode>General</c:formatCode>
                <c:ptCount val="14"/>
                <c:pt idx="0">
                  <c:v>40.299999999999997</c:v>
                </c:pt>
                <c:pt idx="1">
                  <c:v>39.799999999999997</c:v>
                </c:pt>
                <c:pt idx="2">
                  <c:v>39.700000000000003</c:v>
                </c:pt>
                <c:pt idx="3">
                  <c:v>38.700000000000003</c:v>
                </c:pt>
                <c:pt idx="5">
                  <c:v>41.2</c:v>
                </c:pt>
                <c:pt idx="6">
                  <c:v>40.799999999999997</c:v>
                </c:pt>
                <c:pt idx="7">
                  <c:v>40.6</c:v>
                </c:pt>
                <c:pt idx="8">
                  <c:v>39.9</c:v>
                </c:pt>
                <c:pt idx="10">
                  <c:v>44.5</c:v>
                </c:pt>
                <c:pt idx="11">
                  <c:v>44</c:v>
                </c:pt>
                <c:pt idx="12">
                  <c:v>43.8</c:v>
                </c:pt>
                <c:pt idx="13">
                  <c:v>43.5</c:v>
                </c:pt>
              </c:numCache>
            </c:numRef>
          </c:val>
          <c:extLst xmlns:c16r2="http://schemas.microsoft.com/office/drawing/2015/06/chart">
            <c:ext xmlns:c16="http://schemas.microsoft.com/office/drawing/2014/chart" uri="{C3380CC4-5D6E-409C-BE32-E72D297353CC}">
              <c16:uniqueId val="{00000000-C405-4F55-B1D5-9C3B6908680D}"/>
            </c:ext>
          </c:extLst>
        </c:ser>
        <c:ser>
          <c:idx val="1"/>
          <c:order val="1"/>
          <c:tx>
            <c:v>1.50E+08 cells/ml</c:v>
          </c:tx>
          <c:spPr>
            <a:solidFill>
              <a:schemeClr val="accent2"/>
            </a:solidFill>
            <a:ln>
              <a:noFill/>
            </a:ln>
            <a:effectLst/>
          </c:spPr>
          <c:invertIfNegative val="0"/>
          <c:cat>
            <c:strRef>
              <c:f>Sheet2!$S$270:$AF$270</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Sheet2!$S$272:$AF$272</c:f>
              <c:numCache>
                <c:formatCode>General</c:formatCode>
                <c:ptCount val="14"/>
                <c:pt idx="0">
                  <c:v>39.700000000000003</c:v>
                </c:pt>
                <c:pt idx="1">
                  <c:v>39.4</c:v>
                </c:pt>
                <c:pt idx="2">
                  <c:v>39.200000000000003</c:v>
                </c:pt>
                <c:pt idx="3">
                  <c:v>38.200000000000003</c:v>
                </c:pt>
                <c:pt idx="5">
                  <c:v>40.200000000000003</c:v>
                </c:pt>
                <c:pt idx="6">
                  <c:v>41.3</c:v>
                </c:pt>
                <c:pt idx="7">
                  <c:v>41</c:v>
                </c:pt>
                <c:pt idx="8">
                  <c:v>40</c:v>
                </c:pt>
                <c:pt idx="10">
                  <c:v>45.5</c:v>
                </c:pt>
                <c:pt idx="11">
                  <c:v>44.8</c:v>
                </c:pt>
                <c:pt idx="12">
                  <c:v>44.3</c:v>
                </c:pt>
                <c:pt idx="13">
                  <c:v>44</c:v>
                </c:pt>
              </c:numCache>
            </c:numRef>
          </c:val>
          <c:extLst xmlns:c16r2="http://schemas.microsoft.com/office/drawing/2015/06/chart">
            <c:ext xmlns:c16="http://schemas.microsoft.com/office/drawing/2014/chart" uri="{C3380CC4-5D6E-409C-BE32-E72D297353CC}">
              <c16:uniqueId val="{00000001-C405-4F55-B1D5-9C3B6908680D}"/>
            </c:ext>
          </c:extLst>
        </c:ser>
        <c:ser>
          <c:idx val="2"/>
          <c:order val="2"/>
          <c:tx>
            <c:v>6.00E+08 cells/ml</c:v>
          </c:tx>
          <c:spPr>
            <a:solidFill>
              <a:schemeClr val="accent3"/>
            </a:solidFill>
            <a:ln>
              <a:noFill/>
            </a:ln>
            <a:effectLst/>
          </c:spPr>
          <c:invertIfNegative val="0"/>
          <c:cat>
            <c:strRef>
              <c:f>Sheet2!$S$270:$AF$270</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Sheet2!$S$273:$AF$273</c:f>
              <c:numCache>
                <c:formatCode>General</c:formatCode>
                <c:ptCount val="14"/>
                <c:pt idx="0">
                  <c:v>39.200000000000003</c:v>
                </c:pt>
                <c:pt idx="1">
                  <c:v>38.9</c:v>
                </c:pt>
                <c:pt idx="2">
                  <c:v>38.9</c:v>
                </c:pt>
                <c:pt idx="3">
                  <c:v>37.5</c:v>
                </c:pt>
                <c:pt idx="5">
                  <c:v>41.6</c:v>
                </c:pt>
                <c:pt idx="6">
                  <c:v>41.8</c:v>
                </c:pt>
                <c:pt idx="7">
                  <c:v>41.4</c:v>
                </c:pt>
                <c:pt idx="8">
                  <c:v>41</c:v>
                </c:pt>
                <c:pt idx="10">
                  <c:v>45.8</c:v>
                </c:pt>
                <c:pt idx="11">
                  <c:v>45.1</c:v>
                </c:pt>
                <c:pt idx="12">
                  <c:v>44.9</c:v>
                </c:pt>
                <c:pt idx="13">
                  <c:v>45.1</c:v>
                </c:pt>
              </c:numCache>
            </c:numRef>
          </c:val>
          <c:extLst xmlns:c16r2="http://schemas.microsoft.com/office/drawing/2015/06/chart">
            <c:ext xmlns:c16="http://schemas.microsoft.com/office/drawing/2014/chart" uri="{C3380CC4-5D6E-409C-BE32-E72D297353CC}">
              <c16:uniqueId val="{00000002-C405-4F55-B1D5-9C3B6908680D}"/>
            </c:ext>
          </c:extLst>
        </c:ser>
        <c:ser>
          <c:idx val="3"/>
          <c:order val="3"/>
          <c:tx>
            <c:v>1.20E+09 cells/ml</c:v>
          </c:tx>
          <c:spPr>
            <a:solidFill>
              <a:schemeClr val="accent4"/>
            </a:solidFill>
            <a:ln>
              <a:noFill/>
            </a:ln>
            <a:effectLst/>
          </c:spPr>
          <c:invertIfNegative val="0"/>
          <c:cat>
            <c:strRef>
              <c:f>Sheet2!$S$270:$AF$270</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Sheet2!$S$274:$AF$274</c:f>
              <c:numCache>
                <c:formatCode>General</c:formatCode>
                <c:ptCount val="14"/>
                <c:pt idx="0">
                  <c:v>31.6</c:v>
                </c:pt>
                <c:pt idx="1">
                  <c:v>30.3</c:v>
                </c:pt>
                <c:pt idx="2">
                  <c:v>30.6</c:v>
                </c:pt>
                <c:pt idx="3">
                  <c:v>27.8</c:v>
                </c:pt>
                <c:pt idx="5">
                  <c:v>42</c:v>
                </c:pt>
                <c:pt idx="6">
                  <c:v>42</c:v>
                </c:pt>
                <c:pt idx="7">
                  <c:v>41.9</c:v>
                </c:pt>
                <c:pt idx="8">
                  <c:v>42</c:v>
                </c:pt>
                <c:pt idx="10">
                  <c:v>46</c:v>
                </c:pt>
                <c:pt idx="11">
                  <c:v>45.8</c:v>
                </c:pt>
                <c:pt idx="12">
                  <c:v>45.8</c:v>
                </c:pt>
                <c:pt idx="13">
                  <c:v>45.8</c:v>
                </c:pt>
              </c:numCache>
            </c:numRef>
          </c:val>
          <c:extLst xmlns:c16r2="http://schemas.microsoft.com/office/drawing/2015/06/chart">
            <c:ext xmlns:c16="http://schemas.microsoft.com/office/drawing/2014/chart" uri="{C3380CC4-5D6E-409C-BE32-E72D297353CC}">
              <c16:uniqueId val="{00000003-C405-4F55-B1D5-9C3B6908680D}"/>
            </c:ext>
          </c:extLst>
        </c:ser>
        <c:ser>
          <c:idx val="4"/>
          <c:order val="4"/>
          <c:tx>
            <c:v>1.80E+09 cells/ml</c:v>
          </c:tx>
          <c:spPr>
            <a:solidFill>
              <a:schemeClr val="accent5"/>
            </a:solidFill>
            <a:ln>
              <a:noFill/>
            </a:ln>
            <a:effectLst/>
          </c:spPr>
          <c:invertIfNegative val="0"/>
          <c:cat>
            <c:strRef>
              <c:f>Sheet2!$S$270:$AF$270</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Sheet2!$S$275:$AF$275</c:f>
              <c:numCache>
                <c:formatCode>General</c:formatCode>
                <c:ptCount val="14"/>
                <c:pt idx="0">
                  <c:v>30.4</c:v>
                </c:pt>
                <c:pt idx="1">
                  <c:v>30</c:v>
                </c:pt>
                <c:pt idx="2">
                  <c:v>30.1</c:v>
                </c:pt>
                <c:pt idx="3">
                  <c:v>27.4</c:v>
                </c:pt>
                <c:pt idx="5">
                  <c:v>40.1</c:v>
                </c:pt>
                <c:pt idx="6">
                  <c:v>40</c:v>
                </c:pt>
                <c:pt idx="7">
                  <c:v>39.700000000000003</c:v>
                </c:pt>
                <c:pt idx="8">
                  <c:v>38.200000000000003</c:v>
                </c:pt>
                <c:pt idx="10">
                  <c:v>42</c:v>
                </c:pt>
                <c:pt idx="11">
                  <c:v>41.8</c:v>
                </c:pt>
                <c:pt idx="12">
                  <c:v>41.3</c:v>
                </c:pt>
                <c:pt idx="13">
                  <c:v>40.6</c:v>
                </c:pt>
              </c:numCache>
            </c:numRef>
          </c:val>
          <c:extLst xmlns:c16r2="http://schemas.microsoft.com/office/drawing/2015/06/chart">
            <c:ext xmlns:c16="http://schemas.microsoft.com/office/drawing/2014/chart" uri="{C3380CC4-5D6E-409C-BE32-E72D297353CC}">
              <c16:uniqueId val="{00000004-C405-4F55-B1D5-9C3B6908680D}"/>
            </c:ext>
          </c:extLst>
        </c:ser>
        <c:ser>
          <c:idx val="5"/>
          <c:order val="5"/>
          <c:tx>
            <c:v>2.40E+09 cells/ml</c:v>
          </c:tx>
          <c:spPr>
            <a:solidFill>
              <a:schemeClr val="accent6"/>
            </a:solidFill>
            <a:ln>
              <a:noFill/>
            </a:ln>
            <a:effectLst/>
          </c:spPr>
          <c:invertIfNegative val="0"/>
          <c:cat>
            <c:strRef>
              <c:f>Sheet2!$S$270:$AF$270</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Sheet2!$S$276:$AF$276</c:f>
              <c:numCache>
                <c:formatCode>General</c:formatCode>
                <c:ptCount val="14"/>
                <c:pt idx="0">
                  <c:v>30.3</c:v>
                </c:pt>
                <c:pt idx="1">
                  <c:v>29.4</c:v>
                </c:pt>
                <c:pt idx="2">
                  <c:v>29.2</c:v>
                </c:pt>
                <c:pt idx="3">
                  <c:v>27.1</c:v>
                </c:pt>
                <c:pt idx="5">
                  <c:v>39.4</c:v>
                </c:pt>
                <c:pt idx="6">
                  <c:v>39</c:v>
                </c:pt>
                <c:pt idx="7">
                  <c:v>38.700000000000003</c:v>
                </c:pt>
                <c:pt idx="8">
                  <c:v>37.4</c:v>
                </c:pt>
                <c:pt idx="10">
                  <c:v>41.5</c:v>
                </c:pt>
                <c:pt idx="11">
                  <c:v>40</c:v>
                </c:pt>
                <c:pt idx="12">
                  <c:v>38.9</c:v>
                </c:pt>
                <c:pt idx="13">
                  <c:v>38.9</c:v>
                </c:pt>
              </c:numCache>
            </c:numRef>
          </c:val>
          <c:extLst xmlns:c16r2="http://schemas.microsoft.com/office/drawing/2015/06/chart">
            <c:ext xmlns:c16="http://schemas.microsoft.com/office/drawing/2014/chart" uri="{C3380CC4-5D6E-409C-BE32-E72D297353CC}">
              <c16:uniqueId val="{00000005-C405-4F55-B1D5-9C3B6908680D}"/>
            </c:ext>
          </c:extLst>
        </c:ser>
        <c:dLbls>
          <c:showLegendKey val="0"/>
          <c:showVal val="0"/>
          <c:showCatName val="0"/>
          <c:showSerName val="0"/>
          <c:showPercent val="0"/>
          <c:showBubbleSize val="0"/>
        </c:dLbls>
        <c:gapWidth val="219"/>
        <c:overlap val="-27"/>
        <c:axId val="817203864"/>
        <c:axId val="817210920"/>
      </c:barChart>
      <c:catAx>
        <c:axId val="817203864"/>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Mixing		Injection		  Spraying</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crossAx val="817210920"/>
        <c:crosses val="autoZero"/>
        <c:auto val="1"/>
        <c:lblAlgn val="ctr"/>
        <c:lblOffset val="100"/>
        <c:noMultiLvlLbl val="0"/>
      </c:catAx>
      <c:valAx>
        <c:axId val="817210920"/>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800" b="0" i="0" baseline="0">
                    <a:effectLst/>
                  </a:rPr>
                  <a:t>Liquid Limit (%)</a:t>
                </a:r>
                <a:endParaRPr lang="en-GB">
                  <a:effectLst/>
                </a:endParaRPr>
              </a:p>
            </c:rich>
          </c:tx>
          <c:overlay val="0"/>
          <c:spPr>
            <a:noFill/>
            <a:ln>
              <a:noFill/>
            </a:ln>
            <a:effectLst/>
          </c:spPr>
        </c:title>
        <c:numFmt formatCode="General" sourceLinked="1"/>
        <c:majorTickMark val="none"/>
        <c:minorTickMark val="none"/>
        <c:tickLblPos val="nextTo"/>
        <c:crossAx val="8172038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0.00E+00 cells/ml</c:v>
          </c:tx>
          <c:spPr>
            <a:solidFill>
              <a:schemeClr val="accent1"/>
            </a:solidFill>
            <a:ln>
              <a:noFill/>
            </a:ln>
            <a:effectLst/>
          </c:spPr>
          <c:invertIfNegative val="0"/>
          <c:cat>
            <c:strRef>
              <c:f>Sheet2!$S$308:$AF$308</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Sheet2!$S$309:$AF$309</c:f>
              <c:numCache>
                <c:formatCode>General</c:formatCode>
                <c:ptCount val="14"/>
                <c:pt idx="0">
                  <c:v>21.6</c:v>
                </c:pt>
                <c:pt idx="1">
                  <c:v>21.3</c:v>
                </c:pt>
                <c:pt idx="2">
                  <c:v>21</c:v>
                </c:pt>
                <c:pt idx="3">
                  <c:v>20.6</c:v>
                </c:pt>
                <c:pt idx="5">
                  <c:v>22.4</c:v>
                </c:pt>
                <c:pt idx="6">
                  <c:v>21.7</c:v>
                </c:pt>
                <c:pt idx="7">
                  <c:v>20.5</c:v>
                </c:pt>
                <c:pt idx="8">
                  <c:v>19.8</c:v>
                </c:pt>
                <c:pt idx="10">
                  <c:v>24</c:v>
                </c:pt>
                <c:pt idx="11">
                  <c:v>23.5</c:v>
                </c:pt>
                <c:pt idx="12">
                  <c:v>22.7</c:v>
                </c:pt>
                <c:pt idx="13">
                  <c:v>21.6</c:v>
                </c:pt>
              </c:numCache>
            </c:numRef>
          </c:val>
          <c:extLst xmlns:c16r2="http://schemas.microsoft.com/office/drawing/2015/06/chart">
            <c:ext xmlns:c16="http://schemas.microsoft.com/office/drawing/2014/chart" uri="{C3380CC4-5D6E-409C-BE32-E72D297353CC}">
              <c16:uniqueId val="{00000000-64AF-430C-8227-3B5AA9DA8B5A}"/>
            </c:ext>
          </c:extLst>
        </c:ser>
        <c:ser>
          <c:idx val="1"/>
          <c:order val="1"/>
          <c:tx>
            <c:v>1.50E+08 cells/ml</c:v>
          </c:tx>
          <c:spPr>
            <a:solidFill>
              <a:schemeClr val="accent2"/>
            </a:solidFill>
            <a:ln>
              <a:noFill/>
            </a:ln>
            <a:effectLst/>
          </c:spPr>
          <c:invertIfNegative val="0"/>
          <c:cat>
            <c:strRef>
              <c:f>Sheet2!$S$308:$AF$308</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Sheet2!$S$310:$AF$310</c:f>
              <c:numCache>
                <c:formatCode>General</c:formatCode>
                <c:ptCount val="14"/>
                <c:pt idx="0">
                  <c:v>21</c:v>
                </c:pt>
                <c:pt idx="1">
                  <c:v>20.6</c:v>
                </c:pt>
                <c:pt idx="2">
                  <c:v>20.399999999999999</c:v>
                </c:pt>
                <c:pt idx="3">
                  <c:v>20.100000000000001</c:v>
                </c:pt>
                <c:pt idx="5">
                  <c:v>22.6</c:v>
                </c:pt>
                <c:pt idx="6">
                  <c:v>23</c:v>
                </c:pt>
                <c:pt idx="7">
                  <c:v>21.7</c:v>
                </c:pt>
                <c:pt idx="8">
                  <c:v>20.6</c:v>
                </c:pt>
                <c:pt idx="10">
                  <c:v>24.1</c:v>
                </c:pt>
                <c:pt idx="11">
                  <c:v>23.2</c:v>
                </c:pt>
                <c:pt idx="12">
                  <c:v>22.9</c:v>
                </c:pt>
                <c:pt idx="13">
                  <c:v>21.5</c:v>
                </c:pt>
              </c:numCache>
            </c:numRef>
          </c:val>
          <c:extLst xmlns:c16r2="http://schemas.microsoft.com/office/drawing/2015/06/chart">
            <c:ext xmlns:c16="http://schemas.microsoft.com/office/drawing/2014/chart" uri="{C3380CC4-5D6E-409C-BE32-E72D297353CC}">
              <c16:uniqueId val="{00000001-64AF-430C-8227-3B5AA9DA8B5A}"/>
            </c:ext>
          </c:extLst>
        </c:ser>
        <c:ser>
          <c:idx val="2"/>
          <c:order val="2"/>
          <c:tx>
            <c:v>6.00E+08 cells/ml</c:v>
          </c:tx>
          <c:spPr>
            <a:solidFill>
              <a:schemeClr val="accent3"/>
            </a:solidFill>
            <a:ln>
              <a:noFill/>
            </a:ln>
            <a:effectLst/>
          </c:spPr>
          <c:invertIfNegative val="0"/>
          <c:cat>
            <c:strRef>
              <c:f>Sheet2!$S$308:$AF$308</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Sheet2!$S$311:$AF$311</c:f>
              <c:numCache>
                <c:formatCode>General</c:formatCode>
                <c:ptCount val="14"/>
                <c:pt idx="0">
                  <c:v>20.5</c:v>
                </c:pt>
                <c:pt idx="1">
                  <c:v>20</c:v>
                </c:pt>
                <c:pt idx="2">
                  <c:v>19.7</c:v>
                </c:pt>
                <c:pt idx="3">
                  <c:v>19.100000000000001</c:v>
                </c:pt>
                <c:pt idx="5">
                  <c:v>22.3</c:v>
                </c:pt>
                <c:pt idx="6">
                  <c:v>22.9</c:v>
                </c:pt>
                <c:pt idx="7">
                  <c:v>21.8</c:v>
                </c:pt>
                <c:pt idx="8">
                  <c:v>20.399999999999999</c:v>
                </c:pt>
                <c:pt idx="10">
                  <c:v>23.9</c:v>
                </c:pt>
                <c:pt idx="11">
                  <c:v>23.3</c:v>
                </c:pt>
                <c:pt idx="12">
                  <c:v>22.9</c:v>
                </c:pt>
                <c:pt idx="13">
                  <c:v>21.9</c:v>
                </c:pt>
              </c:numCache>
            </c:numRef>
          </c:val>
          <c:extLst xmlns:c16r2="http://schemas.microsoft.com/office/drawing/2015/06/chart">
            <c:ext xmlns:c16="http://schemas.microsoft.com/office/drawing/2014/chart" uri="{C3380CC4-5D6E-409C-BE32-E72D297353CC}">
              <c16:uniqueId val="{00000002-64AF-430C-8227-3B5AA9DA8B5A}"/>
            </c:ext>
          </c:extLst>
        </c:ser>
        <c:ser>
          <c:idx val="3"/>
          <c:order val="3"/>
          <c:tx>
            <c:v>1.20E+09 cells/ml</c:v>
          </c:tx>
          <c:spPr>
            <a:solidFill>
              <a:schemeClr val="accent4"/>
            </a:solidFill>
            <a:ln>
              <a:noFill/>
            </a:ln>
            <a:effectLst/>
          </c:spPr>
          <c:invertIfNegative val="0"/>
          <c:cat>
            <c:strRef>
              <c:f>Sheet2!$S$308:$AF$308</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Sheet2!$S$312:$AF$312</c:f>
              <c:numCache>
                <c:formatCode>General</c:formatCode>
                <c:ptCount val="14"/>
                <c:pt idx="0">
                  <c:v>20.399999999999999</c:v>
                </c:pt>
                <c:pt idx="1">
                  <c:v>19.8</c:v>
                </c:pt>
                <c:pt idx="2">
                  <c:v>17.2</c:v>
                </c:pt>
                <c:pt idx="3">
                  <c:v>17</c:v>
                </c:pt>
                <c:pt idx="5">
                  <c:v>22.6</c:v>
                </c:pt>
                <c:pt idx="6">
                  <c:v>22.7</c:v>
                </c:pt>
                <c:pt idx="7">
                  <c:v>21.4</c:v>
                </c:pt>
                <c:pt idx="8">
                  <c:v>20.7</c:v>
                </c:pt>
                <c:pt idx="10">
                  <c:v>23.5</c:v>
                </c:pt>
                <c:pt idx="11">
                  <c:v>22.5</c:v>
                </c:pt>
                <c:pt idx="12">
                  <c:v>22.6</c:v>
                </c:pt>
                <c:pt idx="13">
                  <c:v>22.3</c:v>
                </c:pt>
              </c:numCache>
            </c:numRef>
          </c:val>
          <c:extLst xmlns:c16r2="http://schemas.microsoft.com/office/drawing/2015/06/chart">
            <c:ext xmlns:c16="http://schemas.microsoft.com/office/drawing/2014/chart" uri="{C3380CC4-5D6E-409C-BE32-E72D297353CC}">
              <c16:uniqueId val="{00000003-64AF-430C-8227-3B5AA9DA8B5A}"/>
            </c:ext>
          </c:extLst>
        </c:ser>
        <c:ser>
          <c:idx val="4"/>
          <c:order val="4"/>
          <c:tx>
            <c:v>1.80E+09 cells/ml</c:v>
          </c:tx>
          <c:spPr>
            <a:solidFill>
              <a:schemeClr val="accent5"/>
            </a:solidFill>
            <a:ln>
              <a:noFill/>
            </a:ln>
            <a:effectLst/>
          </c:spPr>
          <c:invertIfNegative val="0"/>
          <c:cat>
            <c:strRef>
              <c:f>Sheet2!$S$308:$AF$308</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Sheet2!$S$313:$AF$313</c:f>
              <c:numCache>
                <c:formatCode>General</c:formatCode>
                <c:ptCount val="14"/>
                <c:pt idx="0">
                  <c:v>20.6</c:v>
                </c:pt>
                <c:pt idx="1">
                  <c:v>20.100000000000001</c:v>
                </c:pt>
                <c:pt idx="2">
                  <c:v>16.3</c:v>
                </c:pt>
                <c:pt idx="3">
                  <c:v>16.100000000000001</c:v>
                </c:pt>
                <c:pt idx="5">
                  <c:v>20.7</c:v>
                </c:pt>
                <c:pt idx="6">
                  <c:v>20.399999999999999</c:v>
                </c:pt>
                <c:pt idx="7">
                  <c:v>19.7</c:v>
                </c:pt>
                <c:pt idx="8">
                  <c:v>18.8</c:v>
                </c:pt>
                <c:pt idx="10">
                  <c:v>20.399999999999999</c:v>
                </c:pt>
                <c:pt idx="11">
                  <c:v>19.2</c:v>
                </c:pt>
                <c:pt idx="12">
                  <c:v>19</c:v>
                </c:pt>
                <c:pt idx="13">
                  <c:v>18.3</c:v>
                </c:pt>
              </c:numCache>
            </c:numRef>
          </c:val>
          <c:extLst xmlns:c16r2="http://schemas.microsoft.com/office/drawing/2015/06/chart">
            <c:ext xmlns:c16="http://schemas.microsoft.com/office/drawing/2014/chart" uri="{C3380CC4-5D6E-409C-BE32-E72D297353CC}">
              <c16:uniqueId val="{00000004-64AF-430C-8227-3B5AA9DA8B5A}"/>
            </c:ext>
          </c:extLst>
        </c:ser>
        <c:ser>
          <c:idx val="5"/>
          <c:order val="5"/>
          <c:tx>
            <c:v>2.40E+09 cells/ml</c:v>
          </c:tx>
          <c:spPr>
            <a:solidFill>
              <a:schemeClr val="accent6"/>
            </a:solidFill>
            <a:ln>
              <a:noFill/>
            </a:ln>
            <a:effectLst/>
          </c:spPr>
          <c:invertIfNegative val="0"/>
          <c:cat>
            <c:strRef>
              <c:f>Sheet2!$S$308:$AF$308</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Sheet2!$S$314:$AF$314</c:f>
              <c:numCache>
                <c:formatCode>General</c:formatCode>
                <c:ptCount val="14"/>
                <c:pt idx="0">
                  <c:v>16</c:v>
                </c:pt>
                <c:pt idx="1">
                  <c:v>14.1</c:v>
                </c:pt>
                <c:pt idx="2">
                  <c:v>14.3</c:v>
                </c:pt>
                <c:pt idx="3">
                  <c:v>14.1</c:v>
                </c:pt>
                <c:pt idx="5">
                  <c:v>16.2</c:v>
                </c:pt>
                <c:pt idx="6">
                  <c:v>16</c:v>
                </c:pt>
                <c:pt idx="7">
                  <c:v>15.6</c:v>
                </c:pt>
                <c:pt idx="8">
                  <c:v>14.5</c:v>
                </c:pt>
                <c:pt idx="10">
                  <c:v>19.100000000000001</c:v>
                </c:pt>
                <c:pt idx="11">
                  <c:v>14.8</c:v>
                </c:pt>
                <c:pt idx="12">
                  <c:v>14.4</c:v>
                </c:pt>
                <c:pt idx="13">
                  <c:v>13.7</c:v>
                </c:pt>
              </c:numCache>
            </c:numRef>
          </c:val>
          <c:extLst xmlns:c16r2="http://schemas.microsoft.com/office/drawing/2015/06/chart">
            <c:ext xmlns:c16="http://schemas.microsoft.com/office/drawing/2014/chart" uri="{C3380CC4-5D6E-409C-BE32-E72D297353CC}">
              <c16:uniqueId val="{00000005-64AF-430C-8227-3B5AA9DA8B5A}"/>
            </c:ext>
          </c:extLst>
        </c:ser>
        <c:dLbls>
          <c:showLegendKey val="0"/>
          <c:showVal val="0"/>
          <c:showCatName val="0"/>
          <c:showSerName val="0"/>
          <c:showPercent val="0"/>
          <c:showBubbleSize val="0"/>
        </c:dLbls>
        <c:gapWidth val="219"/>
        <c:overlap val="-27"/>
        <c:axId val="817201904"/>
        <c:axId val="817202688"/>
      </c:barChart>
      <c:catAx>
        <c:axId val="817201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Mixing		Injection	 	 Spraying</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02688"/>
        <c:crosses val="autoZero"/>
        <c:auto val="1"/>
        <c:lblAlgn val="ctr"/>
        <c:lblOffset val="100"/>
        <c:noMultiLvlLbl val="0"/>
      </c:catAx>
      <c:valAx>
        <c:axId val="817202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Plastic Limit (%)</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019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0.00E+00 cells/ml</c:v>
          </c:tx>
          <c:spPr>
            <a:solidFill>
              <a:schemeClr val="accent1"/>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Sheet2!$S$237:$AF$237</c:f>
              <c:numCache>
                <c:formatCode>General</c:formatCode>
                <c:ptCount val="14"/>
                <c:pt idx="0">
                  <c:v>38.700000000000003</c:v>
                </c:pt>
                <c:pt idx="1">
                  <c:v>38.200000000000003</c:v>
                </c:pt>
                <c:pt idx="2">
                  <c:v>38</c:v>
                </c:pt>
                <c:pt idx="3">
                  <c:v>37.5</c:v>
                </c:pt>
                <c:pt idx="5">
                  <c:v>39.200000000000003</c:v>
                </c:pt>
                <c:pt idx="6">
                  <c:v>40.799999999999997</c:v>
                </c:pt>
                <c:pt idx="7">
                  <c:v>38.700000000000003</c:v>
                </c:pt>
                <c:pt idx="8">
                  <c:v>38.1</c:v>
                </c:pt>
                <c:pt idx="10">
                  <c:v>42.6</c:v>
                </c:pt>
                <c:pt idx="11">
                  <c:v>42</c:v>
                </c:pt>
                <c:pt idx="12">
                  <c:v>41.2</c:v>
                </c:pt>
                <c:pt idx="13">
                  <c:v>40</c:v>
                </c:pt>
              </c:numCache>
            </c:numRef>
          </c:val>
          <c:extLst xmlns:c16r2="http://schemas.microsoft.com/office/drawing/2015/06/chart">
            <c:ext xmlns:c16="http://schemas.microsoft.com/office/drawing/2014/chart" uri="{C3380CC4-5D6E-409C-BE32-E72D297353CC}">
              <c16:uniqueId val="{00000000-35F5-4CE6-8CF3-DDDE47FF9E84}"/>
            </c:ext>
          </c:extLst>
        </c:ser>
        <c:ser>
          <c:idx val="1"/>
          <c:order val="1"/>
          <c:tx>
            <c:v>1.50E+08 cells/ml</c:v>
          </c:tx>
          <c:spPr>
            <a:solidFill>
              <a:schemeClr val="accent2"/>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Sheet2!$S$238:$AF$238</c:f>
              <c:numCache>
                <c:formatCode>General</c:formatCode>
                <c:ptCount val="14"/>
                <c:pt idx="0">
                  <c:v>38.9</c:v>
                </c:pt>
                <c:pt idx="1">
                  <c:v>38.6</c:v>
                </c:pt>
                <c:pt idx="2">
                  <c:v>38.4</c:v>
                </c:pt>
                <c:pt idx="3">
                  <c:v>38.1</c:v>
                </c:pt>
                <c:pt idx="5">
                  <c:v>42.3</c:v>
                </c:pt>
                <c:pt idx="6">
                  <c:v>41.8</c:v>
                </c:pt>
                <c:pt idx="7">
                  <c:v>41</c:v>
                </c:pt>
                <c:pt idx="8">
                  <c:v>40.5</c:v>
                </c:pt>
                <c:pt idx="10">
                  <c:v>43.1</c:v>
                </c:pt>
                <c:pt idx="11">
                  <c:v>42.8</c:v>
                </c:pt>
                <c:pt idx="12">
                  <c:v>42</c:v>
                </c:pt>
                <c:pt idx="13">
                  <c:v>41.2</c:v>
                </c:pt>
              </c:numCache>
            </c:numRef>
          </c:val>
          <c:extLst xmlns:c16r2="http://schemas.microsoft.com/office/drawing/2015/06/chart">
            <c:ext xmlns:c16="http://schemas.microsoft.com/office/drawing/2014/chart" uri="{C3380CC4-5D6E-409C-BE32-E72D297353CC}">
              <c16:uniqueId val="{00000001-35F5-4CE6-8CF3-DDDE47FF9E84}"/>
            </c:ext>
          </c:extLst>
        </c:ser>
        <c:ser>
          <c:idx val="2"/>
          <c:order val="2"/>
          <c:tx>
            <c:v>6.00E+08 cells/ml</c:v>
          </c:tx>
          <c:spPr>
            <a:solidFill>
              <a:schemeClr val="accent3"/>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Sheet2!$S$239:$AF$239</c:f>
              <c:numCache>
                <c:formatCode>General</c:formatCode>
                <c:ptCount val="14"/>
                <c:pt idx="0">
                  <c:v>39.299999999999997</c:v>
                </c:pt>
                <c:pt idx="1">
                  <c:v>38.700000000000003</c:v>
                </c:pt>
                <c:pt idx="2">
                  <c:v>38.799999999999997</c:v>
                </c:pt>
                <c:pt idx="3">
                  <c:v>38.299999999999997</c:v>
                </c:pt>
                <c:pt idx="5">
                  <c:v>42.9</c:v>
                </c:pt>
                <c:pt idx="6">
                  <c:v>42.7</c:v>
                </c:pt>
                <c:pt idx="7">
                  <c:v>41.7</c:v>
                </c:pt>
                <c:pt idx="8">
                  <c:v>41.2</c:v>
                </c:pt>
                <c:pt idx="10">
                  <c:v>43.4</c:v>
                </c:pt>
                <c:pt idx="11">
                  <c:v>43.1</c:v>
                </c:pt>
                <c:pt idx="12">
                  <c:v>42.9</c:v>
                </c:pt>
                <c:pt idx="13">
                  <c:v>42</c:v>
                </c:pt>
              </c:numCache>
            </c:numRef>
          </c:val>
          <c:extLst xmlns:c16r2="http://schemas.microsoft.com/office/drawing/2015/06/chart">
            <c:ext xmlns:c16="http://schemas.microsoft.com/office/drawing/2014/chart" uri="{C3380CC4-5D6E-409C-BE32-E72D297353CC}">
              <c16:uniqueId val="{00000002-35F5-4CE6-8CF3-DDDE47FF9E84}"/>
            </c:ext>
          </c:extLst>
        </c:ser>
        <c:ser>
          <c:idx val="3"/>
          <c:order val="3"/>
          <c:tx>
            <c:v>1.20E+09 cells/ml</c:v>
          </c:tx>
          <c:spPr>
            <a:solidFill>
              <a:schemeClr val="accent4"/>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Sheet2!$S$240:$AF$240</c:f>
              <c:numCache>
                <c:formatCode>General</c:formatCode>
                <c:ptCount val="14"/>
                <c:pt idx="0">
                  <c:v>38.9</c:v>
                </c:pt>
                <c:pt idx="1">
                  <c:v>38</c:v>
                </c:pt>
                <c:pt idx="2">
                  <c:v>37.799999999999997</c:v>
                </c:pt>
                <c:pt idx="3">
                  <c:v>36.799999999999997</c:v>
                </c:pt>
                <c:pt idx="5">
                  <c:v>43</c:v>
                </c:pt>
                <c:pt idx="6">
                  <c:v>42.9</c:v>
                </c:pt>
                <c:pt idx="7">
                  <c:v>42.4</c:v>
                </c:pt>
                <c:pt idx="8">
                  <c:v>42</c:v>
                </c:pt>
                <c:pt idx="10">
                  <c:v>43.9</c:v>
                </c:pt>
                <c:pt idx="11">
                  <c:v>44</c:v>
                </c:pt>
                <c:pt idx="12">
                  <c:v>43.2</c:v>
                </c:pt>
                <c:pt idx="13">
                  <c:v>42.8</c:v>
                </c:pt>
              </c:numCache>
            </c:numRef>
          </c:val>
          <c:extLst xmlns:c16r2="http://schemas.microsoft.com/office/drawing/2015/06/chart">
            <c:ext xmlns:c16="http://schemas.microsoft.com/office/drawing/2014/chart" uri="{C3380CC4-5D6E-409C-BE32-E72D297353CC}">
              <c16:uniqueId val="{00000003-35F5-4CE6-8CF3-DDDE47FF9E84}"/>
            </c:ext>
          </c:extLst>
        </c:ser>
        <c:ser>
          <c:idx val="4"/>
          <c:order val="4"/>
          <c:tx>
            <c:v>1.80E+09 cells/ml</c:v>
          </c:tx>
          <c:spPr>
            <a:solidFill>
              <a:schemeClr val="accent5"/>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Sheet2!$S$241:$AF$241</c:f>
              <c:numCache>
                <c:formatCode>General</c:formatCode>
                <c:ptCount val="14"/>
                <c:pt idx="0">
                  <c:v>38.6</c:v>
                </c:pt>
                <c:pt idx="1">
                  <c:v>37.4</c:v>
                </c:pt>
                <c:pt idx="2">
                  <c:v>36.6</c:v>
                </c:pt>
                <c:pt idx="3">
                  <c:v>36</c:v>
                </c:pt>
                <c:pt idx="5">
                  <c:v>39.700000000000003</c:v>
                </c:pt>
                <c:pt idx="6">
                  <c:v>40.1</c:v>
                </c:pt>
                <c:pt idx="7">
                  <c:v>39.799999999999997</c:v>
                </c:pt>
                <c:pt idx="8">
                  <c:v>38.799999999999997</c:v>
                </c:pt>
                <c:pt idx="10">
                  <c:v>41.2</c:v>
                </c:pt>
                <c:pt idx="11">
                  <c:v>40.799999999999997</c:v>
                </c:pt>
                <c:pt idx="12">
                  <c:v>40</c:v>
                </c:pt>
                <c:pt idx="13">
                  <c:v>39.799999999999997</c:v>
                </c:pt>
              </c:numCache>
            </c:numRef>
          </c:val>
          <c:extLst xmlns:c16r2="http://schemas.microsoft.com/office/drawing/2015/06/chart">
            <c:ext xmlns:c16="http://schemas.microsoft.com/office/drawing/2014/chart" uri="{C3380CC4-5D6E-409C-BE32-E72D297353CC}">
              <c16:uniqueId val="{00000004-35F5-4CE6-8CF3-DDDE47FF9E84}"/>
            </c:ext>
          </c:extLst>
        </c:ser>
        <c:ser>
          <c:idx val="5"/>
          <c:order val="5"/>
          <c:tx>
            <c:v>2.40E+09 cells/ml</c:v>
          </c:tx>
          <c:spPr>
            <a:solidFill>
              <a:schemeClr val="accent6"/>
            </a:solidFill>
            <a:ln>
              <a:noFill/>
            </a:ln>
            <a:effectLst/>
          </c:spPr>
          <c:invertIfNegative val="0"/>
          <c:cat>
            <c:strRef>
              <c:f>Sheet2!$S$236:$AF$236</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Sheet2!$S$242:$AF$242</c:f>
              <c:numCache>
                <c:formatCode>General</c:formatCode>
                <c:ptCount val="14"/>
                <c:pt idx="0">
                  <c:v>37.200000000000003</c:v>
                </c:pt>
                <c:pt idx="1">
                  <c:v>36</c:v>
                </c:pt>
                <c:pt idx="2">
                  <c:v>36</c:v>
                </c:pt>
                <c:pt idx="3">
                  <c:v>35.5</c:v>
                </c:pt>
                <c:pt idx="5">
                  <c:v>38.4</c:v>
                </c:pt>
                <c:pt idx="6">
                  <c:v>37.5</c:v>
                </c:pt>
                <c:pt idx="7">
                  <c:v>37.1</c:v>
                </c:pt>
                <c:pt idx="8">
                  <c:v>37</c:v>
                </c:pt>
                <c:pt idx="10">
                  <c:v>40.799999999999997</c:v>
                </c:pt>
                <c:pt idx="11">
                  <c:v>40.200000000000003</c:v>
                </c:pt>
                <c:pt idx="12">
                  <c:v>39.5</c:v>
                </c:pt>
                <c:pt idx="13">
                  <c:v>37.4</c:v>
                </c:pt>
              </c:numCache>
            </c:numRef>
          </c:val>
          <c:extLst xmlns:c16r2="http://schemas.microsoft.com/office/drawing/2015/06/chart">
            <c:ext xmlns:c16="http://schemas.microsoft.com/office/drawing/2014/chart" uri="{C3380CC4-5D6E-409C-BE32-E72D297353CC}">
              <c16:uniqueId val="{00000005-35F5-4CE6-8CF3-DDDE47FF9E84}"/>
            </c:ext>
          </c:extLst>
        </c:ser>
        <c:dLbls>
          <c:showLegendKey val="0"/>
          <c:showVal val="0"/>
          <c:showCatName val="0"/>
          <c:showSerName val="0"/>
          <c:showPercent val="0"/>
          <c:showBubbleSize val="0"/>
        </c:dLbls>
        <c:gapWidth val="219"/>
        <c:overlap val="-27"/>
        <c:axId val="817203472"/>
        <c:axId val="817212488"/>
      </c:barChart>
      <c:catAx>
        <c:axId val="8172034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Mixing		Injection		  Spraying</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12488"/>
        <c:crosses val="autoZero"/>
        <c:auto val="1"/>
        <c:lblAlgn val="ctr"/>
        <c:lblOffset val="100"/>
        <c:noMultiLvlLbl val="0"/>
      </c:catAx>
      <c:valAx>
        <c:axId val="817212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Plastic Limit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034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0.00E+00 cells/ml</c:v>
          </c:tx>
          <c:spPr>
            <a:solidFill>
              <a:schemeClr val="accent1"/>
            </a:solidFill>
            <a:ln>
              <a:noFill/>
            </a:ln>
            <a:effectLst/>
          </c:spPr>
          <c:invertIfNegative val="0"/>
          <c:cat>
            <c:strRef>
              <c:f>Sheet2!$S$292:$AF$292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Sheet2!$S$293:$AF$293</c:f>
              <c:numCache>
                <c:formatCode>General</c:formatCode>
                <c:ptCount val="14"/>
                <c:pt idx="0">
                  <c:v>20</c:v>
                </c:pt>
                <c:pt idx="1">
                  <c:v>19.2</c:v>
                </c:pt>
                <c:pt idx="2">
                  <c:v>18.8</c:v>
                </c:pt>
                <c:pt idx="3">
                  <c:v>18.5</c:v>
                </c:pt>
                <c:pt idx="5">
                  <c:v>20.2</c:v>
                </c:pt>
                <c:pt idx="6">
                  <c:v>21.5</c:v>
                </c:pt>
                <c:pt idx="7">
                  <c:v>19</c:v>
                </c:pt>
                <c:pt idx="8">
                  <c:v>18.2</c:v>
                </c:pt>
                <c:pt idx="10">
                  <c:v>22.8</c:v>
                </c:pt>
                <c:pt idx="11">
                  <c:v>21.9</c:v>
                </c:pt>
                <c:pt idx="12">
                  <c:v>20.6</c:v>
                </c:pt>
                <c:pt idx="13">
                  <c:v>19.100000000000001</c:v>
                </c:pt>
              </c:numCache>
            </c:numRef>
          </c:val>
          <c:extLst xmlns:c16r2="http://schemas.microsoft.com/office/drawing/2015/06/chart">
            <c:ext xmlns:c16="http://schemas.microsoft.com/office/drawing/2014/chart" uri="{C3380CC4-5D6E-409C-BE32-E72D297353CC}">
              <c16:uniqueId val="{00000000-2BD1-42F0-8783-6DABE889451B}"/>
            </c:ext>
          </c:extLst>
        </c:ser>
        <c:ser>
          <c:idx val="1"/>
          <c:order val="1"/>
          <c:tx>
            <c:v>1.50E+08 cells/ml</c:v>
          </c:tx>
          <c:spPr>
            <a:solidFill>
              <a:schemeClr val="accent2"/>
            </a:solidFill>
            <a:ln>
              <a:noFill/>
            </a:ln>
            <a:effectLst/>
          </c:spPr>
          <c:invertIfNegative val="0"/>
          <c:cat>
            <c:strRef>
              <c:f>Sheet2!$S$292:$AF$292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Sheet2!$S$294:$AF$294</c:f>
              <c:numCache>
                <c:formatCode>General</c:formatCode>
                <c:ptCount val="14"/>
                <c:pt idx="0">
                  <c:v>17.5</c:v>
                </c:pt>
                <c:pt idx="1">
                  <c:v>16.100000000000001</c:v>
                </c:pt>
                <c:pt idx="2">
                  <c:v>16</c:v>
                </c:pt>
                <c:pt idx="3">
                  <c:v>15.6</c:v>
                </c:pt>
                <c:pt idx="5">
                  <c:v>22.7</c:v>
                </c:pt>
                <c:pt idx="6">
                  <c:v>22.3</c:v>
                </c:pt>
                <c:pt idx="7">
                  <c:v>21.1</c:v>
                </c:pt>
                <c:pt idx="8">
                  <c:v>20.399999999999999</c:v>
                </c:pt>
                <c:pt idx="10">
                  <c:v>23</c:v>
                </c:pt>
                <c:pt idx="11">
                  <c:v>22.6</c:v>
                </c:pt>
                <c:pt idx="12">
                  <c:v>21</c:v>
                </c:pt>
                <c:pt idx="13">
                  <c:v>19.899999999999999</c:v>
                </c:pt>
              </c:numCache>
            </c:numRef>
          </c:val>
          <c:extLst xmlns:c16r2="http://schemas.microsoft.com/office/drawing/2015/06/chart">
            <c:ext xmlns:c16="http://schemas.microsoft.com/office/drawing/2014/chart" uri="{C3380CC4-5D6E-409C-BE32-E72D297353CC}">
              <c16:uniqueId val="{00000001-2BD1-42F0-8783-6DABE889451B}"/>
            </c:ext>
          </c:extLst>
        </c:ser>
        <c:ser>
          <c:idx val="2"/>
          <c:order val="2"/>
          <c:tx>
            <c:v>6.00E+08 cells/ml</c:v>
          </c:tx>
          <c:spPr>
            <a:solidFill>
              <a:schemeClr val="accent3"/>
            </a:solidFill>
            <a:ln>
              <a:noFill/>
            </a:ln>
            <a:effectLst/>
          </c:spPr>
          <c:invertIfNegative val="0"/>
          <c:cat>
            <c:strRef>
              <c:f>Sheet2!$S$292:$AF$292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Sheet2!$S$295:$AF$295</c:f>
              <c:numCache>
                <c:formatCode>General</c:formatCode>
                <c:ptCount val="14"/>
                <c:pt idx="0">
                  <c:v>17</c:v>
                </c:pt>
                <c:pt idx="1">
                  <c:v>15.5</c:v>
                </c:pt>
                <c:pt idx="2">
                  <c:v>15.4</c:v>
                </c:pt>
                <c:pt idx="3">
                  <c:v>15</c:v>
                </c:pt>
                <c:pt idx="5">
                  <c:v>23.1</c:v>
                </c:pt>
                <c:pt idx="6">
                  <c:v>22.7</c:v>
                </c:pt>
                <c:pt idx="7">
                  <c:v>21.3</c:v>
                </c:pt>
                <c:pt idx="8">
                  <c:v>20.6</c:v>
                </c:pt>
                <c:pt idx="10">
                  <c:v>22.9</c:v>
                </c:pt>
                <c:pt idx="11">
                  <c:v>22.3</c:v>
                </c:pt>
                <c:pt idx="12">
                  <c:v>21.6</c:v>
                </c:pt>
                <c:pt idx="13">
                  <c:v>20.3</c:v>
                </c:pt>
              </c:numCache>
            </c:numRef>
          </c:val>
          <c:extLst xmlns:c16r2="http://schemas.microsoft.com/office/drawing/2015/06/chart">
            <c:ext xmlns:c16="http://schemas.microsoft.com/office/drawing/2014/chart" uri="{C3380CC4-5D6E-409C-BE32-E72D297353CC}">
              <c16:uniqueId val="{00000002-2BD1-42F0-8783-6DABE889451B}"/>
            </c:ext>
          </c:extLst>
        </c:ser>
        <c:ser>
          <c:idx val="3"/>
          <c:order val="3"/>
          <c:tx>
            <c:v>1.20E+09 cells/ml</c:v>
          </c:tx>
          <c:spPr>
            <a:solidFill>
              <a:schemeClr val="accent4"/>
            </a:solidFill>
            <a:ln>
              <a:noFill/>
            </a:ln>
            <a:effectLst/>
          </c:spPr>
          <c:invertIfNegative val="0"/>
          <c:cat>
            <c:strRef>
              <c:f>Sheet2!$S$292:$AF$292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Sheet2!$S$296:$AF$296</c:f>
              <c:numCache>
                <c:formatCode>General</c:formatCode>
                <c:ptCount val="14"/>
                <c:pt idx="0">
                  <c:v>17.600000000000001</c:v>
                </c:pt>
                <c:pt idx="1">
                  <c:v>16</c:v>
                </c:pt>
                <c:pt idx="2">
                  <c:v>15.9</c:v>
                </c:pt>
                <c:pt idx="3">
                  <c:v>15.4</c:v>
                </c:pt>
                <c:pt idx="5">
                  <c:v>22.9</c:v>
                </c:pt>
                <c:pt idx="6">
                  <c:v>22.5</c:v>
                </c:pt>
                <c:pt idx="7">
                  <c:v>21.7</c:v>
                </c:pt>
                <c:pt idx="8">
                  <c:v>21</c:v>
                </c:pt>
                <c:pt idx="10">
                  <c:v>22.9</c:v>
                </c:pt>
                <c:pt idx="11">
                  <c:v>22.7</c:v>
                </c:pt>
                <c:pt idx="12">
                  <c:v>21.3</c:v>
                </c:pt>
                <c:pt idx="13">
                  <c:v>20.6</c:v>
                </c:pt>
              </c:numCache>
            </c:numRef>
          </c:val>
          <c:extLst xmlns:c16r2="http://schemas.microsoft.com/office/drawing/2015/06/chart">
            <c:ext xmlns:c16="http://schemas.microsoft.com/office/drawing/2014/chart" uri="{C3380CC4-5D6E-409C-BE32-E72D297353CC}">
              <c16:uniqueId val="{00000003-2BD1-42F0-8783-6DABE889451B}"/>
            </c:ext>
          </c:extLst>
        </c:ser>
        <c:ser>
          <c:idx val="4"/>
          <c:order val="4"/>
          <c:tx>
            <c:v>1.80E+09 cells/ml</c:v>
          </c:tx>
          <c:spPr>
            <a:solidFill>
              <a:schemeClr val="accent5"/>
            </a:solidFill>
            <a:ln>
              <a:noFill/>
            </a:ln>
            <a:effectLst/>
          </c:spPr>
          <c:invertIfNegative val="0"/>
          <c:cat>
            <c:strRef>
              <c:f>Sheet2!$S$292:$AF$292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Sheet2!$S$297:$AF$297</c:f>
              <c:numCache>
                <c:formatCode>General</c:formatCode>
                <c:ptCount val="14"/>
                <c:pt idx="0">
                  <c:v>18.5</c:v>
                </c:pt>
                <c:pt idx="1">
                  <c:v>17</c:v>
                </c:pt>
                <c:pt idx="2">
                  <c:v>16.899999999999999</c:v>
                </c:pt>
                <c:pt idx="3">
                  <c:v>16.600000000000001</c:v>
                </c:pt>
                <c:pt idx="5">
                  <c:v>20.3</c:v>
                </c:pt>
                <c:pt idx="6">
                  <c:v>20.5</c:v>
                </c:pt>
                <c:pt idx="7">
                  <c:v>19.7</c:v>
                </c:pt>
                <c:pt idx="8">
                  <c:v>18.399999999999999</c:v>
                </c:pt>
                <c:pt idx="10">
                  <c:v>21</c:v>
                </c:pt>
                <c:pt idx="11">
                  <c:v>20.399999999999999</c:v>
                </c:pt>
                <c:pt idx="12">
                  <c:v>20.100000000000001</c:v>
                </c:pt>
                <c:pt idx="13">
                  <c:v>18.600000000000001</c:v>
                </c:pt>
              </c:numCache>
            </c:numRef>
          </c:val>
          <c:extLst xmlns:c16r2="http://schemas.microsoft.com/office/drawing/2015/06/chart">
            <c:ext xmlns:c16="http://schemas.microsoft.com/office/drawing/2014/chart" uri="{C3380CC4-5D6E-409C-BE32-E72D297353CC}">
              <c16:uniqueId val="{00000004-2BD1-42F0-8783-6DABE889451B}"/>
            </c:ext>
          </c:extLst>
        </c:ser>
        <c:ser>
          <c:idx val="5"/>
          <c:order val="5"/>
          <c:tx>
            <c:v>2.40E+09 cells/ml</c:v>
          </c:tx>
          <c:spPr>
            <a:solidFill>
              <a:schemeClr val="accent6"/>
            </a:solidFill>
            <a:ln>
              <a:noFill/>
            </a:ln>
            <a:effectLst/>
          </c:spPr>
          <c:invertIfNegative val="0"/>
          <c:cat>
            <c:strRef>
              <c:f>Sheet2!$S$292:$AF$292</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Sheet2!$S$298:$AF$298</c:f>
              <c:numCache>
                <c:formatCode>General</c:formatCode>
                <c:ptCount val="14"/>
                <c:pt idx="0">
                  <c:v>16.600000000000001</c:v>
                </c:pt>
                <c:pt idx="1">
                  <c:v>15</c:v>
                </c:pt>
                <c:pt idx="2">
                  <c:v>14.8</c:v>
                </c:pt>
                <c:pt idx="3">
                  <c:v>14.4</c:v>
                </c:pt>
                <c:pt idx="5">
                  <c:v>18.8</c:v>
                </c:pt>
                <c:pt idx="6">
                  <c:v>17.600000000000001</c:v>
                </c:pt>
                <c:pt idx="7">
                  <c:v>6.9</c:v>
                </c:pt>
                <c:pt idx="8">
                  <c:v>16.3</c:v>
                </c:pt>
                <c:pt idx="10">
                  <c:v>20.5</c:v>
                </c:pt>
                <c:pt idx="11">
                  <c:v>19.600000000000001</c:v>
                </c:pt>
                <c:pt idx="12">
                  <c:v>19.3</c:v>
                </c:pt>
                <c:pt idx="13">
                  <c:v>15.9</c:v>
                </c:pt>
              </c:numCache>
            </c:numRef>
          </c:val>
          <c:extLst xmlns:c16r2="http://schemas.microsoft.com/office/drawing/2015/06/chart">
            <c:ext xmlns:c16="http://schemas.microsoft.com/office/drawing/2014/chart" uri="{C3380CC4-5D6E-409C-BE32-E72D297353CC}">
              <c16:uniqueId val="{00000005-2BD1-42F0-8783-6DABE889451B}"/>
            </c:ext>
          </c:extLst>
        </c:ser>
        <c:dLbls>
          <c:showLegendKey val="0"/>
          <c:showVal val="0"/>
          <c:showCatName val="0"/>
          <c:showSerName val="0"/>
          <c:showPercent val="0"/>
          <c:showBubbleSize val="0"/>
        </c:dLbls>
        <c:gapWidth val="219"/>
        <c:overlap val="-27"/>
        <c:axId val="817214448"/>
        <c:axId val="817214840"/>
      </c:barChart>
      <c:catAx>
        <c:axId val="817214448"/>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Mixing		Injection		  Spraying</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crossAx val="817214840"/>
        <c:crosses val="autoZero"/>
        <c:auto val="1"/>
        <c:lblAlgn val="ctr"/>
        <c:lblOffset val="100"/>
        <c:noMultiLvlLbl val="0"/>
      </c:catAx>
      <c:valAx>
        <c:axId val="817214840"/>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a:latin typeface="Times New Roman" panose="02020603050405020304" pitchFamily="18" charset="0"/>
                    <a:cs typeface="Times New Roman" panose="02020603050405020304" pitchFamily="18" charset="0"/>
                  </a:rPr>
                  <a:t>Plastic</a:t>
                </a:r>
                <a:r>
                  <a:rPr lang="en-GB" sz="1200" baseline="0">
                    <a:latin typeface="Times New Roman" panose="02020603050405020304" pitchFamily="18" charset="0"/>
                    <a:cs typeface="Times New Roman" panose="02020603050405020304" pitchFamily="18" charset="0"/>
                  </a:rPr>
                  <a:t> Limit (%)</a:t>
                </a:r>
                <a:endParaRPr lang="en-GB" sz="12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crossAx val="8172144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0.00E+00 cells/ml</c:v>
          </c:tx>
          <c:spPr>
            <a:solidFill>
              <a:schemeClr val="accent1"/>
            </a:solidFill>
            <a:ln>
              <a:noFill/>
            </a:ln>
            <a:effectLst/>
          </c:spPr>
          <c:invertIfNegative val="0"/>
          <c:cat>
            <c:strRef>
              <c:f>Sheet2!$R$375:$AE$375</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Sheet2!$R$376:$AE$376</c:f>
              <c:numCache>
                <c:formatCode>General</c:formatCode>
                <c:ptCount val="14"/>
                <c:pt idx="0">
                  <c:v>18</c:v>
                </c:pt>
                <c:pt idx="1">
                  <c:v>17.899999999999999</c:v>
                </c:pt>
                <c:pt idx="2">
                  <c:v>17.7</c:v>
                </c:pt>
                <c:pt idx="3">
                  <c:v>17.5</c:v>
                </c:pt>
                <c:pt idx="5">
                  <c:v>18.2</c:v>
                </c:pt>
                <c:pt idx="6">
                  <c:v>18.399999999999999</c:v>
                </c:pt>
                <c:pt idx="7">
                  <c:v>18.7</c:v>
                </c:pt>
                <c:pt idx="8">
                  <c:v>18.899999999999999</c:v>
                </c:pt>
                <c:pt idx="10">
                  <c:v>19</c:v>
                </c:pt>
                <c:pt idx="11">
                  <c:v>19.3</c:v>
                </c:pt>
                <c:pt idx="12">
                  <c:v>19.5</c:v>
                </c:pt>
                <c:pt idx="13">
                  <c:v>19.8</c:v>
                </c:pt>
              </c:numCache>
            </c:numRef>
          </c:val>
          <c:extLst xmlns:c16r2="http://schemas.microsoft.com/office/drawing/2015/06/chart">
            <c:ext xmlns:c16="http://schemas.microsoft.com/office/drawing/2014/chart" uri="{C3380CC4-5D6E-409C-BE32-E72D297353CC}">
              <c16:uniqueId val="{00000000-AF51-4610-B240-70ACC6CCBD1A}"/>
            </c:ext>
          </c:extLst>
        </c:ser>
        <c:ser>
          <c:idx val="1"/>
          <c:order val="1"/>
          <c:tx>
            <c:v>1.50E+08 cells/ml</c:v>
          </c:tx>
          <c:spPr>
            <a:solidFill>
              <a:schemeClr val="accent2"/>
            </a:solidFill>
            <a:ln>
              <a:noFill/>
            </a:ln>
            <a:effectLst/>
          </c:spPr>
          <c:invertIfNegative val="0"/>
          <c:cat>
            <c:strRef>
              <c:f>Sheet2!$R$375:$AE$375</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Sheet2!$R$377:$AE$377</c:f>
              <c:numCache>
                <c:formatCode>General</c:formatCode>
                <c:ptCount val="14"/>
                <c:pt idx="0">
                  <c:v>19.3</c:v>
                </c:pt>
                <c:pt idx="1">
                  <c:v>19.399999999999999</c:v>
                </c:pt>
                <c:pt idx="2">
                  <c:v>18.600000000000001</c:v>
                </c:pt>
                <c:pt idx="3">
                  <c:v>18.8</c:v>
                </c:pt>
                <c:pt idx="5">
                  <c:v>18.8</c:v>
                </c:pt>
                <c:pt idx="6">
                  <c:v>18.899999999999999</c:v>
                </c:pt>
                <c:pt idx="7">
                  <c:v>19</c:v>
                </c:pt>
                <c:pt idx="8">
                  <c:v>19.2</c:v>
                </c:pt>
                <c:pt idx="10">
                  <c:v>19.5</c:v>
                </c:pt>
                <c:pt idx="11">
                  <c:v>19.8</c:v>
                </c:pt>
                <c:pt idx="12">
                  <c:v>20</c:v>
                </c:pt>
                <c:pt idx="13">
                  <c:v>20.5</c:v>
                </c:pt>
              </c:numCache>
            </c:numRef>
          </c:val>
          <c:extLst xmlns:c16r2="http://schemas.microsoft.com/office/drawing/2015/06/chart">
            <c:ext xmlns:c16="http://schemas.microsoft.com/office/drawing/2014/chart" uri="{C3380CC4-5D6E-409C-BE32-E72D297353CC}">
              <c16:uniqueId val="{00000001-AF51-4610-B240-70ACC6CCBD1A}"/>
            </c:ext>
          </c:extLst>
        </c:ser>
        <c:ser>
          <c:idx val="2"/>
          <c:order val="2"/>
          <c:tx>
            <c:v>6.00E+08 cells/ml</c:v>
          </c:tx>
          <c:spPr>
            <a:solidFill>
              <a:schemeClr val="accent3"/>
            </a:solidFill>
            <a:ln>
              <a:noFill/>
            </a:ln>
            <a:effectLst/>
          </c:spPr>
          <c:invertIfNegative val="0"/>
          <c:cat>
            <c:strRef>
              <c:f>Sheet2!$R$375:$AE$375</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Sheet2!$R$378:$AE$378</c:f>
              <c:numCache>
                <c:formatCode>General</c:formatCode>
                <c:ptCount val="14"/>
                <c:pt idx="0">
                  <c:v>20.6</c:v>
                </c:pt>
                <c:pt idx="1">
                  <c:v>20.6</c:v>
                </c:pt>
                <c:pt idx="2">
                  <c:v>19.899999999999999</c:v>
                </c:pt>
                <c:pt idx="3">
                  <c:v>20.5</c:v>
                </c:pt>
                <c:pt idx="5">
                  <c:v>19.100000000000001</c:v>
                </c:pt>
                <c:pt idx="6">
                  <c:v>19.399999999999999</c:v>
                </c:pt>
                <c:pt idx="7">
                  <c:v>19.600000000000001</c:v>
                </c:pt>
                <c:pt idx="8">
                  <c:v>19.8</c:v>
                </c:pt>
                <c:pt idx="10">
                  <c:v>20.100000000000001</c:v>
                </c:pt>
                <c:pt idx="11">
                  <c:v>20.399999999999999</c:v>
                </c:pt>
                <c:pt idx="12">
                  <c:v>20.5</c:v>
                </c:pt>
                <c:pt idx="13">
                  <c:v>20.9</c:v>
                </c:pt>
              </c:numCache>
            </c:numRef>
          </c:val>
          <c:extLst xmlns:c16r2="http://schemas.microsoft.com/office/drawing/2015/06/chart">
            <c:ext xmlns:c16="http://schemas.microsoft.com/office/drawing/2014/chart" uri="{C3380CC4-5D6E-409C-BE32-E72D297353CC}">
              <c16:uniqueId val="{00000002-AF51-4610-B240-70ACC6CCBD1A}"/>
            </c:ext>
          </c:extLst>
        </c:ser>
        <c:ser>
          <c:idx val="3"/>
          <c:order val="3"/>
          <c:tx>
            <c:v>1.20E+09 cells/ml</c:v>
          </c:tx>
          <c:spPr>
            <a:solidFill>
              <a:schemeClr val="accent4"/>
            </a:solidFill>
            <a:ln>
              <a:noFill/>
            </a:ln>
            <a:effectLst/>
          </c:spPr>
          <c:invertIfNegative val="0"/>
          <c:cat>
            <c:strRef>
              <c:f>Sheet2!$R$375:$AE$375</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Sheet2!$R$379:$AE$379</c:f>
              <c:numCache>
                <c:formatCode>General</c:formatCode>
                <c:ptCount val="14"/>
                <c:pt idx="0">
                  <c:v>21</c:v>
                </c:pt>
                <c:pt idx="1">
                  <c:v>21.1</c:v>
                </c:pt>
                <c:pt idx="2">
                  <c:v>22.8</c:v>
                </c:pt>
                <c:pt idx="3">
                  <c:v>23.1</c:v>
                </c:pt>
                <c:pt idx="5">
                  <c:v>20</c:v>
                </c:pt>
                <c:pt idx="6">
                  <c:v>20.2</c:v>
                </c:pt>
                <c:pt idx="7">
                  <c:v>20.6</c:v>
                </c:pt>
                <c:pt idx="8">
                  <c:v>20.9</c:v>
                </c:pt>
                <c:pt idx="10">
                  <c:v>21</c:v>
                </c:pt>
                <c:pt idx="11">
                  <c:v>21.5</c:v>
                </c:pt>
                <c:pt idx="12">
                  <c:v>21.4</c:v>
                </c:pt>
                <c:pt idx="13">
                  <c:v>21.3</c:v>
                </c:pt>
              </c:numCache>
            </c:numRef>
          </c:val>
          <c:extLst xmlns:c16r2="http://schemas.microsoft.com/office/drawing/2015/06/chart">
            <c:ext xmlns:c16="http://schemas.microsoft.com/office/drawing/2014/chart" uri="{C3380CC4-5D6E-409C-BE32-E72D297353CC}">
              <c16:uniqueId val="{00000003-AF51-4610-B240-70ACC6CCBD1A}"/>
            </c:ext>
          </c:extLst>
        </c:ser>
        <c:ser>
          <c:idx val="4"/>
          <c:order val="4"/>
          <c:tx>
            <c:v>1.80E+09 cells/ml</c:v>
          </c:tx>
          <c:spPr>
            <a:solidFill>
              <a:schemeClr val="accent5"/>
            </a:solidFill>
            <a:ln>
              <a:noFill/>
            </a:ln>
            <a:effectLst/>
          </c:spPr>
          <c:invertIfNegative val="0"/>
          <c:cat>
            <c:strRef>
              <c:f>Sheet2!$R$375:$AE$375</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Sheet2!$R$380:$AE$380</c:f>
              <c:numCache>
                <c:formatCode>General</c:formatCode>
                <c:ptCount val="14"/>
                <c:pt idx="0">
                  <c:v>20.5</c:v>
                </c:pt>
                <c:pt idx="1">
                  <c:v>20.2</c:v>
                </c:pt>
                <c:pt idx="2">
                  <c:v>22.7</c:v>
                </c:pt>
                <c:pt idx="3">
                  <c:v>22.8</c:v>
                </c:pt>
                <c:pt idx="5">
                  <c:v>20.2</c:v>
                </c:pt>
                <c:pt idx="6">
                  <c:v>20.6</c:v>
                </c:pt>
                <c:pt idx="7">
                  <c:v>20.9</c:v>
                </c:pt>
                <c:pt idx="8">
                  <c:v>21.2</c:v>
                </c:pt>
                <c:pt idx="10">
                  <c:v>21.2</c:v>
                </c:pt>
                <c:pt idx="11">
                  <c:v>21.8</c:v>
                </c:pt>
                <c:pt idx="12">
                  <c:v>21.6</c:v>
                </c:pt>
                <c:pt idx="13">
                  <c:v>21.7</c:v>
                </c:pt>
              </c:numCache>
            </c:numRef>
          </c:val>
          <c:extLst xmlns:c16r2="http://schemas.microsoft.com/office/drawing/2015/06/chart">
            <c:ext xmlns:c16="http://schemas.microsoft.com/office/drawing/2014/chart" uri="{C3380CC4-5D6E-409C-BE32-E72D297353CC}">
              <c16:uniqueId val="{00000004-AF51-4610-B240-70ACC6CCBD1A}"/>
            </c:ext>
          </c:extLst>
        </c:ser>
        <c:ser>
          <c:idx val="5"/>
          <c:order val="5"/>
          <c:tx>
            <c:v>2.40E+09 cells/ml</c:v>
          </c:tx>
          <c:spPr>
            <a:solidFill>
              <a:schemeClr val="accent6"/>
            </a:solidFill>
            <a:ln>
              <a:noFill/>
            </a:ln>
            <a:effectLst/>
          </c:spPr>
          <c:invertIfNegative val="0"/>
          <c:cat>
            <c:strRef>
              <c:f>Sheet2!$R$375:$AE$375</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Sheet2!$R$381:$AE$381</c:f>
              <c:numCache>
                <c:formatCode>General</c:formatCode>
                <c:ptCount val="14"/>
                <c:pt idx="0">
                  <c:v>23.9</c:v>
                </c:pt>
                <c:pt idx="1">
                  <c:v>25.9</c:v>
                </c:pt>
                <c:pt idx="2">
                  <c:v>24.1</c:v>
                </c:pt>
                <c:pt idx="3">
                  <c:v>24</c:v>
                </c:pt>
                <c:pt idx="5">
                  <c:v>23.5</c:v>
                </c:pt>
                <c:pt idx="6">
                  <c:v>23.9</c:v>
                </c:pt>
                <c:pt idx="7">
                  <c:v>24.4</c:v>
                </c:pt>
                <c:pt idx="8">
                  <c:v>24.8</c:v>
                </c:pt>
                <c:pt idx="10">
                  <c:v>21.3</c:v>
                </c:pt>
                <c:pt idx="11">
                  <c:v>25</c:v>
                </c:pt>
                <c:pt idx="12">
                  <c:v>25.1</c:v>
                </c:pt>
                <c:pt idx="13">
                  <c:v>25.3</c:v>
                </c:pt>
              </c:numCache>
            </c:numRef>
          </c:val>
          <c:extLst xmlns:c16r2="http://schemas.microsoft.com/office/drawing/2015/06/chart">
            <c:ext xmlns:c16="http://schemas.microsoft.com/office/drawing/2014/chart" uri="{C3380CC4-5D6E-409C-BE32-E72D297353CC}">
              <c16:uniqueId val="{00000005-AF51-4610-B240-70ACC6CCBD1A}"/>
            </c:ext>
          </c:extLst>
        </c:ser>
        <c:dLbls>
          <c:showLegendKey val="0"/>
          <c:showVal val="0"/>
          <c:showCatName val="0"/>
          <c:showSerName val="0"/>
          <c:showPercent val="0"/>
          <c:showBubbleSize val="0"/>
        </c:dLbls>
        <c:gapWidth val="219"/>
        <c:overlap val="-27"/>
        <c:axId val="817213664"/>
        <c:axId val="817214056"/>
      </c:barChart>
      <c:catAx>
        <c:axId val="817213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Mixing	         Injection		Spraying</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14056"/>
        <c:crosses val="autoZero"/>
        <c:auto val="1"/>
        <c:lblAlgn val="ctr"/>
        <c:lblOffset val="100"/>
        <c:noMultiLvlLbl val="0"/>
      </c:catAx>
      <c:valAx>
        <c:axId val="817214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Plasticity Index (%)</a:t>
                </a:r>
                <a:endParaRPr lang="en-GB" sz="1200">
                  <a:effectLst/>
                  <a:latin typeface="Times New Roman" panose="02020603050405020304" pitchFamily="18" charset="0"/>
                  <a:cs typeface="Times New Roman" panose="02020603050405020304" pitchFamily="18" charset="0"/>
                </a:endParaRPr>
              </a:p>
            </c:rich>
          </c:tx>
          <c:layout>
            <c:manualLayout>
              <c:xMode val="edge"/>
              <c:yMode val="edge"/>
              <c:x val="1.8277358921635824E-2"/>
              <c:y val="0.2115330304790148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136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0.00E+00 cells/ml</c:v>
          </c:tx>
          <c:spPr>
            <a:solidFill>
              <a:schemeClr val="accent1"/>
            </a:solidFill>
            <a:ln>
              <a:noFill/>
            </a:ln>
            <a:effectLst/>
          </c:spPr>
          <c:invertIfNegative val="0"/>
          <c:cat>
            <c:strRef>
              <c:f>Sheet2!$R$359:$AE$359</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Sheet2!$R$360:$AE$360</c:f>
              <c:numCache>
                <c:formatCode>General</c:formatCode>
                <c:ptCount val="14"/>
                <c:pt idx="0">
                  <c:v>18.7</c:v>
                </c:pt>
                <c:pt idx="1">
                  <c:v>19</c:v>
                </c:pt>
                <c:pt idx="2">
                  <c:v>19.2</c:v>
                </c:pt>
                <c:pt idx="3">
                  <c:v>19</c:v>
                </c:pt>
                <c:pt idx="5">
                  <c:v>19</c:v>
                </c:pt>
                <c:pt idx="6">
                  <c:v>19.3</c:v>
                </c:pt>
                <c:pt idx="7">
                  <c:v>19.7</c:v>
                </c:pt>
                <c:pt idx="8">
                  <c:v>19.899999999999999</c:v>
                </c:pt>
                <c:pt idx="10">
                  <c:v>19.8</c:v>
                </c:pt>
                <c:pt idx="11">
                  <c:v>20.100000000000001</c:v>
                </c:pt>
                <c:pt idx="12">
                  <c:v>20.6</c:v>
                </c:pt>
                <c:pt idx="13">
                  <c:v>20.9</c:v>
                </c:pt>
              </c:numCache>
            </c:numRef>
          </c:val>
          <c:extLst xmlns:c16r2="http://schemas.microsoft.com/office/drawing/2015/06/chart">
            <c:ext xmlns:c16="http://schemas.microsoft.com/office/drawing/2014/chart" uri="{C3380CC4-5D6E-409C-BE32-E72D297353CC}">
              <c16:uniqueId val="{00000000-B4D1-4C48-A94D-7F8DC13FB973}"/>
            </c:ext>
          </c:extLst>
        </c:ser>
        <c:ser>
          <c:idx val="1"/>
          <c:order val="1"/>
          <c:tx>
            <c:v>1.50E+08 cells/ml</c:v>
          </c:tx>
          <c:spPr>
            <a:solidFill>
              <a:schemeClr val="accent2"/>
            </a:solidFill>
            <a:ln>
              <a:noFill/>
            </a:ln>
            <a:effectLst/>
          </c:spPr>
          <c:invertIfNegative val="0"/>
          <c:cat>
            <c:strRef>
              <c:f>Sheet2!$R$359:$AE$359</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Sheet2!$R$361:$AE$361</c:f>
              <c:numCache>
                <c:formatCode>General</c:formatCode>
                <c:ptCount val="14"/>
                <c:pt idx="0">
                  <c:v>22.3</c:v>
                </c:pt>
                <c:pt idx="1">
                  <c:v>22.5</c:v>
                </c:pt>
                <c:pt idx="2">
                  <c:v>22.4</c:v>
                </c:pt>
                <c:pt idx="3">
                  <c:v>22.5</c:v>
                </c:pt>
                <c:pt idx="5">
                  <c:v>19.600000000000001</c:v>
                </c:pt>
                <c:pt idx="6">
                  <c:v>19.5</c:v>
                </c:pt>
                <c:pt idx="7">
                  <c:v>19.899999999999999</c:v>
                </c:pt>
                <c:pt idx="8">
                  <c:v>20.100000000000001</c:v>
                </c:pt>
                <c:pt idx="10">
                  <c:v>20.100000000000001</c:v>
                </c:pt>
                <c:pt idx="11">
                  <c:v>20.2</c:v>
                </c:pt>
                <c:pt idx="12">
                  <c:v>21</c:v>
                </c:pt>
                <c:pt idx="13">
                  <c:v>21.3</c:v>
                </c:pt>
              </c:numCache>
            </c:numRef>
          </c:val>
          <c:extLst xmlns:c16r2="http://schemas.microsoft.com/office/drawing/2015/06/chart">
            <c:ext xmlns:c16="http://schemas.microsoft.com/office/drawing/2014/chart" uri="{C3380CC4-5D6E-409C-BE32-E72D297353CC}">
              <c16:uniqueId val="{00000001-B4D1-4C48-A94D-7F8DC13FB973}"/>
            </c:ext>
          </c:extLst>
        </c:ser>
        <c:ser>
          <c:idx val="2"/>
          <c:order val="2"/>
          <c:tx>
            <c:v>6.00E+08 cells/ml</c:v>
          </c:tx>
          <c:spPr>
            <a:solidFill>
              <a:schemeClr val="accent3"/>
            </a:solidFill>
            <a:ln>
              <a:noFill/>
            </a:ln>
            <a:effectLst/>
          </c:spPr>
          <c:invertIfNegative val="0"/>
          <c:cat>
            <c:strRef>
              <c:f>Sheet2!$R$359:$AE$359</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Sheet2!$R$362:$AE$362</c:f>
              <c:numCache>
                <c:formatCode>General</c:formatCode>
                <c:ptCount val="14"/>
                <c:pt idx="0">
                  <c:v>21.4</c:v>
                </c:pt>
                <c:pt idx="1">
                  <c:v>23.2</c:v>
                </c:pt>
                <c:pt idx="2">
                  <c:v>23.4</c:v>
                </c:pt>
                <c:pt idx="3">
                  <c:v>23.3</c:v>
                </c:pt>
                <c:pt idx="5">
                  <c:v>19.8</c:v>
                </c:pt>
                <c:pt idx="6">
                  <c:v>20</c:v>
                </c:pt>
                <c:pt idx="7">
                  <c:v>20.399999999999999</c:v>
                </c:pt>
                <c:pt idx="8">
                  <c:v>20.6</c:v>
                </c:pt>
                <c:pt idx="10">
                  <c:v>20.5</c:v>
                </c:pt>
                <c:pt idx="11">
                  <c:v>20.8</c:v>
                </c:pt>
                <c:pt idx="12">
                  <c:v>21.3</c:v>
                </c:pt>
                <c:pt idx="13">
                  <c:v>21.7</c:v>
                </c:pt>
              </c:numCache>
            </c:numRef>
          </c:val>
          <c:extLst xmlns:c16r2="http://schemas.microsoft.com/office/drawing/2015/06/chart">
            <c:ext xmlns:c16="http://schemas.microsoft.com/office/drawing/2014/chart" uri="{C3380CC4-5D6E-409C-BE32-E72D297353CC}">
              <c16:uniqueId val="{00000002-B4D1-4C48-A94D-7F8DC13FB973}"/>
            </c:ext>
          </c:extLst>
        </c:ser>
        <c:ser>
          <c:idx val="3"/>
          <c:order val="3"/>
          <c:tx>
            <c:v>1.20E+09 cells/ml</c:v>
          </c:tx>
          <c:spPr>
            <a:solidFill>
              <a:schemeClr val="accent4"/>
            </a:solidFill>
            <a:ln>
              <a:noFill/>
            </a:ln>
            <a:effectLst/>
          </c:spPr>
          <c:invertIfNegative val="0"/>
          <c:cat>
            <c:strRef>
              <c:f>Sheet2!$R$359:$AE$359</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Sheet2!$R$363:$AE$363</c:f>
              <c:numCache>
                <c:formatCode>General</c:formatCode>
                <c:ptCount val="14"/>
                <c:pt idx="0">
                  <c:v>21.3</c:v>
                </c:pt>
                <c:pt idx="1">
                  <c:v>22</c:v>
                </c:pt>
                <c:pt idx="2">
                  <c:v>21.9</c:v>
                </c:pt>
                <c:pt idx="3">
                  <c:v>21.4</c:v>
                </c:pt>
                <c:pt idx="5">
                  <c:v>20.100000000000001</c:v>
                </c:pt>
                <c:pt idx="6">
                  <c:v>20.399999999999999</c:v>
                </c:pt>
                <c:pt idx="7">
                  <c:v>20.7</c:v>
                </c:pt>
                <c:pt idx="8">
                  <c:v>21</c:v>
                </c:pt>
                <c:pt idx="10">
                  <c:v>21</c:v>
                </c:pt>
                <c:pt idx="11">
                  <c:v>21.3</c:v>
                </c:pt>
                <c:pt idx="12">
                  <c:v>21.9</c:v>
                </c:pt>
                <c:pt idx="13">
                  <c:v>22.2</c:v>
                </c:pt>
              </c:numCache>
            </c:numRef>
          </c:val>
          <c:extLst xmlns:c16r2="http://schemas.microsoft.com/office/drawing/2015/06/chart">
            <c:ext xmlns:c16="http://schemas.microsoft.com/office/drawing/2014/chart" uri="{C3380CC4-5D6E-409C-BE32-E72D297353CC}">
              <c16:uniqueId val="{00000003-B4D1-4C48-A94D-7F8DC13FB973}"/>
            </c:ext>
          </c:extLst>
        </c:ser>
        <c:ser>
          <c:idx val="4"/>
          <c:order val="4"/>
          <c:tx>
            <c:v>1.80E+09 cells/ml</c:v>
          </c:tx>
          <c:spPr>
            <a:solidFill>
              <a:schemeClr val="accent5"/>
            </a:solidFill>
            <a:ln>
              <a:noFill/>
            </a:ln>
            <a:effectLst/>
          </c:spPr>
          <c:invertIfNegative val="0"/>
          <c:cat>
            <c:strRef>
              <c:f>Sheet2!$R$359:$AE$359</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Sheet2!$R$364:$AE$364</c:f>
              <c:numCache>
                <c:formatCode>General</c:formatCode>
                <c:ptCount val="14"/>
                <c:pt idx="0">
                  <c:v>20.100000000000001</c:v>
                </c:pt>
                <c:pt idx="1">
                  <c:v>20.399999999999999</c:v>
                </c:pt>
                <c:pt idx="2">
                  <c:v>19.7</c:v>
                </c:pt>
                <c:pt idx="3">
                  <c:v>19.399999999999999</c:v>
                </c:pt>
                <c:pt idx="5">
                  <c:v>19.399999999999999</c:v>
                </c:pt>
                <c:pt idx="6">
                  <c:v>19.600000000000001</c:v>
                </c:pt>
                <c:pt idx="7">
                  <c:v>20.100000000000001</c:v>
                </c:pt>
                <c:pt idx="8">
                  <c:v>20.399999999999999</c:v>
                </c:pt>
                <c:pt idx="10">
                  <c:v>20.2</c:v>
                </c:pt>
                <c:pt idx="11">
                  <c:v>20.399999999999999</c:v>
                </c:pt>
                <c:pt idx="12">
                  <c:v>19.899999999999999</c:v>
                </c:pt>
                <c:pt idx="13">
                  <c:v>21.2</c:v>
                </c:pt>
              </c:numCache>
            </c:numRef>
          </c:val>
          <c:extLst xmlns:c16r2="http://schemas.microsoft.com/office/drawing/2015/06/chart">
            <c:ext xmlns:c16="http://schemas.microsoft.com/office/drawing/2014/chart" uri="{C3380CC4-5D6E-409C-BE32-E72D297353CC}">
              <c16:uniqueId val="{00000004-B4D1-4C48-A94D-7F8DC13FB973}"/>
            </c:ext>
          </c:extLst>
        </c:ser>
        <c:ser>
          <c:idx val="5"/>
          <c:order val="5"/>
          <c:tx>
            <c:v>2.40E+09 cells/ml</c:v>
          </c:tx>
          <c:spPr>
            <a:solidFill>
              <a:schemeClr val="accent6"/>
            </a:solidFill>
            <a:ln>
              <a:noFill/>
            </a:ln>
            <a:effectLst/>
          </c:spPr>
          <c:invertIfNegative val="0"/>
          <c:cat>
            <c:strRef>
              <c:f>Sheet2!$R$359:$AE$359</c:f>
              <c:strCache>
                <c:ptCount val="14"/>
                <c:pt idx="0">
                  <c:v>0.25M</c:v>
                </c:pt>
                <c:pt idx="1">
                  <c:v>0.5M</c:v>
                </c:pt>
                <c:pt idx="2">
                  <c:v>0.75M</c:v>
                </c:pt>
                <c:pt idx="3">
                  <c:v>1M</c:v>
                </c:pt>
                <c:pt idx="5">
                  <c:v>0.25M</c:v>
                </c:pt>
                <c:pt idx="6">
                  <c:v>0.5M</c:v>
                </c:pt>
                <c:pt idx="7">
                  <c:v>0.75M</c:v>
                </c:pt>
                <c:pt idx="8">
                  <c:v>1M</c:v>
                </c:pt>
                <c:pt idx="10">
                  <c:v>0.25M</c:v>
                </c:pt>
                <c:pt idx="11">
                  <c:v>0.5M</c:v>
                </c:pt>
                <c:pt idx="12">
                  <c:v>0.75M</c:v>
                </c:pt>
                <c:pt idx="13">
                  <c:v>1M</c:v>
                </c:pt>
              </c:strCache>
            </c:strRef>
          </c:cat>
          <c:val>
            <c:numRef>
              <c:f>Sheet2!$R$365:$AE$365</c:f>
              <c:numCache>
                <c:formatCode>General</c:formatCode>
                <c:ptCount val="14"/>
                <c:pt idx="0">
                  <c:v>13.7</c:v>
                </c:pt>
                <c:pt idx="1">
                  <c:v>21</c:v>
                </c:pt>
                <c:pt idx="2">
                  <c:v>21.2</c:v>
                </c:pt>
                <c:pt idx="3">
                  <c:v>21.1</c:v>
                </c:pt>
                <c:pt idx="5">
                  <c:v>19.600000000000001</c:v>
                </c:pt>
                <c:pt idx="6">
                  <c:v>19.899999999999999</c:v>
                </c:pt>
                <c:pt idx="7">
                  <c:v>20.2</c:v>
                </c:pt>
                <c:pt idx="8">
                  <c:v>20.7</c:v>
                </c:pt>
                <c:pt idx="10">
                  <c:v>20.3</c:v>
                </c:pt>
                <c:pt idx="11">
                  <c:v>20.6</c:v>
                </c:pt>
                <c:pt idx="12">
                  <c:v>20.2</c:v>
                </c:pt>
                <c:pt idx="13">
                  <c:v>21.5</c:v>
                </c:pt>
              </c:numCache>
            </c:numRef>
          </c:val>
          <c:extLst xmlns:c16r2="http://schemas.microsoft.com/office/drawing/2015/06/chart">
            <c:ext xmlns:c16="http://schemas.microsoft.com/office/drawing/2014/chart" uri="{C3380CC4-5D6E-409C-BE32-E72D297353CC}">
              <c16:uniqueId val="{00000005-B4D1-4C48-A94D-7F8DC13FB973}"/>
            </c:ext>
          </c:extLst>
        </c:ser>
        <c:dLbls>
          <c:showLegendKey val="0"/>
          <c:showVal val="0"/>
          <c:showCatName val="0"/>
          <c:showSerName val="0"/>
          <c:showPercent val="0"/>
          <c:showBubbleSize val="0"/>
        </c:dLbls>
        <c:gapWidth val="219"/>
        <c:overlap val="-27"/>
        <c:axId val="817213272"/>
        <c:axId val="817215624"/>
      </c:barChart>
      <c:catAx>
        <c:axId val="817213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latin typeface="Times New Roman" panose="02020603050405020304" pitchFamily="18" charset="0"/>
                    <a:cs typeface="Times New Roman" panose="02020603050405020304" pitchFamily="18" charset="0"/>
                  </a:rPr>
                  <a:t>Mixing		Injection		Spraying</a:t>
                </a:r>
                <a:endParaRPr lang="en-GB" sz="1200">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15624"/>
        <c:crosses val="autoZero"/>
        <c:auto val="1"/>
        <c:lblAlgn val="ctr"/>
        <c:lblOffset val="100"/>
        <c:noMultiLvlLbl val="0"/>
      </c:catAx>
      <c:valAx>
        <c:axId val="817215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a:latin typeface="Times New Roman" panose="02020603050405020304" pitchFamily="18" charset="0"/>
                    <a:cs typeface="Times New Roman" panose="02020603050405020304" pitchFamily="18" charset="0"/>
                  </a:rPr>
                  <a:t>Plasticity</a:t>
                </a:r>
                <a:r>
                  <a:rPr lang="en-GB" sz="1200" baseline="0">
                    <a:latin typeface="Times New Roman" panose="02020603050405020304" pitchFamily="18" charset="0"/>
                    <a:cs typeface="Times New Roman" panose="02020603050405020304" pitchFamily="18" charset="0"/>
                  </a:rPr>
                  <a:t> Index (%)</a:t>
                </a:r>
                <a:endParaRPr lang="en-GB" sz="12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2132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4.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5.png"/></Relationships>
</file>

<file path=word/drawings/_rels/drawing6.xml.rels><?xml version="1.0" encoding="UTF-8" standalone="yes"?>
<Relationships xmlns="http://schemas.openxmlformats.org/package/2006/relationships"><Relationship Id="rId1" Type="http://schemas.openxmlformats.org/officeDocument/2006/relationships/image" Target="../media/image6.png"/></Relationships>
</file>

<file path=word/drawings/_rels/drawing7.xml.rels><?xml version="1.0" encoding="UTF-8" standalone="yes"?>
<Relationships xmlns="http://schemas.openxmlformats.org/package/2006/relationships"><Relationship Id="rId1" Type="http://schemas.openxmlformats.org/officeDocument/2006/relationships/image" Target="../media/image7.png"/></Relationships>
</file>

<file path=word/drawings/_rels/drawing8.xml.rels><?xml version="1.0" encoding="UTF-8" standalone="yes"?>
<Relationships xmlns="http://schemas.openxmlformats.org/package/2006/relationships"><Relationship Id="rId1" Type="http://schemas.openxmlformats.org/officeDocument/2006/relationships/image" Target="../media/image8.png"/></Relationships>
</file>

<file path=word/drawings/_rels/drawing9.xml.rels><?xml version="1.0" encoding="UTF-8" standalone="yes"?>
<Relationships xmlns="http://schemas.openxmlformats.org/package/2006/relationships"><Relationship Id="rId1" Type="http://schemas.openxmlformats.org/officeDocument/2006/relationships/image" Target="../media/image9.png"/></Relationships>
</file>

<file path=word/drawings/drawing1.xml><?xml version="1.0" encoding="utf-8"?>
<c:userShapes xmlns:c="http://schemas.openxmlformats.org/drawingml/2006/chart">
  <cdr:relSizeAnchor xmlns:cdr="http://schemas.openxmlformats.org/drawingml/2006/chartDrawing">
    <cdr:from>
      <cdr:x>0.12379</cdr:x>
      <cdr:y>0.0535</cdr:y>
    </cdr:from>
    <cdr:to>
      <cdr:x>0.17364</cdr:x>
      <cdr:y>0.17697</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733425" y="123825"/>
          <a:ext cx="295316" cy="28579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0.1254</cdr:x>
      <cdr:y>0.06486</cdr:y>
    </cdr:from>
    <cdr:to>
      <cdr:x>0.17525</cdr:x>
      <cdr:y>0.22705</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742950" y="114300"/>
          <a:ext cx="295316" cy="285790"/>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0.11785</cdr:x>
      <cdr:y>0.08718</cdr:y>
    </cdr:from>
    <cdr:to>
      <cdr:x>0.17004</cdr:x>
      <cdr:y>0.24105</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66750" y="161925"/>
          <a:ext cx="295316" cy="285790"/>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0.13462</cdr:x>
      <cdr:y>0.09045</cdr:y>
    </cdr:from>
    <cdr:to>
      <cdr:x>0.19071</cdr:x>
      <cdr:y>0.25128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800100" y="171450"/>
          <a:ext cx="333422" cy="304843"/>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0.13782</cdr:x>
      <cdr:y>0.05221</cdr:y>
    </cdr:from>
    <cdr:to>
      <cdr:x>0.19392</cdr:x>
      <cdr:y>0.18074</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819150" y="123825"/>
          <a:ext cx="333422" cy="304843"/>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0.1057</cdr:x>
      <cdr:y>0.08451</cdr:y>
    </cdr:from>
    <cdr:to>
      <cdr:x>0.16444</cdr:x>
      <cdr:y>0.23476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00075" y="171450"/>
          <a:ext cx="333422" cy="304843"/>
        </a:xfrm>
        <a:prstGeom xmlns:a="http://schemas.openxmlformats.org/drawingml/2006/main" prst="rect">
          <a:avLst/>
        </a:prstGeom>
      </cdr:spPr>
    </cdr:pic>
  </cdr:relSizeAnchor>
</c:userShapes>
</file>

<file path=word/drawings/drawing7.xml><?xml version="1.0" encoding="utf-8"?>
<c:userShapes xmlns:c="http://schemas.openxmlformats.org/drawingml/2006/chart">
  <cdr:relSizeAnchor xmlns:cdr="http://schemas.openxmlformats.org/drawingml/2006/chartDrawing">
    <cdr:from>
      <cdr:x>0.07037</cdr:x>
      <cdr:y>0.06739</cdr:y>
    </cdr:from>
    <cdr:to>
      <cdr:x>0.13879</cdr:x>
      <cdr:y>0.25836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42900" y="114300"/>
          <a:ext cx="333422" cy="323895"/>
        </a:xfrm>
        <a:prstGeom xmlns:a="http://schemas.openxmlformats.org/drawingml/2006/main" prst="rect">
          <a:avLst/>
        </a:prstGeom>
      </cdr:spPr>
    </cdr:pic>
  </cdr:relSizeAnchor>
</c:userShapes>
</file>

<file path=word/drawings/drawing8.xml><?xml version="1.0" encoding="utf-8"?>
<c:userShapes xmlns:c="http://schemas.openxmlformats.org/drawingml/2006/chart">
  <cdr:relSizeAnchor xmlns:cdr="http://schemas.openxmlformats.org/drawingml/2006/chartDrawing">
    <cdr:from>
      <cdr:x>0.10407</cdr:x>
      <cdr:y>0.04367</cdr:y>
    </cdr:from>
    <cdr:to>
      <cdr:x>0.16098</cdr:x>
      <cdr:y>0.19216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09600" y="95250"/>
          <a:ext cx="333422" cy="323895"/>
        </a:xfrm>
        <a:prstGeom xmlns:a="http://schemas.openxmlformats.org/drawingml/2006/main" prst="rect">
          <a:avLst/>
        </a:prstGeom>
      </cdr:spPr>
    </cdr:pic>
  </cdr:relSizeAnchor>
</c:userShapes>
</file>

<file path=word/drawings/drawing9.xml><?xml version="1.0" encoding="utf-8"?>
<c:userShapes xmlns:c="http://schemas.openxmlformats.org/drawingml/2006/chart">
  <cdr:relSizeAnchor xmlns:cdr="http://schemas.openxmlformats.org/drawingml/2006/chartDrawing">
    <cdr:from>
      <cdr:x>0.09125</cdr:x>
      <cdr:y>0.05381</cdr:y>
    </cdr:from>
    <cdr:to>
      <cdr:x>0.15643</cdr:x>
      <cdr:y>0.2063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66725" y="114300"/>
          <a:ext cx="333422" cy="32389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11</Pages>
  <Words>4109</Words>
  <Characters>23424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Plasticity characteristics of bio - treated lateritic soil at varying Brevibacillus brevis and cementation reagents in microbial induced calcite precipitates applications</vt:lpstr>
    </vt:vector>
  </TitlesOfParts>
  <Company>Civil Engr Dept. A.B.U. Zaria</Company>
  <LinksUpToDate>false</LinksUpToDate>
  <CharactersWithSpaces>27479</CharactersWithSpaces>
  <SharedDoc>false</SharedDoc>
  <HLinks>
    <vt:vector size="30" baseType="variant">
      <vt:variant>
        <vt:i4>2752564</vt:i4>
      </vt:variant>
      <vt:variant>
        <vt:i4>12</vt:i4>
      </vt:variant>
      <vt:variant>
        <vt:i4>0</vt:i4>
      </vt:variant>
      <vt:variant>
        <vt:i4>5</vt:i4>
      </vt:variant>
      <vt:variant>
        <vt:lpwstr>https://doi.org/10.1007/s10706-018-00760-6</vt:lpwstr>
      </vt:variant>
      <vt:variant>
        <vt:lpwstr/>
      </vt:variant>
      <vt:variant>
        <vt:i4>655382</vt:i4>
      </vt:variant>
      <vt:variant>
        <vt:i4>9</vt:i4>
      </vt:variant>
      <vt:variant>
        <vt:i4>0</vt:i4>
      </vt:variant>
      <vt:variant>
        <vt:i4>5</vt:i4>
      </vt:variant>
      <vt:variant>
        <vt:lpwstr>https://doi.org/10.1007/s42452-020-1974-2</vt:lpwstr>
      </vt:variant>
      <vt:variant>
        <vt:lpwstr/>
      </vt:variant>
      <vt:variant>
        <vt:i4>196632</vt:i4>
      </vt:variant>
      <vt:variant>
        <vt:i4>6</vt:i4>
      </vt:variant>
      <vt:variant>
        <vt:i4>0</vt:i4>
      </vt:variant>
      <vt:variant>
        <vt:i4>5</vt:i4>
      </vt:variant>
      <vt:variant>
        <vt:lpwstr>https://doi.org/10.1007/s42452-019-0868-7</vt:lpwstr>
      </vt:variant>
      <vt:variant>
        <vt:lpwstr/>
      </vt:variant>
      <vt:variant>
        <vt:i4>2687009</vt:i4>
      </vt:variant>
      <vt:variant>
        <vt:i4>3</vt:i4>
      </vt:variant>
      <vt:variant>
        <vt:i4>0</vt:i4>
      </vt:variant>
      <vt:variant>
        <vt:i4>5</vt:i4>
      </vt:variant>
      <vt:variant>
        <vt:lpwstr>http://dx.doi.org/10.1016/j.cej.2012.12.034</vt:lpwstr>
      </vt:variant>
      <vt:variant>
        <vt:lpwstr/>
      </vt:variant>
      <vt:variant>
        <vt:i4>3997749</vt:i4>
      </vt:variant>
      <vt:variant>
        <vt:i4>0</vt:i4>
      </vt:variant>
      <vt:variant>
        <vt:i4>0</vt:i4>
      </vt:variant>
      <vt:variant>
        <vt:i4>5</vt:i4>
      </vt:variant>
      <vt:variant>
        <vt:lpwstr>https://doi.org/10.1007/s42947-020290-y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Plasticity characteristics of bio - treated lateritic soil at varying Brevibacillus brevis and cementation reagents in microbial induced calcite precipitates applications</dc:title>
  <dc:subject/>
  <dc:creator>TECNO WX3P</dc:creator>
  <cp:keywords/>
  <dc:description/>
  <cp:lastModifiedBy>MY-PC</cp:lastModifiedBy>
  <cp:revision>4</cp:revision>
  <dcterms:created xsi:type="dcterms:W3CDTF">2026-01-10T17:15:00Z</dcterms:created>
  <dcterms:modified xsi:type="dcterms:W3CDTF">2026-04-19T05:46:00Z</dcterms:modified>
</cp:coreProperties>
</file>