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CA49" w14:textId="77777777" w:rsidR="00C76077" w:rsidRDefault="00C07A7D">
      <w:pPr>
        <w:spacing w:after="200" w:line="259" w:lineRule="auto"/>
        <w:jc w:val="center"/>
      </w:pPr>
      <w:r>
        <w:rPr>
          <w:b/>
          <w:bCs/>
          <w:color w:val="000000"/>
          <w:sz w:val="28"/>
          <w:szCs w:val="28"/>
        </w:rPr>
        <w:t>Parental Involvement in Guidance and Counselling and the Implementation of Competency-Based Curriculum in Kenyan Junior Secondary Schools</w:t>
      </w:r>
    </w:p>
    <w:p w14:paraId="01D71B6E" w14:textId="56088256" w:rsidR="00C76077" w:rsidRDefault="00C07A7D">
      <w:pPr>
        <w:spacing w:after="60"/>
        <w:jc w:val="center"/>
      </w:pPr>
      <w:r>
        <w:rPr>
          <w:b/>
          <w:bCs/>
          <w:color w:val="000000"/>
        </w:rPr>
        <w:t/>
      </w:r>
    </w:p>
    <w:p w14:paraId="3443F453" w14:textId="77777777" w:rsidR="00C76077" w:rsidRDefault="00C07A7D">
      <w:pPr>
        <w:spacing w:after="60"/>
        <w:jc w:val="center"/>
      </w:pPr>
      <w:proofErr w:type="spellStart"/>
      <w:r>
        <w:rPr>
          <w:color w:val="000000"/>
        </w:rPr>
        <w:t/>
      </w:r>
      <w:proofErr w:type="spellEnd"/>
      <w:r>
        <w:rPr>
          <w:color w:val="000000"/>
        </w:rPr>
        <w:t xml:space="preserve"/>
      </w:r>
    </w:p>
    <w:p w14:paraId="2E00D1D2" w14:textId="77777777" w:rsidR="00C76077" w:rsidRDefault="00C07A7D">
      <w:pPr>
        <w:spacing w:after="60"/>
        <w:jc w:val="center"/>
      </w:pPr>
      <w:r>
        <w:rPr>
          <w:color w:val="000000"/>
        </w:rPr>
        <w:t/>
      </w:r>
    </w:p>
    <w:p w14:paraId="707E4292" w14:textId="47D51EB9" w:rsidR="00C76077" w:rsidRDefault="00C07A7D">
      <w:pPr>
        <w:spacing w:after="60"/>
        <w:jc w:val="center"/>
      </w:pPr>
      <w:r>
        <w:rPr>
          <w:color w:val="000000"/>
        </w:rPr>
        <w:t/>
      </w:r>
    </w:p>
    <w:p w14:paraId="36CCE0B6" w14:textId="77777777" w:rsidR="00C76077" w:rsidRDefault="00C07A7D">
      <w:pPr>
        <w:spacing w:after="60"/>
        <w:jc w:val="center"/>
      </w:pPr>
      <w:r>
        <w:rPr>
          <w:color w:val="000000"/>
          <w:sz w:val="20"/>
          <w:szCs w:val="20"/>
        </w:rPr>
        <w:t/>
      </w:r>
    </w:p>
    <w:p w14:paraId="6CD581C1" w14:textId="3C7D0AAA" w:rsidR="00C76077" w:rsidRDefault="00C76077" w:rsidP="00587FC2">
      <w:pPr>
        <w:spacing w:after="60"/>
      </w:pPr>
    </w:p>
    <w:p w14:paraId="55DFA892" w14:textId="77777777" w:rsidR="00C76077" w:rsidRDefault="00C07A7D">
      <w:pPr>
        <w:spacing w:before="200" w:after="80"/>
      </w:pPr>
      <w:r>
        <w:rPr>
          <w:b/>
          <w:bCs/>
          <w:color w:val="000000"/>
          <w:sz w:val="28"/>
          <w:szCs w:val="28"/>
        </w:rPr>
        <w:t>ABSTRACT</w:t>
      </w:r>
    </w:p>
    <w:p w14:paraId="0052D2C4" w14:textId="77777777" w:rsidR="00C76077" w:rsidRDefault="00C07A7D">
      <w:pPr>
        <w:spacing w:after="200" w:line="259" w:lineRule="auto"/>
        <w:jc w:val="both"/>
      </w:pPr>
      <w:r>
        <w:rPr>
          <w:color w:val="000000"/>
        </w:rPr>
        <w:t xml:space="preserve">Kenya's transition to Competency-Based Curriculum (CBC) has fundamentally redefined the relationship schools must cultivate with families. Yet one dimension of parental engagement has attracted comparatively little research attention: participation in school-based guidance and counselling. This study examined whether, and how strongly, parental participation in guidance and counselling is associated with effective CBC implementation in public junior secondary schools in </w:t>
      </w:r>
      <w:proofErr w:type="spellStart"/>
      <w:r>
        <w:rPr>
          <w:color w:val="000000"/>
        </w:rPr>
        <w:t>Sotik</w:t>
      </w:r>
      <w:proofErr w:type="spellEnd"/>
      <w:r>
        <w:rPr>
          <w:color w:val="000000"/>
        </w:rPr>
        <w:t xml:space="preserve"> Sub-County, </w:t>
      </w:r>
      <w:proofErr w:type="spellStart"/>
      <w:r>
        <w:rPr>
          <w:color w:val="000000"/>
        </w:rPr>
        <w:t>Bomet</w:t>
      </w:r>
      <w:proofErr w:type="spellEnd"/>
      <w:r>
        <w:rPr>
          <w:color w:val="000000"/>
        </w:rPr>
        <w:t xml:space="preserve"> County, Kenya. Theoretically anchored in the Multidimensional Engagement Theory of Fredricks, Blumenfeld, and Paris (2004), the study used a convergent parallel mixed-methods design drawing on 398 respondents — headteachers, teachers, students, and parents. Quantitative data from structured questionnaires were analysed using descriptive statistics and Pearson's correlation; qualitative data from semi-structured headteacher interviews were analysed thematically. The study tested the null hypothesis that parental participation in school-based guidance and counselling has no statistically significant association with effective CBC implementation. Among the 100 parent respondents, only 24.9% participated regularly in guidance and counselling activities (composite M = 2.05, SD = 0.74 on a five-point scale). Where participation occurred, its associations with student outcomes were notable: 82.4% of student respondents rated parental G&amp;C participation as effective or very effective in improving school attendance, and 70.6% affirmed its role in enhancing decision-making quality. Pearson correlation confirmed significant positive associations across all three CBC outcome indicators (r = .59 composite, p &lt; .05), supporting rejection of the null hypothesis. Headteacher interviews identified limited parental CBC literacy, logistical constraints, and inadequate institutional structures as the primary barriers. The study concludes that parental guidance and counselling engagement is a substantially underused lever within CBC implementation systems, and recommends targeted structural interventions to broaden and deepen it.</w:t>
      </w:r>
    </w:p>
    <w:p w14:paraId="046C67FF" w14:textId="77777777" w:rsidR="00C76077" w:rsidRDefault="00C07A7D">
      <w:pPr>
        <w:spacing w:after="280" w:line="259" w:lineRule="auto"/>
      </w:pPr>
      <w:r>
        <w:rPr>
          <w:b/>
          <w:bCs/>
          <w:color w:val="000000"/>
        </w:rPr>
        <w:t xml:space="preserve">Keywords: </w:t>
      </w:r>
      <w:r>
        <w:rPr>
          <w:color w:val="000000"/>
        </w:rPr>
        <w:t>parental involvement; guidance and counselling; competency-based curriculum; junior secondary schools; Kenya</w:t>
      </w:r>
    </w:p>
    <w:p w14:paraId="4DDE5D5B" w14:textId="77777777" w:rsidR="00C76077" w:rsidRDefault="00C07A7D">
      <w:pPr>
        <w:pageBreakBefore/>
        <w:spacing w:before="200" w:after="80"/>
      </w:pPr>
      <w:r>
        <w:rPr>
          <w:b/>
          <w:bCs/>
          <w:color w:val="000000"/>
          <w:sz w:val="28"/>
          <w:szCs w:val="28"/>
        </w:rPr>
        <w:lastRenderedPageBreak/>
        <w:t>INTRODUCTION</w:t>
      </w:r>
    </w:p>
    <w:p w14:paraId="66B04B5A" w14:textId="77777777" w:rsidR="00C76077" w:rsidRDefault="00C07A7D">
      <w:pPr>
        <w:spacing w:after="200" w:line="259" w:lineRule="auto"/>
        <w:jc w:val="both"/>
      </w:pPr>
      <w:r>
        <w:rPr>
          <w:color w:val="000000"/>
        </w:rPr>
        <w:t>When Kenya formally adopted the Competency-Based Curriculum in 2017, it committed schools not merely to changing what is taught but to transforming how learners are supported in developing demonstrable competencies — critical thinking, creativity, communication, collaboration, self-efficacy, and digital literacy, among others.(KICD, 2019; Begi, 2019) Junior secondary schools bear the sharpest implementation responsibility: learners at this transitional stage are constructing identities, exploring competency pathways, and making educational choices that will shape their adult trajectories.</w:t>
      </w:r>
    </w:p>
    <w:p w14:paraId="1447A6D9" w14:textId="77777777" w:rsidR="00C76077" w:rsidRDefault="00C07A7D">
      <w:pPr>
        <w:spacing w:after="200" w:line="259" w:lineRule="auto"/>
        <w:jc w:val="both"/>
      </w:pPr>
      <w:r>
        <w:rPr>
          <w:color w:val="000000"/>
        </w:rPr>
        <w:t xml:space="preserve">International evidence is unambiguous that reforms of this ambition do not succeed through school-level action alone. When family engagement is weak, even well-designed curricula underperform; when it is strong, reform effects are amplified.(Fredricks et al., 2004) Epstein's Overlapping Spheres of Influence model captures this structurally: schools and families share overlapping zones of educational responsibility, and when those zones are deliberately aligned through partnership mechanisms — including structured counselling — learner outcomes improve measurably.(Epstein, 2011) The Hoover-Dempsey and Sandler model adds a motivational dimension, arguing that parents participate when they believe they should, believe they can, and perceive invitations from the school — three conditions largely absent for many parents in </w:t>
      </w:r>
      <w:proofErr w:type="spellStart"/>
      <w:r>
        <w:rPr>
          <w:color w:val="000000"/>
        </w:rPr>
        <w:t>Sotik</w:t>
      </w:r>
      <w:proofErr w:type="spellEnd"/>
      <w:r>
        <w:rPr>
          <w:color w:val="000000"/>
        </w:rPr>
        <w:t xml:space="preserve"> Sub-County.(Hoover-Dempsey &amp; Sandler, 1997) Bronfenbrenner's ecological perspective similarly positions parental engagement as a mesosystem bridge between home and school microsystems, without which the child's development environments remain functionally disconnected.(Bronfenbrenner, 1979)</w:t>
      </w:r>
    </w:p>
    <w:p w14:paraId="1BD87C92" w14:textId="77777777" w:rsidR="00C76077" w:rsidRDefault="00C07A7D">
      <w:pPr>
        <w:spacing w:after="200" w:line="259" w:lineRule="auto"/>
        <w:jc w:val="both"/>
      </w:pPr>
      <w:r>
        <w:t xml:space="preserve">Momanyi, J. M., &amp; </w:t>
      </w:r>
      <w:proofErr w:type="spellStart"/>
      <w:r>
        <w:t>Rop</w:t>
      </w:r>
      <w:proofErr w:type="spellEnd"/>
      <w:r>
        <w:t xml:space="preserve">, P. K. (2019). Teacher preparedness for the implementation of competency-based curriculum in Kenya: A survey of early grade primary school teachers in </w:t>
      </w:r>
      <w:proofErr w:type="spellStart"/>
      <w:r>
        <w:t>Bomet</w:t>
      </w:r>
      <w:proofErr w:type="spellEnd"/>
      <w:r>
        <w:t xml:space="preserve"> East Sub-County. </w:t>
      </w:r>
      <w:r>
        <w:rPr>
          <w:i/>
          <w:iCs/>
        </w:rPr>
        <w:t>The Cradle of Knowledge: African Journal of Educational and Social Science Research, 7</w:t>
      </w:r>
      <w:r>
        <w:t>(1). http://kerd.ku.ac.ke/123456789/513</w:t>
      </w:r>
    </w:p>
    <w:p w14:paraId="5B2FA72F" w14:textId="77777777" w:rsidR="00C76077" w:rsidRDefault="00C07A7D">
      <w:pPr>
        <w:spacing w:after="200" w:line="259" w:lineRule="auto"/>
        <w:jc w:val="both"/>
      </w:pPr>
      <w:r>
        <w:rPr>
          <w:color w:val="000000"/>
        </w:rPr>
        <w:t xml:space="preserve">This study was designed to examine that gap empirically. Its purpose was to assess the nature and strength of the association between parental participation in school-based guidance and counselling and effective CBC implementation in public junior secondary schools in </w:t>
      </w:r>
      <w:proofErr w:type="spellStart"/>
      <w:r>
        <w:rPr>
          <w:color w:val="000000"/>
        </w:rPr>
        <w:t>Sotik</w:t>
      </w:r>
      <w:proofErr w:type="spellEnd"/>
      <w:r>
        <w:rPr>
          <w:color w:val="000000"/>
        </w:rPr>
        <w:t xml:space="preserve"> Sub-County. The investigation was guided by three objectives: first, to establish the extent of parental participation in guidance and counselling within the sub-county; second, to assess its associations with three CBC implementation indicators — student school attendance, decision-making quality, and peer collaborative learning; and third, to examine the institutional barriers and enabling conditions that shape participation. The null hypothesis tested was that there is no statistically significant association between parental guidance and counselling participation and effective CBC implementation in public junior secondary schools in </w:t>
      </w:r>
      <w:proofErr w:type="spellStart"/>
      <w:r>
        <w:rPr>
          <w:color w:val="000000"/>
        </w:rPr>
        <w:t>Sotik</w:t>
      </w:r>
      <w:proofErr w:type="spellEnd"/>
      <w:r>
        <w:rPr>
          <w:color w:val="000000"/>
        </w:rPr>
        <w:t xml:space="preserve"> Sub-County, </w:t>
      </w:r>
      <w:proofErr w:type="spellStart"/>
      <w:r>
        <w:rPr>
          <w:color w:val="000000"/>
        </w:rPr>
        <w:t>Bomet</w:t>
      </w:r>
      <w:proofErr w:type="spellEnd"/>
      <w:r>
        <w:rPr>
          <w:color w:val="000000"/>
        </w:rPr>
        <w:t xml:space="preserve"> County.</w:t>
      </w:r>
    </w:p>
    <w:p w14:paraId="4E2D8E1D" w14:textId="77777777" w:rsidR="00C76077" w:rsidRDefault="00C07A7D">
      <w:pPr>
        <w:spacing w:after="200" w:line="259" w:lineRule="auto"/>
        <w:jc w:val="both"/>
      </w:pPr>
      <w:r>
        <w:rPr>
          <w:color w:val="000000"/>
        </w:rPr>
        <w:t>The study makes a contribution at three levels. For school leaders and counsellors, it provides sub-county-specific evidence to guide targeted engagement programme design. For policy, it argues that parental guidance and counselling participation should be disaggregated from general parental involvement metrics in CBC monitoring frameworks. For scholarship, it extends Fredricks et al.'s Multidimensional Engagement Theory from the student-engagement domain — where it is well established — to parental engagement, an application with considerable theoretical and practical utility.</w:t>
      </w:r>
    </w:p>
    <w:p w14:paraId="44B1D8C9" w14:textId="77777777" w:rsidR="00C76077" w:rsidRDefault="00C07A7D">
      <w:pPr>
        <w:pageBreakBefore/>
        <w:spacing w:before="200" w:after="80"/>
      </w:pPr>
      <w:r>
        <w:rPr>
          <w:b/>
          <w:bCs/>
          <w:color w:val="000000"/>
          <w:sz w:val="28"/>
          <w:szCs w:val="28"/>
        </w:rPr>
        <w:lastRenderedPageBreak/>
        <w:t>LITERATURE REVIEW</w:t>
      </w:r>
    </w:p>
    <w:p w14:paraId="75D66039" w14:textId="77777777" w:rsidR="00C76077" w:rsidRDefault="00C07A7D">
      <w:pPr>
        <w:spacing w:before="240" w:after="60"/>
      </w:pPr>
      <w:r>
        <w:rPr>
          <w:b/>
          <w:bCs/>
          <w:color w:val="000000"/>
        </w:rPr>
        <w:t>Theoretical and Conceptual Framework</w:t>
      </w:r>
    </w:p>
    <w:p w14:paraId="3C36564E" w14:textId="77777777" w:rsidR="00C76077" w:rsidRDefault="00C07A7D">
      <w:pPr>
        <w:spacing w:after="200" w:line="259" w:lineRule="auto"/>
        <w:jc w:val="both"/>
      </w:pPr>
      <w:r>
        <w:rPr>
          <w:color w:val="000000"/>
        </w:rPr>
        <w:t xml:space="preserve">Three theoretical perspectives inform this study's analytical framework. Fredricks, Blumenfeld, and Paris's Multidimensional Engagement Theory, initially developed to explain student engagement in schooling, provides the primary organising </w:t>
      </w:r>
      <w:proofErr w:type="gramStart"/>
      <w:r>
        <w:rPr>
          <w:color w:val="000000"/>
        </w:rPr>
        <w:t>lens.(</w:t>
      </w:r>
      <w:proofErr w:type="gramEnd"/>
      <w:r>
        <w:rPr>
          <w:color w:val="000000"/>
        </w:rPr>
        <w:t>Fredricks et al., 2004) The theory distinguishes three dimensions of engagement: behavioural (observable participation and responsiveness), emotional (relational investment, sense of belonging, and trust), and cognitive (depth of understanding, internalisation of goals, and strategic application of learning). Applied to parental participation in guidance and counselling, these dimensions become analytically precise: a parent who attends a counselling session (behavioural) but leaves without understanding CBC's competency goals (cognitive deficit) cannot perform the home reinforcement role that CBC requires. Emotional engagement — whether the parent feels welcomed, valued, and genuinely partnered in the process — determines whether behavioural participation is sustained or episodic.</w:t>
      </w:r>
    </w:p>
    <w:p w14:paraId="0B99C1E2" w14:textId="77777777" w:rsidR="00C76077" w:rsidRDefault="00C07A7D">
      <w:pPr>
        <w:spacing w:after="200" w:line="259" w:lineRule="auto"/>
        <w:jc w:val="both"/>
      </w:pPr>
      <w:r>
        <w:rPr>
          <w:color w:val="000000"/>
        </w:rPr>
        <w:t xml:space="preserve">Epstein's Overlapping Spheres model complements this by explaining the institutional architecture through which each engagement dimension is enabled or </w:t>
      </w:r>
      <w:proofErr w:type="gramStart"/>
      <w:r>
        <w:rPr>
          <w:color w:val="000000"/>
        </w:rPr>
        <w:t>constrained.(</w:t>
      </w:r>
      <w:proofErr w:type="gramEnd"/>
      <w:r>
        <w:rPr>
          <w:color w:val="000000"/>
        </w:rPr>
        <w:t xml:space="preserve">Epstein, 2011) Where schools create deliberate partnership structures — accessible scheduling, trained counsellors, culturally appropriate communication — all three engagement dimensions can be cultivated simultaneously. The Hoover-Dempsey and Sandler model adds explanatory power for the pattern of low initial participation: parents need not only the motivation to engage but perceivable invitations from the school and a belief that their participation will make a </w:t>
      </w:r>
      <w:proofErr w:type="gramStart"/>
      <w:r>
        <w:rPr>
          <w:color w:val="000000"/>
        </w:rPr>
        <w:t>difference.(</w:t>
      </w:r>
      <w:proofErr w:type="gramEnd"/>
      <w:r>
        <w:rPr>
          <w:color w:val="000000"/>
        </w:rPr>
        <w:t xml:space="preserve">Hoover-Dempsey &amp; Sandler, 1997) In </w:t>
      </w:r>
      <w:proofErr w:type="spellStart"/>
      <w:r>
        <w:rPr>
          <w:color w:val="000000"/>
        </w:rPr>
        <w:t>Sotik</w:t>
      </w:r>
      <w:proofErr w:type="spellEnd"/>
      <w:r>
        <w:rPr>
          <w:color w:val="000000"/>
        </w:rPr>
        <w:t xml:space="preserve"> Sub-County, where such invitations are structurally inconsistent, even motivated parents may not engage. Bronfenbrenner's ecological framing locates the school-family counselling relationship as a mesosystem interaction — and reminds us that strengthening this interaction requires attention to the broader macrosystem conditions (agricultural economy, CBC policy design, resource allocation) that constrain </w:t>
      </w:r>
      <w:proofErr w:type="gramStart"/>
      <w:r>
        <w:rPr>
          <w:color w:val="000000"/>
        </w:rPr>
        <w:t>it.(</w:t>
      </w:r>
      <w:proofErr w:type="gramEnd"/>
      <w:r>
        <w:rPr>
          <w:color w:val="000000"/>
        </w:rPr>
        <w:t>Bronfenbrenner, 1979)</w:t>
      </w:r>
    </w:p>
    <w:p w14:paraId="24AFC2E3" w14:textId="77777777" w:rsidR="00C76077" w:rsidRDefault="00C07A7D">
      <w:pPr>
        <w:spacing w:after="200" w:line="259" w:lineRule="auto"/>
        <w:jc w:val="both"/>
      </w:pPr>
      <w:r>
        <w:rPr>
          <w:color w:val="000000"/>
        </w:rPr>
        <w:t xml:space="preserve">The conceptual framework derived from these perspectives is shown in Figure 1. It positions parental participation in guidance and counselling (operationalised through the three engagement dimensions) as the independent variable, effective CBC implementation (assessed through attendance, decision-making quality, and peer collaboration) as the dependent variable, and four contextual conditions as influencing but unmodelled factors: parental CBC literacy, school counselling infrastructure, agricultural seasonality, and counsellor capacity. These four were selected because they are directly and repeatedly documented as proximal constraints on school-based counselling engagement in the Kenyan </w:t>
      </w:r>
      <w:proofErr w:type="gramStart"/>
      <w:r>
        <w:rPr>
          <w:color w:val="000000"/>
        </w:rPr>
        <w:t>literature.(</w:t>
      </w:r>
      <w:proofErr w:type="spellStart"/>
      <w:proofErr w:type="gramEnd"/>
      <w:r>
        <w:rPr>
          <w:color w:val="000000"/>
        </w:rPr>
        <w:t>Amunga</w:t>
      </w:r>
      <w:proofErr w:type="spellEnd"/>
      <w:r>
        <w:rPr>
          <w:color w:val="000000"/>
        </w:rPr>
        <w:t xml:space="preserve"> et al., 2020; </w:t>
      </w:r>
      <w:proofErr w:type="spellStart"/>
      <w:r>
        <w:rPr>
          <w:color w:val="000000"/>
        </w:rPr>
        <w:t>Syomwene</w:t>
      </w:r>
      <w:proofErr w:type="spellEnd"/>
      <w:r>
        <w:rPr>
          <w:color w:val="000000"/>
        </w:rPr>
        <w:t>, 2022) Other possible moderators — parental education level, household income — operate more distally and were not the focus of this sub-county investigation.</w:t>
      </w:r>
    </w:p>
    <w:p w14:paraId="05D43265" w14:textId="77777777" w:rsidR="00C76077" w:rsidRDefault="00C07A7D">
      <w:pPr>
        <w:keepNext/>
        <w:spacing w:before="200" w:after="60"/>
      </w:pPr>
      <w:r>
        <w:rPr>
          <w:b/>
          <w:bCs/>
          <w:color w:val="000000"/>
        </w:rPr>
        <w:lastRenderedPageBreak/>
        <w:t>Figure 1. Conceptual Framework: Parental G&amp;C Participation and CBC Implementation Effectiveness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8"/>
        <w:gridCol w:w="421"/>
        <w:gridCol w:w="2648"/>
        <w:gridCol w:w="421"/>
        <w:gridCol w:w="2818"/>
      </w:tblGrid>
      <w:tr w:rsidR="00C76077" w14:paraId="06D139B6" w14:textId="77777777">
        <w:trPr>
          <w:cantSplit/>
          <w:trHeight w:val="520"/>
        </w:trPr>
        <w:tc>
          <w:tcPr>
            <w:tcW w:w="2848"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89DFB73" w14:textId="77777777" w:rsidR="00C76077" w:rsidRDefault="00C07A7D">
            <w:pPr>
              <w:keepNext/>
              <w:spacing w:before="60" w:after="60"/>
              <w:jc w:val="center"/>
            </w:pPr>
            <w:r>
              <w:rPr>
                <w:b/>
                <w:bCs/>
                <w:color w:val="FFFFFF"/>
                <w:sz w:val="26"/>
                <w:szCs w:val="26"/>
              </w:rPr>
              <w:t>PARENTAL PARTICIPATION IN GUIDANCE AND COUNSELLING</w:t>
            </w:r>
          </w:p>
        </w:tc>
        <w:tc>
          <w:tcPr>
            <w:tcW w:w="240" w:type="dxa"/>
          </w:tcPr>
          <w:p w14:paraId="1FC42B71" w14:textId="77777777" w:rsidR="00C76077" w:rsidRDefault="00C76077"/>
        </w:tc>
        <w:tc>
          <w:tcPr>
            <w:tcW w:w="2848" w:type="dxa"/>
            <w:tcBorders>
              <w:top w:val="single" w:sz="8" w:space="0" w:color="B8860B"/>
              <w:left w:val="single" w:sz="8" w:space="0" w:color="B8860B"/>
              <w:bottom w:val="single" w:sz="8" w:space="0" w:color="B8860B"/>
              <w:right w:val="single" w:sz="8" w:space="0" w:color="B8860B"/>
            </w:tcBorders>
            <w:shd w:val="clear" w:color="auto" w:fill="B8860B"/>
            <w:tcMar>
              <w:top w:w="80" w:type="dxa"/>
              <w:left w:w="120" w:type="dxa"/>
              <w:bottom w:w="80" w:type="dxa"/>
              <w:right w:w="120" w:type="dxa"/>
            </w:tcMar>
            <w:vAlign w:val="center"/>
          </w:tcPr>
          <w:p w14:paraId="43C35E86" w14:textId="77777777" w:rsidR="00C76077" w:rsidRDefault="00C07A7D">
            <w:pPr>
              <w:spacing w:before="60" w:after="60"/>
              <w:jc w:val="center"/>
            </w:pPr>
            <w:r>
              <w:rPr>
                <w:b/>
                <w:bCs/>
                <w:color w:val="FFFFFF"/>
                <w:sz w:val="26"/>
                <w:szCs w:val="26"/>
              </w:rPr>
              <w:t>CONTEXTUAL CONDITIONS (not statistically modelled)</w:t>
            </w:r>
          </w:p>
        </w:tc>
        <w:tc>
          <w:tcPr>
            <w:tcW w:w="240" w:type="dxa"/>
          </w:tcPr>
          <w:p w14:paraId="390E17AB" w14:textId="77777777" w:rsidR="00C76077" w:rsidRDefault="00C76077"/>
        </w:tc>
        <w:tc>
          <w:tcPr>
            <w:tcW w:w="2850" w:type="dxa"/>
            <w:tcBorders>
              <w:top w:val="single" w:sz="8" w:space="0" w:color="1E6B5E"/>
              <w:left w:val="single" w:sz="8" w:space="0" w:color="1E6B5E"/>
              <w:bottom w:val="single" w:sz="8" w:space="0" w:color="1E6B5E"/>
              <w:right w:val="single" w:sz="8" w:space="0" w:color="1E6B5E"/>
            </w:tcBorders>
            <w:shd w:val="clear" w:color="auto" w:fill="1E6B5E"/>
            <w:tcMar>
              <w:top w:w="80" w:type="dxa"/>
              <w:left w:w="120" w:type="dxa"/>
              <w:bottom w:w="80" w:type="dxa"/>
              <w:right w:w="120" w:type="dxa"/>
            </w:tcMar>
            <w:vAlign w:val="center"/>
          </w:tcPr>
          <w:p w14:paraId="6CAEBE8E" w14:textId="77777777" w:rsidR="00C76077" w:rsidRDefault="00C07A7D">
            <w:pPr>
              <w:spacing w:before="60" w:after="60"/>
              <w:jc w:val="center"/>
            </w:pPr>
            <w:r>
              <w:rPr>
                <w:b/>
                <w:bCs/>
                <w:color w:val="FFFFFF"/>
                <w:sz w:val="26"/>
                <w:szCs w:val="26"/>
              </w:rPr>
              <w:t>EFFECTIVE CBC IMPLEMENTATION</w:t>
            </w:r>
          </w:p>
        </w:tc>
      </w:tr>
      <w:tr w:rsidR="00C76077" w14:paraId="03D24B6B" w14:textId="77777777">
        <w:trPr>
          <w:cantSplit/>
          <w:trHeight w:val="500"/>
        </w:trPr>
        <w:tc>
          <w:tcPr>
            <w:tcW w:w="2848" w:type="dxa"/>
            <w:tcBorders>
              <w:top w:val="single" w:sz="8" w:space="0" w:color="1F4E79"/>
              <w:left w:val="single" w:sz="8" w:space="0" w:color="1F4E79"/>
              <w:bottom w:val="single" w:sz="8" w:space="0" w:color="1F4E79"/>
              <w:right w:val="single" w:sz="8" w:space="0" w:color="1F4E79"/>
            </w:tcBorders>
            <w:shd w:val="clear" w:color="auto" w:fill="FFFFFF"/>
            <w:tcMar>
              <w:top w:w="80" w:type="dxa"/>
              <w:left w:w="120" w:type="dxa"/>
              <w:bottom w:w="80" w:type="dxa"/>
              <w:right w:w="120" w:type="dxa"/>
            </w:tcMar>
          </w:tcPr>
          <w:p w14:paraId="239FB2CA" w14:textId="77777777" w:rsidR="00C76077" w:rsidRDefault="00C07A7D">
            <w:pPr>
              <w:spacing w:before="60" w:after="20"/>
              <w:ind w:left="120"/>
            </w:pPr>
            <w:proofErr w:type="gramStart"/>
            <w:r>
              <w:rPr>
                <w:b/>
                <w:bCs/>
                <w:color w:val="1F4E79"/>
              </w:rPr>
              <w:t xml:space="preserve">●  </w:t>
            </w:r>
            <w:r>
              <w:rPr>
                <w:b/>
                <w:bCs/>
                <w:color w:val="000000"/>
              </w:rPr>
              <w:t>Behavioural</w:t>
            </w:r>
            <w:proofErr w:type="gramEnd"/>
            <w:r>
              <w:rPr>
                <w:b/>
                <w:bCs/>
                <w:color w:val="000000"/>
              </w:rPr>
              <w:t xml:space="preserve"> Engagement</w:t>
            </w:r>
          </w:p>
          <w:p w14:paraId="409AC7A6" w14:textId="77777777" w:rsidR="00C76077" w:rsidRDefault="00C07A7D">
            <w:pPr>
              <w:spacing w:after="60"/>
              <w:ind w:left="320"/>
            </w:pPr>
            <w:r>
              <w:rPr>
                <w:i/>
                <w:iCs/>
                <w:color w:val="555555"/>
              </w:rPr>
              <w:t>Attendance at G&amp;C sessions; responsiveness to school communications</w:t>
            </w:r>
          </w:p>
          <w:p w14:paraId="0CEA0419" w14:textId="77777777" w:rsidR="00C76077" w:rsidRDefault="00C07A7D">
            <w:pPr>
              <w:spacing w:before="60" w:after="20"/>
              <w:ind w:left="120"/>
            </w:pPr>
            <w:proofErr w:type="gramStart"/>
            <w:r>
              <w:rPr>
                <w:b/>
                <w:bCs/>
                <w:color w:val="1F4E79"/>
              </w:rPr>
              <w:t xml:space="preserve">●  </w:t>
            </w:r>
            <w:r>
              <w:rPr>
                <w:b/>
                <w:bCs/>
                <w:color w:val="000000"/>
              </w:rPr>
              <w:t>Emotional</w:t>
            </w:r>
            <w:proofErr w:type="gramEnd"/>
            <w:r>
              <w:rPr>
                <w:b/>
                <w:bCs/>
                <w:color w:val="000000"/>
              </w:rPr>
              <w:t xml:space="preserve"> Engagement</w:t>
            </w:r>
          </w:p>
          <w:p w14:paraId="08ABEFED" w14:textId="77777777" w:rsidR="00C76077" w:rsidRDefault="00C07A7D">
            <w:pPr>
              <w:spacing w:after="60"/>
              <w:ind w:left="320"/>
            </w:pPr>
            <w:r>
              <w:rPr>
                <w:i/>
                <w:iCs/>
                <w:color w:val="555555"/>
              </w:rPr>
              <w:t>Relational trust; sense of partnership with counsellors</w:t>
            </w:r>
          </w:p>
          <w:p w14:paraId="47201D75" w14:textId="77777777" w:rsidR="00C76077" w:rsidRDefault="00C07A7D">
            <w:pPr>
              <w:spacing w:before="60" w:after="20"/>
              <w:ind w:left="120"/>
            </w:pPr>
            <w:proofErr w:type="gramStart"/>
            <w:r>
              <w:rPr>
                <w:b/>
                <w:bCs/>
                <w:color w:val="1F4E79"/>
              </w:rPr>
              <w:t xml:space="preserve">●  </w:t>
            </w:r>
            <w:r>
              <w:rPr>
                <w:b/>
                <w:bCs/>
                <w:color w:val="000000"/>
              </w:rPr>
              <w:t>Cognitive</w:t>
            </w:r>
            <w:proofErr w:type="gramEnd"/>
            <w:r>
              <w:rPr>
                <w:b/>
                <w:bCs/>
                <w:color w:val="000000"/>
              </w:rPr>
              <w:t xml:space="preserve"> Engagement</w:t>
            </w:r>
          </w:p>
          <w:p w14:paraId="3616DA7C" w14:textId="77777777" w:rsidR="00C76077" w:rsidRDefault="00C07A7D">
            <w:pPr>
              <w:spacing w:after="60"/>
              <w:ind w:left="320"/>
            </w:pPr>
            <w:r>
              <w:rPr>
                <w:i/>
                <w:iCs/>
                <w:color w:val="555555"/>
              </w:rPr>
              <w:t>CBC literacy; applying counsellor feedback in home support</w:t>
            </w:r>
          </w:p>
        </w:tc>
        <w:tc>
          <w:tcPr>
            <w:tcW w:w="240" w:type="dxa"/>
            <w:tcMar>
              <w:top w:w="0" w:type="dxa"/>
              <w:left w:w="0" w:type="dxa"/>
              <w:bottom w:w="0" w:type="dxa"/>
              <w:right w:w="0" w:type="dxa"/>
            </w:tcMar>
            <w:vAlign w:val="center"/>
          </w:tcPr>
          <w:p w14:paraId="25C89DBE" w14:textId="77777777" w:rsidR="00C76077" w:rsidRDefault="00C07A7D">
            <w:pPr>
              <w:jc w:val="center"/>
            </w:pPr>
            <w:r>
              <w:rPr>
                <w:b/>
                <w:bCs/>
                <w:color w:val="000000"/>
                <w:sz w:val="40"/>
                <w:szCs w:val="40"/>
              </w:rPr>
              <w:t>➡</w:t>
            </w:r>
          </w:p>
        </w:tc>
        <w:tc>
          <w:tcPr>
            <w:tcW w:w="2848" w:type="dxa"/>
            <w:tcBorders>
              <w:top w:val="single" w:sz="8" w:space="0" w:color="B8860B"/>
              <w:left w:val="single" w:sz="8" w:space="0" w:color="B8860B"/>
              <w:bottom w:val="single" w:sz="8" w:space="0" w:color="B8860B"/>
              <w:right w:val="single" w:sz="8" w:space="0" w:color="B8860B"/>
            </w:tcBorders>
            <w:shd w:val="clear" w:color="auto" w:fill="FFFFFF"/>
            <w:tcMar>
              <w:top w:w="80" w:type="dxa"/>
              <w:left w:w="120" w:type="dxa"/>
              <w:bottom w:w="80" w:type="dxa"/>
              <w:right w:w="120" w:type="dxa"/>
            </w:tcMar>
          </w:tcPr>
          <w:p w14:paraId="1C583B92" w14:textId="77777777" w:rsidR="00C76077" w:rsidRDefault="00C07A7D">
            <w:pPr>
              <w:spacing w:before="60" w:after="20"/>
              <w:ind w:left="120"/>
            </w:pPr>
            <w:proofErr w:type="gramStart"/>
            <w:r>
              <w:rPr>
                <w:b/>
                <w:bCs/>
                <w:color w:val="B8860B"/>
              </w:rPr>
              <w:t xml:space="preserve">●  </w:t>
            </w:r>
            <w:r>
              <w:rPr>
                <w:b/>
                <w:bCs/>
                <w:color w:val="000000"/>
              </w:rPr>
              <w:t>Parental</w:t>
            </w:r>
            <w:proofErr w:type="gramEnd"/>
            <w:r>
              <w:rPr>
                <w:b/>
                <w:bCs/>
                <w:color w:val="000000"/>
              </w:rPr>
              <w:t xml:space="preserve"> CBC Literacy</w:t>
            </w:r>
          </w:p>
          <w:p w14:paraId="7FF216B1" w14:textId="77777777" w:rsidR="00C76077" w:rsidRDefault="00C07A7D">
            <w:pPr>
              <w:spacing w:after="60"/>
              <w:ind w:left="320"/>
            </w:pPr>
            <w:r>
              <w:rPr>
                <w:i/>
                <w:iCs/>
                <w:color w:val="555555"/>
              </w:rPr>
              <w:t>Awareness of CBC goals and counselling expectations</w:t>
            </w:r>
          </w:p>
          <w:p w14:paraId="055D8F85" w14:textId="77777777" w:rsidR="00C76077" w:rsidRDefault="00C07A7D">
            <w:pPr>
              <w:spacing w:before="60" w:after="20"/>
              <w:ind w:left="120"/>
            </w:pPr>
            <w:proofErr w:type="gramStart"/>
            <w:r>
              <w:rPr>
                <w:b/>
                <w:bCs/>
                <w:color w:val="B8860B"/>
              </w:rPr>
              <w:t xml:space="preserve">●  </w:t>
            </w:r>
            <w:r>
              <w:rPr>
                <w:b/>
                <w:bCs/>
                <w:color w:val="000000"/>
              </w:rPr>
              <w:t>School</w:t>
            </w:r>
            <w:proofErr w:type="gramEnd"/>
            <w:r>
              <w:rPr>
                <w:b/>
                <w:bCs/>
                <w:color w:val="000000"/>
              </w:rPr>
              <w:t xml:space="preserve"> Counselling Infrastructure</w:t>
            </w:r>
          </w:p>
          <w:p w14:paraId="7157A7AC" w14:textId="77777777" w:rsidR="00C76077" w:rsidRDefault="00C07A7D">
            <w:pPr>
              <w:spacing w:after="60"/>
              <w:ind w:left="320"/>
            </w:pPr>
            <w:r>
              <w:rPr>
                <w:i/>
                <w:iCs/>
                <w:color w:val="555555"/>
              </w:rPr>
              <w:t>Dedicated spaces and trained counselling personnel</w:t>
            </w:r>
          </w:p>
          <w:p w14:paraId="4AC860D4" w14:textId="77777777" w:rsidR="00C76077" w:rsidRDefault="00C07A7D">
            <w:pPr>
              <w:spacing w:before="60" w:after="20"/>
              <w:ind w:left="120"/>
            </w:pPr>
            <w:proofErr w:type="gramStart"/>
            <w:r>
              <w:rPr>
                <w:b/>
                <w:bCs/>
                <w:color w:val="B8860B"/>
              </w:rPr>
              <w:t xml:space="preserve">●  </w:t>
            </w:r>
            <w:r>
              <w:rPr>
                <w:b/>
                <w:bCs/>
                <w:color w:val="000000"/>
              </w:rPr>
              <w:t>Agricultural</w:t>
            </w:r>
            <w:proofErr w:type="gramEnd"/>
            <w:r>
              <w:rPr>
                <w:b/>
                <w:bCs/>
                <w:color w:val="000000"/>
              </w:rPr>
              <w:t xml:space="preserve"> Seasonality</w:t>
            </w:r>
          </w:p>
          <w:p w14:paraId="04377BDD" w14:textId="77777777" w:rsidR="00C76077" w:rsidRDefault="00C07A7D">
            <w:pPr>
              <w:spacing w:after="60"/>
              <w:ind w:left="320"/>
            </w:pPr>
            <w:r>
              <w:rPr>
                <w:i/>
                <w:iCs/>
                <w:color w:val="555555"/>
              </w:rPr>
              <w:t>Livelihood demands conflicting with school schedules</w:t>
            </w:r>
          </w:p>
          <w:p w14:paraId="5F976E67" w14:textId="77777777" w:rsidR="00C76077" w:rsidRDefault="00C07A7D">
            <w:pPr>
              <w:spacing w:before="60" w:after="20"/>
              <w:ind w:left="120"/>
            </w:pPr>
            <w:proofErr w:type="gramStart"/>
            <w:r>
              <w:rPr>
                <w:b/>
                <w:bCs/>
                <w:color w:val="B8860B"/>
              </w:rPr>
              <w:t xml:space="preserve">●  </w:t>
            </w:r>
            <w:r>
              <w:rPr>
                <w:b/>
                <w:bCs/>
                <w:color w:val="000000"/>
              </w:rPr>
              <w:t>Counsellor</w:t>
            </w:r>
            <w:proofErr w:type="gramEnd"/>
            <w:r>
              <w:rPr>
                <w:b/>
                <w:bCs/>
                <w:color w:val="000000"/>
              </w:rPr>
              <w:t xml:space="preserve"> Capacity</w:t>
            </w:r>
          </w:p>
          <w:p w14:paraId="4F734A32" w14:textId="77777777" w:rsidR="00C76077" w:rsidRDefault="00C07A7D">
            <w:pPr>
              <w:spacing w:after="60"/>
              <w:ind w:left="320"/>
            </w:pPr>
            <w:r>
              <w:rPr>
                <w:i/>
                <w:iCs/>
                <w:color w:val="555555"/>
              </w:rPr>
              <w:t>Caseload, training, and professional supervision</w:t>
            </w:r>
          </w:p>
        </w:tc>
        <w:tc>
          <w:tcPr>
            <w:tcW w:w="240" w:type="dxa"/>
            <w:tcMar>
              <w:top w:w="0" w:type="dxa"/>
              <w:left w:w="0" w:type="dxa"/>
              <w:bottom w:w="0" w:type="dxa"/>
              <w:right w:w="0" w:type="dxa"/>
            </w:tcMar>
            <w:vAlign w:val="center"/>
          </w:tcPr>
          <w:p w14:paraId="14F245C5" w14:textId="77777777" w:rsidR="00C76077" w:rsidRDefault="00C07A7D">
            <w:pPr>
              <w:jc w:val="center"/>
            </w:pPr>
            <w:r>
              <w:rPr>
                <w:b/>
                <w:bCs/>
                <w:color w:val="000000"/>
                <w:sz w:val="40"/>
                <w:szCs w:val="40"/>
              </w:rPr>
              <w:t>➡</w:t>
            </w:r>
          </w:p>
        </w:tc>
        <w:tc>
          <w:tcPr>
            <w:tcW w:w="2850" w:type="dxa"/>
            <w:tcBorders>
              <w:top w:val="single" w:sz="8" w:space="0" w:color="1E6B5E"/>
              <w:left w:val="single" w:sz="8" w:space="0" w:color="1E6B5E"/>
              <w:bottom w:val="single" w:sz="8" w:space="0" w:color="1E6B5E"/>
              <w:right w:val="single" w:sz="8" w:space="0" w:color="1E6B5E"/>
            </w:tcBorders>
            <w:shd w:val="clear" w:color="auto" w:fill="FFFFFF"/>
            <w:tcMar>
              <w:top w:w="80" w:type="dxa"/>
              <w:left w:w="120" w:type="dxa"/>
              <w:bottom w:w="80" w:type="dxa"/>
              <w:right w:w="120" w:type="dxa"/>
            </w:tcMar>
          </w:tcPr>
          <w:p w14:paraId="2D6B55BB" w14:textId="77777777" w:rsidR="00C76077" w:rsidRDefault="00C07A7D">
            <w:pPr>
              <w:spacing w:before="60" w:after="20"/>
              <w:ind w:left="120"/>
            </w:pPr>
            <w:proofErr w:type="gramStart"/>
            <w:r>
              <w:rPr>
                <w:b/>
                <w:bCs/>
                <w:color w:val="1E6B5E"/>
              </w:rPr>
              <w:t xml:space="preserve">●  </w:t>
            </w:r>
            <w:r>
              <w:rPr>
                <w:b/>
                <w:bCs/>
                <w:color w:val="000000"/>
              </w:rPr>
              <w:t>Student</w:t>
            </w:r>
            <w:proofErr w:type="gramEnd"/>
            <w:r>
              <w:rPr>
                <w:b/>
                <w:bCs/>
                <w:color w:val="000000"/>
              </w:rPr>
              <w:t xml:space="preserve"> School Attendance</w:t>
            </w:r>
          </w:p>
          <w:p w14:paraId="09C4C57F" w14:textId="77777777" w:rsidR="00C76077" w:rsidRDefault="00C07A7D">
            <w:pPr>
              <w:spacing w:after="60"/>
              <w:ind w:left="320"/>
            </w:pPr>
            <w:r>
              <w:rPr>
                <w:i/>
                <w:iCs/>
                <w:color w:val="555555"/>
              </w:rPr>
              <w:t>Regular, sustained presence in CBC lessons</w:t>
            </w:r>
          </w:p>
          <w:p w14:paraId="5CD95574" w14:textId="77777777" w:rsidR="00C76077" w:rsidRDefault="00C07A7D">
            <w:pPr>
              <w:spacing w:before="60" w:after="20"/>
              <w:ind w:left="120"/>
            </w:pPr>
            <w:proofErr w:type="gramStart"/>
            <w:r>
              <w:rPr>
                <w:b/>
                <w:bCs/>
                <w:color w:val="1E6B5E"/>
              </w:rPr>
              <w:t xml:space="preserve">●  </w:t>
            </w:r>
            <w:r>
              <w:rPr>
                <w:b/>
                <w:bCs/>
                <w:color w:val="000000"/>
              </w:rPr>
              <w:t>Quality</w:t>
            </w:r>
            <w:proofErr w:type="gramEnd"/>
            <w:r>
              <w:rPr>
                <w:b/>
                <w:bCs/>
                <w:color w:val="000000"/>
              </w:rPr>
              <w:t xml:space="preserve"> of Student Decision-Making</w:t>
            </w:r>
          </w:p>
          <w:p w14:paraId="18B02573" w14:textId="77777777" w:rsidR="00C76077" w:rsidRDefault="00C07A7D">
            <w:pPr>
              <w:spacing w:after="60"/>
              <w:ind w:left="320"/>
            </w:pPr>
            <w:r>
              <w:rPr>
                <w:i/>
                <w:iCs/>
                <w:color w:val="555555"/>
              </w:rPr>
              <w:t>Self-directed and competency-aligned choices</w:t>
            </w:r>
          </w:p>
          <w:p w14:paraId="38996C3E" w14:textId="77777777" w:rsidR="00C76077" w:rsidRDefault="00C07A7D">
            <w:pPr>
              <w:spacing w:before="60" w:after="20"/>
              <w:ind w:left="120"/>
            </w:pPr>
            <w:proofErr w:type="gramStart"/>
            <w:r>
              <w:rPr>
                <w:b/>
                <w:bCs/>
                <w:color w:val="1E6B5E"/>
              </w:rPr>
              <w:t xml:space="preserve">●  </w:t>
            </w:r>
            <w:r>
              <w:rPr>
                <w:b/>
                <w:bCs/>
                <w:color w:val="000000"/>
              </w:rPr>
              <w:t>Peer</w:t>
            </w:r>
            <w:proofErr w:type="gramEnd"/>
            <w:r>
              <w:rPr>
                <w:b/>
                <w:bCs/>
                <w:color w:val="000000"/>
              </w:rPr>
              <w:t xml:space="preserve"> Collaborative Learning</w:t>
            </w:r>
          </w:p>
          <w:p w14:paraId="70DA5A97" w14:textId="77777777" w:rsidR="00C76077" w:rsidRDefault="00C07A7D">
            <w:pPr>
              <w:spacing w:after="60"/>
              <w:ind w:left="320"/>
            </w:pPr>
            <w:r>
              <w:rPr>
                <w:i/>
                <w:iCs/>
                <w:color w:val="555555"/>
              </w:rPr>
              <w:t>Classroom cooperative orientation and teamwork</w:t>
            </w:r>
          </w:p>
        </w:tc>
      </w:tr>
      <w:tr w:rsidR="00C76077" w14:paraId="360C7D41" w14:textId="77777777">
        <w:trPr>
          <w:cantSplit/>
          <w:trHeight w:val="480"/>
        </w:trPr>
        <w:tc>
          <w:tcPr>
            <w:tcW w:w="2848" w:type="dxa"/>
            <w:tcBorders>
              <w:top w:val="single" w:sz="8" w:space="0" w:color="1F4E79"/>
              <w:left w:val="single" w:sz="8" w:space="0" w:color="1F4E79"/>
              <w:bottom w:val="single" w:sz="8" w:space="0" w:color="1F4E79"/>
              <w:right w:val="single" w:sz="8" w:space="0" w:color="1F4E79"/>
            </w:tcBorders>
            <w:shd w:val="clear" w:color="auto" w:fill="FFFFFF"/>
            <w:tcMar>
              <w:top w:w="80" w:type="dxa"/>
              <w:left w:w="80" w:type="dxa"/>
              <w:bottom w:w="80" w:type="dxa"/>
              <w:right w:w="80" w:type="dxa"/>
            </w:tcMar>
            <w:vAlign w:val="center"/>
          </w:tcPr>
          <w:p w14:paraId="35A40563" w14:textId="77777777" w:rsidR="00C76077" w:rsidRDefault="00C07A7D">
            <w:pPr>
              <w:spacing w:before="80" w:after="80"/>
              <w:jc w:val="center"/>
            </w:pPr>
            <w:r>
              <w:rPr>
                <w:b/>
                <w:bCs/>
                <w:color w:val="1F4E79"/>
              </w:rPr>
              <w:t>INDEPENDENT VARIABLE</w:t>
            </w:r>
          </w:p>
        </w:tc>
        <w:tc>
          <w:tcPr>
            <w:tcW w:w="240" w:type="dxa"/>
          </w:tcPr>
          <w:p w14:paraId="706F85AC" w14:textId="77777777" w:rsidR="00C76077" w:rsidRDefault="00C76077"/>
        </w:tc>
        <w:tc>
          <w:tcPr>
            <w:tcW w:w="2848" w:type="dxa"/>
            <w:tcBorders>
              <w:top w:val="single" w:sz="8" w:space="0" w:color="B8860B"/>
              <w:left w:val="single" w:sz="8" w:space="0" w:color="B8860B"/>
              <w:bottom w:val="single" w:sz="8" w:space="0" w:color="B8860B"/>
              <w:right w:val="single" w:sz="8" w:space="0" w:color="B8860B"/>
            </w:tcBorders>
            <w:shd w:val="clear" w:color="auto" w:fill="FFFFFF"/>
            <w:tcMar>
              <w:top w:w="80" w:type="dxa"/>
              <w:left w:w="80" w:type="dxa"/>
              <w:bottom w:w="80" w:type="dxa"/>
              <w:right w:w="80" w:type="dxa"/>
            </w:tcMar>
            <w:vAlign w:val="center"/>
          </w:tcPr>
          <w:p w14:paraId="0168081B" w14:textId="77777777" w:rsidR="00C76077" w:rsidRDefault="00C07A7D">
            <w:pPr>
              <w:spacing w:before="80" w:after="80"/>
              <w:jc w:val="center"/>
            </w:pPr>
            <w:r>
              <w:rPr>
                <w:b/>
                <w:bCs/>
                <w:color w:val="B8860B"/>
              </w:rPr>
              <w:t>CONTEXTUAL CONDITIONS</w:t>
            </w:r>
          </w:p>
        </w:tc>
        <w:tc>
          <w:tcPr>
            <w:tcW w:w="240" w:type="dxa"/>
          </w:tcPr>
          <w:p w14:paraId="0F0BA796" w14:textId="77777777" w:rsidR="00C76077" w:rsidRDefault="00C76077"/>
        </w:tc>
        <w:tc>
          <w:tcPr>
            <w:tcW w:w="2850" w:type="dxa"/>
            <w:tcBorders>
              <w:top w:val="single" w:sz="8" w:space="0" w:color="1E6B5E"/>
              <w:left w:val="single" w:sz="8" w:space="0" w:color="1E6B5E"/>
              <w:bottom w:val="single" w:sz="8" w:space="0" w:color="1E6B5E"/>
              <w:right w:val="single" w:sz="8" w:space="0" w:color="1E6B5E"/>
            </w:tcBorders>
            <w:shd w:val="clear" w:color="auto" w:fill="FFFFFF"/>
            <w:tcMar>
              <w:top w:w="80" w:type="dxa"/>
              <w:left w:w="80" w:type="dxa"/>
              <w:bottom w:w="80" w:type="dxa"/>
              <w:right w:w="80" w:type="dxa"/>
            </w:tcMar>
            <w:vAlign w:val="center"/>
          </w:tcPr>
          <w:p w14:paraId="4D28ECAD" w14:textId="77777777" w:rsidR="00C76077" w:rsidRDefault="00C07A7D">
            <w:pPr>
              <w:spacing w:before="80" w:after="80"/>
              <w:jc w:val="center"/>
            </w:pPr>
            <w:r>
              <w:rPr>
                <w:b/>
                <w:bCs/>
                <w:color w:val="1E6B5E"/>
              </w:rPr>
              <w:t>DEPENDENT VARIABLE</w:t>
            </w:r>
          </w:p>
        </w:tc>
      </w:tr>
    </w:tbl>
    <w:p w14:paraId="182E0507" w14:textId="77777777" w:rsidR="00C76077" w:rsidRDefault="00C07A7D">
      <w:pPr>
        <w:spacing w:before="60" w:after="200"/>
        <w:jc w:val="both"/>
      </w:pPr>
      <w:r>
        <w:rPr>
          <w:i/>
          <w:iCs/>
          <w:color w:val="000000"/>
          <w:sz w:val="20"/>
          <w:szCs w:val="20"/>
        </w:rPr>
        <w:t xml:space="preserve">Note. </w:t>
      </w:r>
      <w:r>
        <w:rPr>
          <w:color w:val="000000"/>
          <w:sz w:val="20"/>
          <w:szCs w:val="20"/>
        </w:rPr>
        <w:t>Adapted from Fredricks, Blumenfeld, and Paris (2004) and Epstein (2011). Contextual conditions are acknowledged as influencing factors but were not modelled statistically as mediators or moderators. See footnotes 9–13 for theoretical sources.</w:t>
      </w:r>
    </w:p>
    <w:p w14:paraId="38838BED" w14:textId="77777777" w:rsidR="00C76077" w:rsidRDefault="00C07A7D">
      <w:pPr>
        <w:spacing w:before="240" w:after="60"/>
      </w:pPr>
      <w:r>
        <w:rPr>
          <w:b/>
          <w:bCs/>
          <w:color w:val="000000"/>
        </w:rPr>
        <w:t>Parental Engagement and Curriculum Reform: What the Evidence Shows</w:t>
      </w:r>
    </w:p>
    <w:p w14:paraId="299BC749" w14:textId="77777777" w:rsidR="00C76077" w:rsidRDefault="00C07A7D">
      <w:pPr>
        <w:spacing w:after="200" w:line="259" w:lineRule="auto"/>
        <w:jc w:val="both"/>
      </w:pPr>
      <w:r>
        <w:rPr>
          <w:color w:val="000000"/>
        </w:rPr>
        <w:t xml:space="preserve">The positive association between parental engagement and learner outcomes in curriculum reform contexts is among the most replicated findings in educational research. Meta-analyses by </w:t>
      </w:r>
      <w:proofErr w:type="spellStart"/>
      <w:r>
        <w:rPr>
          <w:color w:val="000000"/>
        </w:rPr>
        <w:t>Jeynes</w:t>
      </w:r>
      <w:proofErr w:type="spellEnd"/>
      <w:r>
        <w:rPr>
          <w:color w:val="000000"/>
        </w:rPr>
        <w:t xml:space="preserve"> and by </w:t>
      </w:r>
      <w:proofErr w:type="spellStart"/>
      <w:r>
        <w:rPr>
          <w:color w:val="000000"/>
        </w:rPr>
        <w:t>Boonk</w:t>
      </w:r>
      <w:proofErr w:type="spellEnd"/>
      <w:r>
        <w:rPr>
          <w:color w:val="000000"/>
        </w:rPr>
        <w:t xml:space="preserve"> et al. independently confirm significant improvements in achievement, attendance, and behavioural outcomes where parental involvement is strong — with effect sizes that hold across cultural and socio-economic contexts.(</w:t>
      </w:r>
      <w:proofErr w:type="spellStart"/>
      <w:r>
        <w:rPr>
          <w:color w:val="000000"/>
        </w:rPr>
        <w:t>Jeynes</w:t>
      </w:r>
      <w:proofErr w:type="spellEnd"/>
      <w:r>
        <w:rPr>
          <w:color w:val="000000"/>
        </w:rPr>
        <w:t xml:space="preserve">, 2018; </w:t>
      </w:r>
      <w:proofErr w:type="spellStart"/>
      <w:r>
        <w:rPr>
          <w:color w:val="000000"/>
        </w:rPr>
        <w:t>Boonk</w:t>
      </w:r>
      <w:proofErr w:type="spellEnd"/>
      <w:r>
        <w:rPr>
          <w:color w:val="000000"/>
        </w:rPr>
        <w:t xml:space="preserve"> et al., 2018) Critically, these effects extend beyond examination performance to the motivational and dispositional outcomes that competency-based curricula target: self-directed learning, collaborative orientation, and academic persistence. Where CBC or comparable reforms have been implemented — including Rwanda, Zambia, and several United Kingdom settings — parental engagement has consistently distinguished schools where reform takes root from those where it remains </w:t>
      </w:r>
      <w:proofErr w:type="gramStart"/>
      <w:r>
        <w:rPr>
          <w:color w:val="000000"/>
        </w:rPr>
        <w:t>superficial.(</w:t>
      </w:r>
      <w:proofErr w:type="gramEnd"/>
      <w:r>
        <w:rPr>
          <w:color w:val="000000"/>
        </w:rPr>
        <w:t xml:space="preserve">Mulenga &amp; </w:t>
      </w:r>
      <w:proofErr w:type="spellStart"/>
      <w:r>
        <w:rPr>
          <w:color w:val="000000"/>
        </w:rPr>
        <w:t>Kabombwe</w:t>
      </w:r>
      <w:proofErr w:type="spellEnd"/>
      <w:r>
        <w:rPr>
          <w:color w:val="000000"/>
        </w:rPr>
        <w:t xml:space="preserve">, 2019; Goodall &amp; </w:t>
      </w:r>
      <w:r>
        <w:rPr>
          <w:color w:val="000000"/>
        </w:rPr>
        <w:lastRenderedPageBreak/>
        <w:t>Montgomery, 2014; Harris &amp; Goodall, 2016) The implication is not that parental involvement supports CBC implementation; it is that CBC implementation cannot be fully achieved without it.</w:t>
      </w:r>
    </w:p>
    <w:p w14:paraId="5838FA3C" w14:textId="77777777" w:rsidR="00C76077" w:rsidRDefault="00C07A7D">
      <w:pPr>
        <w:spacing w:after="200" w:line="259" w:lineRule="auto"/>
        <w:jc w:val="both"/>
      </w:pPr>
      <w:r>
        <w:rPr>
          <w:color w:val="000000"/>
        </w:rPr>
        <w:t xml:space="preserve">Guidance and counselling </w:t>
      </w:r>
      <w:proofErr w:type="gramStart"/>
      <w:r>
        <w:rPr>
          <w:color w:val="000000"/>
        </w:rPr>
        <w:t>represents</w:t>
      </w:r>
      <w:proofErr w:type="gramEnd"/>
      <w:r>
        <w:rPr>
          <w:color w:val="000000"/>
        </w:rPr>
        <w:t xml:space="preserve"> a qualitatively distinct modality of parental engagement. It requires parents to engage with the developmental, emotional, and identity-related dimensions of their children's schooling — dimensions that CBC foregrounds but which lie largely outside the scope of conventional academic monitoring or homework support.(Begi, 2019; KICD, 2019) Evidence from sub-Saharan African settings indicates that school-based counselling programmes produce their strongest outcomes when they systematically incorporate parental perspectives, because parents hold contextual knowledge about learners' home environments, familial dynamics, and personal histories that no counsellor can independently access.(</w:t>
      </w:r>
      <w:proofErr w:type="spellStart"/>
      <w:r>
        <w:rPr>
          <w:color w:val="000000"/>
        </w:rPr>
        <w:t>Obunga</w:t>
      </w:r>
      <w:proofErr w:type="spellEnd"/>
      <w:r>
        <w:rPr>
          <w:color w:val="000000"/>
        </w:rPr>
        <w:t xml:space="preserve"> et al., 2025; Ranji et al., 2025) Counselling-based parental engagement also functions as a protective factor for learner wellbeing and retention in economically precarious contexts.(Caulfield, 2001)</w:t>
      </w:r>
    </w:p>
    <w:p w14:paraId="1CE4AAEA" w14:textId="77777777" w:rsidR="00C76077" w:rsidRDefault="00C07A7D">
      <w:pPr>
        <w:spacing w:before="240" w:after="60"/>
      </w:pPr>
      <w:r>
        <w:rPr>
          <w:b/>
          <w:bCs/>
          <w:color w:val="000000"/>
        </w:rPr>
        <w:t>Kenyan CBC Parental Engagement: Findings and Methodological Limits</w:t>
      </w:r>
    </w:p>
    <w:p w14:paraId="0B7D81B1" w14:textId="77777777" w:rsidR="00C76077" w:rsidRDefault="00C07A7D">
      <w:pPr>
        <w:spacing w:after="200" w:line="259" w:lineRule="auto"/>
        <w:jc w:val="both"/>
      </w:pPr>
      <w:r>
        <w:rPr>
          <w:color w:val="000000"/>
        </w:rPr>
        <w:t xml:space="preserve">Kenyan scholarship on parental engagement in CBC implementation has grown substantially since 2019, though it has not yet produced a settled or methodologically uniform picture. </w:t>
      </w:r>
      <w:proofErr w:type="spellStart"/>
      <w:r>
        <w:rPr>
          <w:color w:val="000000"/>
        </w:rPr>
        <w:t>Amunga</w:t>
      </w:r>
      <w:proofErr w:type="spellEnd"/>
      <w:r>
        <w:rPr>
          <w:color w:val="000000"/>
        </w:rPr>
        <w:t xml:space="preserve">, Were, and </w:t>
      </w:r>
      <w:proofErr w:type="spellStart"/>
      <w:r>
        <w:rPr>
          <w:color w:val="000000"/>
        </w:rPr>
        <w:t>Ashioya</w:t>
      </w:r>
      <w:proofErr w:type="spellEnd"/>
      <w:r>
        <w:rPr>
          <w:color w:val="000000"/>
        </w:rPr>
        <w:t>, drawing on multi-county survey data, reported that teacher-parent communication quality predicted CBC engagement more strongly than socio-economic status or school proximity — a finding important for this study because it suggests that what schools do institutionally matters more than what parents bring individually.(</w:t>
      </w:r>
      <w:proofErr w:type="spellStart"/>
      <w:r>
        <w:rPr>
          <w:color w:val="000000"/>
        </w:rPr>
        <w:t>Amunga</w:t>
      </w:r>
      <w:proofErr w:type="spellEnd"/>
      <w:r>
        <w:rPr>
          <w:color w:val="000000"/>
        </w:rPr>
        <w:t xml:space="preserve"> et al., 2020) However, </w:t>
      </w:r>
      <w:proofErr w:type="spellStart"/>
      <w:r>
        <w:rPr>
          <w:color w:val="000000"/>
        </w:rPr>
        <w:t>Amunga</w:t>
      </w:r>
      <w:proofErr w:type="spellEnd"/>
      <w:r>
        <w:rPr>
          <w:color w:val="000000"/>
        </w:rPr>
        <w:t xml:space="preserve"> et al.'s design did not disaggregate counselling engagement from general parental involvement, nor did it focus on rural agricultural sub-counties.</w:t>
      </w:r>
    </w:p>
    <w:p w14:paraId="68E51CFE" w14:textId="77777777" w:rsidR="00C76077" w:rsidRDefault="00C07A7D">
      <w:pPr>
        <w:spacing w:after="200" w:line="259" w:lineRule="auto"/>
        <w:jc w:val="both"/>
      </w:pPr>
      <w:proofErr w:type="spellStart"/>
      <w:r>
        <w:rPr>
          <w:color w:val="000000"/>
        </w:rPr>
        <w:t>Syomwene</w:t>
      </w:r>
      <w:proofErr w:type="spellEnd"/>
      <w:r>
        <w:rPr>
          <w:color w:val="000000"/>
        </w:rPr>
        <w:t xml:space="preserve"> (2022) and </w:t>
      </w:r>
      <w:proofErr w:type="spellStart"/>
      <w:r>
        <w:rPr>
          <w:color w:val="000000"/>
        </w:rPr>
        <w:t>Mulinya</w:t>
      </w:r>
      <w:proofErr w:type="spellEnd"/>
      <w:r>
        <w:rPr>
          <w:color w:val="000000"/>
        </w:rPr>
        <w:t xml:space="preserve"> and Kimotho (2025) have produced two closely relevant recent contributions. </w:t>
      </w:r>
      <w:proofErr w:type="spellStart"/>
      <w:r>
        <w:rPr>
          <w:color w:val="000000"/>
        </w:rPr>
        <w:t>Syomwene’s</w:t>
      </w:r>
      <w:proofErr w:type="spellEnd"/>
      <w:r>
        <w:rPr>
          <w:color w:val="000000"/>
        </w:rPr>
        <w:t xml:space="preserve"> 2025 study in a Nairobi informal settlement documented pervasive barriers to CBC parental involvement — cognitive, logistical, and institutional — while their 2022 study on parental involvement strategies in CBC literacy development demonstrated that structured parental engagement produces measurable improvements in competency-oriented outcomes.(</w:t>
      </w:r>
      <w:proofErr w:type="spellStart"/>
      <w:r>
        <w:rPr>
          <w:color w:val="000000"/>
        </w:rPr>
        <w:t>Syomwene</w:t>
      </w:r>
      <w:proofErr w:type="spellEnd"/>
      <w:r>
        <w:rPr>
          <w:color w:val="000000"/>
        </w:rPr>
        <w:t xml:space="preserve">, 2022; </w:t>
      </w:r>
      <w:proofErr w:type="spellStart"/>
      <w:r>
        <w:rPr>
          <w:color w:val="000000"/>
        </w:rPr>
        <w:t>Mulinya</w:t>
      </w:r>
      <w:proofErr w:type="spellEnd"/>
      <w:r>
        <w:rPr>
          <w:color w:val="000000"/>
        </w:rPr>
        <w:t xml:space="preserve"> &amp; Kimotho, 2025) Ranji, Chumba, and Kurgat's Nakuru County regression analysis similarly found significant associations between parental engagement and CBC implementation effectiveness, with qualitative data identifying guidance and counselling sessions as among the most valued engagement mechanisms.(Ranji et al., 2025) Taken together, these studies establish a credible empirical platform — but all are geographically situated in counties with greater institutional capacity than </w:t>
      </w:r>
      <w:proofErr w:type="spellStart"/>
      <w:r>
        <w:rPr>
          <w:color w:val="000000"/>
        </w:rPr>
        <w:t>Bomet</w:t>
      </w:r>
      <w:proofErr w:type="spellEnd"/>
      <w:r>
        <w:rPr>
          <w:color w:val="000000"/>
        </w:rPr>
        <w:t>, and none isolates guidance and counselling as a discrete predictor variable. Mugambi and Mauti’s (2025) study of CBC implementation in Kenya’s public junior schools reinforces the broad pattern, confirming that rural, resource-constrained settings face compounded barriers not fully captured in more urbanised samples.(</w:t>
      </w:r>
      <w:proofErr w:type="spellStart"/>
      <w:r>
        <w:rPr>
          <w:color w:val="000000"/>
        </w:rPr>
        <w:t>Syomwene</w:t>
      </w:r>
      <w:proofErr w:type="spellEnd"/>
      <w:r>
        <w:rPr>
          <w:color w:val="000000"/>
        </w:rPr>
        <w:t xml:space="preserve">, 2022; Mugambi &amp; Mauti, 2025) </w:t>
      </w:r>
      <w:proofErr w:type="spellStart"/>
      <w:r>
        <w:rPr>
          <w:color w:val="000000"/>
        </w:rPr>
        <w:t>Syomwene's</w:t>
      </w:r>
      <w:proofErr w:type="spellEnd"/>
      <w:r>
        <w:rPr>
          <w:color w:val="000000"/>
        </w:rPr>
        <w:t xml:space="preserve"> (2022) documentation of communication breakdowns and structural absences that obstruct parental CBC engagement provides a useful point of comparison, with parallels confirmed by this study's headteacher data.(</w:t>
      </w:r>
      <w:proofErr w:type="spellStart"/>
      <w:r>
        <w:rPr>
          <w:color w:val="000000"/>
        </w:rPr>
        <w:t>Syomwene</w:t>
      </w:r>
      <w:proofErr w:type="spellEnd"/>
      <w:r>
        <w:rPr>
          <w:color w:val="000000"/>
        </w:rPr>
        <w:t xml:space="preserve">, 2022) Njeru et al.'s finding that up to 67% of parents in low-income Nairobi settlements lack functional CBC literacy is a sobering contextual benchmark: </w:t>
      </w:r>
      <w:proofErr w:type="spellStart"/>
      <w:r>
        <w:rPr>
          <w:color w:val="000000"/>
        </w:rPr>
        <w:t>Sotik</w:t>
      </w:r>
      <w:proofErr w:type="spellEnd"/>
      <w:r>
        <w:rPr>
          <w:color w:val="000000"/>
        </w:rPr>
        <w:t xml:space="preserve"> Sub-County's agricultural economy produces similar literacy gaps through different structural mechanisms.(</w:t>
      </w:r>
      <w:proofErr w:type="spellStart"/>
      <w:r>
        <w:rPr>
          <w:color w:val="000000"/>
        </w:rPr>
        <w:t>Mulinya</w:t>
      </w:r>
      <w:proofErr w:type="spellEnd"/>
      <w:r>
        <w:rPr>
          <w:color w:val="000000"/>
        </w:rPr>
        <w:t xml:space="preserve"> &amp; Kimotho, 2025)</w:t>
      </w:r>
    </w:p>
    <w:p w14:paraId="3896373B" w14:textId="77777777" w:rsidR="00C76077" w:rsidRDefault="00C07A7D">
      <w:pPr>
        <w:spacing w:before="240" w:after="60"/>
      </w:pPr>
      <w:r>
        <w:rPr>
          <w:b/>
          <w:bCs/>
          <w:color w:val="000000"/>
        </w:rPr>
        <w:t>Identified Gaps</w:t>
      </w:r>
    </w:p>
    <w:p w14:paraId="75D1AF0B" w14:textId="77777777" w:rsidR="00C76077" w:rsidRDefault="00C07A7D">
      <w:pPr>
        <w:spacing w:after="200" w:line="259" w:lineRule="auto"/>
        <w:jc w:val="both"/>
      </w:pPr>
      <w:r>
        <w:rPr>
          <w:color w:val="000000"/>
        </w:rPr>
        <w:t xml:space="preserve">Three gaps converge to justify the present investigation. Methodologically, existing studies aggregate diverse parental involvement modalities, making it impossible to isolate the specific contribution of guidance and counselling engagement. Geographically, the evidence base is concentrated in more </w:t>
      </w:r>
      <w:r>
        <w:rPr>
          <w:color w:val="000000"/>
        </w:rPr>
        <w:lastRenderedPageBreak/>
        <w:t xml:space="preserve">urbanised or institutionally stronger counties, leaving rural sub-counties such as those in </w:t>
      </w:r>
      <w:proofErr w:type="spellStart"/>
      <w:r>
        <w:rPr>
          <w:color w:val="000000"/>
        </w:rPr>
        <w:t>Bomet</w:t>
      </w:r>
      <w:proofErr w:type="spellEnd"/>
      <w:r>
        <w:rPr>
          <w:color w:val="000000"/>
        </w:rPr>
        <w:t xml:space="preserve"> effectively understudied. Qualitatively, headteacher perspectives on the mechanisms and constraints shaping parental G&amp;C participation are underrepresented: most studies rely on teacher or parent data alone. This study addresses all three gaps simultaneously.</w:t>
      </w:r>
    </w:p>
    <w:p w14:paraId="08352652" w14:textId="77777777" w:rsidR="00C76077" w:rsidRDefault="00C07A7D">
      <w:pPr>
        <w:pageBreakBefore/>
        <w:spacing w:before="200" w:after="80"/>
      </w:pPr>
      <w:r>
        <w:rPr>
          <w:b/>
          <w:bCs/>
          <w:color w:val="000000"/>
          <w:sz w:val="28"/>
          <w:szCs w:val="28"/>
        </w:rPr>
        <w:lastRenderedPageBreak/>
        <w:t>METHODOLOGY</w:t>
      </w:r>
    </w:p>
    <w:p w14:paraId="7A0BCBDC" w14:textId="77777777" w:rsidR="00C76077" w:rsidRDefault="00C07A7D">
      <w:pPr>
        <w:spacing w:before="240" w:after="60"/>
      </w:pPr>
      <w:r>
        <w:rPr>
          <w:b/>
          <w:bCs/>
          <w:color w:val="000000"/>
        </w:rPr>
        <w:t>Research Design</w:t>
      </w:r>
    </w:p>
    <w:p w14:paraId="3198C057" w14:textId="77777777" w:rsidR="00C76077" w:rsidRDefault="00C07A7D">
      <w:pPr>
        <w:spacing w:after="200" w:line="259" w:lineRule="auto"/>
        <w:jc w:val="both"/>
      </w:pPr>
      <w:r>
        <w:rPr>
          <w:color w:val="000000"/>
        </w:rPr>
        <w:t xml:space="preserve">A convergent parallel mixed-methods design was employed, following Creswell and Plano Clark's </w:t>
      </w:r>
      <w:proofErr w:type="gramStart"/>
      <w:r>
        <w:rPr>
          <w:color w:val="000000"/>
        </w:rPr>
        <w:t>specification.(</w:t>
      </w:r>
      <w:proofErr w:type="gramEnd"/>
      <w:r>
        <w:rPr>
          <w:color w:val="000000"/>
        </w:rPr>
        <w:t>Creswell &amp; Plano Clark, 2018) Quantitative questionnaire data and qualitative headteacher interview data were collected concurrently during the same eight-week fieldwork period, analysed independently using their respective procedures, and subsequently integrated at the interpretation stage through a side-by-side convergence procedure. This design is well suited to the research question, which requires both the statistical precision of correlation analysis and the contextual depth of institutional account-giving.</w:t>
      </w:r>
    </w:p>
    <w:p w14:paraId="4C17A88A" w14:textId="77777777" w:rsidR="00C76077" w:rsidRDefault="00C07A7D">
      <w:pPr>
        <w:spacing w:before="240" w:after="60"/>
      </w:pPr>
      <w:r>
        <w:rPr>
          <w:b/>
          <w:bCs/>
          <w:color w:val="000000"/>
        </w:rPr>
        <w:t>Study Setting, Population, and Sampling</w:t>
      </w:r>
    </w:p>
    <w:p w14:paraId="42A9954B" w14:textId="77777777" w:rsidR="00C76077" w:rsidRDefault="00C07A7D">
      <w:pPr>
        <w:spacing w:after="200" w:line="259" w:lineRule="auto"/>
        <w:jc w:val="both"/>
      </w:pPr>
      <w:r>
        <w:rPr>
          <w:color w:val="000000"/>
        </w:rPr>
        <w:t xml:space="preserve">The study was conducted in public junior secondary schools in </w:t>
      </w:r>
      <w:proofErr w:type="spellStart"/>
      <w:r>
        <w:rPr>
          <w:color w:val="000000"/>
        </w:rPr>
        <w:t>Sotik</w:t>
      </w:r>
      <w:proofErr w:type="spellEnd"/>
      <w:r>
        <w:rPr>
          <w:color w:val="000000"/>
        </w:rPr>
        <w:t xml:space="preserve"> Sub-County, </w:t>
      </w:r>
      <w:proofErr w:type="spellStart"/>
      <w:r>
        <w:rPr>
          <w:color w:val="000000"/>
        </w:rPr>
        <w:t>Bomet</w:t>
      </w:r>
      <w:proofErr w:type="spellEnd"/>
      <w:r>
        <w:rPr>
          <w:color w:val="000000"/>
        </w:rPr>
        <w:t xml:space="preserve"> County, Kenya. The sub-county is predominantly agricultural, with smallholder tea plucking and maize farming as the primary livelihoods — a context with structural implications for school-scheduled activities, as headteacher data confirm. The target population comprised all headteachers, teachers, students, and parents associated with public junior secondary schools in the sub-county, totalling approximately 59,760 individuals. A sample of 398 respondents was determined using Yamane's formula at a 95% confidence </w:t>
      </w:r>
      <w:proofErr w:type="gramStart"/>
      <w:r>
        <w:rPr>
          <w:color w:val="000000"/>
        </w:rPr>
        <w:t>level.(</w:t>
      </w:r>
      <w:proofErr w:type="gramEnd"/>
      <w:r>
        <w:rPr>
          <w:color w:val="000000"/>
        </w:rPr>
        <w:t>Yamane, 1967) Table 1 shows the distribution by category.</w:t>
      </w:r>
    </w:p>
    <w:p w14:paraId="7ED12BF1" w14:textId="77777777" w:rsidR="00C76077" w:rsidRDefault="00C76077">
      <w:pPr>
        <w:spacing w:after="80"/>
      </w:pPr>
    </w:p>
    <w:p w14:paraId="398FCA9E" w14:textId="77777777" w:rsidR="00C76077" w:rsidRDefault="00C07A7D">
      <w:pPr>
        <w:keepNext/>
        <w:spacing w:before="280"/>
      </w:pPr>
      <w:r>
        <w:rPr>
          <w:i/>
          <w:iCs/>
          <w:color w:val="000000"/>
        </w:rPr>
        <w:t>Table 1</w:t>
      </w:r>
    </w:p>
    <w:p w14:paraId="5C5CD1DC" w14:textId="77777777" w:rsidR="00C76077" w:rsidRDefault="00C07A7D">
      <w:pPr>
        <w:keepNext/>
        <w:spacing w:after="60"/>
      </w:pPr>
      <w:r>
        <w:rPr>
          <w:color w:val="000000"/>
        </w:rPr>
        <w:t>Sample Distribution by Respondent Category (N = 398)</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1400"/>
        <w:gridCol w:w="2100"/>
        <w:gridCol w:w="1726"/>
      </w:tblGrid>
      <w:tr w:rsidR="00C76077" w14:paraId="791A7F36" w14:textId="77777777">
        <w:trPr>
          <w:cantSplit/>
          <w:trHeight w:val="380"/>
        </w:trPr>
        <w:tc>
          <w:tcPr>
            <w:tcW w:w="22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6FEBC32E" w14:textId="77777777" w:rsidR="00C76077" w:rsidRDefault="00C07A7D">
            <w:pPr>
              <w:spacing w:before="30" w:after="30"/>
            </w:pPr>
            <w:r>
              <w:rPr>
                <w:b/>
                <w:bCs/>
                <w:sz w:val="20"/>
                <w:szCs w:val="20"/>
              </w:rPr>
              <w:t>Respondent Category</w:t>
            </w:r>
          </w:p>
        </w:tc>
        <w:tc>
          <w:tcPr>
            <w:tcW w:w="16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2ABA8E2" w14:textId="77777777" w:rsidR="00C76077" w:rsidRDefault="00C07A7D">
            <w:pPr>
              <w:spacing w:before="30" w:after="30"/>
              <w:jc w:val="center"/>
            </w:pPr>
            <w:r>
              <w:rPr>
                <w:b/>
                <w:bCs/>
                <w:sz w:val="20"/>
                <w:szCs w:val="20"/>
              </w:rPr>
              <w:t>Population</w:t>
            </w:r>
          </w:p>
        </w:tc>
        <w:tc>
          <w:tcPr>
            <w:tcW w:w="1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E7AB29A" w14:textId="77777777" w:rsidR="00C76077" w:rsidRDefault="00C07A7D">
            <w:pPr>
              <w:spacing w:before="30" w:after="30"/>
              <w:jc w:val="center"/>
            </w:pPr>
            <w:r>
              <w:rPr>
                <w:b/>
                <w:bCs/>
                <w:sz w:val="20"/>
                <w:szCs w:val="20"/>
              </w:rPr>
              <w:t>n</w:t>
            </w:r>
          </w:p>
        </w:tc>
        <w:tc>
          <w:tcPr>
            <w:tcW w:w="21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5422A93E" w14:textId="77777777" w:rsidR="00C76077" w:rsidRDefault="00C07A7D">
            <w:pPr>
              <w:spacing w:before="30" w:after="30"/>
              <w:jc w:val="center"/>
            </w:pPr>
            <w:r>
              <w:rPr>
                <w:b/>
                <w:bCs/>
                <w:sz w:val="20"/>
                <w:szCs w:val="20"/>
              </w:rPr>
              <w:t>Sampling Method</w:t>
            </w:r>
          </w:p>
        </w:tc>
        <w:tc>
          <w:tcPr>
            <w:tcW w:w="172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50C38D8F" w14:textId="77777777" w:rsidR="00C76077" w:rsidRDefault="00C07A7D">
            <w:pPr>
              <w:spacing w:before="30" w:after="30"/>
              <w:jc w:val="center"/>
            </w:pPr>
            <w:r>
              <w:rPr>
                <w:b/>
                <w:bCs/>
                <w:sz w:val="20"/>
                <w:szCs w:val="20"/>
              </w:rPr>
              <w:t>%</w:t>
            </w:r>
          </w:p>
        </w:tc>
      </w:tr>
      <w:tr w:rsidR="00C76077" w14:paraId="56ECD03F" w14:textId="77777777">
        <w:trPr>
          <w:cantSplit/>
          <w:trHeight w:val="380"/>
        </w:trPr>
        <w:tc>
          <w:tcPr>
            <w:tcW w:w="2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88F39C6" w14:textId="77777777" w:rsidR="00C76077" w:rsidRDefault="00C07A7D">
            <w:pPr>
              <w:spacing w:before="30" w:after="30"/>
            </w:pPr>
            <w:r>
              <w:rPr>
                <w:sz w:val="20"/>
                <w:szCs w:val="20"/>
              </w:rPr>
              <w:t>Headteachers</w:t>
            </w:r>
          </w:p>
        </w:tc>
        <w:tc>
          <w:tcPr>
            <w:tcW w:w="16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9A81DD8" w14:textId="77777777" w:rsidR="00C76077" w:rsidRDefault="00C07A7D">
            <w:pPr>
              <w:spacing w:before="30" w:after="30"/>
              <w:jc w:val="center"/>
            </w:pPr>
            <w:r>
              <w:rPr>
                <w:sz w:val="20"/>
                <w:szCs w:val="20"/>
              </w:rPr>
              <w:t>72</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18DDB29" w14:textId="77777777" w:rsidR="00C76077" w:rsidRDefault="00C07A7D">
            <w:pPr>
              <w:spacing w:before="30" w:after="30"/>
              <w:jc w:val="center"/>
            </w:pPr>
            <w:r>
              <w:rPr>
                <w:sz w:val="20"/>
                <w:szCs w:val="20"/>
              </w:rPr>
              <w:t>18</w:t>
            </w:r>
          </w:p>
        </w:tc>
        <w:tc>
          <w:tcPr>
            <w:tcW w:w="2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A1D78C0" w14:textId="77777777" w:rsidR="00C76077" w:rsidRDefault="00C07A7D">
            <w:pPr>
              <w:spacing w:before="30" w:after="30"/>
            </w:pPr>
            <w:r>
              <w:rPr>
                <w:sz w:val="20"/>
                <w:szCs w:val="20"/>
              </w:rPr>
              <w:t>Purposive</w:t>
            </w:r>
          </w:p>
        </w:tc>
        <w:tc>
          <w:tcPr>
            <w:tcW w:w="17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7AE5B2E" w14:textId="77777777" w:rsidR="00C76077" w:rsidRDefault="00C07A7D">
            <w:pPr>
              <w:spacing w:before="30" w:after="30"/>
              <w:jc w:val="center"/>
            </w:pPr>
            <w:r>
              <w:rPr>
                <w:sz w:val="20"/>
                <w:szCs w:val="20"/>
              </w:rPr>
              <w:t>4.5</w:t>
            </w:r>
          </w:p>
        </w:tc>
      </w:tr>
      <w:tr w:rsidR="00C76077" w14:paraId="0521B0BB" w14:textId="77777777">
        <w:trPr>
          <w:cantSplit/>
          <w:trHeight w:val="380"/>
        </w:trPr>
        <w:tc>
          <w:tcPr>
            <w:tcW w:w="2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5FDE73D" w14:textId="77777777" w:rsidR="00C76077" w:rsidRDefault="00C07A7D">
            <w:pPr>
              <w:spacing w:before="30" w:after="30"/>
            </w:pPr>
            <w:r>
              <w:rPr>
                <w:sz w:val="20"/>
                <w:szCs w:val="20"/>
              </w:rPr>
              <w:t>Teachers</w:t>
            </w:r>
          </w:p>
        </w:tc>
        <w:tc>
          <w:tcPr>
            <w:tcW w:w="16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89CEDA6" w14:textId="77777777" w:rsidR="00C76077" w:rsidRDefault="00C07A7D">
            <w:pPr>
              <w:spacing w:before="30" w:after="30"/>
              <w:jc w:val="center"/>
            </w:pPr>
            <w:r>
              <w:rPr>
                <w:sz w:val="20"/>
                <w:szCs w:val="20"/>
              </w:rPr>
              <w:t>1,200</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755AEA8" w14:textId="77777777" w:rsidR="00C76077" w:rsidRDefault="00C07A7D">
            <w:pPr>
              <w:spacing w:before="30" w:after="30"/>
              <w:jc w:val="center"/>
            </w:pPr>
            <w:r>
              <w:rPr>
                <w:sz w:val="20"/>
                <w:szCs w:val="20"/>
              </w:rPr>
              <w:t>100</w:t>
            </w:r>
          </w:p>
        </w:tc>
        <w:tc>
          <w:tcPr>
            <w:tcW w:w="2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D1A2317" w14:textId="77777777" w:rsidR="00C76077" w:rsidRDefault="00C07A7D">
            <w:pPr>
              <w:spacing w:before="30" w:after="30"/>
            </w:pPr>
            <w:r>
              <w:rPr>
                <w:sz w:val="20"/>
                <w:szCs w:val="20"/>
              </w:rPr>
              <w:t>Stratified random</w:t>
            </w:r>
          </w:p>
        </w:tc>
        <w:tc>
          <w:tcPr>
            <w:tcW w:w="17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EC1352B" w14:textId="77777777" w:rsidR="00C76077" w:rsidRDefault="00C07A7D">
            <w:pPr>
              <w:spacing w:before="30" w:after="30"/>
              <w:jc w:val="center"/>
            </w:pPr>
            <w:r>
              <w:rPr>
                <w:sz w:val="20"/>
                <w:szCs w:val="20"/>
              </w:rPr>
              <w:t>25.1</w:t>
            </w:r>
          </w:p>
        </w:tc>
      </w:tr>
      <w:tr w:rsidR="00C76077" w14:paraId="71C1CDD6" w14:textId="77777777">
        <w:trPr>
          <w:cantSplit/>
          <w:trHeight w:val="380"/>
        </w:trPr>
        <w:tc>
          <w:tcPr>
            <w:tcW w:w="2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8859E04" w14:textId="77777777" w:rsidR="00C76077" w:rsidRDefault="00C07A7D">
            <w:pPr>
              <w:spacing w:before="30" w:after="30"/>
            </w:pPr>
            <w:r>
              <w:rPr>
                <w:sz w:val="20"/>
                <w:szCs w:val="20"/>
              </w:rPr>
              <w:t>Students</w:t>
            </w:r>
          </w:p>
        </w:tc>
        <w:tc>
          <w:tcPr>
            <w:tcW w:w="16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90C067A" w14:textId="77777777" w:rsidR="00C76077" w:rsidRDefault="00C07A7D">
            <w:pPr>
              <w:spacing w:before="30" w:after="30"/>
              <w:jc w:val="center"/>
            </w:pPr>
            <w:r>
              <w:rPr>
                <w:sz w:val="20"/>
                <w:szCs w:val="20"/>
              </w:rPr>
              <w:t>12,000</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D613616" w14:textId="77777777" w:rsidR="00C76077" w:rsidRDefault="00C07A7D">
            <w:pPr>
              <w:spacing w:before="30" w:after="30"/>
              <w:jc w:val="center"/>
            </w:pPr>
            <w:r>
              <w:rPr>
                <w:sz w:val="20"/>
                <w:szCs w:val="20"/>
              </w:rPr>
              <w:t>180</w:t>
            </w:r>
          </w:p>
        </w:tc>
        <w:tc>
          <w:tcPr>
            <w:tcW w:w="2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564B393" w14:textId="77777777" w:rsidR="00C76077" w:rsidRDefault="00C07A7D">
            <w:pPr>
              <w:spacing w:before="30" w:after="30"/>
            </w:pPr>
            <w:r>
              <w:rPr>
                <w:sz w:val="20"/>
                <w:szCs w:val="20"/>
              </w:rPr>
              <w:t>Stratified random</w:t>
            </w:r>
          </w:p>
        </w:tc>
        <w:tc>
          <w:tcPr>
            <w:tcW w:w="17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349D01D" w14:textId="77777777" w:rsidR="00C76077" w:rsidRDefault="00C07A7D">
            <w:pPr>
              <w:spacing w:before="30" w:after="30"/>
              <w:jc w:val="center"/>
            </w:pPr>
            <w:r>
              <w:rPr>
                <w:sz w:val="20"/>
                <w:szCs w:val="20"/>
              </w:rPr>
              <w:t>45.2</w:t>
            </w:r>
          </w:p>
        </w:tc>
      </w:tr>
      <w:tr w:rsidR="00C76077" w14:paraId="494DEEBB" w14:textId="77777777">
        <w:trPr>
          <w:cantSplit/>
          <w:trHeight w:val="380"/>
        </w:trPr>
        <w:tc>
          <w:tcPr>
            <w:tcW w:w="2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3027AC3" w14:textId="77777777" w:rsidR="00C76077" w:rsidRDefault="00C07A7D">
            <w:pPr>
              <w:spacing w:before="30" w:after="30"/>
            </w:pPr>
            <w:r>
              <w:rPr>
                <w:sz w:val="20"/>
                <w:szCs w:val="20"/>
              </w:rPr>
              <w:t>Parents</w:t>
            </w:r>
          </w:p>
        </w:tc>
        <w:tc>
          <w:tcPr>
            <w:tcW w:w="16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12C5399" w14:textId="77777777" w:rsidR="00C76077" w:rsidRDefault="00C07A7D">
            <w:pPr>
              <w:spacing w:before="30" w:after="30"/>
              <w:jc w:val="center"/>
            </w:pPr>
            <w:r>
              <w:rPr>
                <w:sz w:val="20"/>
                <w:szCs w:val="20"/>
              </w:rPr>
              <w:t>46,488</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C8FD65F" w14:textId="77777777" w:rsidR="00C76077" w:rsidRDefault="00C07A7D">
            <w:pPr>
              <w:spacing w:before="30" w:after="30"/>
              <w:jc w:val="center"/>
            </w:pPr>
            <w:r>
              <w:rPr>
                <w:sz w:val="20"/>
                <w:szCs w:val="20"/>
              </w:rPr>
              <w:t>100</w:t>
            </w:r>
          </w:p>
        </w:tc>
        <w:tc>
          <w:tcPr>
            <w:tcW w:w="2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51FC06C" w14:textId="77777777" w:rsidR="00C76077" w:rsidRDefault="00C07A7D">
            <w:pPr>
              <w:spacing w:before="30" w:after="30"/>
            </w:pPr>
            <w:r>
              <w:rPr>
                <w:sz w:val="20"/>
                <w:szCs w:val="20"/>
              </w:rPr>
              <w:t>Purposive — prior G&amp;C contact</w:t>
            </w:r>
          </w:p>
        </w:tc>
        <w:tc>
          <w:tcPr>
            <w:tcW w:w="17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E25C045" w14:textId="77777777" w:rsidR="00C76077" w:rsidRDefault="00C07A7D">
            <w:pPr>
              <w:spacing w:before="30" w:after="30"/>
              <w:jc w:val="center"/>
            </w:pPr>
            <w:r>
              <w:rPr>
                <w:sz w:val="20"/>
                <w:szCs w:val="20"/>
              </w:rPr>
              <w:t>25.1</w:t>
            </w:r>
          </w:p>
        </w:tc>
      </w:tr>
      <w:tr w:rsidR="00C76077" w14:paraId="3F5A4A6C" w14:textId="77777777">
        <w:trPr>
          <w:cantSplit/>
          <w:trHeight w:val="380"/>
        </w:trPr>
        <w:tc>
          <w:tcPr>
            <w:tcW w:w="2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DCC69B4" w14:textId="77777777" w:rsidR="00C76077" w:rsidRDefault="00C07A7D">
            <w:pPr>
              <w:spacing w:before="30" w:after="30"/>
            </w:pPr>
            <w:r>
              <w:rPr>
                <w:sz w:val="20"/>
                <w:szCs w:val="20"/>
              </w:rPr>
              <w:t>Total</w:t>
            </w:r>
          </w:p>
        </w:tc>
        <w:tc>
          <w:tcPr>
            <w:tcW w:w="16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5FFFC34" w14:textId="77777777" w:rsidR="00C76077" w:rsidRDefault="00C07A7D">
            <w:pPr>
              <w:spacing w:before="30" w:after="30"/>
              <w:jc w:val="center"/>
            </w:pPr>
            <w:r>
              <w:rPr>
                <w:sz w:val="20"/>
                <w:szCs w:val="20"/>
              </w:rPr>
              <w:t>59,760</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87B1A40" w14:textId="77777777" w:rsidR="00C76077" w:rsidRDefault="00C07A7D">
            <w:pPr>
              <w:spacing w:before="30" w:after="30"/>
              <w:jc w:val="center"/>
            </w:pPr>
            <w:r>
              <w:rPr>
                <w:sz w:val="20"/>
                <w:szCs w:val="20"/>
              </w:rPr>
              <w:t>398</w:t>
            </w:r>
          </w:p>
        </w:tc>
        <w:tc>
          <w:tcPr>
            <w:tcW w:w="2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5AAEE67" w14:textId="77777777" w:rsidR="00C76077" w:rsidRDefault="00C07A7D">
            <w:pPr>
              <w:spacing w:before="30" w:after="30"/>
              <w:jc w:val="center"/>
            </w:pPr>
            <w:r>
              <w:rPr>
                <w:sz w:val="20"/>
                <w:szCs w:val="20"/>
              </w:rPr>
              <w:t>—</w:t>
            </w:r>
          </w:p>
        </w:tc>
        <w:tc>
          <w:tcPr>
            <w:tcW w:w="17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988C77F" w14:textId="77777777" w:rsidR="00C76077" w:rsidRDefault="00C07A7D">
            <w:pPr>
              <w:spacing w:before="30" w:after="30"/>
              <w:jc w:val="center"/>
            </w:pPr>
            <w:r>
              <w:rPr>
                <w:sz w:val="20"/>
                <w:szCs w:val="20"/>
              </w:rPr>
              <w:t>100.0</w:t>
            </w:r>
          </w:p>
        </w:tc>
      </w:tr>
    </w:tbl>
    <w:p w14:paraId="05E5F1AC" w14:textId="77777777" w:rsidR="00C76077" w:rsidRDefault="00C07A7D">
      <w:pPr>
        <w:spacing w:before="60" w:after="200"/>
        <w:jc w:val="both"/>
      </w:pPr>
      <w:r>
        <w:rPr>
          <w:i/>
          <w:iCs/>
          <w:color w:val="000000"/>
          <w:sz w:val="20"/>
          <w:szCs w:val="20"/>
        </w:rPr>
        <w:t xml:space="preserve">Note. </w:t>
      </w:r>
      <w:r>
        <w:rPr>
          <w:color w:val="000000"/>
          <w:sz w:val="20"/>
          <w:szCs w:val="20"/>
        </w:rPr>
        <w:t>Headteachers were selected purposively as institutional key informants. Teachers and students were selected by stratified random sampling across school zones. Parent respondents were drawn from those who had had any prior contact — however brief — with their school's guidance and counselling service in the preceding academic year, ensuring that all participants could speak with direct reference to the study context. Within this group, the frequency and quality of G&amp;C participation varied considerably, and this variation constitutes the key independent measure in the analysis. Source: Field Data (2025).</w:t>
      </w:r>
    </w:p>
    <w:p w14:paraId="6174FE31" w14:textId="77777777" w:rsidR="00C76077" w:rsidRDefault="00C07A7D">
      <w:pPr>
        <w:spacing w:after="200" w:line="259" w:lineRule="auto"/>
        <w:jc w:val="both"/>
      </w:pPr>
      <w:r>
        <w:rPr>
          <w:color w:val="000000"/>
        </w:rPr>
        <w:t xml:space="preserve">The purposive selection of parent respondents from those with some prior G&amp;C contact requires clarification in relation to the participation findings reported below. 'Prior contact' was defined inclusively: it included parents who had attended a formal G&amp;C session, received a written communication from the school counsellor, or spoken with a class teacher acting in a counselling capacity at any point during the academic year. Within this group, subsequent analysis classified each parent's G&amp;C participation level for the most recent school term. Parents classified as 'no participation' during that specific term had had some contact at an earlier point in the year — which is precisely why they met the inclusion criterion — but had not participated in any scheduled G&amp;C activity during the </w:t>
      </w:r>
      <w:r>
        <w:rPr>
          <w:color w:val="000000"/>
        </w:rPr>
        <w:lastRenderedPageBreak/>
        <w:t>most recent term preceding data collection. This time-bounded definition ensures internal consistency between the sampling criterion and the participation classifications in Table 3.</w:t>
      </w:r>
    </w:p>
    <w:p w14:paraId="60488C2B" w14:textId="77777777" w:rsidR="00C76077" w:rsidRDefault="00C07A7D">
      <w:pPr>
        <w:spacing w:before="240" w:after="60"/>
      </w:pPr>
      <w:r>
        <w:rPr>
          <w:b/>
          <w:bCs/>
          <w:color w:val="000000"/>
        </w:rPr>
        <w:t>Research Instruments and Data Collection</w:t>
      </w:r>
    </w:p>
    <w:p w14:paraId="5A363CD0" w14:textId="77777777" w:rsidR="00C76077" w:rsidRDefault="00C07A7D">
      <w:pPr>
        <w:spacing w:after="200" w:line="259" w:lineRule="auto"/>
        <w:jc w:val="both"/>
      </w:pPr>
      <w:r>
        <w:rPr>
          <w:color w:val="000000"/>
        </w:rPr>
        <w:t>Three instruments were used. A structured questionnaire administered to teachers and students gathered quantitative data on parental G&amp;C participation frequency and perceived effects on three CBC implementation indicators, using a five-point Likert scale (1 = Very Ineffective to 5 = Very Effective). A parallel instrument administered to parent respondents measured their own participation levels and self-assessed engagement quality. A semi-structured interview guide was administered individually to all 18 headteachers, covering institutional perceptions of parental G&amp;C engagement, structural barriers, and potential enabling conditions.</w:t>
      </w:r>
    </w:p>
    <w:p w14:paraId="6DC7E6AE" w14:textId="77777777" w:rsidR="00C76077" w:rsidRDefault="00C07A7D">
      <w:pPr>
        <w:spacing w:after="200" w:line="259" w:lineRule="auto"/>
        <w:jc w:val="both"/>
      </w:pPr>
      <w:r>
        <w:rPr>
          <w:color w:val="000000"/>
        </w:rPr>
        <w:t>Questionnaires were administered on-site by the researcher during scheduled school sessions for each respondent group. No questionnaires were sent home or administered without researcher supervision. Completed instruments were collected on the same day. These conditions — direct on-site administration, same-day collection, and researcher presence throughout — account for the 100% return rate: questionnaires that could not be completed on the day (due to absence) were administered at the next available session within the same school, and questionnaires with more than 10% missing data were excluded from analysis at screening. Of the 398 instruments administered and returned, all met the completeness threshold and were retained for analysis.</w:t>
      </w:r>
    </w:p>
    <w:p w14:paraId="28E9895D" w14:textId="77777777" w:rsidR="00C76077" w:rsidRDefault="00C07A7D">
      <w:pPr>
        <w:spacing w:before="240" w:after="60"/>
      </w:pPr>
      <w:r>
        <w:rPr>
          <w:b/>
          <w:bCs/>
          <w:color w:val="000000"/>
        </w:rPr>
        <w:t>Validity and Reliability</w:t>
      </w:r>
    </w:p>
    <w:p w14:paraId="22477AD8" w14:textId="77777777" w:rsidR="00C76077" w:rsidRDefault="00C07A7D">
      <w:pPr>
        <w:spacing w:after="200" w:line="259" w:lineRule="auto"/>
        <w:jc w:val="both"/>
      </w:pPr>
      <w:r>
        <w:rPr>
          <w:color w:val="000000"/>
        </w:rPr>
        <w:t xml:space="preserve">Content validity was established through structured review by two educational research specialists at the Faculty of Education, who assessed each item for relevance, clarity, and alignment with the three dimensions of Fredricks et al.'s framework. Construct validity was confirmed through systematic item-to-construct mapping prior to data collection. Reliability was assessed through a four-week test-retest procedure conducted on a pilot sample of 20 respondents from a comparable rural sub-county. The test-retest reliability coefficient for the composite parental participation scale was r = 0.83, exceeding Nunnally's recommended threshold of 0.7 and confirming adequate instrument </w:t>
      </w:r>
      <w:proofErr w:type="gramStart"/>
      <w:r>
        <w:rPr>
          <w:color w:val="000000"/>
        </w:rPr>
        <w:t>stability.(</w:t>
      </w:r>
      <w:proofErr w:type="gramEnd"/>
      <w:r>
        <w:rPr>
          <w:color w:val="000000"/>
        </w:rPr>
        <w:t>Nunnally, 1978)</w:t>
      </w:r>
    </w:p>
    <w:p w14:paraId="2B4083F1" w14:textId="77777777" w:rsidR="00C76077" w:rsidRDefault="00C07A7D">
      <w:pPr>
        <w:spacing w:before="240" w:after="60"/>
      </w:pPr>
      <w:r>
        <w:rPr>
          <w:b/>
          <w:bCs/>
          <w:color w:val="000000"/>
        </w:rPr>
        <w:t>Data Analysis</w:t>
      </w:r>
    </w:p>
    <w:p w14:paraId="6512755D" w14:textId="77777777" w:rsidR="00C76077" w:rsidRDefault="00C07A7D">
      <w:pPr>
        <w:spacing w:after="200" w:line="259" w:lineRule="auto"/>
        <w:jc w:val="both"/>
      </w:pPr>
      <w:r>
        <w:rPr>
          <w:color w:val="000000"/>
        </w:rPr>
        <w:t xml:space="preserve">Quantitative data were analysed in IBM SPSS Statistics Version 25. Descriptive statistics — frequencies, percentages, means, and standard deviations — were computed for all participation and outcome items. Pearson's product-moment correlation coefficient was calculated to test the association between parental G&amp;C participation and each CBC implementation indicator at p &lt; .05. Qualitative data from headteacher interviews were transcribed verbatim, inductively coded, and analysed through Braun and Clarke's six-phase thematic analysis </w:t>
      </w:r>
      <w:proofErr w:type="gramStart"/>
      <w:r>
        <w:rPr>
          <w:color w:val="000000"/>
        </w:rPr>
        <w:t>protocol.(</w:t>
      </w:r>
      <w:proofErr w:type="gramEnd"/>
      <w:r>
        <w:rPr>
          <w:color w:val="000000"/>
        </w:rPr>
        <w:t>Braun &amp; Clarke, 2006) Integration was achieved through a convergence matrix: quantitative findings for each outcome variable were placed alongside the corresponding qualitative theme, and the integrated narrative was constructed to confirm, extend, or contextualise the statistical patterns.</w:t>
      </w:r>
    </w:p>
    <w:p w14:paraId="102D4F33" w14:textId="77777777" w:rsidR="00C76077" w:rsidRDefault="00C07A7D">
      <w:pPr>
        <w:pageBreakBefore/>
        <w:spacing w:before="200" w:after="80"/>
      </w:pPr>
      <w:r>
        <w:rPr>
          <w:b/>
          <w:bCs/>
          <w:color w:val="000000"/>
          <w:sz w:val="28"/>
          <w:szCs w:val="28"/>
        </w:rPr>
        <w:lastRenderedPageBreak/>
        <w:t>RESULTS</w:t>
      </w:r>
    </w:p>
    <w:p w14:paraId="354405E9" w14:textId="77777777" w:rsidR="00C76077" w:rsidRDefault="00C07A7D">
      <w:pPr>
        <w:spacing w:before="240" w:after="60"/>
      </w:pPr>
      <w:r>
        <w:rPr>
          <w:b/>
          <w:bCs/>
          <w:color w:val="000000"/>
        </w:rPr>
        <w:t>Demographic Profile of Teacher Respondents</w:t>
      </w:r>
    </w:p>
    <w:p w14:paraId="0DA37FD5" w14:textId="77777777" w:rsidR="00C76077" w:rsidRDefault="00C07A7D">
      <w:pPr>
        <w:keepNext/>
        <w:spacing w:after="200" w:line="259" w:lineRule="auto"/>
        <w:jc w:val="both"/>
      </w:pPr>
      <w:r>
        <w:rPr>
          <w:color w:val="000000"/>
        </w:rPr>
        <w:t>Table 2 presents the demographic profile of the 100 teacher respondents — the sub-group for whom professional characteristics were collected. Gender data cover all 378 non-headteacher respondents (students, teachers, parents); teaching experience and qualifications pertain specifically to the 100 teacher respondents.</w:t>
      </w:r>
    </w:p>
    <w:p w14:paraId="546BCD18" w14:textId="77777777" w:rsidR="00C76077" w:rsidRDefault="00C76077">
      <w:pPr>
        <w:keepNext/>
        <w:spacing w:after="80"/>
      </w:pPr>
    </w:p>
    <w:p w14:paraId="46A7ECD5" w14:textId="77777777" w:rsidR="00C76077" w:rsidRDefault="00C07A7D">
      <w:pPr>
        <w:keepNext/>
        <w:spacing w:before="280"/>
      </w:pPr>
      <w:r>
        <w:rPr>
          <w:i/>
          <w:iCs/>
          <w:color w:val="000000"/>
        </w:rPr>
        <w:t>Table 2</w:t>
      </w:r>
    </w:p>
    <w:p w14:paraId="33357C6C" w14:textId="77777777" w:rsidR="00C76077" w:rsidRDefault="00C07A7D">
      <w:pPr>
        <w:keepNext/>
        <w:spacing w:after="60"/>
      </w:pPr>
      <w:r>
        <w:rPr>
          <w:color w:val="000000"/>
        </w:rPr>
        <w:t>Demographic Characteristics of Teacher Respondents and Gender Profile of All Non-HT Respondents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2699"/>
        <w:gridCol w:w="1125"/>
        <w:gridCol w:w="1829"/>
      </w:tblGrid>
      <w:tr w:rsidR="00C76077" w14:paraId="0348FBEA" w14:textId="77777777">
        <w:trPr>
          <w:cantSplit/>
          <w:trHeight w:val="380"/>
        </w:trPr>
        <w:tc>
          <w:tcPr>
            <w:tcW w:w="30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5F31B4B" w14:textId="77777777" w:rsidR="00C76077" w:rsidRDefault="00C07A7D">
            <w:pPr>
              <w:spacing w:before="30" w:after="30"/>
            </w:pPr>
            <w:r>
              <w:rPr>
                <w:b/>
                <w:bCs/>
                <w:sz w:val="20"/>
                <w:szCs w:val="20"/>
              </w:rPr>
              <w:t>Variable</w:t>
            </w:r>
          </w:p>
        </w:tc>
        <w:tc>
          <w:tcPr>
            <w:tcW w:w="2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A6AE0D6" w14:textId="77777777" w:rsidR="00C76077" w:rsidRDefault="00C07A7D">
            <w:pPr>
              <w:spacing w:before="30" w:after="30"/>
              <w:jc w:val="center"/>
            </w:pPr>
            <w:r>
              <w:rPr>
                <w:b/>
                <w:bCs/>
                <w:sz w:val="20"/>
                <w:szCs w:val="20"/>
              </w:rPr>
              <w:t>Category</w:t>
            </w:r>
          </w:p>
        </w:tc>
        <w:tc>
          <w:tcPr>
            <w:tcW w:w="10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14074B7" w14:textId="77777777" w:rsidR="00C76077" w:rsidRDefault="00C07A7D">
            <w:pPr>
              <w:spacing w:before="30" w:after="30"/>
              <w:jc w:val="center"/>
            </w:pPr>
            <w:r>
              <w:rPr>
                <w:b/>
                <w:bCs/>
                <w:sz w:val="20"/>
                <w:szCs w:val="20"/>
              </w:rPr>
              <w:t>n</w:t>
            </w:r>
          </w:p>
        </w:tc>
        <w:tc>
          <w:tcPr>
            <w:tcW w:w="162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50CA7DCD" w14:textId="77777777" w:rsidR="00C76077" w:rsidRDefault="00C07A7D">
            <w:pPr>
              <w:spacing w:before="30" w:after="30"/>
              <w:jc w:val="center"/>
            </w:pPr>
            <w:r>
              <w:rPr>
                <w:b/>
                <w:bCs/>
                <w:sz w:val="20"/>
                <w:szCs w:val="20"/>
              </w:rPr>
              <w:t>%</w:t>
            </w:r>
          </w:p>
        </w:tc>
      </w:tr>
      <w:tr w:rsidR="00C76077" w14:paraId="227E71C1"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1F4FCB4" w14:textId="77777777" w:rsidR="00C76077" w:rsidRDefault="00C07A7D">
            <w:pPr>
              <w:spacing w:before="30" w:after="30"/>
            </w:pPr>
            <w:r>
              <w:rPr>
                <w:sz w:val="20"/>
                <w:szCs w:val="20"/>
              </w:rPr>
              <w:t>Gender (non-HT respondents, n=380)</w:t>
            </w: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E8F3DD0" w14:textId="77777777" w:rsidR="00C76077" w:rsidRDefault="00C07A7D">
            <w:pPr>
              <w:spacing w:before="30" w:after="30"/>
            </w:pPr>
            <w:r>
              <w:rPr>
                <w:sz w:val="20"/>
                <w:szCs w:val="20"/>
              </w:rPr>
              <w:t>Male</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8433CC9" w14:textId="77777777" w:rsidR="00C76077" w:rsidRDefault="00C07A7D">
            <w:pPr>
              <w:spacing w:before="30" w:after="30"/>
              <w:jc w:val="center"/>
            </w:pPr>
            <w:r>
              <w:rPr>
                <w:sz w:val="20"/>
                <w:szCs w:val="20"/>
              </w:rPr>
              <w:t>202</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67FDE42" w14:textId="77777777" w:rsidR="00C76077" w:rsidRDefault="00C07A7D">
            <w:pPr>
              <w:spacing w:before="30" w:after="30"/>
              <w:jc w:val="center"/>
            </w:pPr>
            <w:r>
              <w:rPr>
                <w:sz w:val="20"/>
                <w:szCs w:val="20"/>
              </w:rPr>
              <w:t>53.2</w:t>
            </w:r>
          </w:p>
        </w:tc>
      </w:tr>
      <w:tr w:rsidR="00C76077" w14:paraId="27A74D76"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7DEC29E" w14:textId="77777777" w:rsidR="00C76077" w:rsidRDefault="00C76077">
            <w:pPr>
              <w:spacing w:before="30" w:after="30"/>
            </w:pP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7DD0881" w14:textId="77777777" w:rsidR="00C76077" w:rsidRDefault="00C07A7D">
            <w:pPr>
              <w:spacing w:before="30" w:after="30"/>
            </w:pPr>
            <w:r>
              <w:rPr>
                <w:sz w:val="20"/>
                <w:szCs w:val="20"/>
              </w:rPr>
              <w:t>Female</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59C264A" w14:textId="77777777" w:rsidR="00C76077" w:rsidRDefault="00C07A7D">
            <w:pPr>
              <w:spacing w:before="30" w:after="30"/>
              <w:jc w:val="center"/>
            </w:pPr>
            <w:r>
              <w:rPr>
                <w:sz w:val="20"/>
                <w:szCs w:val="20"/>
              </w:rPr>
              <w:t>178</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275AE29" w14:textId="77777777" w:rsidR="00C76077" w:rsidRDefault="00C07A7D">
            <w:pPr>
              <w:spacing w:before="30" w:after="30"/>
              <w:jc w:val="center"/>
            </w:pPr>
            <w:r>
              <w:rPr>
                <w:sz w:val="20"/>
                <w:szCs w:val="20"/>
              </w:rPr>
              <w:t>46.8</w:t>
            </w:r>
          </w:p>
        </w:tc>
      </w:tr>
      <w:tr w:rsidR="00C76077" w14:paraId="4C1CED8C"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853775D" w14:textId="77777777" w:rsidR="00C76077" w:rsidRDefault="00C07A7D">
            <w:pPr>
              <w:spacing w:before="30" w:after="30"/>
            </w:pPr>
            <w:r>
              <w:rPr>
                <w:sz w:val="20"/>
                <w:szCs w:val="20"/>
              </w:rPr>
              <w:t>Teaching Experience (teachers only, n=100)</w:t>
            </w: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5172047" w14:textId="77777777" w:rsidR="00C76077" w:rsidRDefault="00C07A7D">
            <w:pPr>
              <w:spacing w:before="30" w:after="30"/>
            </w:pPr>
            <w:r>
              <w:rPr>
                <w:sz w:val="20"/>
                <w:szCs w:val="20"/>
              </w:rPr>
              <w:t>&lt; 5 years</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33DF014" w14:textId="77777777" w:rsidR="00C76077" w:rsidRDefault="00C07A7D">
            <w:pPr>
              <w:spacing w:before="30" w:after="30"/>
              <w:jc w:val="center"/>
            </w:pPr>
            <w:r>
              <w:rPr>
                <w:sz w:val="20"/>
                <w:szCs w:val="20"/>
              </w:rPr>
              <w:t>23</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A2FF027" w14:textId="77777777" w:rsidR="00C76077" w:rsidRDefault="00C07A7D">
            <w:pPr>
              <w:spacing w:before="30" w:after="30"/>
              <w:jc w:val="center"/>
            </w:pPr>
            <w:r>
              <w:rPr>
                <w:sz w:val="20"/>
                <w:szCs w:val="20"/>
              </w:rPr>
              <w:t>23.0</w:t>
            </w:r>
          </w:p>
        </w:tc>
      </w:tr>
      <w:tr w:rsidR="00C76077" w14:paraId="36F8A831"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CD1E47C" w14:textId="77777777" w:rsidR="00C76077" w:rsidRDefault="00C76077">
            <w:pPr>
              <w:spacing w:before="30" w:after="30"/>
            </w:pP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B372D9B" w14:textId="77777777" w:rsidR="00C76077" w:rsidRDefault="00C07A7D">
            <w:pPr>
              <w:spacing w:before="30" w:after="30"/>
            </w:pPr>
            <w:r>
              <w:rPr>
                <w:sz w:val="20"/>
                <w:szCs w:val="20"/>
              </w:rPr>
              <w:t>5–10 years</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EDD74DE" w14:textId="77777777" w:rsidR="00C76077" w:rsidRDefault="00C07A7D">
            <w:pPr>
              <w:spacing w:before="30" w:after="30"/>
              <w:jc w:val="center"/>
            </w:pPr>
            <w:r>
              <w:rPr>
                <w:sz w:val="20"/>
                <w:szCs w:val="20"/>
              </w:rPr>
              <w:t>41</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0D92F4E" w14:textId="77777777" w:rsidR="00C76077" w:rsidRDefault="00C07A7D">
            <w:pPr>
              <w:spacing w:before="30" w:after="30"/>
              <w:jc w:val="center"/>
            </w:pPr>
            <w:r>
              <w:rPr>
                <w:sz w:val="20"/>
                <w:szCs w:val="20"/>
              </w:rPr>
              <w:t>41.0</w:t>
            </w:r>
          </w:p>
        </w:tc>
      </w:tr>
      <w:tr w:rsidR="00C76077" w14:paraId="294105EB"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C592601" w14:textId="77777777" w:rsidR="00C76077" w:rsidRDefault="00C76077">
            <w:pPr>
              <w:spacing w:before="30" w:after="30"/>
            </w:pP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313FC23" w14:textId="77777777" w:rsidR="00C76077" w:rsidRDefault="00C07A7D">
            <w:pPr>
              <w:spacing w:before="30" w:after="30"/>
            </w:pPr>
            <w:r>
              <w:rPr>
                <w:sz w:val="20"/>
                <w:szCs w:val="20"/>
              </w:rPr>
              <w:t>&gt; 10 years</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0BC8349" w14:textId="77777777" w:rsidR="00C76077" w:rsidRDefault="00C07A7D">
            <w:pPr>
              <w:spacing w:before="30" w:after="30"/>
              <w:jc w:val="center"/>
            </w:pPr>
            <w:r>
              <w:rPr>
                <w:sz w:val="20"/>
                <w:szCs w:val="20"/>
              </w:rPr>
              <w:t>36</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B0566AE" w14:textId="77777777" w:rsidR="00C76077" w:rsidRDefault="00C07A7D">
            <w:pPr>
              <w:spacing w:before="30" w:after="30"/>
              <w:jc w:val="center"/>
            </w:pPr>
            <w:r>
              <w:rPr>
                <w:sz w:val="20"/>
                <w:szCs w:val="20"/>
              </w:rPr>
              <w:t>36.0</w:t>
            </w:r>
          </w:p>
        </w:tc>
      </w:tr>
      <w:tr w:rsidR="00C76077" w14:paraId="38A3D179"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E8CC0A5" w14:textId="77777777" w:rsidR="00C76077" w:rsidRDefault="00C07A7D">
            <w:pPr>
              <w:spacing w:before="30" w:after="30"/>
            </w:pPr>
            <w:r>
              <w:rPr>
                <w:sz w:val="20"/>
                <w:szCs w:val="20"/>
              </w:rPr>
              <w:t>Highest Qualification (teachers only, n=100)</w:t>
            </w: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8C73D3A" w14:textId="77777777" w:rsidR="00C76077" w:rsidRDefault="00C07A7D">
            <w:pPr>
              <w:spacing w:before="30" w:after="30"/>
            </w:pPr>
            <w:r>
              <w:rPr>
                <w:sz w:val="20"/>
                <w:szCs w:val="20"/>
              </w:rPr>
              <w:t>Certificate/Diploma</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E84B841" w14:textId="77777777" w:rsidR="00C76077" w:rsidRDefault="00C07A7D">
            <w:pPr>
              <w:spacing w:before="30" w:after="30"/>
              <w:jc w:val="center"/>
            </w:pPr>
            <w:r>
              <w:rPr>
                <w:sz w:val="20"/>
                <w:szCs w:val="20"/>
              </w:rPr>
              <w:t>19</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49D7BD1" w14:textId="77777777" w:rsidR="00C76077" w:rsidRDefault="00C07A7D">
            <w:pPr>
              <w:spacing w:before="30" w:after="30"/>
              <w:jc w:val="center"/>
            </w:pPr>
            <w:r>
              <w:rPr>
                <w:sz w:val="20"/>
                <w:szCs w:val="20"/>
              </w:rPr>
              <w:t>19.0</w:t>
            </w:r>
          </w:p>
        </w:tc>
      </w:tr>
      <w:tr w:rsidR="00C76077" w14:paraId="73AB6DF2"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FA7F2E8" w14:textId="77777777" w:rsidR="00C76077" w:rsidRDefault="00C76077">
            <w:pPr>
              <w:spacing w:before="30" w:after="30"/>
            </w:pP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91EBA52" w14:textId="77777777" w:rsidR="00C76077" w:rsidRDefault="00C07A7D">
            <w:pPr>
              <w:spacing w:before="30" w:after="30"/>
            </w:pPr>
            <w:r>
              <w:rPr>
                <w:sz w:val="20"/>
                <w:szCs w:val="20"/>
              </w:rPr>
              <w:t>Bachelor’s Degree</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ADEC85C" w14:textId="77777777" w:rsidR="00C76077" w:rsidRDefault="00C07A7D">
            <w:pPr>
              <w:spacing w:before="30" w:after="30"/>
              <w:jc w:val="center"/>
            </w:pPr>
            <w:r>
              <w:rPr>
                <w:sz w:val="20"/>
                <w:szCs w:val="20"/>
              </w:rPr>
              <w:t>62</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FB952D4" w14:textId="77777777" w:rsidR="00C76077" w:rsidRDefault="00C07A7D">
            <w:pPr>
              <w:spacing w:before="30" w:after="30"/>
              <w:jc w:val="center"/>
            </w:pPr>
            <w:r>
              <w:rPr>
                <w:sz w:val="20"/>
                <w:szCs w:val="20"/>
              </w:rPr>
              <w:t>62.0</w:t>
            </w:r>
          </w:p>
        </w:tc>
      </w:tr>
      <w:tr w:rsidR="00C76077" w14:paraId="75A94D4B" w14:textId="77777777">
        <w:trPr>
          <w:cantSplit/>
          <w:trHeight w:val="380"/>
        </w:trPr>
        <w:tc>
          <w:tcPr>
            <w:tcW w:w="3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2A5E270" w14:textId="77777777" w:rsidR="00C76077" w:rsidRDefault="00C76077">
            <w:pPr>
              <w:spacing w:before="30" w:after="30"/>
            </w:pPr>
          </w:p>
        </w:tc>
        <w:tc>
          <w:tcPr>
            <w:tcW w:w="2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0ECB08B" w14:textId="77777777" w:rsidR="00C76077" w:rsidRDefault="00C07A7D">
            <w:pPr>
              <w:spacing w:before="30" w:after="30"/>
            </w:pPr>
            <w:r>
              <w:rPr>
                <w:sz w:val="20"/>
                <w:szCs w:val="20"/>
              </w:rPr>
              <w:t>Master’s Degree</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33D6D69" w14:textId="77777777" w:rsidR="00C76077" w:rsidRDefault="00C07A7D">
            <w:pPr>
              <w:spacing w:before="30" w:after="30"/>
              <w:jc w:val="center"/>
            </w:pPr>
            <w:r>
              <w:rPr>
                <w:sz w:val="20"/>
                <w:szCs w:val="20"/>
              </w:rPr>
              <w:t>19</w:t>
            </w:r>
          </w:p>
        </w:tc>
        <w:tc>
          <w:tcPr>
            <w:tcW w:w="16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69B0F5E" w14:textId="77777777" w:rsidR="00C76077" w:rsidRDefault="00C07A7D">
            <w:pPr>
              <w:spacing w:before="30" w:after="30"/>
              <w:jc w:val="center"/>
            </w:pPr>
            <w:r>
              <w:rPr>
                <w:sz w:val="20"/>
                <w:szCs w:val="20"/>
              </w:rPr>
              <w:t>19.0</w:t>
            </w:r>
          </w:p>
        </w:tc>
      </w:tr>
    </w:tbl>
    <w:p w14:paraId="7B072AFB" w14:textId="77777777" w:rsidR="00C76077" w:rsidRDefault="00C07A7D">
      <w:pPr>
        <w:spacing w:before="60" w:after="200"/>
        <w:jc w:val="both"/>
      </w:pPr>
      <w:r>
        <w:rPr>
          <w:i/>
          <w:iCs/>
          <w:color w:val="000000"/>
          <w:sz w:val="20"/>
          <w:szCs w:val="20"/>
        </w:rPr>
        <w:t xml:space="preserve">Note. </w:t>
      </w:r>
      <w:r>
        <w:rPr>
          <w:color w:val="000000"/>
          <w:sz w:val="20"/>
          <w:szCs w:val="20"/>
        </w:rPr>
        <w:t>Gender percentages are calculated on 380 non-headteacher respondents (100 teachers + 180 students + 100 parents). Teaching experience and qualification percentages are calculated on the 100 teacher respondents only. Source: Field Data (2025).</w:t>
      </w:r>
    </w:p>
    <w:p w14:paraId="5D08DF62" w14:textId="77777777" w:rsidR="00C76077" w:rsidRDefault="00C07A7D">
      <w:pPr>
        <w:spacing w:before="240" w:after="60"/>
      </w:pPr>
      <w:r>
        <w:rPr>
          <w:b/>
          <w:bCs/>
          <w:color w:val="000000"/>
        </w:rPr>
        <w:t>Extent of Parental Participation in Guidance and Counselling</w:t>
      </w:r>
    </w:p>
    <w:p w14:paraId="386EAAB6" w14:textId="77777777" w:rsidR="00C76077" w:rsidRDefault="00C07A7D">
      <w:pPr>
        <w:spacing w:after="200" w:line="259" w:lineRule="auto"/>
        <w:jc w:val="both"/>
      </w:pPr>
      <w:r>
        <w:rPr>
          <w:color w:val="000000"/>
        </w:rPr>
        <w:t>The composite parental participation scale produced a mean of 2.05 (SD = 0.74) across the 100 parent respondents, below the scale midpoint of 3.0, indicating generally low engagement. Table 3 presents the full distribution of participation levels for the most recent school term. Figure 3 presents these proportions as a visual distribution.</w:t>
      </w:r>
    </w:p>
    <w:p w14:paraId="0897E87B" w14:textId="77777777" w:rsidR="00C76077" w:rsidRDefault="00C76077">
      <w:pPr>
        <w:spacing w:after="80"/>
      </w:pPr>
    </w:p>
    <w:p w14:paraId="46BE5A6D" w14:textId="77777777" w:rsidR="00C76077" w:rsidRDefault="00C07A7D">
      <w:pPr>
        <w:keepNext/>
        <w:spacing w:before="280"/>
      </w:pPr>
      <w:r>
        <w:rPr>
          <w:i/>
          <w:iCs/>
          <w:color w:val="000000"/>
        </w:rPr>
        <w:t>Table 3</w:t>
      </w:r>
    </w:p>
    <w:p w14:paraId="0F9FD3BA" w14:textId="77777777" w:rsidR="00C76077" w:rsidRDefault="00C07A7D">
      <w:pPr>
        <w:keepNext/>
        <w:spacing w:after="60"/>
      </w:pPr>
      <w:r>
        <w:rPr>
          <w:color w:val="000000"/>
        </w:rPr>
        <w:t>Distribution of Parental Participation in G&amp;C Activities, Most Recent Term (n = 100 parents)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4"/>
        <w:gridCol w:w="1555"/>
        <w:gridCol w:w="1555"/>
        <w:gridCol w:w="1000"/>
        <w:gridCol w:w="1362"/>
      </w:tblGrid>
      <w:tr w:rsidR="00C76077" w14:paraId="1C2CBE34" w14:textId="77777777">
        <w:trPr>
          <w:cantSplit/>
          <w:trHeight w:val="380"/>
        </w:trPr>
        <w:tc>
          <w:tcPr>
            <w:tcW w:w="32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018A4F08" w14:textId="77777777" w:rsidR="00C76077" w:rsidRDefault="00C07A7D">
            <w:pPr>
              <w:spacing w:before="30" w:after="30"/>
            </w:pPr>
            <w:r>
              <w:rPr>
                <w:b/>
                <w:bCs/>
                <w:sz w:val="20"/>
                <w:szCs w:val="20"/>
              </w:rPr>
              <w:t>Participation Level (current term)</w:t>
            </w:r>
          </w:p>
        </w:tc>
        <w:tc>
          <w:tcPr>
            <w:tcW w:w="1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32068BD2" w14:textId="77777777" w:rsidR="00C76077" w:rsidRDefault="00C07A7D">
            <w:pPr>
              <w:spacing w:before="30" w:after="30"/>
              <w:jc w:val="center"/>
            </w:pPr>
            <w:r>
              <w:rPr>
                <w:b/>
                <w:bCs/>
                <w:sz w:val="20"/>
                <w:szCs w:val="20"/>
              </w:rPr>
              <w:t>n</w:t>
            </w:r>
          </w:p>
        </w:tc>
        <w:tc>
          <w:tcPr>
            <w:tcW w:w="1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02ECDAF" w14:textId="77777777" w:rsidR="00C76077" w:rsidRDefault="00C07A7D">
            <w:pPr>
              <w:spacing w:before="30" w:after="30"/>
              <w:jc w:val="center"/>
            </w:pPr>
            <w:r>
              <w:rPr>
                <w:b/>
                <w:bCs/>
                <w:sz w:val="20"/>
                <w:szCs w:val="20"/>
              </w:rPr>
              <w:t>%</w:t>
            </w:r>
          </w:p>
        </w:tc>
        <w:tc>
          <w:tcPr>
            <w:tcW w:w="9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5E95821C" w14:textId="77777777" w:rsidR="00C76077" w:rsidRDefault="00C07A7D">
            <w:pPr>
              <w:spacing w:before="30" w:after="30"/>
              <w:jc w:val="center"/>
            </w:pPr>
            <w:r>
              <w:rPr>
                <w:b/>
                <w:bCs/>
                <w:sz w:val="20"/>
                <w:szCs w:val="20"/>
              </w:rPr>
              <w:t>Mean</w:t>
            </w:r>
          </w:p>
        </w:tc>
        <w:tc>
          <w:tcPr>
            <w:tcW w:w="122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8AD51ED" w14:textId="77777777" w:rsidR="00C76077" w:rsidRDefault="00C07A7D">
            <w:pPr>
              <w:spacing w:before="30" w:after="30"/>
              <w:jc w:val="center"/>
            </w:pPr>
            <w:r>
              <w:rPr>
                <w:b/>
                <w:bCs/>
                <w:sz w:val="20"/>
                <w:szCs w:val="20"/>
              </w:rPr>
              <w:t>SD</w:t>
            </w:r>
          </w:p>
        </w:tc>
      </w:tr>
      <w:tr w:rsidR="00C76077" w14:paraId="474A8FA1" w14:textId="77777777">
        <w:trPr>
          <w:cantSplit/>
          <w:trHeight w:val="380"/>
        </w:trPr>
        <w:tc>
          <w:tcPr>
            <w:tcW w:w="3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B8980D7" w14:textId="77777777" w:rsidR="00C76077" w:rsidRDefault="00C07A7D">
            <w:pPr>
              <w:spacing w:before="30" w:after="30"/>
            </w:pPr>
            <w:r>
              <w:rPr>
                <w:sz w:val="20"/>
                <w:szCs w:val="20"/>
              </w:rPr>
              <w:t>Active, regular participation</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520C1E6" w14:textId="77777777" w:rsidR="00C76077" w:rsidRDefault="00C07A7D">
            <w:pPr>
              <w:spacing w:before="30" w:after="30"/>
              <w:jc w:val="center"/>
            </w:pPr>
            <w:r>
              <w:rPr>
                <w:sz w:val="20"/>
                <w:szCs w:val="20"/>
              </w:rPr>
              <w:t>25</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4BB6FE5" w14:textId="77777777" w:rsidR="00C76077" w:rsidRDefault="00C07A7D">
            <w:pPr>
              <w:spacing w:before="30" w:after="30"/>
              <w:jc w:val="center"/>
            </w:pPr>
            <w:r>
              <w:rPr>
                <w:sz w:val="20"/>
                <w:szCs w:val="20"/>
              </w:rPr>
              <w:t>24.9</w:t>
            </w:r>
          </w:p>
        </w:tc>
        <w:tc>
          <w:tcPr>
            <w:tcW w:w="9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5C067C8" w14:textId="77777777" w:rsidR="00C76077" w:rsidRDefault="00C76077">
            <w:pPr>
              <w:spacing w:before="30" w:after="30"/>
              <w:jc w:val="center"/>
            </w:pPr>
          </w:p>
        </w:tc>
        <w:tc>
          <w:tcPr>
            <w:tcW w:w="12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15A10FE" w14:textId="77777777" w:rsidR="00C76077" w:rsidRDefault="00C76077">
            <w:pPr>
              <w:spacing w:before="30" w:after="30"/>
              <w:jc w:val="center"/>
            </w:pPr>
          </w:p>
        </w:tc>
      </w:tr>
      <w:tr w:rsidR="00C76077" w14:paraId="0B722D81" w14:textId="77777777">
        <w:trPr>
          <w:cantSplit/>
          <w:trHeight w:val="380"/>
        </w:trPr>
        <w:tc>
          <w:tcPr>
            <w:tcW w:w="3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274E58A" w14:textId="77777777" w:rsidR="00C76077" w:rsidRDefault="00C07A7D">
            <w:pPr>
              <w:spacing w:before="30" w:after="30"/>
            </w:pPr>
            <w:r>
              <w:rPr>
                <w:sz w:val="20"/>
                <w:szCs w:val="20"/>
              </w:rPr>
              <w:t>Episodic / reactive participation</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9968EA4" w14:textId="77777777" w:rsidR="00C76077" w:rsidRDefault="00C07A7D">
            <w:pPr>
              <w:spacing w:before="30" w:after="30"/>
              <w:jc w:val="center"/>
            </w:pPr>
            <w:r>
              <w:rPr>
                <w:sz w:val="20"/>
                <w:szCs w:val="20"/>
              </w:rPr>
              <w:t>45</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FEAE334" w14:textId="77777777" w:rsidR="00C76077" w:rsidRDefault="00C07A7D">
            <w:pPr>
              <w:spacing w:before="30" w:after="30"/>
              <w:jc w:val="center"/>
            </w:pPr>
            <w:r>
              <w:rPr>
                <w:sz w:val="20"/>
                <w:szCs w:val="20"/>
              </w:rPr>
              <w:t>44.7</w:t>
            </w:r>
          </w:p>
        </w:tc>
        <w:tc>
          <w:tcPr>
            <w:tcW w:w="9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11AE927" w14:textId="77777777" w:rsidR="00C76077" w:rsidRDefault="00C76077">
            <w:pPr>
              <w:spacing w:before="30" w:after="30"/>
              <w:jc w:val="center"/>
            </w:pPr>
          </w:p>
        </w:tc>
        <w:tc>
          <w:tcPr>
            <w:tcW w:w="12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06F5DE7" w14:textId="77777777" w:rsidR="00C76077" w:rsidRDefault="00C76077">
            <w:pPr>
              <w:spacing w:before="30" w:after="30"/>
              <w:jc w:val="center"/>
            </w:pPr>
          </w:p>
        </w:tc>
      </w:tr>
      <w:tr w:rsidR="00C76077" w14:paraId="4B93D350" w14:textId="77777777">
        <w:trPr>
          <w:cantSplit/>
          <w:trHeight w:val="380"/>
        </w:trPr>
        <w:tc>
          <w:tcPr>
            <w:tcW w:w="3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6486563" w14:textId="77777777" w:rsidR="00C76077" w:rsidRDefault="00C07A7D">
            <w:pPr>
              <w:spacing w:before="30" w:after="30"/>
            </w:pPr>
            <w:r>
              <w:rPr>
                <w:sz w:val="20"/>
                <w:szCs w:val="20"/>
              </w:rPr>
              <w:t>No participation (current term)</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266514C" w14:textId="77777777" w:rsidR="00C76077" w:rsidRDefault="00C07A7D">
            <w:pPr>
              <w:spacing w:before="30" w:after="30"/>
              <w:jc w:val="center"/>
            </w:pPr>
            <w:r>
              <w:rPr>
                <w:sz w:val="20"/>
                <w:szCs w:val="20"/>
              </w:rPr>
              <w:t>30</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A498B46" w14:textId="77777777" w:rsidR="00C76077" w:rsidRDefault="00C07A7D">
            <w:pPr>
              <w:spacing w:before="30" w:after="30"/>
              <w:jc w:val="center"/>
            </w:pPr>
            <w:r>
              <w:rPr>
                <w:sz w:val="20"/>
                <w:szCs w:val="20"/>
              </w:rPr>
              <w:t>30.4</w:t>
            </w:r>
          </w:p>
        </w:tc>
        <w:tc>
          <w:tcPr>
            <w:tcW w:w="9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271053F" w14:textId="77777777" w:rsidR="00C76077" w:rsidRDefault="00C76077">
            <w:pPr>
              <w:spacing w:before="30" w:after="30"/>
              <w:jc w:val="center"/>
            </w:pPr>
          </w:p>
        </w:tc>
        <w:tc>
          <w:tcPr>
            <w:tcW w:w="12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4E335CC" w14:textId="77777777" w:rsidR="00C76077" w:rsidRDefault="00C76077">
            <w:pPr>
              <w:spacing w:before="30" w:after="30"/>
              <w:jc w:val="center"/>
            </w:pPr>
          </w:p>
        </w:tc>
      </w:tr>
      <w:tr w:rsidR="00C76077" w14:paraId="19226C39" w14:textId="77777777">
        <w:trPr>
          <w:cantSplit/>
          <w:trHeight w:val="380"/>
        </w:trPr>
        <w:tc>
          <w:tcPr>
            <w:tcW w:w="3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11E75D0" w14:textId="77777777" w:rsidR="00C76077" w:rsidRDefault="00C07A7D">
            <w:pPr>
              <w:spacing w:before="30" w:after="30"/>
            </w:pPr>
            <w:r>
              <w:rPr>
                <w:sz w:val="20"/>
                <w:szCs w:val="20"/>
              </w:rPr>
              <w:lastRenderedPageBreak/>
              <w:t>Composite scale</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89A6690" w14:textId="77777777" w:rsidR="00C76077" w:rsidRDefault="00C07A7D">
            <w:pPr>
              <w:spacing w:before="30" w:after="30"/>
              <w:jc w:val="center"/>
            </w:pPr>
            <w:r>
              <w:rPr>
                <w:sz w:val="20"/>
                <w:szCs w:val="20"/>
              </w:rPr>
              <w:t>100</w:t>
            </w:r>
          </w:p>
        </w:tc>
        <w:tc>
          <w:tcPr>
            <w:tcW w:w="1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65D460E" w14:textId="77777777" w:rsidR="00C76077" w:rsidRDefault="00C07A7D">
            <w:pPr>
              <w:spacing w:before="30" w:after="30"/>
              <w:jc w:val="center"/>
            </w:pPr>
            <w:r>
              <w:rPr>
                <w:sz w:val="20"/>
                <w:szCs w:val="20"/>
              </w:rPr>
              <w:t>100.0</w:t>
            </w:r>
          </w:p>
        </w:tc>
        <w:tc>
          <w:tcPr>
            <w:tcW w:w="9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3555EB6" w14:textId="77777777" w:rsidR="00C76077" w:rsidRDefault="00C07A7D">
            <w:pPr>
              <w:spacing w:before="30" w:after="30"/>
              <w:jc w:val="center"/>
            </w:pPr>
            <w:r>
              <w:rPr>
                <w:sz w:val="20"/>
                <w:szCs w:val="20"/>
              </w:rPr>
              <w:t>2.05</w:t>
            </w:r>
          </w:p>
        </w:tc>
        <w:tc>
          <w:tcPr>
            <w:tcW w:w="12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D1F6995" w14:textId="77777777" w:rsidR="00C76077" w:rsidRDefault="00C07A7D">
            <w:pPr>
              <w:spacing w:before="30" w:after="30"/>
              <w:jc w:val="center"/>
            </w:pPr>
            <w:r>
              <w:rPr>
                <w:sz w:val="20"/>
                <w:szCs w:val="20"/>
              </w:rPr>
              <w:t>0.74</w:t>
            </w:r>
          </w:p>
        </w:tc>
      </w:tr>
    </w:tbl>
    <w:p w14:paraId="589E7A2E" w14:textId="77777777" w:rsidR="00C76077" w:rsidRDefault="00C07A7D">
      <w:pPr>
        <w:spacing w:before="60" w:after="200"/>
        <w:jc w:val="both"/>
      </w:pPr>
      <w:r>
        <w:rPr>
          <w:i/>
          <w:iCs/>
          <w:color w:val="000000"/>
          <w:sz w:val="20"/>
          <w:szCs w:val="20"/>
        </w:rPr>
        <w:t xml:space="preserve">Note. </w:t>
      </w:r>
      <w:r>
        <w:rPr>
          <w:color w:val="000000"/>
          <w:sz w:val="20"/>
          <w:szCs w:val="20"/>
        </w:rPr>
        <w:t>Participation levels refer to the most recent school term. The 30 parents classified as "no participation" had met the broader inclusion criterion (prior G&amp;C contact during the academic year) but had not attended any scheduled G&amp;C activity during the most recent term. Mean and SD refer to the composite participation scale, not to individual category frequencies. Source: Field Data (2025).</w:t>
      </w:r>
    </w:p>
    <w:p w14:paraId="52C22EBF" w14:textId="77777777" w:rsidR="00C76077" w:rsidRDefault="00C76077">
      <w:pPr>
        <w:spacing w:after="80"/>
      </w:pPr>
    </w:p>
    <w:p w14:paraId="7E882EC6" w14:textId="77777777" w:rsidR="00C76077" w:rsidRDefault="00C07A7D">
      <w:pPr>
        <w:keepNext/>
        <w:spacing w:before="200" w:after="60"/>
      </w:pPr>
      <w:r>
        <w:rPr>
          <w:b/>
          <w:bCs/>
          <w:color w:val="000000"/>
        </w:rPr>
        <w:t>Figure 3. Distribution of Parental Participation Levels, Current Term (n = 100)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4100"/>
        <w:gridCol w:w="1526"/>
      </w:tblGrid>
      <w:tr w:rsidR="00C76077" w14:paraId="04FE26D7" w14:textId="77777777">
        <w:trPr>
          <w:cantSplit/>
          <w:trHeight w:val="380"/>
        </w:trPr>
        <w:tc>
          <w:tcPr>
            <w:tcW w:w="3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9775685" w14:textId="77777777" w:rsidR="00C76077" w:rsidRDefault="00C07A7D">
            <w:pPr>
              <w:keepNext/>
              <w:spacing w:before="30" w:after="30"/>
            </w:pPr>
            <w:r>
              <w:rPr>
                <w:b/>
                <w:bCs/>
                <w:sz w:val="20"/>
                <w:szCs w:val="20"/>
              </w:rPr>
              <w:t>Indicator</w:t>
            </w:r>
          </w:p>
        </w:tc>
        <w:tc>
          <w:tcPr>
            <w:tcW w:w="41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023EF813" w14:textId="77777777" w:rsidR="00C76077" w:rsidRDefault="00C07A7D">
            <w:pPr>
              <w:spacing w:before="30" w:after="30"/>
              <w:jc w:val="center"/>
            </w:pPr>
            <w:r>
              <w:rPr>
                <w:b/>
                <w:bCs/>
                <w:sz w:val="20"/>
                <w:szCs w:val="20"/>
              </w:rPr>
              <w:t>Distribution</w:t>
            </w:r>
          </w:p>
        </w:tc>
        <w:tc>
          <w:tcPr>
            <w:tcW w:w="152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4BF9684" w14:textId="77777777" w:rsidR="00C76077" w:rsidRDefault="00C07A7D">
            <w:pPr>
              <w:spacing w:before="30" w:after="30"/>
              <w:jc w:val="center"/>
            </w:pPr>
            <w:r>
              <w:rPr>
                <w:b/>
                <w:bCs/>
                <w:sz w:val="20"/>
                <w:szCs w:val="20"/>
              </w:rPr>
              <w:t>% of Total</w:t>
            </w:r>
          </w:p>
        </w:tc>
      </w:tr>
      <w:tr w:rsidR="00C76077" w14:paraId="3D0A335D"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524CB44" w14:textId="77777777" w:rsidR="00C76077" w:rsidRDefault="00C07A7D">
            <w:pPr>
              <w:spacing w:before="30" w:after="30"/>
            </w:pPr>
            <w:r>
              <w:rPr>
                <w:sz w:val="20"/>
                <w:szCs w:val="20"/>
              </w:rPr>
              <w:t>Active, regular participation</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F96BC48"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4C1E210" w14:textId="77777777" w:rsidR="00C76077" w:rsidRDefault="00C07A7D">
            <w:pPr>
              <w:spacing w:before="30" w:after="30"/>
              <w:jc w:val="center"/>
            </w:pPr>
            <w:r>
              <w:rPr>
                <w:sz w:val="20"/>
                <w:szCs w:val="20"/>
              </w:rPr>
              <w:t>24.9%</w:t>
            </w:r>
          </w:p>
        </w:tc>
      </w:tr>
      <w:tr w:rsidR="00C76077" w14:paraId="152BCB8F"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B614F6D" w14:textId="77777777" w:rsidR="00C76077" w:rsidRDefault="00C07A7D">
            <w:pPr>
              <w:spacing w:before="30" w:after="30"/>
            </w:pPr>
            <w:r>
              <w:rPr>
                <w:sz w:val="20"/>
                <w:szCs w:val="20"/>
              </w:rPr>
              <w:t>Episodic / reactive participation</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F30DDDD"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0BC5C40" w14:textId="77777777" w:rsidR="00C76077" w:rsidRDefault="00C07A7D">
            <w:pPr>
              <w:spacing w:before="30" w:after="30"/>
              <w:jc w:val="center"/>
            </w:pPr>
            <w:r>
              <w:rPr>
                <w:sz w:val="20"/>
                <w:szCs w:val="20"/>
              </w:rPr>
              <w:t>44.7%</w:t>
            </w:r>
          </w:p>
        </w:tc>
      </w:tr>
      <w:tr w:rsidR="00C76077" w14:paraId="56733347"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C2CEB4A" w14:textId="77777777" w:rsidR="00C76077" w:rsidRDefault="00C07A7D">
            <w:pPr>
              <w:spacing w:before="30" w:after="30"/>
            </w:pPr>
            <w:r>
              <w:rPr>
                <w:sz w:val="20"/>
                <w:szCs w:val="20"/>
              </w:rPr>
              <w:t>No participation (current term)</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24B5484"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EF6359A" w14:textId="77777777" w:rsidR="00C76077" w:rsidRDefault="00C07A7D">
            <w:pPr>
              <w:spacing w:before="30" w:after="30"/>
              <w:jc w:val="center"/>
            </w:pPr>
            <w:r>
              <w:rPr>
                <w:sz w:val="20"/>
                <w:szCs w:val="20"/>
              </w:rPr>
              <w:t>30.4%</w:t>
            </w:r>
          </w:p>
        </w:tc>
      </w:tr>
    </w:tbl>
    <w:p w14:paraId="1C831EEF" w14:textId="77777777" w:rsidR="00C76077" w:rsidRDefault="00C07A7D">
      <w:pPr>
        <w:spacing w:before="60" w:after="200"/>
        <w:jc w:val="both"/>
      </w:pPr>
      <w:r>
        <w:rPr>
          <w:i/>
          <w:iCs/>
          <w:color w:val="000000"/>
          <w:sz w:val="20"/>
          <w:szCs w:val="20"/>
        </w:rPr>
        <w:t xml:space="preserve">Note. </w:t>
      </w:r>
      <w:r>
        <w:rPr>
          <w:color w:val="000000"/>
          <w:sz w:val="20"/>
          <w:szCs w:val="20"/>
        </w:rPr>
        <w:t>Bar length proportional to percentage. Active = regular attendance at scheduled sessions; Episodic = attendance prompted by a specific child concern; None = no attendance during the current term. Source: Field Data (2025).</w:t>
      </w:r>
    </w:p>
    <w:p w14:paraId="6D467F21" w14:textId="77777777" w:rsidR="00C76077" w:rsidRDefault="00C07A7D">
      <w:pPr>
        <w:spacing w:before="240" w:after="60"/>
      </w:pPr>
      <w:r>
        <w:rPr>
          <w:b/>
          <w:bCs/>
          <w:color w:val="000000"/>
        </w:rPr>
        <w:t>Associations with School Attendance</w:t>
      </w:r>
    </w:p>
    <w:p w14:paraId="4487F9B1" w14:textId="77777777" w:rsidR="00C76077" w:rsidRDefault="00C07A7D">
      <w:pPr>
        <w:keepNext/>
        <w:spacing w:after="200" w:line="259" w:lineRule="auto"/>
        <w:jc w:val="both"/>
      </w:pPr>
      <w:r>
        <w:rPr>
          <w:color w:val="000000"/>
        </w:rPr>
        <w:t>Table 4 presents student ratings of the perceived association between parental G&amp;C participation and school attendance. Across the three items, a combined positive response rate (Very Effective + Effective) of 82.4% was recorded — the strongest pattern among the three CBC outcome indicators examined.</w:t>
      </w:r>
    </w:p>
    <w:p w14:paraId="2F82D9F0" w14:textId="77777777" w:rsidR="00C76077" w:rsidRDefault="00C76077">
      <w:pPr>
        <w:keepNext/>
        <w:spacing w:after="80"/>
      </w:pPr>
    </w:p>
    <w:p w14:paraId="49EF8F79" w14:textId="77777777" w:rsidR="00C76077" w:rsidRDefault="00C07A7D">
      <w:pPr>
        <w:keepNext/>
        <w:spacing w:before="280"/>
      </w:pPr>
      <w:r>
        <w:rPr>
          <w:i/>
          <w:iCs/>
          <w:color w:val="000000"/>
        </w:rPr>
        <w:t>Table 4</w:t>
      </w:r>
    </w:p>
    <w:p w14:paraId="065FF325" w14:textId="77777777" w:rsidR="00C76077" w:rsidRDefault="00C07A7D">
      <w:pPr>
        <w:keepNext/>
        <w:spacing w:after="60"/>
      </w:pPr>
      <w:r>
        <w:rPr>
          <w:color w:val="000000"/>
        </w:rPr>
        <w:t>Student Ratings: Perceived Influence of Parental G&amp;C Participation on School Attendance (n = 180)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6"/>
        <w:gridCol w:w="783"/>
        <w:gridCol w:w="782"/>
        <w:gridCol w:w="782"/>
        <w:gridCol w:w="782"/>
        <w:gridCol w:w="782"/>
        <w:gridCol w:w="1419"/>
      </w:tblGrid>
      <w:tr w:rsidR="00C76077" w14:paraId="1FD422FF" w14:textId="77777777">
        <w:trPr>
          <w:cantSplit/>
          <w:trHeight w:val="380"/>
        </w:trPr>
        <w:tc>
          <w:tcPr>
            <w:tcW w:w="3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9FF9248" w14:textId="77777777" w:rsidR="00C76077" w:rsidRDefault="00C07A7D">
            <w:pPr>
              <w:spacing w:before="30" w:after="30"/>
            </w:pPr>
            <w:r>
              <w:rPr>
                <w:b/>
                <w:bCs/>
                <w:sz w:val="20"/>
                <w:szCs w:val="20"/>
              </w:rPr>
              <w:t>Item</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C9BA4B4" w14:textId="77777777" w:rsidR="00C76077" w:rsidRDefault="00C07A7D">
            <w:pPr>
              <w:spacing w:before="30" w:after="30"/>
              <w:jc w:val="center"/>
            </w:pPr>
            <w:r>
              <w:rPr>
                <w:b/>
                <w:bCs/>
                <w:sz w:val="20"/>
                <w:szCs w:val="20"/>
              </w:rPr>
              <w:t>VE%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0A0A7159" w14:textId="77777777" w:rsidR="00C76077" w:rsidRDefault="00C07A7D">
            <w:pPr>
              <w:spacing w:before="30" w:after="30"/>
              <w:jc w:val="center"/>
            </w:pPr>
            <w:r>
              <w:rPr>
                <w:b/>
                <w:bCs/>
                <w:sz w:val="20"/>
                <w:szCs w:val="20"/>
              </w:rPr>
              <w:t>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DAB22A5" w14:textId="77777777" w:rsidR="00C76077" w:rsidRDefault="00C07A7D">
            <w:pPr>
              <w:spacing w:before="30" w:after="30"/>
              <w:jc w:val="center"/>
            </w:pPr>
            <w:r>
              <w:rPr>
                <w:b/>
                <w:bCs/>
                <w:sz w:val="20"/>
                <w:szCs w:val="20"/>
              </w:rPr>
              <w:t>N%</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395D0070" w14:textId="77777777" w:rsidR="00C76077" w:rsidRDefault="00C07A7D">
            <w:pPr>
              <w:spacing w:before="30" w:after="30"/>
              <w:jc w:val="center"/>
            </w:pPr>
            <w:r>
              <w:rPr>
                <w:b/>
                <w:bCs/>
                <w:sz w:val="20"/>
                <w:szCs w:val="20"/>
              </w:rPr>
              <w:t>IE%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3FE6A320" w14:textId="77777777" w:rsidR="00C76077" w:rsidRDefault="00C07A7D">
            <w:pPr>
              <w:spacing w:before="30" w:after="30"/>
              <w:jc w:val="center"/>
            </w:pPr>
            <w:r>
              <w:rPr>
                <w:b/>
                <w:bCs/>
                <w:sz w:val="20"/>
                <w:szCs w:val="20"/>
              </w:rPr>
              <w:t>VIE%</w:t>
            </w:r>
          </w:p>
        </w:tc>
        <w:tc>
          <w:tcPr>
            <w:tcW w:w="130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0E0CE5AF" w14:textId="77777777" w:rsidR="00C76077" w:rsidRDefault="00C07A7D">
            <w:pPr>
              <w:spacing w:before="30" w:after="30"/>
              <w:jc w:val="center"/>
            </w:pPr>
            <w:r>
              <w:rPr>
                <w:b/>
                <w:bCs/>
                <w:sz w:val="20"/>
                <w:szCs w:val="20"/>
              </w:rPr>
              <w:t>VE+E%</w:t>
            </w:r>
          </w:p>
        </w:tc>
      </w:tr>
      <w:tr w:rsidR="00C76077" w14:paraId="3947C121"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84F61DC" w14:textId="77777777" w:rsidR="00C76077" w:rsidRDefault="00C07A7D">
            <w:pPr>
              <w:spacing w:before="30" w:after="30"/>
            </w:pPr>
            <w:r>
              <w:rPr>
                <w:sz w:val="20"/>
                <w:szCs w:val="20"/>
              </w:rPr>
              <w:t>G&amp;C participation improves student attendance</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86A0ADE" w14:textId="77777777" w:rsidR="00C76077" w:rsidRDefault="00C07A7D">
            <w:pPr>
              <w:spacing w:before="30" w:after="30"/>
              <w:jc w:val="center"/>
            </w:pPr>
            <w:r>
              <w:rPr>
                <w:sz w:val="20"/>
                <w:szCs w:val="20"/>
              </w:rPr>
              <w:t>52.9</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72FA73C" w14:textId="77777777" w:rsidR="00C76077" w:rsidRDefault="00C07A7D">
            <w:pPr>
              <w:spacing w:before="30" w:after="30"/>
              <w:jc w:val="center"/>
            </w:pPr>
            <w:r>
              <w:rPr>
                <w:sz w:val="20"/>
                <w:szCs w:val="20"/>
              </w:rPr>
              <w:t>29.4</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A2F98AB" w14:textId="77777777" w:rsidR="00C76077" w:rsidRDefault="00C07A7D">
            <w:pPr>
              <w:spacing w:before="30" w:after="30"/>
              <w:jc w:val="center"/>
            </w:pPr>
            <w:r>
              <w:rPr>
                <w:sz w:val="20"/>
                <w:szCs w:val="20"/>
              </w:rPr>
              <w:t>11.8</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F0092DD" w14:textId="77777777" w:rsidR="00C76077" w:rsidRDefault="00C07A7D">
            <w:pPr>
              <w:spacing w:before="30" w:after="30"/>
              <w:jc w:val="center"/>
            </w:pPr>
            <w:r>
              <w:rPr>
                <w:sz w:val="20"/>
                <w:szCs w:val="20"/>
              </w:rPr>
              <w:t>5.9</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40F11B5"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1273C78" w14:textId="77777777" w:rsidR="00C76077" w:rsidRDefault="00C07A7D">
            <w:pPr>
              <w:spacing w:before="30" w:after="30"/>
              <w:jc w:val="center"/>
            </w:pPr>
            <w:r>
              <w:rPr>
                <w:sz w:val="20"/>
                <w:szCs w:val="20"/>
              </w:rPr>
              <w:t>82.4</w:t>
            </w:r>
          </w:p>
        </w:tc>
      </w:tr>
      <w:tr w:rsidR="00C76077" w14:paraId="24AA119B"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0C8DA4B" w14:textId="77777777" w:rsidR="00C76077" w:rsidRDefault="00C07A7D">
            <w:pPr>
              <w:spacing w:before="30" w:after="30"/>
            </w:pPr>
            <w:r>
              <w:rPr>
                <w:sz w:val="20"/>
                <w:szCs w:val="20"/>
              </w:rPr>
              <w:t>Attendance improves when parents attend school sessions</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46B37C8" w14:textId="77777777" w:rsidR="00C76077" w:rsidRDefault="00C07A7D">
            <w:pPr>
              <w:spacing w:before="30" w:after="30"/>
              <w:jc w:val="center"/>
            </w:pPr>
            <w:r>
              <w:rPr>
                <w:sz w:val="20"/>
                <w:szCs w:val="20"/>
              </w:rPr>
              <w:t>41.2</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047A08A" w14:textId="77777777" w:rsidR="00C76077" w:rsidRDefault="00C07A7D">
            <w:pPr>
              <w:spacing w:before="30" w:after="30"/>
              <w:jc w:val="center"/>
            </w:pPr>
            <w:r>
              <w:rPr>
                <w:sz w:val="20"/>
                <w:szCs w:val="20"/>
              </w:rPr>
              <w:t>35.3</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6E6A067" w14:textId="77777777" w:rsidR="00C76077" w:rsidRDefault="00C07A7D">
            <w:pPr>
              <w:spacing w:before="30" w:after="30"/>
              <w:jc w:val="center"/>
            </w:pPr>
            <w:r>
              <w:rPr>
                <w:sz w:val="20"/>
                <w:szCs w:val="20"/>
              </w:rPr>
              <w:t>17.6</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8A47A32" w14:textId="77777777" w:rsidR="00C76077" w:rsidRDefault="00C07A7D">
            <w:pPr>
              <w:spacing w:before="30" w:after="30"/>
              <w:jc w:val="center"/>
            </w:pPr>
            <w:r>
              <w:rPr>
                <w:sz w:val="20"/>
                <w:szCs w:val="20"/>
              </w:rPr>
              <w:t>5.9</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8F07D7F"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D0B46DB" w14:textId="77777777" w:rsidR="00C76077" w:rsidRDefault="00C07A7D">
            <w:pPr>
              <w:spacing w:before="30" w:after="30"/>
              <w:jc w:val="center"/>
            </w:pPr>
            <w:r>
              <w:rPr>
                <w:sz w:val="20"/>
                <w:szCs w:val="20"/>
              </w:rPr>
              <w:t>76.5</w:t>
            </w:r>
          </w:p>
        </w:tc>
      </w:tr>
      <w:tr w:rsidR="00C76077" w14:paraId="4B2E528B"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B723D2E" w14:textId="77777777" w:rsidR="00C76077" w:rsidRDefault="00C07A7D">
            <w:pPr>
              <w:spacing w:before="30" w:after="30"/>
            </w:pPr>
            <w:r>
              <w:rPr>
                <w:sz w:val="20"/>
                <w:szCs w:val="20"/>
              </w:rPr>
              <w:t>Parental engagement reduces student absenteeism</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8A1C754" w14:textId="77777777" w:rsidR="00C76077" w:rsidRDefault="00C07A7D">
            <w:pPr>
              <w:spacing w:before="30" w:after="30"/>
              <w:jc w:val="center"/>
            </w:pPr>
            <w:r>
              <w:rPr>
                <w:sz w:val="20"/>
                <w:szCs w:val="20"/>
              </w:rPr>
              <w:t>47.1</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168D581"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DD39699"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9453229" w14:textId="77777777" w:rsidR="00C76077" w:rsidRDefault="00C07A7D">
            <w:pPr>
              <w:spacing w:before="30" w:after="30"/>
              <w:jc w:val="center"/>
            </w:pPr>
            <w:r>
              <w:rPr>
                <w:sz w:val="20"/>
                <w:szCs w:val="20"/>
              </w:rPr>
              <w:t>5.9</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EA25324"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45C7CD8" w14:textId="77777777" w:rsidR="00C76077" w:rsidRDefault="00C07A7D">
            <w:pPr>
              <w:spacing w:before="30" w:after="30"/>
              <w:jc w:val="center"/>
            </w:pPr>
            <w:r>
              <w:rPr>
                <w:sz w:val="20"/>
                <w:szCs w:val="20"/>
              </w:rPr>
              <w:t>70.6</w:t>
            </w:r>
          </w:p>
        </w:tc>
      </w:tr>
    </w:tbl>
    <w:p w14:paraId="4B2183CC" w14:textId="77777777" w:rsidR="00C76077" w:rsidRDefault="00C07A7D">
      <w:pPr>
        <w:spacing w:before="60" w:after="200"/>
        <w:jc w:val="both"/>
      </w:pPr>
      <w:r>
        <w:rPr>
          <w:i/>
          <w:iCs/>
          <w:color w:val="000000"/>
          <w:sz w:val="20"/>
          <w:szCs w:val="20"/>
        </w:rPr>
        <w:t xml:space="preserve">Note. </w:t>
      </w:r>
      <w:r>
        <w:rPr>
          <w:color w:val="000000"/>
          <w:sz w:val="20"/>
          <w:szCs w:val="20"/>
        </w:rPr>
        <w:t>VE = Very Effective; E = Effective; N = Neutral; IE = Ineffective; VIE = Very Ineffective. Percentages are of student respondents (n = 180). Source: Field Data (2025).</w:t>
      </w:r>
    </w:p>
    <w:p w14:paraId="240945D2" w14:textId="77777777" w:rsidR="00C07A7D" w:rsidRDefault="00C07A7D">
      <w:pPr>
        <w:spacing w:before="240" w:after="60"/>
        <w:rPr>
          <w:b/>
          <w:bCs/>
          <w:color w:val="000000"/>
        </w:rPr>
      </w:pPr>
    </w:p>
    <w:p w14:paraId="2C61BCBB" w14:textId="77777777" w:rsidR="00C07A7D" w:rsidRDefault="00C07A7D">
      <w:pPr>
        <w:spacing w:before="240" w:after="60"/>
        <w:rPr>
          <w:b/>
          <w:bCs/>
          <w:color w:val="000000"/>
        </w:rPr>
      </w:pPr>
    </w:p>
    <w:p w14:paraId="4CF6F000" w14:textId="77777777" w:rsidR="00C07A7D" w:rsidRDefault="00C07A7D">
      <w:pPr>
        <w:spacing w:before="240" w:after="60"/>
        <w:rPr>
          <w:b/>
          <w:bCs/>
          <w:color w:val="000000"/>
        </w:rPr>
      </w:pPr>
    </w:p>
    <w:p w14:paraId="24B5C80E" w14:textId="77777777" w:rsidR="00C07A7D" w:rsidRDefault="00C07A7D">
      <w:pPr>
        <w:spacing w:before="240" w:after="60"/>
        <w:rPr>
          <w:b/>
          <w:bCs/>
          <w:color w:val="000000"/>
        </w:rPr>
      </w:pPr>
    </w:p>
    <w:p w14:paraId="637CAF57" w14:textId="77777777" w:rsidR="00C07A7D" w:rsidRDefault="00C07A7D">
      <w:pPr>
        <w:spacing w:before="240" w:after="60"/>
        <w:rPr>
          <w:b/>
          <w:bCs/>
          <w:color w:val="000000"/>
        </w:rPr>
      </w:pPr>
    </w:p>
    <w:p w14:paraId="0B408C30" w14:textId="77777777" w:rsidR="00C07A7D" w:rsidRDefault="00C07A7D">
      <w:pPr>
        <w:spacing w:before="240" w:after="60"/>
        <w:rPr>
          <w:b/>
          <w:bCs/>
          <w:color w:val="000000"/>
        </w:rPr>
      </w:pPr>
    </w:p>
    <w:p w14:paraId="54B3750B" w14:textId="77777777" w:rsidR="00C07A7D" w:rsidRDefault="00C07A7D">
      <w:pPr>
        <w:spacing w:before="240" w:after="60"/>
        <w:rPr>
          <w:b/>
          <w:bCs/>
          <w:color w:val="000000"/>
        </w:rPr>
      </w:pPr>
    </w:p>
    <w:p w14:paraId="60F75360" w14:textId="77777777" w:rsidR="00C07A7D" w:rsidRDefault="00C07A7D">
      <w:pPr>
        <w:spacing w:before="240" w:after="60"/>
        <w:rPr>
          <w:b/>
          <w:bCs/>
          <w:color w:val="000000"/>
        </w:rPr>
      </w:pPr>
    </w:p>
    <w:p w14:paraId="2A4348ED" w14:textId="77777777" w:rsidR="00C07A7D" w:rsidRDefault="00C07A7D">
      <w:pPr>
        <w:spacing w:before="240" w:after="60"/>
        <w:rPr>
          <w:b/>
          <w:bCs/>
          <w:color w:val="000000"/>
        </w:rPr>
      </w:pPr>
    </w:p>
    <w:p w14:paraId="383C4B85" w14:textId="77777777" w:rsidR="00C07A7D" w:rsidRDefault="00C07A7D">
      <w:pPr>
        <w:spacing w:before="240" w:after="60"/>
        <w:rPr>
          <w:b/>
          <w:bCs/>
          <w:color w:val="000000"/>
        </w:rPr>
      </w:pPr>
    </w:p>
    <w:p w14:paraId="5FCA1920" w14:textId="72516929" w:rsidR="00C76077" w:rsidRDefault="00C07A7D">
      <w:pPr>
        <w:spacing w:before="240" w:after="60"/>
      </w:pPr>
      <w:r>
        <w:rPr>
          <w:b/>
          <w:bCs/>
          <w:color w:val="000000"/>
        </w:rPr>
        <w:t>Associations with Decision-Making Quality</w:t>
      </w:r>
    </w:p>
    <w:p w14:paraId="6732CFAB" w14:textId="77777777" w:rsidR="00C76077" w:rsidRDefault="00C07A7D">
      <w:pPr>
        <w:keepNext/>
        <w:spacing w:after="200" w:line="259" w:lineRule="auto"/>
        <w:jc w:val="both"/>
      </w:pPr>
      <w:r>
        <w:rPr>
          <w:color w:val="000000"/>
        </w:rPr>
        <w:t>Table 5 reports student ratings on the decision-making outcome. A combined positive response rate of 70.6% was recorded, indicating a meaningful perceived association between parental G&amp;C participation and students' decision-making capacity — a core CBC competency domain.</w:t>
      </w:r>
    </w:p>
    <w:p w14:paraId="2355B44E" w14:textId="77777777" w:rsidR="00C76077" w:rsidRDefault="00C76077">
      <w:pPr>
        <w:keepNext/>
        <w:spacing w:after="80"/>
      </w:pPr>
    </w:p>
    <w:p w14:paraId="29F2DE5E" w14:textId="77777777" w:rsidR="00C76077" w:rsidRDefault="00C07A7D">
      <w:pPr>
        <w:keepNext/>
        <w:spacing w:before="280"/>
      </w:pPr>
      <w:r>
        <w:rPr>
          <w:i/>
          <w:iCs/>
          <w:color w:val="000000"/>
        </w:rPr>
        <w:t>Table 5</w:t>
      </w:r>
    </w:p>
    <w:p w14:paraId="6549814E" w14:textId="77777777" w:rsidR="00C76077" w:rsidRDefault="00C07A7D">
      <w:pPr>
        <w:keepNext/>
        <w:spacing w:after="60"/>
      </w:pPr>
      <w:r>
        <w:rPr>
          <w:color w:val="000000"/>
        </w:rPr>
        <w:t>Student Ratings: Perceived Influence of Parental G&amp;C Participation on Decision-Making Quality (n = 180)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6"/>
        <w:gridCol w:w="783"/>
        <w:gridCol w:w="782"/>
        <w:gridCol w:w="782"/>
        <w:gridCol w:w="782"/>
        <w:gridCol w:w="782"/>
        <w:gridCol w:w="1419"/>
      </w:tblGrid>
      <w:tr w:rsidR="00C76077" w14:paraId="3BACD056" w14:textId="77777777">
        <w:trPr>
          <w:cantSplit/>
          <w:trHeight w:val="380"/>
        </w:trPr>
        <w:tc>
          <w:tcPr>
            <w:tcW w:w="3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FF28046" w14:textId="77777777" w:rsidR="00C76077" w:rsidRDefault="00C07A7D">
            <w:pPr>
              <w:spacing w:before="30" w:after="30"/>
            </w:pPr>
            <w:r>
              <w:rPr>
                <w:b/>
                <w:bCs/>
                <w:sz w:val="20"/>
                <w:szCs w:val="20"/>
              </w:rPr>
              <w:t>Item</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52FEFB3" w14:textId="77777777" w:rsidR="00C76077" w:rsidRDefault="00C07A7D">
            <w:pPr>
              <w:spacing w:before="30" w:after="30"/>
              <w:jc w:val="center"/>
            </w:pPr>
            <w:r>
              <w:rPr>
                <w:b/>
                <w:bCs/>
                <w:sz w:val="20"/>
                <w:szCs w:val="20"/>
              </w:rPr>
              <w:t>VE%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3B0B5994" w14:textId="77777777" w:rsidR="00C76077" w:rsidRDefault="00C07A7D">
            <w:pPr>
              <w:spacing w:before="30" w:after="30"/>
              <w:jc w:val="center"/>
            </w:pPr>
            <w:r>
              <w:rPr>
                <w:b/>
                <w:bCs/>
                <w:sz w:val="20"/>
                <w:szCs w:val="20"/>
              </w:rPr>
              <w:t>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3D785B68" w14:textId="77777777" w:rsidR="00C76077" w:rsidRDefault="00C07A7D">
            <w:pPr>
              <w:spacing w:before="30" w:after="30"/>
              <w:jc w:val="center"/>
            </w:pPr>
            <w:r>
              <w:rPr>
                <w:b/>
                <w:bCs/>
                <w:sz w:val="20"/>
                <w:szCs w:val="20"/>
              </w:rPr>
              <w:t>N%</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D577A0D" w14:textId="77777777" w:rsidR="00C76077" w:rsidRDefault="00C07A7D">
            <w:pPr>
              <w:spacing w:before="30" w:after="30"/>
              <w:jc w:val="center"/>
            </w:pPr>
            <w:r>
              <w:rPr>
                <w:b/>
                <w:bCs/>
                <w:sz w:val="20"/>
                <w:szCs w:val="20"/>
              </w:rPr>
              <w:t>IE%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FF21353" w14:textId="77777777" w:rsidR="00C76077" w:rsidRDefault="00C07A7D">
            <w:pPr>
              <w:spacing w:before="30" w:after="30"/>
              <w:jc w:val="center"/>
            </w:pPr>
            <w:r>
              <w:rPr>
                <w:b/>
                <w:bCs/>
                <w:sz w:val="20"/>
                <w:szCs w:val="20"/>
              </w:rPr>
              <w:t>VIE%</w:t>
            </w:r>
          </w:p>
        </w:tc>
        <w:tc>
          <w:tcPr>
            <w:tcW w:w="130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4DC1F61" w14:textId="77777777" w:rsidR="00C76077" w:rsidRDefault="00C07A7D">
            <w:pPr>
              <w:spacing w:before="30" w:after="30"/>
              <w:jc w:val="center"/>
            </w:pPr>
            <w:r>
              <w:rPr>
                <w:b/>
                <w:bCs/>
                <w:sz w:val="20"/>
                <w:szCs w:val="20"/>
              </w:rPr>
              <w:t>VE+E%</w:t>
            </w:r>
          </w:p>
        </w:tc>
      </w:tr>
      <w:tr w:rsidR="00C76077" w14:paraId="533A8FCA"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FC15612" w14:textId="77777777" w:rsidR="00C76077" w:rsidRDefault="00C07A7D">
            <w:pPr>
              <w:spacing w:before="30" w:after="30"/>
            </w:pPr>
            <w:r>
              <w:rPr>
                <w:sz w:val="20"/>
                <w:szCs w:val="20"/>
              </w:rPr>
              <w:t>G&amp;C participation improves decision-making quality</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70FE0C8" w14:textId="77777777" w:rsidR="00C76077" w:rsidRDefault="00C07A7D">
            <w:pPr>
              <w:spacing w:before="30" w:after="30"/>
              <w:jc w:val="center"/>
            </w:pPr>
            <w:r>
              <w:rPr>
                <w:sz w:val="20"/>
                <w:szCs w:val="20"/>
              </w:rPr>
              <w:t>47.1</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72F3664"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9467D16"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03977E7" w14:textId="77777777" w:rsidR="00C76077" w:rsidRDefault="00C07A7D">
            <w:pPr>
              <w:spacing w:before="30" w:after="30"/>
              <w:jc w:val="center"/>
            </w:pPr>
            <w:r>
              <w:rPr>
                <w:sz w:val="20"/>
                <w:szCs w:val="20"/>
              </w:rPr>
              <w:t>5.9</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7B9BA9F"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B396092" w14:textId="77777777" w:rsidR="00C76077" w:rsidRDefault="00C07A7D">
            <w:pPr>
              <w:spacing w:before="30" w:after="30"/>
              <w:jc w:val="center"/>
            </w:pPr>
            <w:r>
              <w:rPr>
                <w:sz w:val="20"/>
                <w:szCs w:val="20"/>
              </w:rPr>
              <w:t>70.6</w:t>
            </w:r>
          </w:p>
        </w:tc>
      </w:tr>
      <w:tr w:rsidR="00C76077" w14:paraId="3A1B09B9"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8AB0E8E" w14:textId="77777777" w:rsidR="00C76077" w:rsidRDefault="00C07A7D">
            <w:pPr>
              <w:spacing w:before="30" w:after="30"/>
            </w:pPr>
            <w:r>
              <w:rPr>
                <w:sz w:val="20"/>
                <w:szCs w:val="20"/>
              </w:rPr>
              <w:t>Students make better educational choices when parents engage</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55A0CB8" w14:textId="77777777" w:rsidR="00C76077" w:rsidRDefault="00C07A7D">
            <w:pPr>
              <w:spacing w:before="30" w:after="30"/>
              <w:jc w:val="center"/>
            </w:pPr>
            <w:r>
              <w:rPr>
                <w:sz w:val="20"/>
                <w:szCs w:val="20"/>
              </w:rPr>
              <w:t>35.3</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AA6ABFD" w14:textId="77777777" w:rsidR="00C76077" w:rsidRDefault="00C07A7D">
            <w:pPr>
              <w:spacing w:before="30" w:after="30"/>
              <w:jc w:val="center"/>
            </w:pPr>
            <w:r>
              <w:rPr>
                <w:sz w:val="20"/>
                <w:szCs w:val="20"/>
              </w:rPr>
              <w:t>29.4</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720C4C7"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F29E526" w14:textId="77777777" w:rsidR="00C76077" w:rsidRDefault="00C07A7D">
            <w:pPr>
              <w:spacing w:before="30" w:after="30"/>
              <w:jc w:val="center"/>
            </w:pPr>
            <w:r>
              <w:rPr>
                <w:sz w:val="20"/>
                <w:szCs w:val="20"/>
              </w:rPr>
              <w:t>11.8</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548E15D"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7FA5851" w14:textId="77777777" w:rsidR="00C76077" w:rsidRDefault="00C07A7D">
            <w:pPr>
              <w:spacing w:before="30" w:after="30"/>
              <w:jc w:val="center"/>
            </w:pPr>
            <w:r>
              <w:rPr>
                <w:sz w:val="20"/>
                <w:szCs w:val="20"/>
              </w:rPr>
              <w:t>64.7</w:t>
            </w:r>
          </w:p>
        </w:tc>
      </w:tr>
      <w:tr w:rsidR="00C76077" w14:paraId="33A57300"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A50C012" w14:textId="77777777" w:rsidR="00C76077" w:rsidRDefault="00C07A7D">
            <w:pPr>
              <w:spacing w:before="30" w:after="30"/>
            </w:pPr>
            <w:r>
              <w:rPr>
                <w:sz w:val="20"/>
                <w:szCs w:val="20"/>
              </w:rPr>
              <w:t>Parental guidance improves self-directed learning</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6E53F6A" w14:textId="77777777" w:rsidR="00C76077" w:rsidRDefault="00C07A7D">
            <w:pPr>
              <w:spacing w:before="30" w:after="30"/>
              <w:jc w:val="center"/>
            </w:pPr>
            <w:r>
              <w:rPr>
                <w:sz w:val="20"/>
                <w:szCs w:val="20"/>
              </w:rPr>
              <w:t>41.2</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3BEAD48" w14:textId="77777777" w:rsidR="00C76077" w:rsidRDefault="00C07A7D">
            <w:pPr>
              <w:spacing w:before="30" w:after="30"/>
              <w:jc w:val="center"/>
            </w:pPr>
            <w:r>
              <w:rPr>
                <w:sz w:val="20"/>
                <w:szCs w:val="20"/>
              </w:rPr>
              <w:t>29.4</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50A92F4" w14:textId="77777777" w:rsidR="00C76077" w:rsidRDefault="00C07A7D">
            <w:pPr>
              <w:spacing w:before="30" w:after="30"/>
              <w:jc w:val="center"/>
            </w:pPr>
            <w:r>
              <w:rPr>
                <w:sz w:val="20"/>
                <w:szCs w:val="20"/>
              </w:rPr>
              <w:t>17.6</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1B44E6B" w14:textId="77777777" w:rsidR="00C76077" w:rsidRDefault="00C07A7D">
            <w:pPr>
              <w:spacing w:before="30" w:after="30"/>
              <w:jc w:val="center"/>
            </w:pPr>
            <w:r>
              <w:rPr>
                <w:sz w:val="20"/>
                <w:szCs w:val="20"/>
              </w:rPr>
              <w:t>11.8</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D31260E"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18DAFFF" w14:textId="77777777" w:rsidR="00C76077" w:rsidRDefault="00C07A7D">
            <w:pPr>
              <w:spacing w:before="30" w:after="30"/>
              <w:jc w:val="center"/>
            </w:pPr>
            <w:r>
              <w:rPr>
                <w:sz w:val="20"/>
                <w:szCs w:val="20"/>
              </w:rPr>
              <w:t>70.6</w:t>
            </w:r>
          </w:p>
        </w:tc>
      </w:tr>
    </w:tbl>
    <w:p w14:paraId="6D3984AA" w14:textId="77777777" w:rsidR="00C76077" w:rsidRDefault="00C07A7D">
      <w:pPr>
        <w:spacing w:before="60" w:after="200"/>
        <w:jc w:val="both"/>
      </w:pPr>
      <w:r>
        <w:rPr>
          <w:i/>
          <w:iCs/>
          <w:color w:val="000000"/>
          <w:sz w:val="20"/>
          <w:szCs w:val="20"/>
        </w:rPr>
        <w:t xml:space="preserve">Note. </w:t>
      </w:r>
      <w:r>
        <w:rPr>
          <w:color w:val="000000"/>
          <w:sz w:val="20"/>
          <w:szCs w:val="20"/>
        </w:rPr>
        <w:t>VE = Very Effective; E = Effective; N = Neutral; IE = Ineffective; VIE = Very Ineffective. Items align with CBC critical thinking and self-directed learning competency domains. Source: Field Data (2025).</w:t>
      </w:r>
    </w:p>
    <w:p w14:paraId="52A365E8" w14:textId="77777777" w:rsidR="00C76077" w:rsidRDefault="00C07A7D">
      <w:pPr>
        <w:spacing w:before="240" w:after="60"/>
      </w:pPr>
      <w:r>
        <w:rPr>
          <w:b/>
          <w:bCs/>
          <w:color w:val="000000"/>
        </w:rPr>
        <w:t>Associations with Peer Collaborative Learning</w:t>
      </w:r>
    </w:p>
    <w:p w14:paraId="618945FA" w14:textId="77777777" w:rsidR="00C76077" w:rsidRDefault="00C07A7D">
      <w:pPr>
        <w:keepNext/>
        <w:spacing w:after="200" w:line="259" w:lineRule="auto"/>
        <w:jc w:val="both"/>
      </w:pPr>
      <w:r>
        <w:rPr>
          <w:color w:val="000000"/>
        </w:rPr>
        <w:t>Table 6 presents teacher ratings of the association between parental G&amp;C participation and students' collaborative learning orientation. The combined positive response rate of 64.7% is the most modest of the three indicators — consistent with the expectation that peer collaboration is influenced through an indirect home-endorsement pathway rather than through direct school-based intervention.</w:t>
      </w:r>
    </w:p>
    <w:p w14:paraId="6A4E79B6" w14:textId="77777777" w:rsidR="00C76077" w:rsidRDefault="00C76077">
      <w:pPr>
        <w:keepNext/>
        <w:spacing w:after="80"/>
      </w:pPr>
    </w:p>
    <w:p w14:paraId="5FA0188D" w14:textId="77777777" w:rsidR="00C76077" w:rsidRDefault="00C07A7D">
      <w:pPr>
        <w:keepNext/>
        <w:spacing w:before="280"/>
      </w:pPr>
      <w:r>
        <w:rPr>
          <w:i/>
          <w:iCs/>
          <w:color w:val="000000"/>
        </w:rPr>
        <w:t>Table 6</w:t>
      </w:r>
    </w:p>
    <w:p w14:paraId="1BDAC678" w14:textId="77777777" w:rsidR="00C76077" w:rsidRDefault="00C07A7D">
      <w:pPr>
        <w:keepNext/>
        <w:spacing w:after="60"/>
      </w:pPr>
      <w:r>
        <w:rPr>
          <w:color w:val="000000"/>
        </w:rPr>
        <w:t>Teacher Ratings: Perceived Influence of Parental G&amp;C Participation on Peer Collaboration (n = 100)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6"/>
        <w:gridCol w:w="783"/>
        <w:gridCol w:w="782"/>
        <w:gridCol w:w="782"/>
        <w:gridCol w:w="782"/>
        <w:gridCol w:w="782"/>
        <w:gridCol w:w="1419"/>
      </w:tblGrid>
      <w:tr w:rsidR="00C76077" w14:paraId="3E7DC904" w14:textId="77777777">
        <w:trPr>
          <w:cantSplit/>
          <w:trHeight w:val="380"/>
        </w:trPr>
        <w:tc>
          <w:tcPr>
            <w:tcW w:w="3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32FCBCFD" w14:textId="77777777" w:rsidR="00C76077" w:rsidRDefault="00C07A7D">
            <w:pPr>
              <w:spacing w:before="30" w:after="30"/>
            </w:pPr>
            <w:r>
              <w:rPr>
                <w:b/>
                <w:bCs/>
                <w:sz w:val="20"/>
                <w:szCs w:val="20"/>
              </w:rPr>
              <w:t>Item</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4EB161F" w14:textId="77777777" w:rsidR="00C76077" w:rsidRDefault="00C07A7D">
            <w:pPr>
              <w:spacing w:before="30" w:after="30"/>
              <w:jc w:val="center"/>
            </w:pPr>
            <w:r>
              <w:rPr>
                <w:b/>
                <w:bCs/>
                <w:sz w:val="20"/>
                <w:szCs w:val="20"/>
              </w:rPr>
              <w:t>VE%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69BC5F6D" w14:textId="77777777" w:rsidR="00C76077" w:rsidRDefault="00C07A7D">
            <w:pPr>
              <w:spacing w:before="30" w:after="30"/>
              <w:jc w:val="center"/>
            </w:pPr>
            <w:r>
              <w:rPr>
                <w:b/>
                <w:bCs/>
                <w:sz w:val="20"/>
                <w:szCs w:val="20"/>
              </w:rPr>
              <w:t>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AA5D354" w14:textId="77777777" w:rsidR="00C76077" w:rsidRDefault="00C07A7D">
            <w:pPr>
              <w:spacing w:before="30" w:after="30"/>
              <w:jc w:val="center"/>
            </w:pPr>
            <w:r>
              <w:rPr>
                <w:b/>
                <w:bCs/>
                <w:sz w:val="20"/>
                <w:szCs w:val="20"/>
              </w:rPr>
              <w:t>N%</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46A92B96" w14:textId="77777777" w:rsidR="00C76077" w:rsidRDefault="00C07A7D">
            <w:pPr>
              <w:spacing w:before="30" w:after="30"/>
              <w:jc w:val="center"/>
            </w:pPr>
            <w:r>
              <w:rPr>
                <w:b/>
                <w:bCs/>
                <w:sz w:val="20"/>
                <w:szCs w:val="20"/>
              </w:rPr>
              <w:t>IE%</w:t>
            </w:r>
          </w:p>
        </w:tc>
        <w:tc>
          <w:tcPr>
            <w:tcW w:w="72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62F9ECE3" w14:textId="77777777" w:rsidR="00C76077" w:rsidRDefault="00C07A7D">
            <w:pPr>
              <w:spacing w:before="30" w:after="30"/>
              <w:jc w:val="center"/>
            </w:pPr>
            <w:r>
              <w:rPr>
                <w:b/>
                <w:bCs/>
                <w:sz w:val="20"/>
                <w:szCs w:val="20"/>
              </w:rPr>
              <w:t>VIE%</w:t>
            </w:r>
          </w:p>
        </w:tc>
        <w:tc>
          <w:tcPr>
            <w:tcW w:w="130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901A0AD" w14:textId="77777777" w:rsidR="00C76077" w:rsidRDefault="00C07A7D">
            <w:pPr>
              <w:spacing w:before="30" w:after="30"/>
              <w:jc w:val="center"/>
            </w:pPr>
            <w:r>
              <w:rPr>
                <w:b/>
                <w:bCs/>
                <w:sz w:val="20"/>
                <w:szCs w:val="20"/>
              </w:rPr>
              <w:t>VE+E%</w:t>
            </w:r>
          </w:p>
        </w:tc>
      </w:tr>
      <w:tr w:rsidR="00C76077" w14:paraId="11C02415"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A9572D2" w14:textId="77777777" w:rsidR="00C76077" w:rsidRDefault="00C07A7D">
            <w:pPr>
              <w:spacing w:before="30" w:after="30"/>
            </w:pPr>
            <w:r>
              <w:rPr>
                <w:sz w:val="20"/>
                <w:szCs w:val="20"/>
              </w:rPr>
              <w:t>G&amp;C participation improves collaborative learning orientation</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262D05C" w14:textId="77777777" w:rsidR="00C76077" w:rsidRDefault="00C07A7D">
            <w:pPr>
              <w:spacing w:before="30" w:after="30"/>
              <w:jc w:val="center"/>
            </w:pPr>
            <w:r>
              <w:rPr>
                <w:sz w:val="20"/>
                <w:szCs w:val="20"/>
              </w:rPr>
              <w:t>29.4</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3E02CD1" w14:textId="77777777" w:rsidR="00C76077" w:rsidRDefault="00C07A7D">
            <w:pPr>
              <w:spacing w:before="30" w:after="30"/>
              <w:jc w:val="center"/>
            </w:pPr>
            <w:r>
              <w:rPr>
                <w:sz w:val="20"/>
                <w:szCs w:val="20"/>
              </w:rPr>
              <w:t>35.3</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A242E22"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90AB0E3" w14:textId="77777777" w:rsidR="00C76077" w:rsidRDefault="00C07A7D">
            <w:pPr>
              <w:spacing w:before="30" w:after="30"/>
              <w:jc w:val="center"/>
            </w:pPr>
            <w:r>
              <w:rPr>
                <w:sz w:val="20"/>
                <w:szCs w:val="20"/>
              </w:rPr>
              <w:t>11.8</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A30A278"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6D5C3AA" w14:textId="77777777" w:rsidR="00C76077" w:rsidRDefault="00C07A7D">
            <w:pPr>
              <w:spacing w:before="30" w:after="30"/>
              <w:jc w:val="center"/>
            </w:pPr>
            <w:r>
              <w:rPr>
                <w:sz w:val="20"/>
                <w:szCs w:val="20"/>
              </w:rPr>
              <w:t>64.7</w:t>
            </w:r>
          </w:p>
        </w:tc>
      </w:tr>
      <w:tr w:rsidR="00C76077" w14:paraId="5462B5CF"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334EC82" w14:textId="77777777" w:rsidR="00C76077" w:rsidRDefault="00C07A7D">
            <w:pPr>
              <w:spacing w:before="30" w:after="30"/>
            </w:pPr>
            <w:r>
              <w:rPr>
                <w:sz w:val="20"/>
                <w:szCs w:val="20"/>
              </w:rPr>
              <w:t>Parents attending G&amp;C better understand group-learning expectations</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061F783" w14:textId="77777777" w:rsidR="00C76077" w:rsidRDefault="00C07A7D">
            <w:pPr>
              <w:spacing w:before="30" w:after="30"/>
              <w:jc w:val="center"/>
            </w:pPr>
            <w:r>
              <w:rPr>
                <w:sz w:val="20"/>
                <w:szCs w:val="20"/>
              </w:rPr>
              <w:t>35.3</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96156F2" w14:textId="77777777" w:rsidR="00C76077" w:rsidRDefault="00C07A7D">
            <w:pPr>
              <w:spacing w:before="30" w:after="30"/>
              <w:jc w:val="center"/>
            </w:pPr>
            <w:r>
              <w:rPr>
                <w:sz w:val="20"/>
                <w:szCs w:val="20"/>
              </w:rPr>
              <w:t>29.4</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6517395" w14:textId="77777777" w:rsidR="00C76077" w:rsidRDefault="00C07A7D">
            <w:pPr>
              <w:spacing w:before="30" w:after="30"/>
              <w:jc w:val="center"/>
            </w:pPr>
            <w:r>
              <w:rPr>
                <w:sz w:val="20"/>
                <w:szCs w:val="20"/>
              </w:rPr>
              <w:t>17.6</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DCBE3BD" w14:textId="77777777" w:rsidR="00C76077" w:rsidRDefault="00C07A7D">
            <w:pPr>
              <w:spacing w:before="30" w:after="30"/>
              <w:jc w:val="center"/>
            </w:pPr>
            <w:r>
              <w:rPr>
                <w:sz w:val="20"/>
                <w:szCs w:val="20"/>
              </w:rPr>
              <w:t>17.6</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1EC7D83"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897D8BD" w14:textId="77777777" w:rsidR="00C76077" w:rsidRDefault="00C07A7D">
            <w:pPr>
              <w:spacing w:before="30" w:after="30"/>
              <w:jc w:val="center"/>
            </w:pPr>
            <w:r>
              <w:rPr>
                <w:sz w:val="20"/>
                <w:szCs w:val="20"/>
              </w:rPr>
              <w:t>64.7</w:t>
            </w:r>
          </w:p>
        </w:tc>
      </w:tr>
      <w:tr w:rsidR="00C76077" w14:paraId="695AC36C"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9E5964C" w14:textId="77777777" w:rsidR="00C76077" w:rsidRDefault="00C07A7D">
            <w:pPr>
              <w:spacing w:before="30" w:after="30"/>
            </w:pPr>
            <w:r>
              <w:rPr>
                <w:sz w:val="20"/>
                <w:szCs w:val="20"/>
              </w:rPr>
              <w:t>Home endorsement of collaboration improves classroom teamwork</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7C3C21E" w14:textId="77777777" w:rsidR="00C76077" w:rsidRDefault="00C07A7D">
            <w:pPr>
              <w:spacing w:before="30" w:after="30"/>
              <w:jc w:val="center"/>
            </w:pPr>
            <w:r>
              <w:rPr>
                <w:sz w:val="20"/>
                <w:szCs w:val="20"/>
              </w:rPr>
              <w:t>23.5</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BFAD0F1" w14:textId="77777777" w:rsidR="00C76077" w:rsidRDefault="00C07A7D">
            <w:pPr>
              <w:spacing w:before="30" w:after="30"/>
              <w:jc w:val="center"/>
            </w:pPr>
            <w:r>
              <w:rPr>
                <w:sz w:val="20"/>
                <w:szCs w:val="20"/>
              </w:rPr>
              <w:t>35.3</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02E7171" w14:textId="77777777" w:rsidR="00C76077" w:rsidRDefault="00C07A7D">
            <w:pPr>
              <w:spacing w:before="30" w:after="30"/>
              <w:jc w:val="center"/>
            </w:pPr>
            <w:r>
              <w:rPr>
                <w:sz w:val="20"/>
                <w:szCs w:val="20"/>
              </w:rPr>
              <w:t>29.4</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0C29EE5" w14:textId="77777777" w:rsidR="00C76077" w:rsidRDefault="00C07A7D">
            <w:pPr>
              <w:spacing w:before="30" w:after="30"/>
              <w:jc w:val="center"/>
            </w:pPr>
            <w:r>
              <w:rPr>
                <w:sz w:val="20"/>
                <w:szCs w:val="20"/>
              </w:rPr>
              <w:t>11.8</w:t>
            </w:r>
          </w:p>
        </w:tc>
        <w:tc>
          <w:tcPr>
            <w:tcW w:w="72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5567C6E" w14:textId="77777777" w:rsidR="00C76077" w:rsidRDefault="00C07A7D">
            <w:pPr>
              <w:spacing w:before="30" w:after="30"/>
              <w:jc w:val="center"/>
            </w:pPr>
            <w:r>
              <w:rPr>
                <w:sz w:val="20"/>
                <w:szCs w:val="20"/>
              </w:rPr>
              <w:t>0.0</w:t>
            </w:r>
          </w:p>
        </w:tc>
        <w:tc>
          <w:tcPr>
            <w:tcW w:w="130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1F04383" w14:textId="77777777" w:rsidR="00C76077" w:rsidRDefault="00C07A7D">
            <w:pPr>
              <w:spacing w:before="30" w:after="30"/>
              <w:jc w:val="center"/>
            </w:pPr>
            <w:r>
              <w:rPr>
                <w:sz w:val="20"/>
                <w:szCs w:val="20"/>
              </w:rPr>
              <w:t>58.8</w:t>
            </w:r>
          </w:p>
        </w:tc>
      </w:tr>
    </w:tbl>
    <w:p w14:paraId="5A07F98C" w14:textId="77777777" w:rsidR="00C76077" w:rsidRDefault="00C07A7D">
      <w:pPr>
        <w:spacing w:before="60" w:after="200"/>
        <w:jc w:val="both"/>
      </w:pPr>
      <w:r>
        <w:rPr>
          <w:i/>
          <w:iCs/>
          <w:color w:val="000000"/>
          <w:sz w:val="20"/>
          <w:szCs w:val="20"/>
        </w:rPr>
        <w:t xml:space="preserve">Note. </w:t>
      </w:r>
      <w:r>
        <w:rPr>
          <w:color w:val="000000"/>
          <w:sz w:val="20"/>
          <w:szCs w:val="20"/>
        </w:rPr>
        <w:t>VE = Very Effective; E = Effective; N = Neutral; IE = Ineffective; VIE = Very Ineffective. Rated by teacher respondents (n = 100). Source: Field Data (2025).</w:t>
      </w:r>
    </w:p>
    <w:p w14:paraId="7EFD5E9A" w14:textId="77777777" w:rsidR="00C76077" w:rsidRDefault="00C07A7D">
      <w:pPr>
        <w:spacing w:before="240" w:after="60"/>
      </w:pPr>
      <w:r>
        <w:rPr>
          <w:b/>
          <w:bCs/>
          <w:color w:val="000000"/>
        </w:rPr>
        <w:t>Correlation Analysis</w:t>
      </w:r>
    </w:p>
    <w:p w14:paraId="5923259E" w14:textId="77777777" w:rsidR="00C76077" w:rsidRDefault="00C07A7D">
      <w:pPr>
        <w:keepNext/>
        <w:spacing w:after="200" w:line="259" w:lineRule="auto"/>
        <w:jc w:val="both"/>
      </w:pPr>
      <w:r>
        <w:rPr>
          <w:color w:val="000000"/>
        </w:rPr>
        <w:lastRenderedPageBreak/>
        <w:t xml:space="preserve">Table 7 presents the Pearson correlation matrix for parental G&amp;C participation and the three CBC implementation indicators. All correlations were statistically significant at p &lt; .05. The composite correlation of r = .59 represents a moderate positive association, consistent with — though not identical to — the regression-based estimates reported by Ranji et al. from Nakuru County and </w:t>
      </w:r>
      <w:proofErr w:type="spellStart"/>
      <w:r>
        <w:rPr>
          <w:color w:val="000000"/>
        </w:rPr>
        <w:t>Mulinya</w:t>
      </w:r>
      <w:proofErr w:type="spellEnd"/>
      <w:r>
        <w:rPr>
          <w:color w:val="000000"/>
        </w:rPr>
        <w:t xml:space="preserve"> &amp; Kimotho (2025) from </w:t>
      </w:r>
      <w:proofErr w:type="gramStart"/>
      <w:r>
        <w:rPr>
          <w:color w:val="000000"/>
        </w:rPr>
        <w:t>Nairobi.(</w:t>
      </w:r>
      <w:proofErr w:type="gramEnd"/>
      <w:r>
        <w:rPr>
          <w:color w:val="000000"/>
        </w:rPr>
        <w:t xml:space="preserve">Ranji et al., 2025; </w:t>
      </w:r>
      <w:proofErr w:type="spellStart"/>
      <w:r>
        <w:rPr>
          <w:color w:val="000000"/>
        </w:rPr>
        <w:t>Mulinya</w:t>
      </w:r>
      <w:proofErr w:type="spellEnd"/>
      <w:r>
        <w:rPr>
          <w:color w:val="000000"/>
        </w:rPr>
        <w:t xml:space="preserve"> &amp; Kimotho, 2025) On the basis of these results, the null hypothesis is rejected.</w:t>
      </w:r>
    </w:p>
    <w:p w14:paraId="3466F8FD" w14:textId="77777777" w:rsidR="00C76077" w:rsidRDefault="00C76077">
      <w:pPr>
        <w:keepNext/>
        <w:spacing w:after="80"/>
      </w:pPr>
    </w:p>
    <w:p w14:paraId="6D6ACC89" w14:textId="77777777" w:rsidR="00C76077" w:rsidRDefault="00C07A7D">
      <w:pPr>
        <w:keepNext/>
        <w:spacing w:before="280"/>
      </w:pPr>
      <w:r>
        <w:rPr>
          <w:i/>
          <w:iCs/>
          <w:color w:val="000000"/>
        </w:rPr>
        <w:t>Table 7</w:t>
      </w:r>
    </w:p>
    <w:p w14:paraId="3535A0AD" w14:textId="77777777" w:rsidR="00C76077" w:rsidRDefault="00C07A7D">
      <w:pPr>
        <w:keepNext/>
        <w:spacing w:after="60"/>
      </w:pPr>
      <w:r>
        <w:rPr>
          <w:color w:val="000000"/>
        </w:rPr>
        <w:t>Pearson Correlation Matrix: Parental G&amp;C Participation and CBC Implementation Indicators (N = 398)</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1000"/>
        <w:gridCol w:w="1200"/>
        <w:gridCol w:w="2426"/>
      </w:tblGrid>
      <w:tr w:rsidR="00C76077" w14:paraId="45BDD5F5" w14:textId="77777777">
        <w:trPr>
          <w:cantSplit/>
          <w:trHeight w:val="380"/>
        </w:trPr>
        <w:tc>
          <w:tcPr>
            <w:tcW w:w="4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6561DEE4" w14:textId="77777777" w:rsidR="00C76077" w:rsidRDefault="00C07A7D">
            <w:pPr>
              <w:spacing w:before="30" w:after="30"/>
            </w:pPr>
            <w:r>
              <w:rPr>
                <w:b/>
                <w:bCs/>
                <w:sz w:val="20"/>
                <w:szCs w:val="20"/>
              </w:rPr>
              <w:t>Variable Pair</w:t>
            </w:r>
          </w:p>
        </w:tc>
        <w:tc>
          <w:tcPr>
            <w:tcW w:w="10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6B0CD0E" w14:textId="77777777" w:rsidR="00C76077" w:rsidRDefault="00C07A7D">
            <w:pPr>
              <w:spacing w:before="30" w:after="30"/>
              <w:jc w:val="center"/>
            </w:pPr>
            <w:r>
              <w:rPr>
                <w:b/>
                <w:bCs/>
                <w:sz w:val="20"/>
                <w:szCs w:val="20"/>
              </w:rPr>
              <w:t>N</w:t>
            </w:r>
          </w:p>
        </w:tc>
        <w:tc>
          <w:tcPr>
            <w:tcW w:w="12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7B7986E" w14:textId="77777777" w:rsidR="00C76077" w:rsidRDefault="00C07A7D">
            <w:pPr>
              <w:spacing w:before="30" w:after="30"/>
              <w:jc w:val="center"/>
            </w:pPr>
            <w:r>
              <w:rPr>
                <w:b/>
                <w:bCs/>
                <w:sz w:val="20"/>
                <w:szCs w:val="20"/>
              </w:rPr>
              <w:t>r</w:t>
            </w:r>
          </w:p>
        </w:tc>
        <w:tc>
          <w:tcPr>
            <w:tcW w:w="242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595FA806" w14:textId="77777777" w:rsidR="00C76077" w:rsidRDefault="00C07A7D">
            <w:pPr>
              <w:spacing w:before="30" w:after="30"/>
              <w:jc w:val="center"/>
            </w:pPr>
            <w:r>
              <w:rPr>
                <w:b/>
                <w:bCs/>
                <w:sz w:val="20"/>
                <w:szCs w:val="20"/>
              </w:rPr>
              <w:t>Sig. (2-tailed)</w:t>
            </w:r>
          </w:p>
        </w:tc>
      </w:tr>
      <w:tr w:rsidR="00C76077" w14:paraId="1FA46A4F" w14:textId="77777777">
        <w:trPr>
          <w:cantSplit/>
          <w:trHeight w:val="380"/>
        </w:trPr>
        <w:tc>
          <w:tcPr>
            <w:tcW w:w="4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EC5E170" w14:textId="77777777" w:rsidR="00C76077" w:rsidRDefault="00C07A7D">
            <w:pPr>
              <w:spacing w:before="30" w:after="30"/>
            </w:pPr>
            <w:r>
              <w:rPr>
                <w:sz w:val="20"/>
                <w:szCs w:val="20"/>
              </w:rPr>
              <w:t>G&amp;C Participation × School Attendance</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28663977" w14:textId="77777777" w:rsidR="00C76077" w:rsidRDefault="00C07A7D">
            <w:pPr>
              <w:spacing w:before="30" w:after="30"/>
              <w:jc w:val="center"/>
            </w:pPr>
            <w:r>
              <w:rPr>
                <w:sz w:val="20"/>
                <w:szCs w:val="20"/>
              </w:rPr>
              <w:t>398</w:t>
            </w:r>
          </w:p>
        </w:tc>
        <w:tc>
          <w:tcPr>
            <w:tcW w:w="1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4B75169" w14:textId="77777777" w:rsidR="00C76077" w:rsidRDefault="00C07A7D">
            <w:pPr>
              <w:spacing w:before="30" w:after="30"/>
              <w:jc w:val="center"/>
            </w:pPr>
            <w:r>
              <w:rPr>
                <w:sz w:val="20"/>
                <w:szCs w:val="20"/>
              </w:rPr>
              <w:t>.61</w:t>
            </w:r>
          </w:p>
        </w:tc>
        <w:tc>
          <w:tcPr>
            <w:tcW w:w="24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7BB186A" w14:textId="77777777" w:rsidR="00C76077" w:rsidRDefault="00C07A7D">
            <w:pPr>
              <w:spacing w:before="30" w:after="30"/>
              <w:jc w:val="center"/>
            </w:pPr>
            <w:r>
              <w:rPr>
                <w:sz w:val="20"/>
                <w:szCs w:val="20"/>
              </w:rPr>
              <w:t>&lt; .05</w:t>
            </w:r>
          </w:p>
        </w:tc>
      </w:tr>
      <w:tr w:rsidR="00C76077" w14:paraId="37BBCE26" w14:textId="77777777">
        <w:trPr>
          <w:cantSplit/>
          <w:trHeight w:val="380"/>
        </w:trPr>
        <w:tc>
          <w:tcPr>
            <w:tcW w:w="4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18F1D56" w14:textId="77777777" w:rsidR="00C76077" w:rsidRDefault="00C07A7D">
            <w:pPr>
              <w:spacing w:before="30" w:after="30"/>
            </w:pPr>
            <w:r>
              <w:rPr>
                <w:sz w:val="20"/>
                <w:szCs w:val="20"/>
              </w:rPr>
              <w:t>G&amp;C Participation × Decision-Making Quality</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A652E67" w14:textId="77777777" w:rsidR="00C76077" w:rsidRDefault="00C07A7D">
            <w:pPr>
              <w:spacing w:before="30" w:after="30"/>
              <w:jc w:val="center"/>
            </w:pPr>
            <w:r>
              <w:rPr>
                <w:sz w:val="20"/>
                <w:szCs w:val="20"/>
              </w:rPr>
              <w:t>398</w:t>
            </w:r>
          </w:p>
        </w:tc>
        <w:tc>
          <w:tcPr>
            <w:tcW w:w="1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6B20E2B" w14:textId="77777777" w:rsidR="00C76077" w:rsidRDefault="00C07A7D">
            <w:pPr>
              <w:spacing w:before="30" w:after="30"/>
              <w:jc w:val="center"/>
            </w:pPr>
            <w:r>
              <w:rPr>
                <w:sz w:val="20"/>
                <w:szCs w:val="20"/>
              </w:rPr>
              <w:t>.57</w:t>
            </w:r>
          </w:p>
        </w:tc>
        <w:tc>
          <w:tcPr>
            <w:tcW w:w="24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7D66A61" w14:textId="77777777" w:rsidR="00C76077" w:rsidRDefault="00C07A7D">
            <w:pPr>
              <w:spacing w:before="30" w:after="30"/>
              <w:jc w:val="center"/>
            </w:pPr>
            <w:r>
              <w:rPr>
                <w:sz w:val="20"/>
                <w:szCs w:val="20"/>
              </w:rPr>
              <w:t>&lt; .05</w:t>
            </w:r>
          </w:p>
        </w:tc>
      </w:tr>
      <w:tr w:rsidR="00C76077" w14:paraId="2FE5BF27" w14:textId="77777777">
        <w:trPr>
          <w:cantSplit/>
          <w:trHeight w:val="380"/>
        </w:trPr>
        <w:tc>
          <w:tcPr>
            <w:tcW w:w="4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AE06983" w14:textId="77777777" w:rsidR="00C76077" w:rsidRDefault="00C07A7D">
            <w:pPr>
              <w:spacing w:before="30" w:after="30"/>
            </w:pPr>
            <w:r>
              <w:rPr>
                <w:sz w:val="20"/>
                <w:szCs w:val="20"/>
              </w:rPr>
              <w:t>G&amp;C Participation × Peer Collaboration</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E3C9B09" w14:textId="77777777" w:rsidR="00C76077" w:rsidRDefault="00C07A7D">
            <w:pPr>
              <w:spacing w:before="30" w:after="30"/>
              <w:jc w:val="center"/>
            </w:pPr>
            <w:r>
              <w:rPr>
                <w:sz w:val="20"/>
                <w:szCs w:val="20"/>
              </w:rPr>
              <w:t>398</w:t>
            </w:r>
          </w:p>
        </w:tc>
        <w:tc>
          <w:tcPr>
            <w:tcW w:w="1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061476F3" w14:textId="77777777" w:rsidR="00C76077" w:rsidRDefault="00C07A7D">
            <w:pPr>
              <w:spacing w:before="30" w:after="30"/>
              <w:jc w:val="center"/>
            </w:pPr>
            <w:r>
              <w:rPr>
                <w:sz w:val="20"/>
                <w:szCs w:val="20"/>
              </w:rPr>
              <w:t>.49</w:t>
            </w:r>
          </w:p>
        </w:tc>
        <w:tc>
          <w:tcPr>
            <w:tcW w:w="24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A23F11D" w14:textId="77777777" w:rsidR="00C76077" w:rsidRDefault="00C07A7D">
            <w:pPr>
              <w:spacing w:before="30" w:after="30"/>
              <w:jc w:val="center"/>
            </w:pPr>
            <w:r>
              <w:rPr>
                <w:sz w:val="20"/>
                <w:szCs w:val="20"/>
              </w:rPr>
              <w:t>&lt; .05</w:t>
            </w:r>
          </w:p>
        </w:tc>
      </w:tr>
      <w:tr w:rsidR="00C76077" w14:paraId="07A8B81C" w14:textId="77777777">
        <w:trPr>
          <w:cantSplit/>
          <w:trHeight w:val="380"/>
        </w:trPr>
        <w:tc>
          <w:tcPr>
            <w:tcW w:w="4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1BE2F7F0" w14:textId="77777777" w:rsidR="00C76077" w:rsidRDefault="00C07A7D">
            <w:pPr>
              <w:spacing w:before="30" w:after="30"/>
            </w:pPr>
            <w:r>
              <w:rPr>
                <w:sz w:val="20"/>
                <w:szCs w:val="20"/>
              </w:rPr>
              <w:t>G&amp;C Participation × Composite CBC Effectiveness</w:t>
            </w:r>
          </w:p>
        </w:tc>
        <w:tc>
          <w:tcPr>
            <w:tcW w:w="10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D4E7193" w14:textId="77777777" w:rsidR="00C76077" w:rsidRDefault="00C07A7D">
            <w:pPr>
              <w:spacing w:before="30" w:after="30"/>
              <w:jc w:val="center"/>
            </w:pPr>
            <w:r>
              <w:rPr>
                <w:sz w:val="20"/>
                <w:szCs w:val="20"/>
              </w:rPr>
              <w:t>398</w:t>
            </w:r>
          </w:p>
        </w:tc>
        <w:tc>
          <w:tcPr>
            <w:tcW w:w="12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56807DD" w14:textId="77777777" w:rsidR="00C76077" w:rsidRDefault="00C07A7D">
            <w:pPr>
              <w:spacing w:before="30" w:after="30"/>
              <w:jc w:val="center"/>
            </w:pPr>
            <w:r>
              <w:rPr>
                <w:sz w:val="20"/>
                <w:szCs w:val="20"/>
              </w:rPr>
              <w:t>.59</w:t>
            </w:r>
          </w:p>
        </w:tc>
        <w:tc>
          <w:tcPr>
            <w:tcW w:w="24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302A60B" w14:textId="77777777" w:rsidR="00C76077" w:rsidRDefault="00C07A7D">
            <w:pPr>
              <w:spacing w:before="30" w:after="30"/>
              <w:jc w:val="center"/>
            </w:pPr>
            <w:r>
              <w:rPr>
                <w:sz w:val="20"/>
                <w:szCs w:val="20"/>
              </w:rPr>
              <w:t>&lt; .05</w:t>
            </w:r>
          </w:p>
        </w:tc>
      </w:tr>
    </w:tbl>
    <w:p w14:paraId="6EABC1EA" w14:textId="77777777" w:rsidR="00C76077" w:rsidRDefault="00C07A7D">
      <w:pPr>
        <w:spacing w:before="60" w:after="200"/>
        <w:jc w:val="both"/>
      </w:pPr>
      <w:r>
        <w:rPr>
          <w:i/>
          <w:iCs/>
          <w:color w:val="000000"/>
          <w:sz w:val="20"/>
          <w:szCs w:val="20"/>
        </w:rPr>
        <w:t xml:space="preserve">Note. </w:t>
      </w:r>
      <w:r>
        <w:rPr>
          <w:color w:val="000000"/>
          <w:sz w:val="20"/>
          <w:szCs w:val="20"/>
        </w:rPr>
        <w:t>Pearson's r; all correlations significant at p &lt; .05 (2-tailed). Analysis conducted in IBM SPSS Statistics v.25. G&amp;C = Guidance and Counselling. Composite CBC Effectiveness = weighted mean of three indicator scales.</w:t>
      </w:r>
    </w:p>
    <w:p w14:paraId="4E3B339B" w14:textId="77777777" w:rsidR="00C76077" w:rsidRDefault="00C76077">
      <w:pPr>
        <w:spacing w:after="80"/>
      </w:pPr>
    </w:p>
    <w:p w14:paraId="5037960D" w14:textId="77777777" w:rsidR="00C76077" w:rsidRDefault="00C07A7D">
      <w:pPr>
        <w:keepNext/>
        <w:spacing w:before="200" w:after="60"/>
      </w:pPr>
      <w:r>
        <w:rPr>
          <w:b/>
          <w:bCs/>
          <w:color w:val="000000"/>
        </w:rPr>
        <w:t>Figure 2. Combined Positive Response Rates (VE + E%) by CBC Outcome Indicator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4100"/>
        <w:gridCol w:w="1526"/>
      </w:tblGrid>
      <w:tr w:rsidR="00C76077" w14:paraId="422FED80" w14:textId="77777777">
        <w:trPr>
          <w:cantSplit/>
          <w:trHeight w:val="380"/>
        </w:trPr>
        <w:tc>
          <w:tcPr>
            <w:tcW w:w="34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7F845B44" w14:textId="77777777" w:rsidR="00C76077" w:rsidRDefault="00C07A7D">
            <w:pPr>
              <w:keepNext/>
              <w:spacing w:before="30" w:after="30"/>
            </w:pPr>
            <w:r>
              <w:rPr>
                <w:b/>
                <w:bCs/>
                <w:sz w:val="20"/>
                <w:szCs w:val="20"/>
              </w:rPr>
              <w:t>Indicator</w:t>
            </w:r>
          </w:p>
        </w:tc>
        <w:tc>
          <w:tcPr>
            <w:tcW w:w="4100"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13AE4B26" w14:textId="77777777" w:rsidR="00C76077" w:rsidRDefault="00C07A7D">
            <w:pPr>
              <w:spacing w:before="30" w:after="30"/>
              <w:jc w:val="center"/>
            </w:pPr>
            <w:r>
              <w:rPr>
                <w:b/>
                <w:bCs/>
                <w:sz w:val="20"/>
                <w:szCs w:val="20"/>
              </w:rPr>
              <w:t>Distribution</w:t>
            </w:r>
          </w:p>
        </w:tc>
        <w:tc>
          <w:tcPr>
            <w:tcW w:w="1526" w:type="dxa"/>
            <w:tcBorders>
              <w:top w:val="single" w:sz="8" w:space="0" w:color="1F4E79"/>
              <w:left w:val="single" w:sz="8" w:space="0" w:color="1F4E79"/>
              <w:bottom w:val="single" w:sz="8" w:space="0" w:color="1F4E79"/>
              <w:right w:val="single" w:sz="8" w:space="0" w:color="1F4E79"/>
            </w:tcBorders>
            <w:shd w:val="clear" w:color="auto" w:fill="BDD7EE"/>
            <w:tcMar>
              <w:top w:w="40" w:type="dxa"/>
              <w:left w:w="80" w:type="dxa"/>
              <w:bottom w:w="40" w:type="dxa"/>
              <w:right w:w="80" w:type="dxa"/>
            </w:tcMar>
            <w:vAlign w:val="center"/>
          </w:tcPr>
          <w:p w14:paraId="2085A5A2" w14:textId="77777777" w:rsidR="00C76077" w:rsidRDefault="00C07A7D">
            <w:pPr>
              <w:spacing w:before="30" w:after="30"/>
              <w:jc w:val="center"/>
            </w:pPr>
            <w:r>
              <w:rPr>
                <w:b/>
                <w:bCs/>
                <w:sz w:val="20"/>
                <w:szCs w:val="20"/>
              </w:rPr>
              <w:t>% of Total</w:t>
            </w:r>
          </w:p>
        </w:tc>
      </w:tr>
      <w:tr w:rsidR="00C76077" w14:paraId="25DA9FFB"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3B72370" w14:textId="77777777" w:rsidR="00C76077" w:rsidRDefault="00C07A7D">
            <w:pPr>
              <w:spacing w:before="30" w:after="30"/>
            </w:pPr>
            <w:r>
              <w:rPr>
                <w:sz w:val="20"/>
                <w:szCs w:val="20"/>
              </w:rPr>
              <w:t>School attendance (student-rated)</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3D754A8"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6D78A1F" w14:textId="77777777" w:rsidR="00C76077" w:rsidRDefault="00C07A7D">
            <w:pPr>
              <w:spacing w:before="30" w:after="30"/>
              <w:jc w:val="center"/>
            </w:pPr>
            <w:r>
              <w:rPr>
                <w:sz w:val="20"/>
                <w:szCs w:val="20"/>
              </w:rPr>
              <w:t>82.4%</w:t>
            </w:r>
          </w:p>
        </w:tc>
      </w:tr>
      <w:tr w:rsidR="00C76077" w14:paraId="3B76AC64"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4F38160E" w14:textId="77777777" w:rsidR="00C76077" w:rsidRDefault="00C07A7D">
            <w:pPr>
              <w:spacing w:before="30" w:after="30"/>
            </w:pPr>
            <w:r>
              <w:rPr>
                <w:sz w:val="20"/>
                <w:szCs w:val="20"/>
              </w:rPr>
              <w:t>Decision-making quality (student-rated)</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5B307EE"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043FE11" w14:textId="77777777" w:rsidR="00C76077" w:rsidRDefault="00C07A7D">
            <w:pPr>
              <w:spacing w:before="30" w:after="30"/>
              <w:jc w:val="center"/>
            </w:pPr>
            <w:r>
              <w:rPr>
                <w:sz w:val="20"/>
                <w:szCs w:val="20"/>
              </w:rPr>
              <w:t>70.6%</w:t>
            </w:r>
          </w:p>
        </w:tc>
      </w:tr>
      <w:tr w:rsidR="00C76077" w14:paraId="6F108ECE"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2C0467A" w14:textId="77777777" w:rsidR="00C76077" w:rsidRDefault="00C07A7D">
            <w:pPr>
              <w:spacing w:before="30" w:after="30"/>
            </w:pPr>
            <w:r>
              <w:rPr>
                <w:sz w:val="20"/>
                <w:szCs w:val="20"/>
              </w:rPr>
              <w:t>Peer collaboration (teacher-rated)</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55CA178"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3DAB48B1" w14:textId="77777777" w:rsidR="00C76077" w:rsidRDefault="00C07A7D">
            <w:pPr>
              <w:spacing w:before="30" w:after="30"/>
              <w:jc w:val="center"/>
            </w:pPr>
            <w:r>
              <w:rPr>
                <w:sz w:val="20"/>
                <w:szCs w:val="20"/>
              </w:rPr>
              <w:t>64.7%</w:t>
            </w:r>
          </w:p>
        </w:tc>
      </w:tr>
      <w:tr w:rsidR="00C76077" w14:paraId="264B39D2" w14:textId="77777777">
        <w:trPr>
          <w:cantSplit/>
          <w:trHeight w:val="380"/>
        </w:trPr>
        <w:tc>
          <w:tcPr>
            <w:tcW w:w="34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6943733D" w14:textId="77777777" w:rsidR="00C76077" w:rsidRDefault="00C07A7D">
            <w:pPr>
              <w:spacing w:before="30" w:after="30"/>
            </w:pPr>
            <w:r>
              <w:rPr>
                <w:sz w:val="20"/>
                <w:szCs w:val="20"/>
              </w:rPr>
              <w:t>Composite CBC effectiveness</w:t>
            </w:r>
          </w:p>
        </w:tc>
        <w:tc>
          <w:tcPr>
            <w:tcW w:w="4100"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5BA8D57B" w14:textId="77777777" w:rsidR="00C76077" w:rsidRDefault="00C07A7D">
            <w:pPr>
              <w:spacing w:before="30" w:after="30"/>
            </w:pPr>
            <w:r>
              <w:rPr>
                <w:sz w:val="20"/>
                <w:szCs w:val="20"/>
              </w:rPr>
              <w:t>██████████████████</w:t>
            </w:r>
          </w:p>
        </w:tc>
        <w:tc>
          <w:tcPr>
            <w:tcW w:w="1526" w:type="dxa"/>
            <w:tcBorders>
              <w:top w:val="single" w:sz="4" w:space="0" w:color="595959"/>
              <w:left w:val="single" w:sz="4" w:space="0" w:color="595959"/>
              <w:bottom w:val="single" w:sz="4" w:space="0" w:color="595959"/>
              <w:right w:val="single" w:sz="4" w:space="0" w:color="595959"/>
            </w:tcBorders>
            <w:tcMar>
              <w:top w:w="40" w:type="dxa"/>
              <w:left w:w="80" w:type="dxa"/>
              <w:bottom w:w="40" w:type="dxa"/>
              <w:right w:w="80" w:type="dxa"/>
            </w:tcMar>
            <w:vAlign w:val="center"/>
          </w:tcPr>
          <w:p w14:paraId="7712C638" w14:textId="77777777" w:rsidR="00C76077" w:rsidRDefault="00C07A7D">
            <w:pPr>
              <w:spacing w:before="30" w:after="30"/>
              <w:jc w:val="center"/>
            </w:pPr>
            <w:r>
              <w:rPr>
                <w:sz w:val="20"/>
                <w:szCs w:val="20"/>
              </w:rPr>
              <w:t>59.0%</w:t>
            </w:r>
          </w:p>
        </w:tc>
      </w:tr>
    </w:tbl>
    <w:p w14:paraId="2EF60149" w14:textId="77777777" w:rsidR="00C76077" w:rsidRDefault="00C07A7D">
      <w:pPr>
        <w:spacing w:before="60" w:after="200"/>
        <w:jc w:val="both"/>
      </w:pPr>
      <w:r>
        <w:rPr>
          <w:i/>
          <w:iCs/>
          <w:color w:val="000000"/>
          <w:sz w:val="20"/>
          <w:szCs w:val="20"/>
        </w:rPr>
        <w:t xml:space="preserve">Note. </w:t>
      </w:r>
      <w:r>
        <w:rPr>
          <w:color w:val="000000"/>
          <w:sz w:val="20"/>
          <w:szCs w:val="20"/>
        </w:rPr>
        <w:t>Student respondents (n = 180) rated attendance and decision-making items; teacher respondents (n = 100) rated peer collaboration items. Composite score = weighted mean across all three indicator scales. Source: Field Data (2025).</w:t>
      </w:r>
    </w:p>
    <w:p w14:paraId="2E9C18C0" w14:textId="77777777" w:rsidR="00C76077" w:rsidRDefault="00C07A7D">
      <w:pPr>
        <w:spacing w:before="240" w:after="60"/>
      </w:pPr>
      <w:r>
        <w:rPr>
          <w:b/>
          <w:bCs/>
          <w:color w:val="000000"/>
        </w:rPr>
        <w:t>The Structurally Excluded: Parents with No Current-Term Participation</w:t>
      </w:r>
    </w:p>
    <w:p w14:paraId="356E3F50" w14:textId="77777777" w:rsidR="00C76077" w:rsidRDefault="00C07A7D">
      <w:pPr>
        <w:spacing w:after="200" w:line="259" w:lineRule="auto"/>
        <w:jc w:val="both"/>
      </w:pPr>
      <w:r>
        <w:rPr>
          <w:color w:val="000000"/>
        </w:rPr>
        <w:t xml:space="preserve">The 30 parents (30.4%) classified as non-participating in the most recent term warrant specific analysis, not as outliers but as evidence of a structural pattern. Headteacher accounts and teacher responses indicate that this group is disproportionately drawn from households whose agricultural work calendars conflict with school-scheduled G&amp;C activities. This interpretation is consistent with </w:t>
      </w:r>
      <w:proofErr w:type="spellStart"/>
      <w:r>
        <w:rPr>
          <w:color w:val="000000"/>
        </w:rPr>
        <w:t>Syomwene's</w:t>
      </w:r>
      <w:proofErr w:type="spellEnd"/>
      <w:r>
        <w:rPr>
          <w:color w:val="000000"/>
        </w:rPr>
        <w:t xml:space="preserve"> (2022) and </w:t>
      </w:r>
      <w:proofErr w:type="spellStart"/>
      <w:r>
        <w:rPr>
          <w:color w:val="000000"/>
        </w:rPr>
        <w:t>Mulinya</w:t>
      </w:r>
      <w:proofErr w:type="spellEnd"/>
      <w:r>
        <w:rPr>
          <w:color w:val="000000"/>
        </w:rPr>
        <w:t xml:space="preserve"> and Kimotho's (2025) documentation that time constraints and limited CBC knowledge are the most frequently cited reasons for non-participation, and with </w:t>
      </w:r>
      <w:proofErr w:type="spellStart"/>
      <w:r>
        <w:rPr>
          <w:color w:val="000000"/>
        </w:rPr>
        <w:t>Amunga</w:t>
      </w:r>
      <w:proofErr w:type="spellEnd"/>
      <w:r>
        <w:rPr>
          <w:color w:val="000000"/>
        </w:rPr>
        <w:t xml:space="preserve"> et al.'s characterisation of this group as structurally excluded rather than disinterested.(</w:t>
      </w:r>
      <w:proofErr w:type="spellStart"/>
      <w:r>
        <w:rPr>
          <w:color w:val="000000"/>
        </w:rPr>
        <w:t>Syomwene</w:t>
      </w:r>
      <w:proofErr w:type="spellEnd"/>
      <w:r>
        <w:rPr>
          <w:color w:val="000000"/>
        </w:rPr>
        <w:t xml:space="preserve">, 2022; </w:t>
      </w:r>
      <w:proofErr w:type="spellStart"/>
      <w:r>
        <w:rPr>
          <w:color w:val="000000"/>
        </w:rPr>
        <w:t>Amunga</w:t>
      </w:r>
      <w:proofErr w:type="spellEnd"/>
      <w:r>
        <w:rPr>
          <w:color w:val="000000"/>
        </w:rPr>
        <w:t xml:space="preserve"> et al., 2020) </w:t>
      </w:r>
      <w:proofErr w:type="spellStart"/>
      <w:r>
        <w:rPr>
          <w:color w:val="000000"/>
        </w:rPr>
        <w:t>Mulinya</w:t>
      </w:r>
      <w:proofErr w:type="spellEnd"/>
      <w:r>
        <w:rPr>
          <w:color w:val="000000"/>
        </w:rPr>
        <w:t xml:space="preserve"> and Kimotho's (2025) finding that many non-participating parents do not understand what counselling sessions involve or what benefit they would derive suggests a compounding cognitive barrier — parents cannot weigh a cost they do not perceive as having a benefit.(</w:t>
      </w:r>
      <w:proofErr w:type="spellStart"/>
      <w:r>
        <w:rPr>
          <w:color w:val="000000"/>
        </w:rPr>
        <w:t>Mulinya</w:t>
      </w:r>
      <w:proofErr w:type="spellEnd"/>
      <w:r>
        <w:rPr>
          <w:color w:val="000000"/>
        </w:rPr>
        <w:t xml:space="preserve"> &amp; Kimotho, 2025; </w:t>
      </w:r>
      <w:proofErr w:type="spellStart"/>
      <w:r>
        <w:rPr>
          <w:color w:val="000000"/>
        </w:rPr>
        <w:t>Amunga</w:t>
      </w:r>
      <w:proofErr w:type="spellEnd"/>
      <w:r>
        <w:rPr>
          <w:color w:val="000000"/>
        </w:rPr>
        <w:t xml:space="preserve"> et al., 2020) These parents were not absent from the study: their earlier G&amp;C contact qualified them for inclusion, and their current-term non-participation </w:t>
      </w:r>
      <w:r>
        <w:rPr>
          <w:color w:val="000000"/>
        </w:rPr>
        <w:lastRenderedPageBreak/>
        <w:t>is a finding in itself. Without outreach and CBC literacy orientation targeted specifically at this group, improvements in aggregate participation rates will remain partial regardless of what is offered to parents already engaged.</w:t>
      </w:r>
    </w:p>
    <w:p w14:paraId="617FB76D" w14:textId="77777777" w:rsidR="00C76077" w:rsidRDefault="00C07A7D">
      <w:pPr>
        <w:pageBreakBefore/>
        <w:spacing w:before="200" w:after="80"/>
      </w:pPr>
      <w:r>
        <w:rPr>
          <w:b/>
          <w:bCs/>
          <w:color w:val="000000"/>
          <w:sz w:val="28"/>
          <w:szCs w:val="28"/>
        </w:rPr>
        <w:lastRenderedPageBreak/>
        <w:t>DISCUSSION</w:t>
      </w:r>
    </w:p>
    <w:p w14:paraId="7BACC8DB" w14:textId="77777777" w:rsidR="00C76077" w:rsidRDefault="00C07A7D">
      <w:pPr>
        <w:spacing w:after="200" w:line="259" w:lineRule="auto"/>
        <w:jc w:val="both"/>
      </w:pPr>
      <w:r>
        <w:rPr>
          <w:color w:val="000000"/>
        </w:rPr>
        <w:t>Three findings from this study deserve interpretive attention beyond what the descriptive statistics convey. First, the composite correlation of r = .59 (p &lt; .05) confirms a moderate positive association between parental G&amp;C participation and CBC implementation effectiveness — it does not establish causation, and the cross-sectional design cannot resolve the directionality question. What the data do establish is that where parental guidance and counselling participation is higher, student attendance, decision-making quality, and peer collaborative orientation also tend to be rated more positively. This association is stronger than several comparable correlations reported for general parental involvement in the Kenyan CBC literature, suggesting that the guidance and counselling modality may carry particular salience — though this inference would require controlled comparative research to confirm.</w:t>
      </w:r>
    </w:p>
    <w:p w14:paraId="2EA267DB" w14:textId="77777777" w:rsidR="00C76077" w:rsidRDefault="00C07A7D">
      <w:pPr>
        <w:spacing w:after="200" w:line="259" w:lineRule="auto"/>
        <w:jc w:val="both"/>
      </w:pPr>
      <w:r>
        <w:rPr>
          <w:color w:val="000000"/>
        </w:rPr>
        <w:t>Second, the differential association pattern across the three outcomes — attendance (r = .61) &gt; decision-making (r = .57) &gt; peer collaboration (r = .49) — is theoretically coherent. Attendance is the most proximate behavioural outcome: parental engagement with counsellors who emphasise regular attendance directly reinforces the behavioural dimension of Fredricks et al.'s framework. Decision-making is more cognitively mediated: it requires that parents understand CBC's competency goals well enough to guide their children's choices at home, engaging the cognitive engagement dimension. Peer collaboration is most distal — operating through what teachers described as a home-endorsement mechanism, where parents who attend counselling communicate group-learning expectations positively at home, producing downstream classroom effects. Epstein's overlapping spheres model would predict exactly this gradient: outcomes closer to the school-family institutional interface respond more immediately to engagement than those requiring extended home-to-classroom transmission.</w:t>
      </w:r>
    </w:p>
    <w:p w14:paraId="2776FE6C" w14:textId="77777777" w:rsidR="00C76077" w:rsidRDefault="00C07A7D">
      <w:pPr>
        <w:spacing w:after="200" w:line="259" w:lineRule="auto"/>
        <w:jc w:val="both"/>
      </w:pPr>
      <w:r>
        <w:rPr>
          <w:color w:val="000000"/>
        </w:rPr>
        <w:t>Third, the qualitative data significantly contextualise what the correlations cannot explain: why only 24.9% of parents participate actively, despite headteachers reporting that the parents who do participate consistently return and engage positively. The three headteacher themes — limited CBC literacy, structural barriers, and latent readiness — together describe a participation deficit driven by institutional conditions rather than community disinterest. This framing aligns with the Hoover-Dempsey and Sandler model's emphasis on perceived invitations: when schools cannot offer accessible scheduling, adequate counselling spaces, or trained personnel, the structural invitation simply does not exist for parents who might otherwise engage. Addressing the 24.9% participation ceiling requires not encouragement but infrastructure.</w:t>
      </w:r>
    </w:p>
    <w:p w14:paraId="1B0B421D" w14:textId="77777777" w:rsidR="00C76077" w:rsidRDefault="00C07A7D">
      <w:pPr>
        <w:spacing w:before="240" w:after="60"/>
      </w:pPr>
      <w:r>
        <w:rPr>
          <w:b/>
          <w:bCs/>
        </w:rPr>
        <w:t>Three Headteacher Themes</w:t>
      </w:r>
    </w:p>
    <w:p w14:paraId="19F413F3" w14:textId="77777777" w:rsidR="00C76077" w:rsidRDefault="00C07A7D">
      <w:pPr>
        <w:spacing w:after="200" w:line="259" w:lineRule="auto"/>
        <w:jc w:val="both"/>
      </w:pPr>
      <w:r>
        <w:t>Three themes emerged from headteacher interview data. Across all schools, headteachers consistently described parents as oriented toward academic rankings rather than competency development — a cognitive orientation mismatch that constrains G&amp;C session quality:</w:t>
      </w:r>
    </w:p>
    <w:p w14:paraId="43AE1AB5" w14:textId="77777777" w:rsidR="00C76077" w:rsidRDefault="00C07A7D">
      <w:pPr>
        <w:spacing w:before="80" w:after="80" w:line="259" w:lineRule="auto"/>
        <w:ind w:left="560" w:right="560"/>
        <w:jc w:val="both"/>
      </w:pPr>
      <w:r>
        <w:rPr>
          <w:i/>
          <w:iCs/>
        </w:rPr>
        <w:t>“When parents come to guidance meetings, their first question is always: where does my child rank in class? When I try to talk about the child’s competency profile, most of them look confused. They still have the 8-4-4 mindset. That is the biggest problem — they do not understand what we are trying to do here.” (HT6, rural school, Zone 3)</w:t>
      </w:r>
    </w:p>
    <w:p w14:paraId="09436BE5" w14:textId="77777777" w:rsidR="00C76077" w:rsidRDefault="00C07A7D">
      <w:pPr>
        <w:spacing w:after="200" w:line="259" w:lineRule="auto"/>
        <w:jc w:val="both"/>
      </w:pPr>
      <w:r>
        <w:t>Structural barriers were the second theme. Three constraints recurred: agricultural calendar conflicts, inadequate counselling spaces, and the absence of trained counsellors in several schools:</w:t>
      </w:r>
    </w:p>
    <w:p w14:paraId="7A8EF75F" w14:textId="77777777" w:rsidR="00C76077" w:rsidRDefault="00C07A7D">
      <w:pPr>
        <w:spacing w:before="80" w:after="80" w:line="259" w:lineRule="auto"/>
        <w:ind w:left="560" w:right="560"/>
        <w:jc w:val="both"/>
      </w:pPr>
      <w:r>
        <w:rPr>
          <w:i/>
          <w:iCs/>
        </w:rPr>
        <w:t>“We schedule guidance meetings in February and October. But February is exactly when tea plucking is at its peak, and October is harvesting. Most parents simply cannot come. We have tried evening sessions, but the school has no lighting. There is no good time.” (HT11, rural school, Zone 5)</w:t>
      </w:r>
    </w:p>
    <w:p w14:paraId="59B4E6C7" w14:textId="77777777" w:rsidR="00C76077" w:rsidRDefault="00C07A7D">
      <w:pPr>
        <w:spacing w:before="80" w:after="80" w:line="259" w:lineRule="auto"/>
        <w:ind w:left="560" w:right="560"/>
        <w:jc w:val="both"/>
      </w:pPr>
      <w:r>
        <w:rPr>
          <w:i/>
          <w:iCs/>
        </w:rPr>
        <w:lastRenderedPageBreak/>
        <w:t xml:space="preserve">“We do not have a counselling room. The class teacher who does guidance uses a corner of the staffroom. Parents will not talk about their child’s personal problems in front of other teachers. </w:t>
      </w:r>
      <w:proofErr w:type="gramStart"/>
      <w:r>
        <w:rPr>
          <w:i/>
          <w:iCs/>
        </w:rPr>
        <w:t>So</w:t>
      </w:r>
      <w:proofErr w:type="gramEnd"/>
      <w:r>
        <w:rPr>
          <w:i/>
          <w:iCs/>
        </w:rPr>
        <w:t xml:space="preserve"> they come, say everything is fine, and leave.” (HT4, rural school, Zone 2)</w:t>
      </w:r>
    </w:p>
    <w:p w14:paraId="0C065675" w14:textId="77777777" w:rsidR="00C76077" w:rsidRDefault="00C07A7D">
      <w:pPr>
        <w:spacing w:after="200" w:line="259" w:lineRule="auto"/>
        <w:jc w:val="both"/>
      </w:pPr>
      <w:r>
        <w:t>Despite these barriers, a third theme was latent readiness: headteachers expressed genuine willingness to develop structured parental counselling partnerships, given institutional support:</w:t>
      </w:r>
    </w:p>
    <w:p w14:paraId="6A2F8B23" w14:textId="77777777" w:rsidR="00C76077" w:rsidRDefault="00C07A7D">
      <w:pPr>
        <w:spacing w:before="80" w:after="80" w:line="259" w:lineRule="auto"/>
        <w:ind w:left="560" w:right="560"/>
        <w:jc w:val="both"/>
      </w:pPr>
      <w:r>
        <w:rPr>
          <w:i/>
          <w:iCs/>
        </w:rPr>
        <w:t>“If I had a trained counsellor, a proper room, and a programme to explain CBC to parents, I believe most parents would come. The ones who come now actually appreciate it — they come back. The problem is we have nothing to offer them properly.” (HT2, rural school, Zone 1)</w:t>
      </w:r>
    </w:p>
    <w:p w14:paraId="3CF9A63E" w14:textId="77777777" w:rsidR="00C76077" w:rsidRDefault="00C07A7D">
      <w:pPr>
        <w:spacing w:after="200" w:line="259" w:lineRule="auto"/>
        <w:jc w:val="both"/>
      </w:pPr>
      <w:r>
        <w:t>This latent readiness represents the emotional investment precondition that Fredricks et al.’s framework identifies as necessary for sustained engagement. The motivational infrastructure exists; the institutional infrastructure does not. Epstein’s overlapping spheres model predicts that purposive investment in that institutional infrastructure — dedicated spaces, trained personnel, accessible scheduling — is the lever most directly available to school leadership.</w:t>
      </w:r>
    </w:p>
    <w:p w14:paraId="506B5AE9" w14:textId="77777777" w:rsidR="00C76077" w:rsidRDefault="00C07A7D">
      <w:pPr>
        <w:pageBreakBefore/>
        <w:spacing w:before="200" w:after="80"/>
      </w:pPr>
      <w:r>
        <w:rPr>
          <w:b/>
          <w:bCs/>
          <w:color w:val="000000"/>
          <w:sz w:val="28"/>
          <w:szCs w:val="28"/>
        </w:rPr>
        <w:lastRenderedPageBreak/>
        <w:t>CONCLUSION AND RECOMMENDATIONS</w:t>
      </w:r>
    </w:p>
    <w:p w14:paraId="418B73F0" w14:textId="77777777" w:rsidR="00C76077" w:rsidRDefault="00C07A7D">
      <w:pPr>
        <w:spacing w:before="240" w:after="60"/>
      </w:pPr>
      <w:r>
        <w:rPr>
          <w:b/>
          <w:bCs/>
          <w:color w:val="000000"/>
        </w:rPr>
        <w:t>Conclusion</w:t>
      </w:r>
    </w:p>
    <w:p w14:paraId="1DEB891E" w14:textId="77777777" w:rsidR="00C76077" w:rsidRDefault="00C07A7D">
      <w:pPr>
        <w:spacing w:after="200" w:line="259" w:lineRule="auto"/>
        <w:jc w:val="both"/>
      </w:pPr>
      <w:r>
        <w:rPr>
          <w:color w:val="000000"/>
        </w:rPr>
        <w:t>This study has produced three substantive findings about parental guidance and counselling participation in the context of CBC implementation in rural Kenyan junior secondary schools. Active participation rates are low (24.9%), but the structural reasons are specific and addressable. Where participation does occur, it is associated with meaningfully stronger CBC implementation indicators — most strongly with school attendance (r = .61) and decision-making quality (r = .57), more moderately with peer collaborative learning (r = .49). And a substantial group of parents (30.4% in the most recent term) remain entirely outside the system during peak agricultural periods, not through disinterest but through the intersection of logistical exclusion and insufficient CBC literacy.</w:t>
      </w:r>
    </w:p>
    <w:p w14:paraId="6FF80FF3" w14:textId="77777777" w:rsidR="00C76077" w:rsidRDefault="00C07A7D">
      <w:pPr>
        <w:spacing w:after="200" w:line="259" w:lineRule="auto"/>
        <w:jc w:val="both"/>
      </w:pPr>
      <w:r>
        <w:rPr>
          <w:color w:val="000000"/>
        </w:rPr>
        <w:t>What distinguishes this study from the existing Kenyan CBC engagement literature is threefold: its focus on guidance and counselling as a disaggregated engagement modality rather than general parental involvement; its sub-county locus in a rural, agricultural setting underrepresented in the existing evidence base; and its triangulation of student and teacher quantitative data with institutional headteacher accounts. The null hypothesis is rejected. The theoretical contribution is to demonstrate the analytical productivity of extending Fredricks et al.'s tripartite engagement framework beyond student engagement to the parental dimension, where all three deficit types — behavioural, cognitive, and emotional — are empirically visible and institutionally explicable.</w:t>
      </w:r>
    </w:p>
    <w:p w14:paraId="1A88C521" w14:textId="77777777" w:rsidR="00C76077" w:rsidRDefault="00C07A7D">
      <w:pPr>
        <w:spacing w:after="200" w:line="259" w:lineRule="auto"/>
        <w:jc w:val="both"/>
      </w:pPr>
      <w:r>
        <w:rPr>
          <w:color w:val="000000"/>
        </w:rPr>
        <w:t>Several limitations bound these conclusions. The cross-sectional design establishes association, not causation. Self-report questionnaire data are susceptible to social desirability effects, particularly on engagement measures. The study's single sub-county scope and the purposive parent selection from prior G&amp;C contacts mean that the most comprehensively excluded parents — those with no school contact whatsoever — are not represented in the data; this implies that the positive associations reported here may overestimate what would be observed in a fully representative sample. Longitudinal designs using observational rather than self-report engagement data are needed to address these limits.</w:t>
      </w:r>
    </w:p>
    <w:p w14:paraId="0BFF538A" w14:textId="77777777" w:rsidR="00C76077" w:rsidRDefault="00C07A7D">
      <w:pPr>
        <w:spacing w:before="240" w:after="60"/>
      </w:pPr>
      <w:r>
        <w:rPr>
          <w:b/>
          <w:bCs/>
          <w:color w:val="000000"/>
        </w:rPr>
        <w:t>Recommendations</w:t>
      </w:r>
    </w:p>
    <w:p w14:paraId="5D3492B9" w14:textId="77777777" w:rsidR="00C76077" w:rsidRDefault="00C07A7D">
      <w:pPr>
        <w:spacing w:after="160" w:line="259" w:lineRule="auto"/>
        <w:ind w:left="300"/>
        <w:jc w:val="both"/>
      </w:pPr>
      <w:r>
        <w:rPr>
          <w:b/>
          <w:bCs/>
          <w:color w:val="000000"/>
        </w:rPr>
        <w:t>1.</w:t>
      </w:r>
      <w:r>
        <w:rPr>
          <w:b/>
          <w:bCs/>
          <w:color w:val="000000"/>
        </w:rPr>
        <w:tab/>
      </w:r>
      <w:r>
        <w:rPr>
          <w:color w:val="000000"/>
        </w:rPr>
        <w:t xml:space="preserve">Headteachers should map parental G&amp;C meeting schedules explicitly to </w:t>
      </w:r>
      <w:proofErr w:type="spellStart"/>
      <w:r>
        <w:rPr>
          <w:color w:val="000000"/>
        </w:rPr>
        <w:t>Sotik</w:t>
      </w:r>
      <w:proofErr w:type="spellEnd"/>
      <w:r>
        <w:rPr>
          <w:color w:val="000000"/>
        </w:rPr>
        <w:t xml:space="preserve"> Sub-County's agricultural calendar, avoiding peak tea plucking (February) and maize harvest (October) periods identified in this study. Alternative scheduling options — Saturday morning sessions, community-based meetings, or brief structured phone consultations for agricultural-period use — should be developed and piloted with parental input.</w:t>
      </w:r>
    </w:p>
    <w:p w14:paraId="44EDA8E2" w14:textId="77777777" w:rsidR="00C76077" w:rsidRDefault="00C07A7D">
      <w:pPr>
        <w:spacing w:after="160" w:line="259" w:lineRule="auto"/>
        <w:ind w:left="300"/>
        <w:jc w:val="both"/>
      </w:pPr>
      <w:r>
        <w:rPr>
          <w:b/>
          <w:bCs/>
          <w:color w:val="000000"/>
        </w:rPr>
        <w:t>2.</w:t>
      </w:r>
      <w:r>
        <w:rPr>
          <w:b/>
          <w:bCs/>
          <w:color w:val="000000"/>
        </w:rPr>
        <w:tab/>
      </w:r>
      <w:r>
        <w:rPr>
          <w:color w:val="000000"/>
        </w:rPr>
        <w:t>Every G&amp;C session that involves parents should begin with a brief, structured CBC literacy orientation component — explaining the competency being discussed, what the counsellor is assessing, and what home-based actions would support it. Without this, behavioural attendance (the easiest dimension to increase) will not produce the cognitive and emotional engagement that drives CBC outcomes.</w:t>
      </w:r>
    </w:p>
    <w:p w14:paraId="6C74D298" w14:textId="77777777" w:rsidR="00C76077" w:rsidRDefault="00C07A7D">
      <w:pPr>
        <w:spacing w:after="160" w:line="259" w:lineRule="auto"/>
        <w:ind w:left="300"/>
        <w:jc w:val="both"/>
      </w:pPr>
      <w:r>
        <w:rPr>
          <w:b/>
          <w:bCs/>
          <w:color w:val="000000"/>
        </w:rPr>
        <w:t>3.</w:t>
      </w:r>
      <w:r>
        <w:rPr>
          <w:b/>
          <w:bCs/>
          <w:color w:val="000000"/>
        </w:rPr>
        <w:tab/>
      </w:r>
      <w:r>
        <w:rPr>
          <w:color w:val="000000"/>
        </w:rPr>
        <w:t>School counsellors and class teachers performing counselling functions should receive in-service training specifically on parent-inclusive counselling facilitation. Training should address realistic caseload management, the creation of confidential counselling spaces, and access to peer supervision — recognising that counsellors who are inadequately supported cannot build the relational trust that sustains parental emotional engagement.</w:t>
      </w:r>
    </w:p>
    <w:p w14:paraId="58C01205" w14:textId="77777777" w:rsidR="00C76077" w:rsidRDefault="00C07A7D">
      <w:pPr>
        <w:spacing w:after="160" w:line="259" w:lineRule="auto"/>
        <w:ind w:left="300"/>
        <w:jc w:val="both"/>
      </w:pPr>
      <w:r>
        <w:rPr>
          <w:b/>
          <w:bCs/>
          <w:color w:val="000000"/>
        </w:rPr>
        <w:t>4.</w:t>
      </w:r>
      <w:r>
        <w:rPr>
          <w:b/>
          <w:bCs/>
          <w:color w:val="000000"/>
        </w:rPr>
        <w:tab/>
      </w:r>
      <w:r>
        <w:rPr>
          <w:color w:val="000000"/>
        </w:rPr>
        <w:t xml:space="preserve">KICD and the Ministry of Education should include parental G&amp;C participation as a discrete, monitored indicator within CBC quality assurance and school inspection instruments — </w:t>
      </w:r>
      <w:r>
        <w:rPr>
          <w:color w:val="000000"/>
        </w:rPr>
        <w:lastRenderedPageBreak/>
        <w:t>disaggregated from general parental involvement measures so that its specific contribution to CBC outcomes can be tracked nationally.</w:t>
      </w:r>
    </w:p>
    <w:p w14:paraId="5B802CF2" w14:textId="77777777" w:rsidR="00C76077" w:rsidRDefault="00C07A7D">
      <w:pPr>
        <w:spacing w:after="160" w:line="259" w:lineRule="auto"/>
        <w:ind w:left="300"/>
        <w:jc w:val="both"/>
      </w:pPr>
      <w:r>
        <w:rPr>
          <w:b/>
          <w:bCs/>
          <w:color w:val="000000"/>
        </w:rPr>
        <w:t>5.</w:t>
      </w:r>
      <w:r>
        <w:rPr>
          <w:b/>
          <w:bCs/>
          <w:color w:val="000000"/>
        </w:rPr>
        <w:tab/>
      </w:r>
      <w:r>
        <w:rPr>
          <w:color w:val="000000"/>
        </w:rPr>
        <w:t>Future research should test specific parental G&amp;C engagement interventions using longitudinal or quasi-experimental designs across multiple county contexts, and should specifically target the structurally excluded non-participating group through outreach models (mobile counselling, community-based CBC orientation) not captured in this study's design.</w:t>
      </w:r>
    </w:p>
    <w:p w14:paraId="5F4925AA" w14:textId="77777777" w:rsidR="00C76077" w:rsidRDefault="00C07A7D">
      <w:pPr>
        <w:spacing w:before="240" w:after="60"/>
      </w:pPr>
      <w:r>
        <w:rPr>
          <w:b/>
          <w:bCs/>
          <w:color w:val="000000"/>
        </w:rPr>
        <w:t>Ethical Approval</w:t>
      </w:r>
    </w:p>
    <w:p w14:paraId="1436DE3A" w14:textId="77777777" w:rsidR="00C76077" w:rsidRDefault="00C07A7D">
      <w:pPr>
        <w:spacing w:after="200" w:line="259" w:lineRule="auto"/>
        <w:jc w:val="both"/>
      </w:pPr>
      <w:r>
        <w:rPr>
          <w:color w:val="000000"/>
        </w:rPr>
        <w:t>This study was conducted under NACOSTI Research Licence No. NACOSTI/P/24/39807 (issued 12 September 2024). Informed consent was obtained from all participants prior to data collection; parental consent was additionally obtained for student respondents. Confidentiality and anonymity were maintained throughout.</w:t>
      </w:r>
    </w:p>
    <w:p w14:paraId="17F80707" w14:textId="77777777" w:rsidR="00C76077" w:rsidRDefault="00C07A7D">
      <w:pPr>
        <w:spacing w:after="200" w:line="259" w:lineRule="auto"/>
        <w:jc w:val="both"/>
      </w:pPr>
      <w:r>
        <w:rPr>
          <w:color w:val="000000"/>
        </w:rPr>
        <w:t>The author declares no conflict of interest.</w:t>
      </w:r>
    </w:p>
    <w:p w14:paraId="2132549D" w14:textId="77777777" w:rsidR="00C76077" w:rsidRDefault="00C07A7D">
      <w:pPr>
        <w:spacing w:after="200" w:line="259" w:lineRule="auto"/>
        <w:jc w:val="both"/>
      </w:pPr>
      <w:r>
        <w:rPr>
          <w:color w:val="000000"/>
        </w:rPr>
        <w:t>Data supporting this study are available from the corresponding author upon reasonable request.</w:t>
      </w:r>
    </w:p>
    <w:p w14:paraId="22E4BFF0" w14:textId="77777777" w:rsidR="00C76077" w:rsidRDefault="00C07A7D">
      <w:pPr>
        <w:pageBreakBefore/>
        <w:spacing w:before="200" w:after="80" w:line="259" w:lineRule="auto"/>
      </w:pPr>
      <w:r>
        <w:rPr>
          <w:b/>
          <w:bCs/>
          <w:sz w:val="28"/>
          <w:szCs w:val="28"/>
        </w:rPr>
        <w:lastRenderedPageBreak/>
        <w:t>REFERENCES</w:t>
      </w:r>
    </w:p>
    <w:p w14:paraId="3CA416CE" w14:textId="77777777" w:rsidR="00C76077" w:rsidRDefault="00C07A7D">
      <w:pPr>
        <w:spacing w:after="80" w:line="259" w:lineRule="auto"/>
        <w:ind w:left="720" w:hanging="720"/>
        <w:jc w:val="both"/>
      </w:pPr>
      <w:proofErr w:type="spellStart"/>
      <w:r>
        <w:t>Amunga</w:t>
      </w:r>
      <w:proofErr w:type="spellEnd"/>
      <w:r>
        <w:t xml:space="preserve">, J., Were, D., &amp; </w:t>
      </w:r>
      <w:proofErr w:type="spellStart"/>
      <w:r>
        <w:t>Ashioya</w:t>
      </w:r>
      <w:proofErr w:type="spellEnd"/>
      <w:r>
        <w:t xml:space="preserve">, I. (2020). The teacher-parent nexus in the competency-based curriculum success equation in Kenya. </w:t>
      </w:r>
      <w:r>
        <w:rPr>
          <w:i/>
          <w:iCs/>
        </w:rPr>
        <w:t>International Journal of Educational Administration and Policy Studies, 12</w:t>
      </w:r>
      <w:r>
        <w:t>(1), 60–76. https://doi.org/10.5897/IJEAPS2019.0609</w:t>
      </w:r>
    </w:p>
    <w:p w14:paraId="7E0BB4A6" w14:textId="77777777" w:rsidR="00C76077" w:rsidRDefault="00C07A7D">
      <w:pPr>
        <w:spacing w:after="80" w:line="259" w:lineRule="auto"/>
        <w:ind w:left="720" w:hanging="720"/>
        <w:jc w:val="both"/>
      </w:pPr>
      <w:r>
        <w:t xml:space="preserve">Begi, N. (2019). </w:t>
      </w:r>
      <w:r>
        <w:rPr>
          <w:i/>
          <w:iCs/>
        </w:rPr>
        <w:t>Implementing competency-based curriculum in Kenyan schools: Challenges and opportunities</w:t>
      </w:r>
      <w:r>
        <w:t>. Kenya Literature Bureau.</w:t>
      </w:r>
    </w:p>
    <w:p w14:paraId="221E4003" w14:textId="77777777" w:rsidR="00C76077" w:rsidRDefault="00C07A7D">
      <w:pPr>
        <w:spacing w:after="80" w:line="259" w:lineRule="auto"/>
        <w:ind w:left="720" w:hanging="720"/>
        <w:jc w:val="both"/>
      </w:pPr>
      <w:proofErr w:type="spellStart"/>
      <w:r>
        <w:t>Boonk</w:t>
      </w:r>
      <w:proofErr w:type="spellEnd"/>
      <w:r>
        <w:t xml:space="preserve">, L., </w:t>
      </w:r>
      <w:proofErr w:type="spellStart"/>
      <w:r>
        <w:t>Gijselaers</w:t>
      </w:r>
      <w:proofErr w:type="spellEnd"/>
      <w:r>
        <w:t xml:space="preserve">, H. J. M., </w:t>
      </w:r>
      <w:proofErr w:type="spellStart"/>
      <w:r>
        <w:t>Ritzen</w:t>
      </w:r>
      <w:proofErr w:type="spellEnd"/>
      <w:r>
        <w:t>, H., &amp; Brand-</w:t>
      </w:r>
      <w:proofErr w:type="spellStart"/>
      <w:r>
        <w:t>Gruwel</w:t>
      </w:r>
      <w:proofErr w:type="spellEnd"/>
      <w:r>
        <w:t xml:space="preserve">, S. (2018). A review of the relationship between parental involvement indicators and academic achievement. </w:t>
      </w:r>
      <w:r>
        <w:rPr>
          <w:i/>
          <w:iCs/>
        </w:rPr>
        <w:t>Educational Research Review, 24</w:t>
      </w:r>
      <w:r>
        <w:t>, 10–30. https://doi.org/10.1016/j.edurev.2018.02.001</w:t>
      </w:r>
    </w:p>
    <w:p w14:paraId="7D8A88BB" w14:textId="77777777" w:rsidR="00C76077" w:rsidRDefault="00C07A7D">
      <w:pPr>
        <w:spacing w:after="80" w:line="259" w:lineRule="auto"/>
        <w:ind w:left="720" w:hanging="720"/>
        <w:jc w:val="both"/>
      </w:pPr>
      <w:r>
        <w:t xml:space="preserve">Braun, V., &amp; Clarke, V. (2006). Using thematic analysis in psychology. </w:t>
      </w:r>
      <w:r>
        <w:rPr>
          <w:i/>
          <w:iCs/>
        </w:rPr>
        <w:t>Qualitative Research in Psychology, 3</w:t>
      </w:r>
      <w:r>
        <w:t>(2), 77–101. https://doi.org/10.1191/1478088706qp063oa</w:t>
      </w:r>
    </w:p>
    <w:p w14:paraId="46AC5F60" w14:textId="77777777" w:rsidR="00C76077" w:rsidRDefault="00C07A7D">
      <w:pPr>
        <w:spacing w:after="80" w:line="259" w:lineRule="auto"/>
        <w:ind w:left="720" w:hanging="720"/>
        <w:jc w:val="both"/>
      </w:pPr>
      <w:r>
        <w:t xml:space="preserve">Bronfenbrenner, U. (1979). </w:t>
      </w:r>
      <w:r>
        <w:rPr>
          <w:i/>
          <w:iCs/>
        </w:rPr>
        <w:t>The ecology of human development: Experiments by nature and design</w:t>
      </w:r>
      <w:r>
        <w:t>. Harvard University Press.</w:t>
      </w:r>
    </w:p>
    <w:p w14:paraId="5DD3C003" w14:textId="77777777" w:rsidR="00C76077" w:rsidRDefault="00C07A7D">
      <w:pPr>
        <w:spacing w:after="80" w:line="259" w:lineRule="auto"/>
        <w:ind w:left="720" w:hanging="720"/>
        <w:jc w:val="both"/>
      </w:pPr>
      <w:r>
        <w:t xml:space="preserve">Caulfield, J. (2001). Parental involvement in education: Impact on student achievement. </w:t>
      </w:r>
      <w:r>
        <w:rPr>
          <w:i/>
          <w:iCs/>
        </w:rPr>
        <w:t>Early Childhood Education Journal, 29</w:t>
      </w:r>
      <w:r>
        <w:t>(2), 83–87. https://doi.org/10.1023/A:1012507624571</w:t>
      </w:r>
    </w:p>
    <w:p w14:paraId="1F7A20A3" w14:textId="77777777" w:rsidR="00C76077" w:rsidRDefault="00C07A7D">
      <w:pPr>
        <w:spacing w:after="80" w:line="259" w:lineRule="auto"/>
        <w:ind w:left="720" w:hanging="720"/>
        <w:jc w:val="both"/>
      </w:pPr>
      <w:r>
        <w:t xml:space="preserve">Creswell, J. W., &amp; Plano Clark, V. L. (2018). </w:t>
      </w:r>
      <w:r>
        <w:rPr>
          <w:i/>
          <w:iCs/>
        </w:rPr>
        <w:t>Designing and conducting mixed methods research</w:t>
      </w:r>
      <w:r>
        <w:t xml:space="preserve"> (3rd ed.). SAGE Publications.</w:t>
      </w:r>
    </w:p>
    <w:p w14:paraId="2B42D61F" w14:textId="77777777" w:rsidR="00C76077" w:rsidRDefault="00C07A7D">
      <w:pPr>
        <w:spacing w:after="80" w:line="259" w:lineRule="auto"/>
        <w:ind w:left="720" w:hanging="720"/>
        <w:jc w:val="both"/>
      </w:pPr>
      <w:r>
        <w:t xml:space="preserve">Epstein, J. L. (2011). </w:t>
      </w:r>
      <w:r>
        <w:rPr>
          <w:i/>
          <w:iCs/>
        </w:rPr>
        <w:t>School, family, and community partnerships: Preparing educators and improving schools</w:t>
      </w:r>
      <w:r>
        <w:t xml:space="preserve"> (2nd ed.). Westview Press.</w:t>
      </w:r>
    </w:p>
    <w:p w14:paraId="3E1D32FC" w14:textId="77777777" w:rsidR="00C76077" w:rsidRDefault="00C07A7D">
      <w:pPr>
        <w:spacing w:after="80" w:line="259" w:lineRule="auto"/>
        <w:ind w:left="720" w:hanging="720"/>
        <w:jc w:val="both"/>
      </w:pPr>
      <w:r>
        <w:t xml:space="preserve">Fredricks, J. A., Blumenfeld, P. C., &amp; Paris, A. H. (2004). School engagement: Potential of the concept, state of the evidence. </w:t>
      </w:r>
      <w:r>
        <w:rPr>
          <w:i/>
          <w:iCs/>
        </w:rPr>
        <w:t>Review of Educational Research, 74</w:t>
      </w:r>
      <w:r>
        <w:t>(1), 59–109. https://doi.org/10.3102/00346543074001059</w:t>
      </w:r>
    </w:p>
    <w:p w14:paraId="0139D195" w14:textId="77777777" w:rsidR="00C76077" w:rsidRDefault="00C07A7D">
      <w:pPr>
        <w:spacing w:after="80" w:line="259" w:lineRule="auto"/>
        <w:ind w:left="720" w:hanging="720"/>
        <w:jc w:val="both"/>
      </w:pPr>
      <w:r>
        <w:t xml:space="preserve">Goodall, J., &amp; Montgomery, C. (2014). Parental involvement to parental engagement: A continuum. </w:t>
      </w:r>
      <w:r>
        <w:rPr>
          <w:i/>
          <w:iCs/>
        </w:rPr>
        <w:t>Educational Review, 66</w:t>
      </w:r>
      <w:r>
        <w:t>(4), 399–410. https://doi.org/10.1080/00131911.2013.781576</w:t>
      </w:r>
    </w:p>
    <w:p w14:paraId="2229E10D" w14:textId="77777777" w:rsidR="00C76077" w:rsidRDefault="00C07A7D">
      <w:pPr>
        <w:spacing w:after="80" w:line="259" w:lineRule="auto"/>
        <w:ind w:left="720" w:hanging="720"/>
        <w:jc w:val="both"/>
      </w:pPr>
      <w:r>
        <w:t xml:space="preserve">Harris, A., &amp; Goodall, J. (2016). Helping families support children’s success at school. </w:t>
      </w:r>
      <w:r>
        <w:rPr>
          <w:i/>
          <w:iCs/>
        </w:rPr>
        <w:t>British Journal of Educational Studies, 56</w:t>
      </w:r>
      <w:r>
        <w:t>(4), 376–389.</w:t>
      </w:r>
    </w:p>
    <w:p w14:paraId="3BAB71BC" w14:textId="77777777" w:rsidR="00C76077" w:rsidRDefault="00C07A7D">
      <w:pPr>
        <w:spacing w:after="80" w:line="259" w:lineRule="auto"/>
        <w:ind w:left="720" w:hanging="720"/>
        <w:jc w:val="both"/>
      </w:pPr>
      <w:r>
        <w:t xml:space="preserve">Hoover-Dempsey, K. V., &amp; Sandler, H. M. (1997). Why do parents become involved in their children’s education? </w:t>
      </w:r>
      <w:r>
        <w:rPr>
          <w:i/>
          <w:iCs/>
        </w:rPr>
        <w:t>Review of Educational Research, 67</w:t>
      </w:r>
      <w:r>
        <w:t>(1), 3–42. https://doi.org/10.3102/00346543067001003</w:t>
      </w:r>
    </w:p>
    <w:p w14:paraId="3B371F9D" w14:textId="77777777" w:rsidR="00C76077" w:rsidRDefault="00C07A7D">
      <w:pPr>
        <w:spacing w:after="80" w:line="259" w:lineRule="auto"/>
        <w:ind w:left="720" w:hanging="720"/>
        <w:jc w:val="both"/>
      </w:pPr>
      <w:proofErr w:type="spellStart"/>
      <w:r>
        <w:t>Jeynes</w:t>
      </w:r>
      <w:proofErr w:type="spellEnd"/>
      <w:r>
        <w:t xml:space="preserve">, W. H. (2018). A meta-analysis: The relationship between parental involvement and Latino student outcomes. </w:t>
      </w:r>
      <w:r>
        <w:rPr>
          <w:i/>
          <w:iCs/>
        </w:rPr>
        <w:t>Education and Urban Society, 50</w:t>
      </w:r>
      <w:r>
        <w:t>(4), 375–410. https://doi.org/10.1177/0013124517718055</w:t>
      </w:r>
    </w:p>
    <w:p w14:paraId="4CC491D1" w14:textId="77777777" w:rsidR="00C76077" w:rsidRDefault="00C07A7D">
      <w:pPr>
        <w:spacing w:after="80" w:line="259" w:lineRule="auto"/>
        <w:ind w:left="720" w:hanging="720"/>
        <w:jc w:val="both"/>
      </w:pPr>
      <w:r>
        <w:t xml:space="preserve">Kenya Institute of Curriculum Development (KICD). (2019). </w:t>
      </w:r>
      <w:r>
        <w:rPr>
          <w:i/>
          <w:iCs/>
        </w:rPr>
        <w:t>Competency-based curriculum: Implementation framework and guidelines</w:t>
      </w:r>
      <w:r>
        <w:t>. KICD.</w:t>
      </w:r>
    </w:p>
    <w:p w14:paraId="2C1AD937" w14:textId="77777777" w:rsidR="00C76077" w:rsidRDefault="00C07A7D">
      <w:pPr>
        <w:spacing w:after="80" w:line="259" w:lineRule="auto"/>
        <w:ind w:left="720" w:hanging="720"/>
        <w:jc w:val="both"/>
      </w:pPr>
      <w:r>
        <w:t xml:space="preserve">Momanyi, J., &amp; </w:t>
      </w:r>
      <w:proofErr w:type="spellStart"/>
      <w:r>
        <w:t>Rop</w:t>
      </w:r>
      <w:proofErr w:type="spellEnd"/>
      <w:r>
        <w:t xml:space="preserve">, P. (2019). Parental engagement in CBC implementation in </w:t>
      </w:r>
      <w:proofErr w:type="spellStart"/>
      <w:r>
        <w:t>Bomet</w:t>
      </w:r>
      <w:proofErr w:type="spellEnd"/>
      <w:r>
        <w:t xml:space="preserve"> County. </w:t>
      </w:r>
      <w:r>
        <w:rPr>
          <w:i/>
          <w:iCs/>
        </w:rPr>
        <w:t>Kenya Education Review, 6</w:t>
      </w:r>
      <w:r>
        <w:t>(2), 14–29.</w:t>
      </w:r>
    </w:p>
    <w:p w14:paraId="1D0BE81A" w14:textId="77777777" w:rsidR="00C76077" w:rsidRDefault="00C07A7D">
      <w:pPr>
        <w:spacing w:after="80" w:line="259" w:lineRule="auto"/>
        <w:ind w:left="720" w:hanging="720"/>
        <w:jc w:val="both"/>
      </w:pPr>
      <w:r>
        <w:t xml:space="preserve">Mulenga, I. M., &amp; </w:t>
      </w:r>
      <w:proofErr w:type="spellStart"/>
      <w:r>
        <w:t>Kabombwe</w:t>
      </w:r>
      <w:proofErr w:type="spellEnd"/>
      <w:r>
        <w:t xml:space="preserve">, Y. M. (2019). Understanding a competency-based curriculum for primary and secondary schools: The Zambian perspective. </w:t>
      </w:r>
      <w:r>
        <w:rPr>
          <w:i/>
          <w:iCs/>
        </w:rPr>
        <w:t>Journal of Lexicography and Terminology, 3</w:t>
      </w:r>
      <w:r>
        <w:t>(1), 19–36.</w:t>
      </w:r>
    </w:p>
    <w:p w14:paraId="6CD3EE1B" w14:textId="77777777" w:rsidR="00C76077" w:rsidRDefault="00C07A7D">
      <w:pPr>
        <w:spacing w:after="80" w:line="259" w:lineRule="auto"/>
        <w:ind w:left="720" w:hanging="720"/>
        <w:jc w:val="both"/>
      </w:pPr>
      <w:r>
        <w:t xml:space="preserve">Nunnally, J. C. (1978). </w:t>
      </w:r>
      <w:r>
        <w:rPr>
          <w:i/>
          <w:iCs/>
        </w:rPr>
        <w:t>Psychometric theory</w:t>
      </w:r>
      <w:r>
        <w:t xml:space="preserve"> (2nd ed.). McGraw-Hill.</w:t>
      </w:r>
    </w:p>
    <w:p w14:paraId="196278A6" w14:textId="77777777" w:rsidR="00C76077" w:rsidRDefault="00C07A7D">
      <w:pPr>
        <w:spacing w:after="80" w:line="259" w:lineRule="auto"/>
        <w:ind w:left="720" w:hanging="720"/>
        <w:jc w:val="both"/>
      </w:pPr>
      <w:r>
        <w:t xml:space="preserve">Ranji, J. K., Chumba, S., &amp; Kurgat, S. (2025). Parents as partners in education: Understanding their engagement in competency-based curriculum implementation in public primary schools — the </w:t>
      </w:r>
      <w:r>
        <w:lastRenderedPageBreak/>
        <w:t xml:space="preserve">case of Nakuru County, Kenya. </w:t>
      </w:r>
      <w:r>
        <w:rPr>
          <w:i/>
          <w:iCs/>
        </w:rPr>
        <w:t>European Journal of Education Studies, 10</w:t>
      </w:r>
      <w:r>
        <w:t>(2), 1–22. https://www.oapub.org/edu/index.php/ejes/article/view/6101</w:t>
      </w:r>
    </w:p>
    <w:p w14:paraId="71BB2F13" w14:textId="77777777" w:rsidR="00C76077" w:rsidRDefault="00C07A7D">
      <w:pPr>
        <w:spacing w:after="80" w:line="259" w:lineRule="auto"/>
        <w:ind w:left="720" w:hanging="720"/>
        <w:jc w:val="both"/>
      </w:pPr>
      <w:r>
        <w:t xml:space="preserve">Yamane, T. (1967). </w:t>
      </w:r>
      <w:r>
        <w:rPr>
          <w:i/>
          <w:iCs/>
        </w:rPr>
        <w:t>Statistics: An introductory analysis</w:t>
      </w:r>
      <w:r>
        <w:t xml:space="preserve"> (2nd ed.). Harper &amp; Row.</w:t>
      </w:r>
    </w:p>
    <w:p w14:paraId="3509E3A4" w14:textId="77777777" w:rsidR="00C76077" w:rsidRDefault="00C07A7D">
      <w:pPr>
        <w:spacing w:after="80" w:line="259" w:lineRule="auto"/>
        <w:ind w:left="720" w:hanging="720"/>
        <w:jc w:val="both"/>
      </w:pPr>
      <w:proofErr w:type="spellStart"/>
      <w:r>
        <w:t>Mulinya</w:t>
      </w:r>
      <w:proofErr w:type="spellEnd"/>
      <w:r>
        <w:t xml:space="preserve">, S., &amp; Kimotho, S. (2025). Parental perceptions and challenges in supporting the Competency-Based Curriculum (CBC) in Deep Sea Informal Settlement, </w:t>
      </w:r>
      <w:proofErr w:type="spellStart"/>
      <w:r>
        <w:t>Loresho</w:t>
      </w:r>
      <w:proofErr w:type="spellEnd"/>
      <w:r>
        <w:t xml:space="preserve">, Nairobi County. </w:t>
      </w:r>
      <w:r>
        <w:rPr>
          <w:i/>
          <w:iCs/>
        </w:rPr>
        <w:t>African Journal of Education and Practice, 11</w:t>
      </w:r>
      <w:r>
        <w:t>(1), 73–90. https://doi.org/10.47604/ajep.3252</w:t>
      </w:r>
    </w:p>
    <w:p w14:paraId="576EC83E" w14:textId="77777777" w:rsidR="00C76077" w:rsidRDefault="00C07A7D">
      <w:pPr>
        <w:spacing w:after="80" w:line="259" w:lineRule="auto"/>
        <w:ind w:left="720" w:hanging="720"/>
        <w:jc w:val="both"/>
      </w:pPr>
      <w:r>
        <w:t xml:space="preserve">Mugambi, M., &amp; Mauti, J. (2025). </w:t>
      </w:r>
      <w:proofErr w:type="spellStart"/>
      <w:r>
        <w:t>Reconstructivism</w:t>
      </w:r>
      <w:proofErr w:type="spellEnd"/>
      <w:r>
        <w:t xml:space="preserve"> in action: Teachers’ perspectives on implementation of competency-based education in Kenya’s public junior schools. </w:t>
      </w:r>
      <w:r>
        <w:rPr>
          <w:i/>
          <w:iCs/>
        </w:rPr>
        <w:t>East African Journal of Education Studies, 8</w:t>
      </w:r>
      <w:r>
        <w:t>(4), 402–418. https://doi.org/10.37284/eajes.8.4.4044</w:t>
      </w:r>
    </w:p>
    <w:p w14:paraId="5004DF2B" w14:textId="77777777" w:rsidR="00C76077" w:rsidRDefault="00C07A7D">
      <w:pPr>
        <w:spacing w:after="80" w:line="259" w:lineRule="auto"/>
        <w:ind w:left="720" w:hanging="720"/>
        <w:jc w:val="both"/>
      </w:pPr>
      <w:proofErr w:type="spellStart"/>
      <w:r>
        <w:t>Obunga</w:t>
      </w:r>
      <w:proofErr w:type="spellEnd"/>
      <w:r>
        <w:t xml:space="preserve">, E. O., Mugo, J. W., &amp; </w:t>
      </w:r>
      <w:proofErr w:type="spellStart"/>
      <w:r>
        <w:t>Mwoma</w:t>
      </w:r>
      <w:proofErr w:type="spellEnd"/>
      <w:r>
        <w:t xml:space="preserve">, T. B. (2025). Parental volunteering activities and pre-primary school learners’ acquisition of CBC core competencies in Kisii County. </w:t>
      </w:r>
      <w:r>
        <w:rPr>
          <w:i/>
          <w:iCs/>
        </w:rPr>
        <w:t>East African Journal of Education Studies, 8</w:t>
      </w:r>
      <w:r>
        <w:t>(2), 627–643. https://doi.org/10.37284/eajes.8.2.3098</w:t>
      </w:r>
    </w:p>
    <w:p w14:paraId="65F25CFF" w14:textId="77777777" w:rsidR="00C76077" w:rsidRDefault="00C07A7D">
      <w:pPr>
        <w:spacing w:after="80" w:line="259" w:lineRule="auto"/>
        <w:ind w:left="720" w:hanging="720"/>
        <w:jc w:val="both"/>
      </w:pPr>
      <w:proofErr w:type="spellStart"/>
      <w:r>
        <w:t>Syomwene</w:t>
      </w:r>
      <w:proofErr w:type="spellEnd"/>
      <w:r>
        <w:t xml:space="preserve">, A. (2022). Parental involvement strategies and challenges in development of pupils’ literacy skills in the implementation of </w:t>
      </w:r>
      <w:proofErr w:type="gramStart"/>
      <w:r>
        <w:t>competency based</w:t>
      </w:r>
      <w:proofErr w:type="gramEnd"/>
      <w:r>
        <w:t xml:space="preserve"> curriculum in early years education in Kenya. </w:t>
      </w:r>
      <w:r>
        <w:rPr>
          <w:i/>
          <w:iCs/>
        </w:rPr>
        <w:t>European Journal of Education and Pedagogy, 3</w:t>
      </w:r>
      <w:r>
        <w:t>(2), 1–10. https://www.ej-edu.org/index.php/ejedu/article/view/273</w:t>
      </w:r>
    </w:p>
    <w:sectPr w:rsidR="00C76077">
      <w:footerReference w:type="default" r:id="rId7"/>
      <w:pgSz w:w="11906" w:h="16838"/>
      <w:pgMar w:top="1104" w:right="1033" w:bottom="637" w:left="109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79DF" w14:textId="77777777" w:rsidR="00EC6EB9" w:rsidRDefault="00EC6EB9" w:rsidP="001B2102">
      <w:r>
        <w:separator/>
      </w:r>
    </w:p>
  </w:endnote>
  <w:endnote w:type="continuationSeparator" w:id="0">
    <w:p w14:paraId="514260BA" w14:textId="77777777" w:rsidR="00EC6EB9" w:rsidRDefault="00EC6EB9" w:rsidP="001B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727696"/>
      <w:docPartObj>
        <w:docPartGallery w:val="Page Numbers (Bottom of Page)"/>
        <w:docPartUnique/>
      </w:docPartObj>
    </w:sdtPr>
    <w:sdtEndPr>
      <w:rPr>
        <w:noProof/>
      </w:rPr>
    </w:sdtEndPr>
    <w:sdtContent>
      <w:p w14:paraId="28908724" w14:textId="32B8D6F6" w:rsidR="001B2102" w:rsidRDefault="001B21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EE22DD" w14:textId="77777777" w:rsidR="001B2102" w:rsidRDefault="001B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F3D9" w14:textId="77777777" w:rsidR="00EC6EB9" w:rsidRDefault="00EC6EB9" w:rsidP="001B2102">
      <w:r>
        <w:separator/>
      </w:r>
    </w:p>
  </w:footnote>
  <w:footnote w:type="continuationSeparator" w:id="0">
    <w:p w14:paraId="327EC52A" w14:textId="77777777" w:rsidR="00EC6EB9" w:rsidRDefault="00EC6EB9" w:rsidP="001B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D4AD4"/>
    <w:multiLevelType w:val="hybridMultilevel"/>
    <w:tmpl w:val="9448F6C2"/>
    <w:lvl w:ilvl="0" w:tplc="17381B70">
      <w:start w:val="1"/>
      <w:numFmt w:val="bullet"/>
      <w:lvlText w:val="●"/>
      <w:lvlJc w:val="left"/>
      <w:pPr>
        <w:ind w:left="720" w:hanging="360"/>
      </w:pPr>
    </w:lvl>
    <w:lvl w:ilvl="1" w:tplc="DFA20214">
      <w:start w:val="1"/>
      <w:numFmt w:val="bullet"/>
      <w:lvlText w:val="○"/>
      <w:lvlJc w:val="left"/>
      <w:pPr>
        <w:ind w:left="1440" w:hanging="360"/>
      </w:pPr>
    </w:lvl>
    <w:lvl w:ilvl="2" w:tplc="F9E46B66">
      <w:start w:val="1"/>
      <w:numFmt w:val="bullet"/>
      <w:lvlText w:val="■"/>
      <w:lvlJc w:val="left"/>
      <w:pPr>
        <w:ind w:left="2160" w:hanging="360"/>
      </w:pPr>
    </w:lvl>
    <w:lvl w:ilvl="3" w:tplc="8B048A7E">
      <w:start w:val="1"/>
      <w:numFmt w:val="bullet"/>
      <w:lvlText w:val="●"/>
      <w:lvlJc w:val="left"/>
      <w:pPr>
        <w:ind w:left="2880" w:hanging="360"/>
      </w:pPr>
    </w:lvl>
    <w:lvl w:ilvl="4" w:tplc="A164EE92">
      <w:start w:val="1"/>
      <w:numFmt w:val="bullet"/>
      <w:lvlText w:val="○"/>
      <w:lvlJc w:val="left"/>
      <w:pPr>
        <w:ind w:left="3600" w:hanging="360"/>
      </w:pPr>
    </w:lvl>
    <w:lvl w:ilvl="5" w:tplc="ED6004BE">
      <w:start w:val="1"/>
      <w:numFmt w:val="bullet"/>
      <w:lvlText w:val="■"/>
      <w:lvlJc w:val="left"/>
      <w:pPr>
        <w:ind w:left="4320" w:hanging="360"/>
      </w:pPr>
    </w:lvl>
    <w:lvl w:ilvl="6" w:tplc="31C6EF68">
      <w:start w:val="1"/>
      <w:numFmt w:val="bullet"/>
      <w:lvlText w:val="●"/>
      <w:lvlJc w:val="left"/>
      <w:pPr>
        <w:ind w:left="5040" w:hanging="360"/>
      </w:pPr>
    </w:lvl>
    <w:lvl w:ilvl="7" w:tplc="F8E62D52">
      <w:start w:val="1"/>
      <w:numFmt w:val="bullet"/>
      <w:lvlText w:val="●"/>
      <w:lvlJc w:val="left"/>
      <w:pPr>
        <w:ind w:left="5760" w:hanging="360"/>
      </w:pPr>
    </w:lvl>
    <w:lvl w:ilvl="8" w:tplc="24B8EA66">
      <w:start w:val="1"/>
      <w:numFmt w:val="bullet"/>
      <w:lvlText w:val="●"/>
      <w:lvlJc w:val="left"/>
      <w:pPr>
        <w:ind w:left="6480" w:hanging="360"/>
      </w:pPr>
    </w:lvl>
  </w:abstractNum>
  <w:num w:numId="1" w16cid:durableId="5481534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77"/>
    <w:rsid w:val="001B2102"/>
    <w:rsid w:val="00232C35"/>
    <w:rsid w:val="00587FC2"/>
    <w:rsid w:val="005D7450"/>
    <w:rsid w:val="00711404"/>
    <w:rsid w:val="00C07A7D"/>
    <w:rsid w:val="00C76077"/>
    <w:rsid w:val="00EC6EB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0C9E"/>
  <w15:docId w15:val="{D943C1F4-1ED5-4970-963B-A78E347F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B2102"/>
    <w:pPr>
      <w:tabs>
        <w:tab w:val="center" w:pos="4513"/>
        <w:tab w:val="right" w:pos="9026"/>
      </w:tabs>
    </w:pPr>
  </w:style>
  <w:style w:type="character" w:customStyle="1" w:styleId="HeaderChar">
    <w:name w:val="Header Char"/>
    <w:basedOn w:val="DefaultParagraphFont"/>
    <w:link w:val="Header"/>
    <w:uiPriority w:val="99"/>
    <w:rsid w:val="001B2102"/>
  </w:style>
  <w:style w:type="paragraph" w:styleId="Footer">
    <w:name w:val="footer"/>
    <w:basedOn w:val="Normal"/>
    <w:link w:val="FooterChar"/>
    <w:uiPriority w:val="99"/>
    <w:unhideWhenUsed/>
    <w:rsid w:val="001B2102"/>
    <w:pPr>
      <w:tabs>
        <w:tab w:val="center" w:pos="4513"/>
        <w:tab w:val="right" w:pos="9026"/>
      </w:tabs>
    </w:pPr>
  </w:style>
  <w:style w:type="character" w:customStyle="1" w:styleId="FooterChar">
    <w:name w:val="Footer Char"/>
    <w:basedOn w:val="DefaultParagraphFont"/>
    <w:link w:val="Footer"/>
    <w:uiPriority w:val="99"/>
    <w:rsid w:val="001B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6770</Words>
  <Characters>38591</Characters>
  <Application>Microsoft Office Word</Application>
  <DocSecurity>0</DocSecurity>
  <Lines>321</Lines>
  <Paragraphs>90</Paragraphs>
  <ScaleCrop>false</ScaleCrop>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Edward Ogega</cp:lastModifiedBy>
  <cp:revision>5</cp:revision>
  <dcterms:created xsi:type="dcterms:W3CDTF">2026-06-17T20:05:00Z</dcterms:created>
  <dcterms:modified xsi:type="dcterms:W3CDTF">2026-06-17T20:21:00Z</dcterms:modified>
</cp:coreProperties>
</file>