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7317" w14:textId="77777777" w:rsidR="0029683B" w:rsidRDefault="0029683B">
      <w:pPr>
        <w:spacing w:before="240" w:after="240"/>
      </w:pPr>
    </w:p>
    <w:p w14:paraId="256F2A7F" w14:textId="4956EF9C" w:rsidR="0029683B" w:rsidRDefault="003A6A3D" w:rsidP="003A6A3D">
      <w:pPr>
        <w:spacing w:before="240" w:after="240"/>
        <w:jc w:val="center"/>
        <w:rPr>
          <w:b/>
          <w:bCs/>
          <w:sz w:val="36"/>
          <w:szCs w:val="36"/>
        </w:rPr>
      </w:pPr>
      <w:r w:rsidRPr="003A6A3D">
        <w:rPr>
          <w:b/>
          <w:bCs/>
          <w:sz w:val="36"/>
          <w:szCs w:val="36"/>
        </w:rPr>
        <w:t xml:space="preserve">Gurukul and </w:t>
      </w:r>
      <w:proofErr w:type="spellStart"/>
      <w:r w:rsidRPr="003A6A3D">
        <w:rPr>
          <w:b/>
          <w:bCs/>
          <w:sz w:val="36"/>
          <w:szCs w:val="36"/>
        </w:rPr>
        <w:t>Deschooling</w:t>
      </w:r>
      <w:proofErr w:type="spellEnd"/>
      <w:r w:rsidRPr="003A6A3D">
        <w:rPr>
          <w:b/>
          <w:bCs/>
          <w:sz w:val="36"/>
          <w:szCs w:val="36"/>
        </w:rPr>
        <w:t>: A Critical Comparative Inquiry into Alternative Education Models</w:t>
      </w:r>
    </w:p>
    <w:p w14:paraId="6727AB95" w14:textId="77777777" w:rsidR="003A6A3D" w:rsidRDefault="003A6A3D" w:rsidP="003A6A3D">
      <w:pPr>
        <w:spacing w:before="240" w:after="240"/>
        <w:jc w:val="center"/>
      </w:pPr>
    </w:p>
    <w:p w14:paraId="34BE1E82" w14:textId="77777777" w:rsidR="0029683B" w:rsidRDefault="00000000">
      <w:pPr>
        <w:spacing w:before="240" w:after="240" w:line="240" w:lineRule="exact"/>
        <w:jc w:val="center"/>
      </w:pPr>
      <w:r>
        <w:rPr>
          <w:b/>
          <w:bCs/>
        </w:rPr>
        <w:t>Dr. Vikas Sharma*</w:t>
      </w:r>
    </w:p>
    <w:p w14:paraId="7CA528EE" w14:textId="77777777" w:rsidR="0029683B" w:rsidRDefault="00000000">
      <w:pPr>
        <w:spacing w:before="240" w:after="240" w:line="240" w:lineRule="exact"/>
        <w:jc w:val="center"/>
      </w:pPr>
      <w:r>
        <w:t>Department of Commerce, Bareilly College, MJP Rohilkhand University, Bareilly, India</w:t>
      </w:r>
    </w:p>
    <w:p w14:paraId="67202C24" w14:textId="77777777" w:rsidR="0029683B" w:rsidRDefault="00000000">
      <w:pPr>
        <w:spacing w:before="240" w:after="240" w:line="240" w:lineRule="exact"/>
        <w:jc w:val="center"/>
      </w:pPr>
      <w:r>
        <w:t>*Corresponding Author: vikasharma1583@bcb.ac.in</w:t>
      </w:r>
    </w:p>
    <w:p w14:paraId="584A60AE" w14:textId="77777777" w:rsidR="0029683B" w:rsidRDefault="0029683B">
      <w:pPr>
        <w:spacing w:before="240" w:after="240"/>
      </w:pPr>
    </w:p>
    <w:p w14:paraId="386BD9DD" w14:textId="77777777" w:rsidR="0029683B" w:rsidRDefault="00000000">
      <w:pPr>
        <w:spacing w:before="240" w:after="240" w:line="240" w:lineRule="exact"/>
      </w:pPr>
      <w:r>
        <w:rPr>
          <w:b/>
          <w:bCs/>
          <w:sz w:val="28"/>
          <w:szCs w:val="28"/>
        </w:rPr>
        <w:t>ABSTRACT</w:t>
      </w:r>
    </w:p>
    <w:p w14:paraId="1C91C748" w14:textId="77777777" w:rsidR="0029683B" w:rsidRDefault="00000000">
      <w:pPr>
        <w:spacing w:before="240" w:after="240" w:line="240" w:lineRule="exact"/>
        <w:jc w:val="both"/>
      </w:pPr>
      <w:r>
        <w:t xml:space="preserve">The contemporary education system has come under growing scrutiny for its rigid institutional structure, standardised curriculum, and its overriding emphasis on certification rather than genuine learning. Students across the world are increasingly processed through systems that reward compliance and recall over curiosity, creativity, and character development. In response to these deep-rooted limitations, the Austrian philosopher Ivan Illich (1971) proposed the radical concept of </w:t>
      </w:r>
      <w:proofErr w:type="spellStart"/>
      <w:r>
        <w:t>deschooling</w:t>
      </w:r>
      <w:proofErr w:type="spellEnd"/>
      <w:r>
        <w:t xml:space="preserve"> — a fundamental reimagining of education that moves away from compulsory institutional schooling toward decentralised, self-directed, and community-embedded learning. Illich argued that schools, as currently structured, serve institutional interests far more than the interests of individual learners or society as a whole. Interestingly, many of the principles Illich articulated find a striking and largely unacknowledged parallel in the ancient Indian Gurukul system, which flourished centuries before modern schooling emerged. In the Gurukul tradition, students lived and learned alongside a wise teacher in a community setting, developing knowledge, character, and practical wisdom through direct engagement with life rather than through textbook instruction. This paper undertakes a critical conceptual analysis of the correlation between the Gurukul tradition and the </w:t>
      </w:r>
      <w:proofErr w:type="spellStart"/>
      <w:r>
        <w:t>deschooling</w:t>
      </w:r>
      <w:proofErr w:type="spellEnd"/>
      <w:r>
        <w:t xml:space="preserve"> philosophy. Through a systematic comparison of their foundational principles, pedagogical approaches, and social orientations, the study identifies significant areas of convergence — including experiential learning, the role of the teacher as guide rather than authority, the flexibility of the curriculum, and the centrality of community in the educational process. The paper also honestly acknowledges the points of divergence, particularly the Gurukul system’s historical limitations regarding caste and gender. Drawing on secondary sources including academic texts, philosophical works, and historical accounts, the study concludes that a thoughtful and inclusive integration of both models holds genuine promise for reforming contemporary education in ways that are more humane, flexible, and deeply meaningful.</w:t>
      </w:r>
    </w:p>
    <w:p w14:paraId="1F96E063" w14:textId="77777777" w:rsidR="0029683B" w:rsidRDefault="0029683B">
      <w:pPr>
        <w:spacing w:before="240" w:after="240"/>
      </w:pPr>
    </w:p>
    <w:p w14:paraId="7A2AF786" w14:textId="77777777" w:rsidR="0029683B" w:rsidRDefault="00000000">
      <w:pPr>
        <w:spacing w:before="240" w:after="240" w:line="240" w:lineRule="exact"/>
        <w:jc w:val="both"/>
      </w:pPr>
      <w:r>
        <w:rPr>
          <w:b/>
          <w:bCs/>
        </w:rPr>
        <w:t xml:space="preserve">Keywords: </w:t>
      </w:r>
      <w:r>
        <w:t xml:space="preserve">Gurukul System, </w:t>
      </w:r>
      <w:proofErr w:type="spellStart"/>
      <w:r>
        <w:t>Deschooling</w:t>
      </w:r>
      <w:proofErr w:type="spellEnd"/>
      <w:r>
        <w:t>, Alternative Education, Experiential Learning, Ivan Illich, Ancient Indian Education</w:t>
      </w:r>
    </w:p>
    <w:p w14:paraId="5D66CD68" w14:textId="77777777" w:rsidR="0029683B" w:rsidRDefault="0029683B">
      <w:pPr>
        <w:spacing w:before="240" w:after="240"/>
      </w:pPr>
    </w:p>
    <w:p w14:paraId="4BE30731" w14:textId="77777777" w:rsidR="0029683B" w:rsidRDefault="00000000">
      <w:pPr>
        <w:spacing w:before="240" w:after="240" w:line="240" w:lineRule="exact"/>
      </w:pPr>
      <w:r>
        <w:rPr>
          <w:b/>
          <w:bCs/>
          <w:sz w:val="28"/>
          <w:szCs w:val="28"/>
        </w:rPr>
        <w:t>INTRODUCTION</w:t>
      </w:r>
    </w:p>
    <w:p w14:paraId="5F97B8AB" w14:textId="77777777" w:rsidR="0029683B" w:rsidRDefault="00000000">
      <w:pPr>
        <w:spacing w:before="240" w:after="240" w:line="240" w:lineRule="exact"/>
        <w:jc w:val="both"/>
      </w:pPr>
      <w:r>
        <w:t>Education is among the most fundamental processes through which human societies reproduce knowledge, values, and culture across generations. Yet in the twenty-first century, the dominant model of formal schooling has attracted sustained and increasingly urgent criticism from educators, philosophers, sociologists, and social thinkers around the world. Critics argue that modern schools have steadily transformed into bureaucratic institutions that are more invested in producing compliant, certifiable workers than genuinely curious, empowered, and morally grounded human beings. Students are expected to sit passively in uniform classrooms, absorb standardised content delivered at a fixed pace, and demonstrate their learning through high-stakes examinations — a process that leaves almost no room for individual curiosity, creative exploration, or engagement with real community life.</w:t>
      </w:r>
    </w:p>
    <w:p w14:paraId="5A94581A" w14:textId="77777777" w:rsidR="0029683B" w:rsidRDefault="00000000">
      <w:pPr>
        <w:spacing w:before="240" w:after="240" w:line="240" w:lineRule="exact"/>
        <w:jc w:val="both"/>
      </w:pPr>
      <w:r>
        <w:t xml:space="preserve">The consequences of this model are becoming increasingly visible. Dropout rates remain persistently high in many parts of the world, particularly among economically marginalised communities. Students who do complete </w:t>
      </w:r>
      <w:r>
        <w:lastRenderedPageBreak/>
        <w:t>formal schooling often report feeling alienated from what they have learned, unable to connect their academic qualifications to meaningful participation in the social and economic life of their communities. A growing body of research in educational psychology suggests that intrinsic motivation — the desire to learn for its own sake — is systematically undermined by extrinsic reward structures such as grades, rankings, and certifications (Kumar, 2005). The result is a troubling paradox: societies are investing more resources in formal education than ever before, yet genuine learning, critical thinking, and civic engagement appear to be in decline.</w:t>
      </w:r>
    </w:p>
    <w:p w14:paraId="0804D170" w14:textId="77777777" w:rsidR="0029683B" w:rsidRDefault="00000000">
      <w:pPr>
        <w:spacing w:before="240" w:after="240" w:line="240" w:lineRule="exact"/>
        <w:jc w:val="both"/>
      </w:pPr>
      <w:r>
        <w:t xml:space="preserve">It was in this spirit of deep and principled critique that the Austrian-born philosopher and social critic Ivan Illich published his landmark work </w:t>
      </w:r>
      <w:proofErr w:type="spellStart"/>
      <w:r>
        <w:t>Deschooling</w:t>
      </w:r>
      <w:proofErr w:type="spellEnd"/>
      <w:r>
        <w:t xml:space="preserve"> Society in 1971. Illich argued passionately and provocatively that compulsory schooling was not merely ineffective but actively harmful to human development and social equality. In his analysis, schools created a pervasive culture of institutional dependence, devalued the rich informal knowledge embedded in communities and everyday life, and systematically reinforced the very social inequalities they claimed to address. His prescription was not incremental reform but a fundamental rethinking: to dismantle the compulsory schooling system in its current form and replace it with flexible, informal learning networks embedded in the everyday fabric of community life.</w:t>
      </w:r>
    </w:p>
    <w:p w14:paraId="3BE3700F" w14:textId="77777777" w:rsidR="0029683B" w:rsidRDefault="00000000">
      <w:pPr>
        <w:spacing w:before="240" w:after="240" w:line="240" w:lineRule="exact"/>
        <w:jc w:val="both"/>
      </w:pPr>
      <w:r>
        <w:t>What is less frequently acknowledged in Western educational discourse is that a remarkably similar vision of education had existed in India for thousands of years, long before modern institutional schooling was conceived. The Gurukul system, which flourished across the Indian subcontinent from roughly 1500 BCE through the early medieval period, embodied many of the principles that Illich would articulate centuries later: learning through direct experience, the teacher as guide and moral exemplar rather than authority and examiner, education embedded in community life, and a curriculum responsive to the individual needs and capacities of each learner. Understanding this parallel not only enriches our appreciation of both traditions but also opens up new possibilities for imagining what a genuinely reformed education system might look like.</w:t>
      </w:r>
    </w:p>
    <w:p w14:paraId="1F4EB609" w14:textId="77777777" w:rsidR="0029683B" w:rsidRDefault="00000000">
      <w:pPr>
        <w:spacing w:before="240" w:after="240" w:line="240" w:lineRule="exact"/>
        <w:jc w:val="both"/>
      </w:pPr>
      <w:r>
        <w:t xml:space="preserve">This paper explores the conceptual and philosophical correlation between the Gurukul tradition and the </w:t>
      </w:r>
      <w:proofErr w:type="spellStart"/>
      <w:r>
        <w:t>deschooling</w:t>
      </w:r>
      <w:proofErr w:type="spellEnd"/>
      <w:r>
        <w:t xml:space="preserve"> philosophy — one ancient and indigenous to India, the other a modern radical critique rooted in the Western intellectual tradition — in order to understand what insights both can collectively offer to contemporary education reform. The paper proceeds through a structured comparative analysis, identifying both the significant convergences and the important differences between the two traditions, before drawing conclusions about their combined relevance for educational policy and practice today.</w:t>
      </w:r>
    </w:p>
    <w:p w14:paraId="29AA2ECB" w14:textId="77777777" w:rsidR="0029683B" w:rsidRDefault="0029683B">
      <w:pPr>
        <w:spacing w:before="240" w:after="240"/>
      </w:pPr>
    </w:p>
    <w:p w14:paraId="00D1EC14" w14:textId="77777777" w:rsidR="0029683B" w:rsidRDefault="00000000">
      <w:pPr>
        <w:spacing w:before="240" w:after="240" w:line="240" w:lineRule="exact"/>
      </w:pPr>
      <w:r>
        <w:rPr>
          <w:b/>
          <w:bCs/>
          <w:sz w:val="28"/>
          <w:szCs w:val="28"/>
        </w:rPr>
        <w:t>METHODOLOGY</w:t>
      </w:r>
    </w:p>
    <w:p w14:paraId="105A75F0" w14:textId="77777777" w:rsidR="0029683B" w:rsidRDefault="00000000">
      <w:pPr>
        <w:spacing w:before="240" w:after="240" w:line="240" w:lineRule="exact"/>
        <w:jc w:val="both"/>
      </w:pPr>
      <w:r>
        <w:t xml:space="preserve">This study adopts a qualitative and conceptual research methodology, drawing on the traditions of comparative education and educational philosophy. Rather than collecting primary empirical data through surveys, interviews, or experiments, it constructs its analysis through a systematic and critical review of secondary sources. These include classical and historical texts relating to the Gurukul system, Illich’s original writings and subsequent scholarly commentary on </w:t>
      </w:r>
      <w:proofErr w:type="spellStart"/>
      <w:r>
        <w:t>deschooling</w:t>
      </w:r>
      <w:proofErr w:type="spellEnd"/>
      <w:r>
        <w:t xml:space="preserve"> theory, and contemporary academic literature on alternative and community-based education.</w:t>
      </w:r>
    </w:p>
    <w:p w14:paraId="796B3447" w14:textId="77777777" w:rsidR="0029683B" w:rsidRDefault="00000000">
      <w:pPr>
        <w:spacing w:before="240" w:after="240" w:line="240" w:lineRule="exact"/>
        <w:jc w:val="both"/>
      </w:pPr>
      <w:r>
        <w:t>The comparative framework applied in this paper examines both educational traditions along several carefully chosen dimensions: their underlying pedagogical philosophy, the nature of the teacher-student relationship, the role assigned to the community in the learning process, the approach to curriculum and content, the philosophy of assessment, and the broader social and ethical values that each tradition seeks to cultivate. This multi-dimensional framework allows for a nuanced and balanced comparison that avoids the trap of superficial similarity, while also resisting the temptation to exaggerate differences for rhetorical effect.</w:t>
      </w:r>
    </w:p>
    <w:p w14:paraId="20C18710" w14:textId="77777777" w:rsidR="0029683B" w:rsidRDefault="00000000">
      <w:pPr>
        <w:spacing w:before="240" w:after="240" w:line="240" w:lineRule="exact"/>
        <w:jc w:val="both"/>
      </w:pPr>
      <w:r>
        <w:t>Conceptual and comparative methodologies of this kind are well established in educational research, particularly in the fields of philosophy of education and history of education. They are especially appropriate when the object of study is a set of ideas, values, and educational visions rather than a measurable set of outcomes. The limitation of this approach is that it cannot substitute for empirical investigation of how these ideas have been implemented in practice; the paper therefore concludes with a call for further empirical research to complement the conceptual analysis undertaken here.</w:t>
      </w:r>
    </w:p>
    <w:p w14:paraId="3B67250A" w14:textId="77777777" w:rsidR="0029683B" w:rsidRDefault="0029683B">
      <w:pPr>
        <w:spacing w:before="240" w:after="240"/>
      </w:pPr>
    </w:p>
    <w:p w14:paraId="7F04BB42" w14:textId="77777777" w:rsidR="0029683B" w:rsidRDefault="00000000">
      <w:pPr>
        <w:spacing w:before="240" w:after="240" w:line="240" w:lineRule="exact"/>
      </w:pPr>
      <w:r>
        <w:rPr>
          <w:b/>
          <w:bCs/>
          <w:sz w:val="28"/>
          <w:szCs w:val="28"/>
        </w:rPr>
        <w:t>THE GURUKUL SYSTEM: HISTORICAL OVERVIEW</w:t>
      </w:r>
    </w:p>
    <w:p w14:paraId="7390CFE1" w14:textId="77777777" w:rsidR="0029683B" w:rsidRDefault="00000000">
      <w:pPr>
        <w:spacing w:before="240" w:after="240" w:line="240" w:lineRule="exact"/>
        <w:jc w:val="both"/>
      </w:pPr>
      <w:r>
        <w:lastRenderedPageBreak/>
        <w:t>The Gurukul system takes its name from two Sanskrit words: guru, meaning teacher or one who dispels darkness, and kula, meaning family or household. The name itself captures the essence of the institution: it was not a school in any modern sense, but a living household community centred on the relationship between a learned teacher and the students who came to live and learn in his care. The Gurukul system was the dominant model of formal education across the Indian subcontinent from approximately 1500 BCE, during the Vedic period, through the early medieval era, and it continued in modified forms well into the modern period in certain communities and regions.</w:t>
      </w:r>
    </w:p>
    <w:p w14:paraId="1583E327" w14:textId="77777777" w:rsidR="0029683B" w:rsidRDefault="00000000">
      <w:pPr>
        <w:spacing w:before="240" w:after="240" w:line="240" w:lineRule="exact"/>
        <w:jc w:val="both"/>
      </w:pPr>
      <w:r>
        <w:t>At the heart of the Gurukul arrangement was the residential relationship between the Guru and his shishyas. Young students, typically boys from families of the upper castes, would leave their homes at an early age — often between eight and twelve years old — and take up residence in the Guru’s ashram, which might be located in a forest, on the banks of a river, or at the edge of a village. They would remain there for many years, sometimes for as long as twelve or even twenty years, living as members of the Guru’s household, participating in all aspects of its daily life, and receiving instruction that was woven into the fabric of that life rather than separated from it into distinct lessons and timetables (Nanda, 2016).</w:t>
      </w:r>
    </w:p>
    <w:p w14:paraId="7FADFEBE" w14:textId="77777777" w:rsidR="0029683B" w:rsidRDefault="00000000">
      <w:pPr>
        <w:spacing w:before="240" w:after="240" w:line="240" w:lineRule="exact"/>
        <w:jc w:val="both"/>
      </w:pPr>
      <w:r>
        <w:t>The curriculum of the Gurukul was extraordinarily broad and integrated by modern standards. Students learned the Vedic scriptures and their associated commentaries; they studied mathematics, astronomy, and the natural sciences as understood in their time; they received instruction in philosophy, ethics, governance, and law; they learned music, poetry, and the arts; and they developed physical disciplines including wrestling, archery, and yoga. Crucially, these subjects were not taught as separate disciplines in isolated time slots. They were interwoven into the daily rhythms of the ashram, emerging naturally from the work, worship, conversation, and contemplation that constituted life in the Guru’s household. A student learning to tend the ashram’s cattle was simultaneously learning about the natural world, about responsibility and care, and about the practical knowledge that sustained the community (Sharma, 2015).</w:t>
      </w:r>
    </w:p>
    <w:p w14:paraId="5112CC56" w14:textId="77777777" w:rsidR="0029683B" w:rsidRDefault="00000000">
      <w:pPr>
        <w:spacing w:before="240" w:after="240" w:line="240" w:lineRule="exact"/>
        <w:jc w:val="both"/>
      </w:pPr>
      <w:r>
        <w:t>The Guru occupied a position of profound authority and deep personal responsibility in this system. He was not primarily an instructor who delivered content and assessed performance; he was a moral exemplar, a living embodiment of the values and knowledge he sought to transmit. His authority derived not from institutional certification or administrative appointment but from the depth of his own learning, the integrity of his character, and the trust that students and their families placed in him. The relationship between Guru and shishya was therefore intensely personal, deeply ethical, and understood to be lifelong. Assessment in the Gurukul was correspondingly qualitative and holistic: the Guru observed each student’s growth in understanding, character, and practical competence over time, determining when the student was ready to complete his studies through direct personal knowledge rather than through formal examination (Pathak, 2013).</w:t>
      </w:r>
    </w:p>
    <w:p w14:paraId="5935EF42" w14:textId="77777777" w:rsidR="0029683B" w:rsidRDefault="00000000">
      <w:pPr>
        <w:spacing w:before="240" w:after="240" w:line="240" w:lineRule="exact"/>
        <w:jc w:val="both"/>
      </w:pPr>
      <w:r>
        <w:t xml:space="preserve">It is important, however, to acknowledge the significant limitations and exclusions of the historical Gurukul system. Access to Gurukul education was largely restricted by caste and gender. Women were generally excluded from formal Gurukul learning, though there are historical accounts of exceptional women scholars in ancient India. Members of the lower castes were similarly excluded from the most prestigious forms of Gurukul education. These exclusions represent serious ethical failures that must be acknowledged frankly in any balanced assessment of the system, and they constitute an important point of contrast with the explicitly egalitarian vision of </w:t>
      </w:r>
      <w:proofErr w:type="spellStart"/>
      <w:r>
        <w:t>deschooling</w:t>
      </w:r>
      <w:proofErr w:type="spellEnd"/>
      <w:r>
        <w:t xml:space="preserve"> proposed by Illich.</w:t>
      </w:r>
    </w:p>
    <w:p w14:paraId="0528A606" w14:textId="77777777" w:rsidR="0029683B" w:rsidRDefault="0029683B">
      <w:pPr>
        <w:spacing w:before="240" w:after="240"/>
      </w:pPr>
    </w:p>
    <w:p w14:paraId="0375EF01" w14:textId="77777777" w:rsidR="0029683B" w:rsidRDefault="00000000">
      <w:pPr>
        <w:spacing w:before="240" w:after="240" w:line="240" w:lineRule="exact"/>
      </w:pPr>
      <w:r>
        <w:rPr>
          <w:b/>
          <w:bCs/>
          <w:sz w:val="28"/>
          <w:szCs w:val="28"/>
        </w:rPr>
        <w:t>THE CONCEPT OF DESCHOOLING</w:t>
      </w:r>
    </w:p>
    <w:p w14:paraId="5E5E9D07" w14:textId="77777777" w:rsidR="0029683B" w:rsidRDefault="00000000">
      <w:pPr>
        <w:spacing w:before="240" w:after="240" w:line="240" w:lineRule="exact"/>
        <w:jc w:val="both"/>
      </w:pPr>
      <w:r>
        <w:t xml:space="preserve">Ivan Illich’s </w:t>
      </w:r>
      <w:proofErr w:type="spellStart"/>
      <w:r>
        <w:t>deschooling</w:t>
      </w:r>
      <w:proofErr w:type="spellEnd"/>
      <w:r>
        <w:t xml:space="preserve"> philosophy, articulated most fully and provocatively in </w:t>
      </w:r>
      <w:proofErr w:type="spellStart"/>
      <w:r>
        <w:t>Deschooling</w:t>
      </w:r>
      <w:proofErr w:type="spellEnd"/>
      <w:r>
        <w:t xml:space="preserve"> Society (1971), begins from an observation about what schools actually do in modern societies, as distinct from what they claim to do. Illich observed that modern compulsory schooling has become the dominant institution through which societies define, control, and legitimise the very meaning of learning itself. By making school attendance compulsory and by tying social advancement — employment, social status, civic participation — to school-awarded credentials, modern societies had effectively created a situation in which any learning that did not happen within the school was considered informal, unofficial, and of lesser value. The rich informal learning embedded in families, communities, workplaces, and everyday social life had been systematically devalued and delegitimised.</w:t>
      </w:r>
    </w:p>
    <w:p w14:paraId="6EBB0110" w14:textId="77777777" w:rsidR="0029683B" w:rsidRDefault="00000000">
      <w:pPr>
        <w:spacing w:before="240" w:after="240" w:line="240" w:lineRule="exact"/>
        <w:jc w:val="both"/>
      </w:pPr>
      <w:r>
        <w:t xml:space="preserve">This process, Illich argued, had deeply damaging consequences for individuals and for society as a whole. At the individual level, it created what he called learned helplessness — a condition in which people ceased to trust their own capacity to learn from life and became dependent on institutional instruction for any knowledge they considered legitimate. Children who had grown up learning practical and social knowledge within their </w:t>
      </w:r>
      <w:r>
        <w:lastRenderedPageBreak/>
        <w:t>communities were taught to regard this knowledge as worthless compared to the certified content dispensed by the school. Their own curiosity, creativity, and capacity for self-directed learning were progressively undermined by the school’s insistence that knowledge must be packaged, delivered, and validated by an institutional authority (Illich, 1971).</w:t>
      </w:r>
    </w:p>
    <w:p w14:paraId="1724B5C1" w14:textId="77777777" w:rsidR="0029683B" w:rsidRDefault="00000000">
      <w:pPr>
        <w:spacing w:before="240" w:after="240" w:line="240" w:lineRule="exact"/>
        <w:jc w:val="both"/>
      </w:pPr>
      <w:r>
        <w:t>Illich did not advocate for ignorance or for a return to any romanticised pre-modern condition. On the contrary, he called for the liberation of learning from institutional captivity. He proposed replacing compulsory schools with what he called learning webs — informal, flexible networks through which people of all ages could connect with educational resources, with skilled and knowledgeable peers, and with opportunities for meaningful practice and application, driven by genuine curiosity and need rather than by compulsory attendance. In this vision, learning would be self-directed and lifelong, woven into the texture of everyday community life, rather than age-segregated, institution-bound, and credential-oriented.</w:t>
      </w:r>
    </w:p>
    <w:p w14:paraId="765D792A" w14:textId="77777777" w:rsidR="0029683B" w:rsidRDefault="00000000">
      <w:pPr>
        <w:spacing w:before="240" w:after="240" w:line="240" w:lineRule="exact"/>
        <w:jc w:val="both"/>
      </w:pPr>
      <w:r>
        <w:t>At the social level, Illich’s critique focused particularly on the role of schooling in reproducing and legitimising social inequality. He argued that compulsory schooling, despite its rhetoric of equal opportunity, systematically advantaged children from wealthy and educated families while systematically disadvantaging children from poor, rural, and culturally marginalised backgrounds. The school did not merely reflect existing social inequalities; it actively reproduced them, while simultaneously providing a powerful ideological justification for those inequalities by attributing success and failure to individual merit rather than to structural advantage (Kumar, 2005).</w:t>
      </w:r>
    </w:p>
    <w:p w14:paraId="7AFE281B" w14:textId="77777777" w:rsidR="0029683B" w:rsidRDefault="0029683B">
      <w:pPr>
        <w:spacing w:before="240" w:after="240"/>
      </w:pPr>
    </w:p>
    <w:p w14:paraId="03558AB9" w14:textId="77777777" w:rsidR="0029683B" w:rsidRDefault="00000000">
      <w:pPr>
        <w:spacing w:before="240" w:after="240" w:line="240" w:lineRule="exact"/>
      </w:pPr>
      <w:r>
        <w:rPr>
          <w:b/>
          <w:bCs/>
          <w:sz w:val="28"/>
          <w:szCs w:val="28"/>
        </w:rPr>
        <w:t>COMPARATIVE ANALYSIS: AREAS OF CONVERGENCE</w:t>
      </w:r>
    </w:p>
    <w:p w14:paraId="03B798E1" w14:textId="77777777" w:rsidR="0029683B" w:rsidRDefault="00000000">
      <w:pPr>
        <w:spacing w:before="240" w:after="240" w:line="240" w:lineRule="exact"/>
      </w:pPr>
      <w:r>
        <w:rPr>
          <w:b/>
          <w:bCs/>
        </w:rPr>
        <w:t>Experiential and Holistic Learning</w:t>
      </w:r>
    </w:p>
    <w:p w14:paraId="35708FA9" w14:textId="77777777" w:rsidR="0029683B" w:rsidRDefault="00000000">
      <w:pPr>
        <w:spacing w:before="240" w:after="240" w:line="240" w:lineRule="exact"/>
        <w:jc w:val="both"/>
      </w:pPr>
      <w:r>
        <w:t xml:space="preserve">Perhaps the deepest and most fundamental point of convergence between the Gurukul system and </w:t>
      </w:r>
      <w:proofErr w:type="spellStart"/>
      <w:r>
        <w:t>deschooling</w:t>
      </w:r>
      <w:proofErr w:type="spellEnd"/>
      <w:r>
        <w:t xml:space="preserve"> philosophy is their shared and unwavering commitment to experiential learning — the understanding that genuine knowledge arises primarily from direct, purposeful engagement with the world, rather than from the passive reception of abstracted information delivered by an institutional authority. In the Gurukul, this was not a pedagogical theory but a lived reality: students learned about agriculture by working in the fields alongside the Guru and his household; they learned about governance and social ethics by observing and participating in the Guru’s interactions with the wider community; they learned philosophy through extended, probing dialogue and sustained personal reflection. Knowledge was not something to be memorised and recalled on demand; it was something to be lived and tested in the crucible of daily experience.</w:t>
      </w:r>
    </w:p>
    <w:p w14:paraId="3A440868" w14:textId="77777777" w:rsidR="0029683B" w:rsidRDefault="00000000">
      <w:pPr>
        <w:spacing w:before="240" w:after="240" w:line="240" w:lineRule="exact"/>
        <w:jc w:val="both"/>
      </w:pPr>
      <w:r>
        <w:t>Ivan Illich articulated a strikingly parallel vision, though from a very different starting point. He argued that the most valuable and durable learning has always happened not in classrooms but in real contexts — in workshops and markets, in households and fields, in the informal conversations and collaborative problem-solving that characterise genuine community life. He pointed to the way traditional crafts, practical skills, and social knowledge had been transmitted for centuries through apprenticeship, mentorship, and communal participation, without any need for formal institutional mediation. The school, in his analysis, had not improved on these time-tested modes of learning; it had displaced them, substituting packaged instruction for genuine experience and institutional certification for real competence (Illich, 1971).</w:t>
      </w:r>
    </w:p>
    <w:p w14:paraId="5F035898" w14:textId="77777777" w:rsidR="0029683B" w:rsidRDefault="00000000">
      <w:pPr>
        <w:spacing w:before="240" w:after="240" w:line="240" w:lineRule="exact"/>
      </w:pPr>
      <w:r>
        <w:rPr>
          <w:b/>
          <w:bCs/>
        </w:rPr>
        <w:t>The Teacher as Guide and Moral Exemplar</w:t>
      </w:r>
    </w:p>
    <w:p w14:paraId="1E6A9EC1" w14:textId="77777777" w:rsidR="0029683B" w:rsidRDefault="00000000">
      <w:pPr>
        <w:spacing w:before="240" w:after="240" w:line="240" w:lineRule="exact"/>
        <w:jc w:val="both"/>
      </w:pPr>
      <w:r>
        <w:t xml:space="preserve">Both the Gurukul tradition and </w:t>
      </w:r>
      <w:proofErr w:type="spellStart"/>
      <w:r>
        <w:t>deschooling</w:t>
      </w:r>
      <w:proofErr w:type="spellEnd"/>
      <w:r>
        <w:t xml:space="preserve"> philosophy fundamentally challenge the conventional model of the teacher as the sole authority and source of legitimate knowledge in the educational relationship. In the Gurukul, the Guru’s authority derived not from institutional appointment or credential but from the depth and authenticity of his own learning and the quality of his character. He was understood not primarily as an instructor who delivered content but as a living model of the values, wisdom, and practices that education sought to cultivate. His central task was not to fill the student’s mind with information but to create the conditions — through example, through dialogue, through the demanding yet nurturing environment of the ashram — in which the student’s own intelligence, character, and sense of purpose could grow organically (Pathak, 2013).</w:t>
      </w:r>
    </w:p>
    <w:p w14:paraId="7B591C4A" w14:textId="77777777" w:rsidR="0029683B" w:rsidRDefault="00000000">
      <w:pPr>
        <w:spacing w:before="240" w:after="240" w:line="240" w:lineRule="exact"/>
        <w:jc w:val="both"/>
      </w:pPr>
      <w:r>
        <w:t xml:space="preserve">Illich’s vision of the educational relationship is remarkably consonant with this understanding. He proposed that the role of the teacher in a </w:t>
      </w:r>
      <w:proofErr w:type="spellStart"/>
      <w:r>
        <w:t>deschooled</w:t>
      </w:r>
      <w:proofErr w:type="spellEnd"/>
      <w:r>
        <w:t xml:space="preserve"> society should be that of a facilitator or resource person rather than an authority figure: someone who helps learners identify the resources and connections they need to pursue their own genuinely motivated inquiries, rather than someone who determines what all learners must know and evaluates their success in acquiring that predetermined content. This vision of the teacher as guide and enabler </w:t>
      </w:r>
      <w:r>
        <w:lastRenderedPageBreak/>
        <w:t>rather than instructor and examiner represents a profound challenge to the assumptions of conventional schooling, but it is entirely consistent with the Gurukul’s understanding of the Guru’s role.</w:t>
      </w:r>
    </w:p>
    <w:p w14:paraId="249F3C58" w14:textId="77777777" w:rsidR="0029683B" w:rsidRDefault="00000000">
      <w:pPr>
        <w:spacing w:before="240" w:after="240" w:line="240" w:lineRule="exact"/>
      </w:pPr>
      <w:r>
        <w:rPr>
          <w:b/>
          <w:bCs/>
        </w:rPr>
        <w:t>Community as the Medium of Education</w:t>
      </w:r>
    </w:p>
    <w:p w14:paraId="0BDAC062" w14:textId="77777777" w:rsidR="0029683B" w:rsidRDefault="00000000">
      <w:pPr>
        <w:spacing w:before="240" w:after="240" w:line="240" w:lineRule="exact"/>
        <w:jc w:val="both"/>
      </w:pPr>
      <w:r>
        <w:t xml:space="preserve">A third major point of convergence lies in the role both traditions assign to the community in the educational process. In modern institutional schooling, the community — the family, the neighbourhood, the local economy and culture — is largely excluded from the formal educational process. The school is a bounded, specialised institution that operates according to its own internal logic, and the knowledge it transmits is typically abstract and decontextualised, deliberately separated from the specific social and cultural contexts in which students actually live. Both the Gurukul and </w:t>
      </w:r>
      <w:proofErr w:type="spellStart"/>
      <w:r>
        <w:t>deschooling</w:t>
      </w:r>
      <w:proofErr w:type="spellEnd"/>
      <w:r>
        <w:t xml:space="preserve"> theory reject this separation as impoverishing and counterproductive.</w:t>
      </w:r>
    </w:p>
    <w:p w14:paraId="62131CDB" w14:textId="77777777" w:rsidR="0029683B" w:rsidRDefault="00000000">
      <w:pPr>
        <w:spacing w:before="240" w:after="240" w:line="240" w:lineRule="exact"/>
        <w:jc w:val="both"/>
      </w:pPr>
      <w:r>
        <w:t>In the Gurukul, the community was not a backdrop to education but its very medium. Students absorbed the values, practices, and social knowledge of their community through daily participation in the life of the ashram and its wider social network. Illich’s learning webs were similarly community-centred, proposing that education should be reconnected to the real social, economic, and cultural life of communities, drawing on the knowledge and skills of community members — craftspeople, farmers, artists, elders — as primary educational resources (Kumar, 2005).</w:t>
      </w:r>
    </w:p>
    <w:p w14:paraId="1246F2AD" w14:textId="77777777" w:rsidR="0029683B" w:rsidRDefault="00000000">
      <w:pPr>
        <w:spacing w:before="240" w:after="240" w:line="240" w:lineRule="exact"/>
      </w:pPr>
      <w:r>
        <w:rPr>
          <w:b/>
          <w:bCs/>
        </w:rPr>
        <w:t>Flexibility, Individualisation, and Learner-Centredness</w:t>
      </w:r>
    </w:p>
    <w:p w14:paraId="46D886A7" w14:textId="77777777" w:rsidR="0029683B" w:rsidRDefault="00000000">
      <w:pPr>
        <w:spacing w:before="240" w:after="240" w:line="240" w:lineRule="exact"/>
        <w:jc w:val="both"/>
      </w:pPr>
      <w:r>
        <w:t xml:space="preserve">Both the Gurukul system and </w:t>
      </w:r>
      <w:proofErr w:type="spellStart"/>
      <w:r>
        <w:t>deschooling</w:t>
      </w:r>
      <w:proofErr w:type="spellEnd"/>
      <w:r>
        <w:t xml:space="preserve"> philosophy share a strong resistance to the imposition of a standardised, uniform curriculum on all learners regardless of their individual differences, interests, and contexts. In the Gurukul, the pace, emphasis, and content of each student’s education were shaped by the Guru’s intimate knowledge of that individual student’s character, capacities, and emerging purposes. Two students in the same ashram might receive quite different educations, tailored to their distinct qualities and callings. There was no assumption that all students needed to learn the same things in the same order at the same speed. In </w:t>
      </w:r>
      <w:proofErr w:type="spellStart"/>
      <w:r>
        <w:t>deschooling</w:t>
      </w:r>
      <w:proofErr w:type="spellEnd"/>
      <w:r>
        <w:t xml:space="preserve"> theory, this individualisation is taken even further: Illich proposed that the learner’s own curiosity and self-identified needs should be the primary organising principle of education, rather than any externally imposed curriculum determined by educational authorities.</w:t>
      </w:r>
    </w:p>
    <w:p w14:paraId="7BB28A28" w14:textId="77777777" w:rsidR="0029683B" w:rsidRDefault="0029683B">
      <w:pPr>
        <w:spacing w:before="240" w:after="240"/>
      </w:pPr>
    </w:p>
    <w:p w14:paraId="0B6B2A67" w14:textId="77777777" w:rsidR="0029683B" w:rsidRDefault="00000000">
      <w:pPr>
        <w:spacing w:before="240" w:after="240" w:line="240" w:lineRule="exact"/>
      </w:pPr>
      <w:r>
        <w:rPr>
          <w:b/>
          <w:bCs/>
        </w:rPr>
        <w:t xml:space="preserve">Table 1. Comparative Overview of the Gurukul System and </w:t>
      </w:r>
      <w:proofErr w:type="spellStart"/>
      <w:r>
        <w:rPr>
          <w:b/>
          <w:bCs/>
        </w:rPr>
        <w:t>Deschooling</w:t>
      </w:r>
      <w:proofErr w:type="spellEnd"/>
      <w:r>
        <w:rPr>
          <w:b/>
          <w:bCs/>
        </w:rPr>
        <w:t xml:space="preserve"> Philosophy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4"/>
        <w:gridCol w:w="4171"/>
        <w:gridCol w:w="4171"/>
      </w:tblGrid>
      <w:tr w:rsidR="0029683B" w14:paraId="798232C8"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29466D4A" w14:textId="77777777" w:rsidR="0029683B" w:rsidRDefault="00000000">
            <w:r>
              <w:rPr>
                <w:b/>
                <w:bCs/>
              </w:rPr>
              <w:t>Dimension</w:t>
            </w:r>
          </w:p>
        </w:tc>
        <w:tc>
          <w:tcPr>
            <w:tcW w:w="4171"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0DDB6862" w14:textId="77777777" w:rsidR="0029683B" w:rsidRDefault="00000000">
            <w:r>
              <w:rPr>
                <w:b/>
                <w:bCs/>
              </w:rPr>
              <w:t>Gurukul System</w:t>
            </w:r>
          </w:p>
        </w:tc>
        <w:tc>
          <w:tcPr>
            <w:tcW w:w="4171"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3540296E" w14:textId="77777777" w:rsidR="0029683B" w:rsidRDefault="00000000">
            <w:proofErr w:type="spellStart"/>
            <w:r>
              <w:rPr>
                <w:b/>
                <w:bCs/>
              </w:rPr>
              <w:t>Deschooling</w:t>
            </w:r>
            <w:proofErr w:type="spellEnd"/>
            <w:r>
              <w:rPr>
                <w:b/>
                <w:bCs/>
              </w:rPr>
              <w:t xml:space="preserve"> Philosophy</w:t>
            </w:r>
          </w:p>
        </w:tc>
      </w:tr>
      <w:tr w:rsidR="0029683B" w14:paraId="5A7B3078"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12E309FC" w14:textId="77777777" w:rsidR="0029683B" w:rsidRDefault="00000000">
            <w:r>
              <w:t>Learning Approach</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B02CE9B" w14:textId="77777777" w:rsidR="0029683B" w:rsidRDefault="00000000">
            <w:r>
              <w:t>Experiential and holistic</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5BCE3C8" w14:textId="77777777" w:rsidR="0029683B" w:rsidRDefault="00000000">
            <w:r>
              <w:t>Self-directed and autonomous</w:t>
            </w:r>
          </w:p>
        </w:tc>
      </w:tr>
      <w:tr w:rsidR="0029683B" w14:paraId="4B146B23"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42FF4A01" w14:textId="77777777" w:rsidR="0029683B" w:rsidRDefault="00000000">
            <w:r>
              <w:t>Role of Teacher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6C6DD1B" w14:textId="77777777" w:rsidR="0029683B" w:rsidRDefault="00000000">
            <w:r>
              <w:t>Guru as guide and mentor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61D3F5C" w14:textId="77777777" w:rsidR="0029683B" w:rsidRDefault="00000000">
            <w:r>
              <w:t>Facilitator, not authority</w:t>
            </w:r>
          </w:p>
        </w:tc>
      </w:tr>
      <w:tr w:rsidR="0029683B" w14:paraId="008A54FA"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95EF8D3" w14:textId="77777777" w:rsidR="0029683B" w:rsidRDefault="00000000">
            <w:r>
              <w:t>Location</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B7CB20E" w14:textId="77777777" w:rsidR="0029683B" w:rsidRDefault="00000000">
            <w:r>
              <w:t>Forest or community ashram</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9C7C981" w14:textId="77777777" w:rsidR="0029683B" w:rsidRDefault="00000000">
            <w:r>
              <w:t>Society as learning space</w:t>
            </w:r>
          </w:p>
        </w:tc>
      </w:tr>
      <w:tr w:rsidR="0029683B" w14:paraId="606F94E6"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5EA98B7" w14:textId="77777777" w:rsidR="0029683B" w:rsidRDefault="00000000">
            <w:r>
              <w:t>Curriculum</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3F19088" w14:textId="77777777" w:rsidR="0029683B" w:rsidRDefault="00000000">
            <w:r>
              <w:t>Flexible, learner-centred</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5426D81" w14:textId="77777777" w:rsidR="0029683B" w:rsidRDefault="00000000">
            <w:r>
              <w:t>No fixed curriculum</w:t>
            </w:r>
          </w:p>
        </w:tc>
      </w:tr>
      <w:tr w:rsidR="0029683B" w14:paraId="77756078"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33B02DBF" w14:textId="77777777" w:rsidR="0029683B" w:rsidRDefault="00000000">
            <w:r>
              <w:t>Assessment</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8D7CB56" w14:textId="77777777" w:rsidR="0029683B" w:rsidRDefault="00000000">
            <w:r>
              <w:t>Practical demonstration</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9A058A4" w14:textId="77777777" w:rsidR="0029683B" w:rsidRDefault="00000000">
            <w:r>
              <w:t>Mastery-based, not exams</w:t>
            </w:r>
          </w:p>
        </w:tc>
      </w:tr>
      <w:tr w:rsidR="0029683B" w14:paraId="18658193"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D02D413" w14:textId="77777777" w:rsidR="0029683B" w:rsidRDefault="00000000">
            <w:r>
              <w:t>Values Emphasis</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08EE01B" w14:textId="77777777" w:rsidR="0029683B" w:rsidRDefault="00000000">
            <w:r>
              <w:t>Dharma, ethics, character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4382162" w14:textId="77777777" w:rsidR="0029683B" w:rsidRDefault="00000000">
            <w:r>
              <w:t>Personal freedom, social equity</w:t>
            </w:r>
          </w:p>
        </w:tc>
      </w:tr>
      <w:tr w:rsidR="0029683B" w14:paraId="5417D90B" w14:textId="77777777">
        <w:tblPrEx>
          <w:tblCellMar>
            <w:top w:w="0" w:type="dxa"/>
            <w:bottom w:w="0" w:type="dxa"/>
          </w:tblCellMar>
        </w:tblPrEx>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9289722" w14:textId="77777777" w:rsidR="0029683B" w:rsidRDefault="00000000">
            <w:r>
              <w:t>Community Role</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53AA5B3" w14:textId="77777777" w:rsidR="0029683B" w:rsidRDefault="00000000">
            <w:r>
              <w:t>Central – village and guru family</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5F3C6A0" w14:textId="77777777" w:rsidR="0029683B" w:rsidRDefault="00000000">
            <w:r>
              <w:t>Central – peer networks</w:t>
            </w:r>
          </w:p>
        </w:tc>
      </w:tr>
    </w:tbl>
    <w:p w14:paraId="31EE4A92" w14:textId="77777777" w:rsidR="0029683B" w:rsidRDefault="0029683B">
      <w:pPr>
        <w:spacing w:before="240" w:after="240"/>
      </w:pPr>
    </w:p>
    <w:p w14:paraId="1DAF9922" w14:textId="77777777" w:rsidR="0029683B" w:rsidRDefault="00000000">
      <w:pPr>
        <w:spacing w:before="240" w:after="240" w:line="240" w:lineRule="exact"/>
      </w:pPr>
      <w:r>
        <w:rPr>
          <w:b/>
          <w:bCs/>
          <w:sz w:val="28"/>
          <w:szCs w:val="28"/>
        </w:rPr>
        <w:t>POINTS OF DIVERGENCE</w:t>
      </w:r>
    </w:p>
    <w:p w14:paraId="74927BE0" w14:textId="77777777" w:rsidR="0029683B" w:rsidRDefault="00000000">
      <w:pPr>
        <w:spacing w:before="240" w:after="240" w:line="240" w:lineRule="exact"/>
        <w:jc w:val="both"/>
      </w:pPr>
      <w:r>
        <w:t xml:space="preserve">A balanced and intellectually honest comparison of the Gurukul system and </w:t>
      </w:r>
      <w:proofErr w:type="spellStart"/>
      <w:r>
        <w:t>deschooling</w:t>
      </w:r>
      <w:proofErr w:type="spellEnd"/>
      <w:r>
        <w:t xml:space="preserve"> philosophy must also acknowledge the significant differences between them. These differences are not merely incidental; they reflect deep divergences in historical context, social vision, and ethical orientation that cannot be glossed over in the interest of a tidy argument for synthesis.</w:t>
      </w:r>
    </w:p>
    <w:p w14:paraId="32A72801" w14:textId="77777777" w:rsidR="0029683B" w:rsidRDefault="00000000">
      <w:pPr>
        <w:spacing w:before="240" w:after="240" w:line="240" w:lineRule="exact"/>
        <w:jc w:val="both"/>
      </w:pPr>
      <w:r>
        <w:lastRenderedPageBreak/>
        <w:t>The most serious and consequential difference concerns social inclusion and equity. The Gurukul system, as it was historically practised, was a deeply exclusionary institution. Access to formal Gurukul education was largely restricted to boys from the upper castes while women and members of the lower castes and communities outside the varna system were routinely denied access to the highest forms of learning. This exclusion was not an incidental feature of the Gurukul but was encoded in the social and religious structure of the society that sustained it. For the vast majority of India’s population, the wisdom and learning of the Gurukul were simply not available (Pathak, 2013).</w:t>
      </w:r>
    </w:p>
    <w:p w14:paraId="51B669EE" w14:textId="77777777" w:rsidR="0029683B" w:rsidRDefault="00000000">
      <w:pPr>
        <w:spacing w:before="240" w:after="240" w:line="240" w:lineRule="exact"/>
        <w:jc w:val="both"/>
      </w:pPr>
      <w:proofErr w:type="spellStart"/>
      <w:r>
        <w:t>Deschooling</w:t>
      </w:r>
      <w:proofErr w:type="spellEnd"/>
      <w:r>
        <w:t xml:space="preserve"> philosophy, by contrast, is explicitly and fundamentally egalitarian in its orientation. Illich’s critique of compulsory schooling was directed precisely at its role in reproducing and legitimising social inequality. His proposed alternative — open, community-based learning webs accessible to all — was designed to democratise access to knowledge and skill, breaking down the barriers of class, credential, and institutional gatekeeping that concentrated educational resources in the hands of the privileged. Illich would almost certainly have viewed the historical exclusions of the Gurukul system as deeply problematic, even while admiring its pedagogical principles (Illich, 1971).</w:t>
      </w:r>
    </w:p>
    <w:p w14:paraId="5E0AB8CF" w14:textId="77777777" w:rsidR="0029683B" w:rsidRDefault="00000000">
      <w:pPr>
        <w:spacing w:before="240" w:after="240" w:line="240" w:lineRule="exact"/>
        <w:jc w:val="both"/>
      </w:pPr>
      <w:r>
        <w:t>A second important difference lies in the nature and scope of authority within each tradition. The Gurukul placed enormous personal authority in the hands of the individual Guru. While this authority was typically exercised with genuine concern for the student’s wellbeing, it was also essentially unquestioned and unchecked by any external standard or institutional accountability. Illich’s vision, by contrast, was fundamentally suspicious of concentrated educational authority in any form, whether institutional or personal, and placed the autonomy and self-direction of the individual learner at the very centre of the educational process.</w:t>
      </w:r>
    </w:p>
    <w:p w14:paraId="5C60C5DF" w14:textId="77777777" w:rsidR="0029683B" w:rsidRDefault="0029683B">
      <w:pPr>
        <w:spacing w:before="240" w:after="240"/>
      </w:pPr>
    </w:p>
    <w:p w14:paraId="0793F2B4" w14:textId="77777777" w:rsidR="0029683B" w:rsidRDefault="00000000">
      <w:pPr>
        <w:spacing w:before="240" w:after="240" w:line="240" w:lineRule="exact"/>
      </w:pPr>
      <w:r>
        <w:rPr>
          <w:b/>
          <w:bCs/>
          <w:sz w:val="28"/>
          <w:szCs w:val="28"/>
        </w:rPr>
        <w:t>DISCUSSION</w:t>
      </w:r>
    </w:p>
    <w:p w14:paraId="51D28C13" w14:textId="77777777" w:rsidR="0029683B" w:rsidRDefault="00000000">
      <w:pPr>
        <w:spacing w:before="240" w:after="240" w:line="240" w:lineRule="exact"/>
        <w:jc w:val="both"/>
      </w:pPr>
      <w:r>
        <w:t xml:space="preserve">The comparative analysis undertaken in this paper reveals a remarkable and largely unexplored structural affinity between two educational traditions that arose in very different historical and cultural contexts. The Gurukul system of ancient India and Ivan Illich’s </w:t>
      </w:r>
      <w:proofErr w:type="spellStart"/>
      <w:r>
        <w:t>deschooling</w:t>
      </w:r>
      <w:proofErr w:type="spellEnd"/>
      <w:r>
        <w:t xml:space="preserve"> philosophy share a set of foundational convictions about the nature of genuine learning and the conditions under which it flourishes. Both treat the living, experienced world as the primary curriculum. Both understand the teacher as a guide, mentor, and moral exemplar rather than an institutional authority. Both place the community at the heart of the educational process. Both insist on flexibility, individualisation, and genuine respect for the learner’s own capacities and interests. And both are deeply sceptical of the reduction of learning to standardised, certifiable outcomes.</w:t>
      </w:r>
    </w:p>
    <w:p w14:paraId="1554A6F2" w14:textId="77777777" w:rsidR="0029683B" w:rsidRDefault="00000000">
      <w:pPr>
        <w:spacing w:before="240" w:after="240" w:line="240" w:lineRule="exact"/>
        <w:jc w:val="both"/>
      </w:pPr>
      <w:r>
        <w:t xml:space="preserve">These shared features are not coincidental. They reflect a convergent insight, arrived at independently across vastly different centuries and cultures, about the fundamental nature of human learning. Human beings are not passive recipients of information; they are active meaning-makers who learn most effectively when they are genuinely motivated, when their learning is connected to real experience and real social relationships, and when they are treated as individuals with unique capacities and purposes rather than as interchangeable units to be processed through a uniform system. Both the Gurukul and </w:t>
      </w:r>
      <w:proofErr w:type="spellStart"/>
      <w:r>
        <w:t>deschooling</w:t>
      </w:r>
      <w:proofErr w:type="spellEnd"/>
      <w:r>
        <w:t xml:space="preserve"> theory are, at their deepest level, expressions of this insight — and the fact that it has been arrived at independently in such different contexts gives it a particular kind of authority and weight.</w:t>
      </w:r>
    </w:p>
    <w:p w14:paraId="6B9556EC" w14:textId="77777777" w:rsidR="0029683B" w:rsidRDefault="00000000">
      <w:pPr>
        <w:spacing w:before="240" w:after="240" w:line="240" w:lineRule="exact"/>
        <w:jc w:val="both"/>
      </w:pPr>
      <w:r>
        <w:t xml:space="preserve">For contemporary education policy and practice, this convergence carries significant and practical implications. It suggests that the growing movement toward more flexible, experiential, and community-based forms of education — evident in the rapid growth of home education, democratic schooling, project-based learning, and community learning centre movements around the world — is not a rejection of educational tradition but a recovery of something deeply and broadly embedded in human educational wisdom. Policymakers and educators who are open to drawing on diverse educational traditions, including indigenous and non-Western ones, will find in both the Gurukul and </w:t>
      </w:r>
      <w:proofErr w:type="spellStart"/>
      <w:r>
        <w:t>deschooling</w:t>
      </w:r>
      <w:proofErr w:type="spellEnd"/>
      <w:r>
        <w:t xml:space="preserve"> theory rich resources for imagining genuinely transformative alternatives to the limitations of conventional institutional schooling.</w:t>
      </w:r>
    </w:p>
    <w:p w14:paraId="5B3480BD" w14:textId="77777777" w:rsidR="0029683B" w:rsidRDefault="00000000">
      <w:pPr>
        <w:spacing w:before="240" w:after="240" w:line="240" w:lineRule="exact"/>
        <w:jc w:val="both"/>
      </w:pPr>
      <w:r>
        <w:t xml:space="preserve">At the same time, the divergences identified in this paper serve as important cautions. Any attempt to draw on the Gurukul tradition as a resource for educational reform must grapple honestly and seriously with its historical exclusions. A reformed educational model that draws inspiration from the Gurukul’s pedagogical strengths while reproducing its caste and gender exclusions would be not a reform but a regression. The </w:t>
      </w:r>
      <w:proofErr w:type="spellStart"/>
      <w:r>
        <w:t>deschooling</w:t>
      </w:r>
      <w:proofErr w:type="spellEnd"/>
      <w:r>
        <w:t xml:space="preserve"> philosophy’s insistence on equity and universal access must be understood as a non-negotiable condition for any legitimate synthesis of these two traditions.</w:t>
      </w:r>
    </w:p>
    <w:p w14:paraId="083BA6CF" w14:textId="77777777" w:rsidR="0029683B" w:rsidRDefault="0029683B">
      <w:pPr>
        <w:spacing w:before="240" w:after="240"/>
      </w:pPr>
    </w:p>
    <w:p w14:paraId="737B05FF" w14:textId="77777777" w:rsidR="0029683B" w:rsidRDefault="00000000">
      <w:pPr>
        <w:spacing w:before="240" w:after="240" w:line="240" w:lineRule="exact"/>
      </w:pPr>
      <w:r>
        <w:rPr>
          <w:b/>
          <w:bCs/>
          <w:sz w:val="28"/>
          <w:szCs w:val="28"/>
        </w:rPr>
        <w:lastRenderedPageBreak/>
        <w:t>CONCLUSION</w:t>
      </w:r>
    </w:p>
    <w:p w14:paraId="51A20DAF" w14:textId="77777777" w:rsidR="0029683B" w:rsidRDefault="00000000">
      <w:pPr>
        <w:spacing w:before="240" w:after="240" w:line="240" w:lineRule="exact"/>
        <w:jc w:val="both"/>
      </w:pPr>
      <w:r>
        <w:t xml:space="preserve">This paper has argued that the ancient Indian Gurukul system and Ivan Illich’s </w:t>
      </w:r>
      <w:proofErr w:type="spellStart"/>
      <w:r>
        <w:t>deschooling</w:t>
      </w:r>
      <w:proofErr w:type="spellEnd"/>
      <w:r>
        <w:t xml:space="preserve"> philosophy share a remarkable and instructive set of foundational principles, despite their vastly different origins in time, place, and cultural tradition. Both traditions privilege experiential learning over passive instruction; both understand the teacher as a guide and facilitator rather than an authority and examiner; both embed education firmly within the life of the community; and both insist on flexibility, individualisation, and genuine respect for the learner’s own intelligence and interests. These convergences suggest that the critique of rigid, institutionalised, credential-driven schooling is not merely a modern Western preoccupation but a recurrent theme in human reflection on education across cultures and centuries.</w:t>
      </w:r>
    </w:p>
    <w:p w14:paraId="50F3CAC4" w14:textId="77777777" w:rsidR="0029683B" w:rsidRDefault="00000000">
      <w:pPr>
        <w:spacing w:before="240" w:after="240" w:line="240" w:lineRule="exact"/>
        <w:jc w:val="both"/>
      </w:pPr>
      <w:r>
        <w:t xml:space="preserve">A hybrid educational model that draws thoughtfully and critically on both traditions — retaining the Gurukul’s emphasis on character formation, mentorship, integrated and contextualised knowledge, and the cultivation of a relationship between teacher and learner that goes beyond mere instruction, while incorporating </w:t>
      </w:r>
      <w:proofErr w:type="spellStart"/>
      <w:r>
        <w:t>deschooling’s</w:t>
      </w:r>
      <w:proofErr w:type="spellEnd"/>
      <w:r>
        <w:t xml:space="preserve"> commitment to equity, individual autonomy, social critique, and universal access — could offer a genuinely transformative alternative to the limitations of contemporary mainstream schooling. Such a model would need to be explicitly and actively committed to addressing the historical exclusions embedded in the Gurukul tradition, ensuring that its proven pedagogical strengths are made available to all learners regardless of gender, caste, class, or social background.</w:t>
      </w:r>
    </w:p>
    <w:p w14:paraId="33B69307" w14:textId="77777777" w:rsidR="0029683B" w:rsidRDefault="00000000">
      <w:pPr>
        <w:spacing w:before="240" w:after="240" w:line="240" w:lineRule="exact"/>
        <w:jc w:val="both"/>
      </w:pPr>
      <w:r>
        <w:t xml:space="preserve">The implications of this analysis extend beyond the Indian context. At a time when educational systems around the world are grappling with crises of relevance, equity, and meaning, the convergent wisdom of the Gurukul and </w:t>
      </w:r>
      <w:proofErr w:type="spellStart"/>
      <w:r>
        <w:t>deschooling</w:t>
      </w:r>
      <w:proofErr w:type="spellEnd"/>
      <w:r>
        <w:t xml:space="preserve"> traditions offers a valuable set of principles for reimagining what education can and should be. Further empirical research — particularly qualitative case studies of contemporary educational initiatives that draw consciously on indigenous and alternative pedagogical traditions, including community learning centres, democratic schools, and gurukul-inspired residential programmes — would be valuable in testing the practical viability of these principles in diverse social and institutional contexts.</w:t>
      </w:r>
    </w:p>
    <w:p w14:paraId="7E333481" w14:textId="77777777" w:rsidR="0029683B" w:rsidRDefault="0029683B">
      <w:pPr>
        <w:spacing w:before="240" w:after="240"/>
      </w:pPr>
    </w:p>
    <w:p w14:paraId="0D722537" w14:textId="77777777" w:rsidR="0029683B" w:rsidRDefault="00000000">
      <w:pPr>
        <w:spacing w:before="240" w:after="240" w:line="240" w:lineRule="exact"/>
      </w:pPr>
      <w:r>
        <w:rPr>
          <w:b/>
          <w:bCs/>
          <w:sz w:val="28"/>
          <w:szCs w:val="28"/>
        </w:rPr>
        <w:t>ETHICAL CONSIDERATIONS</w:t>
      </w:r>
    </w:p>
    <w:p w14:paraId="6F0A5544" w14:textId="77777777" w:rsidR="0029683B" w:rsidRDefault="00000000">
      <w:pPr>
        <w:spacing w:before="240" w:after="240" w:line="240" w:lineRule="exact"/>
        <w:jc w:val="both"/>
      </w:pPr>
      <w:r>
        <w:t>This study is based entirely on secondary sources, including published academic texts, philosophical works, and historical accounts. No primary data collection involving human subjects or animals was undertaken. Accordingly, formal ethical approval was not required for this research.</w:t>
      </w:r>
    </w:p>
    <w:p w14:paraId="7A760AEF" w14:textId="77777777" w:rsidR="0029683B" w:rsidRDefault="00000000">
      <w:pPr>
        <w:spacing w:before="240" w:after="240" w:line="240" w:lineRule="exact"/>
      </w:pPr>
      <w:r>
        <w:rPr>
          <w:b/>
          <w:bCs/>
          <w:sz w:val="28"/>
          <w:szCs w:val="28"/>
        </w:rPr>
        <w:t>CONFLICT OF INTEREST</w:t>
      </w:r>
    </w:p>
    <w:p w14:paraId="1D8E6F22" w14:textId="77777777" w:rsidR="0029683B" w:rsidRDefault="00000000">
      <w:pPr>
        <w:spacing w:before="240" w:after="240" w:line="240" w:lineRule="exact"/>
        <w:jc w:val="both"/>
      </w:pPr>
      <w:r>
        <w:t>The author declares no conflict of interest in connection with this research.</w:t>
      </w:r>
    </w:p>
    <w:p w14:paraId="7C4A2C03" w14:textId="77777777" w:rsidR="0029683B" w:rsidRDefault="00000000">
      <w:pPr>
        <w:spacing w:before="240" w:after="240" w:line="240" w:lineRule="exact"/>
      </w:pPr>
      <w:r>
        <w:rPr>
          <w:b/>
          <w:bCs/>
          <w:sz w:val="28"/>
          <w:szCs w:val="28"/>
        </w:rPr>
        <w:t>DATA AVAILABILITY</w:t>
      </w:r>
    </w:p>
    <w:p w14:paraId="448765ED" w14:textId="77777777" w:rsidR="0029683B" w:rsidRDefault="00000000">
      <w:pPr>
        <w:spacing w:before="240" w:after="240" w:line="240" w:lineRule="exact"/>
        <w:jc w:val="both"/>
      </w:pPr>
      <w:r>
        <w:t>This study does not involve any primary datasets. All sources referenced in this paper are publicly available through academic libraries and standard bibliographic databases. No additional data were generated or analysed in support of this research.</w:t>
      </w:r>
    </w:p>
    <w:p w14:paraId="195E123C" w14:textId="77777777" w:rsidR="0029683B" w:rsidRDefault="00000000">
      <w:pPr>
        <w:spacing w:before="240" w:after="240" w:line="240" w:lineRule="exact"/>
      </w:pPr>
      <w:r>
        <w:rPr>
          <w:b/>
          <w:bCs/>
          <w:sz w:val="28"/>
          <w:szCs w:val="28"/>
        </w:rPr>
        <w:t>ACKNOWLEDGEMENTS</w:t>
      </w:r>
    </w:p>
    <w:p w14:paraId="48EE592B" w14:textId="77777777" w:rsidR="0029683B" w:rsidRDefault="00000000">
      <w:pPr>
        <w:spacing w:before="240" w:after="240" w:line="240" w:lineRule="exact"/>
        <w:jc w:val="both"/>
      </w:pPr>
      <w:r>
        <w:t>The author gratefully acknowledges the support of the Department of Commerce, Bareilly College, MJP Rohilkhand University, Bareilly, India.</w:t>
      </w:r>
    </w:p>
    <w:p w14:paraId="7ADFAA7F" w14:textId="77777777" w:rsidR="0029683B" w:rsidRDefault="0029683B">
      <w:pPr>
        <w:spacing w:before="240" w:after="240"/>
      </w:pPr>
    </w:p>
    <w:p w14:paraId="719CCF35" w14:textId="77777777" w:rsidR="0029683B" w:rsidRDefault="00000000">
      <w:pPr>
        <w:spacing w:before="240" w:after="240" w:line="240" w:lineRule="exact"/>
      </w:pPr>
      <w:r>
        <w:rPr>
          <w:b/>
          <w:bCs/>
          <w:sz w:val="28"/>
          <w:szCs w:val="28"/>
        </w:rPr>
        <w:t>REFERENCES</w:t>
      </w:r>
    </w:p>
    <w:p w14:paraId="27C614DF" w14:textId="77777777" w:rsidR="0029683B" w:rsidRDefault="00000000">
      <w:pPr>
        <w:spacing w:before="240" w:after="240" w:line="240" w:lineRule="exact"/>
        <w:ind w:left="720" w:hanging="720"/>
      </w:pPr>
      <w:r>
        <w:t xml:space="preserve">1.  Illich, I. (1971). </w:t>
      </w:r>
      <w:proofErr w:type="spellStart"/>
      <w:r>
        <w:t>Deschooling</w:t>
      </w:r>
      <w:proofErr w:type="spellEnd"/>
      <w:r>
        <w:t xml:space="preserve"> society. Harper &amp; Row.</w:t>
      </w:r>
    </w:p>
    <w:p w14:paraId="751B8926" w14:textId="77777777" w:rsidR="0029683B" w:rsidRDefault="00000000">
      <w:pPr>
        <w:spacing w:before="240" w:after="240" w:line="240" w:lineRule="exact"/>
        <w:ind w:left="720" w:hanging="720"/>
      </w:pPr>
      <w:r>
        <w:t>2.  Kumar, K. (2005). Political agenda of education: A study of colonialist and nationalist ideas. Sage Publications.</w:t>
      </w:r>
    </w:p>
    <w:p w14:paraId="3C69645A" w14:textId="77777777" w:rsidR="0029683B" w:rsidRDefault="00000000">
      <w:pPr>
        <w:spacing w:before="240" w:after="240" w:line="240" w:lineRule="exact"/>
        <w:ind w:left="720" w:hanging="720"/>
      </w:pPr>
      <w:r>
        <w:t>3.  Nanda, M. (2016). Education in ancient India. Oxford University Press.</w:t>
      </w:r>
    </w:p>
    <w:p w14:paraId="323B99C0" w14:textId="77777777" w:rsidR="0029683B" w:rsidRDefault="00000000">
      <w:pPr>
        <w:spacing w:before="240" w:after="240" w:line="240" w:lineRule="exact"/>
        <w:ind w:left="720" w:hanging="720"/>
      </w:pPr>
      <w:r>
        <w:lastRenderedPageBreak/>
        <w:t>4.  Pathak, R. P. (2013). Philosophical and sociological perspectives of education. Pearson.</w:t>
      </w:r>
    </w:p>
    <w:p w14:paraId="33863869" w14:textId="77777777" w:rsidR="0029683B" w:rsidRDefault="00000000">
      <w:pPr>
        <w:spacing w:before="240" w:after="240" w:line="240" w:lineRule="exact"/>
        <w:ind w:left="720" w:hanging="720"/>
      </w:pPr>
      <w:r>
        <w:t>5.  Sharma, R. (2015). Ancient Indian education system. Publications Division, Government of India.</w:t>
      </w:r>
    </w:p>
    <w:sectPr w:rsidR="0029683B">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24F4B"/>
    <w:multiLevelType w:val="hybridMultilevel"/>
    <w:tmpl w:val="901E5566"/>
    <w:lvl w:ilvl="0" w:tplc="82740BAA">
      <w:start w:val="1"/>
      <w:numFmt w:val="bullet"/>
      <w:lvlText w:val="●"/>
      <w:lvlJc w:val="left"/>
      <w:pPr>
        <w:ind w:left="720" w:hanging="360"/>
      </w:pPr>
    </w:lvl>
    <w:lvl w:ilvl="1" w:tplc="D180CFA2">
      <w:start w:val="1"/>
      <w:numFmt w:val="bullet"/>
      <w:lvlText w:val="○"/>
      <w:lvlJc w:val="left"/>
      <w:pPr>
        <w:ind w:left="1440" w:hanging="360"/>
      </w:pPr>
    </w:lvl>
    <w:lvl w:ilvl="2" w:tplc="337A2D86">
      <w:start w:val="1"/>
      <w:numFmt w:val="bullet"/>
      <w:lvlText w:val="■"/>
      <w:lvlJc w:val="left"/>
      <w:pPr>
        <w:ind w:left="2160" w:hanging="360"/>
      </w:pPr>
    </w:lvl>
    <w:lvl w:ilvl="3" w:tplc="BD1088D0">
      <w:start w:val="1"/>
      <w:numFmt w:val="bullet"/>
      <w:lvlText w:val="●"/>
      <w:lvlJc w:val="left"/>
      <w:pPr>
        <w:ind w:left="2880" w:hanging="360"/>
      </w:pPr>
    </w:lvl>
    <w:lvl w:ilvl="4" w:tplc="2AAC85F4">
      <w:start w:val="1"/>
      <w:numFmt w:val="bullet"/>
      <w:lvlText w:val="○"/>
      <w:lvlJc w:val="left"/>
      <w:pPr>
        <w:ind w:left="3600" w:hanging="360"/>
      </w:pPr>
    </w:lvl>
    <w:lvl w:ilvl="5" w:tplc="43BE2ED8">
      <w:start w:val="1"/>
      <w:numFmt w:val="bullet"/>
      <w:lvlText w:val="■"/>
      <w:lvlJc w:val="left"/>
      <w:pPr>
        <w:ind w:left="4320" w:hanging="360"/>
      </w:pPr>
    </w:lvl>
    <w:lvl w:ilvl="6" w:tplc="8EF0019A">
      <w:start w:val="1"/>
      <w:numFmt w:val="bullet"/>
      <w:lvlText w:val="●"/>
      <w:lvlJc w:val="left"/>
      <w:pPr>
        <w:ind w:left="5040" w:hanging="360"/>
      </w:pPr>
    </w:lvl>
    <w:lvl w:ilvl="7" w:tplc="E294D304">
      <w:start w:val="1"/>
      <w:numFmt w:val="bullet"/>
      <w:lvlText w:val="●"/>
      <w:lvlJc w:val="left"/>
      <w:pPr>
        <w:ind w:left="5760" w:hanging="360"/>
      </w:pPr>
    </w:lvl>
    <w:lvl w:ilvl="8" w:tplc="CBF04B5A">
      <w:start w:val="1"/>
      <w:numFmt w:val="bullet"/>
      <w:lvlText w:val="●"/>
      <w:lvlJc w:val="left"/>
      <w:pPr>
        <w:ind w:left="6480" w:hanging="360"/>
      </w:pPr>
    </w:lvl>
  </w:abstractNum>
  <w:num w:numId="1" w16cid:durableId="2049908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3B"/>
    <w:rsid w:val="00027872"/>
    <w:rsid w:val="0029683B"/>
    <w:rsid w:val="003A6A3D"/>
    <w:rsid w:val="00B3722B"/>
    <w:rsid w:val="00FC0B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E6CC"/>
  <w15:docId w15:val="{19A5ACE8-2315-473B-89D3-59300718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4655</Words>
  <Characters>26540</Characters>
  <Application>Microsoft Office Word</Application>
  <DocSecurity>0</DocSecurity>
  <Lines>221</Lines>
  <Paragraphs>62</Paragraphs>
  <ScaleCrop>false</ScaleCrop>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2026-03-23T13:52:00Z</dcterms:created>
  <dcterms:modified xsi:type="dcterms:W3CDTF">2026-03-23T13:52:00Z</dcterms:modified>
</cp:coreProperties>
</file>