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FE8B" w14:textId="77777777" w:rsidR="0024280A" w:rsidRDefault="0024280A" w:rsidP="007142C9">
      <w:pPr>
        <w:jc w:val="center"/>
        <w:rPr>
          <w:b/>
          <w:sz w:val="28"/>
        </w:rPr>
      </w:pPr>
      <w:r w:rsidRPr="0024280A">
        <w:rPr>
          <w:b/>
          <w:sz w:val="28"/>
        </w:rPr>
        <w:t>Teaching Linguistic Variation through Early and Modern Albanian Religious Texts: Students’ Perceptions and a Text-Based Pedagogical Mode</w:t>
      </w:r>
      <w:r>
        <w:rPr>
          <w:b/>
          <w:sz w:val="28"/>
        </w:rPr>
        <w:t>l</w:t>
      </w:r>
    </w:p>
    <w:p w14:paraId="63CF98B3" w14:textId="2FFAC0AC" w:rsidR="007142C9" w:rsidRDefault="007142C9" w:rsidP="007142C9">
      <w:pPr>
        <w:jc w:val="center"/>
      </w:pPr>
      <w:r w:rsidRPr="0069685A">
        <w:rPr>
          <w:b/>
          <w:bCs/>
        </w:rPr>
        <w:t/>
      </w:r>
      <w:r w:rsidR="002901B3" w:rsidRPr="0069685A">
        <w:rPr>
          <w:b/>
          <w:bCs/>
          <w:vertAlign w:val="superscript"/>
        </w:rPr>
        <w:t/>
      </w:r>
      <w:r w:rsidRPr="0069685A">
        <w:rPr>
          <w:b/>
          <w:bCs/>
        </w:rPr>
        <w:br/>
        <w:t/>
      </w:r>
      <w:r w:rsidRPr="0069685A">
        <w:rPr>
          <w:b/>
          <w:bCs/>
        </w:rPr>
        <w:br/>
        <w:t/>
      </w:r>
      <w:r w:rsidRPr="0069685A">
        <w:rPr>
          <w:b/>
          <w:bCs/>
        </w:rPr>
        <w:br/>
      </w:r>
      <w:r>
        <w:br/>
      </w:r>
      <w:r w:rsidRPr="0069685A">
        <w:rPr>
          <w:b/>
          <w:bCs/>
        </w:rPr>
        <w:t/>
      </w:r>
      <w:r w:rsidR="002901B3" w:rsidRPr="0069685A">
        <w:rPr>
          <w:b/>
          <w:bCs/>
          <w:vertAlign w:val="superscript"/>
        </w:rPr>
        <w:t/>
      </w:r>
      <w:r w:rsidRPr="0069685A">
        <w:rPr>
          <w:b/>
          <w:bCs/>
        </w:rPr>
        <w:br/>
        <w:t/>
      </w:r>
      <w:r w:rsidRPr="0069685A">
        <w:rPr>
          <w:b/>
          <w:bCs/>
        </w:rPr>
        <w:br/>
      </w:r>
      <w:hyperlink r:id="rId6" w:history="1">
        <w:r w:rsidRPr="0069685A">
          <w:rPr>
            <w:rStyle w:val="Hyperlink"/>
            <w:b/>
            <w:bCs/>
            <w:color w:val="auto"/>
            <w:u w:val="none"/>
          </w:rPr>
          <w:t/>
        </w:r>
      </w:hyperlink>
    </w:p>
    <w:p w14:paraId="2E21EE29" w14:textId="77777777" w:rsidR="007142C9" w:rsidRDefault="007142C9" w:rsidP="007142C9">
      <w:pPr>
        <w:jc w:val="center"/>
      </w:pPr>
    </w:p>
    <w:p w14:paraId="66BA5A48" w14:textId="41BE5AB4" w:rsidR="007142C9" w:rsidRPr="0069685A" w:rsidRDefault="007142C9" w:rsidP="007142C9">
      <w:pPr>
        <w:spacing w:after="0"/>
        <w:jc w:val="center"/>
        <w:rPr>
          <w:b/>
          <w:bCs/>
          <w:vertAlign w:val="superscript"/>
        </w:rPr>
      </w:pPr>
      <w:r w:rsidRPr="0069685A">
        <w:rPr>
          <w:b/>
          <w:bCs/>
        </w:rPr>
        <w:t/>
      </w:r>
      <w:r w:rsidR="002901B3" w:rsidRPr="0069685A">
        <w:rPr>
          <w:b/>
          <w:bCs/>
          <w:vertAlign w:val="superscript"/>
        </w:rPr>
        <w:t/>
      </w:r>
    </w:p>
    <w:p w14:paraId="16266FA0" w14:textId="77777777" w:rsidR="007142C9" w:rsidRPr="0069685A" w:rsidRDefault="007142C9" w:rsidP="007142C9">
      <w:pPr>
        <w:spacing w:after="0"/>
        <w:jc w:val="center"/>
        <w:rPr>
          <w:b/>
          <w:bCs/>
        </w:rPr>
      </w:pPr>
      <w:r w:rsidRPr="0069685A">
        <w:rPr>
          <w:b/>
          <w:bCs/>
        </w:rPr>
        <w:t/>
      </w:r>
    </w:p>
    <w:p w14:paraId="0EA84E5E" w14:textId="1FB29361" w:rsidR="00E57F14" w:rsidRPr="0069685A" w:rsidRDefault="00E57F14" w:rsidP="00E57F14">
      <w:pPr>
        <w:jc w:val="center"/>
        <w:rPr>
          <w:b/>
          <w:bCs/>
        </w:rPr>
      </w:pPr>
      <w:hyperlink r:id="rId7" w:history="1">
        <w:r w:rsidRPr="0069685A">
          <w:rPr>
            <w:rStyle w:val="Hyperlink"/>
            <w:b/>
            <w:bCs/>
            <w:color w:val="auto"/>
            <w:u w:val="none"/>
          </w:rPr>
          <w:t/>
        </w:r>
      </w:hyperlink>
    </w:p>
    <w:p w14:paraId="7DBDCBB1" w14:textId="35F18C83" w:rsidR="007142C9" w:rsidRDefault="007142C9" w:rsidP="007142C9">
      <w:r>
        <w:rPr>
          <w:b/>
        </w:rPr>
        <w:t>Abstract</w:t>
      </w:r>
    </w:p>
    <w:p w14:paraId="36E08027" w14:textId="77777777" w:rsidR="006D3D66" w:rsidRDefault="006D3D66" w:rsidP="007142C9">
      <w:pPr>
        <w:jc w:val="both"/>
      </w:pPr>
      <w:r w:rsidRPr="006D3D66">
        <w:t>This paper analyzes students’ perceptions of early Albanian textual variants and proposes a text-based model for teaching linguistic variation through historical religious texts. It addresses a common problem in language teaching: learners may view older spellings, vocabulary, grammatical forms, and translations as errors rather than as evidence of language change, textual transmission, and historical and cultural continuity. The study is based on a questionnaire completed by 80 students from the University of Shkodra “Luigj Gurakuqi” and the University of Tirana. The instrument included demographic questions, Likert-scale items, open-ended prompts, and a guided comparison task based on Albanian biblical and liturgical textual variants drawn from identified source editions and translations. Quantitative results show generally positive attitudes toward historical textual variation: 89.5% of valid post-task responses agreed that variants represent development rather than errors. Qualitative responses suggest that many students distinguished variation, error, standardization, and textual authority after the comparison task, while a smaller group retained a normative attitude toward older forms. The authors conclude that historical Albanian texts are useful teaching materials at university level when approached through contextualization, parallel reading, variation mapping, interpretation, and transfer to present-day language awareness.</w:t>
      </w:r>
    </w:p>
    <w:p w14:paraId="2479D53B" w14:textId="47330B30" w:rsidR="007142C9" w:rsidRDefault="007142C9" w:rsidP="007142C9">
      <w:pPr>
        <w:jc w:val="both"/>
      </w:pPr>
      <w:r>
        <w:rPr>
          <w:b/>
        </w:rPr>
        <w:t xml:space="preserve">Keywords: </w:t>
      </w:r>
      <w:r>
        <w:t>early Albanian texts; linguistic variation; language pedagogy; student perceptions; standardization</w:t>
      </w:r>
    </w:p>
    <w:p w14:paraId="70F5F7E5" w14:textId="77777777" w:rsidR="007142C9" w:rsidRPr="007142C9" w:rsidRDefault="007142C9" w:rsidP="007142C9">
      <w:pPr>
        <w:pStyle w:val="Heading1"/>
        <w:rPr>
          <w:color w:val="auto"/>
        </w:rPr>
      </w:pPr>
      <w:r w:rsidRPr="007142C9">
        <w:rPr>
          <w:rFonts w:ascii="Times New Roman" w:eastAsia="Times New Roman" w:hAnsi="Times New Roman"/>
          <w:color w:val="auto"/>
        </w:rPr>
        <w:t>1. Introduction</w:t>
      </w:r>
    </w:p>
    <w:p w14:paraId="50D1FCB3" w14:textId="77777777" w:rsidR="00BC2C90" w:rsidRDefault="007142C9" w:rsidP="007142C9">
      <w:pPr>
        <w:jc w:val="both"/>
      </w:pPr>
      <w:r>
        <w:t xml:space="preserve">Early Albanian texts are usually approached as historical, philological or literary documents. </w:t>
      </w:r>
      <w:r w:rsidR="00BC2C90" w:rsidRPr="00BC2C90">
        <w:t>They can also be used in the university context as pedagogical texts for building knowledge about language variation. The earlier texts show both the preserved earlier form of Albanian, and the ways in which a text is modified through its transmission, translation and readings in different language standards. Students who examine two versions of a passage of text will quickly ascertain what change occurred: whether it was the orthography, lexicon, morphology, syntax, meaning, the way it was translated or the amount of value placed on a certain form. These earlier texts then become a real, tangible classroom device for discussing linguistic variation as manifested in the text itself.</w:t>
      </w:r>
    </w:p>
    <w:p w14:paraId="11EEFA79" w14:textId="6A942811" w:rsidR="007142C9" w:rsidRDefault="007142C9" w:rsidP="007142C9">
      <w:pPr>
        <w:jc w:val="both"/>
      </w:pPr>
      <w:r w:rsidRPr="003553E6">
        <w:t xml:space="preserve">Students often encounter early Albanian texts through the lens of the contemporary standard. From that perspective, forms that differ from current standard Albanian may appear archaic, </w:t>
      </w:r>
      <w:r w:rsidRPr="003553E6">
        <w:lastRenderedPageBreak/>
        <w:t>irregular or simply wrong. A historical approach helps students read such forms as evidence of linguistic development and understand the standard as a later norm shaped through selection, stabilization and evaluation.</w:t>
      </w:r>
    </w:p>
    <w:p w14:paraId="180BBF56" w14:textId="77777777" w:rsidR="007142C9" w:rsidRDefault="007142C9" w:rsidP="007142C9">
      <w:pPr>
        <w:jc w:val="both"/>
      </w:pPr>
      <w:r>
        <w:t>Research on language attitudes helps explain why this problem arises. Pettersson-Traba, Gkoutziomitrou and Tamaredo define language attitudes as “learned and socially shaped predispositions” toward language varieties and their speakers (2026, p. 3). They also emphasize that language variation is inherent in all languages, although standard forms are often socially perceived as more correct or prestigious (Pettersson-Traba et al., 2026, p. 3). This distinction is crucial for the teaching of early Albanian texts. If students treat the current standard as the only legitimate point of reference, they may interpret historical forms as failures to meet a later norm. If, however, they are guided to compare variants systematically, they can begin to understand variation as a structured and meaningful part of language history.</w:t>
      </w:r>
    </w:p>
    <w:p w14:paraId="15B815BE" w14:textId="37F454C6" w:rsidR="007142C9" w:rsidRDefault="007142C9" w:rsidP="007142C9">
      <w:pPr>
        <w:jc w:val="both"/>
      </w:pPr>
      <w:r w:rsidRPr="003553E6">
        <w:t xml:space="preserve">This article examines university students’ perceptions of early Albanian textual variants and proposes a classroom model for teaching linguistic variation through such texts. The empirical material comes from a questionnaire completed by </w:t>
      </w:r>
      <w:r w:rsidR="008B1F16">
        <w:t>8</w:t>
      </w:r>
      <w:r w:rsidRPr="003553E6">
        <w:t xml:space="preserve">0 students, who reflected on standard language, historical variants, religious texts, canon, cultural literacy and the distinction between variation and error. The textual variants included in the questionnaire functioned as pedagogical stimuli for examining how students interpret linguistic variation through guided comparison. Four research questions guide the analysis: (1) How do university students perceive the study of early Albanian textual variants in language education? (2) </w:t>
      </w:r>
      <w:r w:rsidR="006D3D66" w:rsidRPr="006D3D66">
        <w:t xml:space="preserve">Which aspects of variation do students most commonly identify in the comparison task? </w:t>
      </w:r>
      <w:r w:rsidRPr="003553E6">
        <w:t>(3)</w:t>
      </w:r>
      <w:r w:rsidR="006D3D66" w:rsidRPr="006D3D66">
        <w:t xml:space="preserve"> How do students describe standardization, variation, and textual authority after guided comparison? </w:t>
      </w:r>
      <w:r w:rsidRPr="003553E6">
        <w:t>(4) What pedagogical model can be proposed for teaching linguistic variation through early Albanian texts?</w:t>
      </w:r>
    </w:p>
    <w:p w14:paraId="5226E926" w14:textId="77777777" w:rsidR="007142C9" w:rsidRDefault="007142C9" w:rsidP="007142C9">
      <w:pPr>
        <w:jc w:val="both"/>
      </w:pPr>
      <w:r>
        <w:t xml:space="preserve">The article contributes to language education in three ways. </w:t>
      </w:r>
      <w:r w:rsidRPr="0060161B">
        <w:t>First, it extends the study of early Albanian texts beyond historical philology by treating them as resources for teaching linguistic variation</w:t>
      </w:r>
      <w:r>
        <w:t>. Second, it uses students’ perceptions as evidence for identifying the difficulties created by a strongly normative approach to older forms. Third, it offers a practical model through which early texts can be taught as structured evidence of orthographic, lexical, grammatical, semantic and cultural variation.</w:t>
      </w:r>
    </w:p>
    <w:p w14:paraId="39CB2974" w14:textId="77777777" w:rsidR="007142C9" w:rsidRDefault="007142C9" w:rsidP="007142C9">
      <w:pPr>
        <w:jc w:val="both"/>
      </w:pPr>
    </w:p>
    <w:p w14:paraId="42020807" w14:textId="77777777" w:rsidR="007142C9" w:rsidRPr="007142C9" w:rsidRDefault="007142C9" w:rsidP="007142C9">
      <w:pPr>
        <w:jc w:val="both"/>
        <w:rPr>
          <w:b/>
          <w:bCs/>
        </w:rPr>
      </w:pPr>
      <w:r w:rsidRPr="007142C9">
        <w:rPr>
          <w:b/>
          <w:bCs/>
        </w:rPr>
        <w:t>2. Theoretical Framework</w:t>
      </w:r>
    </w:p>
    <w:p w14:paraId="62FAD9EB" w14:textId="77777777" w:rsidR="007142C9" w:rsidRDefault="007142C9" w:rsidP="007142C9">
      <w:pPr>
        <w:jc w:val="both"/>
      </w:pPr>
      <w:r w:rsidRPr="003553E6">
        <w:t>The theoretical framework connects three elements: the linguistic object, students’ judgments and the pedagogical use of the texts. Sociolinguistic work on variation and language attitudes explains why older forms may be evaluated through ideas of correctness, prestige and deviation. Garrett shows that language attitudes are part of everyday language use and may attach to spelling, words, grammar, pronunciation, dialects and languages (2010, pp. 1–2).</w:t>
      </w:r>
    </w:p>
    <w:p w14:paraId="4C87035B" w14:textId="77777777" w:rsidR="007142C9" w:rsidRDefault="007142C9" w:rsidP="007142C9">
      <w:pPr>
        <w:jc w:val="both"/>
      </w:pPr>
      <w:r w:rsidRPr="003553E6">
        <w:t>Critical language awareness provides the second layer. Fairclough argues that language awareness in education should address social aspects of language, especially the relation between language and power (1992/2013, p. 1). Applied to early Albanian texts, this perspective helps explain why a form that differs from the current standard may be judged as incorrect, even when that judgment depends on the authority granted to a later norm.</w:t>
      </w:r>
    </w:p>
    <w:p w14:paraId="7298A4FA" w14:textId="4A71FEE6" w:rsidR="007142C9" w:rsidRDefault="007142C9" w:rsidP="007142C9">
      <w:pPr>
        <w:jc w:val="both"/>
        <w:rPr>
          <w:b/>
          <w:bCs/>
        </w:rPr>
      </w:pPr>
      <w:r w:rsidRPr="003553E6">
        <w:t xml:space="preserve">The third layer concerns historical texts as teaching materials. </w:t>
      </w:r>
      <w:r w:rsidR="00710367" w:rsidRPr="00710367">
        <w:t xml:space="preserve">Oaks shows that authentic texts have a clear place in linguistic and philological courses, since they allow students to study forms, structures, varieties and historical development in context (2021, pp. 11–12). Fusco’s view of cultural heritage as a dynamic resource linking past, present and future adds a further reason for using early texts in teaching (2025, p. 1). Read together, these approaches support </w:t>
      </w:r>
      <w:r w:rsidR="00710367" w:rsidRPr="00710367">
        <w:lastRenderedPageBreak/>
        <w:t>the use of early Albanian texts for comparing variants, interpreting change and understanding how textual continuity can coexist with linguistic variation.</w:t>
      </w:r>
    </w:p>
    <w:p w14:paraId="64FE12BD" w14:textId="77777777" w:rsidR="007142C9" w:rsidRPr="007142C9" w:rsidRDefault="007142C9" w:rsidP="007142C9">
      <w:pPr>
        <w:pStyle w:val="Heading2"/>
        <w:jc w:val="both"/>
      </w:pPr>
      <w:r w:rsidRPr="007142C9">
        <w:rPr>
          <w:rFonts w:ascii="Times New Roman" w:eastAsia="Times New Roman" w:hAnsi="Times New Roman"/>
          <w:color w:val="auto"/>
        </w:rPr>
        <w:t>2.1. Language variation and student attitudes</w:t>
      </w:r>
    </w:p>
    <w:p w14:paraId="0221C9AF" w14:textId="77777777" w:rsidR="007142C9" w:rsidRDefault="007142C9" w:rsidP="007142C9">
      <w:pPr>
        <w:jc w:val="both"/>
      </w:pPr>
      <w:r w:rsidRPr="00CE7A0D">
        <w:t>Languages vary as they are used across time, regions, social groups, genres and communicative practices.</w:t>
      </w:r>
      <w:r>
        <w:t xml:space="preserve"> The difficulty in educational settings is that learners are often exposed primarily to standardized or institutionalized forms. Pettersson-Traba et al. observe that language teaching materials may privilege standard varieties and marginalize variation, thereby implicitly framing non-standard forms as erroneous or “ungrammatical” (2026, p. 4). </w:t>
      </w:r>
      <w:r w:rsidRPr="00BC5AA6">
        <w:t>Although their study focuses on language variation in English linguistics courses, its pedagogical implications extend beyond that context, since learners’ attitudes can be shaped by the materials used in instruction and by the categories through which those materials are interpreted.</w:t>
      </w:r>
    </w:p>
    <w:p w14:paraId="6542FD10" w14:textId="77777777" w:rsidR="007142C9" w:rsidRDefault="007142C9" w:rsidP="000623F0">
      <w:pPr>
        <w:jc w:val="both"/>
      </w:pPr>
      <w:r w:rsidRPr="006873B8">
        <w:t>Language attitudes are relevant here because they operate beyond explicit judgments. Garrett notes that language attitudes may remain unarticulated or unconscious, while variation still carries social meanings and can produce advantage or disadvantage (2010, pp. 1–2). People also hold attitudes toward language at multiple levels, including spelling, words, grammar, pronunciation, accents, dialects and languages (Garrett, 2010, p. 2). Early Albanian variants therefore lead students to decode older forms and to reflect on the judgments of correctness, prestige or authority that those forms may evoke.</w:t>
      </w:r>
    </w:p>
    <w:p w14:paraId="55F33B63" w14:textId="77777777" w:rsidR="007142C9" w:rsidRDefault="007142C9" w:rsidP="000623F0">
      <w:pPr>
        <w:jc w:val="both"/>
      </w:pPr>
      <w:r>
        <w:t>In the Albanian context, such evaluation is especially significant. Kapia and Riverin-Coutlée show that Albanian speakers' ratings of correctness and pleasantness are shaped by dialect division, relative urbanization and participants' dialect backgrounds (2025, p. 1). Although the present study concerns written historical variants, the same issue is pedagogically relevant: students' reactions to older forms may be shaped by social ideas about correctness, prestige, dialect and the standard.</w:t>
      </w:r>
    </w:p>
    <w:p w14:paraId="6F3A1702" w14:textId="77777777" w:rsidR="007142C9" w:rsidRDefault="007142C9" w:rsidP="007142C9">
      <w:pPr>
        <w:jc w:val="both"/>
      </w:pPr>
      <w:r>
        <w:t>Recent work on targeted instruction in linguistic variation also suggests that explicit teaching can improve students’ attitudes. Pettersson-Traba et al. report a pre-post questionnaire design in which instructional materials on language diversity were integrated into university linguistics courses and were associated with more positive perceptions of variation (2026, pp. 1, 8). The present study draws on this general pedagogical insight, but applies it to a different linguistic and historical context: Albanian textual variation in early and later religious translations.</w:t>
      </w:r>
    </w:p>
    <w:p w14:paraId="2291A3F6" w14:textId="77777777" w:rsidR="007142C9" w:rsidRPr="007142C9" w:rsidRDefault="007142C9" w:rsidP="007142C9">
      <w:pPr>
        <w:pStyle w:val="Heading2"/>
      </w:pPr>
      <w:r w:rsidRPr="007142C9">
        <w:rPr>
          <w:rFonts w:ascii="Times New Roman" w:eastAsia="Times New Roman" w:hAnsi="Times New Roman"/>
          <w:color w:val="auto"/>
        </w:rPr>
        <w:t>2.2. Critical language awareness and standard language ideology</w:t>
      </w:r>
    </w:p>
    <w:p w14:paraId="484BCE23" w14:textId="77777777" w:rsidR="007142C9" w:rsidRDefault="007142C9" w:rsidP="007142C9">
      <w:pPr>
        <w:jc w:val="both"/>
      </w:pPr>
      <w:r>
        <w:t xml:space="preserve">The second theoretical perspective is critical language awareness. Fairclough argues that language awareness had been widely supported in language education, but that many programmes and materials had been insufficiently critical because they did not give enough attention to social aspects of language, especially “the relationship between language and power” (1992/2013, p. 1). </w:t>
      </w:r>
      <w:r w:rsidRPr="00853B6D">
        <w:t>Applied to early Albanian texts, this perspective draws attention to the assumptions behind students’ judgments of older forms. What may appear to be a technical judgment about form often also involves authority, legitimacy, correctness and the status granted to the standard.</w:t>
      </w:r>
    </w:p>
    <w:p w14:paraId="1F2FF048" w14:textId="77777777" w:rsidR="007142C9" w:rsidRDefault="007142C9" w:rsidP="000623F0">
      <w:pPr>
        <w:jc w:val="both"/>
      </w:pPr>
      <w:r>
        <w:t>Garrett's discussion of standardization clarifies why students may initially equate norm with correctness. Standard language ideology, he argues, emphasizes uniformity and correctness through authority, codification in dictionaries and grammars, educational transmission, and the allocation of prestige or stigma to particular forms (Garrett, 2010, p. 7). Yet language is inherently characterized by change and variation, which makes any attempt to fix it socially and historically complex (Garrett, 2010, p. 8).</w:t>
      </w:r>
    </w:p>
    <w:p w14:paraId="0D21AC49" w14:textId="77777777" w:rsidR="007142C9" w:rsidRDefault="007142C9" w:rsidP="007142C9">
      <w:pPr>
        <w:jc w:val="both"/>
      </w:pPr>
      <w:r w:rsidRPr="003553E6">
        <w:lastRenderedPageBreak/>
        <w:t>A critical approach places the standard within the history of its formation, authorization and use. Students learn the standard as a necessary public variety and examine how linguistic norms become stabilized and treated as authoritative.</w:t>
      </w:r>
      <w:r>
        <w:t xml:space="preserve"> Fairclough further argues that critical language awareness is connected to democratic citizenship and should be seen as an entitlement for learners (1992/2013, p. 3). </w:t>
      </w:r>
      <w:r w:rsidRPr="00ED4D24">
        <w:t>In Albanian language education, this approach helps students learn the standard form, explain why earlier forms differed, and understand how particular norms came to carry linguistic authority.</w:t>
      </w:r>
    </w:p>
    <w:p w14:paraId="5FDB33DA" w14:textId="77777777" w:rsidR="007142C9" w:rsidRDefault="007142C9" w:rsidP="007142C9">
      <w:pPr>
        <w:jc w:val="both"/>
      </w:pPr>
      <w:r>
        <w:t>Early Albanian texts are especially useful for this purpose because they show language before, during and after processes of stabilization. In a classroom setting, forms such as older spellings, different terms for the divine, or alternative verbal constructions can be used to ask critical questions: What counts as a variant? When does a variant become a mistake? Who decides? How does a canonical or religious text preserve authority while appearing in different linguistic forms? Such questions transform the lesson from passive explanation into active language awareness.</w:t>
      </w:r>
    </w:p>
    <w:p w14:paraId="77610909" w14:textId="77777777" w:rsidR="007142C9" w:rsidRPr="007142C9" w:rsidRDefault="007142C9" w:rsidP="007142C9">
      <w:pPr>
        <w:pStyle w:val="Heading2"/>
        <w:rPr>
          <w:color w:val="auto"/>
        </w:rPr>
      </w:pPr>
      <w:r w:rsidRPr="007142C9">
        <w:rPr>
          <w:rFonts w:ascii="Times New Roman" w:eastAsia="Times New Roman" w:hAnsi="Times New Roman"/>
          <w:color w:val="auto"/>
        </w:rPr>
        <w:t>2.3. Historical otherness and cultural heritage</w:t>
      </w:r>
    </w:p>
    <w:p w14:paraId="60A48C1D" w14:textId="30D94EDA" w:rsidR="007142C9" w:rsidRDefault="007142C9" w:rsidP="007142C9">
      <w:pPr>
        <w:jc w:val="both"/>
      </w:pPr>
      <w:r>
        <w:t xml:space="preserve">The third perspective concerns historical otherness and cultural heritage. Byram notes that history can confront learners with “otherness in the dimension of time” (2021, p. 4). This formulation is particularly suitable for early Albanian texts. </w:t>
      </w:r>
      <w:r w:rsidR="00710367" w:rsidRPr="00710367">
        <w:t>The encounter is therefore with earlier forms of the students’ own linguistic tradition, rather than with a foreign language in the usual sense.</w:t>
      </w:r>
      <w:r>
        <w:t xml:space="preserve"> The otherness is temporal, textual and cultural. It requires students to interpret unfamiliar forms without immediately excluding them from the language they know.</w:t>
      </w:r>
    </w:p>
    <w:p w14:paraId="23A01977" w14:textId="77777777" w:rsidR="007142C9" w:rsidRDefault="007142C9" w:rsidP="007142C9">
      <w:pPr>
        <w:jc w:val="both"/>
      </w:pPr>
      <w:r w:rsidRPr="003553E6">
        <w:t>Fusco describes cultural heritage as a dynamic system connecting past, present and future and as a “living resource” for learning and creativity (2025, p. 1). Applied to early Albanian texts, this view supports their use as materials for comparison, interpretation and historical reasoning.</w:t>
      </w:r>
    </w:p>
    <w:p w14:paraId="4FFDB768" w14:textId="21C6CB74" w:rsidR="007142C9" w:rsidRDefault="007142C9" w:rsidP="007142C9">
      <w:pPr>
        <w:jc w:val="both"/>
      </w:pPr>
      <w:r>
        <w:t xml:space="preserve">In this article, early Albanian religious texts are therefore understood as linguistic and cultural heritage materials. </w:t>
      </w:r>
      <w:r w:rsidR="00710367" w:rsidRPr="00710367">
        <w:t>In the classroom, these texts help students see how recognizable meaning can be carried through changing linguistic forms. Biblical and canonical passages are especially useful for this purpose, because the same religious content can be compared across different lexical choices, grammatical structures and orthographic practices. The task remains linguistic and pedagogical: students learn to see textual continuity and linguistic variation as part of the same process of transmission.</w:t>
      </w:r>
    </w:p>
    <w:p w14:paraId="54C6E17C" w14:textId="77777777" w:rsidR="007142C9" w:rsidRPr="007142C9" w:rsidRDefault="007142C9" w:rsidP="007142C9">
      <w:pPr>
        <w:pStyle w:val="Heading1"/>
        <w:rPr>
          <w:color w:val="auto"/>
        </w:rPr>
      </w:pPr>
      <w:r w:rsidRPr="007142C9">
        <w:rPr>
          <w:rFonts w:ascii="Times New Roman" w:eastAsia="Times New Roman" w:hAnsi="Times New Roman"/>
          <w:color w:val="auto"/>
        </w:rPr>
        <w:t>3. Methodology</w:t>
      </w:r>
    </w:p>
    <w:p w14:paraId="6CC52DAF" w14:textId="1C6F31D4" w:rsidR="007142C9" w:rsidRDefault="007142C9" w:rsidP="007142C9">
      <w:pPr>
        <w:jc w:val="both"/>
      </w:pPr>
      <w:r>
        <w:t xml:space="preserve">This study adopts an exploratory mixed-methods case-study design. The quantitative component consists of descriptive analysis of Likert-scale questionnaire items. The qualitative component consists of open-ended responses analysed thematically. Creswell describes mixed methods as procedures in which quantitative and qualitative data can be integrated to provide a more comprehensive analysis of a research problem (2009, p. 15). </w:t>
      </w:r>
      <w:r w:rsidR="006D3D66" w:rsidRPr="006D3D66">
        <w:t>Integration occurred at the interpretation stage: the descriptive Likert patterns were read together with the thematic analysis of open-ended responses, and the qualitative responses were used to explain and contextualize the questionnaire patterns.</w:t>
      </w:r>
      <w:r w:rsidR="006D3D66">
        <w:t xml:space="preserve"> </w:t>
      </w:r>
      <w:r>
        <w:t>This approach was appropriate because the study sought both to measure general tendencies in students’ perceptions and to understand how students verbally explained norm, variation and textual authority.</w:t>
      </w:r>
    </w:p>
    <w:p w14:paraId="5A438712" w14:textId="77777777" w:rsidR="006D3D66" w:rsidRDefault="007142C9" w:rsidP="006D3D66">
      <w:pPr>
        <w:jc w:val="both"/>
      </w:pPr>
      <w:r>
        <w:t xml:space="preserve">The study is exploratory rather than experimental. The questionnaire contained items that appeared before and after a comparison task, but the design did not include a control group, random assignment or a long-term instructional intervention. </w:t>
      </w:r>
      <w:r w:rsidR="006D3D66" w:rsidRPr="006D3D66">
        <w:t xml:space="preserve">The results are therefore </w:t>
      </w:r>
      <w:r w:rsidR="006D3D66" w:rsidRPr="006D3D66">
        <w:lastRenderedPageBreak/>
        <w:t>interpreted descriptively as responses within a questionnaire-based learning situation, rather than as evidence of causal effects or statistically measured attitude change.</w:t>
      </w:r>
    </w:p>
    <w:p w14:paraId="520186A1" w14:textId="1034F263" w:rsidR="007142C9" w:rsidRPr="006D3D66" w:rsidRDefault="007142C9" w:rsidP="006D3D66">
      <w:pPr>
        <w:jc w:val="both"/>
        <w:rPr>
          <w:b/>
          <w:bCs/>
        </w:rPr>
      </w:pPr>
      <w:r w:rsidRPr="006D3D66">
        <w:rPr>
          <w:b/>
          <w:bCs/>
        </w:rPr>
        <w:t>3.1. Participants</w:t>
      </w:r>
    </w:p>
    <w:p w14:paraId="1F96B3A5" w14:textId="52DCB249" w:rsidR="007142C9" w:rsidRDefault="007142C9" w:rsidP="007142C9">
      <w:pPr>
        <w:jc w:val="both"/>
      </w:pPr>
      <w:r>
        <w:t xml:space="preserve">The questionnaire was completed by </w:t>
      </w:r>
      <w:r w:rsidR="008B1F16">
        <w:t>8</w:t>
      </w:r>
      <w:r>
        <w:t xml:space="preserve">0 university students. </w:t>
      </w:r>
      <w:r w:rsidR="00EB0501">
        <w:t>44</w:t>
      </w:r>
      <w:r>
        <w:t xml:space="preserve"> respondents studied at the University of Shkodra “Luigj Gurakuqi” and </w:t>
      </w:r>
      <w:r w:rsidR="00EB0501">
        <w:t>36</w:t>
      </w:r>
      <w:r>
        <w:t xml:space="preserve"> at the University of Tirana. </w:t>
      </w:r>
      <w:r w:rsidR="004972F2" w:rsidRPr="004972F2">
        <w:t>Forty-eight were bachelor’s students and 32 were master’s students in scientific/professional programmes.</w:t>
      </w:r>
      <w:r>
        <w:t xml:space="preserve"> The sample included </w:t>
      </w:r>
      <w:r w:rsidR="00EB0501">
        <w:t>52</w:t>
      </w:r>
      <w:r>
        <w:t xml:space="preserve"> students in Language-Literature and </w:t>
      </w:r>
      <w:r w:rsidR="00EB0501">
        <w:t>28</w:t>
      </w:r>
      <w:r>
        <w:t xml:space="preserve"> in History. </w:t>
      </w:r>
      <w:r w:rsidR="001C4D5C" w:rsidRPr="001C4D5C">
        <w:t>Age was reported by 76 respondents; the mean age was 23.26 years, the median was 21, and the range was 18–39.</w:t>
      </w:r>
    </w:p>
    <w:p w14:paraId="73767CA8" w14:textId="638C4C98" w:rsidR="007142C9" w:rsidRDefault="007142C9" w:rsidP="007142C9">
      <w:pPr>
        <w:jc w:val="both"/>
      </w:pPr>
      <w:r>
        <w:t xml:space="preserve">The sample was therefore a small purposive/convenience sample from two Albanian university contexts. Its size should be interpreted in relation to the exploratory aim of the study and to the bounded population from which participants were recruited: students in programmes where early Albanian texts, language history, literary tradition and cultural heritage are pedagogically relevant. Methodological literature on educational research emphasizes that there is no fixed answer to the question of sample size, since adequacy depends on the purpose of the study, the nature of the population, access to participants and the sampling strategy used (Cohen et al., 2000, p. 93). In small-scale case-study research, non-probability samples may be adequate </w:t>
      </w:r>
      <w:r w:rsidRPr="003553E6">
        <w:t xml:space="preserve">when the aim is to examine a specific instructional context </w:t>
      </w:r>
      <w:r>
        <w:t xml:space="preserve">(Cohen et al., 2000, p. 103). For this reason, N = </w:t>
      </w:r>
      <w:r w:rsidR="008B1F16">
        <w:t>8</w:t>
      </w:r>
      <w:r>
        <w:t>0 is treated as appropriate for descriptive and exploratory analysis.</w:t>
      </w:r>
    </w:p>
    <w:p w14:paraId="23993052" w14:textId="77777777" w:rsidR="007142C9" w:rsidRPr="007142C9" w:rsidRDefault="007142C9" w:rsidP="007142C9">
      <w:pPr>
        <w:pStyle w:val="Heading2"/>
        <w:rPr>
          <w:color w:val="auto"/>
        </w:rPr>
      </w:pPr>
      <w:r w:rsidRPr="007142C9">
        <w:rPr>
          <w:rFonts w:ascii="Times New Roman" w:eastAsia="Times New Roman" w:hAnsi="Times New Roman"/>
          <w:color w:val="auto"/>
        </w:rPr>
        <w:t>3.2. Instrument and classroom task</w:t>
      </w:r>
    </w:p>
    <w:p w14:paraId="46DF73DC" w14:textId="5A6D07F3" w:rsidR="007142C9" w:rsidRDefault="007142C9" w:rsidP="007142C9">
      <w:pPr>
        <w:jc w:val="both"/>
      </w:pPr>
      <w:r>
        <w:t>The research instrument was a questionnaire entitled in Albanian “Questionnaire on variants of early Albanian texts and linguistic normalization.” The introductory note informed participants that the results would be used for a scientific article in educational sciences and that there were no correct or incorrect answers. The questionnaire began with demographic items, followed by six Likert-scale statements on standard language, historical variants, early religious texts, variation and error, textual authority and cultural literacy. The scale ranged from 1 (“strongly disagree”) to 5 (“strongly agree”). The use of both closed-scale items and open-ended responses follows a common questionnaire logic in educational research, where structured responses can be combined with written data for interpretation (Cohen et al., 2000, pp. 245</w:t>
      </w:r>
      <w:r w:rsidR="001C4D5C" w:rsidRPr="001C4D5C">
        <w:rPr>
          <w:b/>
          <w:sz w:val="18"/>
        </w:rPr>
        <w:t>–</w:t>
      </w:r>
      <w:r>
        <w:t>265).</w:t>
      </w:r>
      <w:r w:rsidR="004972F2">
        <w:t xml:space="preserve"> </w:t>
      </w:r>
      <w:r w:rsidR="004972F2" w:rsidRPr="004972F2">
        <w:t xml:space="preserve">The complete questionnaire, response options, instructions, open-ended prompts, interpretive multiple-choice item, and parallel textual passages are provided as Supplementary </w:t>
      </w:r>
      <w:r w:rsidR="004972F2" w:rsidRPr="009A7058">
        <w:t>File 1.</w:t>
      </w:r>
    </w:p>
    <w:p w14:paraId="056C9000" w14:textId="7EA94292" w:rsidR="007142C9" w:rsidRDefault="007142C9" w:rsidP="007142C9">
      <w:pPr>
        <w:jc w:val="both"/>
      </w:pPr>
      <w:r w:rsidRPr="006B5B38">
        <w:t xml:space="preserve">The central comparison task consisted of three groups of biblical and liturgical passages presented in parallel columns. The passages were selected to give students a diachronic sequence of Albanian religious writing and translation, from the baptismal formula associated with Pal Engjëlli’s 1462 text to twentieth-century biblical and catechetical renderings. The sequence included Buzuku’s Meshari (1555, consulted in Çabej’s 1968 critical edition), Bogdani’s Çeta e Profetëve / Cuneus Prophetarum (1685, consulted in Omari’s 2005 critical edition), Mjeda’s catechetical rendering (1927), Xanoni’s catechetical rendering (ca. 1933), Gjeçaj’s New Testament translation from the 1970s, consulted in the 2022 edition, and </w:t>
      </w:r>
      <w:r w:rsidR="004972F2" w:rsidRPr="004972F2">
        <w:t xml:space="preserve">Filipaj’s 1994 Bible translation </w:t>
      </w:r>
      <w:r w:rsidRPr="003553E6">
        <w:t>(Bogdani, 1685/2005; Buzuku, 1555/1968; Filipaj, 1994; Gjeçaj, 2022; Mjeda, 1927; Xanoni, ca. 1933).</w:t>
      </w:r>
      <w:r w:rsidRPr="006B5B38">
        <w:t xml:space="preserve"> The first group focused on Mt 27:46, the second on Mt 28:19 and the baptismal formula, and the third on Lk 1:28 and the angelic greeting to Mary. These passages were selected because they preserve a recognizable semantic and religious core while displaying visible differences in orthography, lexis, morphology, syntax, formulaic phrasing and translation practice. Students were asked to identify important differences, classify them as lexical, orthographic or semantic, state what remained stable, and decide whether spelling, grammatical form or meaning changed most. </w:t>
      </w:r>
    </w:p>
    <w:p w14:paraId="30DCF1A5" w14:textId="77777777" w:rsidR="007142C9" w:rsidRDefault="007142C9" w:rsidP="007142C9">
      <w:pPr>
        <w:jc w:val="both"/>
      </w:pPr>
      <w:r>
        <w:lastRenderedPageBreak/>
        <w:t>A</w:t>
      </w:r>
      <w:r w:rsidRPr="0009324F">
        <w:t>fter the comparison task, students selected the statement they found most convincing about the meaning of textual variation. The available options ranged from a strongly normative interpretation, according to which variants show only inaccuracies and orthographic changes, to a historical-pedagogical interpretation, according to which the text is adapted according to the language, time and practice of the community. The final part of the questionnaire included six additional Likert-scale items asking students whether the task had clarified standard language as a historical, social and institutional process; whether comparison helped them understand development and standardization; whether early religious texts could be used as teaching materials; whether variants were now seen more as evidence of development than as errors; whether a canonical text could retain authority across variants; and whether the questionnaire helped them link language with culture, history and textual authority.</w:t>
      </w:r>
    </w:p>
    <w:p w14:paraId="5F6679CF" w14:textId="77777777" w:rsidR="00BC2C90" w:rsidRDefault="00BC2C90" w:rsidP="00BC2C90">
      <w:pPr>
        <w:pStyle w:val="Heading2"/>
        <w:jc w:val="both"/>
        <w:rPr>
          <w:rFonts w:ascii="Times New Roman" w:eastAsia="Times New Roman" w:hAnsi="Times New Roman" w:cstheme="minorBidi"/>
          <w:b w:val="0"/>
          <w:bCs w:val="0"/>
          <w:color w:val="auto"/>
          <w:szCs w:val="22"/>
        </w:rPr>
      </w:pPr>
      <w:r w:rsidRPr="00BC2C90">
        <w:rPr>
          <w:rFonts w:ascii="Times New Roman" w:eastAsia="Times New Roman" w:hAnsi="Times New Roman" w:cstheme="minorBidi"/>
          <w:b w:val="0"/>
          <w:bCs w:val="0"/>
          <w:color w:val="auto"/>
          <w:szCs w:val="22"/>
        </w:rPr>
        <w:t>The biblical and liturgical excerpts served as teaching tools based on specific sources. The analysis looks at how students interpreted the different versions shown in the questionnaire. It examines what they viewed as consistent, what they noticed as altered, and how they linked noticeable differences with norms, translations, and textual authority. The editions and sources used for the excerpts are listed to ensure the instrument can be traced. However, questions about manuscript origins, transmission history, and the establishment of the variants are not covered in this study.</w:t>
      </w:r>
    </w:p>
    <w:p w14:paraId="537CE7AF" w14:textId="4568C550" w:rsidR="007142C9" w:rsidRPr="007142C9" w:rsidRDefault="007142C9" w:rsidP="007142C9">
      <w:pPr>
        <w:pStyle w:val="Heading2"/>
        <w:rPr>
          <w:color w:val="auto"/>
        </w:rPr>
      </w:pPr>
      <w:r w:rsidRPr="007142C9">
        <w:rPr>
          <w:rFonts w:ascii="Times New Roman" w:eastAsia="Times New Roman" w:hAnsi="Times New Roman"/>
          <w:color w:val="auto"/>
        </w:rPr>
        <w:t>3.3. Data analysis</w:t>
      </w:r>
    </w:p>
    <w:p w14:paraId="79D10CB9" w14:textId="2F1C649D" w:rsidR="007142C9" w:rsidRDefault="007142C9" w:rsidP="007142C9">
      <w:pPr>
        <w:jc w:val="both"/>
      </w:pPr>
      <w:r>
        <w:t xml:space="preserve">Likert-scale items were analysed using descriptive statistics: valid number of responses, mean, standard deviation and percentage of agreement. Agreement was defined as responses 4 and 5 on the five-point scale. </w:t>
      </w:r>
      <w:r w:rsidR="00EB0501">
        <w:t>Four</w:t>
      </w:r>
      <w:r>
        <w:t xml:space="preserve"> questionnaire records did not contain valid responses for the Likert items; therefore, the total sample is N = </w:t>
      </w:r>
      <w:r w:rsidR="008B1F16">
        <w:t>8</w:t>
      </w:r>
      <w:r>
        <w:t xml:space="preserve">0, while item-level Likert analysis is based on n = </w:t>
      </w:r>
      <w:r w:rsidR="00EB0501">
        <w:t>76</w:t>
      </w:r>
      <w:r>
        <w:t xml:space="preserve"> valid responses.</w:t>
      </w:r>
      <w:r w:rsidR="004972F2">
        <w:t xml:space="preserve"> </w:t>
      </w:r>
      <w:r w:rsidR="004972F2" w:rsidRPr="004972F2">
        <w:t>The four records without valid Likert responses were retained in the total sample but excluded from item-level Likert calculations. The reason for the missing Likert responses could not be determined from the exported questionnaire data. No further adjustment was made beyond reporting the valid n for each item.</w:t>
      </w:r>
      <w:r w:rsidR="001C4D5C">
        <w:t xml:space="preserve"> </w:t>
      </w:r>
      <w:r w:rsidR="001C4D5C" w:rsidRPr="001C4D5C">
        <w:t>Other questionnaire items were analysed on an available-response basis; where denominators differed, this is indicated in the relevant table or in the accompanying prose.</w:t>
      </w:r>
    </w:p>
    <w:p w14:paraId="75AB7863" w14:textId="7CFBFDC5" w:rsidR="006D3D66" w:rsidRDefault="006D3D66" w:rsidP="00BC2C90">
      <w:pPr>
        <w:jc w:val="both"/>
      </w:pPr>
      <w:r w:rsidRPr="006D3D66">
        <w:t>Open-ended responses available in the 80 submitted questionnaires were analysed thematically; blank responses, where present, were excluded item by item. Braun and Clarke define thematic analysis as a method for “identifying, analysing and reporting patterns (themes) within data” (2006, p. 79), and emphasize its flexibility for qualitative research. Coding was primarily semantic and focused on explicit references to rule, standard, correctness, historical process, variation, meaning, canon, translation, and cultural continuity. Andreas Dushi first coded the responses, after which the initial codes and emerging themes were discussed with Zamira Shkreli and Belfjore Zifla. The final thematic categories were agreed collectively. Themes were developed through a combined deductive and inductive procedure: the theoretical framework guided attention to norm, variation, and authority, while the final categories were adjusted to recurrent patterns in the student responses. Representative quotations were selected as clear examples of recurring themes. The Albanian excerpts were translated into English by Andreas Dushi and checked by Belfjore Zifla.</w:t>
      </w:r>
      <w:r w:rsidR="00C408FF">
        <w:t xml:space="preserve"> </w:t>
      </w:r>
      <w:r w:rsidR="00C408FF" w:rsidRPr="00C408FF">
        <w:t>The quoted excerpts are identified with pseudonyms and limited contextual information drawn from the anonymous questionnaire data: field of study, institution, and study level.</w:t>
      </w:r>
      <w:r w:rsidRPr="006D3D66">
        <w:t xml:space="preserve"> </w:t>
      </w:r>
    </w:p>
    <w:p w14:paraId="0B4E3D19" w14:textId="33E8665B" w:rsidR="00BC2C90" w:rsidRPr="0079788B" w:rsidRDefault="007142C9" w:rsidP="00BC2C90">
      <w:pPr>
        <w:jc w:val="both"/>
        <w:rPr>
          <w:b/>
          <w:bCs/>
        </w:rPr>
      </w:pPr>
      <w:r w:rsidRPr="0079788B">
        <w:rPr>
          <w:b/>
          <w:bCs/>
        </w:rPr>
        <w:t>3.4. Ethical considerations</w:t>
      </w:r>
    </w:p>
    <w:p w14:paraId="6B62F62B" w14:textId="3F44F484" w:rsidR="004972F2" w:rsidRDefault="004972F2" w:rsidP="004972F2">
      <w:pPr>
        <w:pStyle w:val="Heading1"/>
        <w:jc w:val="both"/>
        <w:rPr>
          <w:rFonts w:ascii="Times New Roman" w:eastAsia="Times New Roman" w:hAnsi="Times New Roman" w:cstheme="minorBidi"/>
          <w:b w:val="0"/>
          <w:bCs w:val="0"/>
          <w:color w:val="auto"/>
          <w:szCs w:val="22"/>
        </w:rPr>
      </w:pPr>
      <w:r w:rsidRPr="004972F2">
        <w:rPr>
          <w:rFonts w:ascii="Times New Roman" w:eastAsia="Times New Roman" w:hAnsi="Times New Roman" w:cstheme="minorBidi"/>
          <w:b w:val="0"/>
          <w:bCs w:val="0"/>
          <w:color w:val="auto"/>
          <w:szCs w:val="22"/>
        </w:rPr>
        <w:lastRenderedPageBreak/>
        <w:t xml:space="preserve">The questionnaire introduction informed participants that the responses would be used for a scientific article and that there were no correct or incorrect answers. Completion of the anonymous questionnaire constituted direct informed consent. Participation was voluntary, and participation or refusal had no effect on grades, course assessment, or academic relationships. No names or direct identifiers were collected. Responses were analysed in aggregate, and illustrative excerpts were anonymized. </w:t>
      </w:r>
      <w:r w:rsidR="00A64148" w:rsidRPr="00A64148">
        <w:rPr>
          <w:rFonts w:ascii="Times New Roman" w:eastAsia="Times New Roman" w:hAnsi="Times New Roman" w:cstheme="minorBidi"/>
          <w:b w:val="0"/>
          <w:bCs w:val="0"/>
          <w:color w:val="auto"/>
          <w:szCs w:val="22"/>
        </w:rPr>
        <w:t>The study involved anonymous, voluntary, minimal-risk educational data. According to the institutional practice of the participating departments, this type of anonymous classroom questionnaire did not require a separate ethics-committee approval number.</w:t>
      </w:r>
    </w:p>
    <w:p w14:paraId="7CD7C29A" w14:textId="6CAE0782" w:rsidR="007142C9" w:rsidRPr="007142C9" w:rsidRDefault="007142C9" w:rsidP="007142C9">
      <w:pPr>
        <w:pStyle w:val="Heading1"/>
        <w:rPr>
          <w:color w:val="auto"/>
        </w:rPr>
      </w:pPr>
      <w:r w:rsidRPr="007142C9">
        <w:rPr>
          <w:rFonts w:ascii="Times New Roman" w:eastAsia="Times New Roman" w:hAnsi="Times New Roman"/>
          <w:color w:val="auto"/>
        </w:rPr>
        <w:t>4. Results</w:t>
      </w:r>
    </w:p>
    <w:p w14:paraId="7C519078" w14:textId="77777777" w:rsidR="007142C9" w:rsidRDefault="007142C9" w:rsidP="007142C9">
      <w:pPr>
        <w:jc w:val="both"/>
      </w:pPr>
      <w:r>
        <w:t>The results are organized in four parts: participant profile, Likert-scale perceptions, interpretation of the comparison task, and qualitative themes from open-ended responses.</w:t>
      </w:r>
    </w:p>
    <w:p w14:paraId="6020359E" w14:textId="77777777" w:rsidR="007142C9" w:rsidRPr="007142C9" w:rsidRDefault="007142C9" w:rsidP="007142C9">
      <w:pPr>
        <w:pStyle w:val="Heading2"/>
        <w:rPr>
          <w:color w:val="auto"/>
        </w:rPr>
      </w:pPr>
      <w:r w:rsidRPr="007142C9">
        <w:rPr>
          <w:rFonts w:ascii="Times New Roman" w:eastAsia="Times New Roman" w:hAnsi="Times New Roman"/>
          <w:color w:val="auto"/>
        </w:rPr>
        <w:t>4.1. Participant profile</w:t>
      </w:r>
    </w:p>
    <w:p w14:paraId="4EB5C923" w14:textId="6EFD738C" w:rsidR="007142C9" w:rsidRDefault="007142C9" w:rsidP="007142C9">
      <w:pPr>
        <w:jc w:val="both"/>
      </w:pPr>
      <w:r>
        <w:t xml:space="preserve">Table 1 summarizes the participant profile. The sample is balanced between the two participating universities and includes both language-literature and history students. </w:t>
      </w:r>
    </w:p>
    <w:p w14:paraId="2EF21C48" w14:textId="7CE56B08" w:rsidR="007142C9" w:rsidRPr="007142C9" w:rsidRDefault="007142C9" w:rsidP="007142C9">
      <w:pPr>
        <w:keepNext/>
        <w:spacing w:before="120" w:after="60"/>
        <w:rPr>
          <w:bCs/>
          <w:i/>
          <w:iCs/>
        </w:rPr>
      </w:pPr>
      <w:r w:rsidRPr="007142C9">
        <w:rPr>
          <w:bCs/>
          <w:i/>
          <w:iCs/>
          <w:sz w:val="22"/>
        </w:rPr>
        <w:t xml:space="preserve">Table 1. Participant profile (N = </w:t>
      </w:r>
      <w:r w:rsidR="00EB0501">
        <w:rPr>
          <w:bCs/>
          <w:i/>
          <w:iCs/>
          <w:sz w:val="22"/>
        </w:rPr>
        <w:t>8</w:t>
      </w:r>
      <w:r w:rsidRPr="007142C9">
        <w:rPr>
          <w:bCs/>
          <w:i/>
          <w:iCs/>
          <w:sz w:val="22"/>
        </w:rPr>
        <w:t>0)</w:t>
      </w:r>
    </w:p>
    <w:tbl>
      <w:tblPr>
        <w:tblStyle w:val="GridTable1Light"/>
        <w:tblW w:w="0" w:type="auto"/>
        <w:tblLook w:val="04A0" w:firstRow="1" w:lastRow="0" w:firstColumn="1" w:lastColumn="0" w:noHBand="0" w:noVBand="1"/>
      </w:tblPr>
      <w:tblGrid>
        <w:gridCol w:w="2007"/>
        <w:gridCol w:w="5293"/>
        <w:gridCol w:w="1719"/>
      </w:tblGrid>
      <w:tr w:rsidR="007142C9" w14:paraId="35F4446E" w14:textId="77777777" w:rsidTr="007142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6" w:type="dxa"/>
          </w:tcPr>
          <w:p w14:paraId="1933C476" w14:textId="77777777" w:rsidR="007142C9" w:rsidRDefault="007142C9" w:rsidP="003F07F9">
            <w:pPr>
              <w:spacing w:after="0"/>
            </w:pPr>
            <w:r>
              <w:rPr>
                <w:sz w:val="20"/>
              </w:rPr>
              <w:t>Category</w:t>
            </w:r>
          </w:p>
        </w:tc>
        <w:tc>
          <w:tcPr>
            <w:tcW w:w="5328" w:type="dxa"/>
          </w:tcPr>
          <w:p w14:paraId="72048F39" w14:textId="77777777" w:rsidR="007142C9" w:rsidRDefault="007142C9" w:rsidP="003F07F9">
            <w:pPr>
              <w:spacing w:after="0"/>
              <w:cnfStyle w:val="100000000000" w:firstRow="1" w:lastRow="0" w:firstColumn="0" w:lastColumn="0" w:oddVBand="0" w:evenVBand="0" w:oddHBand="0" w:evenHBand="0" w:firstRowFirstColumn="0" w:firstRowLastColumn="0" w:lastRowFirstColumn="0" w:lastRowLastColumn="0"/>
            </w:pPr>
            <w:r>
              <w:rPr>
                <w:sz w:val="20"/>
              </w:rPr>
              <w:t>Group / statistic</w:t>
            </w:r>
          </w:p>
        </w:tc>
        <w:tc>
          <w:tcPr>
            <w:tcW w:w="1728" w:type="dxa"/>
          </w:tcPr>
          <w:p w14:paraId="33F76BED" w14:textId="77777777" w:rsidR="007142C9" w:rsidRDefault="007142C9" w:rsidP="003F07F9">
            <w:pPr>
              <w:spacing w:after="0"/>
              <w:cnfStyle w:val="100000000000" w:firstRow="1" w:lastRow="0" w:firstColumn="0" w:lastColumn="0" w:oddVBand="0" w:evenVBand="0" w:oddHBand="0" w:evenHBand="0" w:firstRowFirstColumn="0" w:firstRowLastColumn="0" w:lastRowFirstColumn="0" w:lastRowLastColumn="0"/>
            </w:pPr>
            <w:r>
              <w:rPr>
                <w:sz w:val="20"/>
              </w:rPr>
              <w:t>n / value</w:t>
            </w:r>
          </w:p>
        </w:tc>
      </w:tr>
      <w:tr w:rsidR="007142C9" w14:paraId="1E159F68" w14:textId="77777777" w:rsidTr="007142C9">
        <w:tc>
          <w:tcPr>
            <w:cnfStyle w:val="001000000000" w:firstRow="0" w:lastRow="0" w:firstColumn="1" w:lastColumn="0" w:oddVBand="0" w:evenVBand="0" w:oddHBand="0" w:evenHBand="0" w:firstRowFirstColumn="0" w:firstRowLastColumn="0" w:lastRowFirstColumn="0" w:lastRowLastColumn="0"/>
            <w:tcW w:w="2016" w:type="dxa"/>
          </w:tcPr>
          <w:p w14:paraId="76F207EC" w14:textId="77777777" w:rsidR="007142C9" w:rsidRDefault="007142C9" w:rsidP="003F07F9">
            <w:pPr>
              <w:spacing w:after="0"/>
            </w:pPr>
            <w:r>
              <w:rPr>
                <w:sz w:val="20"/>
              </w:rPr>
              <w:t>University</w:t>
            </w:r>
          </w:p>
        </w:tc>
        <w:tc>
          <w:tcPr>
            <w:tcW w:w="5328" w:type="dxa"/>
          </w:tcPr>
          <w:p w14:paraId="3E26F261" w14:textId="77777777" w:rsidR="007142C9" w:rsidRDefault="007142C9" w:rsidP="003F07F9">
            <w:pPr>
              <w:spacing w:after="0"/>
              <w:cnfStyle w:val="000000000000" w:firstRow="0" w:lastRow="0" w:firstColumn="0" w:lastColumn="0" w:oddVBand="0" w:evenVBand="0" w:oddHBand="0" w:evenHBand="0" w:firstRowFirstColumn="0" w:firstRowLastColumn="0" w:lastRowFirstColumn="0" w:lastRowLastColumn="0"/>
            </w:pPr>
            <w:r>
              <w:rPr>
                <w:sz w:val="20"/>
              </w:rPr>
              <w:t>University of Shkodra "Luigj Gurakuqi"</w:t>
            </w:r>
          </w:p>
        </w:tc>
        <w:tc>
          <w:tcPr>
            <w:tcW w:w="1728" w:type="dxa"/>
          </w:tcPr>
          <w:p w14:paraId="772D40A3" w14:textId="1F0A96BC" w:rsidR="007142C9" w:rsidRDefault="008B1F16" w:rsidP="003F07F9">
            <w:pPr>
              <w:spacing w:after="0"/>
              <w:cnfStyle w:val="000000000000" w:firstRow="0" w:lastRow="0" w:firstColumn="0" w:lastColumn="0" w:oddVBand="0" w:evenVBand="0" w:oddHBand="0" w:evenHBand="0" w:firstRowFirstColumn="0" w:firstRowLastColumn="0" w:lastRowFirstColumn="0" w:lastRowLastColumn="0"/>
            </w:pPr>
            <w:r>
              <w:rPr>
                <w:sz w:val="20"/>
              </w:rPr>
              <w:t>44</w:t>
            </w:r>
            <w:r w:rsidR="007142C9">
              <w:rPr>
                <w:sz w:val="20"/>
              </w:rPr>
              <w:t xml:space="preserve"> (55.0%)</w:t>
            </w:r>
          </w:p>
        </w:tc>
      </w:tr>
      <w:tr w:rsidR="007142C9" w14:paraId="7C2F9E0C" w14:textId="77777777" w:rsidTr="007142C9">
        <w:tc>
          <w:tcPr>
            <w:cnfStyle w:val="001000000000" w:firstRow="0" w:lastRow="0" w:firstColumn="1" w:lastColumn="0" w:oddVBand="0" w:evenVBand="0" w:oddHBand="0" w:evenHBand="0" w:firstRowFirstColumn="0" w:firstRowLastColumn="0" w:lastRowFirstColumn="0" w:lastRowLastColumn="0"/>
            <w:tcW w:w="2016" w:type="dxa"/>
          </w:tcPr>
          <w:p w14:paraId="3E912BBA" w14:textId="77777777" w:rsidR="007142C9" w:rsidRDefault="007142C9" w:rsidP="003F07F9">
            <w:pPr>
              <w:spacing w:after="0"/>
            </w:pPr>
            <w:r>
              <w:rPr>
                <w:sz w:val="20"/>
              </w:rPr>
              <w:t>University</w:t>
            </w:r>
          </w:p>
        </w:tc>
        <w:tc>
          <w:tcPr>
            <w:tcW w:w="5328" w:type="dxa"/>
          </w:tcPr>
          <w:p w14:paraId="62475B54" w14:textId="77777777" w:rsidR="007142C9" w:rsidRDefault="007142C9" w:rsidP="003F07F9">
            <w:pPr>
              <w:spacing w:after="0"/>
              <w:cnfStyle w:val="000000000000" w:firstRow="0" w:lastRow="0" w:firstColumn="0" w:lastColumn="0" w:oddVBand="0" w:evenVBand="0" w:oddHBand="0" w:evenHBand="0" w:firstRowFirstColumn="0" w:firstRowLastColumn="0" w:lastRowFirstColumn="0" w:lastRowLastColumn="0"/>
            </w:pPr>
            <w:r>
              <w:rPr>
                <w:sz w:val="20"/>
              </w:rPr>
              <w:t>University of Tirana</w:t>
            </w:r>
          </w:p>
        </w:tc>
        <w:tc>
          <w:tcPr>
            <w:tcW w:w="1728" w:type="dxa"/>
          </w:tcPr>
          <w:p w14:paraId="6687A0C5" w14:textId="050C7F62" w:rsidR="007142C9" w:rsidRDefault="008B1F16" w:rsidP="003F07F9">
            <w:pPr>
              <w:spacing w:after="0"/>
              <w:cnfStyle w:val="000000000000" w:firstRow="0" w:lastRow="0" w:firstColumn="0" w:lastColumn="0" w:oddVBand="0" w:evenVBand="0" w:oddHBand="0" w:evenHBand="0" w:firstRowFirstColumn="0" w:firstRowLastColumn="0" w:lastRowFirstColumn="0" w:lastRowLastColumn="0"/>
            </w:pPr>
            <w:r>
              <w:rPr>
                <w:sz w:val="20"/>
              </w:rPr>
              <w:t>36</w:t>
            </w:r>
            <w:r w:rsidR="007142C9">
              <w:rPr>
                <w:sz w:val="20"/>
              </w:rPr>
              <w:t xml:space="preserve"> (45.0%)</w:t>
            </w:r>
          </w:p>
        </w:tc>
      </w:tr>
      <w:tr w:rsidR="007142C9" w14:paraId="059CAA6B" w14:textId="77777777" w:rsidTr="007142C9">
        <w:tc>
          <w:tcPr>
            <w:cnfStyle w:val="001000000000" w:firstRow="0" w:lastRow="0" w:firstColumn="1" w:lastColumn="0" w:oddVBand="0" w:evenVBand="0" w:oddHBand="0" w:evenHBand="0" w:firstRowFirstColumn="0" w:firstRowLastColumn="0" w:lastRowFirstColumn="0" w:lastRowLastColumn="0"/>
            <w:tcW w:w="2016" w:type="dxa"/>
          </w:tcPr>
          <w:p w14:paraId="49CF358F" w14:textId="77777777" w:rsidR="007142C9" w:rsidRDefault="007142C9" w:rsidP="003F07F9">
            <w:pPr>
              <w:spacing w:after="0"/>
            </w:pPr>
            <w:r>
              <w:rPr>
                <w:sz w:val="20"/>
              </w:rPr>
              <w:t>Study level</w:t>
            </w:r>
          </w:p>
        </w:tc>
        <w:tc>
          <w:tcPr>
            <w:tcW w:w="5328" w:type="dxa"/>
          </w:tcPr>
          <w:p w14:paraId="2D468AE3" w14:textId="77777777" w:rsidR="007142C9" w:rsidRDefault="007142C9" w:rsidP="003F07F9">
            <w:pPr>
              <w:spacing w:after="0"/>
              <w:cnfStyle w:val="000000000000" w:firstRow="0" w:lastRow="0" w:firstColumn="0" w:lastColumn="0" w:oddVBand="0" w:evenVBand="0" w:oddHBand="0" w:evenHBand="0" w:firstRowFirstColumn="0" w:firstRowLastColumn="0" w:lastRowFirstColumn="0" w:lastRowLastColumn="0"/>
            </w:pPr>
            <w:r>
              <w:rPr>
                <w:sz w:val="20"/>
              </w:rPr>
              <w:t>Bachelor</w:t>
            </w:r>
          </w:p>
        </w:tc>
        <w:tc>
          <w:tcPr>
            <w:tcW w:w="1728" w:type="dxa"/>
          </w:tcPr>
          <w:p w14:paraId="064AFB70" w14:textId="04158803" w:rsidR="007142C9" w:rsidRDefault="008B1F16" w:rsidP="003F07F9">
            <w:pPr>
              <w:spacing w:after="0"/>
              <w:cnfStyle w:val="000000000000" w:firstRow="0" w:lastRow="0" w:firstColumn="0" w:lastColumn="0" w:oddVBand="0" w:evenVBand="0" w:oddHBand="0" w:evenHBand="0" w:firstRowFirstColumn="0" w:firstRowLastColumn="0" w:lastRowFirstColumn="0" w:lastRowLastColumn="0"/>
            </w:pPr>
            <w:r>
              <w:rPr>
                <w:sz w:val="20"/>
              </w:rPr>
              <w:t>48</w:t>
            </w:r>
            <w:r w:rsidR="007142C9">
              <w:rPr>
                <w:sz w:val="20"/>
              </w:rPr>
              <w:t xml:space="preserve"> (60.0%)</w:t>
            </w:r>
          </w:p>
        </w:tc>
      </w:tr>
      <w:tr w:rsidR="007142C9" w14:paraId="6611884C" w14:textId="77777777" w:rsidTr="007142C9">
        <w:tc>
          <w:tcPr>
            <w:cnfStyle w:val="001000000000" w:firstRow="0" w:lastRow="0" w:firstColumn="1" w:lastColumn="0" w:oddVBand="0" w:evenVBand="0" w:oddHBand="0" w:evenHBand="0" w:firstRowFirstColumn="0" w:firstRowLastColumn="0" w:lastRowFirstColumn="0" w:lastRowLastColumn="0"/>
            <w:tcW w:w="2016" w:type="dxa"/>
          </w:tcPr>
          <w:p w14:paraId="66427D39" w14:textId="77777777" w:rsidR="007142C9" w:rsidRDefault="007142C9" w:rsidP="003F07F9">
            <w:pPr>
              <w:spacing w:after="0"/>
            </w:pPr>
            <w:r>
              <w:rPr>
                <w:sz w:val="20"/>
              </w:rPr>
              <w:t>Study level</w:t>
            </w:r>
          </w:p>
        </w:tc>
        <w:tc>
          <w:tcPr>
            <w:tcW w:w="5328" w:type="dxa"/>
          </w:tcPr>
          <w:p w14:paraId="1FCACFF2" w14:textId="2801B543" w:rsidR="007142C9" w:rsidRDefault="004972F2" w:rsidP="003F07F9">
            <w:pPr>
              <w:spacing w:after="0"/>
              <w:cnfStyle w:val="000000000000" w:firstRow="0" w:lastRow="0" w:firstColumn="0" w:lastColumn="0" w:oddVBand="0" w:evenVBand="0" w:oddHBand="0" w:evenHBand="0" w:firstRowFirstColumn="0" w:firstRowLastColumn="0" w:lastRowFirstColumn="0" w:lastRowLastColumn="0"/>
            </w:pPr>
            <w:r w:rsidRPr="004972F2">
              <w:rPr>
                <w:sz w:val="20"/>
              </w:rPr>
              <w:t>Master’s, scientific/professional programmes</w:t>
            </w:r>
          </w:p>
        </w:tc>
        <w:tc>
          <w:tcPr>
            <w:tcW w:w="1728" w:type="dxa"/>
          </w:tcPr>
          <w:p w14:paraId="42984165" w14:textId="2C77F86F" w:rsidR="007142C9" w:rsidRDefault="008B1F16" w:rsidP="003F07F9">
            <w:pPr>
              <w:spacing w:after="0"/>
              <w:cnfStyle w:val="000000000000" w:firstRow="0" w:lastRow="0" w:firstColumn="0" w:lastColumn="0" w:oddVBand="0" w:evenVBand="0" w:oddHBand="0" w:evenHBand="0" w:firstRowFirstColumn="0" w:firstRowLastColumn="0" w:lastRowFirstColumn="0" w:lastRowLastColumn="0"/>
            </w:pPr>
            <w:r>
              <w:rPr>
                <w:sz w:val="20"/>
              </w:rPr>
              <w:t>32</w:t>
            </w:r>
            <w:r w:rsidR="007142C9">
              <w:rPr>
                <w:sz w:val="20"/>
              </w:rPr>
              <w:t xml:space="preserve"> (40.0%)</w:t>
            </w:r>
          </w:p>
        </w:tc>
      </w:tr>
      <w:tr w:rsidR="007142C9" w14:paraId="49F6DFDC" w14:textId="77777777" w:rsidTr="007142C9">
        <w:tc>
          <w:tcPr>
            <w:cnfStyle w:val="001000000000" w:firstRow="0" w:lastRow="0" w:firstColumn="1" w:lastColumn="0" w:oddVBand="0" w:evenVBand="0" w:oddHBand="0" w:evenHBand="0" w:firstRowFirstColumn="0" w:firstRowLastColumn="0" w:lastRowFirstColumn="0" w:lastRowLastColumn="0"/>
            <w:tcW w:w="2016" w:type="dxa"/>
          </w:tcPr>
          <w:p w14:paraId="49A6A5D3" w14:textId="77777777" w:rsidR="007142C9" w:rsidRDefault="007142C9" w:rsidP="003F07F9">
            <w:pPr>
              <w:spacing w:after="0"/>
            </w:pPr>
            <w:r>
              <w:rPr>
                <w:sz w:val="20"/>
              </w:rPr>
              <w:t>Field of study</w:t>
            </w:r>
          </w:p>
        </w:tc>
        <w:tc>
          <w:tcPr>
            <w:tcW w:w="5328" w:type="dxa"/>
          </w:tcPr>
          <w:p w14:paraId="19345DCE" w14:textId="77777777" w:rsidR="007142C9" w:rsidRDefault="007142C9" w:rsidP="003F07F9">
            <w:pPr>
              <w:spacing w:after="0"/>
              <w:cnfStyle w:val="000000000000" w:firstRow="0" w:lastRow="0" w:firstColumn="0" w:lastColumn="0" w:oddVBand="0" w:evenVBand="0" w:oddHBand="0" w:evenHBand="0" w:firstRowFirstColumn="0" w:firstRowLastColumn="0" w:lastRowFirstColumn="0" w:lastRowLastColumn="0"/>
            </w:pPr>
            <w:r>
              <w:rPr>
                <w:sz w:val="20"/>
              </w:rPr>
              <w:t>Language-Literature</w:t>
            </w:r>
          </w:p>
        </w:tc>
        <w:tc>
          <w:tcPr>
            <w:tcW w:w="1728" w:type="dxa"/>
          </w:tcPr>
          <w:p w14:paraId="08FF6CA0" w14:textId="2330C18B" w:rsidR="007142C9" w:rsidRDefault="008B1F16" w:rsidP="003F07F9">
            <w:pPr>
              <w:spacing w:after="0"/>
              <w:cnfStyle w:val="000000000000" w:firstRow="0" w:lastRow="0" w:firstColumn="0" w:lastColumn="0" w:oddVBand="0" w:evenVBand="0" w:oddHBand="0" w:evenHBand="0" w:firstRowFirstColumn="0" w:firstRowLastColumn="0" w:lastRowFirstColumn="0" w:lastRowLastColumn="0"/>
            </w:pPr>
            <w:r>
              <w:rPr>
                <w:sz w:val="20"/>
              </w:rPr>
              <w:t>52</w:t>
            </w:r>
            <w:r w:rsidR="007142C9">
              <w:rPr>
                <w:sz w:val="20"/>
              </w:rPr>
              <w:t xml:space="preserve"> (65.0%)</w:t>
            </w:r>
          </w:p>
        </w:tc>
      </w:tr>
      <w:tr w:rsidR="007142C9" w14:paraId="6D789D9A" w14:textId="77777777" w:rsidTr="007142C9">
        <w:tc>
          <w:tcPr>
            <w:cnfStyle w:val="001000000000" w:firstRow="0" w:lastRow="0" w:firstColumn="1" w:lastColumn="0" w:oddVBand="0" w:evenVBand="0" w:oddHBand="0" w:evenHBand="0" w:firstRowFirstColumn="0" w:firstRowLastColumn="0" w:lastRowFirstColumn="0" w:lastRowLastColumn="0"/>
            <w:tcW w:w="2016" w:type="dxa"/>
          </w:tcPr>
          <w:p w14:paraId="1EF6DB6F" w14:textId="77777777" w:rsidR="007142C9" w:rsidRDefault="007142C9" w:rsidP="003F07F9">
            <w:pPr>
              <w:spacing w:after="0"/>
            </w:pPr>
            <w:r>
              <w:rPr>
                <w:sz w:val="20"/>
              </w:rPr>
              <w:t>Field of study</w:t>
            </w:r>
          </w:p>
        </w:tc>
        <w:tc>
          <w:tcPr>
            <w:tcW w:w="5328" w:type="dxa"/>
          </w:tcPr>
          <w:p w14:paraId="7F4CE300" w14:textId="77777777" w:rsidR="007142C9" w:rsidRDefault="007142C9" w:rsidP="003F07F9">
            <w:pPr>
              <w:spacing w:after="0"/>
              <w:cnfStyle w:val="000000000000" w:firstRow="0" w:lastRow="0" w:firstColumn="0" w:lastColumn="0" w:oddVBand="0" w:evenVBand="0" w:oddHBand="0" w:evenHBand="0" w:firstRowFirstColumn="0" w:firstRowLastColumn="0" w:lastRowFirstColumn="0" w:lastRowLastColumn="0"/>
            </w:pPr>
            <w:r>
              <w:rPr>
                <w:sz w:val="20"/>
              </w:rPr>
              <w:t>History</w:t>
            </w:r>
          </w:p>
        </w:tc>
        <w:tc>
          <w:tcPr>
            <w:tcW w:w="1728" w:type="dxa"/>
          </w:tcPr>
          <w:p w14:paraId="43AD6140" w14:textId="6E688549" w:rsidR="007142C9" w:rsidRDefault="008B1F16" w:rsidP="003F07F9">
            <w:pPr>
              <w:spacing w:after="0"/>
              <w:cnfStyle w:val="000000000000" w:firstRow="0" w:lastRow="0" w:firstColumn="0" w:lastColumn="0" w:oddVBand="0" w:evenVBand="0" w:oddHBand="0" w:evenHBand="0" w:firstRowFirstColumn="0" w:firstRowLastColumn="0" w:lastRowFirstColumn="0" w:lastRowLastColumn="0"/>
            </w:pPr>
            <w:r>
              <w:rPr>
                <w:sz w:val="20"/>
              </w:rPr>
              <w:t>28</w:t>
            </w:r>
            <w:r w:rsidR="007142C9">
              <w:rPr>
                <w:sz w:val="20"/>
              </w:rPr>
              <w:t xml:space="preserve"> (35.0%)</w:t>
            </w:r>
          </w:p>
        </w:tc>
      </w:tr>
      <w:tr w:rsidR="007142C9" w14:paraId="2E996F3B" w14:textId="77777777" w:rsidTr="007142C9">
        <w:tc>
          <w:tcPr>
            <w:cnfStyle w:val="001000000000" w:firstRow="0" w:lastRow="0" w:firstColumn="1" w:lastColumn="0" w:oddVBand="0" w:evenVBand="0" w:oddHBand="0" w:evenHBand="0" w:firstRowFirstColumn="0" w:firstRowLastColumn="0" w:lastRowFirstColumn="0" w:lastRowLastColumn="0"/>
            <w:tcW w:w="2016" w:type="dxa"/>
          </w:tcPr>
          <w:p w14:paraId="4743167B" w14:textId="77777777" w:rsidR="007142C9" w:rsidRDefault="007142C9" w:rsidP="003F07F9">
            <w:pPr>
              <w:spacing w:after="0"/>
            </w:pPr>
            <w:r>
              <w:rPr>
                <w:sz w:val="20"/>
              </w:rPr>
              <w:t>Age</w:t>
            </w:r>
          </w:p>
        </w:tc>
        <w:tc>
          <w:tcPr>
            <w:tcW w:w="5328" w:type="dxa"/>
          </w:tcPr>
          <w:p w14:paraId="73C23822" w14:textId="77777777" w:rsidR="007142C9" w:rsidRDefault="007142C9" w:rsidP="003F07F9">
            <w:pPr>
              <w:spacing w:after="0"/>
              <w:cnfStyle w:val="000000000000" w:firstRow="0" w:lastRow="0" w:firstColumn="0" w:lastColumn="0" w:oddVBand="0" w:evenVBand="0" w:oddHBand="0" w:evenHBand="0" w:firstRowFirstColumn="0" w:firstRowLastColumn="0" w:lastRowFirstColumn="0" w:lastRowLastColumn="0"/>
            </w:pPr>
            <w:r>
              <w:rPr>
                <w:sz w:val="20"/>
              </w:rPr>
              <w:t>Valid responses</w:t>
            </w:r>
          </w:p>
        </w:tc>
        <w:tc>
          <w:tcPr>
            <w:tcW w:w="1728" w:type="dxa"/>
          </w:tcPr>
          <w:p w14:paraId="7CF06D2E" w14:textId="7EA7A257" w:rsidR="007142C9" w:rsidRDefault="008B1F16" w:rsidP="003F07F9">
            <w:pPr>
              <w:spacing w:after="0"/>
              <w:cnfStyle w:val="000000000000" w:firstRow="0" w:lastRow="0" w:firstColumn="0" w:lastColumn="0" w:oddVBand="0" w:evenVBand="0" w:oddHBand="0" w:evenHBand="0" w:firstRowFirstColumn="0" w:firstRowLastColumn="0" w:lastRowFirstColumn="0" w:lastRowLastColumn="0"/>
            </w:pPr>
            <w:r>
              <w:rPr>
                <w:sz w:val="20"/>
              </w:rPr>
              <w:t>76</w:t>
            </w:r>
            <w:r w:rsidR="007142C9">
              <w:rPr>
                <w:sz w:val="20"/>
              </w:rPr>
              <w:t xml:space="preserve"> (95.0%)</w:t>
            </w:r>
          </w:p>
        </w:tc>
      </w:tr>
      <w:tr w:rsidR="007142C9" w14:paraId="7FB4AC9D" w14:textId="77777777" w:rsidTr="007142C9">
        <w:tc>
          <w:tcPr>
            <w:cnfStyle w:val="001000000000" w:firstRow="0" w:lastRow="0" w:firstColumn="1" w:lastColumn="0" w:oddVBand="0" w:evenVBand="0" w:oddHBand="0" w:evenHBand="0" w:firstRowFirstColumn="0" w:firstRowLastColumn="0" w:lastRowFirstColumn="0" w:lastRowLastColumn="0"/>
            <w:tcW w:w="2016" w:type="dxa"/>
          </w:tcPr>
          <w:p w14:paraId="4F4CE51A" w14:textId="77777777" w:rsidR="007142C9" w:rsidRDefault="007142C9" w:rsidP="003F07F9">
            <w:pPr>
              <w:spacing w:after="0"/>
            </w:pPr>
            <w:r>
              <w:rPr>
                <w:sz w:val="20"/>
              </w:rPr>
              <w:t>Age</w:t>
            </w:r>
          </w:p>
        </w:tc>
        <w:tc>
          <w:tcPr>
            <w:tcW w:w="5328" w:type="dxa"/>
          </w:tcPr>
          <w:p w14:paraId="53FDF8E6" w14:textId="77777777" w:rsidR="007142C9" w:rsidRDefault="007142C9" w:rsidP="003F07F9">
            <w:pPr>
              <w:spacing w:after="0"/>
              <w:cnfStyle w:val="000000000000" w:firstRow="0" w:lastRow="0" w:firstColumn="0" w:lastColumn="0" w:oddVBand="0" w:evenVBand="0" w:oddHBand="0" w:evenHBand="0" w:firstRowFirstColumn="0" w:firstRowLastColumn="0" w:lastRowFirstColumn="0" w:lastRowLastColumn="0"/>
            </w:pPr>
            <w:r>
              <w:rPr>
                <w:sz w:val="20"/>
              </w:rPr>
              <w:t>Mean / median / range</w:t>
            </w:r>
          </w:p>
        </w:tc>
        <w:tc>
          <w:tcPr>
            <w:tcW w:w="1728" w:type="dxa"/>
          </w:tcPr>
          <w:p w14:paraId="51428351" w14:textId="6545FF23" w:rsidR="007142C9" w:rsidRDefault="007142C9" w:rsidP="003F07F9">
            <w:pPr>
              <w:spacing w:after="0"/>
              <w:cnfStyle w:val="000000000000" w:firstRow="0" w:lastRow="0" w:firstColumn="0" w:lastColumn="0" w:oddVBand="0" w:evenVBand="0" w:oddHBand="0" w:evenHBand="0" w:firstRowFirstColumn="0" w:firstRowLastColumn="0" w:lastRowFirstColumn="0" w:lastRowLastColumn="0"/>
            </w:pPr>
            <w:r>
              <w:rPr>
                <w:sz w:val="20"/>
              </w:rPr>
              <w:t>23.26 / 21 / 18</w:t>
            </w:r>
            <w:r w:rsidR="001C4D5C" w:rsidRPr="001C4D5C">
              <w:rPr>
                <w:sz w:val="20"/>
              </w:rPr>
              <w:t>–</w:t>
            </w:r>
            <w:r>
              <w:rPr>
                <w:sz w:val="20"/>
              </w:rPr>
              <w:t>39</w:t>
            </w:r>
          </w:p>
        </w:tc>
      </w:tr>
    </w:tbl>
    <w:p w14:paraId="514EFC58" w14:textId="77777777" w:rsidR="007142C9" w:rsidRPr="007142C9" w:rsidRDefault="007142C9" w:rsidP="007142C9">
      <w:pPr>
        <w:pStyle w:val="Heading2"/>
        <w:rPr>
          <w:color w:val="auto"/>
        </w:rPr>
      </w:pPr>
      <w:r w:rsidRPr="007142C9">
        <w:rPr>
          <w:rFonts w:ascii="Times New Roman" w:eastAsia="Times New Roman" w:hAnsi="Times New Roman"/>
          <w:color w:val="auto"/>
        </w:rPr>
        <w:t>4.2. Likert-scale perceptions before and after comparison</w:t>
      </w:r>
    </w:p>
    <w:p w14:paraId="5E3398CE" w14:textId="77777777" w:rsidR="007142C9" w:rsidRDefault="007142C9" w:rsidP="007142C9">
      <w:pPr>
        <w:jc w:val="both"/>
      </w:pPr>
      <w:r>
        <w:t>Tables 2 and 3 present the descriptive statistics for the six items before the comparison task and the six items after it. The overall pattern is clear: students already entered the task with generally positive attitudes toward the historical and pedagogical value of textual variants. Before the comparison, agreement was especially high for the statement that historical variants help understand the development and standardization of Albanian (94.7%) and for the statement that comparison helps develop cultural literacy (94.7%). The lowest initial agreement concerned the authority of a canonical text across linguistic variants, although even here 68.4% agreed and only a small number disagreed.</w:t>
      </w:r>
    </w:p>
    <w:p w14:paraId="132EE4C7" w14:textId="77777777" w:rsidR="004972F2" w:rsidRDefault="004972F2" w:rsidP="007142C9">
      <w:pPr>
        <w:jc w:val="both"/>
      </w:pPr>
      <w:r w:rsidRPr="004972F2">
        <w:t>The post-task responses most clearly concern the distinction between variation and error. After the task, 89.5% of valid responses agreed that historical variants should be read as evidence of development rather than as mistakes. Similarly, 84.2% agreed that a canonical text can preserve authority even when it appears in linguistic variants. These responses suggest that many students interpreted older forms in relation to linguistic development, standardization, and textual authority</w:t>
      </w:r>
      <w:r>
        <w:t>.</w:t>
      </w:r>
    </w:p>
    <w:p w14:paraId="6D608B06" w14:textId="7BAB322E" w:rsidR="007142C9" w:rsidRDefault="007142C9" w:rsidP="007142C9">
      <w:pPr>
        <w:jc w:val="both"/>
      </w:pPr>
      <w:r w:rsidRPr="00B925AA">
        <w:t>The slight decrease in some post-task means can be read against the high starting point of the pre-task ratings. Several initial scores were already close to the upper end of the scale, which created a ceiling effect and left little room for further increase. The post-task items also asked students to assess what the comparison activity had clarified for them, so the scores capture a more focused reflection after the task.</w:t>
      </w:r>
      <w:r>
        <w:t xml:space="preserve"> </w:t>
      </w:r>
      <w:r w:rsidR="00A64148" w:rsidRPr="00A64148">
        <w:t xml:space="preserve">The clearest post-task pattern concerns the constructs </w:t>
      </w:r>
      <w:r w:rsidR="00A64148" w:rsidRPr="00A64148">
        <w:lastRenderedPageBreak/>
        <w:t>that are central to the study: variation as evidence of development and canon as compatible with linguistic variation</w:t>
      </w:r>
      <w:r w:rsidR="00A64148">
        <w:t>.</w:t>
      </w:r>
    </w:p>
    <w:p w14:paraId="2BC268D5" w14:textId="77777777" w:rsidR="007142C9" w:rsidRPr="007142C9" w:rsidRDefault="007142C9" w:rsidP="007142C9">
      <w:pPr>
        <w:keepNext/>
        <w:spacing w:before="120" w:after="60"/>
        <w:rPr>
          <w:bCs/>
          <w:i/>
          <w:iCs/>
        </w:rPr>
      </w:pPr>
      <w:r w:rsidRPr="007142C9">
        <w:rPr>
          <w:bCs/>
          <w:i/>
          <w:iCs/>
          <w:sz w:val="22"/>
        </w:rPr>
        <w:t>Table 2. Likert-scale perceptions before comparison</w:t>
      </w:r>
    </w:p>
    <w:tbl>
      <w:tblPr>
        <w:tblStyle w:val="TableGrid"/>
        <w:tblW w:w="0" w:type="auto"/>
        <w:tblLook w:val="04A0" w:firstRow="1" w:lastRow="0" w:firstColumn="1" w:lastColumn="0" w:noHBand="0" w:noVBand="1"/>
      </w:tblPr>
      <w:tblGrid>
        <w:gridCol w:w="5635"/>
        <w:gridCol w:w="540"/>
        <w:gridCol w:w="682"/>
        <w:gridCol w:w="682"/>
        <w:gridCol w:w="1480"/>
      </w:tblGrid>
      <w:tr w:rsidR="007142C9" w14:paraId="0E3958D5" w14:textId="77777777" w:rsidTr="007142C9">
        <w:tc>
          <w:tcPr>
            <w:tcW w:w="6480" w:type="dxa"/>
          </w:tcPr>
          <w:p w14:paraId="5C3C6C66" w14:textId="77777777" w:rsidR="007142C9" w:rsidRDefault="007142C9" w:rsidP="003F07F9">
            <w:pPr>
              <w:spacing w:after="0"/>
            </w:pPr>
            <w:r>
              <w:rPr>
                <w:b/>
                <w:sz w:val="18"/>
              </w:rPr>
              <w:t>Item</w:t>
            </w:r>
          </w:p>
        </w:tc>
        <w:tc>
          <w:tcPr>
            <w:tcW w:w="576" w:type="dxa"/>
          </w:tcPr>
          <w:p w14:paraId="151767AA" w14:textId="77777777" w:rsidR="007142C9" w:rsidRDefault="007142C9" w:rsidP="003F07F9">
            <w:pPr>
              <w:spacing w:after="0"/>
            </w:pPr>
            <w:r>
              <w:rPr>
                <w:b/>
                <w:sz w:val="18"/>
              </w:rPr>
              <w:t>n</w:t>
            </w:r>
          </w:p>
        </w:tc>
        <w:tc>
          <w:tcPr>
            <w:tcW w:w="720" w:type="dxa"/>
          </w:tcPr>
          <w:p w14:paraId="3DF099BC" w14:textId="77777777" w:rsidR="007142C9" w:rsidRDefault="007142C9" w:rsidP="003F07F9">
            <w:pPr>
              <w:spacing w:after="0"/>
            </w:pPr>
            <w:r>
              <w:rPr>
                <w:b/>
                <w:sz w:val="18"/>
              </w:rPr>
              <w:t>M</w:t>
            </w:r>
          </w:p>
        </w:tc>
        <w:tc>
          <w:tcPr>
            <w:tcW w:w="720" w:type="dxa"/>
          </w:tcPr>
          <w:p w14:paraId="524684E2" w14:textId="77777777" w:rsidR="007142C9" w:rsidRDefault="007142C9" w:rsidP="003F07F9">
            <w:pPr>
              <w:spacing w:after="0"/>
            </w:pPr>
            <w:r>
              <w:rPr>
                <w:b/>
                <w:sz w:val="18"/>
              </w:rPr>
              <w:t>SD</w:t>
            </w:r>
          </w:p>
        </w:tc>
        <w:tc>
          <w:tcPr>
            <w:tcW w:w="1584" w:type="dxa"/>
          </w:tcPr>
          <w:p w14:paraId="7664A5CB" w14:textId="783AB2CC" w:rsidR="007142C9" w:rsidRDefault="007142C9" w:rsidP="003F07F9">
            <w:pPr>
              <w:spacing w:after="0"/>
            </w:pPr>
            <w:r>
              <w:rPr>
                <w:b/>
                <w:sz w:val="18"/>
              </w:rPr>
              <w:t>Agreement (4</w:t>
            </w:r>
            <w:r w:rsidR="001C4D5C" w:rsidRPr="001C4D5C">
              <w:rPr>
                <w:b/>
                <w:sz w:val="18"/>
              </w:rPr>
              <w:t>–</w:t>
            </w:r>
            <w:r>
              <w:rPr>
                <w:b/>
                <w:sz w:val="18"/>
              </w:rPr>
              <w:t>5)</w:t>
            </w:r>
          </w:p>
        </w:tc>
      </w:tr>
      <w:tr w:rsidR="007142C9" w14:paraId="27BC437C" w14:textId="77777777" w:rsidTr="007142C9">
        <w:tc>
          <w:tcPr>
            <w:tcW w:w="6480" w:type="dxa"/>
          </w:tcPr>
          <w:p w14:paraId="49118F10" w14:textId="77777777" w:rsidR="007142C9" w:rsidRDefault="007142C9" w:rsidP="003F07F9">
            <w:pPr>
              <w:spacing w:after="0"/>
            </w:pPr>
            <w:r>
              <w:rPr>
                <w:sz w:val="18"/>
              </w:rPr>
              <w:t>Standard language as historical/social/institutional process</w:t>
            </w:r>
          </w:p>
        </w:tc>
        <w:tc>
          <w:tcPr>
            <w:tcW w:w="576" w:type="dxa"/>
          </w:tcPr>
          <w:p w14:paraId="41AA2EAE" w14:textId="11B6B1F1" w:rsidR="007142C9" w:rsidRPr="00EB0501" w:rsidRDefault="00EB0501" w:rsidP="003F07F9">
            <w:pPr>
              <w:spacing w:after="0"/>
              <w:rPr>
                <w:sz w:val="18"/>
                <w:szCs w:val="18"/>
              </w:rPr>
            </w:pPr>
            <w:r w:rsidRPr="00EB0501">
              <w:rPr>
                <w:sz w:val="18"/>
                <w:szCs w:val="18"/>
              </w:rPr>
              <w:t>76</w:t>
            </w:r>
          </w:p>
        </w:tc>
        <w:tc>
          <w:tcPr>
            <w:tcW w:w="720" w:type="dxa"/>
          </w:tcPr>
          <w:p w14:paraId="38CDA932" w14:textId="77777777" w:rsidR="007142C9" w:rsidRDefault="007142C9" w:rsidP="003F07F9">
            <w:pPr>
              <w:spacing w:after="0"/>
            </w:pPr>
            <w:r>
              <w:rPr>
                <w:sz w:val="18"/>
              </w:rPr>
              <w:t>4.53</w:t>
            </w:r>
          </w:p>
        </w:tc>
        <w:tc>
          <w:tcPr>
            <w:tcW w:w="720" w:type="dxa"/>
          </w:tcPr>
          <w:p w14:paraId="44E0B0CA" w14:textId="77777777" w:rsidR="007142C9" w:rsidRDefault="007142C9" w:rsidP="003F07F9">
            <w:pPr>
              <w:spacing w:after="0"/>
            </w:pPr>
            <w:r>
              <w:rPr>
                <w:sz w:val="18"/>
              </w:rPr>
              <w:t>1.25</w:t>
            </w:r>
          </w:p>
        </w:tc>
        <w:tc>
          <w:tcPr>
            <w:tcW w:w="1584" w:type="dxa"/>
          </w:tcPr>
          <w:p w14:paraId="7AEB161D" w14:textId="74034230" w:rsidR="007142C9" w:rsidRDefault="00EB0501" w:rsidP="003F07F9">
            <w:pPr>
              <w:spacing w:after="0"/>
            </w:pPr>
            <w:r w:rsidRPr="00EB0501">
              <w:rPr>
                <w:sz w:val="18"/>
              </w:rPr>
              <w:t>68 (89.5%)</w:t>
            </w:r>
          </w:p>
        </w:tc>
      </w:tr>
      <w:tr w:rsidR="007142C9" w14:paraId="47724F3A" w14:textId="77777777" w:rsidTr="007142C9">
        <w:tc>
          <w:tcPr>
            <w:tcW w:w="6480" w:type="dxa"/>
          </w:tcPr>
          <w:p w14:paraId="7C75A3B7" w14:textId="77777777" w:rsidR="007142C9" w:rsidRDefault="007142C9" w:rsidP="003F07F9">
            <w:pPr>
              <w:spacing w:after="0"/>
            </w:pPr>
            <w:r>
              <w:rPr>
                <w:sz w:val="18"/>
              </w:rPr>
              <w:t>Historical variants help explain standardization</w:t>
            </w:r>
          </w:p>
        </w:tc>
        <w:tc>
          <w:tcPr>
            <w:tcW w:w="576" w:type="dxa"/>
          </w:tcPr>
          <w:p w14:paraId="4816A21C" w14:textId="7C8266A9" w:rsidR="007142C9" w:rsidRDefault="00EB0501" w:rsidP="003F07F9">
            <w:pPr>
              <w:spacing w:after="0"/>
            </w:pPr>
            <w:r w:rsidRPr="00EB0501">
              <w:rPr>
                <w:sz w:val="18"/>
                <w:szCs w:val="18"/>
              </w:rPr>
              <w:t>76</w:t>
            </w:r>
          </w:p>
        </w:tc>
        <w:tc>
          <w:tcPr>
            <w:tcW w:w="720" w:type="dxa"/>
          </w:tcPr>
          <w:p w14:paraId="2755E51D" w14:textId="77777777" w:rsidR="007142C9" w:rsidRDefault="007142C9" w:rsidP="003F07F9">
            <w:pPr>
              <w:spacing w:after="0"/>
            </w:pPr>
            <w:r>
              <w:rPr>
                <w:sz w:val="18"/>
              </w:rPr>
              <w:t>4.47</w:t>
            </w:r>
          </w:p>
        </w:tc>
        <w:tc>
          <w:tcPr>
            <w:tcW w:w="720" w:type="dxa"/>
          </w:tcPr>
          <w:p w14:paraId="25435451" w14:textId="77777777" w:rsidR="007142C9" w:rsidRDefault="007142C9" w:rsidP="003F07F9">
            <w:pPr>
              <w:spacing w:after="0"/>
            </w:pPr>
            <w:r>
              <w:rPr>
                <w:sz w:val="18"/>
              </w:rPr>
              <w:t>0.95</w:t>
            </w:r>
          </w:p>
        </w:tc>
        <w:tc>
          <w:tcPr>
            <w:tcW w:w="1584" w:type="dxa"/>
          </w:tcPr>
          <w:p w14:paraId="2306658B" w14:textId="4ADB3B61" w:rsidR="007142C9" w:rsidRDefault="00EB0501" w:rsidP="003F07F9">
            <w:pPr>
              <w:spacing w:after="0"/>
            </w:pPr>
            <w:r w:rsidRPr="00EB0501">
              <w:rPr>
                <w:sz w:val="18"/>
              </w:rPr>
              <w:t>72 (94.7%)</w:t>
            </w:r>
          </w:p>
        </w:tc>
      </w:tr>
      <w:tr w:rsidR="007142C9" w14:paraId="44B4D670" w14:textId="77777777" w:rsidTr="007142C9">
        <w:tc>
          <w:tcPr>
            <w:tcW w:w="6480" w:type="dxa"/>
          </w:tcPr>
          <w:p w14:paraId="075633B9" w14:textId="77777777" w:rsidR="007142C9" w:rsidRDefault="007142C9" w:rsidP="003F07F9">
            <w:pPr>
              <w:spacing w:after="0"/>
            </w:pPr>
            <w:r>
              <w:rPr>
                <w:sz w:val="18"/>
              </w:rPr>
              <w:t>Early religious texts useful for language history</w:t>
            </w:r>
          </w:p>
        </w:tc>
        <w:tc>
          <w:tcPr>
            <w:tcW w:w="576" w:type="dxa"/>
          </w:tcPr>
          <w:p w14:paraId="110AF6E8" w14:textId="4A8167A5" w:rsidR="007142C9" w:rsidRDefault="00EB0501" w:rsidP="003F07F9">
            <w:pPr>
              <w:spacing w:after="0"/>
            </w:pPr>
            <w:r w:rsidRPr="00EB0501">
              <w:rPr>
                <w:sz w:val="18"/>
                <w:szCs w:val="18"/>
              </w:rPr>
              <w:t>76</w:t>
            </w:r>
          </w:p>
        </w:tc>
        <w:tc>
          <w:tcPr>
            <w:tcW w:w="720" w:type="dxa"/>
          </w:tcPr>
          <w:p w14:paraId="6CAEECAF" w14:textId="77777777" w:rsidR="007142C9" w:rsidRDefault="007142C9" w:rsidP="003F07F9">
            <w:pPr>
              <w:spacing w:after="0"/>
            </w:pPr>
            <w:r>
              <w:rPr>
                <w:sz w:val="18"/>
              </w:rPr>
              <w:t>4.11</w:t>
            </w:r>
          </w:p>
        </w:tc>
        <w:tc>
          <w:tcPr>
            <w:tcW w:w="720" w:type="dxa"/>
          </w:tcPr>
          <w:p w14:paraId="0DBADD94" w14:textId="77777777" w:rsidR="007142C9" w:rsidRDefault="007142C9" w:rsidP="003F07F9">
            <w:pPr>
              <w:spacing w:after="0"/>
            </w:pPr>
            <w:r>
              <w:rPr>
                <w:sz w:val="18"/>
              </w:rPr>
              <w:t>1.13</w:t>
            </w:r>
          </w:p>
        </w:tc>
        <w:tc>
          <w:tcPr>
            <w:tcW w:w="1584" w:type="dxa"/>
          </w:tcPr>
          <w:p w14:paraId="54D32EBC" w14:textId="7F182338" w:rsidR="007142C9" w:rsidRDefault="00EB0501" w:rsidP="003F07F9">
            <w:pPr>
              <w:spacing w:after="0"/>
            </w:pPr>
            <w:r w:rsidRPr="00EB0501">
              <w:rPr>
                <w:sz w:val="18"/>
              </w:rPr>
              <w:t>60 (78.9%)</w:t>
            </w:r>
          </w:p>
        </w:tc>
      </w:tr>
      <w:tr w:rsidR="007142C9" w14:paraId="0C3EB7C6" w14:textId="77777777" w:rsidTr="007142C9">
        <w:tc>
          <w:tcPr>
            <w:tcW w:w="6480" w:type="dxa"/>
          </w:tcPr>
          <w:p w14:paraId="68934EFE" w14:textId="77777777" w:rsidR="007142C9" w:rsidRDefault="007142C9" w:rsidP="003F07F9">
            <w:pPr>
              <w:spacing w:after="0"/>
            </w:pPr>
            <w:r>
              <w:rPr>
                <w:sz w:val="18"/>
              </w:rPr>
              <w:t>Variant differences are not necessarily errors</w:t>
            </w:r>
          </w:p>
        </w:tc>
        <w:tc>
          <w:tcPr>
            <w:tcW w:w="576" w:type="dxa"/>
          </w:tcPr>
          <w:p w14:paraId="764A4AF9" w14:textId="6E4AC4B0" w:rsidR="007142C9" w:rsidRDefault="00EB0501" w:rsidP="003F07F9">
            <w:pPr>
              <w:spacing w:after="0"/>
            </w:pPr>
            <w:r w:rsidRPr="00EB0501">
              <w:rPr>
                <w:sz w:val="18"/>
                <w:szCs w:val="18"/>
              </w:rPr>
              <w:t>76</w:t>
            </w:r>
          </w:p>
        </w:tc>
        <w:tc>
          <w:tcPr>
            <w:tcW w:w="720" w:type="dxa"/>
          </w:tcPr>
          <w:p w14:paraId="1B2B3775" w14:textId="77777777" w:rsidR="007142C9" w:rsidRDefault="007142C9" w:rsidP="003F07F9">
            <w:pPr>
              <w:spacing w:after="0"/>
            </w:pPr>
            <w:r>
              <w:rPr>
                <w:sz w:val="18"/>
              </w:rPr>
              <w:t>4.21</w:t>
            </w:r>
          </w:p>
        </w:tc>
        <w:tc>
          <w:tcPr>
            <w:tcW w:w="720" w:type="dxa"/>
          </w:tcPr>
          <w:p w14:paraId="63FB46DD" w14:textId="77777777" w:rsidR="007142C9" w:rsidRDefault="007142C9" w:rsidP="003F07F9">
            <w:pPr>
              <w:spacing w:after="0"/>
            </w:pPr>
            <w:r>
              <w:rPr>
                <w:sz w:val="18"/>
              </w:rPr>
              <w:t>1.26</w:t>
            </w:r>
          </w:p>
        </w:tc>
        <w:tc>
          <w:tcPr>
            <w:tcW w:w="1584" w:type="dxa"/>
          </w:tcPr>
          <w:p w14:paraId="39DA7170" w14:textId="19A09BB4" w:rsidR="007142C9" w:rsidRDefault="00EB0501" w:rsidP="003F07F9">
            <w:pPr>
              <w:spacing w:after="0"/>
            </w:pPr>
            <w:r w:rsidRPr="00EB0501">
              <w:rPr>
                <w:sz w:val="18"/>
              </w:rPr>
              <w:t>64 (84.2%)</w:t>
            </w:r>
          </w:p>
        </w:tc>
      </w:tr>
      <w:tr w:rsidR="007142C9" w14:paraId="74A04D4A" w14:textId="77777777" w:rsidTr="007142C9">
        <w:tc>
          <w:tcPr>
            <w:tcW w:w="6480" w:type="dxa"/>
          </w:tcPr>
          <w:p w14:paraId="5D1CD17D" w14:textId="77777777" w:rsidR="007142C9" w:rsidRDefault="007142C9" w:rsidP="003F07F9">
            <w:pPr>
              <w:spacing w:after="0"/>
            </w:pPr>
            <w:r>
              <w:rPr>
                <w:sz w:val="18"/>
              </w:rPr>
              <w:t>Canonical text retains authority across variants</w:t>
            </w:r>
          </w:p>
        </w:tc>
        <w:tc>
          <w:tcPr>
            <w:tcW w:w="576" w:type="dxa"/>
          </w:tcPr>
          <w:p w14:paraId="359D88D8" w14:textId="541FA7D4" w:rsidR="007142C9" w:rsidRDefault="00EB0501" w:rsidP="003F07F9">
            <w:pPr>
              <w:spacing w:after="0"/>
            </w:pPr>
            <w:r w:rsidRPr="00EB0501">
              <w:rPr>
                <w:sz w:val="18"/>
                <w:szCs w:val="18"/>
              </w:rPr>
              <w:t>76</w:t>
            </w:r>
          </w:p>
        </w:tc>
        <w:tc>
          <w:tcPr>
            <w:tcW w:w="720" w:type="dxa"/>
          </w:tcPr>
          <w:p w14:paraId="7797978A" w14:textId="77777777" w:rsidR="007142C9" w:rsidRDefault="007142C9" w:rsidP="003F07F9">
            <w:pPr>
              <w:spacing w:after="0"/>
            </w:pPr>
            <w:r>
              <w:rPr>
                <w:sz w:val="18"/>
              </w:rPr>
              <w:t>4.11</w:t>
            </w:r>
          </w:p>
        </w:tc>
        <w:tc>
          <w:tcPr>
            <w:tcW w:w="720" w:type="dxa"/>
          </w:tcPr>
          <w:p w14:paraId="0D9D7781" w14:textId="77777777" w:rsidR="007142C9" w:rsidRDefault="007142C9" w:rsidP="003F07F9">
            <w:pPr>
              <w:spacing w:after="0"/>
            </w:pPr>
            <w:r>
              <w:rPr>
                <w:sz w:val="18"/>
              </w:rPr>
              <w:t>1.13</w:t>
            </w:r>
          </w:p>
        </w:tc>
        <w:tc>
          <w:tcPr>
            <w:tcW w:w="1584" w:type="dxa"/>
          </w:tcPr>
          <w:p w14:paraId="6CFE58C4" w14:textId="31E2EA07" w:rsidR="007142C9" w:rsidRDefault="00EB0501" w:rsidP="003F07F9">
            <w:pPr>
              <w:spacing w:after="0"/>
            </w:pPr>
            <w:r w:rsidRPr="00EB0501">
              <w:rPr>
                <w:sz w:val="18"/>
              </w:rPr>
              <w:t>52 (68.4%)</w:t>
            </w:r>
          </w:p>
        </w:tc>
      </w:tr>
      <w:tr w:rsidR="007142C9" w14:paraId="3E3793EB" w14:textId="77777777" w:rsidTr="007142C9">
        <w:tc>
          <w:tcPr>
            <w:tcW w:w="6480" w:type="dxa"/>
          </w:tcPr>
          <w:p w14:paraId="44C1F3EA" w14:textId="77777777" w:rsidR="007142C9" w:rsidRDefault="007142C9" w:rsidP="003F07F9">
            <w:pPr>
              <w:spacing w:after="0"/>
            </w:pPr>
            <w:r>
              <w:rPr>
                <w:sz w:val="18"/>
              </w:rPr>
              <w:t>Comparison develops cultural literacy</w:t>
            </w:r>
          </w:p>
        </w:tc>
        <w:tc>
          <w:tcPr>
            <w:tcW w:w="576" w:type="dxa"/>
          </w:tcPr>
          <w:p w14:paraId="5FB71E5D" w14:textId="2129A3A2" w:rsidR="007142C9" w:rsidRDefault="00EB0501" w:rsidP="003F07F9">
            <w:pPr>
              <w:spacing w:after="0"/>
            </w:pPr>
            <w:r w:rsidRPr="00EB0501">
              <w:rPr>
                <w:sz w:val="18"/>
                <w:szCs w:val="18"/>
              </w:rPr>
              <w:t>76</w:t>
            </w:r>
          </w:p>
        </w:tc>
        <w:tc>
          <w:tcPr>
            <w:tcW w:w="720" w:type="dxa"/>
          </w:tcPr>
          <w:p w14:paraId="0F14C522" w14:textId="77777777" w:rsidR="007142C9" w:rsidRDefault="007142C9" w:rsidP="003F07F9">
            <w:pPr>
              <w:spacing w:after="0"/>
            </w:pPr>
            <w:r>
              <w:rPr>
                <w:sz w:val="18"/>
              </w:rPr>
              <w:t>4.68</w:t>
            </w:r>
          </w:p>
        </w:tc>
        <w:tc>
          <w:tcPr>
            <w:tcW w:w="720" w:type="dxa"/>
          </w:tcPr>
          <w:p w14:paraId="2ADB59AF" w14:textId="77777777" w:rsidR="007142C9" w:rsidRDefault="007142C9" w:rsidP="003F07F9">
            <w:pPr>
              <w:spacing w:after="0"/>
            </w:pPr>
            <w:r>
              <w:rPr>
                <w:sz w:val="18"/>
              </w:rPr>
              <w:t>0.57</w:t>
            </w:r>
          </w:p>
        </w:tc>
        <w:tc>
          <w:tcPr>
            <w:tcW w:w="1584" w:type="dxa"/>
          </w:tcPr>
          <w:p w14:paraId="3C0C481F" w14:textId="10AD2826" w:rsidR="007142C9" w:rsidRDefault="00EB0501" w:rsidP="003F07F9">
            <w:pPr>
              <w:spacing w:after="0"/>
            </w:pPr>
            <w:r w:rsidRPr="00EB0501">
              <w:rPr>
                <w:sz w:val="18"/>
              </w:rPr>
              <w:t>72 (94.7%)</w:t>
            </w:r>
          </w:p>
        </w:tc>
      </w:tr>
    </w:tbl>
    <w:p w14:paraId="75328339" w14:textId="77777777" w:rsidR="007142C9" w:rsidRPr="007142C9" w:rsidRDefault="007142C9" w:rsidP="007142C9">
      <w:pPr>
        <w:keepNext/>
        <w:spacing w:before="120" w:after="60"/>
        <w:rPr>
          <w:bCs/>
          <w:i/>
          <w:iCs/>
        </w:rPr>
      </w:pPr>
      <w:r w:rsidRPr="007142C9">
        <w:rPr>
          <w:bCs/>
          <w:i/>
          <w:iCs/>
          <w:sz w:val="22"/>
        </w:rPr>
        <w:t>Table 3. Likert-scale perceptions after comparison</w:t>
      </w:r>
    </w:p>
    <w:tbl>
      <w:tblPr>
        <w:tblStyle w:val="TableGrid"/>
        <w:tblW w:w="0" w:type="auto"/>
        <w:tblLook w:val="04A0" w:firstRow="1" w:lastRow="0" w:firstColumn="1" w:lastColumn="0" w:noHBand="0" w:noVBand="1"/>
      </w:tblPr>
      <w:tblGrid>
        <w:gridCol w:w="5635"/>
        <w:gridCol w:w="540"/>
        <w:gridCol w:w="682"/>
        <w:gridCol w:w="682"/>
        <w:gridCol w:w="1480"/>
      </w:tblGrid>
      <w:tr w:rsidR="007142C9" w14:paraId="4F05D398" w14:textId="77777777" w:rsidTr="007142C9">
        <w:tc>
          <w:tcPr>
            <w:tcW w:w="6480" w:type="dxa"/>
          </w:tcPr>
          <w:p w14:paraId="2DE10E48" w14:textId="77777777" w:rsidR="007142C9" w:rsidRDefault="007142C9" w:rsidP="003F07F9">
            <w:pPr>
              <w:spacing w:after="0"/>
            </w:pPr>
            <w:r>
              <w:rPr>
                <w:b/>
                <w:sz w:val="18"/>
              </w:rPr>
              <w:t>Item</w:t>
            </w:r>
          </w:p>
        </w:tc>
        <w:tc>
          <w:tcPr>
            <w:tcW w:w="576" w:type="dxa"/>
          </w:tcPr>
          <w:p w14:paraId="2DED9B47" w14:textId="77777777" w:rsidR="007142C9" w:rsidRDefault="007142C9" w:rsidP="003F07F9">
            <w:pPr>
              <w:spacing w:after="0"/>
            </w:pPr>
            <w:r>
              <w:rPr>
                <w:b/>
                <w:sz w:val="18"/>
              </w:rPr>
              <w:t>n</w:t>
            </w:r>
          </w:p>
        </w:tc>
        <w:tc>
          <w:tcPr>
            <w:tcW w:w="720" w:type="dxa"/>
          </w:tcPr>
          <w:p w14:paraId="0F6AB256" w14:textId="77777777" w:rsidR="007142C9" w:rsidRDefault="007142C9" w:rsidP="003F07F9">
            <w:pPr>
              <w:spacing w:after="0"/>
            </w:pPr>
            <w:r>
              <w:rPr>
                <w:b/>
                <w:sz w:val="18"/>
              </w:rPr>
              <w:t>M</w:t>
            </w:r>
          </w:p>
        </w:tc>
        <w:tc>
          <w:tcPr>
            <w:tcW w:w="720" w:type="dxa"/>
          </w:tcPr>
          <w:p w14:paraId="0B4841EC" w14:textId="77777777" w:rsidR="007142C9" w:rsidRDefault="007142C9" w:rsidP="003F07F9">
            <w:pPr>
              <w:spacing w:after="0"/>
            </w:pPr>
            <w:r>
              <w:rPr>
                <w:b/>
                <w:sz w:val="18"/>
              </w:rPr>
              <w:t>SD</w:t>
            </w:r>
          </w:p>
        </w:tc>
        <w:tc>
          <w:tcPr>
            <w:tcW w:w="1584" w:type="dxa"/>
          </w:tcPr>
          <w:p w14:paraId="6E15A272" w14:textId="5A3BE23B" w:rsidR="007142C9" w:rsidRDefault="007142C9" w:rsidP="003F07F9">
            <w:pPr>
              <w:spacing w:after="0"/>
            </w:pPr>
            <w:r>
              <w:rPr>
                <w:b/>
                <w:sz w:val="18"/>
              </w:rPr>
              <w:t>Agreement (4</w:t>
            </w:r>
            <w:r w:rsidR="001C4D5C" w:rsidRPr="001C4D5C">
              <w:rPr>
                <w:b/>
                <w:sz w:val="18"/>
              </w:rPr>
              <w:t>–</w:t>
            </w:r>
            <w:r>
              <w:rPr>
                <w:b/>
                <w:sz w:val="18"/>
              </w:rPr>
              <w:t>5)</w:t>
            </w:r>
          </w:p>
        </w:tc>
      </w:tr>
      <w:tr w:rsidR="007142C9" w14:paraId="134357E5" w14:textId="77777777" w:rsidTr="007142C9">
        <w:tc>
          <w:tcPr>
            <w:tcW w:w="6480" w:type="dxa"/>
          </w:tcPr>
          <w:p w14:paraId="2D934284" w14:textId="77777777" w:rsidR="007142C9" w:rsidRDefault="007142C9" w:rsidP="003F07F9">
            <w:pPr>
              <w:spacing w:after="0"/>
            </w:pPr>
            <w:r>
              <w:rPr>
                <w:sz w:val="18"/>
              </w:rPr>
              <w:t>Standard language understood more clearly as process</w:t>
            </w:r>
          </w:p>
        </w:tc>
        <w:tc>
          <w:tcPr>
            <w:tcW w:w="576" w:type="dxa"/>
          </w:tcPr>
          <w:p w14:paraId="056B82B2" w14:textId="10C4988A" w:rsidR="007142C9" w:rsidRDefault="00EB0501" w:rsidP="003F07F9">
            <w:pPr>
              <w:spacing w:after="0"/>
            </w:pPr>
            <w:r w:rsidRPr="00EB0501">
              <w:rPr>
                <w:sz w:val="18"/>
                <w:szCs w:val="18"/>
              </w:rPr>
              <w:t>76</w:t>
            </w:r>
          </w:p>
        </w:tc>
        <w:tc>
          <w:tcPr>
            <w:tcW w:w="720" w:type="dxa"/>
          </w:tcPr>
          <w:p w14:paraId="088197BF" w14:textId="77777777" w:rsidR="007142C9" w:rsidRDefault="007142C9" w:rsidP="003F07F9">
            <w:pPr>
              <w:spacing w:after="0"/>
            </w:pPr>
            <w:r>
              <w:rPr>
                <w:sz w:val="18"/>
              </w:rPr>
              <w:t>4.16</w:t>
            </w:r>
          </w:p>
        </w:tc>
        <w:tc>
          <w:tcPr>
            <w:tcW w:w="720" w:type="dxa"/>
          </w:tcPr>
          <w:p w14:paraId="6EA72CE3" w14:textId="77777777" w:rsidR="007142C9" w:rsidRDefault="007142C9" w:rsidP="003F07F9">
            <w:pPr>
              <w:spacing w:after="0"/>
            </w:pPr>
            <w:r>
              <w:rPr>
                <w:sz w:val="18"/>
              </w:rPr>
              <w:t>1.24</w:t>
            </w:r>
          </w:p>
        </w:tc>
        <w:tc>
          <w:tcPr>
            <w:tcW w:w="1584" w:type="dxa"/>
          </w:tcPr>
          <w:p w14:paraId="1E71EAA4" w14:textId="189B2C25" w:rsidR="007142C9" w:rsidRDefault="00EB0501" w:rsidP="003F07F9">
            <w:pPr>
              <w:spacing w:after="0"/>
            </w:pPr>
            <w:r w:rsidRPr="00EB0501">
              <w:rPr>
                <w:sz w:val="18"/>
              </w:rPr>
              <w:t>64 (84.2%)</w:t>
            </w:r>
          </w:p>
        </w:tc>
      </w:tr>
      <w:tr w:rsidR="007142C9" w14:paraId="07132933" w14:textId="77777777" w:rsidTr="007142C9">
        <w:tc>
          <w:tcPr>
            <w:tcW w:w="6480" w:type="dxa"/>
          </w:tcPr>
          <w:p w14:paraId="198F9627" w14:textId="77777777" w:rsidR="007142C9" w:rsidRDefault="007142C9" w:rsidP="003F07F9">
            <w:pPr>
              <w:spacing w:after="0"/>
            </w:pPr>
            <w:r>
              <w:rPr>
                <w:sz w:val="18"/>
              </w:rPr>
              <w:t>Comparison clarified development/standardization</w:t>
            </w:r>
          </w:p>
        </w:tc>
        <w:tc>
          <w:tcPr>
            <w:tcW w:w="576" w:type="dxa"/>
          </w:tcPr>
          <w:p w14:paraId="34802538" w14:textId="2026F3E4" w:rsidR="007142C9" w:rsidRDefault="00EB0501" w:rsidP="003F07F9">
            <w:pPr>
              <w:spacing w:after="0"/>
            </w:pPr>
            <w:r w:rsidRPr="00EB0501">
              <w:rPr>
                <w:sz w:val="18"/>
                <w:szCs w:val="18"/>
              </w:rPr>
              <w:t>76</w:t>
            </w:r>
          </w:p>
        </w:tc>
        <w:tc>
          <w:tcPr>
            <w:tcW w:w="720" w:type="dxa"/>
          </w:tcPr>
          <w:p w14:paraId="3320A106" w14:textId="77777777" w:rsidR="007142C9" w:rsidRDefault="007142C9" w:rsidP="003F07F9">
            <w:pPr>
              <w:spacing w:after="0"/>
            </w:pPr>
            <w:r>
              <w:rPr>
                <w:sz w:val="18"/>
              </w:rPr>
              <w:t>4.21</w:t>
            </w:r>
          </w:p>
        </w:tc>
        <w:tc>
          <w:tcPr>
            <w:tcW w:w="720" w:type="dxa"/>
          </w:tcPr>
          <w:p w14:paraId="05CE2831" w14:textId="77777777" w:rsidR="007142C9" w:rsidRDefault="007142C9" w:rsidP="003F07F9">
            <w:pPr>
              <w:spacing w:after="0"/>
            </w:pPr>
            <w:r>
              <w:rPr>
                <w:sz w:val="18"/>
              </w:rPr>
              <w:t>0.78</w:t>
            </w:r>
          </w:p>
        </w:tc>
        <w:tc>
          <w:tcPr>
            <w:tcW w:w="1584" w:type="dxa"/>
          </w:tcPr>
          <w:p w14:paraId="50E89E71" w14:textId="6DF45DA9" w:rsidR="007142C9" w:rsidRDefault="00EB0501" w:rsidP="003F07F9">
            <w:pPr>
              <w:spacing w:after="0"/>
            </w:pPr>
            <w:r w:rsidRPr="00EB0501">
              <w:rPr>
                <w:sz w:val="18"/>
              </w:rPr>
              <w:t>68 (89.5%</w:t>
            </w:r>
            <w:r>
              <w:rPr>
                <w:sz w:val="18"/>
              </w:rPr>
              <w:t>)</w:t>
            </w:r>
          </w:p>
        </w:tc>
      </w:tr>
      <w:tr w:rsidR="007142C9" w14:paraId="7516D0C5" w14:textId="77777777" w:rsidTr="007142C9">
        <w:tc>
          <w:tcPr>
            <w:tcW w:w="6480" w:type="dxa"/>
          </w:tcPr>
          <w:p w14:paraId="05203C55" w14:textId="77777777" w:rsidR="007142C9" w:rsidRDefault="007142C9" w:rsidP="003F07F9">
            <w:pPr>
              <w:spacing w:after="0"/>
            </w:pPr>
            <w:r>
              <w:rPr>
                <w:sz w:val="18"/>
              </w:rPr>
              <w:t>Early religious texts useful as teaching materials</w:t>
            </w:r>
          </w:p>
        </w:tc>
        <w:tc>
          <w:tcPr>
            <w:tcW w:w="576" w:type="dxa"/>
          </w:tcPr>
          <w:p w14:paraId="40B74233" w14:textId="3F67B7FB" w:rsidR="007142C9" w:rsidRDefault="00EB0501" w:rsidP="003F07F9">
            <w:pPr>
              <w:spacing w:after="0"/>
            </w:pPr>
            <w:r w:rsidRPr="00EB0501">
              <w:rPr>
                <w:sz w:val="18"/>
                <w:szCs w:val="18"/>
              </w:rPr>
              <w:t>76</w:t>
            </w:r>
          </w:p>
        </w:tc>
        <w:tc>
          <w:tcPr>
            <w:tcW w:w="720" w:type="dxa"/>
          </w:tcPr>
          <w:p w14:paraId="517376A4" w14:textId="77777777" w:rsidR="007142C9" w:rsidRDefault="007142C9" w:rsidP="003F07F9">
            <w:pPr>
              <w:spacing w:after="0"/>
            </w:pPr>
            <w:r>
              <w:rPr>
                <w:sz w:val="18"/>
              </w:rPr>
              <w:t>4.05</w:t>
            </w:r>
          </w:p>
        </w:tc>
        <w:tc>
          <w:tcPr>
            <w:tcW w:w="720" w:type="dxa"/>
          </w:tcPr>
          <w:p w14:paraId="559B62CB" w14:textId="77777777" w:rsidR="007142C9" w:rsidRDefault="007142C9" w:rsidP="003F07F9">
            <w:pPr>
              <w:spacing w:after="0"/>
            </w:pPr>
            <w:r>
              <w:rPr>
                <w:sz w:val="18"/>
              </w:rPr>
              <w:t>0.96</w:t>
            </w:r>
          </w:p>
        </w:tc>
        <w:tc>
          <w:tcPr>
            <w:tcW w:w="1584" w:type="dxa"/>
          </w:tcPr>
          <w:p w14:paraId="4529F131" w14:textId="68B482B9" w:rsidR="007142C9" w:rsidRDefault="00EB0501" w:rsidP="003F07F9">
            <w:pPr>
              <w:spacing w:after="0"/>
            </w:pPr>
            <w:r w:rsidRPr="00EB0501">
              <w:rPr>
                <w:sz w:val="18"/>
              </w:rPr>
              <w:t>60 (78.9%)</w:t>
            </w:r>
          </w:p>
        </w:tc>
      </w:tr>
      <w:tr w:rsidR="007142C9" w14:paraId="2AC28BA4" w14:textId="77777777" w:rsidTr="007142C9">
        <w:tc>
          <w:tcPr>
            <w:tcW w:w="6480" w:type="dxa"/>
          </w:tcPr>
          <w:p w14:paraId="07540BF5" w14:textId="77777777" w:rsidR="007142C9" w:rsidRDefault="007142C9" w:rsidP="003F07F9">
            <w:pPr>
              <w:spacing w:after="0"/>
            </w:pPr>
            <w:r>
              <w:rPr>
                <w:sz w:val="18"/>
              </w:rPr>
              <w:t>Variants seen as development, not errors</w:t>
            </w:r>
          </w:p>
        </w:tc>
        <w:tc>
          <w:tcPr>
            <w:tcW w:w="576" w:type="dxa"/>
          </w:tcPr>
          <w:p w14:paraId="3E5B692E" w14:textId="5AED6080" w:rsidR="007142C9" w:rsidRDefault="00EB0501" w:rsidP="003F07F9">
            <w:pPr>
              <w:spacing w:after="0"/>
            </w:pPr>
            <w:r w:rsidRPr="00EB0501">
              <w:rPr>
                <w:sz w:val="18"/>
                <w:szCs w:val="18"/>
              </w:rPr>
              <w:t>76</w:t>
            </w:r>
          </w:p>
        </w:tc>
        <w:tc>
          <w:tcPr>
            <w:tcW w:w="720" w:type="dxa"/>
          </w:tcPr>
          <w:p w14:paraId="53DEE5DF" w14:textId="77777777" w:rsidR="007142C9" w:rsidRDefault="007142C9" w:rsidP="003F07F9">
            <w:pPr>
              <w:spacing w:after="0"/>
            </w:pPr>
            <w:r>
              <w:rPr>
                <w:sz w:val="18"/>
              </w:rPr>
              <w:t>4.53</w:t>
            </w:r>
          </w:p>
        </w:tc>
        <w:tc>
          <w:tcPr>
            <w:tcW w:w="720" w:type="dxa"/>
          </w:tcPr>
          <w:p w14:paraId="292585E3" w14:textId="77777777" w:rsidR="007142C9" w:rsidRDefault="007142C9" w:rsidP="003F07F9">
            <w:pPr>
              <w:spacing w:after="0"/>
            </w:pPr>
            <w:r>
              <w:rPr>
                <w:sz w:val="18"/>
              </w:rPr>
              <w:t>0.83</w:t>
            </w:r>
          </w:p>
        </w:tc>
        <w:tc>
          <w:tcPr>
            <w:tcW w:w="1584" w:type="dxa"/>
          </w:tcPr>
          <w:p w14:paraId="1F8E2232" w14:textId="4AB07000" w:rsidR="007142C9" w:rsidRDefault="00EB0501" w:rsidP="003F07F9">
            <w:pPr>
              <w:spacing w:after="0"/>
            </w:pPr>
            <w:r w:rsidRPr="00EB0501">
              <w:rPr>
                <w:sz w:val="18"/>
              </w:rPr>
              <w:t>68 (89.5%)</w:t>
            </w:r>
          </w:p>
        </w:tc>
      </w:tr>
      <w:tr w:rsidR="007142C9" w14:paraId="267ECB35" w14:textId="77777777" w:rsidTr="007142C9">
        <w:tc>
          <w:tcPr>
            <w:tcW w:w="6480" w:type="dxa"/>
          </w:tcPr>
          <w:p w14:paraId="0473E441" w14:textId="77777777" w:rsidR="007142C9" w:rsidRDefault="007142C9" w:rsidP="003F07F9">
            <w:pPr>
              <w:spacing w:after="0"/>
            </w:pPr>
            <w:r>
              <w:rPr>
                <w:sz w:val="18"/>
              </w:rPr>
              <w:t>Canon understood as compatible with variants</w:t>
            </w:r>
          </w:p>
        </w:tc>
        <w:tc>
          <w:tcPr>
            <w:tcW w:w="576" w:type="dxa"/>
          </w:tcPr>
          <w:p w14:paraId="6D0844A3" w14:textId="7DBF65A9" w:rsidR="007142C9" w:rsidRDefault="00EB0501" w:rsidP="003F07F9">
            <w:pPr>
              <w:spacing w:after="0"/>
            </w:pPr>
            <w:r w:rsidRPr="00EB0501">
              <w:rPr>
                <w:sz w:val="18"/>
                <w:szCs w:val="18"/>
              </w:rPr>
              <w:t>76</w:t>
            </w:r>
          </w:p>
        </w:tc>
        <w:tc>
          <w:tcPr>
            <w:tcW w:w="720" w:type="dxa"/>
          </w:tcPr>
          <w:p w14:paraId="713E15CD" w14:textId="77777777" w:rsidR="007142C9" w:rsidRDefault="007142C9" w:rsidP="003F07F9">
            <w:pPr>
              <w:spacing w:after="0"/>
            </w:pPr>
            <w:r>
              <w:rPr>
                <w:sz w:val="18"/>
              </w:rPr>
              <w:t>4.37</w:t>
            </w:r>
          </w:p>
        </w:tc>
        <w:tc>
          <w:tcPr>
            <w:tcW w:w="720" w:type="dxa"/>
          </w:tcPr>
          <w:p w14:paraId="75D74B96" w14:textId="77777777" w:rsidR="007142C9" w:rsidRDefault="007142C9" w:rsidP="003F07F9">
            <w:pPr>
              <w:spacing w:after="0"/>
            </w:pPr>
            <w:r>
              <w:rPr>
                <w:sz w:val="18"/>
              </w:rPr>
              <w:t>1.00</w:t>
            </w:r>
          </w:p>
        </w:tc>
        <w:tc>
          <w:tcPr>
            <w:tcW w:w="1584" w:type="dxa"/>
          </w:tcPr>
          <w:p w14:paraId="5F7BABE8" w14:textId="48E779E0" w:rsidR="007142C9" w:rsidRDefault="00EB0501" w:rsidP="003F07F9">
            <w:pPr>
              <w:spacing w:after="0"/>
            </w:pPr>
            <w:r w:rsidRPr="00EB0501">
              <w:rPr>
                <w:sz w:val="18"/>
              </w:rPr>
              <w:t>64 (84.2%)</w:t>
            </w:r>
          </w:p>
        </w:tc>
      </w:tr>
      <w:tr w:rsidR="007142C9" w14:paraId="4034CD50" w14:textId="77777777" w:rsidTr="007142C9">
        <w:tc>
          <w:tcPr>
            <w:tcW w:w="6480" w:type="dxa"/>
          </w:tcPr>
          <w:p w14:paraId="6946879E" w14:textId="77777777" w:rsidR="007142C9" w:rsidRDefault="007142C9" w:rsidP="003F07F9">
            <w:pPr>
              <w:spacing w:after="0"/>
            </w:pPr>
            <w:r>
              <w:rPr>
                <w:sz w:val="18"/>
              </w:rPr>
              <w:t>Task linked language, culture, history and authority</w:t>
            </w:r>
          </w:p>
        </w:tc>
        <w:tc>
          <w:tcPr>
            <w:tcW w:w="576" w:type="dxa"/>
          </w:tcPr>
          <w:p w14:paraId="51CDB0A8" w14:textId="08B57BE3" w:rsidR="007142C9" w:rsidRDefault="00EB0501" w:rsidP="003F07F9">
            <w:pPr>
              <w:spacing w:after="0"/>
            </w:pPr>
            <w:r w:rsidRPr="00EB0501">
              <w:rPr>
                <w:sz w:val="18"/>
                <w:szCs w:val="18"/>
              </w:rPr>
              <w:t>76</w:t>
            </w:r>
          </w:p>
        </w:tc>
        <w:tc>
          <w:tcPr>
            <w:tcW w:w="720" w:type="dxa"/>
          </w:tcPr>
          <w:p w14:paraId="5AFF0B53" w14:textId="77777777" w:rsidR="007142C9" w:rsidRDefault="007142C9" w:rsidP="003F07F9">
            <w:pPr>
              <w:spacing w:after="0"/>
            </w:pPr>
            <w:r>
              <w:rPr>
                <w:sz w:val="18"/>
              </w:rPr>
              <w:t>4.32</w:t>
            </w:r>
          </w:p>
        </w:tc>
        <w:tc>
          <w:tcPr>
            <w:tcW w:w="720" w:type="dxa"/>
          </w:tcPr>
          <w:p w14:paraId="05625762" w14:textId="77777777" w:rsidR="007142C9" w:rsidRDefault="007142C9" w:rsidP="003F07F9">
            <w:pPr>
              <w:spacing w:after="0"/>
            </w:pPr>
            <w:r>
              <w:rPr>
                <w:sz w:val="18"/>
              </w:rPr>
              <w:t>0.87</w:t>
            </w:r>
          </w:p>
        </w:tc>
        <w:tc>
          <w:tcPr>
            <w:tcW w:w="1584" w:type="dxa"/>
          </w:tcPr>
          <w:p w14:paraId="28BEF11E" w14:textId="40A5523B" w:rsidR="007142C9" w:rsidRDefault="00EB0501" w:rsidP="003F07F9">
            <w:pPr>
              <w:spacing w:after="0"/>
            </w:pPr>
            <w:r w:rsidRPr="00EB0501">
              <w:rPr>
                <w:sz w:val="18"/>
              </w:rPr>
              <w:t>64 (84.2%)</w:t>
            </w:r>
          </w:p>
        </w:tc>
      </w:tr>
    </w:tbl>
    <w:p w14:paraId="44B53F7E" w14:textId="70A69849" w:rsidR="007142C9" w:rsidRDefault="007142C9" w:rsidP="007142C9">
      <w:pPr>
        <w:jc w:val="both"/>
      </w:pPr>
      <w:r>
        <w:rPr>
          <w:sz w:val="20"/>
        </w:rPr>
        <w:t xml:space="preserve">Note. The total sample was N = </w:t>
      </w:r>
      <w:r w:rsidR="008B1F16">
        <w:rPr>
          <w:sz w:val="20"/>
        </w:rPr>
        <w:t>80</w:t>
      </w:r>
      <w:r>
        <w:rPr>
          <w:sz w:val="20"/>
        </w:rPr>
        <w:t xml:space="preserve">. </w:t>
      </w:r>
      <w:r w:rsidR="00280585">
        <w:rPr>
          <w:sz w:val="20"/>
        </w:rPr>
        <w:t>Four</w:t>
      </w:r>
      <w:r>
        <w:rPr>
          <w:sz w:val="20"/>
        </w:rPr>
        <w:t xml:space="preserve"> records did not contain valid Likert responses; item-level percentages are therefore based on n = </w:t>
      </w:r>
      <w:r w:rsidR="00EB0501">
        <w:rPr>
          <w:sz w:val="20"/>
        </w:rPr>
        <w:t>76</w:t>
      </w:r>
      <w:r>
        <w:rPr>
          <w:sz w:val="20"/>
        </w:rPr>
        <w:t xml:space="preserve"> valid responses.</w:t>
      </w:r>
    </w:p>
    <w:p w14:paraId="78519EE9" w14:textId="77777777" w:rsidR="007142C9" w:rsidRPr="007142C9" w:rsidRDefault="007142C9" w:rsidP="007142C9">
      <w:pPr>
        <w:pStyle w:val="Heading2"/>
        <w:rPr>
          <w:color w:val="auto"/>
        </w:rPr>
      </w:pPr>
      <w:r w:rsidRPr="007142C9">
        <w:rPr>
          <w:rFonts w:ascii="Times New Roman" w:eastAsia="Times New Roman" w:hAnsi="Times New Roman"/>
          <w:color w:val="auto"/>
        </w:rPr>
        <w:t>4.3. Students’ interpretation of the comparison task</w:t>
      </w:r>
    </w:p>
    <w:p w14:paraId="6E4A3E30" w14:textId="296BF96F" w:rsidR="007142C9" w:rsidRDefault="007142C9" w:rsidP="007142C9">
      <w:pPr>
        <w:jc w:val="both"/>
      </w:pPr>
      <w:r>
        <w:t xml:space="preserve">The multiple-choice item after comparison provides a focused measure of how students interpreted the variants. </w:t>
      </w:r>
      <w:r w:rsidR="00BC2C90" w:rsidRPr="00BC2C90">
        <w:t xml:space="preserve">Fifty-six respondents, or 70.0% of the total sample, selected the statement that variants show adaptation according to language, time and community practice. Eight respondents, or 10.0%, selected the more restrictive statement that variants show only inaccuracies and orthographic changes. </w:t>
      </w:r>
      <w:r w:rsidR="009E5A47" w:rsidRPr="009E5A47">
        <w:t>Twelve respondents (15.0%) saw little value in using variants to learn the history of the language, while none associated variation with a loss of textual authority.</w:t>
      </w:r>
      <w:r w:rsidR="009E5A47">
        <w:t xml:space="preserve"> </w:t>
      </w:r>
      <w:r w:rsidR="004972F2" w:rsidRPr="004972F2">
        <w:t>These results are important because they show that most students adopted a historical and contextual interpretation of variation after the comparison task.</w:t>
      </w:r>
    </w:p>
    <w:p w14:paraId="3140A6DB" w14:textId="77777777" w:rsidR="007142C9" w:rsidRDefault="007142C9" w:rsidP="007142C9">
      <w:pPr>
        <w:jc w:val="both"/>
      </w:pPr>
      <w:r>
        <w:t>The open-ended answers to the comparison questions confirm this result. Students commonly identified lexical differences such as the use of different terms for the divine; orthographic differences in spelling and punctuation; and grammatical differences in forms related to the baptismal formula. Many also recognized that the core message of the text remained stable despite changes in form. This is precisely the type of awareness that a pedagogical approach to early textual variants should seek to develop.</w:t>
      </w:r>
    </w:p>
    <w:p w14:paraId="184DFD4C" w14:textId="7092F100" w:rsidR="007142C9" w:rsidRPr="007142C9" w:rsidRDefault="007142C9" w:rsidP="007142C9">
      <w:pPr>
        <w:keepNext/>
        <w:spacing w:before="120" w:after="60"/>
        <w:rPr>
          <w:bCs/>
          <w:i/>
          <w:iCs/>
        </w:rPr>
      </w:pPr>
      <w:r w:rsidRPr="007142C9">
        <w:rPr>
          <w:bCs/>
          <w:i/>
          <w:iCs/>
          <w:sz w:val="22"/>
        </w:rPr>
        <w:t xml:space="preserve">Table 4. Multiple-choice interpretation after the comparison task (N = </w:t>
      </w:r>
      <w:r w:rsidR="008B1F16">
        <w:rPr>
          <w:bCs/>
          <w:i/>
          <w:iCs/>
          <w:sz w:val="22"/>
        </w:rPr>
        <w:t>80</w:t>
      </w:r>
      <w:r w:rsidRPr="007142C9">
        <w:rPr>
          <w:bCs/>
          <w:i/>
          <w:iCs/>
          <w:sz w:val="22"/>
        </w:rPr>
        <w:t>)</w:t>
      </w:r>
    </w:p>
    <w:tbl>
      <w:tblPr>
        <w:tblStyle w:val="TableGrid"/>
        <w:tblW w:w="0" w:type="auto"/>
        <w:tblLook w:val="04A0" w:firstRow="1" w:lastRow="0" w:firstColumn="1" w:lastColumn="0" w:noHBand="0" w:noVBand="1"/>
      </w:tblPr>
      <w:tblGrid>
        <w:gridCol w:w="6912"/>
        <w:gridCol w:w="1728"/>
      </w:tblGrid>
      <w:tr w:rsidR="007142C9" w14:paraId="3D1D1524" w14:textId="77777777" w:rsidTr="007142C9">
        <w:tc>
          <w:tcPr>
            <w:tcW w:w="6912" w:type="dxa"/>
          </w:tcPr>
          <w:p w14:paraId="02FB0901" w14:textId="77777777" w:rsidR="007142C9" w:rsidRDefault="007142C9" w:rsidP="003F07F9">
            <w:pPr>
              <w:spacing w:after="0"/>
            </w:pPr>
            <w:r>
              <w:rPr>
                <w:b/>
                <w:sz w:val="20"/>
              </w:rPr>
              <w:t>Selected interpretation</w:t>
            </w:r>
          </w:p>
        </w:tc>
        <w:tc>
          <w:tcPr>
            <w:tcW w:w="1728" w:type="dxa"/>
          </w:tcPr>
          <w:p w14:paraId="73952E45" w14:textId="77777777" w:rsidR="007142C9" w:rsidRDefault="007142C9" w:rsidP="003F07F9">
            <w:pPr>
              <w:spacing w:after="0"/>
            </w:pPr>
            <w:r>
              <w:rPr>
                <w:b/>
                <w:sz w:val="20"/>
              </w:rPr>
              <w:t>n (%)</w:t>
            </w:r>
          </w:p>
        </w:tc>
      </w:tr>
      <w:tr w:rsidR="007142C9" w14:paraId="6CFFB18F" w14:textId="77777777" w:rsidTr="007142C9">
        <w:tc>
          <w:tcPr>
            <w:tcW w:w="6912" w:type="dxa"/>
          </w:tcPr>
          <w:p w14:paraId="1FC0CB3D" w14:textId="77777777" w:rsidR="007142C9" w:rsidRDefault="007142C9" w:rsidP="003F07F9">
            <w:pPr>
              <w:spacing w:after="0"/>
            </w:pPr>
            <w:r>
              <w:rPr>
                <w:sz w:val="20"/>
              </w:rPr>
              <w:t>Variants show adaptation to language, time and community practice</w:t>
            </w:r>
          </w:p>
        </w:tc>
        <w:tc>
          <w:tcPr>
            <w:tcW w:w="1728" w:type="dxa"/>
          </w:tcPr>
          <w:p w14:paraId="4241AFBD" w14:textId="5511A80D" w:rsidR="007142C9" w:rsidRDefault="001E58E2" w:rsidP="003F07F9">
            <w:pPr>
              <w:spacing w:after="0"/>
            </w:pPr>
            <w:r w:rsidRPr="001E58E2">
              <w:rPr>
                <w:sz w:val="20"/>
              </w:rPr>
              <w:t xml:space="preserve">56 </w:t>
            </w:r>
            <w:r w:rsidR="007142C9">
              <w:rPr>
                <w:sz w:val="20"/>
              </w:rPr>
              <w:t>(70.0%)</w:t>
            </w:r>
          </w:p>
        </w:tc>
      </w:tr>
      <w:tr w:rsidR="007142C9" w14:paraId="35D5B363" w14:textId="77777777" w:rsidTr="007142C9">
        <w:tc>
          <w:tcPr>
            <w:tcW w:w="6912" w:type="dxa"/>
          </w:tcPr>
          <w:p w14:paraId="284BBB3A" w14:textId="77777777" w:rsidR="007142C9" w:rsidRDefault="007142C9" w:rsidP="003F07F9">
            <w:pPr>
              <w:spacing w:after="0"/>
            </w:pPr>
            <w:r>
              <w:rPr>
                <w:sz w:val="20"/>
              </w:rPr>
              <w:t>Variants have no value for learning language history</w:t>
            </w:r>
          </w:p>
        </w:tc>
        <w:tc>
          <w:tcPr>
            <w:tcW w:w="1728" w:type="dxa"/>
          </w:tcPr>
          <w:p w14:paraId="7C5A78B5" w14:textId="35F110D7" w:rsidR="007142C9" w:rsidRDefault="001E58E2" w:rsidP="003F07F9">
            <w:pPr>
              <w:spacing w:after="0"/>
            </w:pPr>
            <w:r w:rsidRPr="001E58E2">
              <w:rPr>
                <w:sz w:val="20"/>
              </w:rPr>
              <w:t>12</w:t>
            </w:r>
            <w:r w:rsidR="007142C9">
              <w:rPr>
                <w:sz w:val="20"/>
              </w:rPr>
              <w:t xml:space="preserve"> (15.0%)</w:t>
            </w:r>
          </w:p>
        </w:tc>
      </w:tr>
      <w:tr w:rsidR="007142C9" w14:paraId="095DF2CD" w14:textId="77777777" w:rsidTr="007142C9">
        <w:tc>
          <w:tcPr>
            <w:tcW w:w="6912" w:type="dxa"/>
          </w:tcPr>
          <w:p w14:paraId="624FABB6" w14:textId="77777777" w:rsidR="007142C9" w:rsidRDefault="007142C9" w:rsidP="003F07F9">
            <w:pPr>
              <w:spacing w:after="0"/>
            </w:pPr>
            <w:r>
              <w:rPr>
                <w:sz w:val="20"/>
              </w:rPr>
              <w:t>Variants show only inaccuracies and orthographic changes</w:t>
            </w:r>
          </w:p>
        </w:tc>
        <w:tc>
          <w:tcPr>
            <w:tcW w:w="1728" w:type="dxa"/>
          </w:tcPr>
          <w:p w14:paraId="257B61A6" w14:textId="3FA10B04" w:rsidR="007142C9" w:rsidRDefault="001E58E2" w:rsidP="003F07F9">
            <w:pPr>
              <w:spacing w:after="0"/>
            </w:pPr>
            <w:r w:rsidRPr="001E58E2">
              <w:rPr>
                <w:sz w:val="20"/>
              </w:rPr>
              <w:t xml:space="preserve">8 </w:t>
            </w:r>
            <w:r w:rsidR="007142C9">
              <w:rPr>
                <w:sz w:val="20"/>
              </w:rPr>
              <w:t>(10.0%)</w:t>
            </w:r>
          </w:p>
        </w:tc>
      </w:tr>
      <w:tr w:rsidR="007142C9" w14:paraId="1E4CCBA4" w14:textId="77777777" w:rsidTr="007142C9">
        <w:tc>
          <w:tcPr>
            <w:tcW w:w="6912" w:type="dxa"/>
          </w:tcPr>
          <w:p w14:paraId="74385F9C" w14:textId="77777777" w:rsidR="007142C9" w:rsidRDefault="007142C9" w:rsidP="003F07F9">
            <w:pPr>
              <w:spacing w:after="0"/>
            </w:pPr>
            <w:r>
              <w:rPr>
                <w:sz w:val="20"/>
              </w:rPr>
              <w:t>Variants necessarily weaken textual authority</w:t>
            </w:r>
          </w:p>
        </w:tc>
        <w:tc>
          <w:tcPr>
            <w:tcW w:w="1728" w:type="dxa"/>
          </w:tcPr>
          <w:p w14:paraId="31B8EC44" w14:textId="77777777" w:rsidR="007142C9" w:rsidRDefault="007142C9" w:rsidP="003F07F9">
            <w:pPr>
              <w:spacing w:after="0"/>
            </w:pPr>
            <w:r>
              <w:rPr>
                <w:sz w:val="20"/>
              </w:rPr>
              <w:t>0 (0.0%)</w:t>
            </w:r>
          </w:p>
        </w:tc>
      </w:tr>
      <w:tr w:rsidR="007142C9" w14:paraId="71A0021A" w14:textId="77777777" w:rsidTr="007142C9">
        <w:tc>
          <w:tcPr>
            <w:tcW w:w="6912" w:type="dxa"/>
          </w:tcPr>
          <w:p w14:paraId="032D0B61" w14:textId="77777777" w:rsidR="007142C9" w:rsidRDefault="007142C9" w:rsidP="003F07F9">
            <w:pPr>
              <w:spacing w:after="0"/>
            </w:pPr>
            <w:r>
              <w:rPr>
                <w:sz w:val="20"/>
              </w:rPr>
              <w:t>Missing</w:t>
            </w:r>
          </w:p>
        </w:tc>
        <w:tc>
          <w:tcPr>
            <w:tcW w:w="1728" w:type="dxa"/>
          </w:tcPr>
          <w:p w14:paraId="721A2F93" w14:textId="7E60F01F" w:rsidR="007142C9" w:rsidRDefault="001E58E2" w:rsidP="003F07F9">
            <w:pPr>
              <w:spacing w:after="0"/>
            </w:pPr>
            <w:r>
              <w:rPr>
                <w:sz w:val="20"/>
              </w:rPr>
              <w:t>4</w:t>
            </w:r>
            <w:r w:rsidR="007142C9">
              <w:rPr>
                <w:sz w:val="20"/>
              </w:rPr>
              <w:t xml:space="preserve"> (5.0%)</w:t>
            </w:r>
          </w:p>
        </w:tc>
      </w:tr>
    </w:tbl>
    <w:p w14:paraId="227D9F5A" w14:textId="77777777" w:rsidR="007142C9" w:rsidRPr="007142C9" w:rsidRDefault="007142C9" w:rsidP="007142C9">
      <w:pPr>
        <w:pStyle w:val="Heading2"/>
        <w:rPr>
          <w:color w:val="auto"/>
        </w:rPr>
      </w:pPr>
      <w:r w:rsidRPr="007142C9">
        <w:rPr>
          <w:rFonts w:ascii="Times New Roman" w:eastAsia="Times New Roman" w:hAnsi="Times New Roman"/>
          <w:color w:val="auto"/>
        </w:rPr>
        <w:t>4.4. Qualitative themes</w:t>
      </w:r>
    </w:p>
    <w:p w14:paraId="4856F592" w14:textId="21C19FA5" w:rsidR="007142C9" w:rsidRDefault="007142C9" w:rsidP="007142C9">
      <w:pPr>
        <w:jc w:val="both"/>
      </w:pPr>
      <w:r w:rsidRPr="003553E6">
        <w:t xml:space="preserve">The qualitative responses generated six main themes (Table 5). </w:t>
      </w:r>
      <w:r w:rsidR="004972F2" w:rsidRPr="004972F2">
        <w:t>Because the questionnaire asked students to identify important differences rather than to rank difficulty, the results are reported in terms of the categories they most commonly identified.</w:t>
      </w:r>
      <w:r w:rsidR="004972F2">
        <w:t xml:space="preserve"> </w:t>
      </w:r>
      <w:r w:rsidRPr="003553E6">
        <w:t xml:space="preserve">Many students initially defined linguistic norm as rules for correct writing, reading and public use. Others linked norm with social acceptance, historical development and institutional regulation. </w:t>
      </w:r>
      <w:r w:rsidR="009E5A47" w:rsidRPr="009E5A47">
        <w:t xml:space="preserve">In the comparison </w:t>
      </w:r>
      <w:r w:rsidR="009E5A47" w:rsidRPr="009E5A47">
        <w:lastRenderedPageBreak/>
        <w:t>task, many students noticed changes in vocabulary, spelling and grammatical form while still recognizing the stability of the biblical message. Several responses described the variants as evidence of Albanian’s historical development, and others saw textual authority as compatible with translation and linguistic adaptation</w:t>
      </w:r>
      <w:r w:rsidR="009E5A47">
        <w:t xml:space="preserve">. </w:t>
      </w:r>
      <w:r w:rsidRPr="003553E6">
        <w:t>A smaller group retained a normative view, describing variants as inaccuracies or as having limited value for learning language history.</w:t>
      </w:r>
    </w:p>
    <w:p w14:paraId="1C164387" w14:textId="2EBCAB3D" w:rsidR="009A7058" w:rsidRDefault="009A7058" w:rsidP="007142C9">
      <w:pPr>
        <w:jc w:val="both"/>
      </w:pPr>
      <w:r w:rsidRPr="009A7058">
        <w:t>Representative translated excerpts illustrate these themes. One student described the linguistic norm as “not something fixed, but a process connected with the history and use of the language” (Participant A, Language-Literature, University of Shkodra “Luigj Gurakuqi”, bachelor’s student). Another wrote that variants should be read as “evidence of the historical development of the language” (Participant B, Language-Literature, University of Tirana, bachelor’s student). A third observed that “the text remains the same but changes through new approaches” (Participant C, Language-Literature, University of Shkodra “Luigj Gurakuqi”, professional master’s student). Such responses illustrate historical interpretations that go beyond surface difficulty.</w:t>
      </w:r>
    </w:p>
    <w:p w14:paraId="14A861F3" w14:textId="77777777" w:rsidR="007142C9" w:rsidRPr="007142C9" w:rsidRDefault="007142C9" w:rsidP="007142C9">
      <w:pPr>
        <w:keepNext/>
        <w:spacing w:before="120" w:after="60"/>
        <w:rPr>
          <w:bCs/>
          <w:i/>
          <w:iCs/>
        </w:rPr>
      </w:pPr>
      <w:r w:rsidRPr="007142C9">
        <w:rPr>
          <w:bCs/>
          <w:i/>
          <w:iCs/>
          <w:sz w:val="22"/>
        </w:rPr>
        <w:t>Table 5. Thematic patterns in open-ended responses</w:t>
      </w:r>
    </w:p>
    <w:tbl>
      <w:tblPr>
        <w:tblStyle w:val="TableGrid"/>
        <w:tblW w:w="0" w:type="auto"/>
        <w:tblLook w:val="04A0" w:firstRow="1" w:lastRow="0" w:firstColumn="1" w:lastColumn="0" w:noHBand="0" w:noVBand="1"/>
      </w:tblPr>
      <w:tblGrid>
        <w:gridCol w:w="2796"/>
        <w:gridCol w:w="6223"/>
      </w:tblGrid>
      <w:tr w:rsidR="007142C9" w14:paraId="2A588C7D" w14:textId="77777777" w:rsidTr="007142C9">
        <w:tc>
          <w:tcPr>
            <w:tcW w:w="2880" w:type="dxa"/>
          </w:tcPr>
          <w:p w14:paraId="1AC2756E" w14:textId="77777777" w:rsidR="007142C9" w:rsidRDefault="007142C9" w:rsidP="003F07F9">
            <w:pPr>
              <w:spacing w:after="0"/>
            </w:pPr>
            <w:r>
              <w:rPr>
                <w:b/>
                <w:sz w:val="20"/>
              </w:rPr>
              <w:t>Theme</w:t>
            </w:r>
          </w:p>
        </w:tc>
        <w:tc>
          <w:tcPr>
            <w:tcW w:w="6480" w:type="dxa"/>
          </w:tcPr>
          <w:p w14:paraId="311FC1BF" w14:textId="77777777" w:rsidR="007142C9" w:rsidRDefault="007142C9" w:rsidP="003F07F9">
            <w:pPr>
              <w:spacing w:after="0"/>
            </w:pPr>
            <w:r>
              <w:rPr>
                <w:b/>
                <w:sz w:val="20"/>
              </w:rPr>
              <w:t>Description</w:t>
            </w:r>
          </w:p>
        </w:tc>
      </w:tr>
      <w:tr w:rsidR="007142C9" w14:paraId="3C52C060" w14:textId="77777777" w:rsidTr="007142C9">
        <w:tc>
          <w:tcPr>
            <w:tcW w:w="2880" w:type="dxa"/>
          </w:tcPr>
          <w:p w14:paraId="2212518F" w14:textId="77777777" w:rsidR="007142C9" w:rsidRDefault="007142C9" w:rsidP="003F07F9">
            <w:pPr>
              <w:spacing w:after="0"/>
            </w:pPr>
            <w:r>
              <w:rPr>
                <w:sz w:val="20"/>
              </w:rPr>
              <w:t>Norm as rule and correctness</w:t>
            </w:r>
          </w:p>
        </w:tc>
        <w:tc>
          <w:tcPr>
            <w:tcW w:w="6480" w:type="dxa"/>
          </w:tcPr>
          <w:p w14:paraId="33CF8CA1" w14:textId="77777777" w:rsidR="007142C9" w:rsidRDefault="007142C9" w:rsidP="003F07F9">
            <w:pPr>
              <w:spacing w:after="0"/>
            </w:pPr>
            <w:r>
              <w:rPr>
                <w:sz w:val="20"/>
              </w:rPr>
              <w:t>Many students first defined norm as rules for correct writing, reading and public use of standard Albanian.</w:t>
            </w:r>
          </w:p>
        </w:tc>
      </w:tr>
      <w:tr w:rsidR="007142C9" w14:paraId="0C213FD5" w14:textId="77777777" w:rsidTr="007142C9">
        <w:tc>
          <w:tcPr>
            <w:tcW w:w="2880" w:type="dxa"/>
          </w:tcPr>
          <w:p w14:paraId="4DAAEC14" w14:textId="77777777" w:rsidR="007142C9" w:rsidRDefault="007142C9" w:rsidP="003F07F9">
            <w:pPr>
              <w:spacing w:after="0"/>
            </w:pPr>
            <w:r>
              <w:rPr>
                <w:sz w:val="20"/>
              </w:rPr>
              <w:t>Norm as historical and institutional process</w:t>
            </w:r>
          </w:p>
        </w:tc>
        <w:tc>
          <w:tcPr>
            <w:tcW w:w="6480" w:type="dxa"/>
          </w:tcPr>
          <w:p w14:paraId="312FA6DD" w14:textId="77777777" w:rsidR="007142C9" w:rsidRDefault="007142C9" w:rsidP="003F07F9">
            <w:pPr>
              <w:spacing w:after="0"/>
            </w:pPr>
            <w:r>
              <w:rPr>
                <w:sz w:val="20"/>
              </w:rPr>
              <w:t>Several responses explicitly linked norm with social acceptance, institutions, historical development and selection.</w:t>
            </w:r>
          </w:p>
        </w:tc>
      </w:tr>
      <w:tr w:rsidR="007142C9" w14:paraId="48F24944" w14:textId="77777777" w:rsidTr="007142C9">
        <w:tc>
          <w:tcPr>
            <w:tcW w:w="2880" w:type="dxa"/>
          </w:tcPr>
          <w:p w14:paraId="729A9628" w14:textId="77777777" w:rsidR="007142C9" w:rsidRDefault="007142C9" w:rsidP="003F07F9">
            <w:pPr>
              <w:spacing w:after="0"/>
            </w:pPr>
            <w:r>
              <w:rPr>
                <w:sz w:val="20"/>
              </w:rPr>
              <w:t>Variation as form with stable semantic core</w:t>
            </w:r>
          </w:p>
        </w:tc>
        <w:tc>
          <w:tcPr>
            <w:tcW w:w="6480" w:type="dxa"/>
          </w:tcPr>
          <w:p w14:paraId="2F7F7D2F" w14:textId="77777777" w:rsidR="007142C9" w:rsidRDefault="007142C9" w:rsidP="003F07F9">
            <w:pPr>
              <w:spacing w:after="0"/>
            </w:pPr>
            <w:r>
              <w:rPr>
                <w:sz w:val="20"/>
              </w:rPr>
              <w:t>Students often recognized that lexical, orthographic and grammatical forms changed while the biblical message remained broadly stable.</w:t>
            </w:r>
          </w:p>
        </w:tc>
      </w:tr>
      <w:tr w:rsidR="007142C9" w14:paraId="732A2499" w14:textId="77777777" w:rsidTr="007142C9">
        <w:tc>
          <w:tcPr>
            <w:tcW w:w="2880" w:type="dxa"/>
          </w:tcPr>
          <w:p w14:paraId="11F1A3B3" w14:textId="77777777" w:rsidR="007142C9" w:rsidRDefault="007142C9" w:rsidP="003F07F9">
            <w:pPr>
              <w:spacing w:after="0"/>
            </w:pPr>
            <w:r>
              <w:rPr>
                <w:sz w:val="20"/>
              </w:rPr>
              <w:t>Variation as historical evidence rather than error</w:t>
            </w:r>
          </w:p>
        </w:tc>
        <w:tc>
          <w:tcPr>
            <w:tcW w:w="6480" w:type="dxa"/>
          </w:tcPr>
          <w:p w14:paraId="7E21D660" w14:textId="0887085E" w:rsidR="007142C9" w:rsidRDefault="004972F2" w:rsidP="003F07F9">
            <w:pPr>
              <w:spacing w:after="0"/>
            </w:pPr>
            <w:r w:rsidRPr="004972F2">
              <w:rPr>
                <w:sz w:val="20"/>
              </w:rPr>
              <w:t>The clearest post-task pattern concerned the interpretation of historical variants as evidence of development rather than as simple mistakes.</w:t>
            </w:r>
          </w:p>
        </w:tc>
      </w:tr>
      <w:tr w:rsidR="007142C9" w14:paraId="2AE5EE2D" w14:textId="77777777" w:rsidTr="007142C9">
        <w:tc>
          <w:tcPr>
            <w:tcW w:w="2880" w:type="dxa"/>
          </w:tcPr>
          <w:p w14:paraId="32CAE803" w14:textId="77777777" w:rsidR="007142C9" w:rsidRDefault="007142C9" w:rsidP="003F07F9">
            <w:pPr>
              <w:spacing w:after="0"/>
            </w:pPr>
            <w:r>
              <w:rPr>
                <w:sz w:val="20"/>
              </w:rPr>
              <w:t>Canon as continuity through translation</w:t>
            </w:r>
          </w:p>
        </w:tc>
        <w:tc>
          <w:tcPr>
            <w:tcW w:w="6480" w:type="dxa"/>
          </w:tcPr>
          <w:p w14:paraId="2D337A42" w14:textId="77777777" w:rsidR="007142C9" w:rsidRDefault="007142C9" w:rsidP="003F07F9">
            <w:pPr>
              <w:spacing w:after="0"/>
            </w:pPr>
            <w:r>
              <w:rPr>
                <w:sz w:val="20"/>
              </w:rPr>
              <w:t>Responses treated textual authority as compatible with linguistic variation when the core function and message of the text were preserved.</w:t>
            </w:r>
          </w:p>
        </w:tc>
      </w:tr>
      <w:tr w:rsidR="007142C9" w14:paraId="757127A3" w14:textId="77777777" w:rsidTr="007142C9">
        <w:tc>
          <w:tcPr>
            <w:tcW w:w="2880" w:type="dxa"/>
          </w:tcPr>
          <w:p w14:paraId="51EEF0AA" w14:textId="77777777" w:rsidR="007142C9" w:rsidRDefault="007142C9" w:rsidP="003F07F9">
            <w:pPr>
              <w:spacing w:after="0"/>
            </w:pPr>
            <w:r>
              <w:rPr>
                <w:sz w:val="20"/>
              </w:rPr>
              <w:t>Residual normative resistance</w:t>
            </w:r>
          </w:p>
        </w:tc>
        <w:tc>
          <w:tcPr>
            <w:tcW w:w="6480" w:type="dxa"/>
          </w:tcPr>
          <w:p w14:paraId="56938C10" w14:textId="77777777" w:rsidR="007142C9" w:rsidRDefault="007142C9" w:rsidP="003F07F9">
            <w:pPr>
              <w:spacing w:after="0"/>
            </w:pPr>
            <w:r>
              <w:rPr>
                <w:sz w:val="20"/>
              </w:rPr>
              <w:t>A smaller group still described variants as inaccuracies or as having little value for learning language history.</w:t>
            </w:r>
          </w:p>
        </w:tc>
      </w:tr>
    </w:tbl>
    <w:p w14:paraId="110A92A7" w14:textId="77777777" w:rsidR="007142C9" w:rsidRPr="007142C9" w:rsidRDefault="007142C9" w:rsidP="007142C9">
      <w:pPr>
        <w:pStyle w:val="Heading1"/>
        <w:rPr>
          <w:color w:val="auto"/>
        </w:rPr>
      </w:pPr>
      <w:r w:rsidRPr="007142C9">
        <w:rPr>
          <w:rFonts w:ascii="Times New Roman" w:eastAsia="Times New Roman" w:hAnsi="Times New Roman"/>
          <w:color w:val="auto"/>
        </w:rPr>
        <w:t>5. Discussion</w:t>
      </w:r>
    </w:p>
    <w:p w14:paraId="7D4013D3" w14:textId="1E458376" w:rsidR="00A64148" w:rsidRDefault="00A64148" w:rsidP="007142C9">
      <w:pPr>
        <w:jc w:val="both"/>
      </w:pPr>
      <w:r w:rsidRPr="00A64148">
        <w:t>The findings are consistent with the pedagogical value of early Albanian textual variants for teaching linguistic variation. Most students read the texts as evidence of historical language use and recognized that variation can reflect the period in which a text circulated, the linguistic practices of its community and the choices made in translation. This suggests that early texts can function as accessible materials for linguistic reasoning</w:t>
      </w:r>
      <w:r>
        <w:t>.</w:t>
      </w:r>
    </w:p>
    <w:p w14:paraId="2D5A1E0C" w14:textId="7FBC7E23" w:rsidR="007142C9" w:rsidRDefault="007142C9" w:rsidP="007142C9">
      <w:pPr>
        <w:jc w:val="both"/>
      </w:pPr>
      <w:r>
        <w:t xml:space="preserve">The results also show why guidance is necessary. The dominant initial definition of norm as rule and correctness indicates that students bring a strong standard-oriented frame to historical texts. </w:t>
      </w:r>
      <w:r w:rsidRPr="00676D46">
        <w:t>The standard remains essential for academic and institutional communication. A historical approach helps students treat it as one interpretive frame within a longer process of language development, shaped by selection, stabilization and institutional authority. From this perspective, early forms can be read in relation to the linguistic practices of their own period and to the later norm that came to organize public language. The teaching task is to give students the means to place the standard within its history.</w:t>
      </w:r>
    </w:p>
    <w:p w14:paraId="753F81DB" w14:textId="77777777" w:rsidR="007142C9" w:rsidRDefault="007142C9" w:rsidP="007142C9">
      <w:pPr>
        <w:jc w:val="both"/>
      </w:pPr>
      <w:r>
        <w:t xml:space="preserve">Recent perceptual dialectology research on Albanian supports this need for guidance. Kapia and Riverin-Coutlée show that correctness evaluations are not reducible to the traditional Gheg/Tosk division: Durrës and Tirana, both traditionally classified as Gheg-speaking locations, received the highest overall correctness ratings, while urbanization strongly modulated assessments of Gheg counties (2025, p. 9). Their conclusion that Tirana and Durrës speech stood out as particularly correct and pleasant (2025, p. 11) reinforces the need to </w:t>
      </w:r>
      <w:r>
        <w:lastRenderedPageBreak/>
        <w:t>separate historical form, dialectal location, perceived correctness and institutional standardization.</w:t>
      </w:r>
    </w:p>
    <w:p w14:paraId="2065A40C" w14:textId="23787FA5" w:rsidR="007142C9" w:rsidRDefault="004972F2" w:rsidP="007142C9">
      <w:pPr>
        <w:jc w:val="both"/>
      </w:pPr>
      <w:r w:rsidRPr="004972F2">
        <w:t>The high agreement with the statement that variants are evidence of development rather than errors is consistent with the pedagogical value of guided comparison for clarifying interpretive categories.</w:t>
      </w:r>
      <w:r>
        <w:t xml:space="preserve"> </w:t>
      </w:r>
      <w:r w:rsidR="007142C9">
        <w:t xml:space="preserve">This aligns with Pettersson-Traba et al.’s argument that targeted instruction can foster more inclusive attitudes toward variation (2026, p. 8), though the present study remains smaller and more exploratory. </w:t>
      </w:r>
      <w:r w:rsidR="007142C9" w:rsidRPr="00676D46">
        <w:t>In the Albanian context, this principle extends from contemporary dialects and accents to historical written forms. Students need clear analytical categories that help them read variation as structured evidence of language history, translation practice and norm formation.</w:t>
      </w:r>
    </w:p>
    <w:p w14:paraId="76533301" w14:textId="345115AC" w:rsidR="007142C9" w:rsidRDefault="007142C9" w:rsidP="007142C9">
      <w:pPr>
        <w:jc w:val="both"/>
      </w:pPr>
      <w:r>
        <w:t xml:space="preserve">Finally, the responses concerning canon and authority are especially important. Students often recognized that textual authority does not depend on complete linguistic uniformity. A canonical text can be transmitted, translated and adapted while preserving its core function. This has broader pedagogical significance. </w:t>
      </w:r>
      <w:r w:rsidR="009E5A47" w:rsidRPr="009E5A47">
        <w:t>It helps students see how textual stability can coexist with linguistic variation. A text may preserve its cultural authority through repeated translation, adaptation and use in the language of different periods and communities.</w:t>
      </w:r>
    </w:p>
    <w:p w14:paraId="70D8949D" w14:textId="77777777" w:rsidR="007142C9" w:rsidRPr="007142C9" w:rsidRDefault="007142C9" w:rsidP="007142C9">
      <w:pPr>
        <w:pStyle w:val="Heading1"/>
        <w:rPr>
          <w:color w:val="auto"/>
        </w:rPr>
      </w:pPr>
      <w:r w:rsidRPr="007142C9">
        <w:rPr>
          <w:rFonts w:ascii="Times New Roman" w:eastAsia="Times New Roman" w:hAnsi="Times New Roman"/>
          <w:color w:val="auto"/>
        </w:rPr>
        <w:t>6. A Text-Based Pedagogical Model for Teaching Linguistic Variation</w:t>
      </w:r>
    </w:p>
    <w:p w14:paraId="4E05F730" w14:textId="4360F194" w:rsidR="009E5A47" w:rsidRDefault="004972F2" w:rsidP="009E5A47">
      <w:pPr>
        <w:jc w:val="both"/>
      </w:pPr>
      <w:r w:rsidRPr="004972F2">
        <w:t>On the basis of the theoretical framework and the questionnaire results, the article proposes a preliminary five-stage model for teaching linguistic variation through early Albanian texts.</w:t>
      </w:r>
      <w:r>
        <w:t xml:space="preserve"> </w:t>
      </w:r>
      <w:r w:rsidR="009E5A47" w:rsidRPr="009E5A47">
        <w:t>The model is intended primarily for university courses in Albanian language history, historical linguistics, philology, language pedagogy, textual studies and cultural heritage. With shorter passages and appropriate scaffolding, it can also be used in advanced secondary education.</w:t>
      </w:r>
    </w:p>
    <w:p w14:paraId="4AB5E2F2" w14:textId="1914CCEA" w:rsidR="007142C9" w:rsidRDefault="007142C9" w:rsidP="009E5A47">
      <w:pPr>
        <w:jc w:val="both"/>
      </w:pPr>
      <w:r>
        <w:t>The selection of classroom texts should be pedagogically calibrated. Oaks notes that older authentic texts are especially useful when they display historical linguistic differences but remain largely intelligible to contemporary readers (2021, p. 13). Similarly, teachers using early Albanian texts should select short passages where variation is visible enough to support analysis but not so dense that students are left with mere decoding.</w:t>
      </w:r>
    </w:p>
    <w:p w14:paraId="3ED04790" w14:textId="77777777" w:rsidR="007142C9" w:rsidRDefault="007142C9" w:rsidP="007142C9">
      <w:pPr>
        <w:jc w:val="both"/>
      </w:pPr>
      <w:r>
        <w:t>Table 6 summarizes the model and its classroom logic.</w:t>
      </w:r>
    </w:p>
    <w:p w14:paraId="57563D7F" w14:textId="77777777" w:rsidR="007142C9" w:rsidRPr="007142C9" w:rsidRDefault="007142C9" w:rsidP="007142C9">
      <w:pPr>
        <w:keepNext/>
        <w:spacing w:before="120" w:after="60"/>
        <w:rPr>
          <w:bCs/>
          <w:i/>
          <w:iCs/>
        </w:rPr>
      </w:pPr>
      <w:r w:rsidRPr="007142C9">
        <w:rPr>
          <w:bCs/>
          <w:i/>
          <w:iCs/>
          <w:sz w:val="22"/>
        </w:rPr>
        <w:t>Table 6. Five-stage text-based model for teaching linguistic variation</w:t>
      </w:r>
    </w:p>
    <w:tbl>
      <w:tblPr>
        <w:tblStyle w:val="TableGrid"/>
        <w:tblW w:w="0" w:type="auto"/>
        <w:tblLook w:val="04A0" w:firstRow="1" w:lastRow="0" w:firstColumn="1" w:lastColumn="0" w:noHBand="0" w:noVBand="1"/>
      </w:tblPr>
      <w:tblGrid>
        <w:gridCol w:w="1660"/>
        <w:gridCol w:w="1898"/>
        <w:gridCol w:w="2857"/>
        <w:gridCol w:w="2604"/>
      </w:tblGrid>
      <w:tr w:rsidR="007142C9" w14:paraId="30DA6A6D" w14:textId="77777777" w:rsidTr="00860150">
        <w:tc>
          <w:tcPr>
            <w:tcW w:w="1660" w:type="dxa"/>
          </w:tcPr>
          <w:p w14:paraId="22821757" w14:textId="77777777" w:rsidR="007142C9" w:rsidRDefault="007142C9" w:rsidP="003F07F9">
            <w:pPr>
              <w:spacing w:after="0"/>
            </w:pPr>
            <w:r>
              <w:rPr>
                <w:b/>
                <w:sz w:val="18"/>
              </w:rPr>
              <w:t>Stage</w:t>
            </w:r>
          </w:p>
        </w:tc>
        <w:tc>
          <w:tcPr>
            <w:tcW w:w="1898" w:type="dxa"/>
          </w:tcPr>
          <w:p w14:paraId="73C63527" w14:textId="77777777" w:rsidR="007142C9" w:rsidRDefault="007142C9" w:rsidP="003F07F9">
            <w:pPr>
              <w:spacing w:after="0"/>
            </w:pPr>
            <w:r>
              <w:rPr>
                <w:b/>
                <w:sz w:val="18"/>
              </w:rPr>
              <w:t>Core question</w:t>
            </w:r>
          </w:p>
        </w:tc>
        <w:tc>
          <w:tcPr>
            <w:tcW w:w="2857" w:type="dxa"/>
          </w:tcPr>
          <w:p w14:paraId="15F1FD20" w14:textId="77777777" w:rsidR="007142C9" w:rsidRDefault="007142C9" w:rsidP="003F07F9">
            <w:pPr>
              <w:spacing w:after="0"/>
            </w:pPr>
            <w:r>
              <w:rPr>
                <w:b/>
                <w:sz w:val="18"/>
              </w:rPr>
              <w:t>Classroom procedure</w:t>
            </w:r>
          </w:p>
        </w:tc>
        <w:tc>
          <w:tcPr>
            <w:tcW w:w="2604" w:type="dxa"/>
          </w:tcPr>
          <w:p w14:paraId="7F887416" w14:textId="77777777" w:rsidR="007142C9" w:rsidRDefault="007142C9" w:rsidP="003F07F9">
            <w:pPr>
              <w:spacing w:after="0"/>
            </w:pPr>
            <w:r>
              <w:rPr>
                <w:b/>
                <w:sz w:val="18"/>
              </w:rPr>
              <w:t>Learning outcome</w:t>
            </w:r>
          </w:p>
        </w:tc>
      </w:tr>
      <w:tr w:rsidR="007142C9" w14:paraId="3C78FA1B" w14:textId="77777777" w:rsidTr="00860150">
        <w:tc>
          <w:tcPr>
            <w:tcW w:w="1660" w:type="dxa"/>
          </w:tcPr>
          <w:p w14:paraId="4631A9F2" w14:textId="77777777" w:rsidR="007142C9" w:rsidRDefault="007142C9" w:rsidP="003F07F9">
            <w:pPr>
              <w:spacing w:after="0"/>
            </w:pPr>
            <w:r>
              <w:rPr>
                <w:sz w:val="18"/>
              </w:rPr>
              <w:t>Contextualization</w:t>
            </w:r>
          </w:p>
        </w:tc>
        <w:tc>
          <w:tcPr>
            <w:tcW w:w="1898" w:type="dxa"/>
          </w:tcPr>
          <w:p w14:paraId="7A51744A" w14:textId="3A88B051" w:rsidR="007142C9" w:rsidRDefault="00D21940" w:rsidP="003F07F9">
            <w:pPr>
              <w:spacing w:after="0"/>
            </w:pPr>
            <w:r w:rsidRPr="00D21940">
              <w:rPr>
                <w:sz w:val="18"/>
              </w:rPr>
              <w:t>What is the text’s historical and textual setting?</w:t>
            </w:r>
          </w:p>
        </w:tc>
        <w:tc>
          <w:tcPr>
            <w:tcW w:w="2857" w:type="dxa"/>
          </w:tcPr>
          <w:p w14:paraId="21E730BF" w14:textId="70112ECD" w:rsidR="007142C9" w:rsidRDefault="00D21940" w:rsidP="003F07F9">
            <w:pPr>
              <w:spacing w:after="0"/>
            </w:pPr>
            <w:r w:rsidRPr="00D21940">
              <w:rPr>
                <w:sz w:val="18"/>
              </w:rPr>
              <w:t>Present the period, author or translator, genre, function and community of use.</w:t>
            </w:r>
          </w:p>
        </w:tc>
        <w:tc>
          <w:tcPr>
            <w:tcW w:w="2604" w:type="dxa"/>
          </w:tcPr>
          <w:p w14:paraId="3D45DE96" w14:textId="77777777" w:rsidR="007142C9" w:rsidRDefault="007142C9" w:rsidP="003F07F9">
            <w:pPr>
              <w:spacing w:after="0"/>
            </w:pPr>
            <w:r>
              <w:rPr>
                <w:sz w:val="18"/>
              </w:rPr>
              <w:t>Students avoid judging early forms only by the present standard.</w:t>
            </w:r>
          </w:p>
        </w:tc>
      </w:tr>
      <w:tr w:rsidR="007142C9" w14:paraId="12C558FB" w14:textId="77777777" w:rsidTr="00860150">
        <w:tc>
          <w:tcPr>
            <w:tcW w:w="1660" w:type="dxa"/>
          </w:tcPr>
          <w:p w14:paraId="081FC0F1" w14:textId="77777777" w:rsidR="007142C9" w:rsidRDefault="007142C9" w:rsidP="003F07F9">
            <w:pPr>
              <w:spacing w:after="0"/>
            </w:pPr>
            <w:r>
              <w:rPr>
                <w:sz w:val="18"/>
              </w:rPr>
              <w:t>Parallel reading</w:t>
            </w:r>
          </w:p>
        </w:tc>
        <w:tc>
          <w:tcPr>
            <w:tcW w:w="1898" w:type="dxa"/>
          </w:tcPr>
          <w:p w14:paraId="45399CF1" w14:textId="77777777" w:rsidR="007142C9" w:rsidRDefault="007142C9" w:rsidP="003F07F9">
            <w:pPr>
              <w:spacing w:after="0"/>
            </w:pPr>
            <w:r>
              <w:rPr>
                <w:sz w:val="18"/>
              </w:rPr>
              <w:t>What remains stable and what changes?</w:t>
            </w:r>
          </w:p>
        </w:tc>
        <w:tc>
          <w:tcPr>
            <w:tcW w:w="2857" w:type="dxa"/>
          </w:tcPr>
          <w:p w14:paraId="4E4696A7" w14:textId="77777777" w:rsidR="007142C9" w:rsidRDefault="007142C9" w:rsidP="003F07F9">
            <w:pPr>
              <w:spacing w:after="0"/>
            </w:pPr>
            <w:r>
              <w:rPr>
                <w:sz w:val="18"/>
              </w:rPr>
              <w:t>Place variants in columns and mark repeated and variable elements.</w:t>
            </w:r>
          </w:p>
        </w:tc>
        <w:tc>
          <w:tcPr>
            <w:tcW w:w="2604" w:type="dxa"/>
          </w:tcPr>
          <w:p w14:paraId="050E5AFD" w14:textId="77777777" w:rsidR="007142C9" w:rsidRDefault="007142C9" w:rsidP="003F07F9">
            <w:pPr>
              <w:spacing w:after="0"/>
            </w:pPr>
            <w:r>
              <w:rPr>
                <w:sz w:val="18"/>
              </w:rPr>
              <w:t>Students see continuity and variation at the same time.</w:t>
            </w:r>
          </w:p>
        </w:tc>
      </w:tr>
      <w:tr w:rsidR="007142C9" w14:paraId="6FBE9BAE" w14:textId="77777777" w:rsidTr="00860150">
        <w:tc>
          <w:tcPr>
            <w:tcW w:w="1660" w:type="dxa"/>
          </w:tcPr>
          <w:p w14:paraId="37F34A15" w14:textId="77777777" w:rsidR="007142C9" w:rsidRDefault="007142C9" w:rsidP="003F07F9">
            <w:pPr>
              <w:spacing w:after="0"/>
            </w:pPr>
            <w:r>
              <w:rPr>
                <w:sz w:val="18"/>
              </w:rPr>
              <w:t>Variation mapping</w:t>
            </w:r>
          </w:p>
        </w:tc>
        <w:tc>
          <w:tcPr>
            <w:tcW w:w="1898" w:type="dxa"/>
          </w:tcPr>
          <w:p w14:paraId="0B6DEA9D" w14:textId="77777777" w:rsidR="007142C9" w:rsidRDefault="007142C9" w:rsidP="003F07F9">
            <w:pPr>
              <w:spacing w:after="0"/>
            </w:pPr>
            <w:r>
              <w:rPr>
                <w:sz w:val="18"/>
              </w:rPr>
              <w:t>What type of difference is this?</w:t>
            </w:r>
          </w:p>
        </w:tc>
        <w:tc>
          <w:tcPr>
            <w:tcW w:w="2857" w:type="dxa"/>
          </w:tcPr>
          <w:p w14:paraId="12CE3A7E" w14:textId="77777777" w:rsidR="007142C9" w:rsidRDefault="007142C9" w:rsidP="003F07F9">
            <w:pPr>
              <w:spacing w:after="0"/>
            </w:pPr>
            <w:r>
              <w:rPr>
                <w:sz w:val="18"/>
              </w:rPr>
              <w:t>Classify differences as orthographic, lexical, grammatical, semantic, translational or textual.</w:t>
            </w:r>
          </w:p>
        </w:tc>
        <w:tc>
          <w:tcPr>
            <w:tcW w:w="2604" w:type="dxa"/>
          </w:tcPr>
          <w:p w14:paraId="0CA6A2C2" w14:textId="77777777" w:rsidR="007142C9" w:rsidRDefault="007142C9" w:rsidP="003F07F9">
            <w:pPr>
              <w:spacing w:after="0"/>
            </w:pPr>
            <w:r>
              <w:rPr>
                <w:sz w:val="18"/>
              </w:rPr>
              <w:t>Students distinguish variation from error.</w:t>
            </w:r>
          </w:p>
        </w:tc>
      </w:tr>
      <w:tr w:rsidR="007142C9" w14:paraId="4CF30E52" w14:textId="77777777" w:rsidTr="00860150">
        <w:tc>
          <w:tcPr>
            <w:tcW w:w="1660" w:type="dxa"/>
          </w:tcPr>
          <w:p w14:paraId="7E674CAE" w14:textId="77777777" w:rsidR="007142C9" w:rsidRDefault="007142C9" w:rsidP="003F07F9">
            <w:pPr>
              <w:spacing w:after="0"/>
            </w:pPr>
            <w:r>
              <w:rPr>
                <w:sz w:val="18"/>
              </w:rPr>
              <w:t>Interpretation</w:t>
            </w:r>
          </w:p>
        </w:tc>
        <w:tc>
          <w:tcPr>
            <w:tcW w:w="1898" w:type="dxa"/>
          </w:tcPr>
          <w:p w14:paraId="5BF5B3C2" w14:textId="77777777" w:rsidR="007142C9" w:rsidRDefault="007142C9" w:rsidP="003F07F9">
            <w:pPr>
              <w:spacing w:after="0"/>
            </w:pPr>
            <w:r>
              <w:rPr>
                <w:sz w:val="18"/>
              </w:rPr>
              <w:t>What does the difference mean?</w:t>
            </w:r>
          </w:p>
        </w:tc>
        <w:tc>
          <w:tcPr>
            <w:tcW w:w="2857" w:type="dxa"/>
          </w:tcPr>
          <w:p w14:paraId="7BFDFFC0" w14:textId="77777777" w:rsidR="007142C9" w:rsidRDefault="007142C9" w:rsidP="003F07F9">
            <w:pPr>
              <w:spacing w:after="0"/>
            </w:pPr>
            <w:r>
              <w:rPr>
                <w:sz w:val="18"/>
              </w:rPr>
              <w:t>Discuss whether the form reflects history, dialect, translation, convention or transmission.</w:t>
            </w:r>
          </w:p>
        </w:tc>
        <w:tc>
          <w:tcPr>
            <w:tcW w:w="2604" w:type="dxa"/>
          </w:tcPr>
          <w:p w14:paraId="5A4966A1" w14:textId="77777777" w:rsidR="007142C9" w:rsidRDefault="007142C9" w:rsidP="003F07F9">
            <w:pPr>
              <w:spacing w:after="0"/>
            </w:pPr>
            <w:r>
              <w:rPr>
                <w:sz w:val="18"/>
              </w:rPr>
              <w:t>Students connect linguistic form with historical explanation.</w:t>
            </w:r>
          </w:p>
        </w:tc>
      </w:tr>
      <w:tr w:rsidR="007142C9" w14:paraId="31854349" w14:textId="77777777" w:rsidTr="00860150">
        <w:tc>
          <w:tcPr>
            <w:tcW w:w="1660" w:type="dxa"/>
          </w:tcPr>
          <w:p w14:paraId="237945D8" w14:textId="77777777" w:rsidR="007142C9" w:rsidRDefault="007142C9" w:rsidP="003F07F9">
            <w:pPr>
              <w:spacing w:after="0"/>
            </w:pPr>
            <w:r>
              <w:rPr>
                <w:sz w:val="18"/>
              </w:rPr>
              <w:t>Transfer</w:t>
            </w:r>
          </w:p>
        </w:tc>
        <w:tc>
          <w:tcPr>
            <w:tcW w:w="1898" w:type="dxa"/>
          </w:tcPr>
          <w:p w14:paraId="7E793214" w14:textId="77777777" w:rsidR="007142C9" w:rsidRDefault="007142C9" w:rsidP="003F07F9">
            <w:pPr>
              <w:spacing w:after="0"/>
            </w:pPr>
            <w:r>
              <w:rPr>
                <w:sz w:val="18"/>
              </w:rPr>
              <w:t>What does this teach us about language today?</w:t>
            </w:r>
          </w:p>
        </w:tc>
        <w:tc>
          <w:tcPr>
            <w:tcW w:w="2857" w:type="dxa"/>
          </w:tcPr>
          <w:p w14:paraId="0A831577" w14:textId="77777777" w:rsidR="007142C9" w:rsidRDefault="007142C9" w:rsidP="003F07F9">
            <w:pPr>
              <w:spacing w:after="0"/>
            </w:pPr>
            <w:r>
              <w:rPr>
                <w:sz w:val="18"/>
              </w:rPr>
              <w:t>Reflect on standardization, authority, cultural memory and contemporary language awareness.</w:t>
            </w:r>
          </w:p>
        </w:tc>
        <w:tc>
          <w:tcPr>
            <w:tcW w:w="2604" w:type="dxa"/>
          </w:tcPr>
          <w:p w14:paraId="61DB34CB" w14:textId="77777777" w:rsidR="007142C9" w:rsidRDefault="007142C9" w:rsidP="003F07F9">
            <w:pPr>
              <w:spacing w:after="0"/>
            </w:pPr>
            <w:r>
              <w:rPr>
                <w:sz w:val="18"/>
              </w:rPr>
              <w:t>Students apply historical analysis to current language understanding.</w:t>
            </w:r>
          </w:p>
        </w:tc>
      </w:tr>
    </w:tbl>
    <w:p w14:paraId="607324CE" w14:textId="3F3B418F" w:rsidR="007142C9" w:rsidRDefault="00D21940" w:rsidP="007142C9">
      <w:pPr>
        <w:jc w:val="both"/>
      </w:pPr>
      <w:r w:rsidRPr="00D21940">
        <w:t>The first stage, contextualization, places the passage in its historical and textual setting by presenting its period, author or translator, genre, liturgical or didactic function, and community of use.</w:t>
      </w:r>
      <w:r w:rsidR="00710367">
        <w:t xml:space="preserve"> </w:t>
      </w:r>
      <w:r w:rsidR="007142C9" w:rsidRPr="00CD4382">
        <w:t>This background helps them understand why forms differ across periods, sources, genres and translation practices. It also prepares them to read each variant in relation to its own historical setting before comparing it with present-day standard Albanian.</w:t>
      </w:r>
    </w:p>
    <w:p w14:paraId="3C57D225" w14:textId="77777777" w:rsidR="007142C9" w:rsidRDefault="007142C9" w:rsidP="007142C9">
      <w:pPr>
        <w:jc w:val="both"/>
      </w:pPr>
      <w:r>
        <w:lastRenderedPageBreak/>
        <w:t>The second stage is parallel reading. Textual variants should be placed in columns so that students can see similarities and differences visually. This is more effective than presenting one text at a time. Parallel reading allows students to observe recurring units, stable semantic content and variable linguistic forms. It also reduces the intimidation caused by unfamiliar spelling, because students can use one variant to interpret another.</w:t>
      </w:r>
    </w:p>
    <w:p w14:paraId="1025B115" w14:textId="4F241835" w:rsidR="007142C9" w:rsidRDefault="007142C9" w:rsidP="007142C9">
      <w:pPr>
        <w:jc w:val="both"/>
      </w:pPr>
      <w:r>
        <w:t xml:space="preserve">The third stage is variation mapping. </w:t>
      </w:r>
      <w:r w:rsidR="00710367" w:rsidRPr="00710367">
        <w:t>Students then classify the differences as orthographic, phonetic or graphic, morphological, syntactic, lexical, semantic, pragmatic, translational or textual. This classification helps them distinguish, for example, between a spelling variant, a lexical substitution and a syntactic restructuring, each of which points to a different aspect of linguistic variation.</w:t>
      </w:r>
    </w:p>
    <w:p w14:paraId="11072BBA" w14:textId="06468981" w:rsidR="007142C9" w:rsidRDefault="007142C9" w:rsidP="007142C9">
      <w:pPr>
        <w:jc w:val="both"/>
      </w:pPr>
      <w:r>
        <w:t xml:space="preserve">The fourth stage is interpretation. </w:t>
      </w:r>
      <w:r w:rsidR="00710367" w:rsidRPr="00710367">
        <w:t>Students discuss what the variants reveal about historical change, dialectal background, orthographic convention, translation practice, theological or stylistic choice, and textual transmission. They then examine the effect of each difference on meaning and on the core function of the text.</w:t>
      </w:r>
      <w:r w:rsidR="00710367">
        <w:t xml:space="preserve"> </w:t>
      </w:r>
      <w:r>
        <w:t>This is where linguistic analysis becomes cultural and historical interpretation.</w:t>
      </w:r>
    </w:p>
    <w:p w14:paraId="33E303ED" w14:textId="77777777" w:rsidR="00D21940" w:rsidRDefault="00D21940" w:rsidP="000623F0">
      <w:pPr>
        <w:pStyle w:val="Heading2"/>
        <w:jc w:val="both"/>
        <w:rPr>
          <w:rFonts w:ascii="Times New Roman" w:eastAsia="Times New Roman" w:hAnsi="Times New Roman" w:cstheme="minorBidi"/>
          <w:b w:val="0"/>
          <w:bCs w:val="0"/>
          <w:color w:val="auto"/>
          <w:szCs w:val="22"/>
        </w:rPr>
      </w:pPr>
      <w:r w:rsidRPr="00D21940">
        <w:rPr>
          <w:rFonts w:ascii="Times New Roman" w:eastAsia="Times New Roman" w:hAnsi="Times New Roman" w:cstheme="minorBidi"/>
          <w:b w:val="0"/>
          <w:bCs w:val="0"/>
          <w:color w:val="auto"/>
          <w:szCs w:val="22"/>
        </w:rPr>
        <w:t>The fifth stage, transfer, connects the analysis with present-day language awareness. Students examine how standard forms are selected, how variants are evaluated, why some forms gain authority and how cultural texts preserve identity through linguistic change. In this final stage, early texts become resources for understanding language today.</w:t>
      </w:r>
    </w:p>
    <w:p w14:paraId="3F596CE0" w14:textId="6F37346C" w:rsidR="007142C9" w:rsidRPr="007142C9" w:rsidRDefault="007142C9" w:rsidP="007142C9">
      <w:pPr>
        <w:pStyle w:val="Heading2"/>
        <w:rPr>
          <w:color w:val="auto"/>
        </w:rPr>
      </w:pPr>
      <w:r w:rsidRPr="007142C9">
        <w:rPr>
          <w:rFonts w:ascii="Times New Roman" w:eastAsia="Times New Roman" w:hAnsi="Times New Roman"/>
          <w:color w:val="auto"/>
        </w:rPr>
        <w:t>6.1. Classroom implementation</w:t>
      </w:r>
    </w:p>
    <w:p w14:paraId="00238A97" w14:textId="4A3C2CE1" w:rsidR="00860150" w:rsidRDefault="00A64148" w:rsidP="00860150">
      <w:pPr>
        <w:jc w:val="both"/>
      </w:pPr>
      <w:r w:rsidRPr="00A64148">
        <w:t>In classroom practice, the teacher may select three to five short variants of the same passage and provide only the contextual information needed for comparison</w:t>
      </w:r>
      <w:r w:rsidR="00860150">
        <w:t>. Students first read the variants individually and mark unfamiliar forms. Working in pairs, they identify stable and variable elements. The class then builds a shared variation map, separating orthographic, lexical, grammatical and semantic differences. On this basis, students discuss which differences are mainly formal and which may affect interpretation. The activity ends with a short reflection on what the comparison shows about norm, variation and textual authority.</w:t>
      </w:r>
    </w:p>
    <w:p w14:paraId="6E8865B2" w14:textId="77777777" w:rsidR="00860150" w:rsidRDefault="00860150" w:rsidP="00860150">
      <w:pPr>
        <w:jc w:val="both"/>
      </w:pPr>
    </w:p>
    <w:p w14:paraId="317E606B" w14:textId="33B9DB34" w:rsidR="007142C9" w:rsidRDefault="00710367" w:rsidP="00860150">
      <w:pPr>
        <w:jc w:val="both"/>
      </w:pPr>
      <w:r w:rsidRPr="00710367">
        <w:t>Assessment can be organized around a short analytical paragraph. The main criteria are the student’s ability to classify variation, support an interpretation with textual evidence and read older forms within their historical context. A strong response, for example, would explain that a form differs from the contemporary standard because it belongs to an earlier orthographic or morphological system.</w:t>
      </w:r>
      <w:r>
        <w:t xml:space="preserve"> </w:t>
      </w:r>
    </w:p>
    <w:p w14:paraId="5845A9FC" w14:textId="77777777" w:rsidR="007142C9" w:rsidRPr="007142C9" w:rsidRDefault="007142C9" w:rsidP="007142C9">
      <w:pPr>
        <w:pStyle w:val="Heading1"/>
        <w:rPr>
          <w:color w:val="auto"/>
        </w:rPr>
      </w:pPr>
      <w:r w:rsidRPr="007142C9">
        <w:rPr>
          <w:rFonts w:ascii="Times New Roman" w:eastAsia="Times New Roman" w:hAnsi="Times New Roman"/>
          <w:color w:val="auto"/>
        </w:rPr>
        <w:t>7. Conclusion</w:t>
      </w:r>
    </w:p>
    <w:p w14:paraId="0396FC78" w14:textId="6A436D58" w:rsidR="007142C9" w:rsidRDefault="007142C9" w:rsidP="007142C9">
      <w:pPr>
        <w:jc w:val="both"/>
      </w:pPr>
      <w:r>
        <w:t xml:space="preserve">This article examined students’ perceptions of early Albanian textual variants and proposed a text-based model for teaching linguistic variation. </w:t>
      </w:r>
      <w:r w:rsidR="004972F2" w:rsidRPr="004972F2">
        <w:t>The results show that students generally value historical variants, and the post-task responses present them largely as evidence of linguistic development.</w:t>
      </w:r>
      <w:r>
        <w:t xml:space="preserve"> </w:t>
      </w:r>
      <w:r w:rsidR="00A64148" w:rsidRPr="00A64148">
        <w:t>The clearest result concerned the distinction between variation and mistake: 89.5% of valid responses agreed after the task that historical variants should be seen more as evidence of development than as error</w:t>
      </w:r>
      <w:r w:rsidR="00C408FF">
        <w:t>s</w:t>
      </w:r>
      <w:r w:rsidR="00A64148">
        <w:t>.</w:t>
      </w:r>
    </w:p>
    <w:p w14:paraId="534AD63E" w14:textId="77777777" w:rsidR="007142C9" w:rsidRDefault="007142C9" w:rsidP="007142C9">
      <w:pPr>
        <w:jc w:val="both"/>
      </w:pPr>
      <w:r>
        <w:t>The study also shows that students need explicit analytical categories. Many initially define norm as correctness or rule, which is understandable but incomplete. Teaching early Albanian texts through comparison can help them understand norm as a historical, social and institutional process and see that textual authority and linguistic variation can coexist.</w:t>
      </w:r>
    </w:p>
    <w:p w14:paraId="7909DF83" w14:textId="5CA632A9" w:rsidR="007142C9" w:rsidRDefault="004972F2" w:rsidP="007142C9">
      <w:pPr>
        <w:jc w:val="both"/>
      </w:pPr>
      <w:r w:rsidRPr="004972F2">
        <w:lastRenderedPageBreak/>
        <w:t>The preliminary model recommends contextualization, parallel reading, variation mapping, interpretation, and transfer.</w:t>
      </w:r>
      <w:r>
        <w:t xml:space="preserve"> </w:t>
      </w:r>
      <w:r w:rsidR="007142C9">
        <w:t>These stages turn early Albanian texts into active materials for language awareness, cultural literacy and historical reasoning. The model does not replace philological analysis; it translates philological insight into teachable classroom procedures.</w:t>
      </w:r>
    </w:p>
    <w:p w14:paraId="0AD0A060" w14:textId="2E718E02" w:rsidR="007142C9" w:rsidRDefault="007142C9" w:rsidP="007142C9">
      <w:pPr>
        <w:jc w:val="both"/>
      </w:pPr>
      <w:r>
        <w:t xml:space="preserve">The study has limitations. The sample is limited to </w:t>
      </w:r>
      <w:r w:rsidR="008B1F16">
        <w:t>80</w:t>
      </w:r>
      <w:r>
        <w:t xml:space="preserve"> students from two universities and should not be treated as statistically representative of all Albanian university students. The study is exploratory and questionnaire-based; it documents students’ responses to a guided comparison task rather than the effects of a full teaching intervention over time. The textual variants were drawn from identified source editions and used as pedagogical stimuli, while textual-critical questions concerning manuscript basis, transmission history and the establishment of readings remain outside the scope of the article. Future research can apply the model in a full course sequence, compare pre- and post-course results, include classroom observation and examine whether students retain these interpretive categories over time.</w:t>
      </w:r>
    </w:p>
    <w:p w14:paraId="00A5390D" w14:textId="77777777" w:rsidR="007142C9" w:rsidRDefault="007142C9" w:rsidP="007142C9">
      <w:pPr>
        <w:jc w:val="both"/>
      </w:pPr>
      <w:r>
        <w:t>Despite these limitations, the article argues that early Albanian texts deserve a stronger place in language pedagogy. They can help students understand how language changes, how standards are formed, how texts travel across time and how cultural memory is mediated through linguistic form.</w:t>
      </w:r>
    </w:p>
    <w:p w14:paraId="5D8A67B6" w14:textId="77777777" w:rsidR="007142C9" w:rsidRDefault="007142C9" w:rsidP="007142C9">
      <w:pPr>
        <w:jc w:val="both"/>
      </w:pPr>
    </w:p>
    <w:p w14:paraId="21B98F9B" w14:textId="77777777" w:rsidR="007142C9" w:rsidRPr="007142C9" w:rsidRDefault="007142C9" w:rsidP="007142C9">
      <w:pPr>
        <w:jc w:val="both"/>
        <w:rPr>
          <w:b/>
          <w:bCs/>
        </w:rPr>
      </w:pPr>
      <w:r w:rsidRPr="007142C9">
        <w:rPr>
          <w:b/>
          <w:bCs/>
        </w:rPr>
        <w:t>Ethical Statement</w:t>
      </w:r>
    </w:p>
    <w:p w14:paraId="031C47DC" w14:textId="77777777" w:rsidR="00A64148" w:rsidRDefault="00A64148" w:rsidP="000623F0">
      <w:pPr>
        <w:pStyle w:val="Heading1"/>
        <w:jc w:val="both"/>
        <w:rPr>
          <w:rFonts w:ascii="Times New Roman" w:eastAsia="Times New Roman" w:hAnsi="Times New Roman" w:cstheme="minorBidi"/>
          <w:b w:val="0"/>
          <w:bCs w:val="0"/>
          <w:color w:val="auto"/>
          <w:szCs w:val="22"/>
        </w:rPr>
      </w:pPr>
      <w:r w:rsidRPr="00A64148">
        <w:rPr>
          <w:rFonts w:ascii="Times New Roman" w:eastAsia="Times New Roman" w:hAnsi="Times New Roman" w:cstheme="minorBidi"/>
          <w:b w:val="0"/>
          <w:bCs w:val="0"/>
          <w:color w:val="auto"/>
          <w:szCs w:val="22"/>
        </w:rPr>
        <w:t>The questionnaire introduction informed participants that the responses would be used for a scientific article and that there were no correct or incorrect answers. Completion of the anonymous questionnaire constituted direct informed consent. Participation was voluntary, and participation or refusal had no effect on grades, course assessment, or academic relationships. No names or direct identifiers were collected. Responses were analysed in aggregate, and illustrative excerpts were anonymized. According to the institutional practice of the participating departments, this anonymous and voluntary low-risk educational questionnaire did not require a separate ethics-committee approval number.</w:t>
      </w:r>
    </w:p>
    <w:p w14:paraId="78A9F9AB" w14:textId="26E3901C" w:rsidR="007142C9" w:rsidRPr="007142C9" w:rsidRDefault="007142C9" w:rsidP="007142C9">
      <w:pPr>
        <w:pStyle w:val="Heading1"/>
        <w:rPr>
          <w:color w:val="auto"/>
        </w:rPr>
      </w:pPr>
      <w:r w:rsidRPr="007142C9">
        <w:rPr>
          <w:rFonts w:ascii="Times New Roman" w:eastAsia="Times New Roman" w:hAnsi="Times New Roman"/>
          <w:color w:val="auto"/>
        </w:rPr>
        <w:t>Funding</w:t>
      </w:r>
    </w:p>
    <w:p w14:paraId="2BDC103B" w14:textId="77777777" w:rsidR="007142C9" w:rsidRDefault="007142C9" w:rsidP="007142C9">
      <w:pPr>
        <w:jc w:val="both"/>
      </w:pPr>
      <w:r>
        <w:t>This research received no external funding.</w:t>
      </w:r>
    </w:p>
    <w:p w14:paraId="34676BB2" w14:textId="77777777" w:rsidR="007142C9" w:rsidRPr="007142C9" w:rsidRDefault="007142C9" w:rsidP="007142C9">
      <w:pPr>
        <w:pStyle w:val="Heading1"/>
        <w:rPr>
          <w:color w:val="auto"/>
        </w:rPr>
      </w:pPr>
      <w:r w:rsidRPr="007142C9">
        <w:rPr>
          <w:rFonts w:ascii="Times New Roman" w:eastAsia="Times New Roman" w:hAnsi="Times New Roman"/>
          <w:color w:val="auto"/>
        </w:rPr>
        <w:t>Conflict of Interest</w:t>
      </w:r>
    </w:p>
    <w:p w14:paraId="7E9B5158" w14:textId="77777777" w:rsidR="007142C9" w:rsidRDefault="007142C9" w:rsidP="007142C9">
      <w:pPr>
        <w:jc w:val="both"/>
      </w:pPr>
      <w:r>
        <w:t>The authors declare no conflict of interest.</w:t>
      </w:r>
    </w:p>
    <w:p w14:paraId="278C9A53" w14:textId="77777777" w:rsidR="007142C9" w:rsidRPr="007142C9" w:rsidRDefault="007142C9" w:rsidP="007142C9">
      <w:pPr>
        <w:pStyle w:val="Heading1"/>
        <w:rPr>
          <w:color w:val="auto"/>
        </w:rPr>
      </w:pPr>
      <w:r w:rsidRPr="007142C9">
        <w:rPr>
          <w:rFonts w:ascii="Times New Roman" w:eastAsia="Times New Roman" w:hAnsi="Times New Roman"/>
          <w:color w:val="auto"/>
        </w:rPr>
        <w:t>Data Availability</w:t>
      </w:r>
    </w:p>
    <w:p w14:paraId="31B646CF" w14:textId="13645A3B" w:rsidR="004972F2" w:rsidRDefault="004972F2" w:rsidP="000623F0">
      <w:pPr>
        <w:pStyle w:val="Heading1"/>
        <w:jc w:val="both"/>
        <w:rPr>
          <w:rFonts w:ascii="Times New Roman" w:eastAsia="Times New Roman" w:hAnsi="Times New Roman" w:cstheme="minorBidi"/>
          <w:b w:val="0"/>
          <w:bCs w:val="0"/>
          <w:color w:val="auto"/>
          <w:szCs w:val="22"/>
        </w:rPr>
      </w:pPr>
      <w:r w:rsidRPr="004972F2">
        <w:rPr>
          <w:rFonts w:ascii="Times New Roman" w:eastAsia="Times New Roman" w:hAnsi="Times New Roman" w:cstheme="minorBidi"/>
          <w:b w:val="0"/>
          <w:bCs w:val="0"/>
          <w:color w:val="auto"/>
          <w:szCs w:val="22"/>
        </w:rPr>
        <w:t>The anonymized aggregate quantitative data may be made available by the corresponding author upon reasonable request, subject to ethical restrictions. Full open-ended responses are not publicly shared because combinations of programme, institution, study level, and wording could allow indirect identification of participants. The questionnaire and textual stimuli are provided as Supplementary File 1</w:t>
      </w:r>
      <w:r w:rsidR="00A64148">
        <w:rPr>
          <w:rFonts w:ascii="Times New Roman" w:eastAsia="Times New Roman" w:hAnsi="Times New Roman" w:cstheme="minorBidi"/>
          <w:b w:val="0"/>
          <w:bCs w:val="0"/>
          <w:color w:val="auto"/>
          <w:szCs w:val="22"/>
        </w:rPr>
        <w:t>.</w:t>
      </w:r>
    </w:p>
    <w:p w14:paraId="74A89871" w14:textId="2F7835D7" w:rsidR="007142C9" w:rsidRPr="007142C9" w:rsidRDefault="007142C9" w:rsidP="007142C9">
      <w:pPr>
        <w:pStyle w:val="Heading1"/>
        <w:rPr>
          <w:color w:val="auto"/>
        </w:rPr>
      </w:pPr>
      <w:r w:rsidRPr="007142C9">
        <w:rPr>
          <w:rFonts w:ascii="Times New Roman" w:eastAsia="Times New Roman" w:hAnsi="Times New Roman"/>
          <w:color w:val="auto"/>
        </w:rPr>
        <w:t>Statement on the Use of Generative AI</w:t>
      </w:r>
    </w:p>
    <w:p w14:paraId="6CED3811" w14:textId="19B3D2F1" w:rsidR="007142C9" w:rsidRDefault="009B7FD8" w:rsidP="009B7FD8">
      <w:pPr>
        <w:spacing w:after="160" w:line="259" w:lineRule="auto"/>
        <w:jc w:val="both"/>
        <w:rPr>
          <w:rFonts w:cstheme="majorBidi"/>
          <w:b/>
          <w:bCs/>
          <w:szCs w:val="28"/>
        </w:rPr>
      </w:pPr>
      <w:r w:rsidRPr="009B7FD8">
        <w:t xml:space="preserve">During the revision stage of this manuscript, the authors used ChatGPT (OpenAI, June 2026 version) only to organize reviewer comments and support language polishing. No AI tool was used to generate data, analyse data, interpret findings, create references, or draft substantive </w:t>
      </w:r>
      <w:r w:rsidRPr="009B7FD8">
        <w:lastRenderedPageBreak/>
        <w:t>scholarly content. The authors reviewed all AI-assisted suggestions and remain fully responsible for the manuscript.</w:t>
      </w:r>
      <w:r w:rsidR="007142C9">
        <w:br w:type="page"/>
      </w:r>
    </w:p>
    <w:p w14:paraId="6049ABE0" w14:textId="501C68CC" w:rsidR="007142C9" w:rsidRPr="007142C9" w:rsidRDefault="007142C9" w:rsidP="007142C9">
      <w:pPr>
        <w:pStyle w:val="Heading1"/>
        <w:rPr>
          <w:color w:val="auto"/>
        </w:rPr>
      </w:pPr>
      <w:r w:rsidRPr="007142C9">
        <w:rPr>
          <w:rFonts w:ascii="Times New Roman" w:eastAsia="Times New Roman" w:hAnsi="Times New Roman"/>
          <w:color w:val="auto"/>
        </w:rPr>
        <w:lastRenderedPageBreak/>
        <w:t>References</w:t>
      </w:r>
    </w:p>
    <w:p w14:paraId="640C85B9" w14:textId="77777777" w:rsidR="00211461" w:rsidRDefault="00211461" w:rsidP="007142C9">
      <w:pPr>
        <w:ind w:left="720" w:hanging="720"/>
      </w:pPr>
      <w:r w:rsidRPr="00211461">
        <w:t xml:space="preserve">Bogdani, P. (2005). </w:t>
      </w:r>
      <w:r w:rsidRPr="00211461">
        <w:rPr>
          <w:i/>
          <w:iCs/>
        </w:rPr>
        <w:t xml:space="preserve">Cuneus Prophetarum (Çeta e profetëve): Botim kritik me një studim hyrës, faksimile të origjinalit, transkriptim e shënime </w:t>
      </w:r>
      <w:r w:rsidRPr="00211461">
        <w:t>[Cuneus Prophetarum (The troop of the prophets): Critical edition with introductory study, facsimile of the original, transcription, and notes] (A. Omari, Ed.). Akademia e Shkencave e Shqipërisë, Instituti i Gjuhësisë dhe i Letërsisë. (Original work published 1685)</w:t>
      </w:r>
    </w:p>
    <w:p w14:paraId="71B65F78" w14:textId="507CEFE8" w:rsidR="007142C9" w:rsidRDefault="007142C9" w:rsidP="007142C9">
      <w:pPr>
        <w:ind w:left="720" w:hanging="720"/>
      </w:pPr>
      <w:r>
        <w:t xml:space="preserve">Braun, V., &amp; Clarke, V. (2006). Using thematic analysis in psychology. </w:t>
      </w:r>
      <w:r w:rsidRPr="00CA45D4">
        <w:rPr>
          <w:i/>
          <w:iCs/>
        </w:rPr>
        <w:t>Qualitative Research in Psychology</w:t>
      </w:r>
      <w:r>
        <w:t>, 3(2), 77–101. https://doi.org/10.1191/1478088706qp063oa</w:t>
      </w:r>
    </w:p>
    <w:p w14:paraId="7C798397" w14:textId="7C67C320" w:rsidR="007142C9" w:rsidRDefault="007142C9" w:rsidP="007142C9">
      <w:pPr>
        <w:ind w:left="720" w:hanging="720"/>
      </w:pPr>
      <w:r>
        <w:t xml:space="preserve">Buzuku, G. (1968). </w:t>
      </w:r>
      <w:r w:rsidRPr="00CA45D4">
        <w:rPr>
          <w:i/>
          <w:iCs/>
        </w:rPr>
        <w:t>“Meshari” i Gjon Buzukut (1555): Pjesa e dytë: Faksimile dhe transkribim fonetik</w:t>
      </w:r>
      <w:r>
        <w:t xml:space="preserve"> </w:t>
      </w:r>
      <w:r w:rsidR="00211461" w:rsidRPr="00211461">
        <w:t xml:space="preserve">[Gjon Buzuku’s “Missal” (1555): Part II: Facsimile and phonetic transcription] </w:t>
      </w:r>
      <w:r>
        <w:t>(E. Çabej, Ed.). Universiteti Shtetëror i Tiranës, Instituti i Historisë e i Gjuhësisë. (Original work published 1555)</w:t>
      </w:r>
    </w:p>
    <w:p w14:paraId="5CBA2194" w14:textId="77777777" w:rsidR="007142C9" w:rsidRDefault="007142C9" w:rsidP="007142C9">
      <w:pPr>
        <w:ind w:left="720" w:hanging="720"/>
      </w:pPr>
      <w:r>
        <w:t xml:space="preserve">Byram, M. (2021). </w:t>
      </w:r>
      <w:r w:rsidRPr="00CA45D4">
        <w:rPr>
          <w:i/>
          <w:iCs/>
        </w:rPr>
        <w:t>Teaching and assessing intercultural communicative competence: Revisited</w:t>
      </w:r>
      <w:r>
        <w:t xml:space="preserve"> (2nd ed.). Multilingual Matters. https://doi.org/10.21832/BYRAM0244</w:t>
      </w:r>
    </w:p>
    <w:p w14:paraId="6BA70FFE" w14:textId="77777777" w:rsidR="007142C9" w:rsidRDefault="007142C9" w:rsidP="007142C9">
      <w:pPr>
        <w:ind w:left="720" w:hanging="720"/>
      </w:pPr>
      <w:r>
        <w:t xml:space="preserve">Cohen, L., Manion, L., &amp; Morrison, K. (2000). </w:t>
      </w:r>
      <w:r w:rsidRPr="00B47705">
        <w:rPr>
          <w:i/>
          <w:iCs/>
        </w:rPr>
        <w:t>Research methods in education</w:t>
      </w:r>
      <w:r>
        <w:t xml:space="preserve"> (5th ed.). RoutledgeFalmer.</w:t>
      </w:r>
    </w:p>
    <w:p w14:paraId="031D6C54" w14:textId="77777777" w:rsidR="007142C9" w:rsidRDefault="007142C9" w:rsidP="007142C9">
      <w:pPr>
        <w:ind w:left="720" w:hanging="720"/>
      </w:pPr>
      <w:r>
        <w:t xml:space="preserve">Creswell, J. W. (2009). </w:t>
      </w:r>
      <w:r w:rsidRPr="00B47705">
        <w:rPr>
          <w:i/>
          <w:iCs/>
        </w:rPr>
        <w:t>Research design: Qualitative, quantitative, and mixed methods approaches</w:t>
      </w:r>
      <w:r>
        <w:t xml:space="preserve"> (3rd ed.). SAGE Publications.</w:t>
      </w:r>
    </w:p>
    <w:p w14:paraId="1AD1791B" w14:textId="77777777" w:rsidR="007142C9" w:rsidRDefault="007142C9" w:rsidP="007142C9">
      <w:pPr>
        <w:ind w:left="720" w:hanging="720"/>
      </w:pPr>
      <w:r>
        <w:t xml:space="preserve">Fairclough, N. (2013). </w:t>
      </w:r>
      <w:r w:rsidRPr="00B47705">
        <w:rPr>
          <w:i/>
          <w:iCs/>
        </w:rPr>
        <w:t>Introduction. In N. Fairclough (Ed.), Critical language awareness</w:t>
      </w:r>
      <w:r>
        <w:t xml:space="preserve"> (pp. 1–29). Routledge. (Original work published 1992)</w:t>
      </w:r>
    </w:p>
    <w:p w14:paraId="711FC930" w14:textId="45E83C00" w:rsidR="007142C9" w:rsidRDefault="007142C9" w:rsidP="007142C9">
      <w:pPr>
        <w:ind w:left="720" w:hanging="720"/>
      </w:pPr>
      <w:r>
        <w:t xml:space="preserve">Filipaj, S. (Trans.). (1994). </w:t>
      </w:r>
      <w:r w:rsidRPr="00B47705">
        <w:rPr>
          <w:i/>
          <w:iCs/>
        </w:rPr>
        <w:t>Shkrimi shenjt: Besëlidhja e vjetër dhe Besëlidhja e re</w:t>
      </w:r>
      <w:r w:rsidR="00211461">
        <w:rPr>
          <w:i/>
          <w:iCs/>
        </w:rPr>
        <w:t xml:space="preserve"> </w:t>
      </w:r>
      <w:r w:rsidR="00211461" w:rsidRPr="00211461">
        <w:t>[Holy Scripture: The Old Covenant and the New Covenant]</w:t>
      </w:r>
      <w:r>
        <w:t>. Drita.</w:t>
      </w:r>
    </w:p>
    <w:p w14:paraId="105CC76E" w14:textId="21F3AA59" w:rsidR="00C408FF" w:rsidRDefault="00C408FF" w:rsidP="007142C9">
      <w:pPr>
        <w:ind w:left="720" w:hanging="720"/>
      </w:pPr>
      <w:r w:rsidRPr="00C408FF">
        <w:t xml:space="preserve">Fusco, P. (2025). Future literacy and cultural heritage education: Integrating anticipatory competencies for adaptive cultural sustainability. Encyclopedia, 5(4), Article 178. </w:t>
      </w:r>
      <w:hyperlink r:id="rId8" w:history="1">
        <w:r w:rsidRPr="002C6EBE">
          <w:rPr>
            <w:rStyle w:val="Hyperlink"/>
          </w:rPr>
          <w:t>https://doi.org/10.3390/encyclopedia5040178</w:t>
        </w:r>
      </w:hyperlink>
    </w:p>
    <w:p w14:paraId="3179DEFC" w14:textId="6C68ED19" w:rsidR="007142C9" w:rsidRDefault="007142C9" w:rsidP="007142C9">
      <w:pPr>
        <w:ind w:left="720" w:hanging="720"/>
      </w:pPr>
      <w:r>
        <w:t>Garrett, P. (2010). Attitudes to language. Cambridge University Press.</w:t>
      </w:r>
    </w:p>
    <w:p w14:paraId="2B6C2E1C" w14:textId="13B1E869" w:rsidR="007142C9" w:rsidRDefault="007142C9" w:rsidP="007142C9">
      <w:pPr>
        <w:ind w:left="720" w:hanging="720"/>
      </w:pPr>
      <w:r>
        <w:t xml:space="preserve">Gjeçaj, D. (Trans.). (2022). </w:t>
      </w:r>
      <w:r w:rsidRPr="00B47705">
        <w:rPr>
          <w:i/>
          <w:iCs/>
        </w:rPr>
        <w:t>Testamendi i Rí</w:t>
      </w:r>
      <w:r w:rsidR="00211461">
        <w:rPr>
          <w:i/>
          <w:iCs/>
        </w:rPr>
        <w:t xml:space="preserve"> </w:t>
      </w:r>
      <w:r w:rsidR="00211461">
        <w:t>[The New Testament]</w:t>
      </w:r>
      <w:r>
        <w:t>. Botime Françeskane.</w:t>
      </w:r>
    </w:p>
    <w:p w14:paraId="7031A35D" w14:textId="77777777" w:rsidR="007142C9" w:rsidRDefault="007142C9" w:rsidP="007142C9">
      <w:pPr>
        <w:ind w:left="720" w:hanging="720"/>
      </w:pPr>
      <w:r>
        <w:t xml:space="preserve">Kapia, E., &amp; Riverin-Coutlée, J. (2025). How Albanians feel about each other’s speech: A perceptual dialectology study. </w:t>
      </w:r>
      <w:r w:rsidRPr="00B47705">
        <w:rPr>
          <w:i/>
          <w:iCs/>
        </w:rPr>
        <w:t>Journal of Linguistic Geography</w:t>
      </w:r>
      <w:r>
        <w:t>, 1–12. https://doi.org/10.1017/jlg.2025.10006</w:t>
      </w:r>
    </w:p>
    <w:p w14:paraId="3B5513A8" w14:textId="4234DA80" w:rsidR="007142C9" w:rsidRDefault="007142C9" w:rsidP="007142C9">
      <w:pPr>
        <w:ind w:left="720" w:hanging="720"/>
      </w:pPr>
      <w:r>
        <w:t xml:space="preserve">Mjeda, N. (Trans.). (1927). </w:t>
      </w:r>
      <w:r w:rsidRPr="00B47705">
        <w:rPr>
          <w:i/>
          <w:iCs/>
        </w:rPr>
        <w:t>Shkurtorja e mësimit të kështenë e porositun prei Shêjtit Atë Papë Pi X: Pjesa I e II</w:t>
      </w:r>
      <w:r w:rsidR="00211461">
        <w:rPr>
          <w:i/>
          <w:iCs/>
        </w:rPr>
        <w:t xml:space="preserve"> </w:t>
      </w:r>
      <w:r w:rsidR="00211461">
        <w:t>[</w:t>
      </w:r>
      <w:r w:rsidR="00211461" w:rsidRPr="00211461">
        <w:t>Abridgement of Christian teaching commanded by His Holiness Pope Pius X: Parts I and II</w:t>
      </w:r>
      <w:r w:rsidR="00211461" w:rsidRPr="00211461">
        <w:rPr>
          <w:i/>
          <w:iCs/>
        </w:rPr>
        <w:t>]</w:t>
      </w:r>
      <w:r>
        <w:t>. Shtypshkroja e Zojës së Paperlyeme.</w:t>
      </w:r>
    </w:p>
    <w:p w14:paraId="49DFEB06" w14:textId="77777777" w:rsidR="007142C9" w:rsidRDefault="007142C9" w:rsidP="007142C9">
      <w:pPr>
        <w:ind w:left="720" w:hanging="720"/>
      </w:pPr>
      <w:r>
        <w:t xml:space="preserve">Oaks, D. D. (2021). </w:t>
      </w:r>
      <w:r w:rsidRPr="00B47705">
        <w:t>Mother Goose as a resource in teaching historical linguistics</w:t>
      </w:r>
      <w:r w:rsidRPr="00B47705">
        <w:rPr>
          <w:i/>
          <w:iCs/>
        </w:rPr>
        <w:t>. Journal of Linguistics and Language Teaching</w:t>
      </w:r>
      <w:r>
        <w:t>, 12(1), 11–37.</w:t>
      </w:r>
    </w:p>
    <w:p w14:paraId="65597283" w14:textId="3BC0F2EF" w:rsidR="00211461" w:rsidRDefault="00211461" w:rsidP="007142C9">
      <w:pPr>
        <w:ind w:left="720" w:hanging="720"/>
      </w:pPr>
      <w:r w:rsidRPr="00211461">
        <w:t xml:space="preserve">Pettersson-Traba, D., Gkoutziomitrou, M., &amp; Tamaredo, I. (2026). Language variation in the linguistics classroom: Improving university students’ attitudes through targeted instruction. Journal of English Studies, 24, 267–303. </w:t>
      </w:r>
      <w:hyperlink r:id="rId9" w:history="1">
        <w:r w:rsidRPr="008A781E">
          <w:rPr>
            <w:rStyle w:val="Hyperlink"/>
          </w:rPr>
          <w:t>https://doi.org/10.18172/jes.6883</w:t>
        </w:r>
      </w:hyperlink>
    </w:p>
    <w:p w14:paraId="1F313C1F" w14:textId="24CA0304" w:rsidR="007142C9" w:rsidRDefault="007142C9" w:rsidP="007142C9">
      <w:pPr>
        <w:ind w:left="720" w:hanging="720"/>
      </w:pPr>
      <w:r>
        <w:t xml:space="preserve">Xanoni, A. M. (Trans.). (ca. 1933). </w:t>
      </w:r>
      <w:r w:rsidRPr="00B47705">
        <w:rPr>
          <w:i/>
          <w:iCs/>
        </w:rPr>
        <w:t>Shkurtoreja e Dotrines t’Krishtênë: E porositun prei shêitit Aat Papë Pio X: Piesa e I., II., III., IV., V., e VI</w:t>
      </w:r>
      <w:r>
        <w:t xml:space="preserve"> </w:t>
      </w:r>
      <w:r w:rsidR="00211461" w:rsidRPr="00211461">
        <w:t xml:space="preserve">[Abridgement of Christian doctrine commanded by His Holiness Pope Pius X: Parts I–VI] </w:t>
      </w:r>
      <w:r>
        <w:t xml:space="preserve">[Dotrina e Madhe]. </w:t>
      </w:r>
      <w:r w:rsidR="00F208FA" w:rsidRPr="00F208FA">
        <w:t>Shtypshkroja e Zojës së Paperlyeme.</w:t>
      </w:r>
    </w:p>
    <w:p w14:paraId="536849E1" w14:textId="77777777" w:rsidR="00BE09C8" w:rsidRDefault="00BE09C8"/>
    <w:sectPr w:rsidR="00BE09C8">
      <w:footerReference w:type="default" r:id="rId10"/>
      <w:pgSz w:w="11909" w:h="1683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C13C1" w14:textId="77777777" w:rsidR="00AC3A7C" w:rsidRDefault="00AC3A7C" w:rsidP="007142C9">
      <w:pPr>
        <w:spacing w:after="0"/>
      </w:pPr>
      <w:r>
        <w:separator/>
      </w:r>
    </w:p>
  </w:endnote>
  <w:endnote w:type="continuationSeparator" w:id="0">
    <w:p w14:paraId="79979389" w14:textId="77777777" w:rsidR="00AC3A7C" w:rsidRDefault="00AC3A7C" w:rsidP="007142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779177"/>
      <w:docPartObj>
        <w:docPartGallery w:val="Page Numbers (Bottom of Page)"/>
        <w:docPartUnique/>
      </w:docPartObj>
    </w:sdtPr>
    <w:sdtEndPr>
      <w:rPr>
        <w:noProof/>
      </w:rPr>
    </w:sdtEndPr>
    <w:sdtContent>
      <w:p w14:paraId="30BEB439" w14:textId="774263DD" w:rsidR="000623F0" w:rsidRDefault="000623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F3727C" w14:textId="77777777" w:rsidR="000623F0" w:rsidRDefault="00062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C31A5" w14:textId="77777777" w:rsidR="00AC3A7C" w:rsidRDefault="00AC3A7C" w:rsidP="007142C9">
      <w:pPr>
        <w:spacing w:after="0"/>
      </w:pPr>
      <w:r>
        <w:separator/>
      </w:r>
    </w:p>
  </w:footnote>
  <w:footnote w:type="continuationSeparator" w:id="0">
    <w:p w14:paraId="0851AB93" w14:textId="77777777" w:rsidR="00AC3A7C" w:rsidRDefault="00AC3A7C" w:rsidP="007142C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0B"/>
    <w:rsid w:val="00037BFD"/>
    <w:rsid w:val="000548B2"/>
    <w:rsid w:val="000623F0"/>
    <w:rsid w:val="00084898"/>
    <w:rsid w:val="001C4D5C"/>
    <w:rsid w:val="001E58E2"/>
    <w:rsid w:val="00211461"/>
    <w:rsid w:val="0024280A"/>
    <w:rsid w:val="00280585"/>
    <w:rsid w:val="002901B3"/>
    <w:rsid w:val="00417A78"/>
    <w:rsid w:val="004972F2"/>
    <w:rsid w:val="004C3A11"/>
    <w:rsid w:val="00512B87"/>
    <w:rsid w:val="0069685A"/>
    <w:rsid w:val="006D3D66"/>
    <w:rsid w:val="00710367"/>
    <w:rsid w:val="007142C9"/>
    <w:rsid w:val="00791F17"/>
    <w:rsid w:val="0079788B"/>
    <w:rsid w:val="007F649C"/>
    <w:rsid w:val="008451E2"/>
    <w:rsid w:val="00860150"/>
    <w:rsid w:val="008A30F2"/>
    <w:rsid w:val="008B1F16"/>
    <w:rsid w:val="009A7058"/>
    <w:rsid w:val="009B7FD8"/>
    <w:rsid w:val="009E5A47"/>
    <w:rsid w:val="00A64148"/>
    <w:rsid w:val="00AC3A7C"/>
    <w:rsid w:val="00AD52E6"/>
    <w:rsid w:val="00B14E12"/>
    <w:rsid w:val="00BC2C90"/>
    <w:rsid w:val="00BD0B7E"/>
    <w:rsid w:val="00BD6BB1"/>
    <w:rsid w:val="00BE09C8"/>
    <w:rsid w:val="00C408FF"/>
    <w:rsid w:val="00C9636D"/>
    <w:rsid w:val="00CA182D"/>
    <w:rsid w:val="00CF672F"/>
    <w:rsid w:val="00D21940"/>
    <w:rsid w:val="00DC1627"/>
    <w:rsid w:val="00DC7409"/>
    <w:rsid w:val="00E54C5E"/>
    <w:rsid w:val="00E57F14"/>
    <w:rsid w:val="00E6580B"/>
    <w:rsid w:val="00EB0501"/>
    <w:rsid w:val="00ED4404"/>
    <w:rsid w:val="00F208FA"/>
    <w:rsid w:val="00FC4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7DE39"/>
  <w15:chartTrackingRefBased/>
  <w15:docId w15:val="{04096C64-6C19-4CCC-B530-F8B4820A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2C9"/>
    <w:pPr>
      <w:spacing w:after="120" w:line="24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7142C9"/>
    <w:pPr>
      <w:keepNext/>
      <w:keepLines/>
      <w:spacing w:before="24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Heading2Char"/>
    <w:uiPriority w:val="9"/>
    <w:unhideWhenUsed/>
    <w:qFormat/>
    <w:rsid w:val="007142C9"/>
    <w:pPr>
      <w:keepNext/>
      <w:keepLines/>
      <w:spacing w:before="24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2C9"/>
    <w:rPr>
      <w:rFonts w:asciiTheme="majorHAnsi" w:eastAsiaTheme="majorEastAsia" w:hAnsiTheme="majorHAnsi" w:cstheme="majorBidi"/>
      <w:b/>
      <w:bCs/>
      <w:color w:val="2F5496" w:themeColor="accent1" w:themeShade="BF"/>
      <w:sz w:val="24"/>
      <w:szCs w:val="28"/>
    </w:rPr>
  </w:style>
  <w:style w:type="character" w:customStyle="1" w:styleId="Heading2Char">
    <w:name w:val="Heading 2 Char"/>
    <w:basedOn w:val="DefaultParagraphFont"/>
    <w:link w:val="Heading2"/>
    <w:uiPriority w:val="9"/>
    <w:rsid w:val="007142C9"/>
    <w:rPr>
      <w:rFonts w:asciiTheme="majorHAnsi" w:eastAsiaTheme="majorEastAsia" w:hAnsiTheme="majorHAnsi" w:cstheme="majorBidi"/>
      <w:b/>
      <w:bCs/>
      <w:color w:val="4472C4" w:themeColor="accent1"/>
      <w:sz w:val="24"/>
      <w:szCs w:val="26"/>
    </w:rPr>
  </w:style>
  <w:style w:type="table" w:styleId="TableGrid">
    <w:name w:val="Table Grid"/>
    <w:basedOn w:val="TableNormal"/>
    <w:uiPriority w:val="59"/>
    <w:rsid w:val="007142C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42C9"/>
    <w:rPr>
      <w:color w:val="0563C1" w:themeColor="hyperlink"/>
      <w:u w:val="single"/>
    </w:rPr>
  </w:style>
  <w:style w:type="table" w:styleId="GridTable1Light">
    <w:name w:val="Grid Table 1 Light"/>
    <w:basedOn w:val="TableNormal"/>
    <w:uiPriority w:val="46"/>
    <w:rsid w:val="007142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7142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7142C9"/>
    <w:pPr>
      <w:tabs>
        <w:tab w:val="center" w:pos="4680"/>
        <w:tab w:val="right" w:pos="9360"/>
      </w:tabs>
      <w:spacing w:after="0"/>
    </w:pPr>
  </w:style>
  <w:style w:type="character" w:customStyle="1" w:styleId="HeaderChar">
    <w:name w:val="Header Char"/>
    <w:basedOn w:val="DefaultParagraphFont"/>
    <w:link w:val="Header"/>
    <w:uiPriority w:val="99"/>
    <w:rsid w:val="007142C9"/>
    <w:rPr>
      <w:rFonts w:ascii="Times New Roman" w:eastAsia="Times New Roman" w:hAnsi="Times New Roman"/>
      <w:sz w:val="24"/>
    </w:rPr>
  </w:style>
  <w:style w:type="paragraph" w:styleId="Footer">
    <w:name w:val="footer"/>
    <w:basedOn w:val="Normal"/>
    <w:link w:val="FooterChar"/>
    <w:uiPriority w:val="99"/>
    <w:unhideWhenUsed/>
    <w:rsid w:val="007142C9"/>
    <w:pPr>
      <w:tabs>
        <w:tab w:val="center" w:pos="4680"/>
        <w:tab w:val="right" w:pos="9360"/>
      </w:tabs>
      <w:spacing w:after="0"/>
    </w:pPr>
  </w:style>
  <w:style w:type="character" w:customStyle="1" w:styleId="FooterChar">
    <w:name w:val="Footer Char"/>
    <w:basedOn w:val="DefaultParagraphFont"/>
    <w:link w:val="Footer"/>
    <w:uiPriority w:val="99"/>
    <w:rsid w:val="007142C9"/>
    <w:rPr>
      <w:rFonts w:ascii="Times New Roman" w:eastAsia="Times New Roman" w:hAnsi="Times New Roman"/>
      <w:sz w:val="24"/>
    </w:rPr>
  </w:style>
  <w:style w:type="character" w:styleId="UnresolvedMention">
    <w:name w:val="Unresolved Mention"/>
    <w:basedOn w:val="DefaultParagraphFont"/>
    <w:uiPriority w:val="99"/>
    <w:semiHidden/>
    <w:unhideWhenUsed/>
    <w:rsid w:val="00E57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9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encyclopedia5040178" TargetMode="External"/><Relationship Id="rId3" Type="http://schemas.openxmlformats.org/officeDocument/2006/relationships/webSettings" Target="webSettings.xml"/><Relationship Id="rId7" Type="http://schemas.openxmlformats.org/officeDocument/2006/relationships/hyperlink" Target="mailto:belfjore.qose@fhf.edu.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amira.shkreli@unishk.edu.a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18172/jes.6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7063</Words>
  <Characters>40263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Andreas Dushi</cp:lastModifiedBy>
  <cp:revision>2</cp:revision>
  <dcterms:created xsi:type="dcterms:W3CDTF">2026-05-08T23:32:00Z</dcterms:created>
  <dcterms:modified xsi:type="dcterms:W3CDTF">2026-06-18T12:06:00Z</dcterms:modified>
</cp:coreProperties>
</file>