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5D0" w:rsidRDefault="004C31C1" w:rsidP="00230964">
      <w:pPr>
        <w:jc w:val="center"/>
        <w:rPr>
          <w:rFonts w:ascii="Garamond" w:hAnsi="Garamond"/>
          <w:sz w:val="40"/>
          <w:szCs w:val="40"/>
        </w:rPr>
      </w:pPr>
      <w:r w:rsidRPr="00230964">
        <w:rPr>
          <w:rFonts w:ascii="Garamond" w:hAnsi="Garamond"/>
          <w:sz w:val="40"/>
          <w:szCs w:val="40"/>
        </w:rPr>
        <w:t xml:space="preserve">Examining the Effect of Green Banking Practices on Environmental Sustainability and Organizational Performance: A Study of Selected </w:t>
      </w:r>
      <w:r w:rsidR="00230964" w:rsidRPr="00230964">
        <w:rPr>
          <w:rFonts w:ascii="Garamond" w:hAnsi="Garamond"/>
          <w:sz w:val="40"/>
          <w:szCs w:val="40"/>
        </w:rPr>
        <w:t>Commercial Banks in Addis Ababa</w:t>
      </w:r>
    </w:p>
    <w:p w:rsidR="003F554A" w:rsidRPr="00230964" w:rsidRDefault="003F554A" w:rsidP="00230964">
      <w:pPr>
        <w:jc w:val="center"/>
        <w:rPr>
          <w:rFonts w:ascii="Garamond" w:hAnsi="Garamond"/>
          <w:sz w:val="40"/>
          <w:szCs w:val="40"/>
        </w:rPr>
      </w:pPr>
    </w:p>
    <w:p w:rsidR="003F554A" w:rsidRDefault="003F554A" w:rsidP="003F554A">
      <w:pPr>
        <w:spacing w:after="0" w:line="240" w:lineRule="auto"/>
        <w:jc w:val="center"/>
        <w:rPr>
          <w:rFonts w:ascii="Times New Roman" w:hAnsi="Times New Roman" w:cs="Times New Roman"/>
          <w:sz w:val="26"/>
          <w:szCs w:val="24"/>
        </w:rPr>
      </w:pPr>
      <w:proofErr w:type="spellStart"/>
      <w:r>
        <w:rPr>
          <w:rFonts w:ascii="Times New Roman" w:hAnsi="Times New Roman" w:cs="Times New Roman"/>
          <w:sz w:val="26"/>
          <w:szCs w:val="24"/>
        </w:rPr>
        <w:t/>
      </w:r>
      <w:proofErr w:type="spellEnd"/>
      <w:r>
        <w:rPr>
          <w:rFonts w:ascii="Times New Roman" w:hAnsi="Times New Roman" w:cs="Times New Roman"/>
          <w:sz w:val="26"/>
          <w:szCs w:val="24"/>
        </w:rPr>
        <w:t xml:space="preserve"/>
      </w:r>
      <w:proofErr w:type="spellStart"/>
      <w:r>
        <w:rPr>
          <w:rFonts w:ascii="Times New Roman" w:hAnsi="Times New Roman" w:cs="Times New Roman"/>
          <w:sz w:val="26"/>
          <w:szCs w:val="24"/>
        </w:rPr>
        <w:t/>
      </w:r>
      <w:proofErr w:type="spellEnd"/>
      <w:r>
        <w:rPr>
          <w:rFonts w:ascii="Times New Roman" w:hAnsi="Times New Roman" w:cs="Times New Roman"/>
          <w:sz w:val="26"/>
          <w:szCs w:val="24"/>
        </w:rPr>
        <w:t xml:space="preserve"/>
      </w:r>
      <w:proofErr w:type="spellStart"/>
      <w:r>
        <w:rPr>
          <w:rFonts w:ascii="Times New Roman" w:hAnsi="Times New Roman" w:cs="Times New Roman"/>
          <w:sz w:val="26"/>
          <w:szCs w:val="24"/>
        </w:rPr>
        <w:t/>
      </w:r>
      <w:proofErr w:type="spellEnd"/>
      <w:r>
        <w:rPr>
          <w:rFonts w:ascii="Times New Roman" w:hAnsi="Times New Roman" w:cs="Times New Roman"/>
          <w:sz w:val="26"/>
          <w:szCs w:val="24"/>
        </w:rPr>
        <w:t xml:space="preserve"/>
      </w:r>
      <w:proofErr w:type="spellStart"/>
      <w:r>
        <w:rPr>
          <w:rFonts w:ascii="Times New Roman" w:hAnsi="Times New Roman" w:cs="Times New Roman"/>
          <w:sz w:val="26"/>
          <w:szCs w:val="24"/>
        </w:rPr>
        <w:t/>
      </w:r>
      <w:proofErr w:type="gramStart"/>
      <w:r>
        <w:rPr>
          <w:rFonts w:ascii="Times New Roman" w:hAnsi="Times New Roman" w:cs="Times New Roman"/>
          <w:sz w:val="26"/>
          <w:szCs w:val="24"/>
        </w:rPr>
        <w:t/>
      </w:r>
      <w:proofErr w:type="spellEnd"/>
      <w:proofErr w:type="gramEnd"/>
      <w:r>
        <w:rPr>
          <w:rFonts w:ascii="Times New Roman" w:hAnsi="Times New Roman" w:cs="Times New Roman"/>
          <w:sz w:val="26"/>
          <w:szCs w:val="24"/>
        </w:rPr>
        <w:t xml:space="preserve"/>
      </w:r>
    </w:p>
    <w:p w:rsidR="003F554A" w:rsidRDefault="003F554A" w:rsidP="003F554A">
      <w:pPr>
        <w:spacing w:after="0" w:line="240" w:lineRule="auto"/>
        <w:jc w:val="center"/>
        <w:rPr>
          <w:rFonts w:ascii="Times New Roman" w:hAnsi="Times New Roman" w:cs="Times New Roman"/>
          <w:sz w:val="26"/>
          <w:szCs w:val="24"/>
        </w:rPr>
      </w:pPr>
      <w:r>
        <w:rPr>
          <w:rFonts w:ascii="Times New Roman" w:hAnsi="Times New Roman" w:cs="Times New Roman"/>
          <w:sz w:val="26"/>
          <w:szCs w:val="24"/>
        </w:rPr>
        <w:t xml:space="preserve"/>
      </w:r>
      <w:proofErr w:type="spellStart"/>
      <w:r>
        <w:rPr>
          <w:rFonts w:ascii="Times New Roman" w:hAnsi="Times New Roman" w:cs="Times New Roman"/>
          <w:sz w:val="26"/>
          <w:szCs w:val="24"/>
        </w:rPr>
        <w:t/>
      </w:r>
      <w:proofErr w:type="spellEnd"/>
      <w:r>
        <w:rPr>
          <w:rFonts w:ascii="Times New Roman" w:hAnsi="Times New Roman" w:cs="Times New Roman"/>
          <w:sz w:val="26"/>
          <w:szCs w:val="24"/>
        </w:rPr>
        <w:t xml:space="preserve"/>
      </w:r>
    </w:p>
    <w:p w:rsidR="003F554A" w:rsidRDefault="003F554A" w:rsidP="003F554A">
      <w:pPr>
        <w:spacing w:after="0" w:line="240" w:lineRule="auto"/>
        <w:jc w:val="center"/>
        <w:rPr>
          <w:rFonts w:ascii="Times New Roman" w:hAnsi="Times New Roman" w:cs="Times New Roman"/>
          <w:sz w:val="26"/>
          <w:szCs w:val="24"/>
        </w:rPr>
      </w:pPr>
      <w:r>
        <w:rPr>
          <w:rFonts w:ascii="Times New Roman" w:hAnsi="Times New Roman" w:cs="Times New Roman"/>
          <w:sz w:val="26"/>
          <w:szCs w:val="24"/>
        </w:rPr>
        <w:t/>
      </w:r>
    </w:p>
    <w:p w:rsidR="003F554A" w:rsidRDefault="003F554A" w:rsidP="003F554A">
      <w:pPr>
        <w:pStyle w:val="BodyText"/>
        <w:ind w:left="0"/>
        <w:jc w:val="center"/>
        <w:rPr>
          <w:b/>
          <w:sz w:val="36"/>
        </w:rPr>
      </w:pPr>
      <w:r>
        <w:rPr>
          <w:sz w:val="26"/>
        </w:rPr>
        <w:t xml:space="preserve"/>
      </w:r>
      <w:hyperlink r:id="rId5" w:history="1">
        <w:r>
          <w:rPr>
            <w:rStyle w:val="Hyperlink"/>
            <w:rFonts w:ascii="Courier New" w:hAnsi="Courier New" w:cs="Courier New"/>
            <w:szCs w:val="20"/>
          </w:rPr>
          <w:t/>
        </w:r>
      </w:hyperlink>
    </w:p>
    <w:p w:rsidR="00291DD1" w:rsidRDefault="00291DD1" w:rsidP="00291DD1">
      <w:pPr>
        <w:pStyle w:val="Heading3"/>
        <w:spacing w:before="0" w:beforeAutospacing="0" w:after="0" w:afterAutospacing="0"/>
        <w:jc w:val="both"/>
        <w:rPr>
          <w:rStyle w:val="Strong"/>
          <w:b/>
          <w:i/>
          <w:sz w:val="20"/>
          <w:szCs w:val="20"/>
        </w:rPr>
      </w:pPr>
    </w:p>
    <w:p w:rsidR="003F554A" w:rsidRPr="00291DD1" w:rsidRDefault="003F554A" w:rsidP="008F6A59">
      <w:pPr>
        <w:pStyle w:val="Heading3"/>
        <w:spacing w:before="120" w:beforeAutospacing="0" w:after="0" w:afterAutospacing="0"/>
        <w:jc w:val="both"/>
        <w:rPr>
          <w:rStyle w:val="Strong"/>
          <w:b/>
          <w:i/>
          <w:sz w:val="22"/>
          <w:szCs w:val="22"/>
        </w:rPr>
      </w:pPr>
      <w:r w:rsidRPr="00291DD1">
        <w:rPr>
          <w:rStyle w:val="Strong"/>
          <w:b/>
          <w:i/>
          <w:sz w:val="22"/>
          <w:szCs w:val="22"/>
        </w:rPr>
        <w:t xml:space="preserve">Abstract </w:t>
      </w:r>
    </w:p>
    <w:p w:rsidR="008F6A59" w:rsidRDefault="008F6A59" w:rsidP="00291DD1">
      <w:pPr>
        <w:pStyle w:val="NormalWeb"/>
        <w:spacing w:before="0" w:beforeAutospacing="0" w:after="0" w:afterAutospacing="0"/>
        <w:jc w:val="both"/>
        <w:rPr>
          <w:i/>
          <w:sz w:val="20"/>
          <w:szCs w:val="20"/>
        </w:rPr>
      </w:pPr>
      <w:r w:rsidRPr="008F6A59">
        <w:rPr>
          <w:i/>
          <w:sz w:val="20"/>
          <w:szCs w:val="20"/>
        </w:rPr>
        <w:t>This study examined the effect of green banking practices on environmental sustainability and organizational performance in selected commercial banks in Addis Ababa, Ethiopia. The main objective was to assess the influence of green banking adoption, environmental sustainability, green banking initiatives, environmental risk assessment, and institutional challenges on organizational performance. A quantitative research design was employed. The target population consisted of employees of selected commercial banks. A sample size of 248 respondents was selected using stratified random sampling technique, out of which 245 questionnaires were correctly returned and used for analysis. Data were collected using structured questionnaires and analyzed using descriptive statistics, correlation, and multiple regression analysis. The findings revealed that environmental sustainability and green banking adoption significantly enhance organizational performance, while other variables show weaker or mixed effects. The study recommends strengthening sustainability practices, improving green banking systems, and enhancing regulatory frameworks.</w:t>
      </w:r>
    </w:p>
    <w:p w:rsidR="00291DD1" w:rsidRPr="00291DD1" w:rsidRDefault="00291DD1" w:rsidP="00291DD1">
      <w:pPr>
        <w:pStyle w:val="NormalWeb"/>
        <w:spacing w:before="0" w:beforeAutospacing="0" w:after="0" w:afterAutospacing="0"/>
        <w:jc w:val="both"/>
        <w:rPr>
          <w:i/>
          <w:sz w:val="20"/>
          <w:szCs w:val="20"/>
        </w:rPr>
      </w:pPr>
      <w:r w:rsidRPr="00291DD1">
        <w:rPr>
          <w:rStyle w:val="Strong"/>
          <w:i/>
          <w:sz w:val="20"/>
          <w:szCs w:val="20"/>
        </w:rPr>
        <w:t>Keywords:</w:t>
      </w:r>
      <w:r w:rsidRPr="00291DD1">
        <w:rPr>
          <w:i/>
          <w:sz w:val="20"/>
          <w:szCs w:val="20"/>
        </w:rPr>
        <w:t xml:space="preserve"> Green banking, environmental sustainability, organizational performance, environmental risk </w:t>
      </w:r>
    </w:p>
    <w:p w:rsidR="00291DD1" w:rsidRDefault="00291DD1" w:rsidP="00291DD1">
      <w:pPr>
        <w:pStyle w:val="NormalWeb"/>
        <w:spacing w:before="0" w:beforeAutospacing="0" w:after="0" w:afterAutospacing="0"/>
        <w:jc w:val="both"/>
        <w:rPr>
          <w:i/>
          <w:sz w:val="20"/>
          <w:szCs w:val="20"/>
        </w:rPr>
      </w:pPr>
      <w:r w:rsidRPr="00291DD1">
        <w:rPr>
          <w:i/>
          <w:sz w:val="20"/>
          <w:szCs w:val="20"/>
        </w:rPr>
        <w:t xml:space="preserve">                      </w:t>
      </w:r>
      <w:proofErr w:type="gramStart"/>
      <w:r w:rsidRPr="00291DD1">
        <w:rPr>
          <w:i/>
          <w:sz w:val="20"/>
          <w:szCs w:val="20"/>
        </w:rPr>
        <w:t>assessment</w:t>
      </w:r>
      <w:proofErr w:type="gramEnd"/>
      <w:r w:rsidRPr="00291DD1">
        <w:rPr>
          <w:i/>
          <w:sz w:val="20"/>
          <w:szCs w:val="20"/>
        </w:rPr>
        <w:t>, commercial banks.</w:t>
      </w:r>
    </w:p>
    <w:p w:rsidR="008F6A59" w:rsidRPr="00291DD1" w:rsidRDefault="008F6A59" w:rsidP="00291DD1">
      <w:pPr>
        <w:pStyle w:val="NormalWeb"/>
        <w:spacing w:before="0" w:beforeAutospacing="0" w:after="0" w:afterAutospacing="0"/>
        <w:jc w:val="both"/>
        <w:rPr>
          <w:i/>
          <w:sz w:val="20"/>
          <w:szCs w:val="20"/>
        </w:rPr>
      </w:pPr>
    </w:p>
    <w:p w:rsidR="00E102AF" w:rsidRPr="007C46FC" w:rsidRDefault="00E102AF" w:rsidP="00E102AF">
      <w:pPr>
        <w:pStyle w:val="Heading1"/>
        <w:widowControl w:val="0"/>
        <w:numPr>
          <w:ilvl w:val="0"/>
          <w:numId w:val="9"/>
        </w:numPr>
        <w:autoSpaceDE w:val="0"/>
        <w:autoSpaceDN w:val="0"/>
        <w:spacing w:before="0" w:beforeAutospacing="0" w:after="120" w:afterAutospacing="0"/>
        <w:jc w:val="both"/>
        <w:rPr>
          <w:sz w:val="24"/>
          <w:szCs w:val="24"/>
        </w:rPr>
      </w:pPr>
      <w:bookmarkStart w:id="0" w:name="_TOC_250080"/>
      <w:bookmarkStart w:id="1" w:name="_Toc172231873"/>
      <w:bookmarkStart w:id="2" w:name="_Toc159804058"/>
      <w:r w:rsidRPr="007C46FC">
        <w:rPr>
          <w:sz w:val="24"/>
          <w:szCs w:val="24"/>
        </w:rPr>
        <w:t xml:space="preserve">Background of the </w:t>
      </w:r>
      <w:bookmarkEnd w:id="0"/>
      <w:r w:rsidRPr="007C46FC">
        <w:rPr>
          <w:sz w:val="24"/>
          <w:szCs w:val="24"/>
        </w:rPr>
        <w:t>Study</w:t>
      </w:r>
      <w:bookmarkStart w:id="3" w:name="In_Ethiopia_share_of_tax_revenue_to_GDP_"/>
      <w:bookmarkEnd w:id="1"/>
      <w:bookmarkEnd w:id="2"/>
      <w:bookmarkEnd w:id="3"/>
    </w:p>
    <w:p w:rsidR="00E102AF" w:rsidRPr="007C46FC" w:rsidRDefault="00E102AF" w:rsidP="00E102AF">
      <w:pPr>
        <w:pStyle w:val="ListParagraph"/>
        <w:numPr>
          <w:ilvl w:val="1"/>
          <w:numId w:val="9"/>
        </w:numPr>
        <w:spacing w:after="120" w:line="240" w:lineRule="auto"/>
        <w:rPr>
          <w:rFonts w:ascii="Times New Roman" w:eastAsia="Times New Roman" w:hAnsi="Times New Roman" w:cs="Times New Roman"/>
        </w:rPr>
      </w:pPr>
      <w:r w:rsidRPr="007C46FC">
        <w:rPr>
          <w:rFonts w:ascii="Times New Roman" w:eastAsia="Times New Roman" w:hAnsi="Times New Roman" w:cs="Times New Roman"/>
          <w:b/>
          <w:bCs/>
        </w:rPr>
        <w:t>Introduction</w:t>
      </w:r>
    </w:p>
    <w:p w:rsidR="00E102AF" w:rsidRPr="00E102AF" w:rsidRDefault="00E102AF" w:rsidP="00E102AF">
      <w:pPr>
        <w:spacing w:before="120" w:after="0" w:line="240" w:lineRule="auto"/>
        <w:jc w:val="both"/>
        <w:rPr>
          <w:rFonts w:ascii="Times New Roman" w:eastAsia="Times New Roman" w:hAnsi="Times New Roman" w:cs="Times New Roman"/>
        </w:rPr>
      </w:pPr>
      <w:r w:rsidRPr="00E102AF">
        <w:rPr>
          <w:rFonts w:ascii="Times New Roman" w:eastAsia="Times New Roman" w:hAnsi="Times New Roman" w:cs="Times New Roman"/>
        </w:rPr>
        <w:t>The global financial landscape is undergoing a paradigm shift as institutions recognize that long-term economic stability is inextricably linked to environmental health. Commercial banks, as primary intermediaries of capital, play a pivotal role in this transition by directing funds toward sustainable projects while mitigating the ecological impact of their internal operations [1]. In Ethiopia, this transition is increasingly urgent as the nation grapples with climate-related economic costs estimated between $290$ and $440$ billion for the current decade [2]. Addis Ababa, as the financial and administrative hub, serves as the primary stage for implementing green banking practices that align with Ethiopia’s broader commitment to a climate-resilient green economy [2].</w:t>
      </w:r>
    </w:p>
    <w:p w:rsidR="00E102AF" w:rsidRPr="00E102AF" w:rsidRDefault="00E102AF" w:rsidP="00E102AF">
      <w:pPr>
        <w:spacing w:before="120" w:after="0" w:line="240" w:lineRule="auto"/>
        <w:jc w:val="both"/>
        <w:rPr>
          <w:rFonts w:ascii="Times New Roman" w:eastAsia="Times New Roman" w:hAnsi="Times New Roman" w:cs="Times New Roman"/>
        </w:rPr>
      </w:pPr>
      <w:r w:rsidRPr="00E102AF">
        <w:rPr>
          <w:rFonts w:ascii="Times New Roman" w:eastAsia="Times New Roman" w:hAnsi="Times New Roman" w:cs="Times New Roman"/>
        </w:rPr>
        <w:t>Green banking involves the integration of environmental considerations into traditional banking activities, encompassing both "greening of operations" and "greening of products" [3]. Internal practices focus on reducing the carbon footprint of the bank itself through paperless digital banking, energy-efficient building infrastructure, and waste management systems [4]. External practices involve the deployment of green financial tools, such as climate-resilient loans for smallholder farmers and financing for renewable energy projects [1]. For commercial banks in Addis Ababa, adopting these practices is no longer just a corporate social responsibility initiative but a strategic necessity to manage emerging climate risks and ensure long-term viability [3].</w:t>
      </w:r>
    </w:p>
    <w:p w:rsidR="00E102AF" w:rsidRPr="00E102AF" w:rsidRDefault="00E102AF" w:rsidP="00E102AF">
      <w:pPr>
        <w:spacing w:before="120" w:after="0" w:line="240" w:lineRule="auto"/>
        <w:jc w:val="both"/>
        <w:rPr>
          <w:rFonts w:ascii="Times New Roman" w:eastAsia="Times New Roman" w:hAnsi="Times New Roman" w:cs="Times New Roman"/>
        </w:rPr>
      </w:pPr>
      <w:r w:rsidRPr="00E102AF">
        <w:rPr>
          <w:rFonts w:ascii="Times New Roman" w:eastAsia="Times New Roman" w:hAnsi="Times New Roman" w:cs="Times New Roman"/>
        </w:rPr>
        <w:lastRenderedPageBreak/>
        <w:t xml:space="preserve">The relationship between green banking and environmental sustainability is profound, as financial institutions have the power to influence business practices across various sectors. By favoring investments in eco-friendly technology over high-carbon-emitting industries, banks can significantly reduce national greenhouse gas emissions [4]. Recent initiatives in Addis Ababa, such as the "Beautifying </w:t>
      </w:r>
      <w:proofErr w:type="spellStart"/>
      <w:r w:rsidRPr="00E102AF">
        <w:rPr>
          <w:rFonts w:ascii="Times New Roman" w:eastAsia="Times New Roman" w:hAnsi="Times New Roman" w:cs="Times New Roman"/>
        </w:rPr>
        <w:t>Sheger</w:t>
      </w:r>
      <w:proofErr w:type="spellEnd"/>
      <w:r w:rsidRPr="00E102AF">
        <w:rPr>
          <w:rFonts w:ascii="Times New Roman" w:eastAsia="Times New Roman" w:hAnsi="Times New Roman" w:cs="Times New Roman"/>
        </w:rPr>
        <w:t xml:space="preserve"> Project" and urban renewal corridors, highlight the growing demand for green infrastructure that requires specialized financing [5]. When banks prioritize lending to firms that adopt sustainable practices, they create a ripple effect that promotes resource efficiency and biodiversity conservation throughout the Ethiopian economy.</w:t>
      </w:r>
    </w:p>
    <w:p w:rsidR="00E102AF" w:rsidRPr="00E102AF" w:rsidRDefault="00E102AF" w:rsidP="00E102AF">
      <w:pPr>
        <w:spacing w:before="120" w:after="0" w:line="240" w:lineRule="auto"/>
        <w:jc w:val="both"/>
        <w:rPr>
          <w:rFonts w:ascii="Times New Roman" w:eastAsia="Times New Roman" w:hAnsi="Times New Roman" w:cs="Times New Roman"/>
        </w:rPr>
      </w:pPr>
      <w:r w:rsidRPr="00E102AF">
        <w:rPr>
          <w:rFonts w:ascii="Times New Roman" w:eastAsia="Times New Roman" w:hAnsi="Times New Roman" w:cs="Times New Roman"/>
        </w:rPr>
        <w:t>Beyond environmental impacts, green banking practices are increasingly viewed as a driver of organizational performance. Transitioning to digital platforms and agent banking reduces operational costs while enhancing financial accessibility for a broader range of clients [1]. Furthermore, a strong commitment to sustainability can enhance a bank’s reputation and competitive advantage, attracting a growing niche of environmentally conscious investors and depositors [3]. In the competitive landscape of the Ethiopian banking sector, where knowledge management and innovation are key success factors, green banking provides a pathway to improved operational efficiency and market differentiation [6].</w:t>
      </w:r>
    </w:p>
    <w:p w:rsidR="00E102AF" w:rsidRPr="00E102AF" w:rsidRDefault="00E102AF" w:rsidP="00953D6F">
      <w:pPr>
        <w:spacing w:before="120" w:after="0" w:line="240" w:lineRule="auto"/>
        <w:jc w:val="both"/>
        <w:rPr>
          <w:rFonts w:ascii="Times New Roman" w:eastAsia="Times New Roman" w:hAnsi="Times New Roman" w:cs="Times New Roman"/>
        </w:rPr>
      </w:pPr>
      <w:r w:rsidRPr="00E102AF">
        <w:rPr>
          <w:rFonts w:ascii="Times New Roman" w:eastAsia="Times New Roman" w:hAnsi="Times New Roman" w:cs="Times New Roman"/>
        </w:rPr>
        <w:t>Despite the potential benefits, the implementation of green banking among commercial banks in Addis Ababa faces several systemic challenges. These include a high cost of initial compliance, a lack of specialized green finance regulatory frameworks, and the absence of a national rating system for measuring sustainability performance [3], [5]. Many institutions still favor traditional corporate clients in fossil-fuel-intensive sectors, leading to a gap between national sustainability goals and actual banking practices [1]. Consequently, there is a critical need for an empirical study to examine how these practices are currently being adopted and the extent to which they influence both the environmental footprint and the financial health of banks in the capital.</w:t>
      </w:r>
    </w:p>
    <w:p w:rsidR="00B04CC2" w:rsidRPr="00953D6F" w:rsidRDefault="00B04CC2" w:rsidP="00953D6F">
      <w:pPr>
        <w:pStyle w:val="Heading2"/>
        <w:numPr>
          <w:ilvl w:val="1"/>
          <w:numId w:val="9"/>
        </w:numPr>
        <w:spacing w:before="120" w:line="240" w:lineRule="auto"/>
        <w:rPr>
          <w:rFonts w:ascii="Times New Roman" w:hAnsi="Times New Roman" w:cs="Times New Roman"/>
          <w:color w:val="auto"/>
          <w:sz w:val="22"/>
          <w:szCs w:val="22"/>
        </w:rPr>
      </w:pPr>
      <w:r w:rsidRPr="00953D6F">
        <w:rPr>
          <w:rFonts w:ascii="Times New Roman" w:hAnsi="Times New Roman" w:cs="Times New Roman"/>
          <w:color w:val="auto"/>
          <w:sz w:val="22"/>
          <w:szCs w:val="22"/>
        </w:rPr>
        <w:t>Statement of the Problem</w:t>
      </w:r>
    </w:p>
    <w:p w:rsidR="00DE5DFE" w:rsidRPr="00DE5DFE" w:rsidRDefault="00DE5DFE" w:rsidP="00953D6F">
      <w:pPr>
        <w:spacing w:before="120" w:after="0" w:line="240" w:lineRule="auto"/>
        <w:jc w:val="both"/>
        <w:rPr>
          <w:rFonts w:ascii="Times New Roman" w:eastAsia="Times New Roman" w:hAnsi="Times New Roman" w:cs="Times New Roman"/>
        </w:rPr>
      </w:pPr>
      <w:r w:rsidRPr="00DE5DFE">
        <w:rPr>
          <w:rFonts w:ascii="Times New Roman" w:eastAsia="Times New Roman" w:hAnsi="Times New Roman" w:cs="Times New Roman"/>
        </w:rPr>
        <w:t>The operationalization of green financial innovation in Ethiopia is significantly influenced by the maturity of the banking sector's internal digital infrastructure. While recent data from the National Bank of Ethiopia indicates that transactions through green financial innovations (such as mobile and agent banking) grew by more than 100% in 2020 compared to 2019, the long-term impact on financial performance remains statistically complex [</w:t>
      </w:r>
      <w:r w:rsidR="00953D6F">
        <w:rPr>
          <w:rFonts w:ascii="Times New Roman" w:eastAsia="Times New Roman" w:hAnsi="Times New Roman" w:cs="Times New Roman"/>
        </w:rPr>
        <w:t>7</w:t>
      </w:r>
      <w:r w:rsidRPr="00DE5DFE">
        <w:rPr>
          <w:rFonts w:ascii="Times New Roman" w:eastAsia="Times New Roman" w:hAnsi="Times New Roman" w:cs="Times New Roman"/>
        </w:rPr>
        <w:t>]. Short-run estimations suggest a positive and significant relationship between these innovations and bank profitability, yet long-run benefits are often overshadowed by high adoption and development costs [</w:t>
      </w:r>
      <w:r w:rsidR="00953D6F">
        <w:rPr>
          <w:rFonts w:ascii="Times New Roman" w:eastAsia="Times New Roman" w:hAnsi="Times New Roman" w:cs="Times New Roman"/>
        </w:rPr>
        <w:t>7</w:t>
      </w:r>
      <w:r w:rsidRPr="00DE5DFE">
        <w:rPr>
          <w:rFonts w:ascii="Times New Roman" w:eastAsia="Times New Roman" w:hAnsi="Times New Roman" w:cs="Times New Roman"/>
        </w:rPr>
        <w:t>]. This financial friction suggests that without a clear strategy for low-cost implementation, commercial banks in Addis Ababa may struggle to maintain the momentum required for sustainable digital transformation.</w:t>
      </w:r>
    </w:p>
    <w:p w:rsidR="00DE5DFE" w:rsidRPr="00DE5DFE" w:rsidRDefault="00DE5DFE" w:rsidP="00DE5DFE">
      <w:pPr>
        <w:spacing w:before="120" w:after="0" w:line="240" w:lineRule="auto"/>
        <w:jc w:val="both"/>
        <w:rPr>
          <w:rFonts w:ascii="Times New Roman" w:eastAsia="Times New Roman" w:hAnsi="Times New Roman" w:cs="Times New Roman"/>
        </w:rPr>
      </w:pPr>
      <w:r w:rsidRPr="00DE5DFE">
        <w:rPr>
          <w:rFonts w:ascii="Times New Roman" w:eastAsia="Times New Roman" w:hAnsi="Times New Roman" w:cs="Times New Roman"/>
        </w:rPr>
        <w:t xml:space="preserve">A specific localized barrier is the physical and technical infrastructure required for eco-friendly banking operations. For instance, the case of the </w:t>
      </w:r>
      <w:proofErr w:type="spellStart"/>
      <w:r w:rsidRPr="00DE5DFE">
        <w:rPr>
          <w:rFonts w:ascii="Times New Roman" w:eastAsia="Times New Roman" w:hAnsi="Times New Roman" w:cs="Times New Roman"/>
        </w:rPr>
        <w:t>Wegagen</w:t>
      </w:r>
      <w:proofErr w:type="spellEnd"/>
      <w:r w:rsidRPr="00DE5DFE">
        <w:rPr>
          <w:rFonts w:ascii="Times New Roman" w:eastAsia="Times New Roman" w:hAnsi="Times New Roman" w:cs="Times New Roman"/>
        </w:rPr>
        <w:t xml:space="preserve"> Bank Headquarters in Addis Ababa illustrates that even when architectural intent exi</w:t>
      </w:r>
      <w:r w:rsidR="00953D6F">
        <w:rPr>
          <w:rFonts w:ascii="Times New Roman" w:eastAsia="Times New Roman" w:hAnsi="Times New Roman" w:cs="Times New Roman"/>
        </w:rPr>
        <w:t xml:space="preserve">sts for green building concepts </w:t>
      </w:r>
      <w:r w:rsidRPr="00DE5DFE">
        <w:rPr>
          <w:rFonts w:ascii="Times New Roman" w:eastAsia="Times New Roman" w:hAnsi="Times New Roman" w:cs="Times New Roman"/>
        </w:rPr>
        <w:t>such</w:t>
      </w:r>
      <w:r w:rsidR="00953D6F">
        <w:rPr>
          <w:rFonts w:ascii="Times New Roman" w:eastAsia="Times New Roman" w:hAnsi="Times New Roman" w:cs="Times New Roman"/>
        </w:rPr>
        <w:t xml:space="preserve"> as energy and water efficiency </w:t>
      </w:r>
      <w:r w:rsidRPr="00DE5DFE">
        <w:rPr>
          <w:rFonts w:ascii="Times New Roman" w:eastAsia="Times New Roman" w:hAnsi="Times New Roman" w:cs="Times New Roman"/>
        </w:rPr>
        <w:t>stakeholders often lack the necessary awareness and technical skill sets to mainstream these technologies [</w:t>
      </w:r>
      <w:r w:rsidR="00953D6F">
        <w:rPr>
          <w:rFonts w:ascii="Times New Roman" w:eastAsia="Times New Roman" w:hAnsi="Times New Roman" w:cs="Times New Roman"/>
        </w:rPr>
        <w:t>8</w:t>
      </w:r>
      <w:r w:rsidRPr="00DE5DFE">
        <w:rPr>
          <w:rFonts w:ascii="Times New Roman" w:eastAsia="Times New Roman" w:hAnsi="Times New Roman" w:cs="Times New Roman"/>
        </w:rPr>
        <w:t>]. This gap in specialized knowledge among architects, engineers, and senior bank management often results in the "greening of operations" being treated as a novelty rather than a fundamental component of the bank’s physical asset management [</w:t>
      </w:r>
      <w:r w:rsidR="00953D6F">
        <w:rPr>
          <w:rFonts w:ascii="Times New Roman" w:eastAsia="Times New Roman" w:hAnsi="Times New Roman" w:cs="Times New Roman"/>
        </w:rPr>
        <w:t>8</w:t>
      </w:r>
      <w:r w:rsidRPr="00DE5DFE">
        <w:rPr>
          <w:rFonts w:ascii="Times New Roman" w:eastAsia="Times New Roman" w:hAnsi="Times New Roman" w:cs="Times New Roman"/>
        </w:rPr>
        <w:t>]. Consequently, the high costs associated with green construction and sustainable energy systems often deter further investment in carbon-neutral bank branches.</w:t>
      </w:r>
    </w:p>
    <w:p w:rsidR="00DE5DFE" w:rsidRPr="00DE5DFE" w:rsidRDefault="00DE5DFE" w:rsidP="00DE5DFE">
      <w:pPr>
        <w:spacing w:before="120" w:after="0" w:line="240" w:lineRule="auto"/>
        <w:jc w:val="both"/>
        <w:rPr>
          <w:rFonts w:ascii="Times New Roman" w:eastAsia="Times New Roman" w:hAnsi="Times New Roman" w:cs="Times New Roman"/>
        </w:rPr>
      </w:pPr>
      <w:r w:rsidRPr="00DE5DFE">
        <w:rPr>
          <w:rFonts w:ascii="Times New Roman" w:eastAsia="Times New Roman" w:hAnsi="Times New Roman" w:cs="Times New Roman"/>
        </w:rPr>
        <w:t>The broader regional context further complicates the relationship between sustainability disclosure and firm value. Evidence from the East African financial markets, such as the Nairobi Securities Exchange, highlights a "nuanced" relationship where environmental sustainability reporting significantly enhances firm value by improving stakeholder trust, while economic sustainability reporting can occasionally signal financial strain or misalignment with short-term performance goals [</w:t>
      </w:r>
      <w:r w:rsidR="00953D6F">
        <w:rPr>
          <w:rFonts w:ascii="Times New Roman" w:eastAsia="Times New Roman" w:hAnsi="Times New Roman" w:cs="Times New Roman"/>
        </w:rPr>
        <w:t>9</w:t>
      </w:r>
      <w:r w:rsidRPr="00DE5DFE">
        <w:rPr>
          <w:rFonts w:ascii="Times New Roman" w:eastAsia="Times New Roman" w:hAnsi="Times New Roman" w:cs="Times New Roman"/>
        </w:rPr>
        <w:t xml:space="preserve">]. For Ethiopian banks, which operate in a similarly volatile macroeconomic environment, the fear is that transparency regarding the </w:t>
      </w:r>
      <w:r w:rsidRPr="00DE5DFE">
        <w:rPr>
          <w:rFonts w:ascii="Times New Roman" w:eastAsia="Times New Roman" w:hAnsi="Times New Roman" w:cs="Times New Roman"/>
        </w:rPr>
        <w:lastRenderedPageBreak/>
        <w:t>high costs of transitioning to green portfolios might inadvertently erode investor confidence in the short term, despite its long-term necessity for risk mitigation [</w:t>
      </w:r>
      <w:r w:rsidR="00953D6F">
        <w:rPr>
          <w:rFonts w:ascii="Times New Roman" w:eastAsia="Times New Roman" w:hAnsi="Times New Roman" w:cs="Times New Roman"/>
        </w:rPr>
        <w:t>9</w:t>
      </w:r>
      <w:r w:rsidRPr="00DE5DFE">
        <w:rPr>
          <w:rFonts w:ascii="Times New Roman" w:eastAsia="Times New Roman" w:hAnsi="Times New Roman" w:cs="Times New Roman"/>
        </w:rPr>
        <w:t>].</w:t>
      </w:r>
    </w:p>
    <w:p w:rsidR="00DE5DFE" w:rsidRPr="00DE5DFE" w:rsidRDefault="00DE5DFE" w:rsidP="00DE5DFE">
      <w:pPr>
        <w:spacing w:before="120" w:after="0" w:line="240" w:lineRule="auto"/>
        <w:jc w:val="both"/>
        <w:rPr>
          <w:rFonts w:ascii="Times New Roman" w:eastAsia="Times New Roman" w:hAnsi="Times New Roman" w:cs="Times New Roman"/>
        </w:rPr>
      </w:pPr>
      <w:r w:rsidRPr="00DE5DFE">
        <w:rPr>
          <w:rFonts w:ascii="Times New Roman" w:eastAsia="Times New Roman" w:hAnsi="Times New Roman" w:cs="Times New Roman"/>
        </w:rPr>
        <w:t>Finally, the absence of standardized ESG (Environmental, Social, and Governance) reporting leads to a transparency deficit that hinders the ability of regulators to reward high-performing institutions. Research across Middle Eastern and African banks indicates that high-quality ESG disclosures act as an early warning system for managing credit and liquidity risks, yet few institutions in the region have adopted deep, compliant reporting frameworks [</w:t>
      </w:r>
      <w:r w:rsidR="00953D6F">
        <w:rPr>
          <w:rFonts w:ascii="Times New Roman" w:eastAsia="Times New Roman" w:hAnsi="Times New Roman" w:cs="Times New Roman"/>
        </w:rPr>
        <w:t>10</w:t>
      </w:r>
      <w:r w:rsidRPr="00DE5DFE">
        <w:rPr>
          <w:rFonts w:ascii="Times New Roman" w:eastAsia="Times New Roman" w:hAnsi="Times New Roman" w:cs="Times New Roman"/>
        </w:rPr>
        <w:t>]. In Addis Ababa, this lack of transparency prevents commercial banks from effectively communicating their sustainability achievements to international partners, thereby limiting their access to global climate finance and concessionary funding [</w:t>
      </w:r>
      <w:r w:rsidR="00953D6F">
        <w:rPr>
          <w:rFonts w:ascii="Times New Roman" w:eastAsia="Times New Roman" w:hAnsi="Times New Roman" w:cs="Times New Roman"/>
        </w:rPr>
        <w:t>10</w:t>
      </w:r>
      <w:r w:rsidRPr="00DE5DFE">
        <w:rPr>
          <w:rFonts w:ascii="Times New Roman" w:eastAsia="Times New Roman" w:hAnsi="Times New Roman" w:cs="Times New Roman"/>
        </w:rPr>
        <w:t>]. Addressing these gaps requires an empirical investigation that bridges the divide between internal bank performance and external environmental outcomes.</w:t>
      </w:r>
    </w:p>
    <w:p w:rsidR="00953D6F" w:rsidRPr="00953D6F" w:rsidRDefault="00953D6F" w:rsidP="00953D6F">
      <w:pPr>
        <w:pStyle w:val="Heading2"/>
        <w:numPr>
          <w:ilvl w:val="1"/>
          <w:numId w:val="9"/>
        </w:numPr>
        <w:spacing w:before="120" w:line="240" w:lineRule="auto"/>
        <w:jc w:val="both"/>
        <w:rPr>
          <w:rFonts w:ascii="Times New Roman" w:hAnsi="Times New Roman" w:cs="Times New Roman"/>
          <w:color w:val="auto"/>
          <w:sz w:val="22"/>
          <w:szCs w:val="22"/>
        </w:rPr>
      </w:pPr>
      <w:r w:rsidRPr="00953D6F">
        <w:rPr>
          <w:rFonts w:ascii="Times New Roman" w:hAnsi="Times New Roman" w:cs="Times New Roman"/>
          <w:color w:val="auto"/>
          <w:sz w:val="22"/>
          <w:szCs w:val="22"/>
        </w:rPr>
        <w:t>Objectives of the Study</w:t>
      </w:r>
    </w:p>
    <w:p w:rsidR="00953D6F" w:rsidRPr="00953D6F" w:rsidRDefault="00953D6F" w:rsidP="00953D6F">
      <w:pPr>
        <w:pStyle w:val="Heading3"/>
        <w:numPr>
          <w:ilvl w:val="2"/>
          <w:numId w:val="9"/>
        </w:numPr>
        <w:tabs>
          <w:tab w:val="left" w:pos="630"/>
        </w:tabs>
        <w:spacing w:before="120" w:beforeAutospacing="0" w:after="0" w:afterAutospacing="0"/>
        <w:jc w:val="both"/>
        <w:rPr>
          <w:sz w:val="22"/>
          <w:szCs w:val="22"/>
        </w:rPr>
      </w:pPr>
      <w:r w:rsidRPr="00953D6F">
        <w:rPr>
          <w:sz w:val="22"/>
          <w:szCs w:val="22"/>
        </w:rPr>
        <w:t>General Objective</w:t>
      </w:r>
    </w:p>
    <w:p w:rsidR="00953D6F" w:rsidRPr="00953D6F" w:rsidRDefault="00953D6F" w:rsidP="00953D6F">
      <w:pPr>
        <w:pStyle w:val="NormalWeb"/>
        <w:spacing w:before="120" w:beforeAutospacing="0" w:after="0" w:afterAutospacing="0"/>
        <w:jc w:val="both"/>
        <w:rPr>
          <w:sz w:val="22"/>
          <w:szCs w:val="22"/>
        </w:rPr>
      </w:pPr>
      <w:r w:rsidRPr="00953D6F">
        <w:rPr>
          <w:sz w:val="22"/>
          <w:szCs w:val="22"/>
        </w:rPr>
        <w:t xml:space="preserve">The general objective of this study </w:t>
      </w:r>
      <w:r>
        <w:rPr>
          <w:sz w:val="22"/>
          <w:szCs w:val="22"/>
        </w:rPr>
        <w:t>was</w:t>
      </w:r>
      <w:r w:rsidRPr="00953D6F">
        <w:rPr>
          <w:sz w:val="22"/>
          <w:szCs w:val="22"/>
        </w:rPr>
        <w:t xml:space="preserve"> to investigate the effect of green banking practices on environmental sustainability and organizational performance among selected commercial banks in Addis Ababa, Ethiopia.</w:t>
      </w:r>
    </w:p>
    <w:p w:rsidR="00953D6F" w:rsidRPr="00953D6F" w:rsidRDefault="00953D6F" w:rsidP="00953D6F">
      <w:pPr>
        <w:pStyle w:val="Heading3"/>
        <w:numPr>
          <w:ilvl w:val="2"/>
          <w:numId w:val="9"/>
        </w:numPr>
        <w:spacing w:before="120" w:beforeAutospacing="0" w:after="0" w:afterAutospacing="0"/>
        <w:jc w:val="both"/>
        <w:rPr>
          <w:sz w:val="22"/>
          <w:szCs w:val="22"/>
        </w:rPr>
      </w:pPr>
      <w:r w:rsidRPr="00953D6F">
        <w:rPr>
          <w:sz w:val="22"/>
          <w:szCs w:val="22"/>
        </w:rPr>
        <w:t>Specific Objectives</w:t>
      </w:r>
    </w:p>
    <w:p w:rsidR="00953D6F" w:rsidRPr="00953D6F" w:rsidRDefault="00953D6F" w:rsidP="00953D6F">
      <w:pPr>
        <w:pStyle w:val="NormalWeb"/>
        <w:spacing w:before="120" w:beforeAutospacing="0" w:after="0" w:afterAutospacing="0"/>
        <w:jc w:val="both"/>
        <w:rPr>
          <w:sz w:val="22"/>
          <w:szCs w:val="22"/>
        </w:rPr>
      </w:pPr>
      <w:r w:rsidRPr="00953D6F">
        <w:rPr>
          <w:sz w:val="22"/>
          <w:szCs w:val="22"/>
        </w:rPr>
        <w:t>To achieve the general objective, the study will address the following specific objectives:</w:t>
      </w:r>
    </w:p>
    <w:p w:rsidR="00953D6F" w:rsidRPr="00953D6F" w:rsidRDefault="00953D6F" w:rsidP="00953D6F">
      <w:pPr>
        <w:pStyle w:val="NormalWeb"/>
        <w:numPr>
          <w:ilvl w:val="0"/>
          <w:numId w:val="14"/>
        </w:numPr>
        <w:spacing w:before="120" w:beforeAutospacing="0" w:after="0" w:afterAutospacing="0"/>
        <w:jc w:val="both"/>
        <w:rPr>
          <w:sz w:val="22"/>
          <w:szCs w:val="22"/>
        </w:rPr>
      </w:pPr>
      <w:r w:rsidRPr="00953D6F">
        <w:rPr>
          <w:bCs/>
          <w:sz w:val="22"/>
          <w:szCs w:val="22"/>
        </w:rPr>
        <w:t>To evaluate the extent of green banking adoption</w:t>
      </w:r>
      <w:r w:rsidRPr="00953D6F">
        <w:rPr>
          <w:sz w:val="22"/>
          <w:szCs w:val="22"/>
        </w:rPr>
        <w:t xml:space="preserve"> (green financing, paperless banking, and energy efficiency) within the selected commercial banks in Addis Ababa.</w:t>
      </w:r>
    </w:p>
    <w:p w:rsidR="00953D6F" w:rsidRPr="00953D6F" w:rsidRDefault="00953D6F" w:rsidP="00953D6F">
      <w:pPr>
        <w:pStyle w:val="animating"/>
        <w:numPr>
          <w:ilvl w:val="0"/>
          <w:numId w:val="14"/>
        </w:numPr>
        <w:spacing w:before="120" w:beforeAutospacing="0" w:after="0" w:afterAutospacing="0"/>
        <w:jc w:val="both"/>
        <w:rPr>
          <w:sz w:val="22"/>
          <w:szCs w:val="22"/>
        </w:rPr>
      </w:pPr>
      <w:r w:rsidRPr="00953D6F">
        <w:rPr>
          <w:bCs/>
          <w:sz w:val="22"/>
          <w:szCs w:val="22"/>
        </w:rPr>
        <w:t>To examine the impact of green banking practices on environmental sustainability</w:t>
      </w:r>
      <w:r w:rsidRPr="00953D6F">
        <w:rPr>
          <w:sz w:val="22"/>
          <w:szCs w:val="22"/>
        </w:rPr>
        <w:t>, specifically focusing on carbon footprint reduction and resource efficiency.</w:t>
      </w:r>
    </w:p>
    <w:p w:rsidR="00953D6F" w:rsidRPr="00953D6F" w:rsidRDefault="00953D6F" w:rsidP="00953D6F">
      <w:pPr>
        <w:pStyle w:val="animating"/>
        <w:numPr>
          <w:ilvl w:val="0"/>
          <w:numId w:val="14"/>
        </w:numPr>
        <w:spacing w:before="120" w:beforeAutospacing="0" w:after="0" w:afterAutospacing="0"/>
        <w:jc w:val="both"/>
        <w:rPr>
          <w:sz w:val="22"/>
          <w:szCs w:val="22"/>
        </w:rPr>
      </w:pPr>
      <w:r w:rsidRPr="00953D6F">
        <w:rPr>
          <w:bCs/>
          <w:sz w:val="22"/>
          <w:szCs w:val="22"/>
        </w:rPr>
        <w:t>To analyze the relationship between green banking initiatives and organizational performance</w:t>
      </w:r>
      <w:r w:rsidRPr="00953D6F">
        <w:rPr>
          <w:sz w:val="22"/>
          <w:szCs w:val="22"/>
        </w:rPr>
        <w:t>, including financial profitability (ROA/ROE) and operational efficiency.</w:t>
      </w:r>
    </w:p>
    <w:p w:rsidR="00953D6F" w:rsidRPr="00953D6F" w:rsidRDefault="00953D6F" w:rsidP="00953D6F">
      <w:pPr>
        <w:pStyle w:val="NormalWeb"/>
        <w:numPr>
          <w:ilvl w:val="0"/>
          <w:numId w:val="14"/>
        </w:numPr>
        <w:spacing w:before="120" w:beforeAutospacing="0" w:after="0" w:afterAutospacing="0"/>
        <w:jc w:val="both"/>
        <w:rPr>
          <w:sz w:val="22"/>
          <w:szCs w:val="22"/>
        </w:rPr>
      </w:pPr>
      <w:r w:rsidRPr="00953D6F">
        <w:rPr>
          <w:bCs/>
          <w:sz w:val="22"/>
          <w:szCs w:val="22"/>
        </w:rPr>
        <w:t>To assess the effect of environmental risk assessment</w:t>
      </w:r>
      <w:r w:rsidRPr="00953D6F">
        <w:rPr>
          <w:sz w:val="22"/>
          <w:szCs w:val="22"/>
        </w:rPr>
        <w:t xml:space="preserve"> on the bank's ability to mitigate climate-related financial risks in the Ethiopian context.</w:t>
      </w:r>
    </w:p>
    <w:p w:rsidR="00953D6F" w:rsidRDefault="00953D6F" w:rsidP="00953D6F">
      <w:pPr>
        <w:pStyle w:val="NormalWeb"/>
        <w:numPr>
          <w:ilvl w:val="0"/>
          <w:numId w:val="14"/>
        </w:numPr>
        <w:spacing w:before="120" w:beforeAutospacing="0" w:after="0" w:afterAutospacing="0"/>
        <w:jc w:val="both"/>
      </w:pPr>
      <w:r w:rsidRPr="00953D6F">
        <w:rPr>
          <w:bCs/>
          <w:sz w:val="22"/>
          <w:szCs w:val="22"/>
        </w:rPr>
        <w:t>To identify the key barriers and institutional challenges</w:t>
      </w:r>
      <w:r w:rsidRPr="00953D6F">
        <w:rPr>
          <w:sz w:val="22"/>
          <w:szCs w:val="22"/>
        </w:rPr>
        <w:t xml:space="preserve"> (technological, regulatory,</w:t>
      </w:r>
      <w:r>
        <w:t xml:space="preserve"> and financial) that hinder the full integration of green banking practices in Addis Ababa.</w:t>
      </w:r>
    </w:p>
    <w:p w:rsidR="00953D6F" w:rsidRPr="00953D6F" w:rsidRDefault="00953D6F" w:rsidP="00953D6F">
      <w:pPr>
        <w:pStyle w:val="Heading2"/>
        <w:numPr>
          <w:ilvl w:val="1"/>
          <w:numId w:val="9"/>
        </w:numPr>
        <w:spacing w:before="120" w:line="240" w:lineRule="auto"/>
        <w:jc w:val="both"/>
        <w:rPr>
          <w:rFonts w:ascii="Times New Roman" w:hAnsi="Times New Roman" w:cs="Times New Roman"/>
          <w:color w:val="auto"/>
          <w:sz w:val="22"/>
          <w:szCs w:val="22"/>
        </w:rPr>
      </w:pPr>
      <w:r w:rsidRPr="00953D6F">
        <w:rPr>
          <w:rFonts w:ascii="Times New Roman" w:hAnsi="Times New Roman" w:cs="Times New Roman"/>
          <w:color w:val="auto"/>
          <w:sz w:val="22"/>
          <w:szCs w:val="22"/>
        </w:rPr>
        <w:t>Research Questions</w:t>
      </w:r>
    </w:p>
    <w:p w:rsidR="00953D6F" w:rsidRPr="00953D6F" w:rsidRDefault="00953D6F" w:rsidP="00953D6F">
      <w:pPr>
        <w:pStyle w:val="NormalWeb"/>
        <w:spacing w:before="120" w:beforeAutospacing="0" w:after="0" w:afterAutospacing="0"/>
        <w:jc w:val="both"/>
        <w:rPr>
          <w:sz w:val="22"/>
          <w:szCs w:val="22"/>
        </w:rPr>
      </w:pPr>
      <w:r w:rsidRPr="00953D6F">
        <w:rPr>
          <w:sz w:val="22"/>
          <w:szCs w:val="22"/>
        </w:rPr>
        <w:t>This study seeks to answer the following research questions:</w:t>
      </w:r>
    </w:p>
    <w:p w:rsidR="00953D6F" w:rsidRPr="00953D6F" w:rsidRDefault="00953D6F" w:rsidP="00953D6F">
      <w:pPr>
        <w:pStyle w:val="NormalWeb"/>
        <w:numPr>
          <w:ilvl w:val="0"/>
          <w:numId w:val="12"/>
        </w:numPr>
        <w:spacing w:before="120" w:beforeAutospacing="0" w:after="0" w:afterAutospacing="0"/>
        <w:jc w:val="both"/>
        <w:rPr>
          <w:sz w:val="22"/>
          <w:szCs w:val="22"/>
        </w:rPr>
      </w:pPr>
      <w:r w:rsidRPr="00953D6F">
        <w:rPr>
          <w:sz w:val="22"/>
          <w:szCs w:val="22"/>
        </w:rPr>
        <w:t>What is the current level of adop</w:t>
      </w:r>
      <w:r>
        <w:rPr>
          <w:sz w:val="22"/>
          <w:szCs w:val="22"/>
        </w:rPr>
        <w:t xml:space="preserve">tion of green banking practices </w:t>
      </w:r>
      <w:r w:rsidRPr="00953D6F">
        <w:rPr>
          <w:sz w:val="22"/>
          <w:szCs w:val="22"/>
        </w:rPr>
        <w:t xml:space="preserve">specifically green financing, paperless banking, </w:t>
      </w:r>
      <w:r>
        <w:rPr>
          <w:sz w:val="22"/>
          <w:szCs w:val="22"/>
        </w:rPr>
        <w:t xml:space="preserve">and energy-efficient operations </w:t>
      </w:r>
      <w:r w:rsidRPr="00953D6F">
        <w:rPr>
          <w:sz w:val="22"/>
          <w:szCs w:val="22"/>
        </w:rPr>
        <w:t>among commercial banks in Addis Ababa?</w:t>
      </w:r>
    </w:p>
    <w:p w:rsidR="00953D6F" w:rsidRPr="00953D6F" w:rsidRDefault="00953D6F" w:rsidP="00953D6F">
      <w:pPr>
        <w:pStyle w:val="NormalWeb"/>
        <w:numPr>
          <w:ilvl w:val="0"/>
          <w:numId w:val="12"/>
        </w:numPr>
        <w:spacing w:before="120" w:beforeAutospacing="0" w:after="0" w:afterAutospacing="0"/>
        <w:jc w:val="both"/>
        <w:rPr>
          <w:sz w:val="22"/>
          <w:szCs w:val="22"/>
        </w:rPr>
      </w:pPr>
      <w:r w:rsidRPr="00953D6F">
        <w:rPr>
          <w:sz w:val="22"/>
          <w:szCs w:val="22"/>
        </w:rPr>
        <w:t>How do green banking practices significantly influence the environmental sustainability of these financial institutions?</w:t>
      </w:r>
    </w:p>
    <w:p w:rsidR="00953D6F" w:rsidRPr="00953D6F" w:rsidRDefault="00953D6F" w:rsidP="00953D6F">
      <w:pPr>
        <w:pStyle w:val="NormalWeb"/>
        <w:numPr>
          <w:ilvl w:val="0"/>
          <w:numId w:val="12"/>
        </w:numPr>
        <w:spacing w:before="120" w:beforeAutospacing="0" w:after="0" w:afterAutospacing="0"/>
        <w:jc w:val="both"/>
        <w:rPr>
          <w:sz w:val="22"/>
          <w:szCs w:val="22"/>
        </w:rPr>
      </w:pPr>
      <w:r w:rsidRPr="00953D6F">
        <w:rPr>
          <w:sz w:val="22"/>
          <w:szCs w:val="22"/>
        </w:rPr>
        <w:t>To what extent do green banking initiatives affect the organizational performance (financial and operational) of the selected banks?</w:t>
      </w:r>
    </w:p>
    <w:p w:rsidR="00953D6F" w:rsidRPr="00953D6F" w:rsidRDefault="00953D6F" w:rsidP="00953D6F">
      <w:pPr>
        <w:pStyle w:val="NormalWeb"/>
        <w:numPr>
          <w:ilvl w:val="0"/>
          <w:numId w:val="12"/>
        </w:numPr>
        <w:spacing w:before="120" w:beforeAutospacing="0" w:after="0" w:afterAutospacing="0"/>
        <w:jc w:val="both"/>
        <w:rPr>
          <w:sz w:val="22"/>
          <w:szCs w:val="22"/>
        </w:rPr>
      </w:pPr>
      <w:r w:rsidRPr="00953D6F">
        <w:rPr>
          <w:sz w:val="22"/>
          <w:szCs w:val="22"/>
        </w:rPr>
        <w:t>How does the implementation of formal environmental risk assessment frameworks contribute to managing the credit and liquidity risks associated with climate change in Ethiopia?</w:t>
      </w:r>
    </w:p>
    <w:p w:rsidR="00953D6F" w:rsidRPr="00953D6F" w:rsidRDefault="00953D6F" w:rsidP="00953D6F">
      <w:pPr>
        <w:pStyle w:val="NormalWeb"/>
        <w:numPr>
          <w:ilvl w:val="0"/>
          <w:numId w:val="12"/>
        </w:numPr>
        <w:spacing w:before="120" w:beforeAutospacing="0" w:after="0" w:afterAutospacing="0"/>
        <w:jc w:val="both"/>
        <w:rPr>
          <w:sz w:val="22"/>
          <w:szCs w:val="22"/>
        </w:rPr>
      </w:pPr>
      <w:r w:rsidRPr="00953D6F">
        <w:rPr>
          <w:sz w:val="22"/>
          <w:szCs w:val="22"/>
        </w:rPr>
        <w:t>What are the primary systemic and internal factors that constrain commercial banks in Addis Ababa from effectively transitioning to a carbon-neutral banking model?</w:t>
      </w:r>
    </w:p>
    <w:p w:rsidR="00DE005B" w:rsidRPr="00DE005B" w:rsidRDefault="00DE005B" w:rsidP="00DE005B">
      <w:pPr>
        <w:pStyle w:val="Heading2"/>
        <w:spacing w:before="120" w:line="240" w:lineRule="auto"/>
        <w:jc w:val="both"/>
        <w:rPr>
          <w:rFonts w:ascii="Times New Roman" w:hAnsi="Times New Roman" w:cs="Times New Roman"/>
          <w:color w:val="auto"/>
          <w:sz w:val="22"/>
          <w:szCs w:val="22"/>
        </w:rPr>
      </w:pPr>
      <w:r w:rsidRPr="00DE005B">
        <w:rPr>
          <w:rFonts w:ascii="Times New Roman" w:hAnsi="Times New Roman" w:cs="Times New Roman"/>
          <w:color w:val="auto"/>
          <w:sz w:val="22"/>
          <w:szCs w:val="22"/>
        </w:rPr>
        <w:lastRenderedPageBreak/>
        <w:t>1.5. Significance of the Study</w:t>
      </w:r>
    </w:p>
    <w:p w:rsidR="00DE005B" w:rsidRPr="00DE005B" w:rsidRDefault="00DE005B" w:rsidP="00DE005B">
      <w:pPr>
        <w:pStyle w:val="NormalWeb"/>
        <w:spacing w:before="120" w:beforeAutospacing="0" w:after="0" w:afterAutospacing="0"/>
        <w:jc w:val="both"/>
        <w:rPr>
          <w:sz w:val="22"/>
          <w:szCs w:val="22"/>
        </w:rPr>
      </w:pPr>
      <w:r w:rsidRPr="00DE005B">
        <w:rPr>
          <w:sz w:val="22"/>
          <w:szCs w:val="22"/>
        </w:rPr>
        <w:t>The significance of this study lies in its potential to provide a localized empirical roadmap for integrating sustainability into Ethiopia’s rapidly evolving financial landscape. As the National Bank of Ethiopia (NBE) pushes for modernization through its 2023–2026 Strategic Plan, this research offers timely evidence on how green banking can serve as a catalyst for both national environmental goals and institutional stability. By bridging the gap between theoretical green growth and the operational realities of banks in Addis Ababa, the findings will help stakeholders understand how to transition from ad hoc philanthropic "green" acts to core, systema</w:t>
      </w:r>
      <w:r>
        <w:rPr>
          <w:sz w:val="22"/>
          <w:szCs w:val="22"/>
        </w:rPr>
        <w:t>tic sustainable banking.</w:t>
      </w:r>
    </w:p>
    <w:p w:rsidR="00DE005B" w:rsidRPr="00DE005B" w:rsidRDefault="00DE005B" w:rsidP="00DE005B">
      <w:pPr>
        <w:pStyle w:val="NormalWeb"/>
        <w:spacing w:before="120" w:beforeAutospacing="0" w:after="0" w:afterAutospacing="0"/>
        <w:jc w:val="both"/>
        <w:rPr>
          <w:sz w:val="22"/>
          <w:szCs w:val="22"/>
        </w:rPr>
      </w:pPr>
      <w:r w:rsidRPr="00DE005B">
        <w:rPr>
          <w:sz w:val="22"/>
          <w:szCs w:val="22"/>
        </w:rPr>
        <w:t>For policymakers and regulatory bodies, specifically the National Bank of Ethiopia, this study provides critical insights into the design of effective green finance taxonomies and ESG reporting mandates. The identifi</w:t>
      </w:r>
      <w:r>
        <w:rPr>
          <w:sz w:val="22"/>
          <w:szCs w:val="22"/>
        </w:rPr>
        <w:t xml:space="preserve">cation of systemic barriers </w:t>
      </w:r>
      <w:r w:rsidRPr="00DE005B">
        <w:rPr>
          <w:sz w:val="22"/>
          <w:szCs w:val="22"/>
        </w:rPr>
        <w:t>such as the lack of specialized technical skills and th</w:t>
      </w:r>
      <w:r>
        <w:rPr>
          <w:sz w:val="22"/>
          <w:szCs w:val="22"/>
        </w:rPr>
        <w:t xml:space="preserve">e high cost of green technology </w:t>
      </w:r>
      <w:r w:rsidRPr="00DE005B">
        <w:rPr>
          <w:sz w:val="22"/>
          <w:szCs w:val="22"/>
        </w:rPr>
        <w:t>can inform the creation of incentive structures or concessional windows that encourage banks to f</w:t>
      </w:r>
      <w:r>
        <w:rPr>
          <w:sz w:val="22"/>
          <w:szCs w:val="22"/>
        </w:rPr>
        <w:t>avor eco-friendly investments</w:t>
      </w:r>
      <w:r w:rsidRPr="00DE005B">
        <w:rPr>
          <w:sz w:val="22"/>
          <w:szCs w:val="22"/>
        </w:rPr>
        <w:t>. This is essential for closing the multi-billion dollar green financing gap that currently threatens Ethiopia’s Climate-Resilient Gree</w:t>
      </w:r>
      <w:r>
        <w:rPr>
          <w:sz w:val="22"/>
          <w:szCs w:val="22"/>
        </w:rPr>
        <w:t>n Economy (CRGE) objectives</w:t>
      </w:r>
      <w:r w:rsidRPr="00DE005B">
        <w:rPr>
          <w:sz w:val="22"/>
          <w:szCs w:val="22"/>
        </w:rPr>
        <w:t>.</w:t>
      </w:r>
    </w:p>
    <w:p w:rsidR="00DE005B" w:rsidRPr="00DE005B" w:rsidRDefault="00DE005B" w:rsidP="00DE005B">
      <w:pPr>
        <w:pStyle w:val="NormalWeb"/>
        <w:spacing w:before="120" w:beforeAutospacing="0" w:after="0" w:afterAutospacing="0"/>
        <w:jc w:val="both"/>
        <w:rPr>
          <w:sz w:val="22"/>
          <w:szCs w:val="22"/>
        </w:rPr>
      </w:pPr>
      <w:r w:rsidRPr="00DE005B">
        <w:rPr>
          <w:sz w:val="22"/>
          <w:szCs w:val="22"/>
        </w:rPr>
        <w:t>For commercial bank executives and management, the research serves as a strategic tool to justify the initial high costs of greening operations. By examining the relationship between paperless banking, energy efficiency, and organizational performance, the study provides the financial logic needed to shift internal policies. It demonstrates that green banking is not merely a cost center but a pathway to improved operational efficiency, reduced long-term risk, and enhanced competitive advantage in a market that is increasingly valuing digital and s</w:t>
      </w:r>
      <w:r>
        <w:rPr>
          <w:sz w:val="22"/>
          <w:szCs w:val="22"/>
        </w:rPr>
        <w:t xml:space="preserve">ustainable innovation </w:t>
      </w:r>
      <w:r w:rsidRPr="00DE005B">
        <w:rPr>
          <w:sz w:val="22"/>
          <w:szCs w:val="22"/>
        </w:rPr>
        <w:t>.</w:t>
      </w:r>
    </w:p>
    <w:p w:rsidR="00DE005B" w:rsidRPr="00DE005B" w:rsidRDefault="00DE005B" w:rsidP="00DE005B">
      <w:pPr>
        <w:pStyle w:val="NormalWeb"/>
        <w:spacing w:before="120" w:beforeAutospacing="0" w:after="0" w:afterAutospacing="0"/>
        <w:jc w:val="both"/>
        <w:rPr>
          <w:sz w:val="22"/>
          <w:szCs w:val="22"/>
        </w:rPr>
      </w:pPr>
      <w:r w:rsidRPr="00DE005B">
        <w:rPr>
          <w:sz w:val="22"/>
          <w:szCs w:val="22"/>
        </w:rPr>
        <w:t>Furthermore, this study contributes significantly to the academic body of knowledge regarding sustainable finance in developing East African economies. Most existing literature on green banking is centered on Asian or Western markets, which possess different regulatory and technological maturity levels. By documenting the unique "financial friction" and structural challenges faced in Addis Ababa, this research provides a relevant reference point for future scholars and students interested in how emerging markets navigate the dual demands of rapid economic expansion and envi</w:t>
      </w:r>
      <w:r>
        <w:rPr>
          <w:sz w:val="22"/>
          <w:szCs w:val="22"/>
        </w:rPr>
        <w:t>ronmental preservation</w:t>
      </w:r>
      <w:r w:rsidRPr="00DE005B">
        <w:rPr>
          <w:sz w:val="22"/>
          <w:szCs w:val="22"/>
        </w:rPr>
        <w:t>.</w:t>
      </w:r>
    </w:p>
    <w:p w:rsidR="00DE005B" w:rsidRPr="00DE005B" w:rsidRDefault="00DE005B" w:rsidP="00DE005B">
      <w:pPr>
        <w:pStyle w:val="NormalWeb"/>
        <w:spacing w:before="120" w:beforeAutospacing="0" w:after="0" w:afterAutospacing="0"/>
        <w:jc w:val="both"/>
        <w:rPr>
          <w:sz w:val="22"/>
          <w:szCs w:val="22"/>
        </w:rPr>
      </w:pPr>
      <w:r w:rsidRPr="00DE005B">
        <w:rPr>
          <w:sz w:val="22"/>
          <w:szCs w:val="22"/>
        </w:rPr>
        <w:t>Finally, the study has broader societal implications for the residents of Addis Ababa and the Ethiopian population at large. When commercial banks prioritize green financing for renewable energy and climate-smart agriculture, they directly support the nation’s resilience against climate change. Successful implementation of green banking practices leads to reduced carbon emissions and better resource management, ultimately contributing to a more sustainable and economically secure future for the commun</w:t>
      </w:r>
      <w:r>
        <w:rPr>
          <w:sz w:val="22"/>
          <w:szCs w:val="22"/>
        </w:rPr>
        <w:t>ities the banks serve.</w:t>
      </w:r>
    </w:p>
    <w:p w:rsidR="00DE005B" w:rsidRPr="00DE005B" w:rsidRDefault="00DE005B" w:rsidP="00DE005B">
      <w:pPr>
        <w:pStyle w:val="Heading2"/>
        <w:numPr>
          <w:ilvl w:val="1"/>
          <w:numId w:val="9"/>
        </w:numPr>
        <w:spacing w:before="120" w:line="240" w:lineRule="auto"/>
        <w:jc w:val="both"/>
        <w:rPr>
          <w:rFonts w:ascii="Times New Roman" w:hAnsi="Times New Roman" w:cs="Times New Roman"/>
          <w:color w:val="auto"/>
          <w:sz w:val="22"/>
          <w:szCs w:val="22"/>
        </w:rPr>
      </w:pPr>
      <w:r w:rsidRPr="00DE005B">
        <w:rPr>
          <w:rFonts w:ascii="Times New Roman" w:hAnsi="Times New Roman" w:cs="Times New Roman"/>
          <w:color w:val="auto"/>
          <w:sz w:val="22"/>
          <w:szCs w:val="22"/>
        </w:rPr>
        <w:t>Scope of the Study</w:t>
      </w:r>
    </w:p>
    <w:p w:rsidR="002040A3" w:rsidRPr="002040A3" w:rsidRDefault="002040A3" w:rsidP="002040A3">
      <w:pPr>
        <w:pStyle w:val="NormalWeb"/>
        <w:spacing w:before="120" w:beforeAutospacing="0" w:after="0" w:afterAutospacing="0"/>
        <w:jc w:val="both"/>
        <w:rPr>
          <w:sz w:val="22"/>
          <w:szCs w:val="22"/>
        </w:rPr>
      </w:pPr>
      <w:r w:rsidRPr="002040A3">
        <w:rPr>
          <w:sz w:val="22"/>
          <w:szCs w:val="22"/>
        </w:rPr>
        <w:t xml:space="preserve">The conceptual scope of this study is focused on examining the multidimensional relationship between green banking practices and their ultimate impact on the financial and operational health of financial institutions. Specifically, the study investigates five primary independent variables: the level of </w:t>
      </w:r>
      <w:r w:rsidRPr="002040A3">
        <w:rPr>
          <w:bCs/>
          <w:sz w:val="22"/>
          <w:szCs w:val="22"/>
        </w:rPr>
        <w:t>green banking adoption</w:t>
      </w:r>
      <w:r w:rsidRPr="002040A3">
        <w:rPr>
          <w:sz w:val="22"/>
          <w:szCs w:val="22"/>
        </w:rPr>
        <w:t xml:space="preserve"> (including paperless and energy-efficient operations), the bank's contribution to </w:t>
      </w:r>
      <w:r w:rsidRPr="002040A3">
        <w:rPr>
          <w:bCs/>
          <w:sz w:val="22"/>
          <w:szCs w:val="22"/>
        </w:rPr>
        <w:t>environmental sustainability</w:t>
      </w:r>
      <w:r w:rsidRPr="002040A3">
        <w:rPr>
          <w:sz w:val="22"/>
          <w:szCs w:val="22"/>
        </w:rPr>
        <w:t xml:space="preserve">, the implementation of targeted </w:t>
      </w:r>
      <w:r w:rsidRPr="002040A3">
        <w:rPr>
          <w:bCs/>
          <w:sz w:val="22"/>
          <w:szCs w:val="22"/>
        </w:rPr>
        <w:t>green banking initiatives</w:t>
      </w:r>
      <w:r w:rsidRPr="002040A3">
        <w:rPr>
          <w:sz w:val="22"/>
          <w:szCs w:val="22"/>
        </w:rPr>
        <w:t xml:space="preserve">, the rigor of </w:t>
      </w:r>
      <w:r w:rsidRPr="002040A3">
        <w:rPr>
          <w:bCs/>
          <w:sz w:val="22"/>
          <w:szCs w:val="22"/>
        </w:rPr>
        <w:t>environmental risk assessment</w:t>
      </w:r>
      <w:r w:rsidRPr="002040A3">
        <w:rPr>
          <w:sz w:val="22"/>
          <w:szCs w:val="22"/>
        </w:rPr>
        <w:t xml:space="preserve"> in lending, and the moderating influence of </w:t>
      </w:r>
      <w:r w:rsidRPr="002040A3">
        <w:rPr>
          <w:bCs/>
          <w:sz w:val="22"/>
          <w:szCs w:val="22"/>
        </w:rPr>
        <w:t>barriers and institutional challenges</w:t>
      </w:r>
      <w:r w:rsidRPr="002040A3">
        <w:rPr>
          <w:sz w:val="22"/>
          <w:szCs w:val="22"/>
        </w:rPr>
        <w:t xml:space="preserve"> [4], [10]. These elements are analyzed as the key determinants affecting the dependent variable, </w:t>
      </w:r>
      <w:r w:rsidRPr="002040A3">
        <w:rPr>
          <w:bCs/>
          <w:sz w:val="22"/>
          <w:szCs w:val="22"/>
        </w:rPr>
        <w:t>Organizational Performance</w:t>
      </w:r>
      <w:r w:rsidRPr="002040A3">
        <w:rPr>
          <w:sz w:val="22"/>
          <w:szCs w:val="22"/>
        </w:rPr>
        <w:t>, which is evaluated through both financial profitability (ROA/ROE) and overall operational efficiency [7], [9]. By concentrating on these variables, the research aims to provide a comprehensive understanding of how strategic environmental integration serves as a catalyst for institutional resilience and competitive advantage within the Ethiopian banking sector.</w:t>
      </w:r>
    </w:p>
    <w:p w:rsidR="00DE005B" w:rsidRPr="00DE005B" w:rsidRDefault="00DE005B" w:rsidP="00DE005B">
      <w:pPr>
        <w:pStyle w:val="NormalWeb"/>
        <w:spacing w:before="120" w:beforeAutospacing="0" w:after="0" w:afterAutospacing="0"/>
        <w:jc w:val="both"/>
        <w:rPr>
          <w:sz w:val="22"/>
          <w:szCs w:val="22"/>
        </w:rPr>
      </w:pPr>
      <w:r w:rsidRPr="00DE005B">
        <w:rPr>
          <w:sz w:val="22"/>
          <w:szCs w:val="22"/>
        </w:rPr>
        <w:t xml:space="preserve">Geographically, the study is delimited to the capital city, Addis Ababa. As the financial and administrative hub of Ethiopia, Addis Ababa hosts the headquarters of all major commercial banks, </w:t>
      </w:r>
      <w:r w:rsidRPr="00DE005B">
        <w:rPr>
          <w:sz w:val="22"/>
          <w:szCs w:val="22"/>
        </w:rPr>
        <w:lastRenderedPageBreak/>
        <w:t xml:space="preserve">including the Commercial Bank of Ethiopia (CBE) and prominent private institutions such as Awash, </w:t>
      </w:r>
      <w:proofErr w:type="spellStart"/>
      <w:r w:rsidRPr="00DE005B">
        <w:rPr>
          <w:sz w:val="22"/>
          <w:szCs w:val="22"/>
        </w:rPr>
        <w:t>Dashen</w:t>
      </w:r>
      <w:proofErr w:type="spellEnd"/>
      <w:r w:rsidRPr="00DE005B">
        <w:rPr>
          <w:sz w:val="22"/>
          <w:szCs w:val="22"/>
        </w:rPr>
        <w:t xml:space="preserve">, and </w:t>
      </w:r>
      <w:proofErr w:type="spellStart"/>
      <w:r w:rsidRPr="00DE005B">
        <w:rPr>
          <w:sz w:val="22"/>
          <w:szCs w:val="22"/>
        </w:rPr>
        <w:t>Wegagen</w:t>
      </w:r>
      <w:proofErr w:type="spellEnd"/>
      <w:r w:rsidRPr="00DE005B">
        <w:rPr>
          <w:sz w:val="22"/>
          <w:szCs w:val="22"/>
        </w:rPr>
        <w:t xml:space="preserve"> Bank. The decision to focus on the capital is strategic, as the most advanced green bank</w:t>
      </w:r>
      <w:r>
        <w:rPr>
          <w:sz w:val="22"/>
          <w:szCs w:val="22"/>
        </w:rPr>
        <w:t xml:space="preserve">ing initiatives </w:t>
      </w:r>
      <w:r w:rsidRPr="00DE005B">
        <w:rPr>
          <w:sz w:val="22"/>
          <w:szCs w:val="22"/>
        </w:rPr>
        <w:t xml:space="preserve">such as the construction of green headquarters and the rollout of sophisticated </w:t>
      </w:r>
      <w:r>
        <w:rPr>
          <w:sz w:val="22"/>
          <w:szCs w:val="22"/>
        </w:rPr>
        <w:t xml:space="preserve">digital banking infrastructures </w:t>
      </w:r>
      <w:r w:rsidRPr="00DE005B">
        <w:rPr>
          <w:sz w:val="22"/>
          <w:szCs w:val="22"/>
        </w:rPr>
        <w:t>are concentrated with</w:t>
      </w:r>
      <w:r>
        <w:rPr>
          <w:sz w:val="22"/>
          <w:szCs w:val="22"/>
        </w:rPr>
        <w:t>in this urban center.</w:t>
      </w:r>
    </w:p>
    <w:p w:rsidR="00DE005B" w:rsidRPr="00DE005B" w:rsidRDefault="00DE005B" w:rsidP="00DE005B">
      <w:pPr>
        <w:pStyle w:val="NormalWeb"/>
        <w:spacing w:before="120" w:beforeAutospacing="0" w:after="0" w:afterAutospacing="0"/>
        <w:jc w:val="both"/>
        <w:rPr>
          <w:sz w:val="22"/>
          <w:szCs w:val="22"/>
        </w:rPr>
      </w:pPr>
      <w:r w:rsidRPr="00DE005B">
        <w:rPr>
          <w:sz w:val="22"/>
          <w:szCs w:val="22"/>
        </w:rPr>
        <w:t>The temporal scope of the research covers the period from 2020 to 2026. This timeframe is particularly relevant as it captures the post-pandemic surge in digital banking adoption in Ethiopia, as well as the implementation period of the NBE's most recent strategic reforms [13]. By analyzing data from this six-year window, the study can track the evolution of green practices from early-stage adoptions to more integrated frameworks, allowing for a more accurate assessment of long-term performance impacts versu</w:t>
      </w:r>
      <w:r>
        <w:rPr>
          <w:sz w:val="22"/>
          <w:szCs w:val="22"/>
        </w:rPr>
        <w:t>s short-term adoption costs</w:t>
      </w:r>
      <w:r w:rsidRPr="00DE005B">
        <w:rPr>
          <w:sz w:val="22"/>
          <w:szCs w:val="22"/>
        </w:rPr>
        <w:t>.</w:t>
      </w:r>
    </w:p>
    <w:p w:rsidR="00DE005B" w:rsidRPr="00225AB7" w:rsidRDefault="00DE005B" w:rsidP="00225AB7">
      <w:pPr>
        <w:pStyle w:val="NormalWeb"/>
        <w:spacing w:before="120" w:beforeAutospacing="0" w:after="0" w:afterAutospacing="0"/>
        <w:jc w:val="both"/>
        <w:rPr>
          <w:sz w:val="22"/>
          <w:szCs w:val="22"/>
        </w:rPr>
      </w:pPr>
      <w:r w:rsidRPr="00DE005B">
        <w:rPr>
          <w:sz w:val="22"/>
          <w:szCs w:val="22"/>
        </w:rPr>
        <w:t xml:space="preserve">Methodologically, the study adopts a mixed-methods approach to ensure a comprehensive scope. It targets a selection of both state-owned and private commercial banks to provide a representative view of the industry. Data collection involves the analysis of secondary sources, such as bank annual reports and NBE publications, supplemented by primary data gathered through structured surveys or interviews with bank management and sustainability officers. This dual approach ensures that the study captures both the "hard" </w:t>
      </w:r>
      <w:r w:rsidRPr="00225AB7">
        <w:rPr>
          <w:sz w:val="22"/>
          <w:szCs w:val="22"/>
        </w:rPr>
        <w:t>financial metrics and the "soft" institutional challenges inherent in the transition to green banking.</w:t>
      </w:r>
    </w:p>
    <w:p w:rsidR="00E5625C" w:rsidRPr="00225AB7" w:rsidRDefault="00E5625C" w:rsidP="00225AB7">
      <w:pPr>
        <w:pStyle w:val="ListParagraph"/>
        <w:numPr>
          <w:ilvl w:val="1"/>
          <w:numId w:val="9"/>
        </w:numPr>
        <w:spacing w:before="120" w:after="0" w:line="240" w:lineRule="auto"/>
        <w:jc w:val="both"/>
        <w:rPr>
          <w:rFonts w:ascii="Times New Roman" w:hAnsi="Times New Roman" w:cs="Times New Roman"/>
        </w:rPr>
      </w:pPr>
      <w:r w:rsidRPr="00225AB7">
        <w:rPr>
          <w:rStyle w:val="Strong"/>
          <w:rFonts w:ascii="Times New Roman" w:hAnsi="Times New Roman" w:cs="Times New Roman"/>
          <w:bCs w:val="0"/>
        </w:rPr>
        <w:t>Limitations of the Study</w:t>
      </w:r>
    </w:p>
    <w:p w:rsidR="00225AB7" w:rsidRPr="00225AB7" w:rsidRDefault="00225AB7" w:rsidP="00225AB7">
      <w:pPr>
        <w:pStyle w:val="NormalWeb"/>
        <w:spacing w:before="120" w:beforeAutospacing="0" w:after="0" w:afterAutospacing="0"/>
        <w:jc w:val="both"/>
        <w:rPr>
          <w:sz w:val="22"/>
          <w:szCs w:val="22"/>
        </w:rPr>
      </w:pPr>
      <w:r w:rsidRPr="00225AB7">
        <w:rPr>
          <w:sz w:val="22"/>
          <w:szCs w:val="22"/>
        </w:rPr>
        <w:t>The study is limited to selected commercial banks in Addis Ababa, which may restrict the generalization of the findings to other regions of Ethiopia or different banking environments. As a result, the conclusions drawn may not fully represent the situation of rural banks or other financial institutions operating under different conditions.</w:t>
      </w:r>
    </w:p>
    <w:p w:rsidR="00225AB7" w:rsidRPr="00225AB7" w:rsidRDefault="00225AB7" w:rsidP="00225AB7">
      <w:pPr>
        <w:pStyle w:val="NormalWeb"/>
        <w:spacing w:before="120" w:beforeAutospacing="0" w:after="0" w:afterAutospacing="0"/>
        <w:jc w:val="both"/>
        <w:rPr>
          <w:sz w:val="22"/>
          <w:szCs w:val="22"/>
        </w:rPr>
      </w:pPr>
      <w:r w:rsidRPr="00225AB7">
        <w:rPr>
          <w:sz w:val="22"/>
          <w:szCs w:val="22"/>
        </w:rPr>
        <w:t>In addition, the research relies on self-reported questionnaire data, which may introduce response bias due to subjective perceptions of respondents. This could affect the accuracy of the information provided, as participants may overestimate or underestimate their actual practices and performance.</w:t>
      </w:r>
    </w:p>
    <w:p w:rsidR="00225AB7" w:rsidRPr="00225AB7" w:rsidRDefault="00225AB7" w:rsidP="00225AB7">
      <w:pPr>
        <w:pStyle w:val="NormalWeb"/>
        <w:spacing w:before="120" w:beforeAutospacing="0" w:after="0" w:afterAutospacing="0"/>
        <w:jc w:val="both"/>
        <w:rPr>
          <w:sz w:val="22"/>
          <w:szCs w:val="22"/>
        </w:rPr>
      </w:pPr>
      <w:r w:rsidRPr="00225AB7">
        <w:rPr>
          <w:sz w:val="22"/>
          <w:szCs w:val="22"/>
        </w:rPr>
        <w:t>The study also uses cross-sectional data, which limits its ability to capture long-term trends and changes in green banking practices and organizational performance. Therefore, the findings reflect only a snapshot of the current situation rather than dynamic developments over time.</w:t>
      </w:r>
    </w:p>
    <w:p w:rsidR="00225AB7" w:rsidRPr="00225AB7" w:rsidRDefault="00225AB7" w:rsidP="00225AB7">
      <w:pPr>
        <w:pStyle w:val="NormalWeb"/>
        <w:spacing w:before="120" w:beforeAutospacing="0" w:after="0" w:afterAutospacing="0"/>
        <w:jc w:val="both"/>
        <w:rPr>
          <w:sz w:val="22"/>
          <w:szCs w:val="22"/>
        </w:rPr>
      </w:pPr>
      <w:r w:rsidRPr="00225AB7">
        <w:rPr>
          <w:sz w:val="22"/>
          <w:szCs w:val="22"/>
        </w:rPr>
        <w:t>Furthermore, some external factors such as macroeconomic conditions, political influences, and regulatory changes were not fully incorporated into the model. These omitted variables may also influence green banking practices and organizational performance, potentially affecting the completeness of the results.</w:t>
      </w:r>
    </w:p>
    <w:p w:rsidR="007D28A2" w:rsidRPr="007D28A2" w:rsidRDefault="007F41D7" w:rsidP="007D28A2">
      <w:pPr>
        <w:pStyle w:val="NormalWeb"/>
        <w:numPr>
          <w:ilvl w:val="0"/>
          <w:numId w:val="9"/>
        </w:numPr>
        <w:spacing w:before="120" w:beforeAutospacing="0" w:after="0" w:afterAutospacing="0"/>
        <w:jc w:val="both"/>
        <w:rPr>
          <w:sz w:val="22"/>
          <w:szCs w:val="22"/>
        </w:rPr>
      </w:pPr>
      <w:r w:rsidRPr="00701EB7">
        <w:rPr>
          <w:rStyle w:val="Strong"/>
          <w:sz w:val="22"/>
          <w:szCs w:val="22"/>
        </w:rPr>
        <w:t>Literature Review</w:t>
      </w:r>
    </w:p>
    <w:p w:rsidR="00701EB7" w:rsidRPr="007D28A2" w:rsidRDefault="00701EB7" w:rsidP="007D28A2">
      <w:pPr>
        <w:pStyle w:val="NormalWeb"/>
        <w:spacing w:before="120" w:beforeAutospacing="0" w:after="0" w:afterAutospacing="0"/>
        <w:jc w:val="both"/>
        <w:rPr>
          <w:sz w:val="22"/>
          <w:szCs w:val="22"/>
        </w:rPr>
      </w:pPr>
      <w:r w:rsidRPr="00701EB7">
        <w:rPr>
          <w:sz w:val="22"/>
          <w:szCs w:val="22"/>
        </w:rPr>
        <w:t xml:space="preserve">This chapter provides a comprehensive review of the theoretical and empirical literature concerning green banking practices, environmental sustainability, and organizational performance, specifically within the </w:t>
      </w:r>
      <w:r w:rsidRPr="007D28A2">
        <w:rPr>
          <w:sz w:val="22"/>
          <w:szCs w:val="22"/>
        </w:rPr>
        <w:t>context of emerging economies like Ethiopia.</w:t>
      </w:r>
    </w:p>
    <w:p w:rsidR="00701EB7" w:rsidRPr="007D28A2" w:rsidRDefault="00701EB7" w:rsidP="007D28A2">
      <w:pPr>
        <w:pStyle w:val="Heading3"/>
        <w:numPr>
          <w:ilvl w:val="1"/>
          <w:numId w:val="9"/>
        </w:numPr>
        <w:spacing w:before="120" w:beforeAutospacing="0" w:after="0" w:afterAutospacing="0"/>
        <w:jc w:val="both"/>
        <w:rPr>
          <w:sz w:val="22"/>
          <w:szCs w:val="22"/>
        </w:rPr>
      </w:pPr>
      <w:r w:rsidRPr="007D28A2">
        <w:rPr>
          <w:sz w:val="22"/>
          <w:szCs w:val="22"/>
        </w:rPr>
        <w:t>Theoretical Foundations</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The integration of environmental sustainability into banking operations is supported </w:t>
      </w:r>
      <w:proofErr w:type="gramStart"/>
      <w:r w:rsidRPr="007D28A2">
        <w:rPr>
          <w:rFonts w:ascii="Times New Roman" w:eastAsia="Times New Roman" w:hAnsi="Times New Roman" w:cs="Times New Roman"/>
        </w:rPr>
        <w:t>by several prominent management</w:t>
      </w:r>
      <w:proofErr w:type="gramEnd"/>
      <w:r w:rsidRPr="007D28A2">
        <w:rPr>
          <w:rFonts w:ascii="Times New Roman" w:eastAsia="Times New Roman" w:hAnsi="Times New Roman" w:cs="Times New Roman"/>
        </w:rPr>
        <w:t xml:space="preserve"> and accounting theories that justify moving beyond narrow profit-maximization models [3]. Central to this shift is the </w:t>
      </w:r>
      <w:r w:rsidRPr="007D28A2">
        <w:rPr>
          <w:rFonts w:ascii="Times New Roman" w:eastAsia="Times New Roman" w:hAnsi="Times New Roman" w:cs="Times New Roman"/>
          <w:b/>
          <w:bCs/>
        </w:rPr>
        <w:t>Triple Bottom Line (TBL)</w:t>
      </w:r>
      <w:r w:rsidRPr="007D28A2">
        <w:rPr>
          <w:rFonts w:ascii="Times New Roman" w:eastAsia="Times New Roman" w:hAnsi="Times New Roman" w:cs="Times New Roman"/>
        </w:rPr>
        <w:t xml:space="preserve"> framework, which posits that an organization’s success should be measured not only by financial profitability but also by its social and environmental impact. In the banking sector, TBL encourages institutions to adopt proactive strategies that minimize ecological damage while improving operational efficiency, thereby ensuring that the pursuit of profit does not come at the expense of the planet or its people.</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Furthermore, </w:t>
      </w:r>
      <w:r w:rsidRPr="007D28A2">
        <w:rPr>
          <w:rFonts w:ascii="Times New Roman" w:eastAsia="Times New Roman" w:hAnsi="Times New Roman" w:cs="Times New Roman"/>
          <w:b/>
          <w:bCs/>
        </w:rPr>
        <w:t>Stakeholder Theory</w:t>
      </w:r>
      <w:r w:rsidRPr="007D28A2">
        <w:rPr>
          <w:rFonts w:ascii="Times New Roman" w:eastAsia="Times New Roman" w:hAnsi="Times New Roman" w:cs="Times New Roman"/>
        </w:rPr>
        <w:t xml:space="preserve"> suggests that a bank’s long-term viability depends on its ability to satisfy the diverse needs of stakeholders, including customers, employees, regulators, and the broader </w:t>
      </w:r>
      <w:r w:rsidRPr="007D28A2">
        <w:rPr>
          <w:rFonts w:ascii="Times New Roman" w:eastAsia="Times New Roman" w:hAnsi="Times New Roman" w:cs="Times New Roman"/>
        </w:rPr>
        <w:lastRenderedPageBreak/>
        <w:t xml:space="preserve">community. By adopting sustainable banking practices, financial institutions can enhance their reputation and build essential trust with a growing niche of environmentally conscious investors. This alignment of financial operations with environmental stewardship is increasingly viewed through the lens of </w:t>
      </w:r>
      <w:r w:rsidRPr="007D28A2">
        <w:rPr>
          <w:rFonts w:ascii="Times New Roman" w:eastAsia="Times New Roman" w:hAnsi="Times New Roman" w:cs="Times New Roman"/>
          <w:b/>
          <w:bCs/>
        </w:rPr>
        <w:t>Sustainability Reporting and Corporate Governance</w:t>
      </w:r>
      <w:r w:rsidRPr="007D28A2">
        <w:rPr>
          <w:rFonts w:ascii="Times New Roman" w:eastAsia="Times New Roman" w:hAnsi="Times New Roman" w:cs="Times New Roman"/>
        </w:rPr>
        <w:t>, where transparent disclosure of ESG (Environmental, Social, and Governance) metrics is considered essential for improving overall firm value [9], [10].</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Finally, the </w:t>
      </w:r>
      <w:r w:rsidRPr="007D28A2">
        <w:rPr>
          <w:rFonts w:ascii="Times New Roman" w:eastAsia="Times New Roman" w:hAnsi="Times New Roman" w:cs="Times New Roman"/>
          <w:b/>
          <w:bCs/>
        </w:rPr>
        <w:t>Legitimacy Theory</w:t>
      </w:r>
      <w:r w:rsidRPr="007D28A2">
        <w:rPr>
          <w:rFonts w:ascii="Times New Roman" w:eastAsia="Times New Roman" w:hAnsi="Times New Roman" w:cs="Times New Roman"/>
        </w:rPr>
        <w:t xml:space="preserve"> provides a critical perspective on why banks in emerging economies, such as Ethiopia, are adopting green initiatives. This theory argues that organizations seek to ensure they are perceived as operating within the bounds and norms of their respective societies. As global and national focus shifts toward climate resilience, as evidenced by Ethiopia’s participation in regional climate summits [2], banks must adopt green banking innovations to maintain their "social license to operate." By doing so, they not only address systemic risks but also capitalize on green financial innovations that have been shown to be robust predictors of enhanced financial performance [7].</w:t>
      </w:r>
    </w:p>
    <w:p w:rsidR="00701EB7" w:rsidRPr="00701EB7" w:rsidRDefault="00701EB7" w:rsidP="007D28A2">
      <w:pPr>
        <w:pStyle w:val="Heading3"/>
        <w:numPr>
          <w:ilvl w:val="1"/>
          <w:numId w:val="9"/>
        </w:numPr>
        <w:spacing w:before="120" w:beforeAutospacing="0" w:after="0" w:afterAutospacing="0"/>
        <w:jc w:val="both"/>
        <w:rPr>
          <w:sz w:val="22"/>
          <w:szCs w:val="22"/>
        </w:rPr>
      </w:pPr>
      <w:r w:rsidRPr="00701EB7">
        <w:rPr>
          <w:sz w:val="22"/>
          <w:szCs w:val="22"/>
        </w:rPr>
        <w:t xml:space="preserve"> Green Banking Practices: Definitions and Scope</w:t>
      </w:r>
    </w:p>
    <w:p w:rsidR="00701EB7" w:rsidRPr="00701EB7" w:rsidRDefault="00701EB7" w:rsidP="007D28A2">
      <w:pPr>
        <w:pStyle w:val="NormalWeb"/>
        <w:spacing w:before="120" w:beforeAutospacing="0" w:after="0" w:afterAutospacing="0"/>
        <w:jc w:val="both"/>
        <w:rPr>
          <w:sz w:val="22"/>
          <w:szCs w:val="22"/>
        </w:rPr>
      </w:pPr>
      <w:r w:rsidRPr="00701EB7">
        <w:rPr>
          <w:sz w:val="22"/>
          <w:szCs w:val="22"/>
        </w:rPr>
        <w:t>Green banking involves integrating environmental considerations into the traditional activities of a financial institution, broadly categorized into internal operational improvements and external financing strategies.</w:t>
      </w:r>
    </w:p>
    <w:p w:rsidR="00701EB7" w:rsidRPr="00701EB7" w:rsidRDefault="00701EB7" w:rsidP="007D28A2">
      <w:pPr>
        <w:pStyle w:val="NormalWeb"/>
        <w:spacing w:before="120" w:beforeAutospacing="0" w:after="0" w:afterAutospacing="0"/>
        <w:jc w:val="both"/>
        <w:rPr>
          <w:sz w:val="22"/>
          <w:szCs w:val="22"/>
        </w:rPr>
      </w:pPr>
      <w:r w:rsidRPr="00701EB7">
        <w:rPr>
          <w:b/>
          <w:bCs/>
          <w:sz w:val="22"/>
          <w:szCs w:val="22"/>
        </w:rPr>
        <w:t>Internal Operations:</w:t>
      </w:r>
      <w:r w:rsidRPr="00701EB7">
        <w:rPr>
          <w:sz w:val="22"/>
          <w:szCs w:val="22"/>
        </w:rPr>
        <w:t xml:space="preserve"> These practices focus on reducing the direct carbon footprint of the bank. Research indicates that the adop</w:t>
      </w:r>
      <w:r w:rsidR="007D28A2">
        <w:rPr>
          <w:sz w:val="22"/>
          <w:szCs w:val="22"/>
        </w:rPr>
        <w:t xml:space="preserve">tion of green building concepts </w:t>
      </w:r>
      <w:r w:rsidRPr="00701EB7">
        <w:rPr>
          <w:sz w:val="22"/>
          <w:szCs w:val="22"/>
        </w:rPr>
        <w:t>such as those implemented in mod</w:t>
      </w:r>
      <w:r w:rsidR="007D28A2">
        <w:rPr>
          <w:sz w:val="22"/>
          <w:szCs w:val="22"/>
        </w:rPr>
        <w:t xml:space="preserve">ern headquarters in Addis Ababa </w:t>
      </w:r>
      <w:r w:rsidRPr="00701EB7">
        <w:rPr>
          <w:sz w:val="22"/>
          <w:szCs w:val="22"/>
        </w:rPr>
        <w:t>serves as a tangible commitment to energy efficiency and environmental responsibility [8]. Furthermore, assessing the sustainability of these physical assets is critical for long-term infrastructure health [5].</w:t>
      </w:r>
    </w:p>
    <w:p w:rsidR="00701EB7" w:rsidRDefault="00701EB7" w:rsidP="007D28A2">
      <w:pPr>
        <w:pStyle w:val="NormalWeb"/>
        <w:spacing w:before="120" w:beforeAutospacing="0" w:after="0" w:afterAutospacing="0"/>
        <w:jc w:val="both"/>
        <w:rPr>
          <w:sz w:val="22"/>
          <w:szCs w:val="22"/>
        </w:rPr>
      </w:pPr>
      <w:r w:rsidRPr="00701EB7">
        <w:rPr>
          <w:b/>
          <w:bCs/>
          <w:sz w:val="22"/>
          <w:szCs w:val="22"/>
        </w:rPr>
        <w:t>External Financing:</w:t>
      </w:r>
      <w:r w:rsidRPr="00701EB7">
        <w:rPr>
          <w:sz w:val="22"/>
          <w:szCs w:val="22"/>
        </w:rPr>
        <w:t xml:space="preserve"> Banks act as catalysts for sustainable development by directing capital toward green projects. Recent literature highlights the importance of green banking innovation in supporting smallholder farmers, bridging the gap between financial accessibility and long-term agricultural sustainability [1].</w:t>
      </w:r>
    </w:p>
    <w:p w:rsidR="007D28A2" w:rsidRPr="00793ACB" w:rsidRDefault="00793ACB" w:rsidP="00793ACB">
      <w:pPr>
        <w:pStyle w:val="NormalWeb"/>
        <w:numPr>
          <w:ilvl w:val="1"/>
          <w:numId w:val="9"/>
        </w:numPr>
        <w:spacing w:before="120" w:beforeAutospacing="0" w:after="0" w:afterAutospacing="0"/>
        <w:jc w:val="both"/>
        <w:rPr>
          <w:b/>
          <w:sz w:val="22"/>
          <w:szCs w:val="22"/>
        </w:rPr>
      </w:pPr>
      <w:r w:rsidRPr="00793ACB">
        <w:rPr>
          <w:b/>
        </w:rPr>
        <w:t>Strategic Integration of Green Banking: Adoption, Impacts, and Constraints</w:t>
      </w:r>
    </w:p>
    <w:p w:rsidR="007D28A2" w:rsidRPr="00793ACB" w:rsidRDefault="007D28A2" w:rsidP="00793ACB">
      <w:pPr>
        <w:pStyle w:val="ListParagraph"/>
        <w:numPr>
          <w:ilvl w:val="2"/>
          <w:numId w:val="9"/>
        </w:numPr>
        <w:spacing w:before="120" w:after="0" w:line="240" w:lineRule="auto"/>
        <w:jc w:val="both"/>
        <w:outlineLvl w:val="2"/>
        <w:rPr>
          <w:rFonts w:ascii="Times New Roman" w:eastAsia="Times New Roman" w:hAnsi="Times New Roman" w:cs="Times New Roman"/>
          <w:b/>
          <w:bCs/>
        </w:rPr>
      </w:pPr>
      <w:r w:rsidRPr="00793ACB">
        <w:rPr>
          <w:rFonts w:ascii="Times New Roman" w:eastAsia="Times New Roman" w:hAnsi="Times New Roman" w:cs="Times New Roman"/>
          <w:b/>
          <w:bCs/>
        </w:rPr>
        <w:t>Green Banking Adoption in Ethiopia</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The adoption of green banking in Addis Ababa is increasingly characterized by a shift toward </w:t>
      </w:r>
      <w:r w:rsidRPr="007D28A2">
        <w:rPr>
          <w:rFonts w:ascii="Times New Roman" w:eastAsia="Times New Roman" w:hAnsi="Times New Roman" w:cs="Times New Roman"/>
          <w:b/>
          <w:bCs/>
        </w:rPr>
        <w:t>green financing</w:t>
      </w:r>
      <w:r w:rsidRPr="007D28A2">
        <w:rPr>
          <w:rFonts w:ascii="Times New Roman" w:eastAsia="Times New Roman" w:hAnsi="Times New Roman" w:cs="Times New Roman"/>
        </w:rPr>
        <w:t>, where commercial banks align their lending portfolios with the national Climate Resilient Green Economy (CRGE) strategy. This involves directing credit toward renewable energy projects, climate-smart agriculture, and eco-friendly manufacturing. By prioritizing these sectors, financial institutions in the capital are transitioning from traditional collateral-based lending to sustainability-linked financing, which is essential for mitigating long-term economic risks associated with climate change [1], [3].</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b/>
          <w:bCs/>
        </w:rPr>
        <w:t>Paperless banking</w:t>
      </w:r>
      <w:r w:rsidRPr="007D28A2">
        <w:rPr>
          <w:rFonts w:ascii="Times New Roman" w:eastAsia="Times New Roman" w:hAnsi="Times New Roman" w:cs="Times New Roman"/>
        </w:rPr>
        <w:t xml:space="preserve"> has emerged as the most visible pillar of green adoption within the Ethiopian banking sector. Driven by rapid digitalization and the expans</w:t>
      </w:r>
      <w:r>
        <w:rPr>
          <w:rFonts w:ascii="Times New Roman" w:eastAsia="Times New Roman" w:hAnsi="Times New Roman" w:cs="Times New Roman"/>
        </w:rPr>
        <w:t xml:space="preserve">ion of mobile and agent banking </w:t>
      </w:r>
      <w:r w:rsidRPr="007D28A2">
        <w:rPr>
          <w:rFonts w:ascii="Times New Roman" w:eastAsia="Times New Roman" w:hAnsi="Times New Roman" w:cs="Times New Roman"/>
        </w:rPr>
        <w:t>which saw growth rates</w:t>
      </w:r>
      <w:r>
        <w:rPr>
          <w:rFonts w:ascii="Times New Roman" w:eastAsia="Times New Roman" w:hAnsi="Times New Roman" w:cs="Times New Roman"/>
        </w:rPr>
        <w:t xml:space="preserve"> exceeding 100% in recent years </w:t>
      </w:r>
      <w:r w:rsidRPr="007D28A2">
        <w:rPr>
          <w:rFonts w:ascii="Times New Roman" w:eastAsia="Times New Roman" w:hAnsi="Times New Roman" w:cs="Times New Roman"/>
        </w:rPr>
        <w:t>banks are significantly reducing their reliance on physical documentation. This transition not only streamlines customer transactions in busy urban hubs like Addis Ababa but also directly contributes to environmental conservation by reducing municipal waste and the energy consumption associated with traditional paper-based record-keeping [4], [7].</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b/>
          <w:bCs/>
        </w:rPr>
        <w:t>Energy efficiency</w:t>
      </w:r>
      <w:r w:rsidRPr="007D28A2">
        <w:rPr>
          <w:rFonts w:ascii="Times New Roman" w:eastAsia="Times New Roman" w:hAnsi="Times New Roman" w:cs="Times New Roman"/>
        </w:rPr>
        <w:t xml:space="preserve"> initiatives are becoming a strategic priority, particularly in the development of new bank headquarters across the city's financial district. Modern architectural integrations, such as those seen in the </w:t>
      </w:r>
      <w:proofErr w:type="spellStart"/>
      <w:r w:rsidRPr="007D28A2">
        <w:rPr>
          <w:rFonts w:ascii="Times New Roman" w:eastAsia="Times New Roman" w:hAnsi="Times New Roman" w:cs="Times New Roman"/>
        </w:rPr>
        <w:t>Wegagen</w:t>
      </w:r>
      <w:proofErr w:type="spellEnd"/>
      <w:r w:rsidRPr="007D28A2">
        <w:rPr>
          <w:rFonts w:ascii="Times New Roman" w:eastAsia="Times New Roman" w:hAnsi="Times New Roman" w:cs="Times New Roman"/>
        </w:rPr>
        <w:t xml:space="preserve"> Bank headquarters, utilize green building technologies, energy-efficient </w:t>
      </w:r>
      <w:proofErr w:type="gramStart"/>
      <w:r w:rsidRPr="007D28A2">
        <w:rPr>
          <w:rFonts w:ascii="Times New Roman" w:eastAsia="Times New Roman" w:hAnsi="Times New Roman" w:cs="Times New Roman"/>
        </w:rPr>
        <w:t>lighting,</w:t>
      </w:r>
      <w:proofErr w:type="gramEnd"/>
      <w:r w:rsidRPr="007D28A2">
        <w:rPr>
          <w:rFonts w:ascii="Times New Roman" w:eastAsia="Times New Roman" w:hAnsi="Times New Roman" w:cs="Times New Roman"/>
        </w:rPr>
        <w:t xml:space="preserve"> and optimized HVAC systems to reduce operational power demand [8]. These efforts are critical in a context </w:t>
      </w:r>
      <w:r w:rsidRPr="007D28A2">
        <w:rPr>
          <w:rFonts w:ascii="Times New Roman" w:eastAsia="Times New Roman" w:hAnsi="Times New Roman" w:cs="Times New Roman"/>
        </w:rPr>
        <w:lastRenderedPageBreak/>
        <w:t>where urban energy grids are under pressure, allowing banks to maintain business continuity while adhering to international environmental standards [5], [8].</w:t>
      </w:r>
    </w:p>
    <w:p w:rsid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The integration of these practices is further supported by </w:t>
      </w:r>
      <w:r w:rsidRPr="007D28A2">
        <w:rPr>
          <w:rFonts w:ascii="Times New Roman" w:eastAsia="Times New Roman" w:hAnsi="Times New Roman" w:cs="Times New Roman"/>
          <w:b/>
          <w:bCs/>
        </w:rPr>
        <w:t>institutional knowledge management</w:t>
      </w:r>
      <w:r w:rsidRPr="007D28A2">
        <w:rPr>
          <w:rFonts w:ascii="Times New Roman" w:eastAsia="Times New Roman" w:hAnsi="Times New Roman" w:cs="Times New Roman"/>
        </w:rPr>
        <w:t xml:space="preserve"> and strategic modernization policies initiated by the National Bank of Ethiopia. As banks in Addis </w:t>
      </w:r>
      <w:r>
        <w:rPr>
          <w:rFonts w:ascii="Times New Roman" w:eastAsia="Times New Roman" w:hAnsi="Times New Roman" w:cs="Times New Roman"/>
        </w:rPr>
        <w:t xml:space="preserve">Ababa adopt these three pillars </w:t>
      </w:r>
      <w:r w:rsidRPr="007D28A2">
        <w:rPr>
          <w:rFonts w:ascii="Times New Roman" w:eastAsia="Times New Roman" w:hAnsi="Times New Roman" w:cs="Times New Roman"/>
        </w:rPr>
        <w:t>financing,</w:t>
      </w:r>
      <w:r>
        <w:rPr>
          <w:rFonts w:ascii="Times New Roman" w:eastAsia="Times New Roman" w:hAnsi="Times New Roman" w:cs="Times New Roman"/>
        </w:rPr>
        <w:t xml:space="preserve"> digitalization, and efficiency </w:t>
      </w:r>
      <w:r w:rsidRPr="007D28A2">
        <w:rPr>
          <w:rFonts w:ascii="Times New Roman" w:eastAsia="Times New Roman" w:hAnsi="Times New Roman" w:cs="Times New Roman"/>
        </w:rPr>
        <w:t>they create a comprehensive framework for "greening of operations." This systemic adoption ensures that the financial sector remains a leader in the national effort to build a sustainable, technology-driven economy [2], [6].</w:t>
      </w:r>
    </w:p>
    <w:p w:rsidR="007D28A2" w:rsidRPr="00793ACB" w:rsidRDefault="007D28A2" w:rsidP="004235FC">
      <w:pPr>
        <w:pStyle w:val="ListParagraph"/>
        <w:numPr>
          <w:ilvl w:val="2"/>
          <w:numId w:val="9"/>
        </w:numPr>
        <w:tabs>
          <w:tab w:val="left" w:pos="540"/>
          <w:tab w:val="left" w:pos="630"/>
          <w:tab w:val="left" w:pos="900"/>
        </w:tabs>
        <w:spacing w:before="120" w:after="0" w:line="240" w:lineRule="auto"/>
        <w:jc w:val="both"/>
        <w:outlineLvl w:val="2"/>
        <w:rPr>
          <w:rFonts w:ascii="Times New Roman" w:eastAsia="Times New Roman" w:hAnsi="Times New Roman" w:cs="Times New Roman"/>
          <w:b/>
          <w:bCs/>
        </w:rPr>
      </w:pPr>
      <w:r w:rsidRPr="00793ACB">
        <w:rPr>
          <w:rFonts w:ascii="Times New Roman" w:eastAsia="Times New Roman" w:hAnsi="Times New Roman" w:cs="Times New Roman"/>
          <w:b/>
          <w:bCs/>
        </w:rPr>
        <w:t xml:space="preserve"> Impact on Environmental Sustainability</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Green banking practices in Addis Ababa have a direct and measurable impact on </w:t>
      </w:r>
      <w:r w:rsidRPr="007D28A2">
        <w:rPr>
          <w:rFonts w:ascii="Times New Roman" w:eastAsia="Times New Roman" w:hAnsi="Times New Roman" w:cs="Times New Roman"/>
          <w:b/>
          <w:bCs/>
        </w:rPr>
        <w:t>carbon footprint reduction</w:t>
      </w:r>
      <w:r w:rsidRPr="007D28A2">
        <w:rPr>
          <w:rFonts w:ascii="Times New Roman" w:eastAsia="Times New Roman" w:hAnsi="Times New Roman" w:cs="Times New Roman"/>
        </w:rPr>
        <w:t>. By financing low-carbon technologies and adopting digital workflows, banks help lower the overall greenhouse gas emissions of the financial ecosystem. This is particularly significant in the Ethiopian context, where the banking sector's shift away from fossil-fuel-intensive investments supports the broader national goal of achieving a carbon-neutral economy [2], [3].</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Furthermore, </w:t>
      </w:r>
      <w:r w:rsidRPr="007D28A2">
        <w:rPr>
          <w:rFonts w:ascii="Times New Roman" w:eastAsia="Times New Roman" w:hAnsi="Times New Roman" w:cs="Times New Roman"/>
          <w:b/>
          <w:bCs/>
        </w:rPr>
        <w:t>resource efficiency</w:t>
      </w:r>
      <w:r w:rsidRPr="007D28A2">
        <w:rPr>
          <w:rFonts w:ascii="Times New Roman" w:eastAsia="Times New Roman" w:hAnsi="Times New Roman" w:cs="Times New Roman"/>
        </w:rPr>
        <w:t xml:space="preserve"> is significantly enhanced through the reduction of physical infrastructure requirements. The move toward digital and agent banking reduces the need for extensive branch networks, thereby saving on building materials, water usage, and the daily energy consumption required to maintain physical offices. These efficiencies allow banks to serve a larger population with a smaller environmental "handprint," effectively decoupling financial growth from resource depletion [1], [4].</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The cumulative effect of these initiatives fosters a culture of </w:t>
      </w:r>
      <w:r w:rsidRPr="007D28A2">
        <w:rPr>
          <w:rFonts w:ascii="Times New Roman" w:eastAsia="Times New Roman" w:hAnsi="Times New Roman" w:cs="Times New Roman"/>
          <w:b/>
          <w:bCs/>
        </w:rPr>
        <w:t>environmental responsibility</w:t>
      </w:r>
      <w:r w:rsidRPr="007D28A2">
        <w:rPr>
          <w:rFonts w:ascii="Times New Roman" w:eastAsia="Times New Roman" w:hAnsi="Times New Roman" w:cs="Times New Roman"/>
        </w:rPr>
        <w:t xml:space="preserve"> within the corporate sector. As banks implement strict environmental risk assessments for their clients, they compel other industries to adopt sustainable practices to qualify for credit. In Addis Ababa, this ripple effect promotes cleaner production methods and more efficient waste management across various sectors, reinforcing the city's status as a leader in African climate resilience [2], [10].</w:t>
      </w:r>
    </w:p>
    <w:p w:rsidR="007D28A2" w:rsidRPr="00793ACB" w:rsidRDefault="007D28A2" w:rsidP="00793ACB">
      <w:pPr>
        <w:pStyle w:val="ListParagraph"/>
        <w:numPr>
          <w:ilvl w:val="2"/>
          <w:numId w:val="9"/>
        </w:numPr>
        <w:spacing w:before="120" w:after="0" w:line="240" w:lineRule="auto"/>
        <w:jc w:val="both"/>
        <w:outlineLvl w:val="2"/>
        <w:rPr>
          <w:rFonts w:ascii="Times New Roman" w:eastAsia="Times New Roman" w:hAnsi="Times New Roman" w:cs="Times New Roman"/>
          <w:b/>
          <w:bCs/>
        </w:rPr>
      </w:pPr>
      <w:r w:rsidRPr="00793ACB">
        <w:rPr>
          <w:rFonts w:ascii="Times New Roman" w:eastAsia="Times New Roman" w:hAnsi="Times New Roman" w:cs="Times New Roman"/>
          <w:b/>
          <w:bCs/>
        </w:rPr>
        <w:t>Green Banking and Organizational Performance</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The relationship between green banking initiatives and </w:t>
      </w:r>
      <w:r w:rsidRPr="007D28A2">
        <w:rPr>
          <w:rFonts w:ascii="Times New Roman" w:eastAsia="Times New Roman" w:hAnsi="Times New Roman" w:cs="Times New Roman"/>
          <w:b/>
          <w:bCs/>
        </w:rPr>
        <w:t>financial profitability</w:t>
      </w:r>
      <w:r w:rsidRPr="007D28A2">
        <w:rPr>
          <w:rFonts w:ascii="Times New Roman" w:eastAsia="Times New Roman" w:hAnsi="Times New Roman" w:cs="Times New Roman"/>
        </w:rPr>
        <w:t>, often measured through Return on Assets (ROA) and Return on Equity (ROE), is increasingly evident in the Ethiopian market. While initial investments in green technology and ESG reporting frameworks can be high, long-term data suggests that green financial innovation is a robust predictor of improved financial performance [7]. By attracting environmentally conscious investors and reducing the cost of capital through international sustainability grants, banks in Addis Ababa can bolster their bottom line.</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b/>
          <w:bCs/>
        </w:rPr>
        <w:t>Operational efficiency</w:t>
      </w:r>
      <w:r w:rsidRPr="007D28A2">
        <w:rPr>
          <w:rFonts w:ascii="Times New Roman" w:eastAsia="Times New Roman" w:hAnsi="Times New Roman" w:cs="Times New Roman"/>
        </w:rPr>
        <w:t xml:space="preserve"> is a primary driver of this improved performance. The transition to paperless and digital banking significantly lowers the cost-to-income ratio by reducing administrative overhead, manual labor, and physical storage costs. In the competitive landscape of Addis Ababa, banks that leverage these digital efficiencies can process transactions faster and more accurately, leading to higher throughput and reduced operational risk [4], [6].</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Beyond direct financial metrics, green banking enhances </w:t>
      </w:r>
      <w:r w:rsidRPr="007D28A2">
        <w:rPr>
          <w:rFonts w:ascii="Times New Roman" w:eastAsia="Times New Roman" w:hAnsi="Times New Roman" w:cs="Times New Roman"/>
          <w:b/>
          <w:bCs/>
        </w:rPr>
        <w:t>reputational capital</w:t>
      </w:r>
      <w:r w:rsidRPr="007D28A2">
        <w:rPr>
          <w:rFonts w:ascii="Times New Roman" w:eastAsia="Times New Roman" w:hAnsi="Times New Roman" w:cs="Times New Roman"/>
        </w:rPr>
        <w:t>, which indirectly influences organizational performance. As public awareness of climate issues grows in Ethiopia, banks that demonstrate genuine climate leadership attract a loyal customer base and high-quality human capital. This brand equity is a critical intangible asset that provides a competitive advantage in an increasingly crowded financial market [1], [9].</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Furthermore, the adoption of </w:t>
      </w:r>
      <w:r w:rsidRPr="007D28A2">
        <w:rPr>
          <w:rFonts w:ascii="Times New Roman" w:eastAsia="Times New Roman" w:hAnsi="Times New Roman" w:cs="Times New Roman"/>
          <w:b/>
          <w:bCs/>
        </w:rPr>
        <w:t>sustainability reporting and corporate governance</w:t>
      </w:r>
      <w:r w:rsidRPr="007D28A2">
        <w:rPr>
          <w:rFonts w:ascii="Times New Roman" w:eastAsia="Times New Roman" w:hAnsi="Times New Roman" w:cs="Times New Roman"/>
        </w:rPr>
        <w:t xml:space="preserve"> frameworks ensures that banks are better prepared for future regulatory changes. By proactively aligning with international standards, Ethiopian banks mitigat</w:t>
      </w:r>
      <w:r>
        <w:rPr>
          <w:rFonts w:ascii="Times New Roman" w:eastAsia="Times New Roman" w:hAnsi="Times New Roman" w:cs="Times New Roman"/>
        </w:rPr>
        <w:t xml:space="preserve">e the risk of "stranded assets" </w:t>
      </w:r>
      <w:r w:rsidRPr="007D28A2">
        <w:rPr>
          <w:rFonts w:ascii="Times New Roman" w:eastAsia="Times New Roman" w:hAnsi="Times New Roman" w:cs="Times New Roman"/>
        </w:rPr>
        <w:t>investments that lose value due to environmental regulations. This forward-looking approach protects the bank’s asset quality and ensures stable ROE over extended periods [9], [10].</w:t>
      </w:r>
    </w:p>
    <w:p w:rsid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lastRenderedPageBreak/>
        <w:t xml:space="preserve">Finally, the integration of </w:t>
      </w:r>
      <w:r w:rsidRPr="007D28A2">
        <w:rPr>
          <w:rFonts w:ascii="Times New Roman" w:eastAsia="Times New Roman" w:hAnsi="Times New Roman" w:cs="Times New Roman"/>
          <w:b/>
          <w:bCs/>
        </w:rPr>
        <w:t>knowledge management systems</w:t>
      </w:r>
      <w:r w:rsidRPr="007D28A2">
        <w:rPr>
          <w:rFonts w:ascii="Times New Roman" w:eastAsia="Times New Roman" w:hAnsi="Times New Roman" w:cs="Times New Roman"/>
        </w:rPr>
        <w:t xml:space="preserve"> ensures that the efficiency gains from green practices are sustained and improved over time. By training staff in green finance and environmental risk rating, banks in Addis Ababa create an agile organizational structure capable of adapting to both market shifts and environmental challenges, ultimately leading to a more resilient and profitable institution [6], [8].</w:t>
      </w:r>
    </w:p>
    <w:p w:rsidR="007D28A2" w:rsidRPr="00793ACB" w:rsidRDefault="007D28A2" w:rsidP="00EE6AC6">
      <w:pPr>
        <w:pStyle w:val="ListParagraph"/>
        <w:numPr>
          <w:ilvl w:val="2"/>
          <w:numId w:val="9"/>
        </w:numPr>
        <w:tabs>
          <w:tab w:val="left" w:pos="450"/>
          <w:tab w:val="left" w:pos="540"/>
        </w:tabs>
        <w:spacing w:before="120" w:after="0" w:line="240" w:lineRule="auto"/>
        <w:jc w:val="both"/>
        <w:outlineLvl w:val="2"/>
        <w:rPr>
          <w:rFonts w:ascii="Times New Roman" w:eastAsia="Times New Roman" w:hAnsi="Times New Roman" w:cs="Times New Roman"/>
          <w:b/>
          <w:bCs/>
        </w:rPr>
      </w:pPr>
      <w:r w:rsidRPr="00793ACB">
        <w:rPr>
          <w:rFonts w:ascii="Times New Roman" w:eastAsia="Times New Roman" w:hAnsi="Times New Roman" w:cs="Times New Roman"/>
          <w:b/>
          <w:bCs/>
        </w:rPr>
        <w:t xml:space="preserve"> Environmental Risk Assessment and Climate Mitigation</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In the Ethiopian context, </w:t>
      </w:r>
      <w:r w:rsidRPr="007D28A2">
        <w:rPr>
          <w:rFonts w:ascii="Times New Roman" w:eastAsia="Times New Roman" w:hAnsi="Times New Roman" w:cs="Times New Roman"/>
          <w:b/>
          <w:bCs/>
        </w:rPr>
        <w:t>environmental risk assessment (ERA)</w:t>
      </w:r>
      <w:r w:rsidRPr="007D28A2">
        <w:rPr>
          <w:rFonts w:ascii="Times New Roman" w:eastAsia="Times New Roman" w:hAnsi="Times New Roman" w:cs="Times New Roman"/>
        </w:rPr>
        <w:t xml:space="preserve"> is a vital tool for identifying and mitigating climate-related financial risks. By systematically evaluating the environmental impact of potential loans, banks in Addis Ababa can avoid over-exposure to sectors vulnerable to droughts, floods, or soil degradation. This proactive screening protects the bank's loan portfolio from defaults triggered by climate-induced economic shocks [3], [10].</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The ability to mitigate these risks is closely tied to the bank’s </w:t>
      </w:r>
      <w:r w:rsidRPr="007D28A2">
        <w:rPr>
          <w:rFonts w:ascii="Times New Roman" w:eastAsia="Times New Roman" w:hAnsi="Times New Roman" w:cs="Times New Roman"/>
          <w:b/>
          <w:bCs/>
        </w:rPr>
        <w:t>ESG disclosure quality</w:t>
      </w:r>
      <w:r w:rsidRPr="007D28A2">
        <w:rPr>
          <w:rFonts w:ascii="Times New Roman" w:eastAsia="Times New Roman" w:hAnsi="Times New Roman" w:cs="Times New Roman"/>
        </w:rPr>
        <w:t>. High-quality disclosures allow banks to bet</w:t>
      </w:r>
      <w:r w:rsidR="00104A63">
        <w:rPr>
          <w:rFonts w:ascii="Times New Roman" w:eastAsia="Times New Roman" w:hAnsi="Times New Roman" w:cs="Times New Roman"/>
        </w:rPr>
        <w:t xml:space="preserve">ter quantify "transition risks" </w:t>
      </w:r>
      <w:r w:rsidRPr="007D28A2">
        <w:rPr>
          <w:rFonts w:ascii="Times New Roman" w:eastAsia="Times New Roman" w:hAnsi="Times New Roman" w:cs="Times New Roman"/>
        </w:rPr>
        <w:t>the financial risks associated with the shift to a low-carbon economy. For Ethiopian banks, this means identifying which corporate clients are failing to adapt to green standards and adjusting credit terms accordingly to minimize potential losses [10].</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Moreover, ERA enhances a bank's capacity for </w:t>
      </w:r>
      <w:r w:rsidRPr="007D28A2">
        <w:rPr>
          <w:rFonts w:ascii="Times New Roman" w:eastAsia="Times New Roman" w:hAnsi="Times New Roman" w:cs="Times New Roman"/>
          <w:b/>
          <w:bCs/>
        </w:rPr>
        <w:t>climate leadership</w:t>
      </w:r>
      <w:r w:rsidRPr="007D28A2">
        <w:rPr>
          <w:rFonts w:ascii="Times New Roman" w:eastAsia="Times New Roman" w:hAnsi="Times New Roman" w:cs="Times New Roman"/>
        </w:rPr>
        <w:t xml:space="preserve"> by aligning its risk appetite with national environmental goals. By participating in regional summits and adhering to international standards, banks in Addis Ababa gain access to sophisticated risk-modeling tools that improve their technical ability to predict and manage environmental liabilities [2], [4].</w:t>
      </w:r>
    </w:p>
    <w:p w:rsidR="007D28A2" w:rsidRPr="007D28A2" w:rsidRDefault="007D28A2" w:rsidP="007D28A2">
      <w:pPr>
        <w:spacing w:before="120" w:after="0" w:line="240" w:lineRule="auto"/>
        <w:jc w:val="both"/>
        <w:rPr>
          <w:rFonts w:ascii="Times New Roman" w:eastAsia="Times New Roman" w:hAnsi="Times New Roman" w:cs="Times New Roman"/>
        </w:rPr>
      </w:pPr>
      <w:r w:rsidRPr="007D28A2">
        <w:rPr>
          <w:rFonts w:ascii="Times New Roman" w:eastAsia="Times New Roman" w:hAnsi="Times New Roman" w:cs="Times New Roman"/>
        </w:rPr>
        <w:t xml:space="preserve">Ultimately, effective environmental risk assessment strengthens the </w:t>
      </w:r>
      <w:r w:rsidRPr="007D28A2">
        <w:rPr>
          <w:rFonts w:ascii="Times New Roman" w:eastAsia="Times New Roman" w:hAnsi="Times New Roman" w:cs="Times New Roman"/>
          <w:b/>
          <w:bCs/>
        </w:rPr>
        <w:t>stability of the financial system</w:t>
      </w:r>
      <w:r w:rsidRPr="007D28A2">
        <w:rPr>
          <w:rFonts w:ascii="Times New Roman" w:eastAsia="Times New Roman" w:hAnsi="Times New Roman" w:cs="Times New Roman"/>
        </w:rPr>
        <w:t>. When banks accurately price climate risks, they contribute to a more efficient allocation of capital toward resilient infrastructure. This not only protects the individual bank’s solvency but also ensures that the Ethiopian financial sector as a whole remains robust in the face of the escalating global climate crisis [3], [7].</w:t>
      </w:r>
    </w:p>
    <w:p w:rsidR="007D28A2" w:rsidRPr="00793ACB" w:rsidRDefault="007D28A2" w:rsidP="00793ACB">
      <w:pPr>
        <w:pStyle w:val="ListParagraph"/>
        <w:numPr>
          <w:ilvl w:val="2"/>
          <w:numId w:val="9"/>
        </w:numPr>
        <w:tabs>
          <w:tab w:val="left" w:pos="450"/>
          <w:tab w:val="left" w:pos="540"/>
          <w:tab w:val="left" w:pos="630"/>
        </w:tabs>
        <w:spacing w:before="120" w:after="0" w:line="240" w:lineRule="auto"/>
        <w:jc w:val="both"/>
        <w:outlineLvl w:val="2"/>
        <w:rPr>
          <w:rFonts w:ascii="Times New Roman" w:eastAsia="Times New Roman" w:hAnsi="Times New Roman" w:cs="Times New Roman"/>
          <w:b/>
          <w:bCs/>
        </w:rPr>
      </w:pPr>
      <w:r w:rsidRPr="00793ACB">
        <w:rPr>
          <w:rFonts w:ascii="Times New Roman" w:eastAsia="Times New Roman" w:hAnsi="Times New Roman" w:cs="Times New Roman"/>
          <w:b/>
          <w:bCs/>
        </w:rPr>
        <w:t xml:space="preserve"> Barriers and Institutional Challenges</w:t>
      </w:r>
    </w:p>
    <w:p w:rsidR="00793ACB" w:rsidRPr="00793ACB" w:rsidRDefault="00793ACB" w:rsidP="00793ACB">
      <w:pPr>
        <w:pStyle w:val="NormalWeb"/>
        <w:spacing w:before="120" w:beforeAutospacing="0" w:after="0" w:afterAutospacing="0"/>
        <w:jc w:val="both"/>
        <w:rPr>
          <w:sz w:val="22"/>
          <w:szCs w:val="22"/>
        </w:rPr>
      </w:pPr>
      <w:r w:rsidRPr="00793ACB">
        <w:rPr>
          <w:sz w:val="22"/>
          <w:szCs w:val="22"/>
        </w:rPr>
        <w:t xml:space="preserve">The full integration of green banking practices in Ethiopia is primarily hindered by significant </w:t>
      </w:r>
      <w:r w:rsidRPr="00793ACB">
        <w:rPr>
          <w:b/>
          <w:bCs/>
          <w:sz w:val="22"/>
          <w:szCs w:val="22"/>
        </w:rPr>
        <w:t>technological and knowledge-based gaps</w:t>
      </w:r>
      <w:r w:rsidRPr="00793ACB">
        <w:rPr>
          <w:sz w:val="22"/>
          <w:szCs w:val="22"/>
        </w:rPr>
        <w:t>. While digital banking is expanding, many institutions in Addis Ababa still lack the advanced AI and data analytics tools required to accurately model climate risks and track the carbon footprint of diverse loan portfolios [6], [8]. This technical deficit is exacerbated by a lack of specialized expertise in green asset management among bank staff. Consequently, effective implementation requires a shift toward deep institutional knowledge management, as current systematic reviews identify that while the opportunities for green banking are vast, banks must first navigate these complex operational gaps to ensure adoption is sustainable [4], [6].</w:t>
      </w:r>
    </w:p>
    <w:p w:rsidR="00793ACB" w:rsidRPr="00793ACB" w:rsidRDefault="00793ACB" w:rsidP="00793ACB">
      <w:pPr>
        <w:pStyle w:val="NormalWeb"/>
        <w:spacing w:before="120" w:beforeAutospacing="0" w:after="0" w:afterAutospacing="0"/>
        <w:jc w:val="both"/>
        <w:rPr>
          <w:sz w:val="22"/>
          <w:szCs w:val="22"/>
        </w:rPr>
      </w:pPr>
      <w:r w:rsidRPr="00793ACB">
        <w:rPr>
          <w:b/>
          <w:bCs/>
          <w:sz w:val="22"/>
          <w:szCs w:val="22"/>
        </w:rPr>
        <w:t>Regulatory and systemic constraints</w:t>
      </w:r>
      <w:r w:rsidRPr="00793ACB">
        <w:rPr>
          <w:sz w:val="22"/>
          <w:szCs w:val="22"/>
        </w:rPr>
        <w:t xml:space="preserve"> also present a significant hurdle to modernization. While the National Bank of Ethiopia has introduced strategic plans for financial sector development, the absence of a comprehensive, mandatory "Green Banking Taxonomy" makes it difficult for banks to standardize their environmental reporting. Ethiopia’s active participation in regional climate summits underscores the necessity of aligning local banking practices with continental climate leadership goals [2]; however, without clear, legally binding ESG mandates, there remains a persistent risk of "</w:t>
      </w:r>
      <w:proofErr w:type="spellStart"/>
      <w:r w:rsidRPr="00793ACB">
        <w:rPr>
          <w:sz w:val="22"/>
          <w:szCs w:val="22"/>
        </w:rPr>
        <w:t>greenwashing</w:t>
      </w:r>
      <w:proofErr w:type="spellEnd"/>
      <w:r w:rsidRPr="00793ACB">
        <w:rPr>
          <w:sz w:val="22"/>
          <w:szCs w:val="22"/>
        </w:rPr>
        <w:t>" [9], [10]. This regulatory vacuum allows for the reporting of sustainability benefits without verifiable data, which ultimately hinders the growth of a transparent and accountable green finance market in the capital.</w:t>
      </w:r>
    </w:p>
    <w:p w:rsidR="00793ACB" w:rsidRPr="00793ACB" w:rsidRDefault="00793ACB" w:rsidP="00793ACB">
      <w:pPr>
        <w:pStyle w:val="NormalWeb"/>
        <w:spacing w:before="120" w:beforeAutospacing="0" w:after="0" w:afterAutospacing="0"/>
        <w:jc w:val="both"/>
        <w:rPr>
          <w:sz w:val="22"/>
          <w:szCs w:val="22"/>
        </w:rPr>
      </w:pPr>
      <w:r w:rsidRPr="00793ACB">
        <w:rPr>
          <w:sz w:val="22"/>
          <w:szCs w:val="22"/>
        </w:rPr>
        <w:t xml:space="preserve">Finally, </w:t>
      </w:r>
      <w:r w:rsidRPr="00793ACB">
        <w:rPr>
          <w:b/>
          <w:bCs/>
          <w:sz w:val="22"/>
          <w:szCs w:val="22"/>
        </w:rPr>
        <w:t>financial and market-driven barriers</w:t>
      </w:r>
      <w:r w:rsidRPr="00793ACB">
        <w:rPr>
          <w:sz w:val="22"/>
          <w:szCs w:val="22"/>
        </w:rPr>
        <w:t xml:space="preserve"> remain a persistent concern for conservative banking boards. The high initial capital expenditure required to implement energy-efficient technologies, combined with the perceived higher risk of lending to unproven green startups, often discourages proactive investment. In the current economic climate of Addis Ababa, where liquidity can be tight, many financial institutions continue to prioritize short-term returns from traditional, high-emission sectors over </w:t>
      </w:r>
      <w:r w:rsidRPr="00793ACB">
        <w:rPr>
          <w:sz w:val="22"/>
          <w:szCs w:val="22"/>
        </w:rPr>
        <w:lastRenderedPageBreak/>
        <w:t>the longer-term, albeit more sustainable, gains offered by green finance [4], [7]. This focus on immediate profitability creates a systemic friction that slows the transition toward a climate-resilient banking framework.</w:t>
      </w:r>
    </w:p>
    <w:p w:rsidR="0004290C" w:rsidRPr="00701EB7" w:rsidRDefault="0004290C" w:rsidP="002040A3">
      <w:pPr>
        <w:pStyle w:val="Heading3"/>
        <w:numPr>
          <w:ilvl w:val="1"/>
          <w:numId w:val="9"/>
        </w:numPr>
        <w:spacing w:before="120" w:beforeAutospacing="0" w:after="0" w:afterAutospacing="0"/>
        <w:jc w:val="both"/>
        <w:rPr>
          <w:sz w:val="22"/>
          <w:szCs w:val="22"/>
        </w:rPr>
      </w:pPr>
      <w:r w:rsidRPr="00701EB7">
        <w:rPr>
          <w:sz w:val="22"/>
          <w:szCs w:val="22"/>
        </w:rPr>
        <w:t xml:space="preserve">The Relationship </w:t>
      </w:r>
      <w:r w:rsidR="00F5605C" w:rsidRPr="00701EB7">
        <w:rPr>
          <w:sz w:val="22"/>
          <w:szCs w:val="22"/>
        </w:rPr>
        <w:t>between</w:t>
      </w:r>
      <w:r w:rsidRPr="00701EB7">
        <w:rPr>
          <w:sz w:val="22"/>
          <w:szCs w:val="22"/>
        </w:rPr>
        <w:t xml:space="preserve"> Green Banking and Organizational Performance</w:t>
      </w:r>
    </w:p>
    <w:p w:rsidR="00EE6AC6" w:rsidRPr="00EE6AC6" w:rsidRDefault="00EE6AC6" w:rsidP="002040A3">
      <w:pPr>
        <w:pStyle w:val="NormalWeb"/>
        <w:spacing w:before="120" w:beforeAutospacing="0" w:after="0" w:afterAutospacing="0"/>
        <w:jc w:val="both"/>
        <w:rPr>
          <w:sz w:val="22"/>
          <w:szCs w:val="22"/>
        </w:rPr>
      </w:pPr>
      <w:r w:rsidRPr="00EE6AC6">
        <w:rPr>
          <w:sz w:val="22"/>
          <w:szCs w:val="22"/>
        </w:rPr>
        <w:t>The relationship between green banking initiatives and organizational performance is increasingly viewed as a strategic nexus where environmental responsibility meets financial viability. Empirical evidence suggests that while the initial transition to green frameworks requires significant capital expenditure, the long-term impact on financial profitability, typically measured through Return on Assets (ROA) and Return on Equity (ROE), is substantially positive. In the Ethiopian context, studies using advanced econometric modeling have demonstrated that green financial innovation serves as a robust predictor of enhanced financial performance [7]. By aligning with international sustainability standards, banks in Addis Ababa not only improve their asset quality but also gain access to specialized global climate funds and lower-cost capital, which directly bolsters their bottom line and long-term solvency [7], [10].</w:t>
      </w:r>
    </w:p>
    <w:p w:rsidR="00EE6AC6" w:rsidRPr="00EE6AC6" w:rsidRDefault="00EE6AC6" w:rsidP="000A0015">
      <w:pPr>
        <w:pStyle w:val="NormalWeb"/>
        <w:spacing w:before="120" w:beforeAutospacing="0" w:after="0" w:afterAutospacing="0"/>
        <w:jc w:val="both"/>
        <w:rPr>
          <w:sz w:val="22"/>
          <w:szCs w:val="22"/>
        </w:rPr>
      </w:pPr>
      <w:r w:rsidRPr="00EE6AC6">
        <w:rPr>
          <w:sz w:val="22"/>
          <w:szCs w:val="22"/>
        </w:rPr>
        <w:t>Beyond direct financial metrics, green banking significantly enhances organizational performance through superior operational efficiency. The transition to digital platforms and paperless workflows reduces the cost-to-income ratio by minimizing administrative overhead, manual labor, and physical storage requirements. This modernization, characterized by the rapid growth of mobile and agent banking in Ethiopia, allows institutions to process higher transaction volumes with greater accuracy and lower risk [4], [6]. Furthermore, the implementation of energy-efficient building technologies and green infrastructure reduces recurring utility expenses, allowing banks to reallocate resources toward core business growth and technological innovation [8].</w:t>
      </w:r>
    </w:p>
    <w:p w:rsidR="00EE6AC6" w:rsidRPr="00EE6AC6" w:rsidRDefault="00EE6AC6" w:rsidP="000A0015">
      <w:pPr>
        <w:pStyle w:val="NormalWeb"/>
        <w:spacing w:before="120" w:beforeAutospacing="0" w:after="0" w:afterAutospacing="0"/>
        <w:jc w:val="both"/>
        <w:rPr>
          <w:sz w:val="22"/>
          <w:szCs w:val="22"/>
        </w:rPr>
      </w:pPr>
      <w:r w:rsidRPr="00EE6AC6">
        <w:rPr>
          <w:sz w:val="22"/>
          <w:szCs w:val="22"/>
        </w:rPr>
        <w:t>Finally, the adoption of green banking practices fosters a significant competitive advantage by building reputational capital and institutional resilience. As public and regulatory awareness of climate issues intensifies in Ethiopia, banks that demonstrate genuine climate leadership attract a more loyal customer base and higher-quality human talent. This "green brand equity" is a critical intangible asset that differentiates institutions in a crowded market [1], [9]. Moreover, by integrating sustainability reporting and robust corporate governance, banks are better equipped to navigate shifting regulatory landscapes and mitigate the risk of stranded assets, ensuring that their growth remains both stable and sustainable in an increasingly volatile global economy [9], [10].</w:t>
      </w:r>
    </w:p>
    <w:p w:rsidR="007D28A2" w:rsidRPr="00EE6AC6" w:rsidRDefault="00104A63" w:rsidP="00EE6AC6">
      <w:pPr>
        <w:pStyle w:val="NormalWeb"/>
        <w:numPr>
          <w:ilvl w:val="1"/>
          <w:numId w:val="9"/>
        </w:numPr>
        <w:spacing w:before="120" w:beforeAutospacing="0" w:after="0" w:afterAutospacing="0"/>
        <w:jc w:val="both"/>
        <w:rPr>
          <w:rStyle w:val="Strong"/>
          <w:sz w:val="22"/>
          <w:szCs w:val="22"/>
        </w:rPr>
      </w:pPr>
      <w:r w:rsidRPr="00EE6AC6">
        <w:rPr>
          <w:rStyle w:val="Strong"/>
          <w:sz w:val="22"/>
          <w:szCs w:val="22"/>
        </w:rPr>
        <w:t>Empirical Literature Review</w:t>
      </w:r>
    </w:p>
    <w:p w:rsidR="00EE6AC6" w:rsidRPr="00EE6AC6" w:rsidRDefault="00EE6AC6" w:rsidP="00EE6AC6">
      <w:pPr>
        <w:pStyle w:val="NormalWeb"/>
        <w:spacing w:before="120" w:beforeAutospacing="0" w:after="0" w:afterAutospacing="0"/>
        <w:jc w:val="both"/>
        <w:rPr>
          <w:sz w:val="22"/>
          <w:szCs w:val="22"/>
        </w:rPr>
      </w:pPr>
      <w:r w:rsidRPr="00EE6AC6">
        <w:rPr>
          <w:sz w:val="22"/>
          <w:szCs w:val="22"/>
        </w:rPr>
        <w:t xml:space="preserve">In the Ethiopian context, empirical research highlights a transformative shift toward sustainable financial practices, particularly within the urban banking hub of Addis Ababa. Studies utilizing advanced econometric models, such as ARIMA and ARDL, demonstrate that forecasting green financial innovation serves as a robust predictor of enhanced financial performance in local institutions [7]. For instance, the implementation of green building technologies at the </w:t>
      </w:r>
      <w:proofErr w:type="spellStart"/>
      <w:r w:rsidRPr="00EE6AC6">
        <w:rPr>
          <w:sz w:val="22"/>
          <w:szCs w:val="22"/>
        </w:rPr>
        <w:t>Wegagen</w:t>
      </w:r>
      <w:proofErr w:type="spellEnd"/>
      <w:r w:rsidRPr="00EE6AC6">
        <w:rPr>
          <w:sz w:val="22"/>
          <w:szCs w:val="22"/>
        </w:rPr>
        <w:t xml:space="preserve"> Bank headquarters has provided a localized benchmark for how "greening of operations" reduces long-term overhead and improves resource efficiency [8]. Furthermore, the expansion of digital and agent banking across Ethiopia has been empirically linked to improved operational efficiency, significantly reducing the cost-to-income ratio while simultaneously promoting environmental sustainability through paperless workflows [4], [6].</w:t>
      </w:r>
    </w:p>
    <w:p w:rsidR="00EE6AC6" w:rsidRPr="00EE6AC6" w:rsidRDefault="00EE6AC6" w:rsidP="00EE6AC6">
      <w:pPr>
        <w:pStyle w:val="NormalWeb"/>
        <w:spacing w:before="120" w:beforeAutospacing="0" w:after="0" w:afterAutospacing="0"/>
        <w:jc w:val="both"/>
        <w:rPr>
          <w:sz w:val="22"/>
          <w:szCs w:val="22"/>
        </w:rPr>
      </w:pPr>
      <w:r w:rsidRPr="00EE6AC6">
        <w:rPr>
          <w:sz w:val="22"/>
          <w:szCs w:val="22"/>
        </w:rPr>
        <w:t xml:space="preserve">Beyond operational metrics, the literature in Ethiopia emphasizes the critical role of institutional knowledge and strategic planning in the success of green initiatives. Recent assessments of sustainability practices in recently constructed commercial buildings in Addis Ababa suggest that while the physical infrastructure is modernizing, there remains a significant need for specialized technical expertise to fully realize energy-saving potential [5]. Strategic directives from the National Bank of Ethiopia have further catalyzed this movement, positioning green banking not merely as a corporate social responsibility (CSR) activity but as a core stabilizing mechanism for the financial sector [2]. These studies collectively suggest </w:t>
      </w:r>
      <w:r w:rsidRPr="00EE6AC6">
        <w:rPr>
          <w:sz w:val="22"/>
          <w:szCs w:val="22"/>
        </w:rPr>
        <w:lastRenderedPageBreak/>
        <w:t>that for Ethiopian banks, the integration of environmental risk assessments is essential for protecting loan portfolios from the country’s specific climate-related economic shocks [3], [7].</w:t>
      </w:r>
    </w:p>
    <w:p w:rsidR="00EE6AC6" w:rsidRPr="00EE6AC6" w:rsidRDefault="00EE6AC6" w:rsidP="00EE6AC6">
      <w:pPr>
        <w:pStyle w:val="NormalWeb"/>
        <w:spacing w:before="120" w:beforeAutospacing="0" w:after="0" w:afterAutospacing="0"/>
        <w:jc w:val="both"/>
        <w:rPr>
          <w:sz w:val="22"/>
          <w:szCs w:val="22"/>
        </w:rPr>
      </w:pPr>
      <w:r w:rsidRPr="00EE6AC6">
        <w:rPr>
          <w:sz w:val="22"/>
          <w:szCs w:val="22"/>
        </w:rPr>
        <w:t>The relationship between green banking and organizational resilience in Ethiopia is also reflected in the quality of governance and reporting. Research indicates that banks adopting higher standards of sustainability reporting and corporate governance tend to see improved firm value and better alignment with international investment standards [9]. However, empirical evidence also points to a persistent gap between the adoption of digital innovations and the formalization of green credit policies. While the "greening of operations" is well-underway due to digital transformat</w:t>
      </w:r>
      <w:r>
        <w:rPr>
          <w:sz w:val="22"/>
          <w:szCs w:val="22"/>
        </w:rPr>
        <w:t xml:space="preserve">ion, the "greening of products" </w:t>
      </w:r>
      <w:r w:rsidRPr="00EE6AC6">
        <w:rPr>
          <w:sz w:val="22"/>
          <w:szCs w:val="22"/>
        </w:rPr>
        <w:t>such as sp</w:t>
      </w:r>
      <w:r>
        <w:rPr>
          <w:sz w:val="22"/>
          <w:szCs w:val="22"/>
        </w:rPr>
        <w:t xml:space="preserve">ecialized environmental lending </w:t>
      </w:r>
      <w:r w:rsidRPr="00EE6AC6">
        <w:rPr>
          <w:sz w:val="22"/>
          <w:szCs w:val="22"/>
        </w:rPr>
        <w:t>is still in its nascent stages, requiring more robust regulatory frameworks to standardize the impact across the industry [7], [10].</w:t>
      </w:r>
    </w:p>
    <w:p w:rsidR="00EE6AC6" w:rsidRPr="00EE6AC6" w:rsidRDefault="00EE6AC6" w:rsidP="00EE6AC6">
      <w:pPr>
        <w:pStyle w:val="NormalWeb"/>
        <w:spacing w:before="120" w:beforeAutospacing="0" w:after="0" w:afterAutospacing="0"/>
        <w:jc w:val="both"/>
        <w:rPr>
          <w:sz w:val="22"/>
          <w:szCs w:val="22"/>
        </w:rPr>
      </w:pPr>
      <w:r w:rsidRPr="00EE6AC6">
        <w:rPr>
          <w:sz w:val="22"/>
          <w:szCs w:val="22"/>
        </w:rPr>
        <w:t>Across the broader African continent, empirical studies reflect a growing emphasis on the nexus between ESG (Environmental, Social, and Governance) disclosure and financial risk management. Research covering Middle Eastern and African banks suggests that high-quality ESG disclosure is a critical factor in mitigating banking risk and enhancing market stability [10]. In Kenya, studies conducted at the Nairobi Securities Exchange have shown that sustainability reporting and strong corporate governance are directly correlated with increased firm value, suggesting that African markets are increasingly rewarding transparency and climate leadership [9]. These regional findings underscore that the transition to green banking is a continental imperative, driven by the need to build health and economic resilience in the face of climate change [2].</w:t>
      </w:r>
    </w:p>
    <w:p w:rsidR="00EE6AC6" w:rsidRPr="00EE6AC6" w:rsidRDefault="00EE6AC6" w:rsidP="0001737B">
      <w:pPr>
        <w:pStyle w:val="NormalWeb"/>
        <w:spacing w:before="120" w:beforeAutospacing="0" w:after="0" w:afterAutospacing="0"/>
        <w:jc w:val="both"/>
        <w:rPr>
          <w:sz w:val="22"/>
          <w:szCs w:val="22"/>
        </w:rPr>
      </w:pPr>
      <w:r w:rsidRPr="00EE6AC6">
        <w:rPr>
          <w:sz w:val="22"/>
          <w:szCs w:val="22"/>
        </w:rPr>
        <w:t>Globally, the impact of banking systems on environmental sustainability has been studied as an overarching theme across developing, emerging, and developed economies. Global empirical evidence suggests that financial institutions act as powerful intermediaries that can either accelerate or hinder ecological health depending on their credit-granting criteria [3]. In developed markets, the integration of green banking has moved toward sophisticated "Green AI" and automated environmental risk rating systems that allow for real-time tracking of carbon footprints [8]. These international studies confirm t</w:t>
      </w:r>
      <w:r>
        <w:rPr>
          <w:sz w:val="22"/>
          <w:szCs w:val="22"/>
        </w:rPr>
        <w:t xml:space="preserve">hat while the specific barriers </w:t>
      </w:r>
      <w:r w:rsidRPr="00EE6AC6">
        <w:rPr>
          <w:sz w:val="22"/>
          <w:szCs w:val="22"/>
        </w:rPr>
        <w:t>such as technological gap</w:t>
      </w:r>
      <w:r>
        <w:rPr>
          <w:sz w:val="22"/>
          <w:szCs w:val="22"/>
        </w:rPr>
        <w:t xml:space="preserve">s or liquidity constraints </w:t>
      </w:r>
      <w:r w:rsidRPr="00EE6AC6">
        <w:rPr>
          <w:sz w:val="22"/>
          <w:szCs w:val="22"/>
        </w:rPr>
        <w:t>may vary by region, the fundamental relationship remains constant: banks that successfully integrate green innovation tend to achieve superior long-term organizational performance and lower systemic risk [4], [10].</w:t>
      </w:r>
    </w:p>
    <w:p w:rsidR="00104A63" w:rsidRDefault="00104A63" w:rsidP="0001737B">
      <w:pPr>
        <w:pStyle w:val="NormalWeb"/>
        <w:numPr>
          <w:ilvl w:val="1"/>
          <w:numId w:val="9"/>
        </w:numPr>
        <w:spacing w:before="120" w:beforeAutospacing="0" w:after="0" w:afterAutospacing="0"/>
        <w:jc w:val="both"/>
        <w:rPr>
          <w:rStyle w:val="Strong"/>
          <w:sz w:val="22"/>
          <w:szCs w:val="22"/>
        </w:rPr>
      </w:pPr>
      <w:r w:rsidRPr="00996184">
        <w:rPr>
          <w:rStyle w:val="Strong"/>
          <w:sz w:val="22"/>
          <w:szCs w:val="22"/>
        </w:rPr>
        <w:t>Research Gap</w:t>
      </w:r>
    </w:p>
    <w:p w:rsidR="0001737B" w:rsidRPr="0001737B" w:rsidRDefault="0001737B" w:rsidP="0001737B">
      <w:pPr>
        <w:pStyle w:val="NormalWeb"/>
        <w:spacing w:before="120" w:beforeAutospacing="0" w:after="0" w:afterAutospacing="0"/>
        <w:jc w:val="both"/>
        <w:rPr>
          <w:sz w:val="22"/>
          <w:szCs w:val="22"/>
        </w:rPr>
      </w:pPr>
      <w:r w:rsidRPr="0001737B">
        <w:rPr>
          <w:sz w:val="22"/>
          <w:szCs w:val="22"/>
        </w:rPr>
        <w:t xml:space="preserve">Despite the growing body of literature on sustainable finance, a significant </w:t>
      </w:r>
      <w:r w:rsidRPr="00A525A2">
        <w:rPr>
          <w:bCs/>
          <w:sz w:val="22"/>
          <w:szCs w:val="22"/>
        </w:rPr>
        <w:t>empirical and contextual gap</w:t>
      </w:r>
      <w:r w:rsidRPr="0001737B">
        <w:rPr>
          <w:sz w:val="22"/>
          <w:szCs w:val="22"/>
        </w:rPr>
        <w:t xml:space="preserve"> remains regarding the integrated impact of green banking in Ethiopia. Most existing studies in the region tend to focus on isolated components, such as the adoption of electronic banking or corporate social responsibility (CSR), without establishing a comprehensive causal link between internal operational "greening," external environmental sustainability, and holistic organizational performance [1], [7]. While international research provides robust frameworks, these models often fail to account for the unique macroeconomic environment of Addis Ababa, where liquidity constraints and specific regulatory transitions under the National Bank of Ethiopia create a distinct set of operational variables that have not been sufficiently synthesized in a single study [2], [4].</w:t>
      </w:r>
    </w:p>
    <w:p w:rsidR="0001737B" w:rsidRPr="0001737B" w:rsidRDefault="0001737B" w:rsidP="0001737B">
      <w:pPr>
        <w:pStyle w:val="NormalWeb"/>
        <w:spacing w:before="120" w:beforeAutospacing="0" w:after="0" w:afterAutospacing="0"/>
        <w:jc w:val="both"/>
        <w:rPr>
          <w:sz w:val="22"/>
          <w:szCs w:val="22"/>
        </w:rPr>
      </w:pPr>
      <w:r w:rsidRPr="0001737B">
        <w:rPr>
          <w:sz w:val="22"/>
          <w:szCs w:val="22"/>
        </w:rPr>
        <w:t xml:space="preserve">Furthermore, there is a prominent </w:t>
      </w:r>
      <w:r w:rsidRPr="00A525A2">
        <w:rPr>
          <w:bCs/>
          <w:sz w:val="22"/>
          <w:szCs w:val="22"/>
        </w:rPr>
        <w:t>methodological and analytical gap</w:t>
      </w:r>
      <w:r w:rsidRPr="0001737B">
        <w:rPr>
          <w:sz w:val="22"/>
          <w:szCs w:val="22"/>
        </w:rPr>
        <w:t xml:space="preserve"> in how climate-related financial risks are assessed within the Ethiopian banking sector. While theoretical literature emphasizes the importance of environmental risk assessment (ERA), there is a lack of empirical evidence demonstrating how these assessments practically influence the mitigation of climate-related credit risks in local commercial banks [3], [10]. Existing research often relies on qualitative descriptions of green initiatives rather than quantitative, multi-regression analyses that measure the specific effect of environmental sustainability on financial metrics like ROA or ROE. This study seeks to bridge this gap by applying a rigorous quantitative approach to evaluate how specific green practices act as determinants of both ecological and financial success [7], [8].</w:t>
      </w:r>
    </w:p>
    <w:p w:rsidR="0001737B" w:rsidRPr="0001737B" w:rsidRDefault="0001737B" w:rsidP="0001737B">
      <w:pPr>
        <w:pStyle w:val="NormalWeb"/>
        <w:spacing w:before="120" w:beforeAutospacing="0" w:after="0" w:afterAutospacing="0"/>
        <w:jc w:val="both"/>
        <w:rPr>
          <w:sz w:val="22"/>
          <w:szCs w:val="22"/>
        </w:rPr>
      </w:pPr>
      <w:r w:rsidRPr="0001737B">
        <w:rPr>
          <w:sz w:val="22"/>
          <w:szCs w:val="22"/>
        </w:rPr>
        <w:lastRenderedPageBreak/>
        <w:t xml:space="preserve">Finally, a </w:t>
      </w:r>
      <w:r w:rsidRPr="00A525A2">
        <w:rPr>
          <w:bCs/>
          <w:sz w:val="22"/>
          <w:szCs w:val="22"/>
        </w:rPr>
        <w:t>strategic and institutional gap</w:t>
      </w:r>
      <w:r w:rsidRPr="0001737B">
        <w:rPr>
          <w:sz w:val="22"/>
          <w:szCs w:val="22"/>
        </w:rPr>
        <w:t xml:space="preserve"> exists concerning the barriers to green banking implementation in developing East African economies. Most systematic reviews highlight general challenges such as technological or regulatory hurdles, yet there is limited research that specifically explores the interplay between "</w:t>
      </w:r>
      <w:proofErr w:type="spellStart"/>
      <w:r w:rsidRPr="0001737B">
        <w:rPr>
          <w:sz w:val="22"/>
          <w:szCs w:val="22"/>
        </w:rPr>
        <w:t>greenwashing</w:t>
      </w:r>
      <w:proofErr w:type="spellEnd"/>
      <w:r w:rsidRPr="0001737B">
        <w:rPr>
          <w:sz w:val="22"/>
          <w:szCs w:val="22"/>
        </w:rPr>
        <w:t>" risks, institutional knowledge management, and the lack of a standardized green taxonomy in the Ethiopian context [6], [9]. Previous studies have not fully explored how the absence of mandatory ESG disclosure policies specifically hinders the transparency and growth of the local green finance market [10]. By identifying these localized barriers and their impact on bank performance, this research intends to provide actionable insights that move beyond general theory to address the specific structural challenges faced by banks in Addis Ababa.</w:t>
      </w:r>
    </w:p>
    <w:p w:rsidR="00104A63" w:rsidRPr="00004936" w:rsidRDefault="00104A63" w:rsidP="00004936">
      <w:pPr>
        <w:pStyle w:val="NormalWeb"/>
        <w:numPr>
          <w:ilvl w:val="1"/>
          <w:numId w:val="9"/>
        </w:numPr>
        <w:spacing w:before="120" w:beforeAutospacing="0" w:after="0" w:afterAutospacing="0"/>
        <w:jc w:val="both"/>
        <w:rPr>
          <w:rStyle w:val="Strong"/>
          <w:sz w:val="22"/>
          <w:szCs w:val="22"/>
        </w:rPr>
      </w:pPr>
      <w:r w:rsidRPr="00004936">
        <w:rPr>
          <w:rStyle w:val="Strong"/>
          <w:sz w:val="22"/>
          <w:szCs w:val="22"/>
        </w:rPr>
        <w:t>Conceptual Framework</w:t>
      </w:r>
    </w:p>
    <w:p w:rsidR="00004936" w:rsidRDefault="00004936" w:rsidP="00004936">
      <w:pPr>
        <w:pStyle w:val="NormalWeb"/>
        <w:spacing w:before="120" w:beforeAutospacing="0" w:after="0" w:afterAutospacing="0"/>
        <w:jc w:val="both"/>
        <w:rPr>
          <w:sz w:val="22"/>
          <w:szCs w:val="22"/>
        </w:rPr>
      </w:pPr>
      <w:r>
        <w:rPr>
          <w:sz w:val="22"/>
          <w:szCs w:val="22"/>
        </w:rPr>
        <w:t>In this study</w:t>
      </w:r>
      <w:r w:rsidRPr="00004936">
        <w:rPr>
          <w:sz w:val="22"/>
          <w:szCs w:val="22"/>
        </w:rPr>
        <w:t xml:space="preserve">, </w:t>
      </w:r>
      <w:r w:rsidRPr="00004936">
        <w:rPr>
          <w:bCs/>
          <w:sz w:val="22"/>
          <w:szCs w:val="22"/>
        </w:rPr>
        <w:t>Organizational Performance</w:t>
      </w:r>
      <w:r w:rsidRPr="00004936">
        <w:rPr>
          <w:sz w:val="22"/>
          <w:szCs w:val="22"/>
        </w:rPr>
        <w:t xml:space="preserve"> serves as the primary dependent variable, representing the ultimate institutional outcome of the bank’s strategic and operational choices. It is evaluated through a multidimensional lens that includes financial profitability indicators, such as Return on Assets (ROA) and Return on Equity (ROE), as well as non-financial metrics like operational efficiency, market share, and reputational capital [7], [9]. The framework posits that the successful implementation of green banking initiatives and environmental risk assessments directly enhances performance by reducing long-term credit risks and lowering operational costs through digitalization [4], [10]. Conversely, institutional challenges and barriers act as significant constraints that can negatively influence these outcomes, making organizational performance the critical barometer for measuring the success of a bank’s transition toward a sustainable and climate-resilient business model in the Addis Ababa financial sector [6], [7].</w:t>
      </w:r>
    </w:p>
    <w:p w:rsidR="00A22E2E" w:rsidRPr="00A22E2E" w:rsidRDefault="00A22E2E" w:rsidP="00A22E2E">
      <w:pPr>
        <w:pStyle w:val="NormalWeb"/>
        <w:spacing w:before="120" w:beforeAutospacing="0" w:after="0" w:afterAutospacing="0"/>
        <w:jc w:val="both"/>
        <w:rPr>
          <w:sz w:val="22"/>
          <w:szCs w:val="22"/>
        </w:rPr>
      </w:pPr>
      <w:r w:rsidRPr="00A22E2E">
        <w:rPr>
          <w:sz w:val="22"/>
          <w:szCs w:val="22"/>
        </w:rPr>
        <w:t>The conceptual framework below illustrates the relationship between the five independent variables and the primary dependent variable, Organizational Performance.</w:t>
      </w:r>
    </w:p>
    <w:p w:rsidR="00004936" w:rsidRPr="00004936" w:rsidRDefault="00AD22F5" w:rsidP="00004936">
      <w:pPr>
        <w:pStyle w:val="NormalWeb"/>
        <w:spacing w:before="120" w:beforeAutospacing="0" w:after="0" w:afterAutospacing="0"/>
        <w:jc w:val="both"/>
        <w:rPr>
          <w:rStyle w:val="Strong"/>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004936">
        <w:rPr>
          <w:noProof/>
        </w:rPr>
        <w:drawing>
          <wp:inline distT="0" distB="0" distL="0" distR="0">
            <wp:extent cx="5223502" cy="34671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225840" cy="3468652"/>
                    </a:xfrm>
                    <a:prstGeom prst="rect">
                      <a:avLst/>
                    </a:prstGeom>
                    <a:noFill/>
                  </pic:spPr>
                </pic:pic>
              </a:graphicData>
            </a:graphic>
          </wp:inline>
        </w:drawing>
      </w:r>
    </w:p>
    <w:p w:rsidR="00004936" w:rsidRPr="00004936" w:rsidRDefault="00004936" w:rsidP="00004936">
      <w:pPr>
        <w:tabs>
          <w:tab w:val="left" w:pos="2025"/>
        </w:tabs>
        <w:spacing w:after="0"/>
        <w:jc w:val="center"/>
        <w:rPr>
          <w:rFonts w:ascii="Times New Roman" w:eastAsia="Times New Roman" w:hAnsi="Times New Roman" w:cs="Times New Roman"/>
        </w:rPr>
      </w:pPr>
      <w:r w:rsidRPr="00836304">
        <w:rPr>
          <w:rFonts w:ascii="Times New Roman" w:hAnsi="Times New Roman" w:cs="Times New Roman"/>
        </w:rPr>
        <w:t xml:space="preserve">Figure 1: </w:t>
      </w:r>
      <w:r w:rsidRPr="0076710D">
        <w:rPr>
          <w:rFonts w:ascii="Times New Roman" w:eastAsia="Times New Roman" w:hAnsi="Times New Roman" w:cs="Times New Roman"/>
        </w:rPr>
        <w:t>conceptual framework</w:t>
      </w:r>
      <w:r w:rsidRPr="00836304">
        <w:rPr>
          <w:rFonts w:ascii="Times New Roman" w:eastAsia="Times New Roman" w:hAnsi="Times New Roman" w:cs="Times New Roman"/>
        </w:rPr>
        <w:t xml:space="preserve"> of the study</w:t>
      </w:r>
      <w:r>
        <w:rPr>
          <w:rFonts w:ascii="Times New Roman" w:eastAsia="Times New Roman" w:hAnsi="Times New Roman" w:cs="Times New Roman"/>
        </w:rPr>
        <w:t xml:space="preserve"> </w:t>
      </w:r>
      <w:proofErr w:type="gramStart"/>
      <w:r>
        <w:rPr>
          <w:rFonts w:ascii="Times New Roman" w:eastAsia="Times New Roman" w:hAnsi="Times New Roman" w:cs="Times New Roman"/>
        </w:rPr>
        <w:t>(  Developed</w:t>
      </w:r>
      <w:proofErr w:type="gramEnd"/>
      <w:r>
        <w:rPr>
          <w:rFonts w:ascii="Times New Roman" w:eastAsia="Times New Roman" w:hAnsi="Times New Roman" w:cs="Times New Roman"/>
        </w:rPr>
        <w:t xml:space="preserve"> by researcher from literature) </w:t>
      </w:r>
    </w:p>
    <w:p w:rsidR="00A22E2E" w:rsidRPr="00A22E2E" w:rsidRDefault="00A22E2E" w:rsidP="00A22E2E">
      <w:pPr>
        <w:pStyle w:val="NormalWeb"/>
        <w:spacing w:before="120" w:beforeAutospacing="0" w:after="0" w:afterAutospacing="0"/>
        <w:jc w:val="both"/>
        <w:rPr>
          <w:sz w:val="22"/>
          <w:szCs w:val="22"/>
        </w:rPr>
      </w:pPr>
      <w:r w:rsidRPr="00A22E2E">
        <w:rPr>
          <w:sz w:val="22"/>
          <w:szCs w:val="22"/>
        </w:rPr>
        <w:t xml:space="preserve">The figure </w:t>
      </w:r>
      <w:r>
        <w:rPr>
          <w:sz w:val="22"/>
          <w:szCs w:val="22"/>
        </w:rPr>
        <w:t xml:space="preserve">1 above </w:t>
      </w:r>
      <w:r w:rsidRPr="00A22E2E">
        <w:rPr>
          <w:sz w:val="22"/>
          <w:szCs w:val="22"/>
        </w:rPr>
        <w:t>shows how the strategic and operational components of green banking directly influence the performance of commercial banks in Addis Ababa.</w:t>
      </w:r>
    </w:p>
    <w:p w:rsidR="00A22E2E" w:rsidRPr="00A22E2E" w:rsidRDefault="00A22E2E" w:rsidP="00A22E2E">
      <w:pPr>
        <w:pStyle w:val="NormalWeb"/>
        <w:numPr>
          <w:ilvl w:val="0"/>
          <w:numId w:val="17"/>
        </w:numPr>
        <w:spacing w:before="120" w:beforeAutospacing="0" w:after="0" w:afterAutospacing="0"/>
        <w:jc w:val="both"/>
        <w:rPr>
          <w:sz w:val="22"/>
          <w:szCs w:val="22"/>
        </w:rPr>
      </w:pPr>
      <w:r w:rsidRPr="00A22E2E">
        <w:rPr>
          <w:b/>
          <w:bCs/>
          <w:sz w:val="22"/>
          <w:szCs w:val="22"/>
        </w:rPr>
        <w:lastRenderedPageBreak/>
        <w:t>Independent Variables (IV):</w:t>
      </w:r>
      <w:r w:rsidRPr="00A22E2E">
        <w:rPr>
          <w:sz w:val="22"/>
          <w:szCs w:val="22"/>
        </w:rPr>
        <w:t xml:space="preserve"> These include the operational adoption of green practices, the bank's own level of environmental sustainability, specific green initiatives, and the robustness of environmental risk assessments. Additionally, the framework recognizes that institutional barriers and challenges act as critical independent factors that can negatively impact or constrain organizational outcomes.</w:t>
      </w:r>
    </w:p>
    <w:p w:rsidR="00A22E2E" w:rsidRPr="00A22E2E" w:rsidRDefault="00A22E2E" w:rsidP="00A22E2E">
      <w:pPr>
        <w:pStyle w:val="NormalWeb"/>
        <w:numPr>
          <w:ilvl w:val="0"/>
          <w:numId w:val="17"/>
        </w:numPr>
        <w:spacing w:before="120" w:beforeAutospacing="0" w:after="0" w:afterAutospacing="0"/>
        <w:jc w:val="both"/>
        <w:rPr>
          <w:sz w:val="22"/>
          <w:szCs w:val="22"/>
        </w:rPr>
      </w:pPr>
      <w:r w:rsidRPr="00A22E2E">
        <w:rPr>
          <w:b/>
          <w:bCs/>
          <w:sz w:val="22"/>
          <w:szCs w:val="22"/>
        </w:rPr>
        <w:t>Dependent Variable (DV):</w:t>
      </w:r>
      <w:r w:rsidRPr="00A22E2E">
        <w:rPr>
          <w:sz w:val="22"/>
          <w:szCs w:val="22"/>
        </w:rPr>
        <w:t xml:space="preserve"> </w:t>
      </w:r>
      <w:r w:rsidRPr="00A22E2E">
        <w:rPr>
          <w:b/>
          <w:bCs/>
          <w:sz w:val="22"/>
          <w:szCs w:val="22"/>
        </w:rPr>
        <w:t>Organizational Performance</w:t>
      </w:r>
      <w:r w:rsidRPr="00A22E2E">
        <w:rPr>
          <w:sz w:val="22"/>
          <w:szCs w:val="22"/>
        </w:rPr>
        <w:t xml:space="preserve"> is the central outcome measured in this study. It reflects the cumulative effect of the independent variables on the bank's financial health (Profitability, ROA/ROE) and its operational efficiency.</w:t>
      </w:r>
    </w:p>
    <w:p w:rsidR="00A22E2E" w:rsidRPr="00A22E2E" w:rsidRDefault="00A22E2E" w:rsidP="00A22E2E">
      <w:pPr>
        <w:pStyle w:val="NormalWeb"/>
        <w:spacing w:before="120" w:beforeAutospacing="0" w:after="0" w:afterAutospacing="0"/>
        <w:jc w:val="both"/>
        <w:rPr>
          <w:sz w:val="22"/>
          <w:szCs w:val="22"/>
        </w:rPr>
      </w:pPr>
      <w:r w:rsidRPr="00A22E2E">
        <w:rPr>
          <w:sz w:val="22"/>
          <w:szCs w:val="22"/>
        </w:rPr>
        <w:t>The arrows in the diagram signify the hypothesized direct impact of each independent variable on the bank's ability to achieve sustainable growth, reduce costs, and manage climate-related financial risks within the Ethiopian banking sector.</w:t>
      </w:r>
    </w:p>
    <w:p w:rsidR="00104A63" w:rsidRPr="00A22E2E" w:rsidRDefault="00104A63" w:rsidP="00A22E2E">
      <w:pPr>
        <w:pStyle w:val="NormalWeb"/>
        <w:numPr>
          <w:ilvl w:val="1"/>
          <w:numId w:val="9"/>
        </w:numPr>
        <w:spacing w:before="120" w:beforeAutospacing="0" w:after="0" w:afterAutospacing="0"/>
        <w:jc w:val="both"/>
        <w:rPr>
          <w:sz w:val="22"/>
          <w:szCs w:val="22"/>
        </w:rPr>
      </w:pPr>
      <w:r w:rsidRPr="00A22E2E">
        <w:rPr>
          <w:rStyle w:val="Strong"/>
          <w:sz w:val="22"/>
          <w:szCs w:val="22"/>
        </w:rPr>
        <w:t>Hypotheses of the Study</w:t>
      </w:r>
    </w:p>
    <w:p w:rsidR="00A22E2E" w:rsidRPr="00A22E2E" w:rsidRDefault="00A22E2E" w:rsidP="00A22E2E">
      <w:pPr>
        <w:pStyle w:val="NormalWeb"/>
        <w:spacing w:before="120" w:beforeAutospacing="0" w:after="0" w:afterAutospacing="0"/>
        <w:jc w:val="both"/>
        <w:rPr>
          <w:sz w:val="22"/>
          <w:szCs w:val="22"/>
        </w:rPr>
      </w:pPr>
      <w:r w:rsidRPr="00A22E2E">
        <w:rPr>
          <w:sz w:val="22"/>
          <w:szCs w:val="22"/>
        </w:rPr>
        <w:t>Based on the conceptual framework and the review of existing literature, the following hypotheses have been developed to examine the relationships between green banking practices, institutional constraints, and organizational performance within the context of commercial banks in Addis Ababa.</w:t>
      </w:r>
    </w:p>
    <w:p w:rsidR="00A22E2E" w:rsidRDefault="00A22E2E" w:rsidP="00A22E2E">
      <w:pPr>
        <w:pStyle w:val="NormalWeb"/>
        <w:spacing w:before="120" w:beforeAutospacing="0" w:after="0" w:afterAutospacing="0"/>
        <w:jc w:val="both"/>
        <w:rPr>
          <w:sz w:val="22"/>
          <w:szCs w:val="22"/>
        </w:rPr>
      </w:pPr>
      <w:r w:rsidRPr="00A22E2E">
        <w:rPr>
          <w:b/>
          <w:bCs/>
          <w:sz w:val="22"/>
          <w:szCs w:val="22"/>
        </w:rPr>
        <w:t>H</w:t>
      </w:r>
      <w:r w:rsidRPr="00A22E2E">
        <w:rPr>
          <w:b/>
          <w:bCs/>
          <w:sz w:val="22"/>
          <w:szCs w:val="22"/>
          <w:vertAlign w:val="subscript"/>
        </w:rPr>
        <w:t>1</w:t>
      </w:r>
      <w:r w:rsidRPr="00A22E2E">
        <w:rPr>
          <w:b/>
          <w:bCs/>
          <w:sz w:val="22"/>
          <w:szCs w:val="22"/>
        </w:rPr>
        <w:t>: Green banking adoption has a significant positive effect on organizational performance.</w:t>
      </w:r>
      <w:r w:rsidRPr="00A22E2E">
        <w:rPr>
          <w:sz w:val="22"/>
          <w:szCs w:val="22"/>
        </w:rPr>
        <w:t xml:space="preserve"> </w:t>
      </w:r>
    </w:p>
    <w:p w:rsidR="00A22E2E" w:rsidRPr="00A22E2E" w:rsidRDefault="00A22E2E" w:rsidP="00A22E2E">
      <w:pPr>
        <w:pStyle w:val="NormalWeb"/>
        <w:spacing w:before="120" w:beforeAutospacing="0" w:after="0" w:afterAutospacing="0"/>
        <w:jc w:val="both"/>
        <w:rPr>
          <w:sz w:val="22"/>
          <w:szCs w:val="22"/>
        </w:rPr>
      </w:pPr>
      <w:r w:rsidRPr="00A22E2E">
        <w:rPr>
          <w:sz w:val="22"/>
          <w:szCs w:val="22"/>
        </w:rPr>
        <w:t>This hypothesis posits that the transition to green financing, paperless banking, and energy-efficient infrastructure directly enhances the bank's financial and operational metrics by reducing long-term costs and improving asset quality [1], [7].</w:t>
      </w:r>
    </w:p>
    <w:p w:rsidR="00A22E2E" w:rsidRDefault="00A22E2E" w:rsidP="00A22E2E">
      <w:pPr>
        <w:pStyle w:val="NormalWeb"/>
        <w:spacing w:before="120" w:beforeAutospacing="0" w:after="0" w:afterAutospacing="0"/>
        <w:jc w:val="both"/>
        <w:rPr>
          <w:b/>
          <w:bCs/>
          <w:sz w:val="22"/>
          <w:szCs w:val="22"/>
        </w:rPr>
      </w:pPr>
      <w:r w:rsidRPr="00A22E2E">
        <w:rPr>
          <w:b/>
          <w:bCs/>
          <w:sz w:val="22"/>
          <w:szCs w:val="22"/>
        </w:rPr>
        <w:t>H</w:t>
      </w:r>
      <w:r w:rsidRPr="00A22E2E">
        <w:rPr>
          <w:b/>
          <w:bCs/>
          <w:sz w:val="22"/>
          <w:szCs w:val="22"/>
          <w:vertAlign w:val="subscript"/>
        </w:rPr>
        <w:t>2</w:t>
      </w:r>
      <w:r w:rsidRPr="00A22E2E">
        <w:rPr>
          <w:b/>
          <w:bCs/>
          <w:sz w:val="22"/>
          <w:szCs w:val="22"/>
        </w:rPr>
        <w:t xml:space="preserve">: Environmental sustainability initiatives have a significant positive effect on organizational </w:t>
      </w:r>
    </w:p>
    <w:p w:rsidR="00A22E2E" w:rsidRDefault="00A22E2E" w:rsidP="00A22E2E">
      <w:pPr>
        <w:pStyle w:val="NormalWeb"/>
        <w:spacing w:before="120" w:beforeAutospacing="0" w:after="0" w:afterAutospacing="0"/>
        <w:jc w:val="both"/>
        <w:rPr>
          <w:sz w:val="22"/>
          <w:szCs w:val="22"/>
        </w:rPr>
      </w:pPr>
      <w:r>
        <w:rPr>
          <w:b/>
          <w:bCs/>
          <w:sz w:val="22"/>
          <w:szCs w:val="22"/>
        </w:rPr>
        <w:t xml:space="preserve">      </w:t>
      </w:r>
      <w:proofErr w:type="gramStart"/>
      <w:r w:rsidRPr="00A22E2E">
        <w:rPr>
          <w:b/>
          <w:bCs/>
          <w:sz w:val="22"/>
          <w:szCs w:val="22"/>
        </w:rPr>
        <w:t>performance</w:t>
      </w:r>
      <w:proofErr w:type="gramEnd"/>
      <w:r w:rsidRPr="00A22E2E">
        <w:rPr>
          <w:b/>
          <w:bCs/>
          <w:sz w:val="22"/>
          <w:szCs w:val="22"/>
        </w:rPr>
        <w:t>.</w:t>
      </w:r>
      <w:r w:rsidRPr="00A22E2E">
        <w:rPr>
          <w:sz w:val="22"/>
          <w:szCs w:val="22"/>
        </w:rPr>
        <w:t xml:space="preserve"> </w:t>
      </w:r>
    </w:p>
    <w:p w:rsidR="00A22E2E" w:rsidRPr="00A22E2E" w:rsidRDefault="00A22E2E" w:rsidP="00A22E2E">
      <w:pPr>
        <w:pStyle w:val="NormalWeb"/>
        <w:spacing w:before="120" w:beforeAutospacing="0" w:after="0" w:afterAutospacing="0"/>
        <w:jc w:val="both"/>
        <w:rPr>
          <w:sz w:val="22"/>
          <w:szCs w:val="22"/>
        </w:rPr>
      </w:pPr>
      <w:r w:rsidRPr="00A22E2E">
        <w:rPr>
          <w:sz w:val="22"/>
          <w:szCs w:val="22"/>
        </w:rPr>
        <w:t>This hypothesis suggests that a bank’s internal commitment to carbon footprint reduction and resource efficiency creates reputational capital and operational savings that lead to higher profitability (ROA/ROE) [3], [5].</w:t>
      </w:r>
    </w:p>
    <w:p w:rsidR="00A22E2E" w:rsidRDefault="00A22E2E" w:rsidP="00A22E2E">
      <w:pPr>
        <w:pStyle w:val="NormalWeb"/>
        <w:spacing w:before="120" w:beforeAutospacing="0" w:after="0" w:afterAutospacing="0"/>
        <w:jc w:val="both"/>
        <w:rPr>
          <w:b/>
          <w:bCs/>
          <w:sz w:val="22"/>
          <w:szCs w:val="22"/>
        </w:rPr>
      </w:pPr>
      <w:r w:rsidRPr="00A22E2E">
        <w:rPr>
          <w:b/>
          <w:bCs/>
          <w:sz w:val="22"/>
          <w:szCs w:val="22"/>
        </w:rPr>
        <w:t>H</w:t>
      </w:r>
      <w:r w:rsidRPr="00A22E2E">
        <w:rPr>
          <w:b/>
          <w:bCs/>
          <w:sz w:val="22"/>
          <w:szCs w:val="22"/>
          <w:vertAlign w:val="subscript"/>
        </w:rPr>
        <w:t>3</w:t>
      </w:r>
      <w:r w:rsidRPr="00A22E2E">
        <w:rPr>
          <w:b/>
          <w:bCs/>
          <w:sz w:val="22"/>
          <w:szCs w:val="22"/>
        </w:rPr>
        <w:t xml:space="preserve">: Targeted green banking initiatives have a significant positive effect on organizational </w:t>
      </w:r>
    </w:p>
    <w:p w:rsidR="00A22E2E" w:rsidRDefault="00A22E2E" w:rsidP="00A22E2E">
      <w:pPr>
        <w:pStyle w:val="NormalWeb"/>
        <w:spacing w:before="120" w:beforeAutospacing="0" w:after="0" w:afterAutospacing="0"/>
        <w:jc w:val="both"/>
        <w:rPr>
          <w:sz w:val="22"/>
          <w:szCs w:val="22"/>
        </w:rPr>
      </w:pPr>
      <w:r>
        <w:rPr>
          <w:b/>
          <w:bCs/>
          <w:sz w:val="22"/>
          <w:szCs w:val="22"/>
        </w:rPr>
        <w:t xml:space="preserve">        </w:t>
      </w:r>
      <w:proofErr w:type="gramStart"/>
      <w:r w:rsidRPr="00A22E2E">
        <w:rPr>
          <w:b/>
          <w:bCs/>
          <w:sz w:val="22"/>
          <w:szCs w:val="22"/>
        </w:rPr>
        <w:t>performance</w:t>
      </w:r>
      <w:proofErr w:type="gramEnd"/>
      <w:r w:rsidRPr="00A22E2E">
        <w:rPr>
          <w:b/>
          <w:bCs/>
          <w:sz w:val="22"/>
          <w:szCs w:val="22"/>
        </w:rPr>
        <w:t>.</w:t>
      </w:r>
      <w:r w:rsidRPr="00A22E2E">
        <w:rPr>
          <w:sz w:val="22"/>
          <w:szCs w:val="22"/>
        </w:rPr>
        <w:t xml:space="preserve"> </w:t>
      </w:r>
    </w:p>
    <w:p w:rsidR="00A22E2E" w:rsidRPr="00A22E2E" w:rsidRDefault="00A22E2E" w:rsidP="00A22E2E">
      <w:pPr>
        <w:pStyle w:val="NormalWeb"/>
        <w:spacing w:before="120" w:beforeAutospacing="0" w:after="0" w:afterAutospacing="0"/>
        <w:jc w:val="both"/>
        <w:rPr>
          <w:sz w:val="22"/>
          <w:szCs w:val="22"/>
        </w:rPr>
      </w:pPr>
      <w:r w:rsidRPr="00A22E2E">
        <w:rPr>
          <w:sz w:val="22"/>
          <w:szCs w:val="22"/>
        </w:rPr>
        <w:t>This examines whet</w:t>
      </w:r>
      <w:r>
        <w:rPr>
          <w:sz w:val="22"/>
          <w:szCs w:val="22"/>
        </w:rPr>
        <w:t xml:space="preserve">her specific strategic programs </w:t>
      </w:r>
      <w:r w:rsidRPr="00A22E2E">
        <w:rPr>
          <w:sz w:val="22"/>
          <w:szCs w:val="22"/>
        </w:rPr>
        <w:t>such as climate-smart agriculture loan</w:t>
      </w:r>
      <w:r>
        <w:rPr>
          <w:sz w:val="22"/>
          <w:szCs w:val="22"/>
        </w:rPr>
        <w:t xml:space="preserve">s or green technology financing </w:t>
      </w:r>
      <w:r w:rsidRPr="00A22E2E">
        <w:rPr>
          <w:sz w:val="22"/>
          <w:szCs w:val="22"/>
        </w:rPr>
        <w:t>provide a competitive advantage that improves the institution's overall market position and financial outcomes [4], [7].</w:t>
      </w:r>
    </w:p>
    <w:p w:rsidR="00A22E2E" w:rsidRDefault="00A22E2E" w:rsidP="00A22E2E">
      <w:pPr>
        <w:pStyle w:val="NormalWeb"/>
        <w:spacing w:before="120" w:beforeAutospacing="0" w:after="0" w:afterAutospacing="0"/>
        <w:jc w:val="both"/>
        <w:rPr>
          <w:b/>
          <w:bCs/>
          <w:sz w:val="22"/>
          <w:szCs w:val="22"/>
        </w:rPr>
      </w:pPr>
      <w:r w:rsidRPr="00A22E2E">
        <w:rPr>
          <w:b/>
          <w:bCs/>
          <w:sz w:val="22"/>
          <w:szCs w:val="22"/>
        </w:rPr>
        <w:t>H</w:t>
      </w:r>
      <w:r w:rsidRPr="00A22E2E">
        <w:rPr>
          <w:b/>
          <w:bCs/>
          <w:sz w:val="22"/>
          <w:szCs w:val="22"/>
          <w:vertAlign w:val="subscript"/>
        </w:rPr>
        <w:t>4</w:t>
      </w:r>
      <w:r w:rsidRPr="00A22E2E">
        <w:rPr>
          <w:b/>
          <w:bCs/>
          <w:sz w:val="22"/>
          <w:szCs w:val="22"/>
        </w:rPr>
        <w:t xml:space="preserve">: Environmental risk assessment has a significant positive effect on the bank's ability to enhance </w:t>
      </w:r>
    </w:p>
    <w:p w:rsidR="00A22E2E" w:rsidRDefault="00A22E2E" w:rsidP="00A22E2E">
      <w:pPr>
        <w:pStyle w:val="NormalWeb"/>
        <w:spacing w:before="120" w:beforeAutospacing="0" w:after="0" w:afterAutospacing="0"/>
        <w:jc w:val="both"/>
        <w:rPr>
          <w:sz w:val="22"/>
          <w:szCs w:val="22"/>
        </w:rPr>
      </w:pPr>
      <w:r>
        <w:rPr>
          <w:b/>
          <w:bCs/>
          <w:sz w:val="22"/>
          <w:szCs w:val="22"/>
        </w:rPr>
        <w:t xml:space="preserve">      </w:t>
      </w:r>
      <w:proofErr w:type="gramStart"/>
      <w:r w:rsidRPr="00A22E2E">
        <w:rPr>
          <w:b/>
          <w:bCs/>
          <w:sz w:val="22"/>
          <w:szCs w:val="22"/>
        </w:rPr>
        <w:t>organizational</w:t>
      </w:r>
      <w:proofErr w:type="gramEnd"/>
      <w:r w:rsidRPr="00A22E2E">
        <w:rPr>
          <w:b/>
          <w:bCs/>
          <w:sz w:val="22"/>
          <w:szCs w:val="22"/>
        </w:rPr>
        <w:t xml:space="preserve"> performance.</w:t>
      </w:r>
      <w:r w:rsidRPr="00A22E2E">
        <w:rPr>
          <w:sz w:val="22"/>
          <w:szCs w:val="22"/>
        </w:rPr>
        <w:t xml:space="preserve"> </w:t>
      </w:r>
    </w:p>
    <w:p w:rsidR="00A22E2E" w:rsidRPr="00A22E2E" w:rsidRDefault="00A22E2E" w:rsidP="00A22E2E">
      <w:pPr>
        <w:pStyle w:val="NormalWeb"/>
        <w:spacing w:before="120" w:beforeAutospacing="0" w:after="0" w:afterAutospacing="0"/>
        <w:jc w:val="both"/>
        <w:rPr>
          <w:sz w:val="22"/>
          <w:szCs w:val="22"/>
        </w:rPr>
      </w:pPr>
      <w:r w:rsidRPr="00A22E2E">
        <w:rPr>
          <w:sz w:val="22"/>
          <w:szCs w:val="22"/>
        </w:rPr>
        <w:t>By systematically identifying climate-related financial risks, banks can mitigate potential loan defaults and transition risks, thereby protecting the stability of their earnings and capital adequacy [3], [10].</w:t>
      </w:r>
    </w:p>
    <w:p w:rsidR="00A22E2E" w:rsidRDefault="00A22E2E" w:rsidP="00A22E2E">
      <w:pPr>
        <w:pStyle w:val="NormalWeb"/>
        <w:spacing w:before="120" w:beforeAutospacing="0" w:after="0" w:afterAutospacing="0"/>
        <w:jc w:val="both"/>
        <w:rPr>
          <w:b/>
          <w:bCs/>
          <w:sz w:val="22"/>
          <w:szCs w:val="22"/>
        </w:rPr>
      </w:pPr>
      <w:r w:rsidRPr="00A22E2E">
        <w:rPr>
          <w:b/>
          <w:bCs/>
          <w:sz w:val="22"/>
          <w:szCs w:val="22"/>
        </w:rPr>
        <w:t>H</w:t>
      </w:r>
      <w:r w:rsidRPr="00A22E2E">
        <w:rPr>
          <w:b/>
          <w:bCs/>
          <w:sz w:val="22"/>
          <w:szCs w:val="22"/>
          <w:vertAlign w:val="subscript"/>
        </w:rPr>
        <w:t>5</w:t>
      </w:r>
      <w:r w:rsidRPr="00A22E2E">
        <w:rPr>
          <w:b/>
          <w:bCs/>
          <w:sz w:val="22"/>
          <w:szCs w:val="22"/>
        </w:rPr>
        <w:t xml:space="preserve">: Barriers and institutional challenges have a significant negative effect on organizational </w:t>
      </w:r>
    </w:p>
    <w:p w:rsidR="00A22E2E" w:rsidRDefault="00A22E2E" w:rsidP="00A22E2E">
      <w:pPr>
        <w:pStyle w:val="NormalWeb"/>
        <w:spacing w:before="120" w:beforeAutospacing="0" w:after="0" w:afterAutospacing="0"/>
        <w:jc w:val="both"/>
        <w:rPr>
          <w:sz w:val="22"/>
          <w:szCs w:val="22"/>
        </w:rPr>
      </w:pPr>
      <w:r>
        <w:rPr>
          <w:b/>
          <w:bCs/>
          <w:sz w:val="22"/>
          <w:szCs w:val="22"/>
        </w:rPr>
        <w:t xml:space="preserve">       </w:t>
      </w:r>
      <w:proofErr w:type="gramStart"/>
      <w:r w:rsidRPr="00A22E2E">
        <w:rPr>
          <w:b/>
          <w:bCs/>
          <w:sz w:val="22"/>
          <w:szCs w:val="22"/>
        </w:rPr>
        <w:t>performance</w:t>
      </w:r>
      <w:proofErr w:type="gramEnd"/>
      <w:r w:rsidRPr="00A22E2E">
        <w:rPr>
          <w:b/>
          <w:bCs/>
          <w:sz w:val="22"/>
          <w:szCs w:val="22"/>
        </w:rPr>
        <w:t>.</w:t>
      </w:r>
      <w:r w:rsidRPr="00A22E2E">
        <w:rPr>
          <w:sz w:val="22"/>
          <w:szCs w:val="22"/>
        </w:rPr>
        <w:t xml:space="preserve"> </w:t>
      </w:r>
    </w:p>
    <w:p w:rsidR="00A22E2E" w:rsidRDefault="00A22E2E" w:rsidP="00A22E2E">
      <w:pPr>
        <w:pStyle w:val="NormalWeb"/>
        <w:spacing w:before="120" w:beforeAutospacing="0" w:after="0" w:afterAutospacing="0"/>
        <w:jc w:val="both"/>
        <w:rPr>
          <w:sz w:val="22"/>
          <w:szCs w:val="22"/>
        </w:rPr>
      </w:pPr>
      <w:r w:rsidRPr="00A22E2E">
        <w:rPr>
          <w:sz w:val="22"/>
          <w:szCs w:val="22"/>
        </w:rPr>
        <w:t>This hypothesis tests whether the technological, regulatory, and financial constraints present in Addis Ababa significantly hinder a bank's ability to realize the financial benefits of sustainable banking, thereby acting as a drag on performance [6], [10].</w:t>
      </w:r>
    </w:p>
    <w:p w:rsidR="00A22E2E" w:rsidRPr="00635D6A" w:rsidRDefault="00A22E2E" w:rsidP="00635D6A">
      <w:pPr>
        <w:pStyle w:val="Heading1"/>
        <w:keepNext/>
        <w:keepLines/>
        <w:numPr>
          <w:ilvl w:val="0"/>
          <w:numId w:val="9"/>
        </w:numPr>
        <w:spacing w:before="120" w:beforeAutospacing="0" w:after="0" w:afterAutospacing="0"/>
        <w:jc w:val="both"/>
        <w:rPr>
          <w:sz w:val="22"/>
          <w:szCs w:val="22"/>
        </w:rPr>
      </w:pPr>
      <w:r w:rsidRPr="00635D6A">
        <w:rPr>
          <w:rStyle w:val="Strong"/>
          <w:b/>
          <w:bCs/>
          <w:sz w:val="22"/>
          <w:szCs w:val="22"/>
        </w:rPr>
        <w:t>Research Methodology</w:t>
      </w:r>
    </w:p>
    <w:p w:rsidR="00635D6A" w:rsidRPr="00635D6A" w:rsidRDefault="00635D6A" w:rsidP="00635D6A">
      <w:pPr>
        <w:pStyle w:val="NormalWeb"/>
        <w:spacing w:before="120" w:beforeAutospacing="0" w:after="0" w:afterAutospacing="0"/>
        <w:jc w:val="both"/>
        <w:rPr>
          <w:sz w:val="22"/>
          <w:szCs w:val="22"/>
        </w:rPr>
      </w:pPr>
      <w:r>
        <w:rPr>
          <w:sz w:val="22"/>
          <w:szCs w:val="22"/>
        </w:rPr>
        <w:t xml:space="preserve">This section </w:t>
      </w:r>
      <w:r w:rsidRPr="00635D6A">
        <w:rPr>
          <w:sz w:val="22"/>
          <w:szCs w:val="22"/>
        </w:rPr>
        <w:t xml:space="preserve">outlines the systematic procedures used to conduct the study. It details the research design, the selection of the target population and sample, the tools used for data collection, and the statistical </w:t>
      </w:r>
      <w:r w:rsidRPr="00635D6A">
        <w:rPr>
          <w:sz w:val="22"/>
          <w:szCs w:val="22"/>
        </w:rPr>
        <w:lastRenderedPageBreak/>
        <w:t>methods employed to analyze the relationship between green banking practices and organizational performance.</w:t>
      </w:r>
    </w:p>
    <w:p w:rsidR="00635D6A" w:rsidRPr="00635D6A" w:rsidRDefault="00635D6A" w:rsidP="00635D6A">
      <w:pPr>
        <w:pStyle w:val="Heading3"/>
        <w:numPr>
          <w:ilvl w:val="1"/>
          <w:numId w:val="9"/>
        </w:numPr>
        <w:spacing w:before="120" w:beforeAutospacing="0" w:after="0" w:afterAutospacing="0"/>
        <w:jc w:val="both"/>
        <w:rPr>
          <w:sz w:val="22"/>
          <w:szCs w:val="22"/>
        </w:rPr>
      </w:pPr>
      <w:r w:rsidRPr="00635D6A">
        <w:rPr>
          <w:sz w:val="22"/>
          <w:szCs w:val="22"/>
        </w:rPr>
        <w:t xml:space="preserve"> Research Design</w:t>
      </w:r>
    </w:p>
    <w:p w:rsidR="00635D6A" w:rsidRPr="00635D6A" w:rsidRDefault="00635D6A" w:rsidP="00635D6A">
      <w:pPr>
        <w:pStyle w:val="NormalWeb"/>
        <w:spacing w:before="120" w:beforeAutospacing="0" w:after="0" w:afterAutospacing="0"/>
        <w:jc w:val="both"/>
        <w:rPr>
          <w:sz w:val="22"/>
          <w:szCs w:val="22"/>
        </w:rPr>
      </w:pPr>
      <w:r w:rsidRPr="00635D6A">
        <w:rPr>
          <w:sz w:val="22"/>
          <w:szCs w:val="22"/>
        </w:rPr>
        <w:t xml:space="preserve">This study employs a </w:t>
      </w:r>
      <w:r w:rsidRPr="00635D6A">
        <w:rPr>
          <w:bCs/>
          <w:sz w:val="22"/>
          <w:szCs w:val="22"/>
        </w:rPr>
        <w:t>descriptive and explanatory research design</w:t>
      </w:r>
      <w:r w:rsidRPr="00635D6A">
        <w:rPr>
          <w:sz w:val="22"/>
          <w:szCs w:val="22"/>
        </w:rPr>
        <w:t>. The descriptive aspect is used to identify and describe the current level of green banking adoption and environmental sustainability within the selected banks. The explanatory aspect is utilized to examine the cause-and-effect relationship between the independent variables (adoption, initiatives, risk assessment, and barriers) and the dependent variable (organizational performance). By combining these designs, the study can provide both a snapshot of the current landscape and a statistical explanation of how these factors influence one another.</w:t>
      </w:r>
    </w:p>
    <w:p w:rsidR="00635D6A" w:rsidRPr="00635D6A" w:rsidRDefault="00635D6A" w:rsidP="00635D6A">
      <w:pPr>
        <w:pStyle w:val="Heading3"/>
        <w:numPr>
          <w:ilvl w:val="1"/>
          <w:numId w:val="9"/>
        </w:numPr>
        <w:spacing w:before="120" w:beforeAutospacing="0" w:after="0" w:afterAutospacing="0"/>
        <w:jc w:val="both"/>
        <w:rPr>
          <w:sz w:val="22"/>
          <w:szCs w:val="22"/>
        </w:rPr>
      </w:pPr>
      <w:r w:rsidRPr="00635D6A">
        <w:rPr>
          <w:sz w:val="22"/>
          <w:szCs w:val="22"/>
        </w:rPr>
        <w:t xml:space="preserve"> Research Approach</w:t>
      </w:r>
    </w:p>
    <w:p w:rsidR="00635D6A" w:rsidRPr="00635D6A" w:rsidRDefault="00635D6A" w:rsidP="00635D6A">
      <w:pPr>
        <w:pStyle w:val="NormalWeb"/>
        <w:spacing w:before="120" w:beforeAutospacing="0" w:after="0" w:afterAutospacing="0"/>
        <w:jc w:val="both"/>
        <w:rPr>
          <w:sz w:val="22"/>
          <w:szCs w:val="22"/>
        </w:rPr>
      </w:pPr>
      <w:r w:rsidRPr="00635D6A">
        <w:rPr>
          <w:sz w:val="22"/>
          <w:szCs w:val="22"/>
        </w:rPr>
        <w:t xml:space="preserve">The study adopts a </w:t>
      </w:r>
      <w:r w:rsidRPr="00635D6A">
        <w:rPr>
          <w:bCs/>
          <w:sz w:val="22"/>
          <w:szCs w:val="22"/>
        </w:rPr>
        <w:t>quantitative research approach</w:t>
      </w:r>
      <w:r w:rsidRPr="00635D6A">
        <w:rPr>
          <w:sz w:val="22"/>
          <w:szCs w:val="22"/>
        </w:rPr>
        <w:t>. This approach is selected because it allows for the objective measurement of variables through the collection of numerical data from a large sample. Quantitative methods enable the use of statistical tools to test the hypotheses developed in Chapter Two, ensuring that the findings are generalizable across the selected commercial banks in Addis Ababa. This approach is highly effective for examining correlations and the magnitude of impact between green practices and financial outcomes.</w:t>
      </w:r>
    </w:p>
    <w:p w:rsidR="00635D6A" w:rsidRPr="00635D6A" w:rsidRDefault="00635D6A" w:rsidP="00635D6A">
      <w:pPr>
        <w:pStyle w:val="Heading3"/>
        <w:numPr>
          <w:ilvl w:val="1"/>
          <w:numId w:val="9"/>
        </w:numPr>
        <w:spacing w:before="120" w:beforeAutospacing="0" w:after="0" w:afterAutospacing="0"/>
        <w:jc w:val="both"/>
        <w:rPr>
          <w:sz w:val="22"/>
          <w:szCs w:val="22"/>
        </w:rPr>
      </w:pPr>
      <w:r w:rsidRPr="00635D6A">
        <w:rPr>
          <w:sz w:val="22"/>
          <w:szCs w:val="22"/>
        </w:rPr>
        <w:t>Target Population, Sample, and Sampling Technique</w:t>
      </w:r>
    </w:p>
    <w:p w:rsidR="00635D6A" w:rsidRPr="00635D6A" w:rsidRDefault="00635D6A" w:rsidP="00635D6A">
      <w:pPr>
        <w:pStyle w:val="Heading4"/>
        <w:numPr>
          <w:ilvl w:val="2"/>
          <w:numId w:val="9"/>
        </w:numPr>
        <w:tabs>
          <w:tab w:val="left" w:pos="450"/>
          <w:tab w:val="left" w:pos="540"/>
        </w:tabs>
        <w:spacing w:before="120" w:line="240" w:lineRule="auto"/>
        <w:jc w:val="both"/>
        <w:rPr>
          <w:rFonts w:ascii="Times New Roman" w:hAnsi="Times New Roman" w:cs="Times New Roman"/>
          <w:i w:val="0"/>
          <w:color w:val="auto"/>
        </w:rPr>
      </w:pPr>
      <w:r w:rsidRPr="00635D6A">
        <w:rPr>
          <w:rFonts w:ascii="Times New Roman" w:hAnsi="Times New Roman" w:cs="Times New Roman"/>
        </w:rPr>
        <w:t xml:space="preserve"> </w:t>
      </w:r>
      <w:r w:rsidRPr="00635D6A">
        <w:rPr>
          <w:rFonts w:ascii="Times New Roman" w:hAnsi="Times New Roman" w:cs="Times New Roman"/>
          <w:i w:val="0"/>
          <w:color w:val="auto"/>
        </w:rPr>
        <w:t>Target Population</w:t>
      </w:r>
    </w:p>
    <w:p w:rsidR="00943A1A" w:rsidRPr="00943A1A" w:rsidRDefault="00943A1A" w:rsidP="00943A1A">
      <w:pPr>
        <w:pStyle w:val="isselectedend"/>
        <w:spacing w:before="120" w:beforeAutospacing="0" w:after="0" w:afterAutospacing="0"/>
        <w:jc w:val="both"/>
        <w:rPr>
          <w:sz w:val="22"/>
          <w:szCs w:val="22"/>
        </w:rPr>
      </w:pPr>
      <w:r w:rsidRPr="00943A1A">
        <w:rPr>
          <w:sz w:val="22"/>
          <w:szCs w:val="22"/>
        </w:rPr>
        <w:t xml:space="preserve">The target population for this study comprised professional and managerial employees working in selected commercial banks headquartered in Addis Ababa, namely the Commercial Bank of Ethiopia (CBE), Awash Bank, </w:t>
      </w:r>
      <w:proofErr w:type="spellStart"/>
      <w:r w:rsidRPr="00943A1A">
        <w:rPr>
          <w:sz w:val="22"/>
          <w:szCs w:val="22"/>
        </w:rPr>
        <w:t>Dashen</w:t>
      </w:r>
      <w:proofErr w:type="spellEnd"/>
      <w:r w:rsidRPr="00943A1A">
        <w:rPr>
          <w:sz w:val="22"/>
          <w:szCs w:val="22"/>
        </w:rPr>
        <w:t xml:space="preserve"> Bank, and </w:t>
      </w:r>
      <w:proofErr w:type="spellStart"/>
      <w:r w:rsidRPr="00943A1A">
        <w:rPr>
          <w:sz w:val="22"/>
          <w:szCs w:val="22"/>
        </w:rPr>
        <w:t>Wegagen</w:t>
      </w:r>
      <w:proofErr w:type="spellEnd"/>
      <w:r w:rsidRPr="00943A1A">
        <w:rPr>
          <w:sz w:val="22"/>
          <w:szCs w:val="22"/>
        </w:rPr>
        <w:t xml:space="preserve"> Bank. These banks were purposively selected because they are among the leading financial institutions in Ethiopia in terms of asset size, market presence, branch network coverage, and participation in sustainability-oriented banking practices. In addition, their headquarters are located in Addis Ababa, which serves as the center of financial innovation, policy formulation, and strategic decision-making within the Ethiopian banking sector. Previous studies indicate that large commercial banks are generally more likely to adopt digital banking systems, green financing mechanisms, and environmentally sustainable operational practices due to their superior financial resources, technological capacity, and institutional readiness </w:t>
      </w:r>
      <w:r w:rsidRPr="00943A1A">
        <w:rPr>
          <w:rStyle w:val="text-token-text-primary"/>
          <w:sz w:val="22"/>
          <w:szCs w:val="22"/>
        </w:rPr>
        <w:t>[4]</w:t>
      </w:r>
      <w:r w:rsidRPr="00943A1A">
        <w:rPr>
          <w:sz w:val="22"/>
          <w:szCs w:val="22"/>
        </w:rPr>
        <w:t xml:space="preserve">, </w:t>
      </w:r>
      <w:r w:rsidRPr="00943A1A">
        <w:rPr>
          <w:rStyle w:val="text-token-text-primary"/>
          <w:sz w:val="22"/>
          <w:szCs w:val="22"/>
        </w:rPr>
        <w:t>[7]</w:t>
      </w:r>
      <w:r w:rsidRPr="00943A1A">
        <w:rPr>
          <w:sz w:val="22"/>
          <w:szCs w:val="22"/>
        </w:rPr>
        <w:t xml:space="preserve">, </w:t>
      </w:r>
      <w:proofErr w:type="gramStart"/>
      <w:r w:rsidRPr="00943A1A">
        <w:rPr>
          <w:rStyle w:val="text-token-text-primary"/>
          <w:sz w:val="22"/>
          <w:szCs w:val="22"/>
        </w:rPr>
        <w:t>[</w:t>
      </w:r>
      <w:proofErr w:type="gramEnd"/>
      <w:r w:rsidRPr="00943A1A">
        <w:rPr>
          <w:rStyle w:val="text-token-text-primary"/>
          <w:sz w:val="22"/>
          <w:szCs w:val="22"/>
        </w:rPr>
        <w:t>8]</w:t>
      </w:r>
      <w:r w:rsidRPr="00943A1A">
        <w:rPr>
          <w:sz w:val="22"/>
          <w:szCs w:val="22"/>
        </w:rPr>
        <w:t>.</w:t>
      </w:r>
    </w:p>
    <w:p w:rsidR="00943A1A" w:rsidRPr="00943A1A" w:rsidRDefault="00943A1A" w:rsidP="00943A1A">
      <w:pPr>
        <w:pStyle w:val="isselectedend"/>
        <w:spacing w:before="120" w:beforeAutospacing="0" w:after="0" w:afterAutospacing="0"/>
        <w:jc w:val="both"/>
        <w:rPr>
          <w:sz w:val="22"/>
          <w:szCs w:val="22"/>
        </w:rPr>
      </w:pPr>
      <w:r w:rsidRPr="00943A1A">
        <w:rPr>
          <w:sz w:val="22"/>
          <w:szCs w:val="22"/>
        </w:rPr>
        <w:t xml:space="preserve">The selected banks have demonstrated relatively greater engagement in green banking adoption through the implementation of paperless banking systems, digital financial services, energy-efficient infrastructure, and environmentally responsible operational strategies. Such initiatives are consistent with Ethiopia’s broader climate-resilient green economy agenda and the increasing emphasis on sustainable finance within the banking industry </w:t>
      </w:r>
      <w:r w:rsidRPr="00943A1A">
        <w:rPr>
          <w:rStyle w:val="text-token-text-primary"/>
          <w:sz w:val="22"/>
          <w:szCs w:val="22"/>
        </w:rPr>
        <w:t>[2]</w:t>
      </w:r>
      <w:r w:rsidRPr="00943A1A">
        <w:rPr>
          <w:sz w:val="22"/>
          <w:szCs w:val="22"/>
        </w:rPr>
        <w:t xml:space="preserve">, </w:t>
      </w:r>
      <w:r w:rsidRPr="00943A1A">
        <w:rPr>
          <w:rStyle w:val="text-token-text-primary"/>
          <w:sz w:val="22"/>
          <w:szCs w:val="22"/>
        </w:rPr>
        <w:t>[5]</w:t>
      </w:r>
      <w:r w:rsidRPr="00943A1A">
        <w:rPr>
          <w:sz w:val="22"/>
          <w:szCs w:val="22"/>
        </w:rPr>
        <w:t xml:space="preserve">. Evidence from prior studies further suggests that financial institutions that invest in green financial innovation and sustainable infrastructure are better positioned to integrate environmental sustainability into their organizational operations and strategic objectives </w:t>
      </w:r>
      <w:r w:rsidRPr="00943A1A">
        <w:rPr>
          <w:rStyle w:val="text-token-text-primary"/>
          <w:sz w:val="22"/>
          <w:szCs w:val="22"/>
        </w:rPr>
        <w:t>[3]</w:t>
      </w:r>
      <w:r w:rsidRPr="00943A1A">
        <w:rPr>
          <w:sz w:val="22"/>
          <w:szCs w:val="22"/>
        </w:rPr>
        <w:t xml:space="preserve">, </w:t>
      </w:r>
      <w:r w:rsidRPr="00943A1A">
        <w:rPr>
          <w:rStyle w:val="text-token-text-primary"/>
          <w:sz w:val="22"/>
          <w:szCs w:val="22"/>
        </w:rPr>
        <w:t>[7]</w:t>
      </w:r>
      <w:r w:rsidRPr="00943A1A">
        <w:rPr>
          <w:sz w:val="22"/>
          <w:szCs w:val="22"/>
        </w:rPr>
        <w:t>. Consequently, these banks provide an appropriate setting for examining the effect of green banking practices on environmental sustainability and organizational performance in the Ethiopian context.</w:t>
      </w:r>
    </w:p>
    <w:p w:rsidR="00635D6A" w:rsidRPr="00635D6A" w:rsidRDefault="00943A1A" w:rsidP="00635D6A">
      <w:pPr>
        <w:pStyle w:val="NormalWeb"/>
        <w:spacing w:before="120" w:beforeAutospacing="0" w:after="0" w:afterAutospacing="0"/>
        <w:jc w:val="both"/>
        <w:rPr>
          <w:sz w:val="22"/>
          <w:szCs w:val="22"/>
        </w:rPr>
      </w:pPr>
      <w:r w:rsidRPr="00943A1A">
        <w:rPr>
          <w:sz w:val="22"/>
          <w:szCs w:val="22"/>
        </w:rPr>
        <w:t xml:space="preserve">The population was restricted to employees working in the Risk Management, IT/Digital Banking, and Strategic Planning departments because these professionals possess the specialized knowledge and practical experience required to provide informed responses regarding green banking policies, environmental risk assessment practices, sustainability initiatives, and organizational performance outcomes. Although other commercial banks, including Abyssinia Bank, Cooperative Bank of </w:t>
      </w:r>
      <w:proofErr w:type="spellStart"/>
      <w:r w:rsidRPr="00943A1A">
        <w:rPr>
          <w:sz w:val="22"/>
          <w:szCs w:val="22"/>
        </w:rPr>
        <w:t>Oromia</w:t>
      </w:r>
      <w:proofErr w:type="spellEnd"/>
      <w:r w:rsidRPr="00943A1A">
        <w:rPr>
          <w:sz w:val="22"/>
          <w:szCs w:val="22"/>
        </w:rPr>
        <w:t xml:space="preserve">, and Nib International Bank, operate within Addis Ababa, they were not included in the study due to time, budget, and accessibility constraints. Nevertheless, the selected banks account for a substantial share of the Ethiopian banking industry and are widely recognized as early adopters of technology-driven and sustainability-oriented banking practices </w:t>
      </w:r>
      <w:r w:rsidRPr="00943A1A">
        <w:rPr>
          <w:rStyle w:val="text-token-text-primary"/>
          <w:sz w:val="22"/>
          <w:szCs w:val="22"/>
        </w:rPr>
        <w:t>[6]</w:t>
      </w:r>
      <w:r w:rsidRPr="00943A1A">
        <w:rPr>
          <w:sz w:val="22"/>
          <w:szCs w:val="22"/>
        </w:rPr>
        <w:t xml:space="preserve">, </w:t>
      </w:r>
      <w:r w:rsidRPr="00943A1A">
        <w:rPr>
          <w:rStyle w:val="text-token-text-primary"/>
          <w:sz w:val="22"/>
          <w:szCs w:val="22"/>
        </w:rPr>
        <w:t>[7]</w:t>
      </w:r>
      <w:r w:rsidRPr="00943A1A">
        <w:rPr>
          <w:sz w:val="22"/>
          <w:szCs w:val="22"/>
        </w:rPr>
        <w:t xml:space="preserve">. Therefore, the selected institutions were considered </w:t>
      </w:r>
      <w:r w:rsidRPr="00943A1A">
        <w:rPr>
          <w:sz w:val="22"/>
          <w:szCs w:val="22"/>
        </w:rPr>
        <w:lastRenderedPageBreak/>
        <w:t>sufficiently representative to generate meaningful insights into the current state of green banking implementation and its implications for organizational performance within Ethiopia’s commercial banking sector.</w:t>
      </w:r>
    </w:p>
    <w:p w:rsidR="00635D6A" w:rsidRPr="002A692E" w:rsidRDefault="00635D6A" w:rsidP="002A692E">
      <w:pPr>
        <w:pStyle w:val="Heading4"/>
        <w:numPr>
          <w:ilvl w:val="2"/>
          <w:numId w:val="9"/>
        </w:numPr>
        <w:tabs>
          <w:tab w:val="left" w:pos="450"/>
          <w:tab w:val="left" w:pos="540"/>
        </w:tabs>
        <w:spacing w:before="120" w:line="240" w:lineRule="auto"/>
        <w:jc w:val="both"/>
        <w:rPr>
          <w:rFonts w:ascii="Times New Roman" w:hAnsi="Times New Roman" w:cs="Times New Roman"/>
          <w:i w:val="0"/>
          <w:color w:val="auto"/>
        </w:rPr>
      </w:pPr>
      <w:r w:rsidRPr="002A692E">
        <w:rPr>
          <w:rFonts w:ascii="Times New Roman" w:hAnsi="Times New Roman" w:cs="Times New Roman"/>
          <w:i w:val="0"/>
          <w:color w:val="auto"/>
        </w:rPr>
        <w:t>Sample Size Determination</w:t>
      </w:r>
    </w:p>
    <w:p w:rsidR="002A692E" w:rsidRPr="002A692E" w:rsidRDefault="00635D6A" w:rsidP="002A692E">
      <w:pPr>
        <w:pStyle w:val="BodyText"/>
        <w:spacing w:before="120"/>
        <w:ind w:left="0"/>
        <w:rPr>
          <w:sz w:val="22"/>
          <w:szCs w:val="22"/>
        </w:rPr>
      </w:pPr>
      <w:r w:rsidRPr="002A692E">
        <w:rPr>
          <w:sz w:val="22"/>
          <w:szCs w:val="22"/>
        </w:rPr>
        <w:t xml:space="preserve">To ensure the sample is representative of the population of 655 professional staff, the sample size is determined using </w:t>
      </w:r>
      <w:r w:rsidRPr="002A692E">
        <w:rPr>
          <w:bCs/>
          <w:sz w:val="22"/>
          <w:szCs w:val="22"/>
        </w:rPr>
        <w:t>Yamane’s (1967) formula</w:t>
      </w:r>
      <w:r w:rsidRPr="002A692E">
        <w:rPr>
          <w:sz w:val="22"/>
          <w:szCs w:val="22"/>
        </w:rPr>
        <w:t xml:space="preserve"> </w:t>
      </w:r>
      <w:r w:rsidR="002A692E" w:rsidRPr="002A692E">
        <w:rPr>
          <w:sz w:val="22"/>
          <w:szCs w:val="22"/>
        </w:rPr>
        <w:t>for calculating the sample size which is as following;</w:t>
      </w:r>
      <w:r w:rsidR="002A692E" w:rsidRPr="002A692E">
        <w:rPr>
          <w:spacing w:val="1"/>
          <w:sz w:val="22"/>
          <w:szCs w:val="22"/>
        </w:rPr>
        <w:t xml:space="preserve"> </w:t>
      </w:r>
    </w:p>
    <w:p w:rsidR="003534B2" w:rsidRDefault="002A692E" w:rsidP="003534B2">
      <w:pPr>
        <w:pStyle w:val="NormalWeb"/>
        <w:spacing w:before="120" w:beforeAutospacing="0" w:after="0" w:afterAutospacing="0"/>
        <w:jc w:val="both"/>
        <w:rPr>
          <w:sz w:val="22"/>
          <w:szCs w:val="22"/>
        </w:rPr>
      </w:pPr>
      <m:oMath>
        <m:r>
          <m:rPr>
            <m:sty m:val="bi"/>
          </m:rPr>
          <w:rPr>
            <w:rFonts w:ascii="Cambria Math" w:hAnsi="Cambria Math"/>
          </w:rPr>
          <m:t>n</m:t>
        </m:r>
        <m:r>
          <m:rPr>
            <m:sty m:val="bi"/>
          </m:rPr>
          <w:rPr>
            <w:rFonts w:ascii="Cambria Math"/>
          </w:rPr>
          <m:t xml:space="preserve">= </m:t>
        </m:r>
        <m:f>
          <m:fPr>
            <m:ctrlPr>
              <w:rPr>
                <w:rFonts w:ascii="Cambria Math" w:hAnsi="Cambria Math"/>
                <w:b/>
                <w:i/>
              </w:rPr>
            </m:ctrlPr>
          </m:fPr>
          <m:num>
            <m:r>
              <m:rPr>
                <m:sty m:val="bi"/>
              </m:rPr>
              <w:rPr>
                <w:rFonts w:ascii="Cambria Math" w:hAnsi="Cambria Math"/>
              </w:rPr>
              <m:t>N</m:t>
            </m:r>
          </m:num>
          <m:den>
            <m:sSup>
              <m:sSupPr>
                <m:ctrlPr>
                  <w:rPr>
                    <w:rFonts w:ascii="Cambria Math" w:hAnsi="Cambria Math"/>
                    <w:b/>
                    <w:i/>
                  </w:rPr>
                </m:ctrlPr>
              </m:sSupPr>
              <m:e>
                <m:r>
                  <m:rPr>
                    <m:sty m:val="bi"/>
                  </m:rPr>
                  <w:rPr>
                    <w:rFonts w:ascii="Cambria Math" w:hAnsi="Cambria Math"/>
                  </w:rPr>
                  <m:t>1</m:t>
                </m:r>
              </m:e>
              <m:sup>
                <m:r>
                  <m:rPr>
                    <m:sty m:val="bi"/>
                  </m:rPr>
                  <w:rPr>
                    <w:rFonts w:ascii="Cambria Math"/>
                  </w:rPr>
                  <m:t>+(</m:t>
                </m:r>
                <m:r>
                  <m:rPr>
                    <m:sty m:val="bi"/>
                  </m:rPr>
                  <w:rPr>
                    <w:rFonts w:ascii="Cambria Math" w:hAnsi="Cambria Math"/>
                  </w:rPr>
                  <m:t>N</m:t>
                </m:r>
                <m:sSup>
                  <m:sSupPr>
                    <m:ctrlPr>
                      <w:rPr>
                        <w:rFonts w:ascii="Cambria Math" w:hAnsi="Cambria Math"/>
                        <w:b/>
                        <w:i/>
                      </w:rPr>
                    </m:ctrlPr>
                  </m:sSupPr>
                  <m:e>
                    <m:r>
                      <m:rPr>
                        <m:sty m:val="bi"/>
                      </m:rPr>
                      <w:rPr>
                        <w:rFonts w:ascii="Cambria Math"/>
                      </w:rPr>
                      <m:t>)</m:t>
                    </m:r>
                    <m:r>
                      <m:rPr>
                        <m:sty m:val="bi"/>
                      </m:rPr>
                      <w:rPr>
                        <w:rFonts w:ascii="Cambria Math" w:hAnsi="Cambria Math"/>
                      </w:rPr>
                      <m:t>e</m:t>
                    </m:r>
                  </m:e>
                  <m:sup>
                    <m:r>
                      <m:rPr>
                        <m:sty m:val="bi"/>
                      </m:rPr>
                      <w:rPr>
                        <w:rFonts w:ascii="Cambria Math" w:hAnsi="Cambria Math"/>
                      </w:rPr>
                      <m:t>2</m:t>
                    </m:r>
                  </m:sup>
                </m:sSup>
              </m:sup>
            </m:sSup>
          </m:den>
        </m:f>
        <m:r>
          <w:rPr>
            <w:rFonts w:ascii="Cambria Math"/>
          </w:rPr>
          <m:t xml:space="preserve"> </m:t>
        </m:r>
      </m:oMath>
      <w:r w:rsidR="006C68EE" w:rsidRPr="00531E91">
        <w:rPr>
          <w:sz w:val="22"/>
          <w:szCs w:val="22"/>
        </w:rPr>
        <w:t xml:space="preserve">Substituting the values into the formula results </w:t>
      </w:r>
      <w:proofErr w:type="gramStart"/>
      <w:r w:rsidR="006C68EE" w:rsidRPr="00531E91">
        <w:rPr>
          <w:sz w:val="22"/>
          <w:szCs w:val="22"/>
        </w:rPr>
        <w:t>in</w:t>
      </w:r>
      <w:r w:rsidR="006C68EE" w:rsidRPr="00531E91">
        <w:t xml:space="preserve">  n</w:t>
      </w:r>
      <w:proofErr w:type="gramEnd"/>
      <w:r w:rsidR="006C68EE" w:rsidRPr="00531E91">
        <w:t xml:space="preserve"> =</w:t>
      </w:r>
      <m:oMath>
        <m:f>
          <m:fPr>
            <m:ctrlPr>
              <w:rPr>
                <w:rFonts w:ascii="Cambria Math" w:hAnsi="Cambria Math"/>
                <w:sz w:val="22"/>
                <w:szCs w:val="22"/>
              </w:rPr>
            </m:ctrlPr>
          </m:fPr>
          <m:num>
            <m:r>
              <m:rPr>
                <m:sty m:val="p"/>
              </m:rPr>
              <w:rPr>
                <w:rFonts w:ascii="Cambria Math"/>
              </w:rPr>
              <m:t>655</m:t>
            </m:r>
          </m:num>
          <m:den>
            <m:sSup>
              <m:sSupPr>
                <m:ctrlPr>
                  <w:rPr>
                    <w:rFonts w:ascii="Cambria Math" w:hAnsi="Cambria Math"/>
                    <w:sz w:val="22"/>
                    <w:szCs w:val="22"/>
                  </w:rPr>
                </m:ctrlPr>
              </m:sSupPr>
              <m:e>
                <m:r>
                  <m:rPr>
                    <m:sty m:val="p"/>
                  </m:rPr>
                  <w:rPr>
                    <w:rFonts w:ascii="Cambria Math"/>
                  </w:rPr>
                  <m:t>1</m:t>
                </m:r>
              </m:e>
              <m:sup>
                <m:r>
                  <m:rPr>
                    <m:sty m:val="p"/>
                  </m:rPr>
                  <w:rPr>
                    <w:rFonts w:ascii="Cambria Math"/>
                  </w:rPr>
                  <m:t xml:space="preserve">+1655 </m:t>
                </m:r>
                <m:d>
                  <m:dPr>
                    <m:ctrlPr>
                      <w:rPr>
                        <w:rFonts w:ascii="Cambria Math" w:hAnsi="Cambria Math"/>
                        <w:sz w:val="22"/>
                        <w:szCs w:val="22"/>
                      </w:rPr>
                    </m:ctrlPr>
                  </m:dPr>
                  <m:e>
                    <m:r>
                      <m:rPr>
                        <m:sty m:val="p"/>
                      </m:rPr>
                      <w:rPr>
                        <w:rFonts w:ascii="Cambria Math"/>
                      </w:rPr>
                      <m:t>0.05</m:t>
                    </m:r>
                  </m:e>
                </m:d>
                <m:r>
                  <m:rPr>
                    <m:sty m:val="p"/>
                  </m:rPr>
                  <w:rPr>
                    <w:rFonts w:ascii="Cambria Math"/>
                  </w:rPr>
                  <m:t>2</m:t>
                </m:r>
              </m:sup>
            </m:sSup>
          </m:den>
        </m:f>
      </m:oMath>
      <w:r w:rsidR="006C68EE" w:rsidRPr="00531E91">
        <w:rPr>
          <w:rFonts w:eastAsia="SimSun"/>
        </w:rPr>
        <w:t xml:space="preserve"> </w:t>
      </w:r>
      <w:r w:rsidR="006C68EE" w:rsidRPr="00531E91">
        <w:t xml:space="preserve"> =</w:t>
      </w:r>
      <m:oMath>
        <m:f>
          <m:fPr>
            <m:ctrlPr>
              <w:rPr>
                <w:rFonts w:ascii="Cambria Math" w:hAnsi="Cambria Math"/>
                <w:sz w:val="22"/>
                <w:szCs w:val="22"/>
              </w:rPr>
            </m:ctrlPr>
          </m:fPr>
          <m:num>
            <m:r>
              <m:rPr>
                <m:sty m:val="p"/>
              </m:rPr>
              <w:rPr>
                <w:rFonts w:ascii="Cambria Math"/>
              </w:rPr>
              <m:t>655</m:t>
            </m:r>
          </m:num>
          <m:den>
            <m:sSup>
              <m:sSupPr>
                <m:ctrlPr>
                  <w:rPr>
                    <w:rFonts w:ascii="Cambria Math" w:hAnsi="Cambria Math"/>
                    <w:sz w:val="22"/>
                    <w:szCs w:val="22"/>
                  </w:rPr>
                </m:ctrlPr>
              </m:sSupPr>
              <m:e>
                <m:r>
                  <m:rPr>
                    <m:sty m:val="p"/>
                  </m:rPr>
                  <w:rPr>
                    <w:rFonts w:ascii="Cambria Math"/>
                  </w:rPr>
                  <m:t>1</m:t>
                </m:r>
              </m:e>
              <m:sup>
                <m:r>
                  <m:rPr>
                    <m:sty m:val="p"/>
                  </m:rPr>
                  <w:rPr>
                    <w:rFonts w:ascii="Cambria Math"/>
                  </w:rPr>
                  <m:t xml:space="preserve">+1635 </m:t>
                </m:r>
                <m:d>
                  <m:dPr>
                    <m:ctrlPr>
                      <w:rPr>
                        <w:rFonts w:ascii="Cambria Math" w:hAnsi="Cambria Math"/>
                        <w:sz w:val="22"/>
                        <w:szCs w:val="22"/>
                      </w:rPr>
                    </m:ctrlPr>
                  </m:dPr>
                  <m:e>
                    <m:r>
                      <m:rPr>
                        <m:sty m:val="p"/>
                      </m:rPr>
                      <w:rPr>
                        <w:rFonts w:ascii="Cambria Math"/>
                      </w:rPr>
                      <m:t>0.0025</m:t>
                    </m:r>
                  </m:e>
                </m:d>
              </m:sup>
            </m:sSup>
          </m:den>
        </m:f>
      </m:oMath>
      <w:r w:rsidR="006C68EE" w:rsidRPr="00531E91">
        <w:rPr>
          <w:rFonts w:eastAsia="SimSun"/>
        </w:rPr>
        <w:t xml:space="preserve"> </w:t>
      </w:r>
      <w:r w:rsidR="006C68EE" w:rsidRPr="00531E91">
        <w:t>=</w:t>
      </w:r>
      <m:oMath>
        <m:f>
          <m:fPr>
            <m:ctrlPr>
              <w:rPr>
                <w:rFonts w:ascii="Cambria Math" w:hAnsi="Cambria Math"/>
                <w:sz w:val="22"/>
                <w:szCs w:val="22"/>
              </w:rPr>
            </m:ctrlPr>
          </m:fPr>
          <m:num>
            <m:r>
              <m:rPr>
                <m:sty m:val="p"/>
              </m:rPr>
              <w:rPr>
                <w:rFonts w:ascii="Cambria Math"/>
              </w:rPr>
              <m:t>1635</m:t>
            </m:r>
          </m:num>
          <m:den>
            <m:sSup>
              <m:sSupPr>
                <m:ctrlPr>
                  <w:rPr>
                    <w:rFonts w:ascii="Cambria Math" w:hAnsi="Cambria Math"/>
                    <w:sz w:val="22"/>
                    <w:szCs w:val="22"/>
                  </w:rPr>
                </m:ctrlPr>
              </m:sSupPr>
              <m:e>
                <m:r>
                  <m:rPr>
                    <m:sty m:val="p"/>
                  </m:rPr>
                  <w:rPr>
                    <w:rFonts w:ascii="Cambria Math"/>
                  </w:rPr>
                  <m:t>1</m:t>
                </m:r>
              </m:e>
              <m:sup>
                <m:r>
                  <m:rPr>
                    <m:sty m:val="p"/>
                  </m:rPr>
                  <w:rPr>
                    <w:rFonts w:ascii="Cambria Math"/>
                  </w:rPr>
                  <m:t>+ 1.6375</m:t>
                </m:r>
              </m:sup>
            </m:sSup>
          </m:den>
        </m:f>
      </m:oMath>
      <w:r w:rsidR="006C68EE" w:rsidRPr="00531E91">
        <w:rPr>
          <w:rFonts w:eastAsia="SimSun"/>
        </w:rPr>
        <w:t xml:space="preserve"> = </w:t>
      </w:r>
      <m:oMath>
        <m:f>
          <m:fPr>
            <m:ctrlPr>
              <w:rPr>
                <w:rFonts w:ascii="Cambria Math" w:hAnsi="Cambria Math"/>
                <w:sz w:val="22"/>
                <w:szCs w:val="22"/>
              </w:rPr>
            </m:ctrlPr>
          </m:fPr>
          <m:num>
            <m:r>
              <m:rPr>
                <m:sty m:val="p"/>
              </m:rPr>
              <w:rPr>
                <w:rFonts w:ascii="Cambria Math"/>
              </w:rPr>
              <m:t>655</m:t>
            </m:r>
          </m:num>
          <m:den>
            <m:r>
              <m:rPr>
                <m:sty m:val="p"/>
              </m:rPr>
              <w:rPr>
                <w:rFonts w:ascii="Cambria Math"/>
              </w:rPr>
              <m:t>2.6375</m:t>
            </m:r>
          </m:den>
        </m:f>
      </m:oMath>
      <w:r w:rsidR="006C68EE" w:rsidRPr="00531E91">
        <w:t xml:space="preserve"> </w:t>
      </w:r>
      <w:r w:rsidR="006C68EE" w:rsidRPr="00531E91">
        <w:rPr>
          <w:rStyle w:val="mrel"/>
        </w:rPr>
        <w:t xml:space="preserve">≈ </w:t>
      </w:r>
      <w:r w:rsidR="003534B2">
        <w:rPr>
          <w:sz w:val="22"/>
          <w:szCs w:val="22"/>
          <w:u w:val="double"/>
        </w:rPr>
        <w:t>248</w:t>
      </w:r>
      <w:r w:rsidR="006C68EE">
        <w:rPr>
          <w:sz w:val="22"/>
          <w:szCs w:val="22"/>
        </w:rPr>
        <w:t xml:space="preserve">. </w:t>
      </w:r>
      <w:r w:rsidR="006C68EE" w:rsidRPr="007F16DA">
        <w:rPr>
          <w:sz w:val="22"/>
          <w:szCs w:val="22"/>
        </w:rPr>
        <w:t xml:space="preserve">Therefore, the study uses a sample size of </w:t>
      </w:r>
      <w:r w:rsidR="003534B2">
        <w:rPr>
          <w:rStyle w:val="Strong"/>
          <w:b w:val="0"/>
          <w:sz w:val="22"/>
          <w:szCs w:val="22"/>
        </w:rPr>
        <w:t>248</w:t>
      </w:r>
      <w:r w:rsidR="006C68EE" w:rsidRPr="00531E91">
        <w:rPr>
          <w:rStyle w:val="Strong"/>
          <w:b w:val="0"/>
          <w:sz w:val="22"/>
          <w:szCs w:val="22"/>
        </w:rPr>
        <w:t xml:space="preserve"> respondents</w:t>
      </w:r>
      <w:r w:rsidR="006C68EE" w:rsidRPr="007F16DA">
        <w:rPr>
          <w:sz w:val="22"/>
          <w:szCs w:val="22"/>
        </w:rPr>
        <w:t xml:space="preserve">, which is considered sufficient to provide reliable and generalizable findings about </w:t>
      </w:r>
      <w:r w:rsidR="003534B2" w:rsidRPr="003534B2">
        <w:rPr>
          <w:sz w:val="22"/>
          <w:szCs w:val="22"/>
        </w:rPr>
        <w:t>the Effect of Green Banking Practices on Environmental Sustainability and Organizational Performance: A Study of Selected Commercial Banks in Addis Ababa</w:t>
      </w:r>
      <w:r w:rsidR="006C68EE" w:rsidRPr="007F16DA">
        <w:rPr>
          <w:sz w:val="22"/>
          <w:szCs w:val="22"/>
        </w:rPr>
        <w:t>.</w:t>
      </w:r>
      <w:r w:rsidR="003534B2" w:rsidRPr="003534B2">
        <w:rPr>
          <w:sz w:val="22"/>
          <w:szCs w:val="22"/>
        </w:rPr>
        <w:t xml:space="preserve"> </w:t>
      </w:r>
      <w:r w:rsidR="003534B2" w:rsidRPr="00635D6A">
        <w:rPr>
          <w:sz w:val="22"/>
          <w:szCs w:val="22"/>
        </w:rPr>
        <w:t>The sample is distributed across the banks based on their proportion to the total population:</w:t>
      </w:r>
    </w:p>
    <w:p w:rsidR="00635D6A" w:rsidRPr="00635D6A" w:rsidRDefault="00635D6A" w:rsidP="003534B2">
      <w:pPr>
        <w:pStyle w:val="NormalWeb"/>
        <w:spacing w:before="120" w:beforeAutospacing="0" w:after="0" w:afterAutospacing="0"/>
        <w:jc w:val="center"/>
        <w:rPr>
          <w:sz w:val="22"/>
          <w:szCs w:val="22"/>
        </w:rPr>
      </w:pPr>
      <w:r w:rsidRPr="00635D6A">
        <w:rPr>
          <w:b/>
          <w:bCs/>
          <w:sz w:val="22"/>
          <w:szCs w:val="22"/>
        </w:rPr>
        <w:t xml:space="preserve">Table </w:t>
      </w:r>
      <w:r w:rsidR="00AF70F4">
        <w:rPr>
          <w:b/>
          <w:bCs/>
          <w:sz w:val="22"/>
          <w:szCs w:val="22"/>
        </w:rPr>
        <w:t>1</w:t>
      </w:r>
      <w:r w:rsidRPr="00635D6A">
        <w:rPr>
          <w:b/>
          <w:bCs/>
          <w:sz w:val="22"/>
          <w:szCs w:val="22"/>
        </w:rPr>
        <w:t>: Sample Size Distribution (Proportionate Allocation)</w:t>
      </w:r>
    </w:p>
    <w:tbl>
      <w:tblPr>
        <w:tblW w:w="0" w:type="auto"/>
        <w:tblCellSpacing w:w="15" w:type="dxa"/>
        <w:tblInd w:w="330" w:type="dxa"/>
        <w:tblCellMar>
          <w:top w:w="15" w:type="dxa"/>
          <w:left w:w="15" w:type="dxa"/>
          <w:bottom w:w="15" w:type="dxa"/>
          <w:right w:w="15" w:type="dxa"/>
        </w:tblCellMar>
        <w:tblLook w:val="04A0"/>
      </w:tblPr>
      <w:tblGrid>
        <w:gridCol w:w="3600"/>
        <w:gridCol w:w="2250"/>
        <w:gridCol w:w="1350"/>
        <w:gridCol w:w="1530"/>
      </w:tblGrid>
      <w:tr w:rsidR="00635D6A" w:rsidRPr="00635D6A" w:rsidTr="00E3068C">
        <w:trPr>
          <w:tblHeader/>
          <w:tblCellSpacing w:w="15" w:type="dxa"/>
        </w:trPr>
        <w:tc>
          <w:tcPr>
            <w:tcW w:w="355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both"/>
              <w:rPr>
                <w:rFonts w:ascii="Times New Roman" w:hAnsi="Times New Roman" w:cs="Times New Roman"/>
              </w:rPr>
            </w:pPr>
            <w:r w:rsidRPr="00635D6A">
              <w:rPr>
                <w:rStyle w:val="Strong"/>
                <w:rFonts w:ascii="Times New Roman" w:hAnsi="Times New Roman" w:cs="Times New Roman"/>
              </w:rPr>
              <w:t>Name of Bank</w:t>
            </w:r>
          </w:p>
        </w:tc>
        <w:tc>
          <w:tcPr>
            <w:tcW w:w="2220" w:type="dxa"/>
            <w:tcBorders>
              <w:top w:val="single" w:sz="6" w:space="0" w:color="auto"/>
              <w:left w:val="single" w:sz="6" w:space="0" w:color="auto"/>
              <w:bottom w:val="single" w:sz="6" w:space="0" w:color="auto"/>
              <w:right w:val="single" w:sz="6" w:space="0" w:color="auto"/>
            </w:tcBorders>
            <w:vAlign w:val="center"/>
            <w:hideMark/>
          </w:tcPr>
          <w:p w:rsidR="00635D6A" w:rsidRPr="00E3068C" w:rsidRDefault="00635D6A" w:rsidP="0059199C">
            <w:pPr>
              <w:spacing w:after="0" w:line="240" w:lineRule="auto"/>
              <w:jc w:val="both"/>
              <w:rPr>
                <w:rFonts w:ascii="Times New Roman" w:hAnsi="Times New Roman" w:cs="Times New Roman"/>
                <w:b/>
                <w:bCs/>
              </w:rPr>
            </w:pPr>
            <w:r w:rsidRPr="00635D6A">
              <w:rPr>
                <w:rStyle w:val="Strong"/>
                <w:rFonts w:ascii="Times New Roman" w:hAnsi="Times New Roman" w:cs="Times New Roman"/>
              </w:rPr>
              <w:t>Total Population (Ni​)</w:t>
            </w:r>
          </w:p>
        </w:tc>
        <w:tc>
          <w:tcPr>
            <w:tcW w:w="1320" w:type="dxa"/>
            <w:tcBorders>
              <w:top w:val="single" w:sz="6" w:space="0" w:color="auto"/>
              <w:left w:val="single" w:sz="6" w:space="0" w:color="auto"/>
              <w:bottom w:val="single" w:sz="6" w:space="0" w:color="auto"/>
              <w:right w:val="single" w:sz="6" w:space="0" w:color="auto"/>
            </w:tcBorders>
            <w:vAlign w:val="center"/>
            <w:hideMark/>
          </w:tcPr>
          <w:p w:rsidR="00635D6A" w:rsidRDefault="00635D6A" w:rsidP="0059199C">
            <w:pPr>
              <w:spacing w:after="0" w:line="240" w:lineRule="auto"/>
              <w:jc w:val="both"/>
              <w:rPr>
                <w:rStyle w:val="Strong"/>
                <w:rFonts w:ascii="Times New Roman" w:hAnsi="Times New Roman" w:cs="Times New Roman"/>
              </w:rPr>
            </w:pPr>
            <w:r w:rsidRPr="00635D6A">
              <w:rPr>
                <w:rStyle w:val="Strong"/>
                <w:rFonts w:ascii="Times New Roman" w:hAnsi="Times New Roman" w:cs="Times New Roman"/>
              </w:rPr>
              <w:t>Percentage</w:t>
            </w:r>
          </w:p>
          <w:p w:rsidR="003534B2" w:rsidRPr="00635D6A" w:rsidRDefault="003534B2" w:rsidP="0059199C">
            <w:pPr>
              <w:spacing w:after="0" w:line="240" w:lineRule="auto"/>
              <w:jc w:val="both"/>
              <w:rPr>
                <w:rFonts w:ascii="Times New Roman" w:hAnsi="Times New Roman" w:cs="Times New Roman"/>
              </w:rPr>
            </w:pPr>
          </w:p>
        </w:tc>
        <w:tc>
          <w:tcPr>
            <w:tcW w:w="148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both"/>
              <w:rPr>
                <w:rFonts w:ascii="Times New Roman" w:hAnsi="Times New Roman" w:cs="Times New Roman"/>
              </w:rPr>
            </w:pPr>
            <w:r w:rsidRPr="00635D6A">
              <w:rPr>
                <w:rStyle w:val="Strong"/>
                <w:rFonts w:ascii="Times New Roman" w:hAnsi="Times New Roman" w:cs="Times New Roman"/>
              </w:rPr>
              <w:t>Sample (</w:t>
            </w:r>
            <w:proofErr w:type="spellStart"/>
            <w:r w:rsidRPr="00635D6A">
              <w:rPr>
                <w:rStyle w:val="Strong"/>
                <w:rFonts w:ascii="Times New Roman" w:hAnsi="Times New Roman" w:cs="Times New Roman"/>
              </w:rPr>
              <w:t>ni</w:t>
            </w:r>
            <w:proofErr w:type="spellEnd"/>
            <w:r w:rsidRPr="00635D6A">
              <w:rPr>
                <w:rStyle w:val="Strong"/>
                <w:rFonts w:ascii="Times New Roman" w:hAnsi="Times New Roman" w:cs="Times New Roman"/>
              </w:rPr>
              <w:t>​)</w:t>
            </w:r>
          </w:p>
        </w:tc>
      </w:tr>
      <w:tr w:rsidR="00635D6A" w:rsidRPr="00635D6A" w:rsidTr="00E3068C">
        <w:trPr>
          <w:tblCellSpacing w:w="15" w:type="dxa"/>
        </w:trPr>
        <w:tc>
          <w:tcPr>
            <w:tcW w:w="355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both"/>
              <w:rPr>
                <w:rFonts w:ascii="Times New Roman" w:hAnsi="Times New Roman" w:cs="Times New Roman"/>
              </w:rPr>
            </w:pPr>
            <w:r w:rsidRPr="00635D6A">
              <w:rPr>
                <w:rFonts w:ascii="Times New Roman" w:hAnsi="Times New Roman" w:cs="Times New Roman"/>
              </w:rPr>
              <w:t>Commercial Bank of Ethiopia (CBE)</w:t>
            </w:r>
          </w:p>
        </w:tc>
        <w:tc>
          <w:tcPr>
            <w:tcW w:w="2220"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250</w:t>
            </w:r>
          </w:p>
        </w:tc>
        <w:tc>
          <w:tcPr>
            <w:tcW w:w="1320"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38.2%</w:t>
            </w:r>
          </w:p>
        </w:tc>
        <w:tc>
          <w:tcPr>
            <w:tcW w:w="148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95</w:t>
            </w:r>
          </w:p>
        </w:tc>
      </w:tr>
      <w:tr w:rsidR="00635D6A" w:rsidRPr="00635D6A" w:rsidTr="00E3068C">
        <w:trPr>
          <w:tblCellSpacing w:w="15" w:type="dxa"/>
        </w:trPr>
        <w:tc>
          <w:tcPr>
            <w:tcW w:w="355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both"/>
              <w:rPr>
                <w:rFonts w:ascii="Times New Roman" w:hAnsi="Times New Roman" w:cs="Times New Roman"/>
              </w:rPr>
            </w:pPr>
            <w:r w:rsidRPr="00635D6A">
              <w:rPr>
                <w:rFonts w:ascii="Times New Roman" w:hAnsi="Times New Roman" w:cs="Times New Roman"/>
              </w:rPr>
              <w:t>Awash Bank</w:t>
            </w:r>
          </w:p>
        </w:tc>
        <w:tc>
          <w:tcPr>
            <w:tcW w:w="2220"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150</w:t>
            </w:r>
          </w:p>
        </w:tc>
        <w:tc>
          <w:tcPr>
            <w:tcW w:w="1320"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22.9%</w:t>
            </w:r>
          </w:p>
        </w:tc>
        <w:tc>
          <w:tcPr>
            <w:tcW w:w="148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57</w:t>
            </w:r>
          </w:p>
        </w:tc>
      </w:tr>
      <w:tr w:rsidR="00635D6A" w:rsidRPr="00635D6A" w:rsidTr="00E3068C">
        <w:trPr>
          <w:tblCellSpacing w:w="15" w:type="dxa"/>
        </w:trPr>
        <w:tc>
          <w:tcPr>
            <w:tcW w:w="355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both"/>
              <w:rPr>
                <w:rFonts w:ascii="Times New Roman" w:hAnsi="Times New Roman" w:cs="Times New Roman"/>
              </w:rPr>
            </w:pPr>
            <w:proofErr w:type="spellStart"/>
            <w:r w:rsidRPr="00635D6A">
              <w:rPr>
                <w:rFonts w:ascii="Times New Roman" w:hAnsi="Times New Roman" w:cs="Times New Roman"/>
              </w:rPr>
              <w:t>Dashen</w:t>
            </w:r>
            <w:proofErr w:type="spellEnd"/>
            <w:r w:rsidRPr="00635D6A">
              <w:rPr>
                <w:rFonts w:ascii="Times New Roman" w:hAnsi="Times New Roman" w:cs="Times New Roman"/>
              </w:rPr>
              <w:t xml:space="preserve"> Bank</w:t>
            </w:r>
          </w:p>
        </w:tc>
        <w:tc>
          <w:tcPr>
            <w:tcW w:w="2220"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135</w:t>
            </w:r>
          </w:p>
        </w:tc>
        <w:tc>
          <w:tcPr>
            <w:tcW w:w="1320"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20.6%</w:t>
            </w:r>
          </w:p>
        </w:tc>
        <w:tc>
          <w:tcPr>
            <w:tcW w:w="148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51</w:t>
            </w:r>
          </w:p>
        </w:tc>
      </w:tr>
      <w:tr w:rsidR="00635D6A" w:rsidRPr="00635D6A" w:rsidTr="00E3068C">
        <w:trPr>
          <w:tblCellSpacing w:w="15" w:type="dxa"/>
        </w:trPr>
        <w:tc>
          <w:tcPr>
            <w:tcW w:w="355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both"/>
              <w:rPr>
                <w:rFonts w:ascii="Times New Roman" w:hAnsi="Times New Roman" w:cs="Times New Roman"/>
              </w:rPr>
            </w:pPr>
            <w:proofErr w:type="spellStart"/>
            <w:r w:rsidRPr="00635D6A">
              <w:rPr>
                <w:rFonts w:ascii="Times New Roman" w:hAnsi="Times New Roman" w:cs="Times New Roman"/>
              </w:rPr>
              <w:t>Wegagen</w:t>
            </w:r>
            <w:proofErr w:type="spellEnd"/>
            <w:r w:rsidRPr="00635D6A">
              <w:rPr>
                <w:rFonts w:ascii="Times New Roman" w:hAnsi="Times New Roman" w:cs="Times New Roman"/>
              </w:rPr>
              <w:t xml:space="preserve"> Bank</w:t>
            </w:r>
          </w:p>
        </w:tc>
        <w:tc>
          <w:tcPr>
            <w:tcW w:w="2220"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120</w:t>
            </w:r>
          </w:p>
        </w:tc>
        <w:tc>
          <w:tcPr>
            <w:tcW w:w="1320"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18.3%</w:t>
            </w:r>
          </w:p>
        </w:tc>
        <w:tc>
          <w:tcPr>
            <w:tcW w:w="148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rPr>
              <w:t>45</w:t>
            </w:r>
          </w:p>
        </w:tc>
      </w:tr>
      <w:tr w:rsidR="00635D6A" w:rsidRPr="00635D6A" w:rsidTr="00E3068C">
        <w:trPr>
          <w:tblCellSpacing w:w="15" w:type="dxa"/>
        </w:trPr>
        <w:tc>
          <w:tcPr>
            <w:tcW w:w="355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both"/>
              <w:rPr>
                <w:rFonts w:ascii="Times New Roman" w:hAnsi="Times New Roman" w:cs="Times New Roman"/>
              </w:rPr>
            </w:pPr>
            <w:r w:rsidRPr="00635D6A">
              <w:rPr>
                <w:rFonts w:ascii="Times New Roman" w:hAnsi="Times New Roman" w:cs="Times New Roman"/>
                <w:b/>
                <w:bCs/>
              </w:rPr>
              <w:t>Total</w:t>
            </w:r>
          </w:p>
        </w:tc>
        <w:tc>
          <w:tcPr>
            <w:tcW w:w="2220"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b/>
                <w:bCs/>
              </w:rPr>
              <w:t>655</w:t>
            </w:r>
          </w:p>
        </w:tc>
        <w:tc>
          <w:tcPr>
            <w:tcW w:w="1320"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b/>
                <w:bCs/>
              </w:rPr>
              <w:t>100%</w:t>
            </w:r>
          </w:p>
        </w:tc>
        <w:tc>
          <w:tcPr>
            <w:tcW w:w="1485" w:type="dxa"/>
            <w:tcBorders>
              <w:top w:val="single" w:sz="6" w:space="0" w:color="auto"/>
              <w:left w:val="single" w:sz="6" w:space="0" w:color="auto"/>
              <w:bottom w:val="single" w:sz="6" w:space="0" w:color="auto"/>
              <w:right w:val="single" w:sz="6" w:space="0" w:color="auto"/>
            </w:tcBorders>
            <w:vAlign w:val="center"/>
            <w:hideMark/>
          </w:tcPr>
          <w:p w:rsidR="00635D6A" w:rsidRPr="00635D6A" w:rsidRDefault="00635D6A" w:rsidP="0059199C">
            <w:pPr>
              <w:spacing w:after="0" w:line="240" w:lineRule="auto"/>
              <w:jc w:val="center"/>
              <w:rPr>
                <w:rFonts w:ascii="Times New Roman" w:hAnsi="Times New Roman" w:cs="Times New Roman"/>
              </w:rPr>
            </w:pPr>
            <w:r w:rsidRPr="00635D6A">
              <w:rPr>
                <w:rFonts w:ascii="Times New Roman" w:hAnsi="Times New Roman" w:cs="Times New Roman"/>
                <w:b/>
                <w:bCs/>
              </w:rPr>
              <w:t>248</w:t>
            </w:r>
          </w:p>
        </w:tc>
      </w:tr>
    </w:tbl>
    <w:p w:rsidR="000F7C59" w:rsidRPr="00ED3FDE" w:rsidRDefault="000F7C59" w:rsidP="000F7C59">
      <w:pPr>
        <w:pStyle w:val="NormalWeb"/>
        <w:spacing w:before="0" w:beforeAutospacing="0" w:after="0" w:afterAutospacing="0"/>
        <w:jc w:val="both"/>
        <w:rPr>
          <w:sz w:val="22"/>
          <w:szCs w:val="22"/>
        </w:rPr>
      </w:pPr>
      <w:r w:rsidRPr="00ED3FDE">
        <w:rPr>
          <w:sz w:val="22"/>
          <w:szCs w:val="22"/>
        </w:rPr>
        <w:t xml:space="preserve">  </w:t>
      </w:r>
      <w:r>
        <w:rPr>
          <w:sz w:val="22"/>
          <w:szCs w:val="22"/>
        </w:rPr>
        <w:t xml:space="preserve">   </w:t>
      </w:r>
      <w:r w:rsidRPr="00ED3FDE">
        <w:rPr>
          <w:sz w:val="22"/>
          <w:szCs w:val="22"/>
        </w:rPr>
        <w:t>Source: Survey Result, (2026)</w:t>
      </w:r>
    </w:p>
    <w:p w:rsidR="00635D6A" w:rsidRPr="003534B2" w:rsidRDefault="00635D6A" w:rsidP="00AF70F4">
      <w:pPr>
        <w:pStyle w:val="Heading4"/>
        <w:numPr>
          <w:ilvl w:val="2"/>
          <w:numId w:val="9"/>
        </w:numPr>
        <w:tabs>
          <w:tab w:val="left" w:pos="450"/>
          <w:tab w:val="left" w:pos="540"/>
        </w:tabs>
        <w:spacing w:before="120" w:line="240" w:lineRule="auto"/>
        <w:jc w:val="both"/>
        <w:rPr>
          <w:rFonts w:ascii="Times New Roman" w:hAnsi="Times New Roman" w:cs="Times New Roman"/>
          <w:i w:val="0"/>
          <w:color w:val="auto"/>
        </w:rPr>
      </w:pPr>
      <w:r w:rsidRPr="00635D6A">
        <w:rPr>
          <w:rFonts w:ascii="Times New Roman" w:hAnsi="Times New Roman" w:cs="Times New Roman"/>
        </w:rPr>
        <w:t xml:space="preserve"> </w:t>
      </w:r>
      <w:r w:rsidRPr="003534B2">
        <w:rPr>
          <w:rFonts w:ascii="Times New Roman" w:hAnsi="Times New Roman" w:cs="Times New Roman"/>
          <w:i w:val="0"/>
          <w:color w:val="auto"/>
        </w:rPr>
        <w:t>Sampling Technique</w:t>
      </w:r>
    </w:p>
    <w:p w:rsidR="00635D6A" w:rsidRPr="00635D6A" w:rsidRDefault="00635D6A" w:rsidP="00635D6A">
      <w:pPr>
        <w:pStyle w:val="NormalWeb"/>
        <w:spacing w:before="120" w:beforeAutospacing="0" w:after="0" w:afterAutospacing="0"/>
        <w:jc w:val="both"/>
        <w:rPr>
          <w:sz w:val="22"/>
          <w:szCs w:val="22"/>
        </w:rPr>
      </w:pPr>
      <w:r w:rsidRPr="00635D6A">
        <w:rPr>
          <w:sz w:val="22"/>
          <w:szCs w:val="22"/>
        </w:rPr>
        <w:t xml:space="preserve">The study employs </w:t>
      </w:r>
      <w:r w:rsidRPr="003534B2">
        <w:rPr>
          <w:bCs/>
          <w:sz w:val="22"/>
          <w:szCs w:val="22"/>
        </w:rPr>
        <w:t>stratified random sampling</w:t>
      </w:r>
      <w:r w:rsidRPr="00635D6A">
        <w:rPr>
          <w:sz w:val="22"/>
          <w:szCs w:val="22"/>
        </w:rPr>
        <w:t xml:space="preserve"> followed by </w:t>
      </w:r>
      <w:r w:rsidRPr="003534B2">
        <w:rPr>
          <w:bCs/>
          <w:sz w:val="22"/>
          <w:szCs w:val="22"/>
        </w:rPr>
        <w:t>purposive sampling</w:t>
      </w:r>
      <w:r w:rsidRPr="00635D6A">
        <w:rPr>
          <w:sz w:val="22"/>
          <w:szCs w:val="22"/>
        </w:rPr>
        <w:t>. First, the population is divided into strata based on the specific banks. Within each bank, purposive sampling is used to select participants from the Risk, IT, and Strategic Planning departments to ensure the respondents are those with direct relevance to the research variables. Finally, simple random sampling is applied within these departments to select the specific individuals who will receive the survey.</w:t>
      </w:r>
    </w:p>
    <w:p w:rsidR="00635D6A" w:rsidRPr="00635D6A" w:rsidRDefault="00635D6A" w:rsidP="003534B2">
      <w:pPr>
        <w:pStyle w:val="Heading3"/>
        <w:numPr>
          <w:ilvl w:val="1"/>
          <w:numId w:val="9"/>
        </w:numPr>
        <w:spacing w:before="120" w:beforeAutospacing="0" w:after="0" w:afterAutospacing="0"/>
        <w:jc w:val="both"/>
        <w:rPr>
          <w:sz w:val="22"/>
          <w:szCs w:val="22"/>
        </w:rPr>
      </w:pPr>
      <w:r w:rsidRPr="00635D6A">
        <w:rPr>
          <w:sz w:val="22"/>
          <w:szCs w:val="22"/>
        </w:rPr>
        <w:t>Sources of Data and Data Collection Tools</w:t>
      </w:r>
    </w:p>
    <w:p w:rsidR="00635D6A" w:rsidRPr="003534B2" w:rsidRDefault="00635D6A" w:rsidP="003534B2">
      <w:pPr>
        <w:pStyle w:val="Heading4"/>
        <w:numPr>
          <w:ilvl w:val="2"/>
          <w:numId w:val="9"/>
        </w:numPr>
        <w:tabs>
          <w:tab w:val="left" w:pos="450"/>
          <w:tab w:val="left" w:pos="540"/>
        </w:tabs>
        <w:spacing w:before="120" w:line="240" w:lineRule="auto"/>
        <w:jc w:val="both"/>
        <w:rPr>
          <w:rFonts w:ascii="Times New Roman" w:hAnsi="Times New Roman" w:cs="Times New Roman"/>
          <w:i w:val="0"/>
          <w:color w:val="auto"/>
        </w:rPr>
      </w:pPr>
      <w:r w:rsidRPr="003534B2">
        <w:rPr>
          <w:rFonts w:ascii="Times New Roman" w:hAnsi="Times New Roman" w:cs="Times New Roman"/>
          <w:i w:val="0"/>
          <w:color w:val="auto"/>
        </w:rPr>
        <w:t>Sources of Data</w:t>
      </w:r>
    </w:p>
    <w:p w:rsidR="00635D6A" w:rsidRPr="00635D6A" w:rsidRDefault="00635D6A" w:rsidP="00635D6A">
      <w:pPr>
        <w:pStyle w:val="NormalWeb"/>
        <w:spacing w:before="120" w:beforeAutospacing="0" w:after="0" w:afterAutospacing="0"/>
        <w:jc w:val="both"/>
        <w:rPr>
          <w:sz w:val="22"/>
          <w:szCs w:val="22"/>
        </w:rPr>
      </w:pPr>
      <w:r w:rsidRPr="00635D6A">
        <w:rPr>
          <w:sz w:val="22"/>
          <w:szCs w:val="22"/>
        </w:rPr>
        <w:t xml:space="preserve">The study utilizes both </w:t>
      </w:r>
      <w:r w:rsidRPr="003534B2">
        <w:rPr>
          <w:bCs/>
          <w:sz w:val="22"/>
          <w:szCs w:val="22"/>
        </w:rPr>
        <w:t>primary and secondary data sources</w:t>
      </w:r>
      <w:r w:rsidRPr="00635D6A">
        <w:rPr>
          <w:sz w:val="22"/>
          <w:szCs w:val="22"/>
        </w:rPr>
        <w:t>. Primary data is collected directly from the participants through structured questionnaires. Secondary data is gathered from the annual reports of the selected banks (2020–2025), National Bank of Ethiopia publications, and relevant journals to corroborate the financial performance data (ROA/ROE) and environmental policies.</w:t>
      </w:r>
    </w:p>
    <w:p w:rsidR="00635D6A" w:rsidRPr="003534B2" w:rsidRDefault="00635D6A" w:rsidP="003534B2">
      <w:pPr>
        <w:pStyle w:val="Heading4"/>
        <w:numPr>
          <w:ilvl w:val="2"/>
          <w:numId w:val="9"/>
        </w:numPr>
        <w:tabs>
          <w:tab w:val="left" w:pos="540"/>
        </w:tabs>
        <w:spacing w:before="120" w:line="240" w:lineRule="auto"/>
        <w:jc w:val="both"/>
        <w:rPr>
          <w:rFonts w:ascii="Times New Roman" w:hAnsi="Times New Roman" w:cs="Times New Roman"/>
          <w:i w:val="0"/>
          <w:color w:val="auto"/>
        </w:rPr>
      </w:pPr>
      <w:r w:rsidRPr="00635D6A">
        <w:rPr>
          <w:rFonts w:ascii="Times New Roman" w:hAnsi="Times New Roman" w:cs="Times New Roman"/>
        </w:rPr>
        <w:t xml:space="preserve"> </w:t>
      </w:r>
      <w:r w:rsidRPr="003534B2">
        <w:rPr>
          <w:rFonts w:ascii="Times New Roman" w:hAnsi="Times New Roman" w:cs="Times New Roman"/>
          <w:i w:val="0"/>
          <w:color w:val="auto"/>
        </w:rPr>
        <w:t>Data Collection Tools</w:t>
      </w:r>
    </w:p>
    <w:p w:rsidR="00635D6A" w:rsidRPr="00635D6A" w:rsidRDefault="00635D6A" w:rsidP="00635D6A">
      <w:pPr>
        <w:pStyle w:val="NormalWeb"/>
        <w:spacing w:before="120" w:beforeAutospacing="0" w:after="0" w:afterAutospacing="0"/>
        <w:jc w:val="both"/>
        <w:rPr>
          <w:sz w:val="22"/>
          <w:szCs w:val="22"/>
        </w:rPr>
      </w:pPr>
      <w:r w:rsidRPr="00635D6A">
        <w:rPr>
          <w:sz w:val="22"/>
          <w:szCs w:val="22"/>
        </w:rPr>
        <w:t xml:space="preserve">The primary tool for data collection is a </w:t>
      </w:r>
      <w:r w:rsidRPr="003534B2">
        <w:rPr>
          <w:bCs/>
          <w:sz w:val="22"/>
          <w:szCs w:val="22"/>
        </w:rPr>
        <w:t xml:space="preserve">structured </w:t>
      </w:r>
      <w:proofErr w:type="spellStart"/>
      <w:r w:rsidRPr="003534B2">
        <w:rPr>
          <w:bCs/>
          <w:sz w:val="22"/>
          <w:szCs w:val="22"/>
        </w:rPr>
        <w:t>Likert</w:t>
      </w:r>
      <w:proofErr w:type="spellEnd"/>
      <w:r w:rsidRPr="003534B2">
        <w:rPr>
          <w:bCs/>
          <w:sz w:val="22"/>
          <w:szCs w:val="22"/>
        </w:rPr>
        <w:t>-scale questionnaire</w:t>
      </w:r>
      <w:r w:rsidRPr="00635D6A">
        <w:rPr>
          <w:sz w:val="22"/>
          <w:szCs w:val="22"/>
        </w:rPr>
        <w:t xml:space="preserve">. The questionnaire is divided into sections covering the five independent variables and the dependent variable. Each item is measured on a 5-point </w:t>
      </w:r>
      <w:proofErr w:type="spellStart"/>
      <w:r w:rsidRPr="00635D6A">
        <w:rPr>
          <w:sz w:val="22"/>
          <w:szCs w:val="22"/>
        </w:rPr>
        <w:t>Likert</w:t>
      </w:r>
      <w:proofErr w:type="spellEnd"/>
      <w:r w:rsidRPr="00635D6A">
        <w:rPr>
          <w:sz w:val="22"/>
          <w:szCs w:val="22"/>
        </w:rPr>
        <w:t xml:space="preserve"> scale (1 = Strongly Disagree to 5 = Strongly Agree). This tool is chosen for its ability to quantify perceptions and attitudes into measurable data points suitable for statistical regression.</w:t>
      </w:r>
    </w:p>
    <w:p w:rsidR="00635D6A" w:rsidRPr="00635D6A" w:rsidRDefault="00635D6A" w:rsidP="003534B2">
      <w:pPr>
        <w:pStyle w:val="Heading3"/>
        <w:numPr>
          <w:ilvl w:val="1"/>
          <w:numId w:val="9"/>
        </w:numPr>
        <w:spacing w:before="120" w:beforeAutospacing="0" w:after="0" w:afterAutospacing="0"/>
        <w:jc w:val="both"/>
        <w:rPr>
          <w:sz w:val="22"/>
          <w:szCs w:val="22"/>
        </w:rPr>
      </w:pPr>
      <w:r w:rsidRPr="00635D6A">
        <w:rPr>
          <w:sz w:val="22"/>
          <w:szCs w:val="22"/>
        </w:rPr>
        <w:t xml:space="preserve"> Method of Data Analysis</w:t>
      </w:r>
    </w:p>
    <w:p w:rsidR="003534B2" w:rsidRDefault="003534B2" w:rsidP="003534B2">
      <w:pPr>
        <w:pStyle w:val="Heading3"/>
        <w:spacing w:before="120" w:beforeAutospacing="0" w:after="0" w:afterAutospacing="0"/>
        <w:jc w:val="both"/>
        <w:rPr>
          <w:b w:val="0"/>
          <w:sz w:val="22"/>
          <w:szCs w:val="22"/>
        </w:rPr>
      </w:pPr>
      <w:r w:rsidRPr="003534B2">
        <w:rPr>
          <w:b w:val="0"/>
          <w:sz w:val="22"/>
          <w:szCs w:val="22"/>
        </w:rPr>
        <w:t xml:space="preserve">The data analysis process was conducted systematically using the </w:t>
      </w:r>
      <w:r w:rsidRPr="003534B2">
        <w:rPr>
          <w:b w:val="0"/>
          <w:bCs w:val="0"/>
          <w:sz w:val="22"/>
          <w:szCs w:val="22"/>
        </w:rPr>
        <w:t>Statistical Package for the Social Sciences (SPSS)</w:t>
      </w:r>
      <w:r w:rsidRPr="003534B2">
        <w:rPr>
          <w:b w:val="0"/>
          <w:sz w:val="22"/>
          <w:szCs w:val="22"/>
        </w:rPr>
        <w:t xml:space="preserve"> to ensure accuracy and statistical rigor. The initial phase involved </w:t>
      </w:r>
      <w:r w:rsidRPr="003534B2">
        <w:rPr>
          <w:b w:val="0"/>
          <w:bCs w:val="0"/>
          <w:sz w:val="22"/>
          <w:szCs w:val="22"/>
        </w:rPr>
        <w:t>Descriptive Analysis</w:t>
      </w:r>
      <w:r w:rsidRPr="003534B2">
        <w:rPr>
          <w:b w:val="0"/>
          <w:sz w:val="22"/>
          <w:szCs w:val="22"/>
        </w:rPr>
        <w:t xml:space="preserve">, </w:t>
      </w:r>
      <w:r w:rsidRPr="003534B2">
        <w:rPr>
          <w:b w:val="0"/>
          <w:sz w:val="22"/>
          <w:szCs w:val="22"/>
        </w:rPr>
        <w:lastRenderedPageBreak/>
        <w:t xml:space="preserve">where frequencies, percentages, means, and standard deviations were calculated to summarize the demographic characteristics of the participants and to provide a baseline understanding of the levels of green banking adoption observed within the selected institutions. Subsequently, </w:t>
      </w:r>
      <w:r w:rsidRPr="003534B2">
        <w:rPr>
          <w:b w:val="0"/>
          <w:bCs w:val="0"/>
          <w:sz w:val="22"/>
          <w:szCs w:val="22"/>
        </w:rPr>
        <w:t>Inferential Analysis</w:t>
      </w:r>
      <w:r w:rsidRPr="003534B2">
        <w:rPr>
          <w:b w:val="0"/>
          <w:sz w:val="22"/>
          <w:szCs w:val="22"/>
        </w:rPr>
        <w:t xml:space="preserve"> was performed to test the research hypotheses. This included the use of </w:t>
      </w:r>
      <w:r w:rsidRPr="003534B2">
        <w:rPr>
          <w:b w:val="0"/>
          <w:bCs w:val="0"/>
          <w:sz w:val="22"/>
          <w:szCs w:val="22"/>
        </w:rPr>
        <w:t>Pearson Correlation</w:t>
      </w:r>
      <w:r w:rsidRPr="003534B2">
        <w:rPr>
          <w:b w:val="0"/>
          <w:sz w:val="22"/>
          <w:szCs w:val="22"/>
        </w:rPr>
        <w:t xml:space="preserve"> to identify the strength and direction of the relationships between the independent and dependent variables. Finally, </w:t>
      </w:r>
      <w:r w:rsidRPr="003534B2">
        <w:rPr>
          <w:b w:val="0"/>
          <w:bCs w:val="0"/>
          <w:sz w:val="22"/>
          <w:szCs w:val="22"/>
        </w:rPr>
        <w:t>Multiple Linear Regression</w:t>
      </w:r>
      <w:r w:rsidRPr="003534B2">
        <w:rPr>
          <w:b w:val="0"/>
          <w:sz w:val="22"/>
          <w:szCs w:val="22"/>
        </w:rPr>
        <w:t xml:space="preserve"> was employed to evaluate the specific predictive impa</w:t>
      </w:r>
      <w:r w:rsidR="004C5021">
        <w:rPr>
          <w:b w:val="0"/>
          <w:sz w:val="22"/>
          <w:szCs w:val="22"/>
        </w:rPr>
        <w:t xml:space="preserve">ct of each independent variable </w:t>
      </w:r>
      <w:r w:rsidRPr="003534B2">
        <w:rPr>
          <w:b w:val="0"/>
          <w:sz w:val="22"/>
          <w:szCs w:val="22"/>
        </w:rPr>
        <w:t>such as green banking initiatives and</w:t>
      </w:r>
      <w:r w:rsidR="004C5021">
        <w:rPr>
          <w:b w:val="0"/>
          <w:sz w:val="22"/>
          <w:szCs w:val="22"/>
        </w:rPr>
        <w:t xml:space="preserve"> environmental risk assessments </w:t>
      </w:r>
      <w:r w:rsidRPr="003534B2">
        <w:rPr>
          <w:b w:val="0"/>
          <w:sz w:val="22"/>
          <w:szCs w:val="22"/>
        </w:rPr>
        <w:t>on organizational performance, allowing the study to determine the magnitude of these effects while controlling for institutional barriers.</w:t>
      </w:r>
    </w:p>
    <w:p w:rsidR="00635D6A" w:rsidRPr="00635D6A" w:rsidRDefault="00635D6A" w:rsidP="004C5021">
      <w:pPr>
        <w:pStyle w:val="Heading3"/>
        <w:numPr>
          <w:ilvl w:val="1"/>
          <w:numId w:val="9"/>
        </w:numPr>
        <w:spacing w:before="120" w:beforeAutospacing="0" w:after="0" w:afterAutospacing="0"/>
        <w:jc w:val="both"/>
        <w:rPr>
          <w:sz w:val="22"/>
          <w:szCs w:val="22"/>
        </w:rPr>
      </w:pPr>
      <w:r w:rsidRPr="00635D6A">
        <w:rPr>
          <w:sz w:val="22"/>
          <w:szCs w:val="22"/>
        </w:rPr>
        <w:t xml:space="preserve"> Model Specification</w:t>
      </w:r>
    </w:p>
    <w:p w:rsidR="00746BFD" w:rsidRPr="00746BFD" w:rsidRDefault="00746BFD" w:rsidP="00746BFD">
      <w:pPr>
        <w:pStyle w:val="NormalWeb"/>
        <w:spacing w:before="120" w:beforeAutospacing="0" w:after="0" w:afterAutospacing="0"/>
        <w:jc w:val="both"/>
        <w:rPr>
          <w:sz w:val="22"/>
          <w:szCs w:val="22"/>
        </w:rPr>
      </w:pPr>
      <w:r w:rsidRPr="00746BFD">
        <w:rPr>
          <w:sz w:val="22"/>
          <w:szCs w:val="22"/>
        </w:rPr>
        <w:t>To test the research hypotheses, a multiple linear regression model was specified to quantify the relationship between the identified independent variables and the dependent variable. The model was formulated as follows:</w:t>
      </w:r>
    </w:p>
    <w:p w:rsidR="004C5021" w:rsidRPr="004C5021" w:rsidRDefault="004C5021" w:rsidP="00746BFD">
      <w:pPr>
        <w:pStyle w:val="NormalWeb"/>
        <w:spacing w:before="120" w:beforeAutospacing="0" w:after="0" w:afterAutospacing="0"/>
        <w:jc w:val="center"/>
        <w:rPr>
          <w:b/>
          <w:sz w:val="22"/>
          <w:szCs w:val="22"/>
        </w:rPr>
      </w:pPr>
      <w:r w:rsidRPr="004C5021">
        <w:rPr>
          <w:rStyle w:val="math-inline"/>
          <w:rFonts w:eastAsiaTheme="majorEastAsia"/>
          <w:b/>
          <w:sz w:val="22"/>
          <w:szCs w:val="22"/>
        </w:rPr>
        <w:t>OP</w:t>
      </w:r>
      <w:r w:rsidR="00635D6A" w:rsidRPr="004C5021">
        <w:rPr>
          <w:rStyle w:val="math-inline"/>
          <w:rFonts w:eastAsiaTheme="majorEastAsia"/>
          <w:b/>
          <w:sz w:val="22"/>
          <w:szCs w:val="22"/>
        </w:rPr>
        <w:t xml:space="preserve"> = </w:t>
      </w:r>
      <w:r w:rsidRPr="004C5021">
        <w:rPr>
          <w:rStyle w:val="mord"/>
          <w:b/>
        </w:rPr>
        <w:t>β</w:t>
      </w:r>
      <w:r w:rsidRPr="004C5021">
        <w:rPr>
          <w:rStyle w:val="mord"/>
          <w:b/>
          <w:vertAlign w:val="subscript"/>
        </w:rPr>
        <w:t>0</w:t>
      </w:r>
      <w:r w:rsidRPr="004C5021">
        <w:rPr>
          <w:rStyle w:val="vlist-s"/>
          <w:b/>
          <w:vertAlign w:val="subscript"/>
        </w:rPr>
        <w:t>​</w:t>
      </w:r>
      <w:r w:rsidR="00635D6A" w:rsidRPr="004C5021">
        <w:rPr>
          <w:rStyle w:val="math-inline"/>
          <w:rFonts w:eastAsiaTheme="majorEastAsia"/>
          <w:b/>
          <w:sz w:val="22"/>
          <w:szCs w:val="22"/>
        </w:rPr>
        <w:t xml:space="preserve">+ </w:t>
      </w:r>
      <w:r w:rsidRPr="004C5021">
        <w:rPr>
          <w:rStyle w:val="mord"/>
          <w:b/>
        </w:rPr>
        <w:t>β</w:t>
      </w:r>
      <w:r w:rsidRPr="004C5021">
        <w:rPr>
          <w:rStyle w:val="mord"/>
          <w:b/>
          <w:vertAlign w:val="subscript"/>
        </w:rPr>
        <w:t>1</w:t>
      </w:r>
      <w:proofErr w:type="gramStart"/>
      <w:r w:rsidRPr="004C5021">
        <w:rPr>
          <w:rStyle w:val="vlist-s"/>
          <w:b/>
          <w:vertAlign w:val="subscript"/>
        </w:rPr>
        <w:t>​</w:t>
      </w:r>
      <w:r w:rsidRPr="004C5021">
        <w:rPr>
          <w:rStyle w:val="mrel"/>
          <w:rFonts w:eastAsiaTheme="majorEastAsia"/>
          <w:b/>
          <w:sz w:val="22"/>
          <w:szCs w:val="22"/>
        </w:rPr>
        <w:t xml:space="preserve"> </w:t>
      </w:r>
      <w:r w:rsidR="001678A4">
        <w:rPr>
          <w:rStyle w:val="math-inline"/>
          <w:rFonts w:eastAsiaTheme="majorEastAsia"/>
          <w:b/>
          <w:sz w:val="22"/>
          <w:szCs w:val="22"/>
        </w:rPr>
        <w:t>GBA</w:t>
      </w:r>
      <w:proofErr w:type="gramEnd"/>
      <w:r w:rsidR="00635D6A" w:rsidRPr="004C5021">
        <w:rPr>
          <w:rStyle w:val="math-inline"/>
          <w:rFonts w:eastAsiaTheme="majorEastAsia"/>
          <w:b/>
          <w:sz w:val="22"/>
          <w:szCs w:val="22"/>
        </w:rPr>
        <w:t xml:space="preserve"> + </w:t>
      </w:r>
      <w:r w:rsidRPr="004C5021">
        <w:rPr>
          <w:rStyle w:val="mord"/>
          <w:b/>
        </w:rPr>
        <w:t>β</w:t>
      </w:r>
      <w:r w:rsidRPr="004C5021">
        <w:rPr>
          <w:rStyle w:val="mord"/>
          <w:b/>
          <w:vertAlign w:val="subscript"/>
        </w:rPr>
        <w:t>2</w:t>
      </w:r>
      <w:r w:rsidRPr="004C5021">
        <w:rPr>
          <w:rStyle w:val="vlist-s"/>
          <w:b/>
          <w:vertAlign w:val="subscript"/>
        </w:rPr>
        <w:t>​</w:t>
      </w:r>
      <w:r w:rsidRPr="004C5021">
        <w:rPr>
          <w:rStyle w:val="mrel"/>
          <w:rFonts w:eastAsiaTheme="majorEastAsia"/>
          <w:b/>
          <w:sz w:val="22"/>
          <w:szCs w:val="22"/>
        </w:rPr>
        <w:t xml:space="preserve"> </w:t>
      </w:r>
      <w:r w:rsidR="001678A4">
        <w:rPr>
          <w:rStyle w:val="math-inline"/>
          <w:rFonts w:eastAsiaTheme="majorEastAsia"/>
          <w:b/>
          <w:sz w:val="22"/>
          <w:szCs w:val="22"/>
        </w:rPr>
        <w:t xml:space="preserve">ES </w:t>
      </w:r>
      <w:r w:rsidR="00635D6A" w:rsidRPr="004C5021">
        <w:rPr>
          <w:rStyle w:val="math-inline"/>
          <w:rFonts w:eastAsiaTheme="majorEastAsia"/>
          <w:b/>
          <w:sz w:val="22"/>
          <w:szCs w:val="22"/>
        </w:rPr>
        <w:t xml:space="preserve">+ </w:t>
      </w:r>
      <w:r w:rsidRPr="004C5021">
        <w:rPr>
          <w:rStyle w:val="ListParagraphChar"/>
          <w:b/>
        </w:rPr>
        <w:t xml:space="preserve"> </w:t>
      </w:r>
      <w:r w:rsidRPr="004C5021">
        <w:rPr>
          <w:rStyle w:val="mord"/>
          <w:b/>
        </w:rPr>
        <w:t>β</w:t>
      </w:r>
      <w:r w:rsidRPr="004C5021">
        <w:rPr>
          <w:rStyle w:val="mord"/>
          <w:b/>
          <w:vertAlign w:val="subscript"/>
        </w:rPr>
        <w:t>3</w:t>
      </w:r>
      <w:r w:rsidRPr="004C5021">
        <w:rPr>
          <w:rStyle w:val="vlist-s"/>
          <w:b/>
          <w:vertAlign w:val="subscript"/>
        </w:rPr>
        <w:t>​</w:t>
      </w:r>
      <w:r w:rsidRPr="004C5021">
        <w:rPr>
          <w:rStyle w:val="mrel"/>
          <w:rFonts w:eastAsiaTheme="majorEastAsia"/>
          <w:b/>
          <w:sz w:val="22"/>
          <w:szCs w:val="22"/>
        </w:rPr>
        <w:t xml:space="preserve"> </w:t>
      </w:r>
      <w:r w:rsidR="001678A4">
        <w:rPr>
          <w:rStyle w:val="math-inline"/>
          <w:rFonts w:eastAsiaTheme="majorEastAsia"/>
          <w:b/>
          <w:sz w:val="22"/>
          <w:szCs w:val="22"/>
        </w:rPr>
        <w:t>GBI</w:t>
      </w:r>
      <w:r w:rsidR="00635D6A" w:rsidRPr="004C5021">
        <w:rPr>
          <w:rStyle w:val="math-inline"/>
          <w:rFonts w:eastAsiaTheme="majorEastAsia"/>
          <w:b/>
          <w:sz w:val="22"/>
          <w:szCs w:val="22"/>
        </w:rPr>
        <w:t xml:space="preserve"> + </w:t>
      </w:r>
      <w:r w:rsidRPr="004C5021">
        <w:rPr>
          <w:rStyle w:val="mord"/>
          <w:b/>
        </w:rPr>
        <w:t>β</w:t>
      </w:r>
      <w:r w:rsidRPr="004C5021">
        <w:rPr>
          <w:rStyle w:val="mord"/>
          <w:b/>
          <w:vertAlign w:val="subscript"/>
        </w:rPr>
        <w:t>1</w:t>
      </w:r>
      <w:r w:rsidRPr="004C5021">
        <w:rPr>
          <w:rStyle w:val="vlist-s"/>
          <w:b/>
          <w:vertAlign w:val="subscript"/>
        </w:rPr>
        <w:t>​</w:t>
      </w:r>
      <w:r w:rsidRPr="004C5021">
        <w:rPr>
          <w:rStyle w:val="mrel"/>
          <w:rFonts w:eastAsiaTheme="majorEastAsia"/>
          <w:b/>
          <w:sz w:val="22"/>
          <w:szCs w:val="22"/>
        </w:rPr>
        <w:t xml:space="preserve"> </w:t>
      </w:r>
      <w:r w:rsidR="001678A4">
        <w:rPr>
          <w:rStyle w:val="math-inline"/>
          <w:rFonts w:eastAsiaTheme="majorEastAsia"/>
          <w:b/>
          <w:sz w:val="22"/>
          <w:szCs w:val="22"/>
        </w:rPr>
        <w:t>ERA</w:t>
      </w:r>
      <w:r w:rsidR="00635D6A" w:rsidRPr="004C5021">
        <w:rPr>
          <w:rStyle w:val="math-inline"/>
          <w:rFonts w:eastAsiaTheme="majorEastAsia"/>
          <w:b/>
          <w:sz w:val="22"/>
          <w:szCs w:val="22"/>
        </w:rPr>
        <w:t xml:space="preserve"> + </w:t>
      </w:r>
      <w:r w:rsidRPr="004C5021">
        <w:rPr>
          <w:rStyle w:val="mord"/>
          <w:b/>
        </w:rPr>
        <w:t>β</w:t>
      </w:r>
      <w:r w:rsidRPr="004C5021">
        <w:rPr>
          <w:rStyle w:val="mord"/>
          <w:b/>
          <w:vertAlign w:val="subscript"/>
        </w:rPr>
        <w:t>1</w:t>
      </w:r>
      <w:r w:rsidRPr="004C5021">
        <w:rPr>
          <w:rStyle w:val="vlist-s"/>
          <w:b/>
          <w:vertAlign w:val="subscript"/>
        </w:rPr>
        <w:t>​</w:t>
      </w:r>
      <w:r w:rsidRPr="004C5021">
        <w:rPr>
          <w:rStyle w:val="mrel"/>
          <w:rFonts w:eastAsiaTheme="majorEastAsia"/>
          <w:b/>
          <w:sz w:val="22"/>
          <w:szCs w:val="22"/>
        </w:rPr>
        <w:t xml:space="preserve"> </w:t>
      </w:r>
      <w:r w:rsidR="001678A4">
        <w:rPr>
          <w:rStyle w:val="math-inline"/>
          <w:rFonts w:eastAsiaTheme="majorEastAsia"/>
          <w:b/>
          <w:sz w:val="22"/>
          <w:szCs w:val="22"/>
        </w:rPr>
        <w:t xml:space="preserve">BIC </w:t>
      </w:r>
      <w:proofErr w:type="spellStart"/>
      <w:r w:rsidR="00C71D2B">
        <w:rPr>
          <w:rStyle w:val="math-inline"/>
          <w:rFonts w:eastAsiaTheme="majorEastAsia"/>
          <w:b/>
          <w:sz w:val="22"/>
          <w:szCs w:val="22"/>
        </w:rPr>
        <w:t>i</w:t>
      </w:r>
      <w:proofErr w:type="spellEnd"/>
      <w:r w:rsidR="00635D6A" w:rsidRPr="004C5021">
        <w:rPr>
          <w:rStyle w:val="math-inline"/>
          <w:rFonts w:eastAsiaTheme="majorEastAsia"/>
          <w:b/>
          <w:sz w:val="22"/>
          <w:szCs w:val="22"/>
        </w:rPr>
        <w:t xml:space="preserve">+ </w:t>
      </w:r>
      <w:r w:rsidRPr="004C5021">
        <w:rPr>
          <w:rStyle w:val="katex-mathml"/>
          <w:b/>
        </w:rPr>
        <w:t>ϵ</w:t>
      </w:r>
    </w:p>
    <w:p w:rsidR="00635D6A" w:rsidRPr="00635D6A" w:rsidRDefault="00635D6A" w:rsidP="00746BFD">
      <w:pPr>
        <w:pStyle w:val="NormalWeb"/>
        <w:spacing w:before="120" w:beforeAutospacing="0" w:after="0" w:afterAutospacing="0"/>
        <w:jc w:val="both"/>
        <w:rPr>
          <w:sz w:val="22"/>
          <w:szCs w:val="22"/>
        </w:rPr>
      </w:pPr>
      <w:r w:rsidRPr="00635D6A">
        <w:rPr>
          <w:sz w:val="22"/>
          <w:szCs w:val="22"/>
        </w:rPr>
        <w:t>Where:</w:t>
      </w:r>
    </w:p>
    <w:p w:rsidR="00C71D2B" w:rsidRDefault="004C5021" w:rsidP="00C71D2B">
      <w:pPr>
        <w:pStyle w:val="NormalWeb"/>
        <w:numPr>
          <w:ilvl w:val="0"/>
          <w:numId w:val="19"/>
        </w:numPr>
        <w:spacing w:before="120" w:beforeAutospacing="0" w:after="0" w:afterAutospacing="0"/>
        <w:jc w:val="both"/>
        <w:rPr>
          <w:sz w:val="22"/>
          <w:szCs w:val="22"/>
        </w:rPr>
      </w:pPr>
      <w:r w:rsidRPr="00C71D2B">
        <w:rPr>
          <w:rStyle w:val="math-inline"/>
          <w:rFonts w:eastAsiaTheme="majorEastAsia"/>
          <w:b/>
          <w:sz w:val="22"/>
          <w:szCs w:val="22"/>
        </w:rPr>
        <w:t>OP</w:t>
      </w:r>
      <w:r w:rsidR="00635D6A" w:rsidRPr="00C71D2B">
        <w:rPr>
          <w:sz w:val="22"/>
          <w:szCs w:val="22"/>
        </w:rPr>
        <w:t xml:space="preserve"> = Organizational Performance</w:t>
      </w:r>
    </w:p>
    <w:p w:rsidR="00C71D2B" w:rsidRDefault="00C71D2B" w:rsidP="00C71D2B">
      <w:pPr>
        <w:pStyle w:val="NormalWeb"/>
        <w:numPr>
          <w:ilvl w:val="0"/>
          <w:numId w:val="19"/>
        </w:numPr>
        <w:spacing w:before="120" w:beforeAutospacing="0" w:after="0" w:afterAutospacing="0"/>
        <w:jc w:val="both"/>
        <w:rPr>
          <w:rStyle w:val="mord"/>
          <w:sz w:val="22"/>
          <w:szCs w:val="22"/>
        </w:rPr>
      </w:pPr>
      <w:r w:rsidRPr="00C71D2B">
        <w:rPr>
          <w:rStyle w:val="mord"/>
          <w:b/>
          <w:sz w:val="22"/>
          <w:szCs w:val="22"/>
        </w:rPr>
        <w:t xml:space="preserve">β0 = </w:t>
      </w:r>
      <w:r w:rsidRPr="00C71D2B">
        <w:rPr>
          <w:rStyle w:val="mord"/>
          <w:sz w:val="22"/>
          <w:szCs w:val="22"/>
        </w:rPr>
        <w:t>Constant (Intercept)</w:t>
      </w:r>
    </w:p>
    <w:p w:rsidR="00C71D2B" w:rsidRDefault="00C71D2B" w:rsidP="00C71D2B">
      <w:pPr>
        <w:pStyle w:val="NormalWeb"/>
        <w:numPr>
          <w:ilvl w:val="0"/>
          <w:numId w:val="19"/>
        </w:numPr>
        <w:spacing w:before="120" w:beforeAutospacing="0" w:after="0" w:afterAutospacing="0"/>
        <w:jc w:val="both"/>
        <w:rPr>
          <w:rStyle w:val="mord"/>
          <w:sz w:val="22"/>
          <w:szCs w:val="22"/>
        </w:rPr>
      </w:pPr>
      <w:r w:rsidRPr="00C71D2B">
        <w:rPr>
          <w:rStyle w:val="mord"/>
          <w:b/>
          <w:sz w:val="22"/>
          <w:szCs w:val="22"/>
        </w:rPr>
        <w:t xml:space="preserve">β1 = </w:t>
      </w:r>
      <w:r w:rsidRPr="00C71D2B">
        <w:rPr>
          <w:rStyle w:val="mord"/>
          <w:sz w:val="22"/>
          <w:szCs w:val="22"/>
        </w:rPr>
        <w:t>Coefficient for GBA</w:t>
      </w:r>
    </w:p>
    <w:p w:rsidR="00C71D2B" w:rsidRDefault="00C71D2B" w:rsidP="00C71D2B">
      <w:pPr>
        <w:pStyle w:val="NormalWeb"/>
        <w:numPr>
          <w:ilvl w:val="0"/>
          <w:numId w:val="19"/>
        </w:numPr>
        <w:spacing w:before="120" w:beforeAutospacing="0" w:after="0" w:afterAutospacing="0"/>
        <w:jc w:val="both"/>
        <w:rPr>
          <w:rStyle w:val="mord"/>
          <w:sz w:val="22"/>
          <w:szCs w:val="22"/>
        </w:rPr>
      </w:pPr>
      <w:r w:rsidRPr="00C71D2B">
        <w:rPr>
          <w:rStyle w:val="mord"/>
          <w:b/>
          <w:sz w:val="22"/>
          <w:szCs w:val="22"/>
        </w:rPr>
        <w:t xml:space="preserve">β2 = </w:t>
      </w:r>
      <w:r w:rsidRPr="00C71D2B">
        <w:rPr>
          <w:rStyle w:val="mord"/>
          <w:sz w:val="22"/>
          <w:szCs w:val="22"/>
        </w:rPr>
        <w:t>Coefficient for ES</w:t>
      </w:r>
    </w:p>
    <w:p w:rsidR="00C71D2B" w:rsidRPr="00C71D2B" w:rsidRDefault="00C71D2B" w:rsidP="00C71D2B">
      <w:pPr>
        <w:pStyle w:val="NormalWeb"/>
        <w:numPr>
          <w:ilvl w:val="0"/>
          <w:numId w:val="19"/>
        </w:numPr>
        <w:spacing w:before="120" w:beforeAutospacing="0" w:after="0" w:afterAutospacing="0"/>
        <w:jc w:val="both"/>
        <w:rPr>
          <w:rStyle w:val="mord"/>
          <w:sz w:val="22"/>
          <w:szCs w:val="22"/>
        </w:rPr>
      </w:pPr>
      <w:r w:rsidRPr="00C71D2B">
        <w:rPr>
          <w:rStyle w:val="mord"/>
          <w:b/>
          <w:sz w:val="22"/>
          <w:szCs w:val="22"/>
        </w:rPr>
        <w:t xml:space="preserve">β3 = </w:t>
      </w:r>
      <w:r w:rsidRPr="00C71D2B">
        <w:rPr>
          <w:rStyle w:val="mord"/>
          <w:sz w:val="22"/>
          <w:szCs w:val="22"/>
        </w:rPr>
        <w:t>Coefficient for GBI</w:t>
      </w:r>
    </w:p>
    <w:p w:rsidR="00C71D2B" w:rsidRDefault="00C71D2B" w:rsidP="00C71D2B">
      <w:pPr>
        <w:pStyle w:val="ListParagraph"/>
        <w:numPr>
          <w:ilvl w:val="0"/>
          <w:numId w:val="19"/>
        </w:numPr>
        <w:spacing w:before="120" w:after="0" w:line="240" w:lineRule="auto"/>
        <w:jc w:val="both"/>
        <w:rPr>
          <w:rStyle w:val="mord"/>
          <w:rFonts w:ascii="Times New Roman" w:eastAsia="Times New Roman" w:hAnsi="Times New Roman" w:cs="Times New Roman"/>
        </w:rPr>
      </w:pPr>
      <w:r w:rsidRPr="00C71D2B">
        <w:rPr>
          <w:rStyle w:val="mord"/>
          <w:rFonts w:ascii="Times New Roman" w:eastAsia="Times New Roman" w:hAnsi="Times New Roman" w:cs="Times New Roman"/>
          <w:b/>
        </w:rPr>
        <w:t xml:space="preserve">β4 = </w:t>
      </w:r>
      <w:r w:rsidRPr="00C71D2B">
        <w:rPr>
          <w:rStyle w:val="mord"/>
          <w:rFonts w:ascii="Times New Roman" w:eastAsia="Times New Roman" w:hAnsi="Times New Roman" w:cs="Times New Roman"/>
        </w:rPr>
        <w:t>Coefficient for ERA</w:t>
      </w:r>
    </w:p>
    <w:p w:rsidR="00C71D2B" w:rsidRPr="00C71D2B" w:rsidRDefault="00C71D2B" w:rsidP="00C71D2B">
      <w:pPr>
        <w:pStyle w:val="ListParagraph"/>
        <w:numPr>
          <w:ilvl w:val="0"/>
          <w:numId w:val="19"/>
        </w:numPr>
        <w:spacing w:before="120" w:after="0" w:line="240" w:lineRule="auto"/>
        <w:jc w:val="both"/>
        <w:rPr>
          <w:rStyle w:val="mord"/>
          <w:rFonts w:ascii="Times New Roman" w:eastAsia="Times New Roman" w:hAnsi="Times New Roman" w:cs="Times New Roman"/>
        </w:rPr>
      </w:pPr>
      <w:r w:rsidRPr="00C71D2B">
        <w:rPr>
          <w:rStyle w:val="mord"/>
          <w:rFonts w:ascii="Times New Roman" w:eastAsia="Times New Roman" w:hAnsi="Times New Roman" w:cs="Times New Roman"/>
          <w:b/>
        </w:rPr>
        <w:t xml:space="preserve">β5 = </w:t>
      </w:r>
      <w:r w:rsidRPr="00C71D2B">
        <w:rPr>
          <w:rStyle w:val="mord"/>
          <w:rFonts w:ascii="Times New Roman" w:eastAsia="Times New Roman" w:hAnsi="Times New Roman" w:cs="Times New Roman"/>
        </w:rPr>
        <w:t>Coefficient for BIC</w:t>
      </w:r>
    </w:p>
    <w:p w:rsidR="004C5021" w:rsidRPr="00C71D2B" w:rsidRDefault="004C5021" w:rsidP="00C71D2B">
      <w:pPr>
        <w:pStyle w:val="ListParagraph"/>
        <w:numPr>
          <w:ilvl w:val="0"/>
          <w:numId w:val="19"/>
        </w:numPr>
        <w:spacing w:before="120" w:after="0" w:line="240" w:lineRule="auto"/>
        <w:jc w:val="both"/>
        <w:rPr>
          <w:rFonts w:ascii="Times New Roman" w:hAnsi="Times New Roman" w:cs="Times New Roman"/>
        </w:rPr>
      </w:pPr>
      <w:r w:rsidRPr="00C71D2B">
        <w:rPr>
          <w:rStyle w:val="katex-mathml"/>
          <w:rFonts w:ascii="Times New Roman" w:hAnsi="Times New Roman" w:cs="Times New Roman"/>
          <w:b/>
        </w:rPr>
        <w:t>ϵ</w:t>
      </w:r>
      <w:r w:rsidRPr="00C71D2B">
        <w:rPr>
          <w:rStyle w:val="katex-mathml"/>
          <w:rFonts w:ascii="Times New Roman" w:hAnsi="Times New Roman" w:cs="Times New Roman"/>
        </w:rPr>
        <w:t xml:space="preserve"> </w:t>
      </w:r>
      <w:r w:rsidRPr="00C71D2B">
        <w:rPr>
          <w:rFonts w:ascii="Times New Roman" w:hAnsi="Times New Roman" w:cs="Times New Roman"/>
        </w:rPr>
        <w:t xml:space="preserve">= Error term </w:t>
      </w:r>
    </w:p>
    <w:p w:rsidR="00746BFD" w:rsidRPr="00746BFD" w:rsidRDefault="00746BFD" w:rsidP="00746BFD">
      <w:pPr>
        <w:pStyle w:val="NormalWeb"/>
        <w:spacing w:before="120" w:beforeAutospacing="0" w:after="0" w:afterAutospacing="0"/>
        <w:jc w:val="both"/>
        <w:rPr>
          <w:sz w:val="22"/>
          <w:szCs w:val="22"/>
        </w:rPr>
      </w:pPr>
      <w:r w:rsidRPr="00746BFD">
        <w:rPr>
          <w:sz w:val="22"/>
          <w:szCs w:val="22"/>
        </w:rPr>
        <w:t>The justification for this specific model and its components is outlined below:</w:t>
      </w:r>
    </w:p>
    <w:p w:rsidR="00746BFD" w:rsidRPr="00746BFD" w:rsidRDefault="00746BFD" w:rsidP="00746BFD">
      <w:pPr>
        <w:pStyle w:val="NormalWeb"/>
        <w:numPr>
          <w:ilvl w:val="0"/>
          <w:numId w:val="22"/>
        </w:numPr>
        <w:spacing w:before="120" w:beforeAutospacing="0" w:after="0" w:afterAutospacing="0"/>
        <w:jc w:val="both"/>
        <w:rPr>
          <w:sz w:val="22"/>
          <w:szCs w:val="22"/>
        </w:rPr>
      </w:pPr>
      <w:r w:rsidRPr="00746BFD">
        <w:rPr>
          <w:b/>
          <w:bCs/>
          <w:sz w:val="22"/>
          <w:szCs w:val="22"/>
        </w:rPr>
        <w:t>Dependent Variable (OP):</w:t>
      </w:r>
      <w:r w:rsidRPr="00746BFD">
        <w:rPr>
          <w:sz w:val="22"/>
          <w:szCs w:val="22"/>
        </w:rPr>
        <w:t xml:space="preserve"> Organizational Performance serves as the outcome variable, representing the bank's financial and operational success. Using a single composite dependent variable allows the model to measure how various green practices collectively influence the overall health of the institution.</w:t>
      </w:r>
    </w:p>
    <w:p w:rsidR="00746BFD" w:rsidRPr="00746BFD" w:rsidRDefault="00746BFD" w:rsidP="00746BFD">
      <w:pPr>
        <w:pStyle w:val="NormalWeb"/>
        <w:numPr>
          <w:ilvl w:val="0"/>
          <w:numId w:val="22"/>
        </w:numPr>
        <w:spacing w:before="120" w:beforeAutospacing="0" w:after="0" w:afterAutospacing="0"/>
        <w:jc w:val="both"/>
        <w:rPr>
          <w:sz w:val="22"/>
          <w:szCs w:val="22"/>
        </w:rPr>
      </w:pPr>
      <w:r w:rsidRPr="00746BFD">
        <w:rPr>
          <w:b/>
          <w:bCs/>
          <w:sz w:val="22"/>
          <w:szCs w:val="22"/>
        </w:rPr>
        <w:t>The Constant (</w:t>
      </w:r>
      <w:r w:rsidRPr="00073FD8">
        <w:rPr>
          <w:rStyle w:val="mord"/>
          <w:b/>
        </w:rPr>
        <w:t>β</w:t>
      </w:r>
      <w:r w:rsidRPr="00073FD8">
        <w:rPr>
          <w:rStyle w:val="mord"/>
          <w:b/>
          <w:vertAlign w:val="subscript"/>
        </w:rPr>
        <w:t>0</w:t>
      </w:r>
      <w:r w:rsidRPr="00746BFD">
        <w:rPr>
          <w:b/>
          <w:bCs/>
          <w:sz w:val="22"/>
          <w:szCs w:val="22"/>
        </w:rPr>
        <w:t>):</w:t>
      </w:r>
      <w:r w:rsidRPr="00746BFD">
        <w:rPr>
          <w:sz w:val="22"/>
          <w:szCs w:val="22"/>
        </w:rPr>
        <w:t xml:space="preserve"> This represents the </w:t>
      </w:r>
      <w:r w:rsidR="008A1C72" w:rsidRPr="00746BFD">
        <w:rPr>
          <w:sz w:val="22"/>
          <w:szCs w:val="22"/>
        </w:rPr>
        <w:t>intercept</w:t>
      </w:r>
      <w:r w:rsidRPr="00746BFD">
        <w:rPr>
          <w:sz w:val="22"/>
          <w:szCs w:val="22"/>
        </w:rPr>
        <w:t xml:space="preserve"> or the expected level of Organizational Performance if all independent variables were zero. It accounts for the baseline performance inherent in the banking sector before the specific effects of green initiatives are added.</w:t>
      </w:r>
      <w:r w:rsidR="00F51069">
        <w:rPr>
          <w:sz w:val="22"/>
          <w:szCs w:val="22"/>
        </w:rPr>
        <w:t xml:space="preserve"> </w:t>
      </w:r>
    </w:p>
    <w:p w:rsidR="00746BFD" w:rsidRPr="00746BFD" w:rsidRDefault="00746BFD" w:rsidP="00746BFD">
      <w:pPr>
        <w:pStyle w:val="NormalWeb"/>
        <w:numPr>
          <w:ilvl w:val="0"/>
          <w:numId w:val="22"/>
        </w:numPr>
        <w:spacing w:before="120" w:beforeAutospacing="0" w:after="0" w:afterAutospacing="0"/>
        <w:jc w:val="both"/>
        <w:rPr>
          <w:sz w:val="22"/>
          <w:szCs w:val="22"/>
        </w:rPr>
      </w:pPr>
      <w:r w:rsidRPr="00746BFD">
        <w:rPr>
          <w:b/>
          <w:bCs/>
          <w:sz w:val="22"/>
          <w:szCs w:val="22"/>
        </w:rPr>
        <w:t>Predictor Coefficients (</w:t>
      </w:r>
      <w:r w:rsidR="00F51069" w:rsidRPr="00073FD8">
        <w:rPr>
          <w:rStyle w:val="mord"/>
          <w:b/>
        </w:rPr>
        <w:t>β</w:t>
      </w:r>
      <w:r w:rsidR="00F51069">
        <w:rPr>
          <w:rStyle w:val="mord"/>
          <w:b/>
          <w:vertAlign w:val="subscript"/>
        </w:rPr>
        <w:t>1-</w:t>
      </w:r>
      <w:r w:rsidR="00F51069" w:rsidRPr="00F51069">
        <w:rPr>
          <w:rStyle w:val="ListParagraphChar"/>
          <w:b/>
        </w:rPr>
        <w:t xml:space="preserve"> </w:t>
      </w:r>
      <w:r w:rsidR="00F51069" w:rsidRPr="00073FD8">
        <w:rPr>
          <w:rStyle w:val="mord"/>
          <w:b/>
        </w:rPr>
        <w:t>β</w:t>
      </w:r>
      <w:r w:rsidR="00F51069">
        <w:rPr>
          <w:rStyle w:val="mord"/>
          <w:b/>
          <w:vertAlign w:val="subscript"/>
        </w:rPr>
        <w:t>5</w:t>
      </w:r>
      <w:r w:rsidRPr="00746BFD">
        <w:rPr>
          <w:b/>
          <w:bCs/>
          <w:sz w:val="22"/>
          <w:szCs w:val="22"/>
        </w:rPr>
        <w:t>):</w:t>
      </w:r>
      <w:r w:rsidRPr="00746BFD">
        <w:rPr>
          <w:sz w:val="22"/>
          <w:szCs w:val="22"/>
        </w:rPr>
        <w:t xml:space="preserve"> Each coefficient represents the magnitude and direction of the effect that a one-unit change in a specific independent variable (e.g., GBA or ERA) has on Organizational Performance, holding all other factors constant.</w:t>
      </w:r>
    </w:p>
    <w:p w:rsidR="00746BFD" w:rsidRPr="00746BFD" w:rsidRDefault="00746BFD" w:rsidP="00746BFD">
      <w:pPr>
        <w:pStyle w:val="NormalWeb"/>
        <w:numPr>
          <w:ilvl w:val="0"/>
          <w:numId w:val="22"/>
        </w:numPr>
        <w:spacing w:before="120" w:beforeAutospacing="0" w:after="0" w:afterAutospacing="0"/>
        <w:jc w:val="both"/>
        <w:rPr>
          <w:sz w:val="22"/>
          <w:szCs w:val="22"/>
        </w:rPr>
      </w:pPr>
      <w:r w:rsidRPr="00746BFD">
        <w:rPr>
          <w:b/>
          <w:bCs/>
          <w:sz w:val="22"/>
          <w:szCs w:val="22"/>
        </w:rPr>
        <w:t xml:space="preserve">Independent Variables (GBA, ES, GBI, ERA, </w:t>
      </w:r>
      <w:r w:rsidR="00615121" w:rsidRPr="00746BFD">
        <w:rPr>
          <w:b/>
          <w:bCs/>
          <w:sz w:val="22"/>
          <w:szCs w:val="22"/>
        </w:rPr>
        <w:t>and BIC</w:t>
      </w:r>
      <w:r w:rsidRPr="00746BFD">
        <w:rPr>
          <w:b/>
          <w:bCs/>
          <w:sz w:val="22"/>
          <w:szCs w:val="22"/>
        </w:rPr>
        <w:t>):</w:t>
      </w:r>
      <w:r w:rsidRPr="00746BFD">
        <w:rPr>
          <w:sz w:val="22"/>
          <w:szCs w:val="22"/>
        </w:rPr>
        <w:t xml:space="preserve"> These variables were selected based on the conceptual framework to represent the multi-faceted nature of green banking. Including both drivers (Adoption and Initiatives) and constraints (Barriers) in the same equation allows the model to provide a balanced view of the net impact on performance.</w:t>
      </w:r>
    </w:p>
    <w:p w:rsidR="00746BFD" w:rsidRPr="00746BFD" w:rsidRDefault="00746BFD" w:rsidP="00746BFD">
      <w:pPr>
        <w:pStyle w:val="NormalWeb"/>
        <w:numPr>
          <w:ilvl w:val="0"/>
          <w:numId w:val="22"/>
        </w:numPr>
        <w:spacing w:before="120" w:beforeAutospacing="0" w:after="0" w:afterAutospacing="0"/>
        <w:jc w:val="both"/>
        <w:rPr>
          <w:sz w:val="22"/>
          <w:szCs w:val="22"/>
        </w:rPr>
      </w:pPr>
      <w:r w:rsidRPr="00746BFD">
        <w:rPr>
          <w:b/>
          <w:bCs/>
          <w:sz w:val="22"/>
          <w:szCs w:val="22"/>
        </w:rPr>
        <w:t>Error Term (</w:t>
      </w:r>
      <w:r w:rsidR="00F51069" w:rsidRPr="00073FD8">
        <w:rPr>
          <w:rStyle w:val="mord"/>
          <w:b/>
        </w:rPr>
        <w:t>ϵ</w:t>
      </w:r>
      <w:r w:rsidRPr="00746BFD">
        <w:rPr>
          <w:b/>
          <w:bCs/>
          <w:sz w:val="22"/>
          <w:szCs w:val="22"/>
        </w:rPr>
        <w:t>):</w:t>
      </w:r>
      <w:r w:rsidRPr="00746BFD">
        <w:rPr>
          <w:sz w:val="22"/>
          <w:szCs w:val="22"/>
        </w:rPr>
        <w:t xml:space="preserve"> The error term is included to capture the influence of other factors not explicitly defined in the model, such as macroeconomic fluctuations in Ethiopia or general market volatility, ensuring the statistical integrity of the regression results.</w:t>
      </w:r>
    </w:p>
    <w:p w:rsidR="00746BFD" w:rsidRPr="00746BFD" w:rsidRDefault="00746BFD" w:rsidP="00746BFD">
      <w:pPr>
        <w:pStyle w:val="NormalWeb"/>
        <w:spacing w:before="120" w:beforeAutospacing="0" w:after="0" w:afterAutospacing="0"/>
        <w:jc w:val="both"/>
        <w:rPr>
          <w:sz w:val="22"/>
          <w:szCs w:val="22"/>
        </w:rPr>
      </w:pPr>
      <w:r w:rsidRPr="00746BFD">
        <w:rPr>
          <w:sz w:val="22"/>
          <w:szCs w:val="22"/>
        </w:rPr>
        <w:lastRenderedPageBreak/>
        <w:t>By employing this specific model, the study was able to determine which specific green banking factors were the most significant predictors of success and whether the barriers faced by banks in Addis Ababa significantly inhibited that success.</w:t>
      </w:r>
    </w:p>
    <w:p w:rsidR="00635D6A" w:rsidRPr="00635D6A" w:rsidRDefault="00FB02A9" w:rsidP="003E6B80">
      <w:pPr>
        <w:pStyle w:val="Heading3"/>
        <w:numPr>
          <w:ilvl w:val="1"/>
          <w:numId w:val="9"/>
        </w:numPr>
        <w:spacing w:before="120" w:beforeAutospacing="0" w:after="0" w:afterAutospacing="0"/>
        <w:jc w:val="both"/>
        <w:rPr>
          <w:sz w:val="22"/>
          <w:szCs w:val="22"/>
        </w:rPr>
      </w:pPr>
      <w:r>
        <w:rPr>
          <w:sz w:val="22"/>
          <w:szCs w:val="22"/>
        </w:rPr>
        <w:t xml:space="preserve"> Reliability </w:t>
      </w:r>
    </w:p>
    <w:p w:rsidR="00D60448" w:rsidRPr="00D60448" w:rsidRDefault="00D60448" w:rsidP="003E6B80">
      <w:pPr>
        <w:pStyle w:val="Caption"/>
        <w:spacing w:before="120" w:after="0"/>
        <w:jc w:val="both"/>
        <w:rPr>
          <w:b w:val="0"/>
          <w:color w:val="auto"/>
          <w:sz w:val="22"/>
          <w:szCs w:val="22"/>
        </w:rPr>
      </w:pPr>
      <w:r w:rsidRPr="00D60448">
        <w:rPr>
          <w:b w:val="0"/>
          <w:color w:val="auto"/>
          <w:sz w:val="22"/>
          <w:szCs w:val="22"/>
        </w:rPr>
        <w:t xml:space="preserve">According to </w:t>
      </w:r>
      <w:r w:rsidRPr="00D60448">
        <w:rPr>
          <w:rStyle w:val="whitespace-normal"/>
          <w:b w:val="0"/>
          <w:color w:val="auto"/>
          <w:sz w:val="22"/>
          <w:szCs w:val="22"/>
        </w:rPr>
        <w:t>Psychometrics</w:t>
      </w:r>
      <w:r w:rsidRPr="00D60448">
        <w:rPr>
          <w:b w:val="0"/>
          <w:color w:val="auto"/>
          <w:sz w:val="22"/>
          <w:szCs w:val="22"/>
        </w:rPr>
        <w:t xml:space="preserve"> literature, a </w:t>
      </w:r>
      <w:proofErr w:type="spellStart"/>
      <w:r w:rsidRPr="00D60448">
        <w:rPr>
          <w:b w:val="0"/>
          <w:color w:val="auto"/>
          <w:sz w:val="22"/>
          <w:szCs w:val="22"/>
        </w:rPr>
        <w:t>Cronbach’s</w:t>
      </w:r>
      <w:proofErr w:type="spellEnd"/>
      <w:r w:rsidRPr="00D60448">
        <w:rPr>
          <w:b w:val="0"/>
          <w:color w:val="auto"/>
          <w:sz w:val="22"/>
          <w:szCs w:val="22"/>
        </w:rPr>
        <w:t xml:space="preserve"> alpha value above 0.70 indicates acceptable internal consistency reliability for research instruments, while values above 0.80 indicate good reliability [11]. Based on the reliability statistics presented in Table 2, all study variables demonstrated strong internal consistency and were considered reliable for further statistical analysis.</w:t>
      </w:r>
    </w:p>
    <w:p w:rsidR="000F7C59" w:rsidRDefault="000F7C59" w:rsidP="003E6B80">
      <w:pPr>
        <w:pStyle w:val="Caption"/>
        <w:spacing w:after="0"/>
        <w:ind w:left="420"/>
        <w:jc w:val="center"/>
        <w:rPr>
          <w:color w:val="auto"/>
          <w:sz w:val="22"/>
          <w:szCs w:val="22"/>
        </w:rPr>
      </w:pPr>
      <w:r>
        <w:rPr>
          <w:color w:val="auto"/>
          <w:sz w:val="22"/>
          <w:szCs w:val="22"/>
        </w:rPr>
        <w:t xml:space="preserve">Table 2: </w:t>
      </w:r>
      <w:proofErr w:type="spellStart"/>
      <w:r>
        <w:rPr>
          <w:color w:val="auto"/>
          <w:sz w:val="22"/>
          <w:szCs w:val="22"/>
        </w:rPr>
        <w:t>Cronbach’s</w:t>
      </w:r>
      <w:proofErr w:type="spellEnd"/>
      <w:r>
        <w:rPr>
          <w:color w:val="auto"/>
          <w:sz w:val="22"/>
          <w:szCs w:val="22"/>
        </w:rPr>
        <w:t xml:space="preserve"> alpha test Reliability Statistics</w:t>
      </w:r>
    </w:p>
    <w:tbl>
      <w:tblPr>
        <w:tblStyle w:val="TableGrid"/>
        <w:tblW w:w="0" w:type="auto"/>
        <w:tblInd w:w="198" w:type="dxa"/>
        <w:tblLayout w:type="fixed"/>
        <w:tblLook w:val="01E0"/>
      </w:tblPr>
      <w:tblGrid>
        <w:gridCol w:w="4050"/>
        <w:gridCol w:w="2682"/>
        <w:gridCol w:w="2070"/>
      </w:tblGrid>
      <w:tr w:rsidR="000F7C59" w:rsidTr="00057C73">
        <w:trPr>
          <w:trHeight w:val="323"/>
        </w:trPr>
        <w:tc>
          <w:tcPr>
            <w:tcW w:w="4050" w:type="dxa"/>
            <w:tcBorders>
              <w:top w:val="single" w:sz="4" w:space="0" w:color="auto"/>
              <w:left w:val="single" w:sz="4" w:space="0" w:color="auto"/>
              <w:bottom w:val="single" w:sz="4" w:space="0" w:color="auto"/>
              <w:right w:val="single" w:sz="4" w:space="0" w:color="auto"/>
            </w:tcBorders>
            <w:hideMark/>
          </w:tcPr>
          <w:p w:rsidR="000F7C59" w:rsidRDefault="000F7C59" w:rsidP="003E6B80">
            <w:pPr>
              <w:pStyle w:val="TableParagraph"/>
              <w:ind w:left="75"/>
            </w:pPr>
            <w:r>
              <w:t>Variables</w:t>
            </w:r>
          </w:p>
        </w:tc>
        <w:tc>
          <w:tcPr>
            <w:tcW w:w="2682" w:type="dxa"/>
            <w:tcBorders>
              <w:top w:val="single" w:sz="4" w:space="0" w:color="auto"/>
              <w:left w:val="single" w:sz="4" w:space="0" w:color="auto"/>
              <w:bottom w:val="single" w:sz="4" w:space="0" w:color="auto"/>
              <w:right w:val="single" w:sz="4" w:space="0" w:color="auto"/>
            </w:tcBorders>
            <w:hideMark/>
          </w:tcPr>
          <w:p w:rsidR="000F7C59" w:rsidRDefault="000F7C59" w:rsidP="003E6B80">
            <w:pPr>
              <w:pStyle w:val="TableParagraph"/>
              <w:ind w:left="90" w:firstLine="270"/>
              <w:jc w:val="center"/>
            </w:pPr>
            <w:proofErr w:type="spellStart"/>
            <w:r>
              <w:t>Cronbach's</w:t>
            </w:r>
            <w:proofErr w:type="spellEnd"/>
            <w:r>
              <w:rPr>
                <w:spacing w:val="-2"/>
              </w:rPr>
              <w:t xml:space="preserve"> </w:t>
            </w:r>
            <w:r>
              <w:t>Alpha</w:t>
            </w:r>
          </w:p>
        </w:tc>
        <w:tc>
          <w:tcPr>
            <w:tcW w:w="2070" w:type="dxa"/>
            <w:tcBorders>
              <w:top w:val="single" w:sz="4" w:space="0" w:color="auto"/>
              <w:left w:val="single" w:sz="4" w:space="0" w:color="auto"/>
              <w:bottom w:val="single" w:sz="4" w:space="0" w:color="auto"/>
              <w:right w:val="single" w:sz="4" w:space="0" w:color="auto"/>
            </w:tcBorders>
            <w:hideMark/>
          </w:tcPr>
          <w:p w:rsidR="000F7C59" w:rsidRDefault="000F7C59" w:rsidP="003E6B80">
            <w:pPr>
              <w:pStyle w:val="TableParagraph"/>
              <w:jc w:val="center"/>
            </w:pPr>
            <w:r>
              <w:t>No</w:t>
            </w:r>
            <w:r>
              <w:rPr>
                <w:spacing w:val="-2"/>
              </w:rPr>
              <w:t xml:space="preserve"> </w:t>
            </w:r>
            <w:r>
              <w:t>of</w:t>
            </w:r>
            <w:r>
              <w:rPr>
                <w:spacing w:val="-1"/>
              </w:rPr>
              <w:t xml:space="preserve"> </w:t>
            </w:r>
            <w:r>
              <w:t>Items</w:t>
            </w:r>
          </w:p>
        </w:tc>
      </w:tr>
      <w:tr w:rsidR="000F7C59" w:rsidTr="00057C73">
        <w:trPr>
          <w:trHeight w:val="260"/>
        </w:trPr>
        <w:tc>
          <w:tcPr>
            <w:tcW w:w="4050" w:type="dxa"/>
            <w:tcBorders>
              <w:top w:val="single" w:sz="4" w:space="0" w:color="auto"/>
              <w:left w:val="single" w:sz="4" w:space="0" w:color="auto"/>
              <w:bottom w:val="single" w:sz="4" w:space="0" w:color="auto"/>
              <w:right w:val="single" w:sz="4" w:space="0" w:color="auto"/>
            </w:tcBorders>
            <w:hideMark/>
          </w:tcPr>
          <w:p w:rsidR="000F7C59" w:rsidRDefault="00A33DC8" w:rsidP="003E6B80">
            <w:pPr>
              <w:pStyle w:val="TableParagraph"/>
              <w:ind w:left="75"/>
              <w:jc w:val="both"/>
            </w:pPr>
            <w:r w:rsidRPr="00433122">
              <w:t>Green Banking Adoption</w:t>
            </w:r>
          </w:p>
        </w:tc>
        <w:tc>
          <w:tcPr>
            <w:tcW w:w="2682" w:type="dxa"/>
            <w:tcBorders>
              <w:top w:val="single" w:sz="4" w:space="0" w:color="auto"/>
              <w:left w:val="single" w:sz="4" w:space="0" w:color="auto"/>
              <w:bottom w:val="single" w:sz="4" w:space="0" w:color="auto"/>
              <w:right w:val="single" w:sz="4" w:space="0" w:color="auto"/>
            </w:tcBorders>
            <w:hideMark/>
          </w:tcPr>
          <w:p w:rsidR="000F7C59" w:rsidRDefault="003420F7" w:rsidP="003E6B80">
            <w:pPr>
              <w:pStyle w:val="TableParagraph"/>
              <w:ind w:left="586" w:right="551"/>
              <w:jc w:val="center"/>
            </w:pPr>
            <w:r>
              <w:t>.</w:t>
            </w:r>
            <w:r w:rsidR="000317AD">
              <w:t>8</w:t>
            </w:r>
            <w:r>
              <w:t>19</w:t>
            </w:r>
          </w:p>
        </w:tc>
        <w:tc>
          <w:tcPr>
            <w:tcW w:w="2070" w:type="dxa"/>
            <w:tcBorders>
              <w:top w:val="single" w:sz="4" w:space="0" w:color="auto"/>
              <w:left w:val="single" w:sz="4" w:space="0" w:color="auto"/>
              <w:bottom w:val="single" w:sz="4" w:space="0" w:color="auto"/>
              <w:right w:val="single" w:sz="4" w:space="0" w:color="auto"/>
            </w:tcBorders>
            <w:hideMark/>
          </w:tcPr>
          <w:p w:rsidR="000F7C59" w:rsidRDefault="003420F7" w:rsidP="003E6B80">
            <w:pPr>
              <w:pStyle w:val="TableParagraph"/>
              <w:ind w:left="41"/>
              <w:jc w:val="center"/>
            </w:pPr>
            <w:r>
              <w:t>5</w:t>
            </w:r>
          </w:p>
        </w:tc>
      </w:tr>
      <w:tr w:rsidR="000F7C59" w:rsidTr="00057C73">
        <w:trPr>
          <w:trHeight w:val="260"/>
        </w:trPr>
        <w:tc>
          <w:tcPr>
            <w:tcW w:w="4050" w:type="dxa"/>
            <w:tcBorders>
              <w:top w:val="single" w:sz="4" w:space="0" w:color="auto"/>
              <w:left w:val="single" w:sz="4" w:space="0" w:color="auto"/>
              <w:bottom w:val="single" w:sz="4" w:space="0" w:color="auto"/>
              <w:right w:val="single" w:sz="4" w:space="0" w:color="auto"/>
            </w:tcBorders>
            <w:hideMark/>
          </w:tcPr>
          <w:p w:rsidR="000F7C59" w:rsidRDefault="00A33DC8" w:rsidP="003E6B80">
            <w:pPr>
              <w:pStyle w:val="TableParagraph"/>
              <w:ind w:left="75"/>
              <w:jc w:val="both"/>
            </w:pPr>
            <w:r w:rsidRPr="00433122">
              <w:t>Environmental Sustainability</w:t>
            </w:r>
          </w:p>
        </w:tc>
        <w:tc>
          <w:tcPr>
            <w:tcW w:w="2682"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left="586" w:right="551"/>
              <w:jc w:val="center"/>
            </w:pPr>
            <w:r>
              <w:t>.882</w:t>
            </w:r>
          </w:p>
        </w:tc>
        <w:tc>
          <w:tcPr>
            <w:tcW w:w="2070"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right="774"/>
              <w:jc w:val="center"/>
            </w:pPr>
            <w:r>
              <w:t xml:space="preserve">              5</w:t>
            </w:r>
          </w:p>
        </w:tc>
      </w:tr>
      <w:tr w:rsidR="000F7C59" w:rsidTr="00057C73">
        <w:trPr>
          <w:trHeight w:val="332"/>
        </w:trPr>
        <w:tc>
          <w:tcPr>
            <w:tcW w:w="4050" w:type="dxa"/>
            <w:tcBorders>
              <w:top w:val="single" w:sz="4" w:space="0" w:color="auto"/>
              <w:left w:val="single" w:sz="4" w:space="0" w:color="auto"/>
              <w:bottom w:val="single" w:sz="4" w:space="0" w:color="auto"/>
              <w:right w:val="single" w:sz="4" w:space="0" w:color="auto"/>
            </w:tcBorders>
            <w:hideMark/>
          </w:tcPr>
          <w:p w:rsidR="000F7C59" w:rsidRDefault="00A33DC8" w:rsidP="003E6B80">
            <w:pPr>
              <w:pStyle w:val="BodyText"/>
              <w:ind w:left="0"/>
              <w:rPr>
                <w:sz w:val="22"/>
                <w:szCs w:val="22"/>
              </w:rPr>
            </w:pPr>
            <w:r w:rsidRPr="00433122">
              <w:rPr>
                <w:sz w:val="22"/>
                <w:szCs w:val="22"/>
              </w:rPr>
              <w:t>Green Banking Initiatives</w:t>
            </w:r>
          </w:p>
        </w:tc>
        <w:tc>
          <w:tcPr>
            <w:tcW w:w="2682"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left="586" w:right="551"/>
              <w:jc w:val="center"/>
            </w:pPr>
            <w:r>
              <w:t>.855</w:t>
            </w:r>
          </w:p>
        </w:tc>
        <w:tc>
          <w:tcPr>
            <w:tcW w:w="2070"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left="41"/>
              <w:jc w:val="center"/>
            </w:pPr>
            <w:r>
              <w:t>5</w:t>
            </w:r>
          </w:p>
        </w:tc>
      </w:tr>
      <w:tr w:rsidR="000F7C59" w:rsidTr="00057C73">
        <w:trPr>
          <w:trHeight w:hRule="exact" w:val="280"/>
        </w:trPr>
        <w:tc>
          <w:tcPr>
            <w:tcW w:w="4050" w:type="dxa"/>
            <w:tcBorders>
              <w:top w:val="single" w:sz="4" w:space="0" w:color="auto"/>
              <w:left w:val="single" w:sz="4" w:space="0" w:color="auto"/>
              <w:bottom w:val="single" w:sz="4" w:space="0" w:color="auto"/>
              <w:right w:val="single" w:sz="4" w:space="0" w:color="auto"/>
            </w:tcBorders>
          </w:tcPr>
          <w:p w:rsidR="000F7C59" w:rsidRDefault="00A33DC8" w:rsidP="003E6B80">
            <w:pPr>
              <w:pStyle w:val="BodyText"/>
              <w:ind w:left="0"/>
              <w:rPr>
                <w:sz w:val="22"/>
                <w:szCs w:val="22"/>
              </w:rPr>
            </w:pPr>
            <w:r w:rsidRPr="00433122">
              <w:rPr>
                <w:sz w:val="22"/>
                <w:szCs w:val="22"/>
              </w:rPr>
              <w:t>Environmental Risk Assessment</w:t>
            </w:r>
          </w:p>
        </w:tc>
        <w:tc>
          <w:tcPr>
            <w:tcW w:w="2682"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left="586" w:right="551"/>
              <w:jc w:val="center"/>
            </w:pPr>
            <w:r>
              <w:t>.884</w:t>
            </w:r>
          </w:p>
        </w:tc>
        <w:tc>
          <w:tcPr>
            <w:tcW w:w="2070"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left="41"/>
              <w:jc w:val="center"/>
            </w:pPr>
            <w:r>
              <w:t>7</w:t>
            </w:r>
          </w:p>
        </w:tc>
      </w:tr>
      <w:tr w:rsidR="000F7C59" w:rsidTr="00057C73">
        <w:trPr>
          <w:trHeight w:hRule="exact" w:val="352"/>
        </w:trPr>
        <w:tc>
          <w:tcPr>
            <w:tcW w:w="4050" w:type="dxa"/>
            <w:tcBorders>
              <w:top w:val="single" w:sz="4" w:space="0" w:color="auto"/>
              <w:left w:val="single" w:sz="4" w:space="0" w:color="auto"/>
              <w:bottom w:val="single" w:sz="4" w:space="0" w:color="auto"/>
              <w:right w:val="single" w:sz="4" w:space="0" w:color="auto"/>
            </w:tcBorders>
          </w:tcPr>
          <w:p w:rsidR="000F7C59" w:rsidRDefault="00A33DC8" w:rsidP="003E6B80">
            <w:pPr>
              <w:pStyle w:val="BodyText"/>
              <w:ind w:left="0"/>
              <w:rPr>
                <w:sz w:val="22"/>
                <w:szCs w:val="22"/>
              </w:rPr>
            </w:pPr>
            <w:r w:rsidRPr="00433122">
              <w:rPr>
                <w:sz w:val="22"/>
                <w:szCs w:val="22"/>
              </w:rPr>
              <w:t>Barriers and Institutional Challenges</w:t>
            </w:r>
          </w:p>
        </w:tc>
        <w:tc>
          <w:tcPr>
            <w:tcW w:w="2682"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left="586" w:right="551"/>
              <w:jc w:val="center"/>
            </w:pPr>
            <w:r>
              <w:t>.815</w:t>
            </w:r>
          </w:p>
        </w:tc>
        <w:tc>
          <w:tcPr>
            <w:tcW w:w="2070"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left="41"/>
              <w:jc w:val="center"/>
            </w:pPr>
            <w:r>
              <w:t>9</w:t>
            </w:r>
          </w:p>
        </w:tc>
      </w:tr>
      <w:tr w:rsidR="000F7C59" w:rsidTr="00057C73">
        <w:trPr>
          <w:trHeight w:hRule="exact" w:val="280"/>
        </w:trPr>
        <w:tc>
          <w:tcPr>
            <w:tcW w:w="4050" w:type="dxa"/>
            <w:tcBorders>
              <w:top w:val="single" w:sz="4" w:space="0" w:color="auto"/>
              <w:left w:val="single" w:sz="4" w:space="0" w:color="auto"/>
              <w:bottom w:val="single" w:sz="4" w:space="0" w:color="auto"/>
              <w:right w:val="single" w:sz="4" w:space="0" w:color="auto"/>
            </w:tcBorders>
          </w:tcPr>
          <w:p w:rsidR="000F7C59" w:rsidRDefault="00A33DC8" w:rsidP="003E6B80">
            <w:pPr>
              <w:pStyle w:val="BodyText"/>
              <w:ind w:left="0"/>
              <w:rPr>
                <w:sz w:val="22"/>
                <w:szCs w:val="22"/>
              </w:rPr>
            </w:pPr>
            <w:r w:rsidRPr="00433122">
              <w:rPr>
                <w:sz w:val="22"/>
                <w:szCs w:val="22"/>
              </w:rPr>
              <w:t>Organizational Performance</w:t>
            </w:r>
          </w:p>
        </w:tc>
        <w:tc>
          <w:tcPr>
            <w:tcW w:w="2682"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left="586" w:right="551"/>
              <w:jc w:val="center"/>
            </w:pPr>
            <w:r>
              <w:t>.850</w:t>
            </w:r>
          </w:p>
        </w:tc>
        <w:tc>
          <w:tcPr>
            <w:tcW w:w="2070"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left="41"/>
              <w:jc w:val="center"/>
            </w:pPr>
            <w:r>
              <w:t>12</w:t>
            </w:r>
          </w:p>
        </w:tc>
      </w:tr>
      <w:tr w:rsidR="000F7C59" w:rsidTr="00057C73">
        <w:trPr>
          <w:trHeight w:val="242"/>
        </w:trPr>
        <w:tc>
          <w:tcPr>
            <w:tcW w:w="4050" w:type="dxa"/>
            <w:tcBorders>
              <w:top w:val="single" w:sz="4" w:space="0" w:color="auto"/>
              <w:left w:val="single" w:sz="4" w:space="0" w:color="auto"/>
              <w:bottom w:val="single" w:sz="4" w:space="0" w:color="auto"/>
              <w:right w:val="single" w:sz="4" w:space="0" w:color="auto"/>
            </w:tcBorders>
            <w:hideMark/>
          </w:tcPr>
          <w:p w:rsidR="000F7C59" w:rsidRDefault="000F7C59" w:rsidP="003E6B80">
            <w:pPr>
              <w:pStyle w:val="TableParagraph"/>
              <w:ind w:left="75"/>
              <w:jc w:val="both"/>
            </w:pPr>
            <w:r>
              <w:t>Overall</w:t>
            </w:r>
            <w:r>
              <w:rPr>
                <w:spacing w:val="-1"/>
              </w:rPr>
              <w:t xml:space="preserve"> </w:t>
            </w:r>
            <w:r>
              <w:t>reliability</w:t>
            </w:r>
          </w:p>
        </w:tc>
        <w:tc>
          <w:tcPr>
            <w:tcW w:w="2682"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left="586" w:right="551"/>
              <w:jc w:val="center"/>
            </w:pPr>
            <w:r>
              <w:t>.884</w:t>
            </w:r>
          </w:p>
        </w:tc>
        <w:tc>
          <w:tcPr>
            <w:tcW w:w="2070" w:type="dxa"/>
            <w:tcBorders>
              <w:top w:val="single" w:sz="4" w:space="0" w:color="auto"/>
              <w:left w:val="single" w:sz="4" w:space="0" w:color="auto"/>
              <w:bottom w:val="single" w:sz="4" w:space="0" w:color="auto"/>
              <w:right w:val="single" w:sz="4" w:space="0" w:color="auto"/>
            </w:tcBorders>
            <w:hideMark/>
          </w:tcPr>
          <w:p w:rsidR="000F7C59" w:rsidRDefault="000317AD" w:rsidP="003E6B80">
            <w:pPr>
              <w:pStyle w:val="TableParagraph"/>
              <w:ind w:right="684"/>
              <w:jc w:val="center"/>
            </w:pPr>
            <w:r>
              <w:t xml:space="preserve">             43</w:t>
            </w:r>
          </w:p>
        </w:tc>
      </w:tr>
    </w:tbl>
    <w:p w:rsidR="000F7C59" w:rsidRPr="00D60448" w:rsidRDefault="000F7C59" w:rsidP="003E6B80">
      <w:pPr>
        <w:pStyle w:val="NormalWeb"/>
        <w:spacing w:before="120" w:beforeAutospacing="0" w:after="0" w:afterAutospacing="0"/>
        <w:jc w:val="both"/>
        <w:rPr>
          <w:sz w:val="22"/>
          <w:szCs w:val="22"/>
        </w:rPr>
      </w:pPr>
      <w:r w:rsidRPr="00ED3FDE">
        <w:rPr>
          <w:sz w:val="22"/>
          <w:szCs w:val="22"/>
        </w:rPr>
        <w:t xml:space="preserve">  </w:t>
      </w:r>
      <w:r w:rsidRPr="00D60448">
        <w:rPr>
          <w:sz w:val="22"/>
          <w:szCs w:val="22"/>
        </w:rPr>
        <w:t>Source: Survey Result, (2026)</w:t>
      </w:r>
    </w:p>
    <w:p w:rsidR="005C6A63" w:rsidRPr="005C6A63" w:rsidRDefault="005C6A63" w:rsidP="003E6B80">
      <w:pPr>
        <w:pStyle w:val="NormalWeb"/>
        <w:spacing w:before="120" w:beforeAutospacing="0" w:after="0" w:afterAutospacing="0"/>
        <w:jc w:val="both"/>
        <w:rPr>
          <w:sz w:val="22"/>
          <w:szCs w:val="22"/>
        </w:rPr>
      </w:pPr>
      <w:r w:rsidRPr="005C6A63">
        <w:rPr>
          <w:sz w:val="22"/>
          <w:szCs w:val="22"/>
        </w:rPr>
        <w:t xml:space="preserve">Green Banking Adoption (GBA) recorded a </w:t>
      </w:r>
      <w:proofErr w:type="spellStart"/>
      <w:r w:rsidRPr="005C6A63">
        <w:rPr>
          <w:sz w:val="22"/>
          <w:szCs w:val="22"/>
        </w:rPr>
        <w:t>Cronbach’s</w:t>
      </w:r>
      <w:proofErr w:type="spellEnd"/>
      <w:r w:rsidRPr="005C6A63">
        <w:rPr>
          <w:sz w:val="22"/>
          <w:szCs w:val="22"/>
        </w:rPr>
        <w:t xml:space="preserve"> alpha coefficient of 0.819 across five items, indicating good internal consistency among the measurement items. This finding implies that the items reliably measured the adoption of green banking practices in the selected commercial banks. The result is consistent with previous studies that reported that green banking adoption indicators demonstrated high reliability in assessing sustainable banking practices [12].</w:t>
      </w:r>
    </w:p>
    <w:p w:rsidR="005C6A63" w:rsidRPr="005C6A63" w:rsidRDefault="005C6A63" w:rsidP="005C6A63">
      <w:pPr>
        <w:pStyle w:val="NormalWeb"/>
        <w:spacing w:before="120" w:beforeAutospacing="0" w:after="0" w:afterAutospacing="0"/>
        <w:jc w:val="both"/>
        <w:rPr>
          <w:sz w:val="22"/>
          <w:szCs w:val="22"/>
        </w:rPr>
      </w:pPr>
      <w:r w:rsidRPr="005C6A63">
        <w:rPr>
          <w:sz w:val="22"/>
          <w:szCs w:val="22"/>
        </w:rPr>
        <w:t xml:space="preserve">Environmental Sustainability (ES) achieved a </w:t>
      </w:r>
      <w:proofErr w:type="spellStart"/>
      <w:r w:rsidRPr="005C6A63">
        <w:rPr>
          <w:sz w:val="22"/>
          <w:szCs w:val="22"/>
        </w:rPr>
        <w:t>Cronbach’s</w:t>
      </w:r>
      <w:proofErr w:type="spellEnd"/>
      <w:r w:rsidRPr="005C6A63">
        <w:rPr>
          <w:sz w:val="22"/>
          <w:szCs w:val="22"/>
        </w:rPr>
        <w:t xml:space="preserve"> alpha value of 0.882 based on five items, showing excellent reliability of the construct. This suggests that the items consistently captured respondents’ perceptions regarding environmental sustainability practices. Similar findings were reported in earlier studies, which found that environmental sustainability measures in banking research achieved high internal consistency reliability [13].</w:t>
      </w:r>
    </w:p>
    <w:p w:rsidR="005C6A63" w:rsidRPr="005C6A63" w:rsidRDefault="005C6A63" w:rsidP="005C6A63">
      <w:pPr>
        <w:pStyle w:val="NormalWeb"/>
        <w:spacing w:before="120" w:beforeAutospacing="0" w:after="0" w:afterAutospacing="0"/>
        <w:jc w:val="both"/>
        <w:rPr>
          <w:sz w:val="22"/>
          <w:szCs w:val="22"/>
        </w:rPr>
      </w:pPr>
      <w:r w:rsidRPr="005C6A63">
        <w:rPr>
          <w:sz w:val="22"/>
          <w:szCs w:val="22"/>
        </w:rPr>
        <w:t xml:space="preserve">Green Banking Initiatives (GBI) obtained a </w:t>
      </w:r>
      <w:proofErr w:type="spellStart"/>
      <w:r w:rsidRPr="005C6A63">
        <w:rPr>
          <w:sz w:val="22"/>
          <w:szCs w:val="22"/>
        </w:rPr>
        <w:t>Cronbach’s</w:t>
      </w:r>
      <w:proofErr w:type="spellEnd"/>
      <w:r w:rsidRPr="005C6A63">
        <w:rPr>
          <w:sz w:val="22"/>
          <w:szCs w:val="22"/>
        </w:rPr>
        <w:t xml:space="preserve"> alpha coefficient of 0.855 from five items, indicating strong reliability among the measurement items. This demonstrates that the instrument effectively measured green banking initiatives implemented by commercial banks. The finding aligns with previous studies which revealed that green banking initiative scales produced reliable and consistent measurement outcomes [14].</w:t>
      </w:r>
    </w:p>
    <w:p w:rsidR="005C6A63" w:rsidRPr="005C6A63" w:rsidRDefault="005C6A63" w:rsidP="005C6A63">
      <w:pPr>
        <w:pStyle w:val="NormalWeb"/>
        <w:spacing w:before="120" w:beforeAutospacing="0" w:after="0" w:afterAutospacing="0"/>
        <w:jc w:val="both"/>
        <w:rPr>
          <w:sz w:val="22"/>
          <w:szCs w:val="22"/>
        </w:rPr>
      </w:pPr>
      <w:r w:rsidRPr="005C6A63">
        <w:rPr>
          <w:sz w:val="22"/>
          <w:szCs w:val="22"/>
        </w:rPr>
        <w:t xml:space="preserve">Environmental Risk Assessment (ERA) produced a </w:t>
      </w:r>
      <w:proofErr w:type="spellStart"/>
      <w:r w:rsidRPr="005C6A63">
        <w:rPr>
          <w:sz w:val="22"/>
          <w:szCs w:val="22"/>
        </w:rPr>
        <w:t>Cronbach’s</w:t>
      </w:r>
      <w:proofErr w:type="spellEnd"/>
      <w:r w:rsidRPr="005C6A63">
        <w:rPr>
          <w:sz w:val="22"/>
          <w:szCs w:val="22"/>
        </w:rPr>
        <w:t xml:space="preserve"> alpha value of 0.884 across seven items, indicating excellent internal consistency. This result suggests that the items used to assess environmental risk assessment practices were highly dependable. Similar results have been reported in prior studies showing that environmental risk assessment indicators in financial institutions demonstrated strong reliability and consistency [15].</w:t>
      </w:r>
    </w:p>
    <w:p w:rsidR="005C6A63" w:rsidRPr="005C6A63" w:rsidRDefault="005C6A63" w:rsidP="005C6A63">
      <w:pPr>
        <w:pStyle w:val="NormalWeb"/>
        <w:spacing w:before="120" w:beforeAutospacing="0" w:after="0" w:afterAutospacing="0"/>
        <w:jc w:val="both"/>
        <w:rPr>
          <w:sz w:val="22"/>
          <w:szCs w:val="22"/>
        </w:rPr>
      </w:pPr>
      <w:r w:rsidRPr="005C6A63">
        <w:rPr>
          <w:sz w:val="22"/>
          <w:szCs w:val="22"/>
        </w:rPr>
        <w:t xml:space="preserve">Barriers and Institutional Challenges (BIC) recorded a </w:t>
      </w:r>
      <w:proofErr w:type="spellStart"/>
      <w:r w:rsidRPr="005C6A63">
        <w:rPr>
          <w:sz w:val="22"/>
          <w:szCs w:val="22"/>
        </w:rPr>
        <w:t>Cronbach’s</w:t>
      </w:r>
      <w:proofErr w:type="spellEnd"/>
      <w:r w:rsidRPr="005C6A63">
        <w:rPr>
          <w:sz w:val="22"/>
          <w:szCs w:val="22"/>
        </w:rPr>
        <w:t xml:space="preserve"> alpha coefficient of 0.815 with nine items, indicating good reliability of the construct. This implies that the items consistently measured the institutional and operational barriers affecting green banking implementation. This finding is supported by earlier studies that identified reliable measurement scales for institutional barriers influencing green banking practices [16].</w:t>
      </w:r>
    </w:p>
    <w:p w:rsidR="005C6A63" w:rsidRPr="005C6A63" w:rsidRDefault="005C6A63" w:rsidP="005C6A63">
      <w:pPr>
        <w:pStyle w:val="NormalWeb"/>
        <w:spacing w:before="120" w:beforeAutospacing="0" w:after="0" w:afterAutospacing="0"/>
        <w:jc w:val="both"/>
        <w:rPr>
          <w:sz w:val="22"/>
          <w:szCs w:val="22"/>
        </w:rPr>
      </w:pPr>
      <w:r w:rsidRPr="005C6A63">
        <w:rPr>
          <w:sz w:val="22"/>
          <w:szCs w:val="22"/>
        </w:rPr>
        <w:t xml:space="preserve">Organizational Performance (OP) achieved a </w:t>
      </w:r>
      <w:proofErr w:type="spellStart"/>
      <w:r w:rsidRPr="005C6A63">
        <w:rPr>
          <w:sz w:val="22"/>
          <w:szCs w:val="22"/>
        </w:rPr>
        <w:t>Cronbach’s</w:t>
      </w:r>
      <w:proofErr w:type="spellEnd"/>
      <w:r w:rsidRPr="005C6A63">
        <w:rPr>
          <w:sz w:val="22"/>
          <w:szCs w:val="22"/>
        </w:rPr>
        <w:t xml:space="preserve"> alpha value of 0.850 based on twelve items, demonstrating strong internal consistency among the measurement items. This indicates that the scale </w:t>
      </w:r>
      <w:r w:rsidRPr="005C6A63">
        <w:rPr>
          <w:sz w:val="22"/>
          <w:szCs w:val="22"/>
        </w:rPr>
        <w:lastRenderedPageBreak/>
        <w:t>reliably measured organizational performance outcomes associated with green banking practices. The result is in agreement with previous studies that reported high reliability coefficients for organizational performance constructs in the banking sector [17].</w:t>
      </w:r>
    </w:p>
    <w:p w:rsidR="005C6A63" w:rsidRPr="005C6A63" w:rsidRDefault="005C6A63" w:rsidP="005C6A63">
      <w:pPr>
        <w:pStyle w:val="NormalWeb"/>
        <w:spacing w:before="120" w:beforeAutospacing="0" w:after="0" w:afterAutospacing="0"/>
        <w:jc w:val="both"/>
        <w:rPr>
          <w:sz w:val="22"/>
          <w:szCs w:val="22"/>
        </w:rPr>
      </w:pPr>
      <w:r w:rsidRPr="005C6A63">
        <w:rPr>
          <w:sz w:val="22"/>
          <w:szCs w:val="22"/>
        </w:rPr>
        <w:t xml:space="preserve">Overall, the study achieved a </w:t>
      </w:r>
      <w:proofErr w:type="spellStart"/>
      <w:r w:rsidRPr="005C6A63">
        <w:rPr>
          <w:sz w:val="22"/>
          <w:szCs w:val="22"/>
        </w:rPr>
        <w:t>Cronbach’s</w:t>
      </w:r>
      <w:proofErr w:type="spellEnd"/>
      <w:r w:rsidRPr="005C6A63">
        <w:rPr>
          <w:sz w:val="22"/>
          <w:szCs w:val="22"/>
        </w:rPr>
        <w:t xml:space="preserve"> alpha coefficient of 0.884 across 43 items, indicating excellent overall reliability of the research instrument. This suggests that the questionnaire items were highly consistent in measuring the intended constructs and were appropriate for generating reliable data for the study. Similar overall reliability levels were also reported in previous banking and sustainability studies [18].</w:t>
      </w:r>
    </w:p>
    <w:p w:rsidR="00635D6A" w:rsidRPr="00635D6A" w:rsidRDefault="00635D6A" w:rsidP="00635D6A">
      <w:pPr>
        <w:pStyle w:val="Heading3"/>
        <w:spacing w:before="120" w:beforeAutospacing="0" w:after="0" w:afterAutospacing="0"/>
        <w:jc w:val="both"/>
        <w:rPr>
          <w:sz w:val="22"/>
          <w:szCs w:val="22"/>
        </w:rPr>
      </w:pPr>
      <w:r w:rsidRPr="00635D6A">
        <w:rPr>
          <w:sz w:val="22"/>
          <w:szCs w:val="22"/>
        </w:rPr>
        <w:t>3.8 Ethical Considerations</w:t>
      </w:r>
    </w:p>
    <w:p w:rsidR="00635D6A" w:rsidRPr="00E646DF" w:rsidRDefault="00635D6A" w:rsidP="00E646DF">
      <w:pPr>
        <w:pStyle w:val="NormalWeb"/>
        <w:spacing w:before="120" w:beforeAutospacing="0" w:after="0" w:afterAutospacing="0"/>
        <w:jc w:val="both"/>
        <w:rPr>
          <w:sz w:val="22"/>
          <w:szCs w:val="22"/>
        </w:rPr>
      </w:pPr>
      <w:r w:rsidRPr="00635D6A">
        <w:rPr>
          <w:sz w:val="22"/>
          <w:szCs w:val="22"/>
        </w:rPr>
        <w:t xml:space="preserve">The study adheres to strict ethical guidelines. Participation </w:t>
      </w:r>
      <w:r w:rsidR="00E13EEA">
        <w:rPr>
          <w:sz w:val="22"/>
          <w:szCs w:val="22"/>
        </w:rPr>
        <w:t>was</w:t>
      </w:r>
      <w:r w:rsidRPr="00635D6A">
        <w:rPr>
          <w:sz w:val="22"/>
          <w:szCs w:val="22"/>
        </w:rPr>
        <w:t xml:space="preserve"> entirely </w:t>
      </w:r>
      <w:r w:rsidRPr="00860133">
        <w:rPr>
          <w:bCs/>
          <w:sz w:val="22"/>
          <w:szCs w:val="22"/>
        </w:rPr>
        <w:t>voluntary</w:t>
      </w:r>
      <w:r w:rsidRPr="00635D6A">
        <w:rPr>
          <w:sz w:val="22"/>
          <w:szCs w:val="22"/>
        </w:rPr>
        <w:t xml:space="preserve">, and </w:t>
      </w:r>
      <w:r w:rsidRPr="00860133">
        <w:rPr>
          <w:bCs/>
          <w:sz w:val="22"/>
          <w:szCs w:val="22"/>
        </w:rPr>
        <w:t>informed consent</w:t>
      </w:r>
      <w:r w:rsidRPr="00635D6A">
        <w:rPr>
          <w:sz w:val="22"/>
          <w:szCs w:val="22"/>
        </w:rPr>
        <w:t xml:space="preserve"> will be obtained from all respondents. The </w:t>
      </w:r>
      <w:r w:rsidRPr="00860133">
        <w:rPr>
          <w:bCs/>
          <w:sz w:val="22"/>
          <w:szCs w:val="22"/>
        </w:rPr>
        <w:t>confidentiality</w:t>
      </w:r>
      <w:r w:rsidRPr="00860133">
        <w:rPr>
          <w:sz w:val="22"/>
          <w:szCs w:val="22"/>
        </w:rPr>
        <w:t xml:space="preserve"> </w:t>
      </w:r>
      <w:r w:rsidRPr="00635D6A">
        <w:rPr>
          <w:sz w:val="22"/>
          <w:szCs w:val="22"/>
        </w:rPr>
        <w:t xml:space="preserve">of the participants and the anonymity of their specific responses will be maintained at all times. Furthermore, the data collected will be used strictly for academic purposes, and the results will be reported honestly without any manipulation to fit the </w:t>
      </w:r>
      <w:r w:rsidRPr="00E646DF">
        <w:rPr>
          <w:sz w:val="22"/>
          <w:szCs w:val="22"/>
        </w:rPr>
        <w:t>hypothesized outcomes.</w:t>
      </w:r>
    </w:p>
    <w:p w:rsidR="00D60448" w:rsidRPr="00E646DF" w:rsidRDefault="00D60448" w:rsidP="00E646DF">
      <w:pPr>
        <w:pStyle w:val="ListParagraph"/>
        <w:numPr>
          <w:ilvl w:val="0"/>
          <w:numId w:val="9"/>
        </w:numPr>
        <w:tabs>
          <w:tab w:val="left" w:pos="180"/>
        </w:tabs>
        <w:autoSpaceDN w:val="0"/>
        <w:spacing w:before="120" w:after="0" w:line="240" w:lineRule="auto"/>
        <w:jc w:val="both"/>
        <w:rPr>
          <w:rFonts w:ascii="Times New Roman" w:hAnsi="Times New Roman" w:cs="Times New Roman"/>
          <w:b/>
        </w:rPr>
      </w:pPr>
      <w:bookmarkStart w:id="4" w:name="_Toc213102934"/>
      <w:r w:rsidRPr="00E646DF">
        <w:rPr>
          <w:rFonts w:ascii="Times New Roman" w:hAnsi="Times New Roman" w:cs="Times New Roman"/>
          <w:b/>
        </w:rPr>
        <w:t xml:space="preserve">Results and Discussion </w:t>
      </w:r>
      <w:bookmarkEnd w:id="4"/>
    </w:p>
    <w:p w:rsidR="00E646DF" w:rsidRPr="00E646DF" w:rsidRDefault="00E646DF" w:rsidP="00E646DF">
      <w:pPr>
        <w:pStyle w:val="NormalWeb"/>
        <w:spacing w:before="120" w:beforeAutospacing="0" w:after="0" w:afterAutospacing="0"/>
        <w:jc w:val="both"/>
        <w:rPr>
          <w:sz w:val="22"/>
          <w:szCs w:val="22"/>
        </w:rPr>
      </w:pPr>
      <w:r w:rsidRPr="00E646DF">
        <w:rPr>
          <w:sz w:val="22"/>
          <w:szCs w:val="22"/>
        </w:rPr>
        <w:t xml:space="preserve">This study focused on major commercial banks operating in Addis Ababa, including the </w:t>
      </w:r>
      <w:r w:rsidRPr="00E646DF">
        <w:rPr>
          <w:rStyle w:val="whitespace-normal"/>
          <w:sz w:val="22"/>
          <w:szCs w:val="22"/>
        </w:rPr>
        <w:t>Commercial Bank of Ethiopia</w:t>
      </w:r>
      <w:r w:rsidRPr="00E646DF">
        <w:rPr>
          <w:sz w:val="22"/>
          <w:szCs w:val="22"/>
        </w:rPr>
        <w:t xml:space="preserve"> and prominent private banks such as </w:t>
      </w:r>
      <w:r w:rsidRPr="00E646DF">
        <w:rPr>
          <w:rStyle w:val="whitespace-normal"/>
          <w:sz w:val="22"/>
          <w:szCs w:val="22"/>
        </w:rPr>
        <w:t>Awash Bank</w:t>
      </w:r>
      <w:r w:rsidRPr="00E646DF">
        <w:rPr>
          <w:sz w:val="22"/>
          <w:szCs w:val="22"/>
        </w:rPr>
        <w:t xml:space="preserve">, </w:t>
      </w:r>
      <w:proofErr w:type="spellStart"/>
      <w:r w:rsidRPr="00E646DF">
        <w:rPr>
          <w:rStyle w:val="whitespace-normal"/>
          <w:sz w:val="22"/>
          <w:szCs w:val="22"/>
        </w:rPr>
        <w:t>Dashen</w:t>
      </w:r>
      <w:proofErr w:type="spellEnd"/>
      <w:r w:rsidRPr="00E646DF">
        <w:rPr>
          <w:rStyle w:val="whitespace-normal"/>
          <w:sz w:val="22"/>
          <w:szCs w:val="22"/>
        </w:rPr>
        <w:t xml:space="preserve"> Bank</w:t>
      </w:r>
      <w:r w:rsidRPr="00E646DF">
        <w:rPr>
          <w:sz w:val="22"/>
          <w:szCs w:val="22"/>
        </w:rPr>
        <w:t xml:space="preserve">, and </w:t>
      </w:r>
      <w:proofErr w:type="spellStart"/>
      <w:r w:rsidRPr="00E646DF">
        <w:rPr>
          <w:rStyle w:val="whitespace-normal"/>
          <w:sz w:val="22"/>
          <w:szCs w:val="22"/>
        </w:rPr>
        <w:t>Wegagen</w:t>
      </w:r>
      <w:proofErr w:type="spellEnd"/>
      <w:r w:rsidRPr="00E646DF">
        <w:rPr>
          <w:rStyle w:val="whitespace-normal"/>
          <w:sz w:val="22"/>
          <w:szCs w:val="22"/>
        </w:rPr>
        <w:t xml:space="preserve"> Bank</w:t>
      </w:r>
      <w:r w:rsidRPr="00E646DF">
        <w:rPr>
          <w:sz w:val="22"/>
          <w:szCs w:val="22"/>
        </w:rPr>
        <w:t>. The selection of these banks was strategic because Addis Ababa serves as the central hub for advanced green banking practices in Ethiopia, including the establishment of environmentally friendly headquarters, paperless banking systems, and the expansion of digital banking infrastructures. Previous studies have similarly emphasized that large urban-based commercial banks are more likely to implement green banking technologies and sustainability-oriented financial services due to better technological capacity and financial resources [19].</w:t>
      </w:r>
    </w:p>
    <w:p w:rsidR="00E646DF" w:rsidRPr="00E646DF" w:rsidRDefault="00E646DF" w:rsidP="00E646DF">
      <w:pPr>
        <w:pStyle w:val="NormalWeb"/>
        <w:spacing w:before="120" w:beforeAutospacing="0" w:after="0" w:afterAutospacing="0"/>
        <w:jc w:val="both"/>
        <w:rPr>
          <w:sz w:val="22"/>
          <w:szCs w:val="22"/>
        </w:rPr>
      </w:pPr>
      <w:r w:rsidRPr="00E646DF">
        <w:rPr>
          <w:sz w:val="22"/>
          <w:szCs w:val="22"/>
        </w:rPr>
        <w:t>A total of 248 questionnaires were distributed to employees and management staff of the selected banks, out of which 245 questionnaires were successfully returned and found usable for analysis. This represents a response rate of approximately 98.8%, which is considered highly satisfactory for survey-based research. The high response rate indicates strong participant engagement and enhances the reliability and validity of the study findings. Similar high response rates were reported in previous banking and sustainability-related studies, where respondents demonstrated growing awareness and interest in green banking practices and environmental sustainability initiatives [20].</w:t>
      </w:r>
    </w:p>
    <w:p w:rsidR="00E646DF" w:rsidRPr="00E646DF" w:rsidRDefault="00E646DF" w:rsidP="00E646DF">
      <w:pPr>
        <w:pStyle w:val="NormalWeb"/>
        <w:spacing w:before="120" w:beforeAutospacing="0" w:after="0" w:afterAutospacing="0"/>
        <w:jc w:val="both"/>
        <w:rPr>
          <w:sz w:val="22"/>
          <w:szCs w:val="22"/>
        </w:rPr>
      </w:pPr>
      <w:r w:rsidRPr="00E646DF">
        <w:rPr>
          <w:sz w:val="22"/>
          <w:szCs w:val="22"/>
        </w:rPr>
        <w:t>The strong participation of respondents may also indicate the increasing relevance of green banking practices within the Ethiopian banking sector. Previous empirical studies have shown that financial institutions are becoming more responsive to environmental sustainability concerns due to regulatory pressure, technological advancement, and growing public awareness regarding environmental protection [21]. In line with these findings, the selected banks in Addis Ababa appear to be actively engaged in promoting environmentally sustainable banking operations through digital banking systems, reduced paper consumption, and environmentally responsible investment practices.</w:t>
      </w:r>
    </w:p>
    <w:p w:rsidR="00E646DF" w:rsidRDefault="00E646DF" w:rsidP="00E646DF">
      <w:pPr>
        <w:pStyle w:val="NormalWeb"/>
        <w:spacing w:before="120" w:beforeAutospacing="0" w:after="0" w:afterAutospacing="0"/>
        <w:jc w:val="both"/>
        <w:rPr>
          <w:sz w:val="22"/>
          <w:szCs w:val="22"/>
        </w:rPr>
      </w:pPr>
      <w:r w:rsidRPr="00E646DF">
        <w:rPr>
          <w:sz w:val="22"/>
          <w:szCs w:val="22"/>
        </w:rPr>
        <w:t>Furthermore, the concentration of green banking initiatives within the head offices of these banks supports findings from earlier studies which argue that headquarters and urban branches are often the first adopters of sustainability innovations before such practices are expanded to regional branches [22]. This suggests that Addis Ababa remains the leading center for green banking transformation in Ethiopia’s financial sector.</w:t>
      </w:r>
    </w:p>
    <w:tbl>
      <w:tblPr>
        <w:tblStyle w:val="TableGrid"/>
        <w:tblW w:w="9468" w:type="dxa"/>
        <w:tblLayout w:type="fixed"/>
        <w:tblLook w:val="0000"/>
      </w:tblPr>
      <w:tblGrid>
        <w:gridCol w:w="5598"/>
        <w:gridCol w:w="1080"/>
        <w:gridCol w:w="1080"/>
        <w:gridCol w:w="1710"/>
      </w:tblGrid>
      <w:tr w:rsidR="00187E1E" w:rsidRPr="00187E1E" w:rsidTr="00187E1E">
        <w:tc>
          <w:tcPr>
            <w:tcW w:w="9468" w:type="dxa"/>
            <w:gridSpan w:val="4"/>
          </w:tcPr>
          <w:p w:rsidR="00187E1E" w:rsidRPr="00187E1E" w:rsidRDefault="00187E1E" w:rsidP="00187E1E">
            <w:pPr>
              <w:autoSpaceDE w:val="0"/>
              <w:autoSpaceDN w:val="0"/>
              <w:adjustRightInd w:val="0"/>
              <w:ind w:left="60" w:right="60"/>
              <w:jc w:val="center"/>
              <w:rPr>
                <w:rFonts w:ascii="Times New Roman" w:hAnsi="Times New Roman" w:cs="Times New Roman"/>
                <w:color w:val="010205"/>
              </w:rPr>
            </w:pPr>
            <w:r w:rsidRPr="00187E1E">
              <w:rPr>
                <w:rFonts w:ascii="Times New Roman" w:hAnsi="Times New Roman" w:cs="Times New Roman"/>
                <w:b/>
                <w:bCs/>
                <w:color w:val="010205"/>
              </w:rPr>
              <w:t>Table 3: Descriptive Statistics</w:t>
            </w:r>
            <w:r w:rsidRPr="00187E1E">
              <w:rPr>
                <w:rFonts w:ascii="Times New Roman" w:hAnsi="Times New Roman" w:cs="Times New Roman"/>
                <w:color w:val="264A60"/>
              </w:rPr>
              <w:t xml:space="preserve">  </w:t>
            </w:r>
            <w:r w:rsidRPr="000B247C">
              <w:rPr>
                <w:rFonts w:ascii="Times New Roman" w:hAnsi="Times New Roman" w:cs="Times New Roman"/>
                <w:b/>
                <w:color w:val="264A60"/>
              </w:rPr>
              <w:t>for Green Banking Adoption</w:t>
            </w:r>
          </w:p>
        </w:tc>
      </w:tr>
      <w:tr w:rsidR="00187E1E" w:rsidRPr="00187E1E" w:rsidTr="00187E1E">
        <w:tc>
          <w:tcPr>
            <w:tcW w:w="5598" w:type="dxa"/>
          </w:tcPr>
          <w:p w:rsidR="00187E1E" w:rsidRPr="00187E1E" w:rsidRDefault="00187E1E" w:rsidP="00187E1E">
            <w:pPr>
              <w:autoSpaceDE w:val="0"/>
              <w:autoSpaceDN w:val="0"/>
              <w:adjustRightInd w:val="0"/>
              <w:jc w:val="center"/>
              <w:rPr>
                <w:rFonts w:ascii="Times New Roman" w:hAnsi="Times New Roman" w:cs="Times New Roman"/>
              </w:rPr>
            </w:pPr>
            <w:r w:rsidRPr="00187E1E">
              <w:rPr>
                <w:rFonts w:ascii="Times New Roman" w:hAnsi="Times New Roman" w:cs="Times New Roman"/>
              </w:rPr>
              <w:t>Statement</w:t>
            </w:r>
          </w:p>
        </w:tc>
        <w:tc>
          <w:tcPr>
            <w:tcW w:w="1080" w:type="dxa"/>
          </w:tcPr>
          <w:p w:rsidR="00187E1E" w:rsidRPr="00187E1E" w:rsidRDefault="00187E1E" w:rsidP="00187E1E">
            <w:pPr>
              <w:autoSpaceDE w:val="0"/>
              <w:autoSpaceDN w:val="0"/>
              <w:adjustRightInd w:val="0"/>
              <w:ind w:left="60" w:right="60"/>
              <w:jc w:val="center"/>
              <w:rPr>
                <w:rFonts w:ascii="Times New Roman" w:hAnsi="Times New Roman" w:cs="Times New Roman"/>
                <w:color w:val="264A60"/>
              </w:rPr>
            </w:pPr>
            <w:r w:rsidRPr="00187E1E">
              <w:rPr>
                <w:rFonts w:ascii="Times New Roman" w:hAnsi="Times New Roman" w:cs="Times New Roman"/>
                <w:color w:val="264A60"/>
              </w:rPr>
              <w:t>N</w:t>
            </w:r>
          </w:p>
        </w:tc>
        <w:tc>
          <w:tcPr>
            <w:tcW w:w="1080" w:type="dxa"/>
          </w:tcPr>
          <w:p w:rsidR="00187E1E" w:rsidRPr="00187E1E" w:rsidRDefault="00187E1E" w:rsidP="00187E1E">
            <w:pPr>
              <w:autoSpaceDE w:val="0"/>
              <w:autoSpaceDN w:val="0"/>
              <w:adjustRightInd w:val="0"/>
              <w:ind w:left="60" w:right="60"/>
              <w:jc w:val="center"/>
              <w:rPr>
                <w:rFonts w:ascii="Times New Roman" w:hAnsi="Times New Roman" w:cs="Times New Roman"/>
                <w:color w:val="264A60"/>
              </w:rPr>
            </w:pPr>
            <w:r w:rsidRPr="00187E1E">
              <w:rPr>
                <w:rFonts w:ascii="Times New Roman" w:hAnsi="Times New Roman" w:cs="Times New Roman"/>
                <w:color w:val="264A60"/>
              </w:rPr>
              <w:t>Mean</w:t>
            </w:r>
          </w:p>
        </w:tc>
        <w:tc>
          <w:tcPr>
            <w:tcW w:w="1710" w:type="dxa"/>
          </w:tcPr>
          <w:p w:rsidR="00187E1E" w:rsidRPr="00187E1E" w:rsidRDefault="00187E1E" w:rsidP="00187E1E">
            <w:pPr>
              <w:autoSpaceDE w:val="0"/>
              <w:autoSpaceDN w:val="0"/>
              <w:adjustRightInd w:val="0"/>
              <w:ind w:left="60" w:right="60"/>
              <w:jc w:val="center"/>
              <w:rPr>
                <w:rFonts w:ascii="Times New Roman" w:hAnsi="Times New Roman" w:cs="Times New Roman"/>
                <w:color w:val="264A60"/>
              </w:rPr>
            </w:pPr>
            <w:r w:rsidRPr="00187E1E">
              <w:rPr>
                <w:rFonts w:ascii="Times New Roman" w:hAnsi="Times New Roman" w:cs="Times New Roman"/>
                <w:color w:val="264A60"/>
              </w:rPr>
              <w:t>Std. Deviation</w:t>
            </w:r>
          </w:p>
        </w:tc>
      </w:tr>
      <w:tr w:rsidR="00187E1E" w:rsidRPr="00187E1E" w:rsidTr="00187E1E">
        <w:tc>
          <w:tcPr>
            <w:tcW w:w="5598" w:type="dxa"/>
            <w:vAlign w:val="bottom"/>
          </w:tcPr>
          <w:p w:rsidR="00187E1E" w:rsidRPr="00187E1E" w:rsidRDefault="00187E1E" w:rsidP="00187E1E">
            <w:pPr>
              <w:rPr>
                <w:rFonts w:ascii="Times New Roman" w:hAnsi="Times New Roman" w:cs="Times New Roman"/>
                <w:color w:val="000000"/>
              </w:rPr>
            </w:pPr>
            <w:r w:rsidRPr="00187E1E">
              <w:rPr>
                <w:rFonts w:ascii="Times New Roman" w:hAnsi="Times New Roman" w:cs="Times New Roman"/>
                <w:color w:val="000000"/>
              </w:rPr>
              <w:t>The bank has successfully integrated paperless workflows across its core banking operations.</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245</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3.2939</w:t>
            </w:r>
          </w:p>
        </w:tc>
        <w:tc>
          <w:tcPr>
            <w:tcW w:w="171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1.35326</w:t>
            </w:r>
          </w:p>
        </w:tc>
      </w:tr>
      <w:tr w:rsidR="00187E1E" w:rsidRPr="00187E1E" w:rsidTr="00187E1E">
        <w:tc>
          <w:tcPr>
            <w:tcW w:w="5598" w:type="dxa"/>
            <w:vAlign w:val="bottom"/>
          </w:tcPr>
          <w:p w:rsidR="00187E1E" w:rsidRPr="00187E1E" w:rsidRDefault="00187E1E" w:rsidP="00187E1E">
            <w:pPr>
              <w:rPr>
                <w:rFonts w:ascii="Times New Roman" w:hAnsi="Times New Roman" w:cs="Times New Roman"/>
                <w:color w:val="000000"/>
              </w:rPr>
            </w:pPr>
            <w:r w:rsidRPr="00187E1E">
              <w:rPr>
                <w:rFonts w:ascii="Times New Roman" w:hAnsi="Times New Roman" w:cs="Times New Roman"/>
                <w:color w:val="000000"/>
              </w:rPr>
              <w:t xml:space="preserve">Mobile and internet banking platforms have significantly </w:t>
            </w:r>
            <w:r w:rsidRPr="00187E1E">
              <w:rPr>
                <w:rFonts w:ascii="Times New Roman" w:hAnsi="Times New Roman" w:cs="Times New Roman"/>
                <w:color w:val="000000"/>
              </w:rPr>
              <w:lastRenderedPageBreak/>
              <w:t>reduced the need for physical customer visits.</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lastRenderedPageBreak/>
              <w:t>245</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3.8082</w:t>
            </w:r>
          </w:p>
        </w:tc>
        <w:tc>
          <w:tcPr>
            <w:tcW w:w="171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1.17345</w:t>
            </w:r>
          </w:p>
        </w:tc>
      </w:tr>
      <w:tr w:rsidR="00187E1E" w:rsidRPr="00187E1E" w:rsidTr="00187E1E">
        <w:tc>
          <w:tcPr>
            <w:tcW w:w="5598" w:type="dxa"/>
            <w:vAlign w:val="bottom"/>
          </w:tcPr>
          <w:p w:rsidR="00187E1E" w:rsidRPr="00187E1E" w:rsidRDefault="00187E1E" w:rsidP="00187E1E">
            <w:pPr>
              <w:rPr>
                <w:rFonts w:ascii="Times New Roman" w:hAnsi="Times New Roman" w:cs="Times New Roman"/>
                <w:color w:val="000000"/>
              </w:rPr>
            </w:pPr>
            <w:r w:rsidRPr="00187E1E">
              <w:rPr>
                <w:rFonts w:ascii="Times New Roman" w:hAnsi="Times New Roman" w:cs="Times New Roman"/>
                <w:color w:val="000000"/>
              </w:rPr>
              <w:lastRenderedPageBreak/>
              <w:t>The bank utilizes energy-efficient technologies (e.g., LED lighting, solar power) in its headquarters.</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245</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4.0898</w:t>
            </w:r>
          </w:p>
        </w:tc>
        <w:tc>
          <w:tcPr>
            <w:tcW w:w="171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.99182</w:t>
            </w:r>
          </w:p>
        </w:tc>
      </w:tr>
      <w:tr w:rsidR="00187E1E" w:rsidRPr="00187E1E" w:rsidTr="00187E1E">
        <w:tc>
          <w:tcPr>
            <w:tcW w:w="5598" w:type="dxa"/>
            <w:vAlign w:val="bottom"/>
          </w:tcPr>
          <w:p w:rsidR="00187E1E" w:rsidRPr="00187E1E" w:rsidRDefault="00187E1E" w:rsidP="00187E1E">
            <w:pPr>
              <w:rPr>
                <w:rFonts w:ascii="Times New Roman" w:hAnsi="Times New Roman" w:cs="Times New Roman"/>
                <w:color w:val="000000"/>
              </w:rPr>
            </w:pPr>
            <w:r w:rsidRPr="00187E1E">
              <w:rPr>
                <w:rFonts w:ascii="Times New Roman" w:hAnsi="Times New Roman" w:cs="Times New Roman"/>
                <w:color w:val="000000"/>
              </w:rPr>
              <w:t>Digital archiving and electronic document management systems are fully operational in the bank.</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245</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3.6367</w:t>
            </w:r>
          </w:p>
        </w:tc>
        <w:tc>
          <w:tcPr>
            <w:tcW w:w="171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.98486</w:t>
            </w:r>
          </w:p>
        </w:tc>
      </w:tr>
      <w:tr w:rsidR="00187E1E" w:rsidRPr="00187E1E" w:rsidTr="00187E1E">
        <w:tc>
          <w:tcPr>
            <w:tcW w:w="5598" w:type="dxa"/>
            <w:vAlign w:val="bottom"/>
          </w:tcPr>
          <w:p w:rsidR="00187E1E" w:rsidRPr="00187E1E" w:rsidRDefault="00187E1E" w:rsidP="00187E1E">
            <w:pPr>
              <w:rPr>
                <w:rFonts w:ascii="Times New Roman" w:hAnsi="Times New Roman" w:cs="Times New Roman"/>
                <w:color w:val="000000"/>
              </w:rPr>
            </w:pPr>
            <w:r w:rsidRPr="00187E1E">
              <w:rPr>
                <w:rFonts w:ascii="Times New Roman" w:hAnsi="Times New Roman" w:cs="Times New Roman"/>
                <w:color w:val="000000"/>
              </w:rPr>
              <w:t>The bank prioritizes the procurement of eco-friendly office equipment and sustainable materials.</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245</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3.4653</w:t>
            </w:r>
          </w:p>
        </w:tc>
        <w:tc>
          <w:tcPr>
            <w:tcW w:w="171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1.04206</w:t>
            </w:r>
          </w:p>
        </w:tc>
      </w:tr>
      <w:tr w:rsidR="00187E1E" w:rsidRPr="00187E1E" w:rsidTr="00187E1E">
        <w:tc>
          <w:tcPr>
            <w:tcW w:w="5598" w:type="dxa"/>
          </w:tcPr>
          <w:p w:rsidR="00187E1E" w:rsidRPr="00187E1E" w:rsidRDefault="00187E1E" w:rsidP="00187E1E">
            <w:pPr>
              <w:autoSpaceDE w:val="0"/>
              <w:autoSpaceDN w:val="0"/>
              <w:adjustRightInd w:val="0"/>
              <w:ind w:left="60" w:right="60"/>
              <w:rPr>
                <w:rFonts w:ascii="Times New Roman" w:hAnsi="Times New Roman" w:cs="Times New Roman"/>
                <w:color w:val="264A60"/>
              </w:rPr>
            </w:pPr>
            <w:r w:rsidRPr="00187E1E">
              <w:rPr>
                <w:rFonts w:ascii="Times New Roman" w:hAnsi="Times New Roman" w:cs="Times New Roman"/>
                <w:color w:val="264A60"/>
              </w:rPr>
              <w:t>Valid N (</w:t>
            </w:r>
            <w:proofErr w:type="spellStart"/>
            <w:r w:rsidRPr="00187E1E">
              <w:rPr>
                <w:rFonts w:ascii="Times New Roman" w:hAnsi="Times New Roman" w:cs="Times New Roman"/>
                <w:color w:val="264A60"/>
              </w:rPr>
              <w:t>listwise</w:t>
            </w:r>
            <w:proofErr w:type="spellEnd"/>
            <w:r w:rsidRPr="00187E1E">
              <w:rPr>
                <w:rFonts w:ascii="Times New Roman" w:hAnsi="Times New Roman" w:cs="Times New Roman"/>
                <w:color w:val="264A60"/>
              </w:rPr>
              <w:t>)</w:t>
            </w:r>
          </w:p>
        </w:tc>
        <w:tc>
          <w:tcPr>
            <w:tcW w:w="1080" w:type="dxa"/>
          </w:tcPr>
          <w:p w:rsidR="00187E1E" w:rsidRPr="00187E1E" w:rsidRDefault="00187E1E" w:rsidP="00187E1E">
            <w:pPr>
              <w:autoSpaceDE w:val="0"/>
              <w:autoSpaceDN w:val="0"/>
              <w:adjustRightInd w:val="0"/>
              <w:ind w:left="60" w:right="60"/>
              <w:jc w:val="right"/>
              <w:rPr>
                <w:rFonts w:ascii="Times New Roman" w:hAnsi="Times New Roman" w:cs="Times New Roman"/>
                <w:color w:val="010205"/>
              </w:rPr>
            </w:pPr>
            <w:r w:rsidRPr="00187E1E">
              <w:rPr>
                <w:rFonts w:ascii="Times New Roman" w:hAnsi="Times New Roman" w:cs="Times New Roman"/>
                <w:color w:val="010205"/>
              </w:rPr>
              <w:t>245</w:t>
            </w:r>
          </w:p>
        </w:tc>
        <w:tc>
          <w:tcPr>
            <w:tcW w:w="1080" w:type="dxa"/>
          </w:tcPr>
          <w:p w:rsidR="00187E1E" w:rsidRPr="00187E1E" w:rsidRDefault="00187E1E" w:rsidP="00187E1E">
            <w:pPr>
              <w:autoSpaceDE w:val="0"/>
              <w:autoSpaceDN w:val="0"/>
              <w:adjustRightInd w:val="0"/>
              <w:rPr>
                <w:rFonts w:ascii="Times New Roman" w:hAnsi="Times New Roman" w:cs="Times New Roman"/>
              </w:rPr>
            </w:pPr>
          </w:p>
        </w:tc>
        <w:tc>
          <w:tcPr>
            <w:tcW w:w="1710" w:type="dxa"/>
          </w:tcPr>
          <w:p w:rsidR="00187E1E" w:rsidRPr="00187E1E" w:rsidRDefault="00187E1E" w:rsidP="00187E1E">
            <w:pPr>
              <w:autoSpaceDE w:val="0"/>
              <w:autoSpaceDN w:val="0"/>
              <w:adjustRightInd w:val="0"/>
              <w:rPr>
                <w:rFonts w:ascii="Times New Roman" w:hAnsi="Times New Roman" w:cs="Times New Roman"/>
              </w:rPr>
            </w:pPr>
          </w:p>
        </w:tc>
      </w:tr>
    </w:tbl>
    <w:p w:rsidR="00187E1E" w:rsidRPr="002C6684" w:rsidRDefault="00187E1E" w:rsidP="002C6684">
      <w:pPr>
        <w:pStyle w:val="NormalWeb"/>
        <w:spacing w:before="120" w:beforeAutospacing="0" w:after="0" w:afterAutospacing="0"/>
        <w:jc w:val="both"/>
        <w:rPr>
          <w:sz w:val="22"/>
          <w:szCs w:val="22"/>
        </w:rPr>
      </w:pPr>
      <w:r w:rsidRPr="002C6684">
        <w:rPr>
          <w:sz w:val="22"/>
          <w:szCs w:val="22"/>
        </w:rPr>
        <w:t>Source: Survey Result, (2026)</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descriptive statistics in Table 3 reveal the level of Green Banking Adoption (GBA) among selected commercial banks in Addis Ababa based on 245 valid responses. Overall, the findings indicate that green banking practices are moderately to highly implemented, particularly in digital banking and energy-efficient infrastructure. This pattern is consistent with earlier studies which show that green banking adoption in developing economies often begins with digital transformation and gradually expands to broader environmental sustainability practices [3], [4].</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 xml:space="preserve">The first statement, which assessed whether banks have successfully integrated paperless workflows across core banking operations, recorded a mean of 3.2939 with a standard deviation of 1.35326. This indicates a moderate level of agreement among respondents, suggesting that while paperless systems are being implemented, </w:t>
      </w:r>
      <w:proofErr w:type="gramStart"/>
      <w:r w:rsidRPr="002C6684">
        <w:rPr>
          <w:sz w:val="22"/>
          <w:szCs w:val="22"/>
        </w:rPr>
        <w:t>full</w:t>
      </w:r>
      <w:proofErr w:type="gramEnd"/>
      <w:r w:rsidRPr="002C6684">
        <w:rPr>
          <w:sz w:val="22"/>
          <w:szCs w:val="22"/>
        </w:rPr>
        <w:t xml:space="preserve"> integration is not yet achieved. This finding implies that traditional paper-based processes are still partially in use. Similar studies confirm that many banks in developing countries are still transitioning toward full digitalization due to infrastructural and operational limitations that slow down complete paperless transformation [3], [4].</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second statement, regarding the role of mobile and internet banking in reducing physical customer visits, recorded a mean of 3.8082 and a standard deviation of 1.17345. This indicates a relatively high level of agreement among respondents, showing that digital banking services are widely used and effectively reducing the need for in-branch transactions. This suggests that banks are successfully leveraging technology to improve service delivery and reduce environmental impact. This finding is supported by previous studies, which highlight that digital banking adoption improves accessibility, operational efficiency, and contributes to environmental sustainability by reducing paper usage and customer mobility [1], [7].</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third statement, which examined the use of energy-efficient technologies such as LED lighting and solar power in bank headquarters, recorded the highest mean value of 4.0898 with a standard deviation of 0.99182. This indicates strong agreement among respondents, suggesting that banks have significantly adopted energy-saving technologies at their main offices. This reflects a strong commitment to environmental sustainability within physical banking infrastructure. Similar findings have been reported in previous studies, which show that financial institutions increasingly invest in green building technologies and energy-efficient systems, particularly at headquarters and major branches where sustainability initiatives are more visible and prioritized [5], [8].</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fourth statement, which assessed the implementation of digital archiving and electronic document management systems, recorded a mean of 3.6367 with a standard deviation of 0.98486. This indicates a moderate to high level of implementation, suggesting that banks are increasingly shifting from paper-based documentation to electronic systems. This transition improves operational efficiency and reduces environmental degradation associated with paper consumption. Prior studies also confirm that digital knowledge management systems in banking institutions play a key role in enhancing efficiency, transparency, and environmental sustainability [6], [15].</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 xml:space="preserve">The fifth statement, which focused on the procurement of eco-friendly office equipment and sustainable materials, recorded a mean of 3.4653 with a standard deviation of 1.04206. This indicates a moderate </w:t>
      </w:r>
      <w:r w:rsidRPr="002C6684">
        <w:rPr>
          <w:sz w:val="22"/>
          <w:szCs w:val="22"/>
        </w:rPr>
        <w:lastRenderedPageBreak/>
        <w:t>level of adoption, suggesting that green procurement practices are still in a developing stage compared to digital banking and energy efficiency initiatives. This may be due to higher costs, limited supplier availability, and weak institutional enforcement of green procurement policies. Similar findings in previous research show that green procurement is often one of the slowest components of green banking adoption due to financial and supply chain constraints within banking institutions [12], [16].</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Overall, the results indicate that green banking adoption in Ethiopian commercial banks is most advanced in digital banking services and energy-efficient infrastructure, while paperless operations and eco-friendly procurement practices are still developing. This confirms that banks are gradually transitioning toward full sustainability integration, starting with technology-driven solutions and expanding into broader environmental management practices [3], [4].</w:t>
      </w:r>
    </w:p>
    <w:tbl>
      <w:tblPr>
        <w:tblStyle w:val="TableGrid"/>
        <w:tblW w:w="9468" w:type="dxa"/>
        <w:tblLayout w:type="fixed"/>
        <w:tblLook w:val="0000"/>
      </w:tblPr>
      <w:tblGrid>
        <w:gridCol w:w="5598"/>
        <w:gridCol w:w="1080"/>
        <w:gridCol w:w="990"/>
        <w:gridCol w:w="1800"/>
      </w:tblGrid>
      <w:tr w:rsidR="003B15D5" w:rsidRPr="003B15D5" w:rsidTr="003B15D5">
        <w:tc>
          <w:tcPr>
            <w:tcW w:w="9468" w:type="dxa"/>
            <w:gridSpan w:val="4"/>
          </w:tcPr>
          <w:p w:rsidR="003B15D5" w:rsidRPr="003B15D5" w:rsidRDefault="003B15D5" w:rsidP="003B15D5">
            <w:pPr>
              <w:autoSpaceDE w:val="0"/>
              <w:autoSpaceDN w:val="0"/>
              <w:adjustRightInd w:val="0"/>
              <w:spacing w:line="320" w:lineRule="atLeast"/>
              <w:ind w:left="60" w:right="60"/>
              <w:jc w:val="center"/>
              <w:rPr>
                <w:rFonts w:ascii="Times New Roman" w:hAnsi="Times New Roman" w:cs="Times New Roman"/>
                <w:color w:val="010205"/>
              </w:rPr>
            </w:pPr>
            <w:r w:rsidRPr="003B15D5">
              <w:rPr>
                <w:rFonts w:ascii="Times New Roman" w:hAnsi="Times New Roman" w:cs="Times New Roman"/>
                <w:b/>
                <w:bCs/>
                <w:color w:val="010205"/>
              </w:rPr>
              <w:t>Table 4: Descriptive Statistics</w:t>
            </w:r>
            <w:r w:rsidRPr="003B15D5">
              <w:rPr>
                <w:rFonts w:ascii="Times New Roman" w:hAnsi="Times New Roman" w:cs="Times New Roman"/>
                <w:color w:val="264A60"/>
              </w:rPr>
              <w:t xml:space="preserve">  </w:t>
            </w:r>
            <w:r w:rsidRPr="000B247C">
              <w:rPr>
                <w:rFonts w:ascii="Times New Roman" w:hAnsi="Times New Roman" w:cs="Times New Roman"/>
                <w:b/>
                <w:color w:val="264A60"/>
              </w:rPr>
              <w:t>for Environmental Sustainability</w:t>
            </w:r>
          </w:p>
        </w:tc>
      </w:tr>
      <w:tr w:rsidR="003B15D5" w:rsidRPr="003B15D5" w:rsidTr="003B15D5">
        <w:tc>
          <w:tcPr>
            <w:tcW w:w="5598" w:type="dxa"/>
          </w:tcPr>
          <w:p w:rsidR="003B15D5" w:rsidRPr="003B15D5" w:rsidRDefault="000F072D" w:rsidP="000F072D">
            <w:pPr>
              <w:autoSpaceDE w:val="0"/>
              <w:autoSpaceDN w:val="0"/>
              <w:adjustRightInd w:val="0"/>
              <w:jc w:val="center"/>
              <w:rPr>
                <w:rFonts w:ascii="Times New Roman" w:hAnsi="Times New Roman" w:cs="Times New Roman"/>
              </w:rPr>
            </w:pPr>
            <w:r w:rsidRPr="00187E1E">
              <w:rPr>
                <w:rFonts w:ascii="Times New Roman" w:hAnsi="Times New Roman" w:cs="Times New Roman"/>
              </w:rPr>
              <w:t>Statement</w:t>
            </w:r>
          </w:p>
        </w:tc>
        <w:tc>
          <w:tcPr>
            <w:tcW w:w="1080" w:type="dxa"/>
          </w:tcPr>
          <w:p w:rsidR="003B15D5" w:rsidRPr="003B15D5" w:rsidRDefault="003B15D5" w:rsidP="003B15D5">
            <w:pPr>
              <w:autoSpaceDE w:val="0"/>
              <w:autoSpaceDN w:val="0"/>
              <w:adjustRightInd w:val="0"/>
              <w:spacing w:line="320" w:lineRule="atLeast"/>
              <w:ind w:left="60" w:right="60"/>
              <w:jc w:val="center"/>
              <w:rPr>
                <w:rFonts w:ascii="Times New Roman" w:hAnsi="Times New Roman" w:cs="Times New Roman"/>
                <w:color w:val="264A60"/>
              </w:rPr>
            </w:pPr>
            <w:r w:rsidRPr="003B15D5">
              <w:rPr>
                <w:rFonts w:ascii="Times New Roman" w:hAnsi="Times New Roman" w:cs="Times New Roman"/>
                <w:color w:val="264A60"/>
              </w:rPr>
              <w:t>N</w:t>
            </w:r>
          </w:p>
        </w:tc>
        <w:tc>
          <w:tcPr>
            <w:tcW w:w="990" w:type="dxa"/>
          </w:tcPr>
          <w:p w:rsidR="003B15D5" w:rsidRPr="003B15D5" w:rsidRDefault="003B15D5" w:rsidP="003B15D5">
            <w:pPr>
              <w:autoSpaceDE w:val="0"/>
              <w:autoSpaceDN w:val="0"/>
              <w:adjustRightInd w:val="0"/>
              <w:spacing w:line="320" w:lineRule="atLeast"/>
              <w:ind w:left="60" w:right="60"/>
              <w:jc w:val="center"/>
              <w:rPr>
                <w:rFonts w:ascii="Times New Roman" w:hAnsi="Times New Roman" w:cs="Times New Roman"/>
                <w:color w:val="264A60"/>
              </w:rPr>
            </w:pPr>
            <w:r w:rsidRPr="003B15D5">
              <w:rPr>
                <w:rFonts w:ascii="Times New Roman" w:hAnsi="Times New Roman" w:cs="Times New Roman"/>
                <w:color w:val="264A60"/>
              </w:rPr>
              <w:t>Mean</w:t>
            </w:r>
          </w:p>
        </w:tc>
        <w:tc>
          <w:tcPr>
            <w:tcW w:w="1800" w:type="dxa"/>
          </w:tcPr>
          <w:p w:rsidR="003B15D5" w:rsidRPr="003B15D5" w:rsidRDefault="003B15D5" w:rsidP="003B15D5">
            <w:pPr>
              <w:autoSpaceDE w:val="0"/>
              <w:autoSpaceDN w:val="0"/>
              <w:adjustRightInd w:val="0"/>
              <w:spacing w:line="320" w:lineRule="atLeast"/>
              <w:ind w:left="60" w:right="60"/>
              <w:jc w:val="center"/>
              <w:rPr>
                <w:rFonts w:ascii="Times New Roman" w:hAnsi="Times New Roman" w:cs="Times New Roman"/>
                <w:color w:val="264A60"/>
              </w:rPr>
            </w:pPr>
            <w:r w:rsidRPr="003B15D5">
              <w:rPr>
                <w:rFonts w:ascii="Times New Roman" w:hAnsi="Times New Roman" w:cs="Times New Roman"/>
                <w:color w:val="264A60"/>
              </w:rPr>
              <w:t>Std. Deviation</w:t>
            </w:r>
          </w:p>
        </w:tc>
      </w:tr>
      <w:tr w:rsidR="003B15D5" w:rsidRPr="003B15D5" w:rsidTr="003B15D5">
        <w:tc>
          <w:tcPr>
            <w:tcW w:w="5598" w:type="dxa"/>
            <w:vAlign w:val="bottom"/>
          </w:tcPr>
          <w:p w:rsidR="003B15D5" w:rsidRPr="003B15D5" w:rsidRDefault="003B15D5" w:rsidP="003B15D5">
            <w:pPr>
              <w:jc w:val="both"/>
              <w:rPr>
                <w:rFonts w:ascii="Times New Roman" w:hAnsi="Times New Roman" w:cs="Times New Roman"/>
                <w:color w:val="000000"/>
              </w:rPr>
            </w:pPr>
            <w:r w:rsidRPr="003B15D5">
              <w:rPr>
                <w:rFonts w:ascii="Times New Roman" w:hAnsi="Times New Roman" w:cs="Times New Roman"/>
                <w:color w:val="000000"/>
              </w:rPr>
              <w:t>The bank’s operations have significantly contributed to a reduction in its total carbon footprint.</w:t>
            </w:r>
          </w:p>
        </w:tc>
        <w:tc>
          <w:tcPr>
            <w:tcW w:w="108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245</w:t>
            </w:r>
          </w:p>
        </w:tc>
        <w:tc>
          <w:tcPr>
            <w:tcW w:w="99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3.9265</w:t>
            </w:r>
          </w:p>
        </w:tc>
        <w:tc>
          <w:tcPr>
            <w:tcW w:w="180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.93799</w:t>
            </w:r>
          </w:p>
        </w:tc>
      </w:tr>
      <w:tr w:rsidR="003B15D5" w:rsidRPr="003B15D5" w:rsidTr="003B15D5">
        <w:tc>
          <w:tcPr>
            <w:tcW w:w="5598" w:type="dxa"/>
            <w:vAlign w:val="bottom"/>
          </w:tcPr>
          <w:p w:rsidR="003B15D5" w:rsidRPr="003B15D5" w:rsidRDefault="003B15D5" w:rsidP="003B15D5">
            <w:pPr>
              <w:jc w:val="both"/>
              <w:rPr>
                <w:rFonts w:ascii="Times New Roman" w:hAnsi="Times New Roman" w:cs="Times New Roman"/>
                <w:color w:val="000000"/>
              </w:rPr>
            </w:pPr>
            <w:r w:rsidRPr="003B15D5">
              <w:rPr>
                <w:rFonts w:ascii="Times New Roman" w:hAnsi="Times New Roman" w:cs="Times New Roman"/>
                <w:color w:val="000000"/>
              </w:rPr>
              <w:t>The bank effectively manages and minimizes its consumption of water and physical resources.</w:t>
            </w:r>
          </w:p>
        </w:tc>
        <w:tc>
          <w:tcPr>
            <w:tcW w:w="108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245</w:t>
            </w:r>
          </w:p>
        </w:tc>
        <w:tc>
          <w:tcPr>
            <w:tcW w:w="99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3.9306</w:t>
            </w:r>
          </w:p>
        </w:tc>
        <w:tc>
          <w:tcPr>
            <w:tcW w:w="180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.94048</w:t>
            </w:r>
          </w:p>
        </w:tc>
      </w:tr>
      <w:tr w:rsidR="003B15D5" w:rsidRPr="003B15D5" w:rsidTr="003B15D5">
        <w:tc>
          <w:tcPr>
            <w:tcW w:w="5598" w:type="dxa"/>
            <w:vAlign w:val="bottom"/>
          </w:tcPr>
          <w:p w:rsidR="003B15D5" w:rsidRPr="003B15D5" w:rsidRDefault="003B15D5" w:rsidP="003B15D5">
            <w:pPr>
              <w:jc w:val="both"/>
              <w:rPr>
                <w:rFonts w:ascii="Times New Roman" w:hAnsi="Times New Roman" w:cs="Times New Roman"/>
                <w:color w:val="000000"/>
              </w:rPr>
            </w:pPr>
            <w:r w:rsidRPr="003B15D5">
              <w:rPr>
                <w:rFonts w:ascii="Times New Roman" w:hAnsi="Times New Roman" w:cs="Times New Roman"/>
                <w:color w:val="000000"/>
              </w:rPr>
              <w:t>The bank has implemented a robust waste management system to handle office-generated waste.</w:t>
            </w:r>
          </w:p>
        </w:tc>
        <w:tc>
          <w:tcPr>
            <w:tcW w:w="108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245</w:t>
            </w:r>
          </w:p>
        </w:tc>
        <w:tc>
          <w:tcPr>
            <w:tcW w:w="99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3.9469</w:t>
            </w:r>
          </w:p>
        </w:tc>
        <w:tc>
          <w:tcPr>
            <w:tcW w:w="180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.98412</w:t>
            </w:r>
          </w:p>
        </w:tc>
      </w:tr>
      <w:tr w:rsidR="003B15D5" w:rsidRPr="003B15D5" w:rsidTr="003B15D5">
        <w:tc>
          <w:tcPr>
            <w:tcW w:w="5598" w:type="dxa"/>
            <w:vAlign w:val="bottom"/>
          </w:tcPr>
          <w:p w:rsidR="003B15D5" w:rsidRPr="003B15D5" w:rsidRDefault="003B15D5" w:rsidP="003B15D5">
            <w:pPr>
              <w:jc w:val="both"/>
              <w:rPr>
                <w:rFonts w:ascii="Times New Roman" w:hAnsi="Times New Roman" w:cs="Times New Roman"/>
                <w:color w:val="000000"/>
              </w:rPr>
            </w:pPr>
            <w:r w:rsidRPr="003B15D5">
              <w:rPr>
                <w:rFonts w:ascii="Times New Roman" w:hAnsi="Times New Roman" w:cs="Times New Roman"/>
                <w:color w:val="000000"/>
              </w:rPr>
              <w:t>Our banking activities actively support the national goal of building a climate-resilient green economy.</w:t>
            </w:r>
          </w:p>
        </w:tc>
        <w:tc>
          <w:tcPr>
            <w:tcW w:w="108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245</w:t>
            </w:r>
          </w:p>
        </w:tc>
        <w:tc>
          <w:tcPr>
            <w:tcW w:w="99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3.8939</w:t>
            </w:r>
          </w:p>
        </w:tc>
        <w:tc>
          <w:tcPr>
            <w:tcW w:w="180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1.07741</w:t>
            </w:r>
          </w:p>
        </w:tc>
      </w:tr>
      <w:tr w:rsidR="003B15D5" w:rsidRPr="003B15D5" w:rsidTr="003B15D5">
        <w:tc>
          <w:tcPr>
            <w:tcW w:w="5598" w:type="dxa"/>
            <w:vAlign w:val="bottom"/>
          </w:tcPr>
          <w:p w:rsidR="003B15D5" w:rsidRPr="003B15D5" w:rsidRDefault="003B15D5" w:rsidP="003B15D5">
            <w:pPr>
              <w:jc w:val="both"/>
              <w:rPr>
                <w:rFonts w:ascii="Times New Roman" w:hAnsi="Times New Roman" w:cs="Times New Roman"/>
                <w:color w:val="000000"/>
              </w:rPr>
            </w:pPr>
            <w:r w:rsidRPr="003B15D5">
              <w:rPr>
                <w:rFonts w:ascii="Times New Roman" w:hAnsi="Times New Roman" w:cs="Times New Roman"/>
                <w:color w:val="000000"/>
              </w:rPr>
              <w:t>The bank promotes environmental awareness among its employees and local community members.</w:t>
            </w:r>
          </w:p>
        </w:tc>
        <w:tc>
          <w:tcPr>
            <w:tcW w:w="108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245</w:t>
            </w:r>
          </w:p>
        </w:tc>
        <w:tc>
          <w:tcPr>
            <w:tcW w:w="99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4.1102</w:t>
            </w:r>
          </w:p>
        </w:tc>
        <w:tc>
          <w:tcPr>
            <w:tcW w:w="180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.93218</w:t>
            </w:r>
          </w:p>
        </w:tc>
      </w:tr>
      <w:tr w:rsidR="003B15D5" w:rsidRPr="003B15D5" w:rsidTr="003B15D5">
        <w:tc>
          <w:tcPr>
            <w:tcW w:w="5598" w:type="dxa"/>
          </w:tcPr>
          <w:p w:rsidR="003B15D5" w:rsidRPr="003B15D5" w:rsidRDefault="003B15D5" w:rsidP="003B15D5">
            <w:pPr>
              <w:autoSpaceDE w:val="0"/>
              <w:autoSpaceDN w:val="0"/>
              <w:adjustRightInd w:val="0"/>
              <w:spacing w:line="320" w:lineRule="atLeast"/>
              <w:ind w:left="60" w:right="60"/>
              <w:rPr>
                <w:rFonts w:ascii="Times New Roman" w:hAnsi="Times New Roman" w:cs="Times New Roman"/>
                <w:color w:val="264A60"/>
              </w:rPr>
            </w:pPr>
            <w:r w:rsidRPr="003B15D5">
              <w:rPr>
                <w:rFonts w:ascii="Times New Roman" w:hAnsi="Times New Roman" w:cs="Times New Roman"/>
                <w:color w:val="264A60"/>
              </w:rPr>
              <w:t>Valid N (</w:t>
            </w:r>
            <w:proofErr w:type="spellStart"/>
            <w:r w:rsidRPr="003B15D5">
              <w:rPr>
                <w:rFonts w:ascii="Times New Roman" w:hAnsi="Times New Roman" w:cs="Times New Roman"/>
                <w:color w:val="264A60"/>
              </w:rPr>
              <w:t>listwise</w:t>
            </w:r>
            <w:proofErr w:type="spellEnd"/>
            <w:r w:rsidRPr="003B15D5">
              <w:rPr>
                <w:rFonts w:ascii="Times New Roman" w:hAnsi="Times New Roman" w:cs="Times New Roman"/>
                <w:color w:val="264A60"/>
              </w:rPr>
              <w:t>)</w:t>
            </w:r>
          </w:p>
        </w:tc>
        <w:tc>
          <w:tcPr>
            <w:tcW w:w="1080" w:type="dxa"/>
          </w:tcPr>
          <w:p w:rsidR="003B15D5" w:rsidRPr="003B15D5" w:rsidRDefault="003B15D5" w:rsidP="003B15D5">
            <w:pPr>
              <w:autoSpaceDE w:val="0"/>
              <w:autoSpaceDN w:val="0"/>
              <w:adjustRightInd w:val="0"/>
              <w:spacing w:line="320" w:lineRule="atLeast"/>
              <w:ind w:left="60" w:right="60"/>
              <w:jc w:val="right"/>
              <w:rPr>
                <w:rFonts w:ascii="Times New Roman" w:hAnsi="Times New Roman" w:cs="Times New Roman"/>
                <w:color w:val="010205"/>
              </w:rPr>
            </w:pPr>
            <w:r w:rsidRPr="003B15D5">
              <w:rPr>
                <w:rFonts w:ascii="Times New Roman" w:hAnsi="Times New Roman" w:cs="Times New Roman"/>
                <w:color w:val="010205"/>
              </w:rPr>
              <w:t>245</w:t>
            </w:r>
          </w:p>
        </w:tc>
        <w:tc>
          <w:tcPr>
            <w:tcW w:w="990" w:type="dxa"/>
          </w:tcPr>
          <w:p w:rsidR="003B15D5" w:rsidRPr="003B15D5" w:rsidRDefault="003B15D5" w:rsidP="003B15D5">
            <w:pPr>
              <w:autoSpaceDE w:val="0"/>
              <w:autoSpaceDN w:val="0"/>
              <w:adjustRightInd w:val="0"/>
              <w:rPr>
                <w:rFonts w:ascii="Times New Roman" w:hAnsi="Times New Roman" w:cs="Times New Roman"/>
              </w:rPr>
            </w:pPr>
          </w:p>
        </w:tc>
        <w:tc>
          <w:tcPr>
            <w:tcW w:w="1800" w:type="dxa"/>
          </w:tcPr>
          <w:p w:rsidR="003B15D5" w:rsidRPr="003B15D5" w:rsidRDefault="003B15D5" w:rsidP="003B15D5">
            <w:pPr>
              <w:autoSpaceDE w:val="0"/>
              <w:autoSpaceDN w:val="0"/>
              <w:adjustRightInd w:val="0"/>
              <w:rPr>
                <w:rFonts w:ascii="Times New Roman" w:hAnsi="Times New Roman" w:cs="Times New Roman"/>
              </w:rPr>
            </w:pPr>
          </w:p>
        </w:tc>
      </w:tr>
    </w:tbl>
    <w:p w:rsidR="003B15D5" w:rsidRPr="002C6684" w:rsidRDefault="003B15D5" w:rsidP="002C6684">
      <w:pPr>
        <w:pStyle w:val="NormalWeb"/>
        <w:spacing w:before="120" w:beforeAutospacing="0" w:after="0" w:afterAutospacing="0"/>
        <w:jc w:val="both"/>
        <w:rPr>
          <w:sz w:val="22"/>
          <w:szCs w:val="22"/>
        </w:rPr>
      </w:pPr>
      <w:r w:rsidRPr="002C6684">
        <w:rPr>
          <w:sz w:val="22"/>
          <w:szCs w:val="22"/>
        </w:rPr>
        <w:t>Source: Survey Result, (2026)</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descriptive statistics in Table 4 present the level of Environmental Sustainability (ES) practices in selected commercial banks in Addis Ababa based on 245 valid responses. Overall, the results indicate a relatively high level of environmental sustainability practices, with mean values ranging from 3.8939 to 4.1102. This suggests that banks are increasingly integrating environmental considerations into their operations, consistent with previous studies that highlight the growing role of financial institutions in supporting sustainable and climate-resilient economic development [3], [4].</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first statement, which assessed whether bank operations have contributed to a reduction in total carbon footprint, recorded a mean of 3.9265 with a standard deviation of 0.93799. This indicates that respondents generally agree that banks are making efforts to reduce carbon emissions through their operational activities. This finding suggests that environmental sustainability practices are becoming part of core banking strategies. Similar studies have shown that financial institutions increasingly adopt green operational practices to reduce environmental impact and support climate change mitigation efforts [3], [5].</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second statement, which examined the bank’s effectiveness in managing and minimizing water and physical resource consumption, recorded a mean of 3.9306 with a standard deviation of 0.94048. This indicates a high level of agreement among respondents, suggesting that banks are implementing resource efficiency practices in their operations. This reflects an increasing awareness of environmental resource conservation within the banking sector. Prior research also confirms that resource efficiency is a key component of sustainable banking practices, particularly in institutions aiming to align with global environmental sustainability goals [4], [12].</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 xml:space="preserve">The third statement, which focused on the implementation of a waste management system, recorded a mean of 3.9469 with a standard deviation of 0.98412. This suggests that banks have moderately strong systems for managing office-generated waste. The relatively high mean indicates that waste management </w:t>
      </w:r>
      <w:r w:rsidRPr="002C6684">
        <w:rPr>
          <w:sz w:val="22"/>
          <w:szCs w:val="22"/>
        </w:rPr>
        <w:lastRenderedPageBreak/>
        <w:t>practices are becoming institutionalized within banking operations. This finding is consistent with earlier studies that emphasize the importance of structured waste management systems as part of broader environmental sustainability strategies in organizations [5], [8].</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fourth statement, which assessed the contribution of banking activities to national green economy goals, recorded a mean of 3.8939 with a standard deviation of 1.07741. This indicates a moderate to high level of agreement, suggesting that banks perceive their operations as aligned with national climate-resilient green economy objectives. This reflects the increasing role of financial institutions in supporting national sustainability agendas. Similar studies highlight that banking institutions play a critical role in financing and supporting green economic transformation strategies in developing countries [2], [3].</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fifth statement, which examined whether banks promote environmental awareness among employees and local communities, recorded the highest mean value of 4.1102 with a standard deviation of 0.93218. This indicates strong agreement among respondents, suggesting that environmental awareness programs are actively implemented within banks. This finding implies that banks are not only focusing on internal sustainability but also extending awareness efforts to external stakeholders. Previous studies confirm that environmental education and awareness programs are essential components of green banking strategies, as they enhance employee engagement and community participation in sustainability initiatives [1], [4].</w:t>
      </w:r>
    </w:p>
    <w:p w:rsidR="002C6684" w:rsidRDefault="002C6684" w:rsidP="002C6684">
      <w:pPr>
        <w:pStyle w:val="NormalWeb"/>
        <w:spacing w:before="120" w:beforeAutospacing="0" w:after="0" w:afterAutospacing="0"/>
        <w:jc w:val="both"/>
        <w:rPr>
          <w:sz w:val="22"/>
          <w:szCs w:val="22"/>
        </w:rPr>
      </w:pPr>
      <w:r w:rsidRPr="002C6684">
        <w:rPr>
          <w:sz w:val="22"/>
          <w:szCs w:val="22"/>
        </w:rPr>
        <w:t>Overall, the results indicate that environmental sustainability practices are well established in the selected commercial banks, particularly in environmental awareness, waste management, and resource efficiency. This demonstrates that banks are increasingly aligning their operations with environmental sustainability principles and national green economy objectives. These findings are consistent with earlier research emphasizing that banking institutions play a key role in promoting environmental sustainability through both operational practices and stakeholder engagement [3], [4], [10].</w:t>
      </w:r>
    </w:p>
    <w:p w:rsidR="000B247C" w:rsidRDefault="000B247C" w:rsidP="002C6684">
      <w:pPr>
        <w:pStyle w:val="NormalWeb"/>
        <w:spacing w:before="120" w:beforeAutospacing="0" w:after="0" w:afterAutospacing="0"/>
        <w:jc w:val="both"/>
        <w:rPr>
          <w:sz w:val="22"/>
          <w:szCs w:val="22"/>
        </w:rPr>
      </w:pPr>
    </w:p>
    <w:p w:rsidR="000B247C" w:rsidRPr="002C6684" w:rsidRDefault="000B247C" w:rsidP="002C6684">
      <w:pPr>
        <w:pStyle w:val="NormalWeb"/>
        <w:spacing w:before="120" w:beforeAutospacing="0" w:after="0" w:afterAutospacing="0"/>
        <w:jc w:val="both"/>
        <w:rPr>
          <w:sz w:val="22"/>
          <w:szCs w:val="22"/>
        </w:rPr>
      </w:pPr>
    </w:p>
    <w:tbl>
      <w:tblPr>
        <w:tblStyle w:val="TableGrid"/>
        <w:tblW w:w="9468" w:type="dxa"/>
        <w:tblLayout w:type="fixed"/>
        <w:tblLook w:val="0000"/>
      </w:tblPr>
      <w:tblGrid>
        <w:gridCol w:w="5598"/>
        <w:gridCol w:w="1080"/>
        <w:gridCol w:w="990"/>
        <w:gridCol w:w="1800"/>
      </w:tblGrid>
      <w:tr w:rsidR="000F072D" w:rsidRPr="000F072D" w:rsidTr="000F072D">
        <w:tc>
          <w:tcPr>
            <w:tcW w:w="9468" w:type="dxa"/>
            <w:gridSpan w:val="4"/>
          </w:tcPr>
          <w:p w:rsidR="000F072D" w:rsidRPr="000F072D" w:rsidRDefault="000F072D" w:rsidP="000F072D">
            <w:pPr>
              <w:autoSpaceDE w:val="0"/>
              <w:autoSpaceDN w:val="0"/>
              <w:adjustRightInd w:val="0"/>
              <w:spacing w:line="320" w:lineRule="atLeast"/>
              <w:ind w:left="60" w:right="60"/>
              <w:jc w:val="center"/>
              <w:rPr>
                <w:rFonts w:ascii="Times New Roman" w:hAnsi="Times New Roman" w:cs="Times New Roman"/>
                <w:color w:val="010205"/>
              </w:rPr>
            </w:pPr>
            <w:r w:rsidRPr="000F072D">
              <w:rPr>
                <w:rFonts w:ascii="Times New Roman" w:hAnsi="Times New Roman" w:cs="Times New Roman"/>
                <w:b/>
                <w:bCs/>
                <w:color w:val="010205"/>
              </w:rPr>
              <w:t xml:space="preserve">Table 5: Descriptive Statistics for </w:t>
            </w:r>
            <w:r w:rsidRPr="000B247C">
              <w:rPr>
                <w:rFonts w:ascii="Times New Roman" w:hAnsi="Times New Roman" w:cs="Times New Roman"/>
                <w:b/>
                <w:color w:val="264A60"/>
              </w:rPr>
              <w:t>Green Banking Initiatives</w:t>
            </w:r>
          </w:p>
        </w:tc>
      </w:tr>
      <w:tr w:rsidR="000F072D" w:rsidRPr="000F072D" w:rsidTr="000F072D">
        <w:tc>
          <w:tcPr>
            <w:tcW w:w="5598" w:type="dxa"/>
          </w:tcPr>
          <w:p w:rsidR="000F072D" w:rsidRPr="000F072D" w:rsidRDefault="000F072D" w:rsidP="000F072D">
            <w:pPr>
              <w:autoSpaceDE w:val="0"/>
              <w:autoSpaceDN w:val="0"/>
              <w:adjustRightInd w:val="0"/>
              <w:jc w:val="center"/>
              <w:rPr>
                <w:rFonts w:ascii="Times New Roman" w:hAnsi="Times New Roman" w:cs="Times New Roman"/>
              </w:rPr>
            </w:pPr>
            <w:r w:rsidRPr="000F072D">
              <w:rPr>
                <w:rFonts w:ascii="Times New Roman" w:hAnsi="Times New Roman" w:cs="Times New Roman"/>
              </w:rPr>
              <w:t>Statement</w:t>
            </w:r>
          </w:p>
        </w:tc>
        <w:tc>
          <w:tcPr>
            <w:tcW w:w="1080" w:type="dxa"/>
          </w:tcPr>
          <w:p w:rsidR="000F072D" w:rsidRPr="000F072D" w:rsidRDefault="000F072D" w:rsidP="000F072D">
            <w:pPr>
              <w:autoSpaceDE w:val="0"/>
              <w:autoSpaceDN w:val="0"/>
              <w:adjustRightInd w:val="0"/>
              <w:spacing w:line="320" w:lineRule="atLeast"/>
              <w:ind w:left="60" w:right="60"/>
              <w:jc w:val="center"/>
              <w:rPr>
                <w:rFonts w:ascii="Times New Roman" w:hAnsi="Times New Roman" w:cs="Times New Roman"/>
                <w:color w:val="264A60"/>
              </w:rPr>
            </w:pPr>
            <w:r w:rsidRPr="000F072D">
              <w:rPr>
                <w:rFonts w:ascii="Times New Roman" w:hAnsi="Times New Roman" w:cs="Times New Roman"/>
                <w:color w:val="264A60"/>
              </w:rPr>
              <w:t>N</w:t>
            </w:r>
          </w:p>
        </w:tc>
        <w:tc>
          <w:tcPr>
            <w:tcW w:w="990" w:type="dxa"/>
          </w:tcPr>
          <w:p w:rsidR="000F072D" w:rsidRPr="000F072D" w:rsidRDefault="000F072D" w:rsidP="000F072D">
            <w:pPr>
              <w:autoSpaceDE w:val="0"/>
              <w:autoSpaceDN w:val="0"/>
              <w:adjustRightInd w:val="0"/>
              <w:spacing w:line="320" w:lineRule="atLeast"/>
              <w:ind w:left="60" w:right="60"/>
              <w:jc w:val="center"/>
              <w:rPr>
                <w:rFonts w:ascii="Times New Roman" w:hAnsi="Times New Roman" w:cs="Times New Roman"/>
                <w:color w:val="264A60"/>
              </w:rPr>
            </w:pPr>
            <w:r w:rsidRPr="000F072D">
              <w:rPr>
                <w:rFonts w:ascii="Times New Roman" w:hAnsi="Times New Roman" w:cs="Times New Roman"/>
                <w:color w:val="264A60"/>
              </w:rPr>
              <w:t>Mean</w:t>
            </w:r>
          </w:p>
        </w:tc>
        <w:tc>
          <w:tcPr>
            <w:tcW w:w="1800" w:type="dxa"/>
          </w:tcPr>
          <w:p w:rsidR="000F072D" w:rsidRPr="000F072D" w:rsidRDefault="000F072D" w:rsidP="000F072D">
            <w:pPr>
              <w:autoSpaceDE w:val="0"/>
              <w:autoSpaceDN w:val="0"/>
              <w:adjustRightInd w:val="0"/>
              <w:spacing w:line="320" w:lineRule="atLeast"/>
              <w:ind w:left="60" w:right="60"/>
              <w:jc w:val="center"/>
              <w:rPr>
                <w:rFonts w:ascii="Times New Roman" w:hAnsi="Times New Roman" w:cs="Times New Roman"/>
                <w:color w:val="264A60"/>
              </w:rPr>
            </w:pPr>
            <w:r w:rsidRPr="000F072D">
              <w:rPr>
                <w:rFonts w:ascii="Times New Roman" w:hAnsi="Times New Roman" w:cs="Times New Roman"/>
                <w:color w:val="264A60"/>
              </w:rPr>
              <w:t>Std. Deviation</w:t>
            </w:r>
          </w:p>
        </w:tc>
      </w:tr>
      <w:tr w:rsidR="000F072D" w:rsidRPr="000F072D" w:rsidTr="000F072D">
        <w:tc>
          <w:tcPr>
            <w:tcW w:w="5598" w:type="dxa"/>
            <w:vAlign w:val="bottom"/>
          </w:tcPr>
          <w:p w:rsidR="000F072D" w:rsidRPr="000F072D" w:rsidRDefault="000F072D" w:rsidP="000F072D">
            <w:pPr>
              <w:jc w:val="both"/>
              <w:rPr>
                <w:rFonts w:ascii="Times New Roman" w:hAnsi="Times New Roman" w:cs="Times New Roman"/>
                <w:color w:val="000000"/>
              </w:rPr>
            </w:pPr>
            <w:r w:rsidRPr="000F072D">
              <w:rPr>
                <w:rFonts w:ascii="Times New Roman" w:hAnsi="Times New Roman" w:cs="Times New Roman"/>
                <w:color w:val="000000"/>
              </w:rPr>
              <w:t>The bank offers specialized credit products for renewable energy and eco-friendly projects.</w:t>
            </w:r>
          </w:p>
        </w:tc>
        <w:tc>
          <w:tcPr>
            <w:tcW w:w="108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245</w:t>
            </w:r>
          </w:p>
        </w:tc>
        <w:tc>
          <w:tcPr>
            <w:tcW w:w="99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4.1306</w:t>
            </w:r>
          </w:p>
        </w:tc>
        <w:tc>
          <w:tcPr>
            <w:tcW w:w="180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1.04768</w:t>
            </w:r>
          </w:p>
        </w:tc>
      </w:tr>
      <w:tr w:rsidR="000F072D" w:rsidRPr="000F072D" w:rsidTr="000F072D">
        <w:tc>
          <w:tcPr>
            <w:tcW w:w="5598" w:type="dxa"/>
            <w:vAlign w:val="bottom"/>
          </w:tcPr>
          <w:p w:rsidR="000F072D" w:rsidRPr="000F072D" w:rsidRDefault="000F072D" w:rsidP="000F072D">
            <w:pPr>
              <w:jc w:val="both"/>
              <w:rPr>
                <w:rFonts w:ascii="Times New Roman" w:hAnsi="Times New Roman" w:cs="Times New Roman"/>
                <w:color w:val="000000"/>
              </w:rPr>
            </w:pPr>
            <w:r w:rsidRPr="000F072D">
              <w:rPr>
                <w:rFonts w:ascii="Times New Roman" w:hAnsi="Times New Roman" w:cs="Times New Roman"/>
                <w:color w:val="000000"/>
              </w:rPr>
              <w:t>There are specific incentives for clients who adopt environmentally sustainable business practices.</w:t>
            </w:r>
          </w:p>
        </w:tc>
        <w:tc>
          <w:tcPr>
            <w:tcW w:w="108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245</w:t>
            </w:r>
          </w:p>
        </w:tc>
        <w:tc>
          <w:tcPr>
            <w:tcW w:w="99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3.8449</w:t>
            </w:r>
          </w:p>
        </w:tc>
        <w:tc>
          <w:tcPr>
            <w:tcW w:w="180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1.04039</w:t>
            </w:r>
          </w:p>
        </w:tc>
      </w:tr>
      <w:tr w:rsidR="000F072D" w:rsidRPr="000F072D" w:rsidTr="000F072D">
        <w:tc>
          <w:tcPr>
            <w:tcW w:w="5598" w:type="dxa"/>
            <w:vAlign w:val="bottom"/>
          </w:tcPr>
          <w:p w:rsidR="000F072D" w:rsidRPr="000F072D" w:rsidRDefault="000F072D" w:rsidP="000F072D">
            <w:pPr>
              <w:jc w:val="both"/>
              <w:rPr>
                <w:rFonts w:ascii="Times New Roman" w:hAnsi="Times New Roman" w:cs="Times New Roman"/>
                <w:color w:val="000000"/>
              </w:rPr>
            </w:pPr>
            <w:r w:rsidRPr="000F072D">
              <w:rPr>
                <w:rFonts w:ascii="Times New Roman" w:hAnsi="Times New Roman" w:cs="Times New Roman"/>
                <w:color w:val="000000"/>
              </w:rPr>
              <w:t>The bank participates in national and regional climate summits to align its strategic goals.</w:t>
            </w:r>
          </w:p>
        </w:tc>
        <w:tc>
          <w:tcPr>
            <w:tcW w:w="108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245</w:t>
            </w:r>
          </w:p>
        </w:tc>
        <w:tc>
          <w:tcPr>
            <w:tcW w:w="99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3.8327</w:t>
            </w:r>
          </w:p>
        </w:tc>
        <w:tc>
          <w:tcPr>
            <w:tcW w:w="180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.92802</w:t>
            </w:r>
          </w:p>
        </w:tc>
      </w:tr>
      <w:tr w:rsidR="000F072D" w:rsidRPr="000F072D" w:rsidTr="000F072D">
        <w:tc>
          <w:tcPr>
            <w:tcW w:w="5598" w:type="dxa"/>
            <w:vAlign w:val="bottom"/>
          </w:tcPr>
          <w:p w:rsidR="000F072D" w:rsidRPr="000F072D" w:rsidRDefault="000F072D" w:rsidP="000F072D">
            <w:pPr>
              <w:jc w:val="both"/>
              <w:rPr>
                <w:rFonts w:ascii="Times New Roman" w:hAnsi="Times New Roman" w:cs="Times New Roman"/>
                <w:color w:val="000000"/>
              </w:rPr>
            </w:pPr>
            <w:r w:rsidRPr="000F072D">
              <w:rPr>
                <w:rFonts w:ascii="Times New Roman" w:hAnsi="Times New Roman" w:cs="Times New Roman"/>
                <w:color w:val="000000"/>
              </w:rPr>
              <w:t>The bank has established a dedicated department or unit for green finance and sustainability.</w:t>
            </w:r>
          </w:p>
        </w:tc>
        <w:tc>
          <w:tcPr>
            <w:tcW w:w="108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245</w:t>
            </w:r>
          </w:p>
        </w:tc>
        <w:tc>
          <w:tcPr>
            <w:tcW w:w="99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3.3796</w:t>
            </w:r>
          </w:p>
        </w:tc>
        <w:tc>
          <w:tcPr>
            <w:tcW w:w="180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1.06297</w:t>
            </w:r>
          </w:p>
        </w:tc>
      </w:tr>
      <w:tr w:rsidR="000F072D" w:rsidRPr="000F072D" w:rsidTr="000F072D">
        <w:tc>
          <w:tcPr>
            <w:tcW w:w="5598" w:type="dxa"/>
            <w:vAlign w:val="bottom"/>
          </w:tcPr>
          <w:p w:rsidR="000F072D" w:rsidRPr="000F072D" w:rsidRDefault="000F072D" w:rsidP="000F072D">
            <w:pPr>
              <w:jc w:val="both"/>
              <w:rPr>
                <w:rFonts w:ascii="Times New Roman" w:hAnsi="Times New Roman" w:cs="Times New Roman"/>
                <w:color w:val="000000"/>
              </w:rPr>
            </w:pPr>
            <w:r w:rsidRPr="000F072D">
              <w:rPr>
                <w:rFonts w:ascii="Times New Roman" w:hAnsi="Times New Roman" w:cs="Times New Roman"/>
                <w:color w:val="000000"/>
              </w:rPr>
              <w:t>Corporate social responsibility (CSR) funds are frequently allocated to environmental conservation.</w:t>
            </w:r>
          </w:p>
        </w:tc>
        <w:tc>
          <w:tcPr>
            <w:tcW w:w="108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245</w:t>
            </w:r>
          </w:p>
        </w:tc>
        <w:tc>
          <w:tcPr>
            <w:tcW w:w="99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2.8490</w:t>
            </w:r>
          </w:p>
        </w:tc>
        <w:tc>
          <w:tcPr>
            <w:tcW w:w="180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1.22711</w:t>
            </w:r>
          </w:p>
        </w:tc>
      </w:tr>
      <w:tr w:rsidR="000F072D" w:rsidRPr="000F072D" w:rsidTr="000F072D">
        <w:tc>
          <w:tcPr>
            <w:tcW w:w="5598" w:type="dxa"/>
          </w:tcPr>
          <w:p w:rsidR="000F072D" w:rsidRPr="000F072D" w:rsidRDefault="000F072D" w:rsidP="000F072D">
            <w:pPr>
              <w:autoSpaceDE w:val="0"/>
              <w:autoSpaceDN w:val="0"/>
              <w:adjustRightInd w:val="0"/>
              <w:spacing w:line="320" w:lineRule="atLeast"/>
              <w:ind w:left="60" w:right="60"/>
              <w:rPr>
                <w:rFonts w:ascii="Times New Roman" w:hAnsi="Times New Roman" w:cs="Times New Roman"/>
                <w:color w:val="264A60"/>
              </w:rPr>
            </w:pPr>
            <w:r w:rsidRPr="000F072D">
              <w:rPr>
                <w:rFonts w:ascii="Times New Roman" w:hAnsi="Times New Roman" w:cs="Times New Roman"/>
                <w:color w:val="264A60"/>
              </w:rPr>
              <w:t>Valid N (</w:t>
            </w:r>
            <w:proofErr w:type="spellStart"/>
            <w:r w:rsidRPr="000F072D">
              <w:rPr>
                <w:rFonts w:ascii="Times New Roman" w:hAnsi="Times New Roman" w:cs="Times New Roman"/>
                <w:color w:val="264A60"/>
              </w:rPr>
              <w:t>listwise</w:t>
            </w:r>
            <w:proofErr w:type="spellEnd"/>
            <w:r w:rsidRPr="000F072D">
              <w:rPr>
                <w:rFonts w:ascii="Times New Roman" w:hAnsi="Times New Roman" w:cs="Times New Roman"/>
                <w:color w:val="264A60"/>
              </w:rPr>
              <w:t>)</w:t>
            </w:r>
          </w:p>
        </w:tc>
        <w:tc>
          <w:tcPr>
            <w:tcW w:w="1080" w:type="dxa"/>
          </w:tcPr>
          <w:p w:rsidR="000F072D" w:rsidRPr="000F072D" w:rsidRDefault="000F072D" w:rsidP="000F072D">
            <w:pPr>
              <w:autoSpaceDE w:val="0"/>
              <w:autoSpaceDN w:val="0"/>
              <w:adjustRightInd w:val="0"/>
              <w:spacing w:line="320" w:lineRule="atLeast"/>
              <w:ind w:left="60" w:right="60"/>
              <w:jc w:val="right"/>
              <w:rPr>
                <w:rFonts w:ascii="Times New Roman" w:hAnsi="Times New Roman" w:cs="Times New Roman"/>
                <w:color w:val="010205"/>
              </w:rPr>
            </w:pPr>
            <w:r w:rsidRPr="000F072D">
              <w:rPr>
                <w:rFonts w:ascii="Times New Roman" w:hAnsi="Times New Roman" w:cs="Times New Roman"/>
                <w:color w:val="010205"/>
              </w:rPr>
              <w:t>245</w:t>
            </w:r>
          </w:p>
        </w:tc>
        <w:tc>
          <w:tcPr>
            <w:tcW w:w="990" w:type="dxa"/>
          </w:tcPr>
          <w:p w:rsidR="000F072D" w:rsidRPr="000F072D" w:rsidRDefault="000F072D" w:rsidP="000F072D">
            <w:pPr>
              <w:autoSpaceDE w:val="0"/>
              <w:autoSpaceDN w:val="0"/>
              <w:adjustRightInd w:val="0"/>
              <w:rPr>
                <w:rFonts w:ascii="Times New Roman" w:hAnsi="Times New Roman" w:cs="Times New Roman"/>
              </w:rPr>
            </w:pPr>
          </w:p>
        </w:tc>
        <w:tc>
          <w:tcPr>
            <w:tcW w:w="1800" w:type="dxa"/>
          </w:tcPr>
          <w:p w:rsidR="000F072D" w:rsidRPr="000F072D" w:rsidRDefault="000F072D" w:rsidP="000F072D">
            <w:pPr>
              <w:autoSpaceDE w:val="0"/>
              <w:autoSpaceDN w:val="0"/>
              <w:adjustRightInd w:val="0"/>
              <w:rPr>
                <w:rFonts w:ascii="Times New Roman" w:hAnsi="Times New Roman" w:cs="Times New Roman"/>
              </w:rPr>
            </w:pPr>
          </w:p>
        </w:tc>
      </w:tr>
    </w:tbl>
    <w:p w:rsidR="000F072D" w:rsidRPr="002C6684" w:rsidRDefault="000F072D" w:rsidP="002C6684">
      <w:pPr>
        <w:pStyle w:val="NormalWeb"/>
        <w:spacing w:before="120" w:beforeAutospacing="0" w:after="0" w:afterAutospacing="0"/>
        <w:jc w:val="both"/>
        <w:rPr>
          <w:sz w:val="22"/>
          <w:szCs w:val="22"/>
        </w:rPr>
      </w:pPr>
      <w:r w:rsidRPr="002C6684">
        <w:rPr>
          <w:sz w:val="22"/>
          <w:szCs w:val="22"/>
        </w:rPr>
        <w:t>Source: Survey Result, (2026)</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descriptive statistics in Table 5 present the level of Green Banking Initiatives (GBI) implemented by selected commercial banks in Addis Ababa based on 245 valid responses. Overall, the findings indicate a moderate level of implementation of green banking initiatives, with mean values ranging from 2.8490 to 4.1306. This suggests that while banks are actively engaging in some green finance activities, the institutionalization of structured sustainability programs is still developing. This pattern is consistent with previous studies which indicate that green banking initiatives in developing economies often begin with product-based innovations before expanding into fully integrated sustainability governance structures [4], [12].</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lastRenderedPageBreak/>
        <w:t>The first statement, which assessed whether banks offer specialized credit products for renewable energy and eco-friendly projects, recorded the highest mean value of 4.1306 with a standard deviation of 1.04768. This indicates strong agreement among respondents that banks are actively financing environmentally friendly projects. This reflects a positive shift in credit allocation toward sustainable development activities. Similar studies confirm that green credit products are one of the most widely adopted green banking tools, as they directly support renewable energy investments and environmentally sustainable businesses [1], [3].</w:t>
      </w:r>
    </w:p>
    <w:p w:rsidR="002C6684" w:rsidRPr="002C6684" w:rsidRDefault="002C6684" w:rsidP="002C6684">
      <w:pPr>
        <w:pStyle w:val="NormalWeb"/>
        <w:spacing w:before="120" w:beforeAutospacing="0" w:after="0" w:afterAutospacing="0"/>
        <w:jc w:val="both"/>
        <w:rPr>
          <w:sz w:val="22"/>
          <w:szCs w:val="22"/>
        </w:rPr>
      </w:pPr>
      <w:proofErr w:type="gramStart"/>
      <w:r w:rsidRPr="002C6684">
        <w:rPr>
          <w:sz w:val="22"/>
          <w:szCs w:val="22"/>
        </w:rPr>
        <w:t>The second statement, which examined incentives provided to clients who adopt environmentally sustainable practices, recorded a mean of 3.8449 with a standard deviation of 1.04039.</w:t>
      </w:r>
      <w:proofErr w:type="gramEnd"/>
      <w:r w:rsidRPr="002C6684">
        <w:rPr>
          <w:sz w:val="22"/>
          <w:szCs w:val="22"/>
        </w:rPr>
        <w:t xml:space="preserve"> This indicates a relatively high level of implementation, suggesting that banks are encouraging environmentally responsible behavior among their clients through financial incentives. This finding aligns with previous research showing that incentive-based mechanisms are commonly used to promote sustainable business practices in the banking sector, particularly in emerging economies where regulatory frameworks are still evolving [12], [17].</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third statement, which assessed participation in national and regional climate summits, recorded a mean of 3.8327 with a standard deviation of 0.92802. This indicates that banks are moderately involved in climate-related policy discussions and strategic alignment activities. This suggests that banks are increasingly integrating sustainability considerations into their long-term strategic planning. Similar studies highlight that participation in climate forums enhances institutional awareness and supports alignment with national and international environmental goals [2], [3].</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fourth statement, which examined the establishment of dedicated departments or units for green finance and sustainability, recorded a mean of 3.3796 with a standard deviation of 1.06297. This indicates a moderate level of institutional development, suggesting that while some banks have created specialized units, this practice is not yet widespread. This reflects the early stage of institutionalization of green banking structures within financial institutions. Prior studies also indicate that organizational commitment to sustainability is often limited by structural and resource constraints in developing banking systems [4], [6].</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fifth statement, which focused on the allocation of CSR funds to environmental conservation, recorded the lowest mean value of 2.8490 with a standard deviation of 1.22711. This indicates a low to moderate level of implementation, suggesting that environmental CSR funding is not yet a consistent priority across banks. This may reflect competing CSR priorities and limited budget allocation for environmental projects. Similar studies have found that although CSR activities are common in banks, environmental-focused CSR initiatives are often under-prioritized compared to social and philanthropic programs [12], [16].</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 xml:space="preserve">Overall, the results indicate that green banking initiatives in Ethiopian commercial banks are most developed in </w:t>
      </w:r>
      <w:r w:rsidRPr="000B247C">
        <w:rPr>
          <w:rStyle w:val="Strong"/>
          <w:b w:val="0"/>
          <w:sz w:val="22"/>
          <w:szCs w:val="22"/>
        </w:rPr>
        <w:t>green credit provision and client incentives</w:t>
      </w:r>
      <w:r w:rsidRPr="002C6684">
        <w:rPr>
          <w:sz w:val="22"/>
          <w:szCs w:val="22"/>
        </w:rPr>
        <w:t xml:space="preserve">, while </w:t>
      </w:r>
      <w:r w:rsidRPr="000B247C">
        <w:rPr>
          <w:rStyle w:val="Strong"/>
          <w:b w:val="0"/>
          <w:sz w:val="22"/>
          <w:szCs w:val="22"/>
        </w:rPr>
        <w:t>institutional structures and environmental CSR funding remain weak or moderately implemented</w:t>
      </w:r>
      <w:r w:rsidRPr="000B247C">
        <w:rPr>
          <w:b/>
          <w:sz w:val="22"/>
          <w:szCs w:val="22"/>
        </w:rPr>
        <w:t>.</w:t>
      </w:r>
      <w:r w:rsidRPr="002C6684">
        <w:rPr>
          <w:sz w:val="22"/>
          <w:szCs w:val="22"/>
        </w:rPr>
        <w:t xml:space="preserve"> This suggests that banks are still in a transitional phase toward full integration of sustainability governance. These findings are consistent with earlier studies that emphasize green banking development as a gradual process beginning with financial products and later expanding into organizational and strategic sustainability frameworks [4], [12], </w:t>
      </w:r>
      <w:proofErr w:type="gramStart"/>
      <w:r w:rsidRPr="002C6684">
        <w:rPr>
          <w:sz w:val="22"/>
          <w:szCs w:val="22"/>
        </w:rPr>
        <w:t>[</w:t>
      </w:r>
      <w:proofErr w:type="gramEnd"/>
      <w:r w:rsidRPr="002C6684">
        <w:rPr>
          <w:sz w:val="22"/>
          <w:szCs w:val="22"/>
        </w:rPr>
        <w:t>14].</w:t>
      </w:r>
    </w:p>
    <w:tbl>
      <w:tblPr>
        <w:tblStyle w:val="TableGrid"/>
        <w:tblW w:w="9468" w:type="dxa"/>
        <w:tblLayout w:type="fixed"/>
        <w:tblLook w:val="0000"/>
      </w:tblPr>
      <w:tblGrid>
        <w:gridCol w:w="5598"/>
        <w:gridCol w:w="1080"/>
        <w:gridCol w:w="990"/>
        <w:gridCol w:w="1800"/>
      </w:tblGrid>
      <w:tr w:rsidR="00F153F1" w:rsidRPr="00F153F1" w:rsidTr="00F153F1">
        <w:tc>
          <w:tcPr>
            <w:tcW w:w="9468" w:type="dxa"/>
            <w:gridSpan w:val="4"/>
          </w:tcPr>
          <w:p w:rsidR="00F153F1" w:rsidRPr="00F153F1" w:rsidRDefault="00F153F1" w:rsidP="00F153F1">
            <w:pPr>
              <w:autoSpaceDE w:val="0"/>
              <w:autoSpaceDN w:val="0"/>
              <w:adjustRightInd w:val="0"/>
              <w:ind w:left="60" w:right="60"/>
              <w:jc w:val="center"/>
              <w:rPr>
                <w:rFonts w:ascii="Times New Roman" w:hAnsi="Times New Roman" w:cs="Times New Roman"/>
                <w:color w:val="010205"/>
              </w:rPr>
            </w:pPr>
            <w:r w:rsidRPr="00F153F1">
              <w:rPr>
                <w:rFonts w:ascii="Times New Roman" w:hAnsi="Times New Roman" w:cs="Times New Roman"/>
                <w:b/>
                <w:bCs/>
                <w:color w:val="010205"/>
              </w:rPr>
              <w:t xml:space="preserve">Table 6: Descriptive Statistics for </w:t>
            </w:r>
            <w:r w:rsidRPr="000B247C">
              <w:rPr>
                <w:rFonts w:ascii="Times New Roman" w:hAnsi="Times New Roman" w:cs="Times New Roman"/>
                <w:b/>
                <w:color w:val="264A60"/>
              </w:rPr>
              <w:t>Environmental Risk Assessment</w:t>
            </w:r>
          </w:p>
        </w:tc>
      </w:tr>
      <w:tr w:rsidR="00F153F1" w:rsidRPr="00F153F1" w:rsidTr="00F153F1">
        <w:tc>
          <w:tcPr>
            <w:tcW w:w="5598" w:type="dxa"/>
          </w:tcPr>
          <w:p w:rsidR="00F153F1" w:rsidRPr="00F153F1" w:rsidRDefault="00F153F1" w:rsidP="00F153F1">
            <w:pPr>
              <w:autoSpaceDE w:val="0"/>
              <w:autoSpaceDN w:val="0"/>
              <w:adjustRightInd w:val="0"/>
              <w:jc w:val="center"/>
              <w:rPr>
                <w:rFonts w:ascii="Times New Roman" w:hAnsi="Times New Roman" w:cs="Times New Roman"/>
              </w:rPr>
            </w:pPr>
            <w:r w:rsidRPr="00F153F1">
              <w:rPr>
                <w:rFonts w:ascii="Times New Roman" w:hAnsi="Times New Roman" w:cs="Times New Roman"/>
              </w:rPr>
              <w:t>Statement</w:t>
            </w:r>
          </w:p>
        </w:tc>
        <w:tc>
          <w:tcPr>
            <w:tcW w:w="1080" w:type="dxa"/>
          </w:tcPr>
          <w:p w:rsidR="00F153F1" w:rsidRPr="00F153F1" w:rsidRDefault="00F153F1" w:rsidP="00F153F1">
            <w:pPr>
              <w:autoSpaceDE w:val="0"/>
              <w:autoSpaceDN w:val="0"/>
              <w:adjustRightInd w:val="0"/>
              <w:ind w:left="60" w:right="60"/>
              <w:jc w:val="center"/>
              <w:rPr>
                <w:rFonts w:ascii="Times New Roman" w:hAnsi="Times New Roman" w:cs="Times New Roman"/>
                <w:color w:val="264A60"/>
              </w:rPr>
            </w:pPr>
            <w:r w:rsidRPr="00F153F1">
              <w:rPr>
                <w:rFonts w:ascii="Times New Roman" w:hAnsi="Times New Roman" w:cs="Times New Roman"/>
                <w:color w:val="264A60"/>
              </w:rPr>
              <w:t>N</w:t>
            </w:r>
          </w:p>
        </w:tc>
        <w:tc>
          <w:tcPr>
            <w:tcW w:w="990" w:type="dxa"/>
          </w:tcPr>
          <w:p w:rsidR="00F153F1" w:rsidRPr="00F153F1" w:rsidRDefault="00F153F1" w:rsidP="00F153F1">
            <w:pPr>
              <w:autoSpaceDE w:val="0"/>
              <w:autoSpaceDN w:val="0"/>
              <w:adjustRightInd w:val="0"/>
              <w:ind w:left="60" w:right="60"/>
              <w:jc w:val="center"/>
              <w:rPr>
                <w:rFonts w:ascii="Times New Roman" w:hAnsi="Times New Roman" w:cs="Times New Roman"/>
                <w:color w:val="264A60"/>
              </w:rPr>
            </w:pPr>
            <w:r w:rsidRPr="00F153F1">
              <w:rPr>
                <w:rFonts w:ascii="Times New Roman" w:hAnsi="Times New Roman" w:cs="Times New Roman"/>
                <w:color w:val="264A60"/>
              </w:rPr>
              <w:t>Mean</w:t>
            </w:r>
          </w:p>
        </w:tc>
        <w:tc>
          <w:tcPr>
            <w:tcW w:w="1800" w:type="dxa"/>
          </w:tcPr>
          <w:p w:rsidR="00F153F1" w:rsidRPr="00F153F1" w:rsidRDefault="00F153F1" w:rsidP="00F153F1">
            <w:pPr>
              <w:autoSpaceDE w:val="0"/>
              <w:autoSpaceDN w:val="0"/>
              <w:adjustRightInd w:val="0"/>
              <w:ind w:left="60" w:right="60"/>
              <w:jc w:val="center"/>
              <w:rPr>
                <w:rFonts w:ascii="Times New Roman" w:hAnsi="Times New Roman" w:cs="Times New Roman"/>
                <w:color w:val="264A60"/>
              </w:rPr>
            </w:pPr>
            <w:r w:rsidRPr="00F153F1">
              <w:rPr>
                <w:rFonts w:ascii="Times New Roman" w:hAnsi="Times New Roman" w:cs="Times New Roman"/>
                <w:color w:val="264A60"/>
              </w:rPr>
              <w:t>Std. Deviation</w:t>
            </w:r>
          </w:p>
        </w:tc>
      </w:tr>
      <w:tr w:rsidR="00F153F1" w:rsidRPr="00F153F1" w:rsidTr="00F153F1">
        <w:tc>
          <w:tcPr>
            <w:tcW w:w="559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The bank conducts a formal environmental impact assessment before approving corporate loans.</w:t>
            </w:r>
          </w:p>
        </w:tc>
        <w:tc>
          <w:tcPr>
            <w:tcW w:w="108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2.8204</w:t>
            </w:r>
          </w:p>
        </w:tc>
        <w:tc>
          <w:tcPr>
            <w:tcW w:w="180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1.24811</w:t>
            </w:r>
          </w:p>
        </w:tc>
      </w:tr>
      <w:tr w:rsidR="00F153F1" w:rsidRPr="00F153F1" w:rsidTr="00F153F1">
        <w:tc>
          <w:tcPr>
            <w:tcW w:w="559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Environmental risks are integrated into the bank’s overall credit risk management framework.</w:t>
            </w:r>
          </w:p>
        </w:tc>
        <w:tc>
          <w:tcPr>
            <w:tcW w:w="108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3.5633</w:t>
            </w:r>
          </w:p>
        </w:tc>
        <w:tc>
          <w:tcPr>
            <w:tcW w:w="180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1.06792</w:t>
            </w:r>
          </w:p>
        </w:tc>
      </w:tr>
      <w:tr w:rsidR="00F153F1" w:rsidRPr="00F153F1" w:rsidTr="00F153F1">
        <w:tc>
          <w:tcPr>
            <w:tcW w:w="559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The bank monitors the environmental compliance of its clients throughout the loan lifecycle.</w:t>
            </w:r>
          </w:p>
        </w:tc>
        <w:tc>
          <w:tcPr>
            <w:tcW w:w="108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3.4816</w:t>
            </w:r>
          </w:p>
        </w:tc>
        <w:tc>
          <w:tcPr>
            <w:tcW w:w="180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1.12565</w:t>
            </w:r>
          </w:p>
        </w:tc>
      </w:tr>
      <w:tr w:rsidR="00F153F1" w:rsidRPr="00F153F1" w:rsidTr="00F153F1">
        <w:tc>
          <w:tcPr>
            <w:tcW w:w="559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lastRenderedPageBreak/>
              <w:t>Clients in high-emission sectors are subject to stricter environmental vetting procedures.</w:t>
            </w:r>
          </w:p>
        </w:tc>
        <w:tc>
          <w:tcPr>
            <w:tcW w:w="108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3.5918</w:t>
            </w:r>
          </w:p>
        </w:tc>
        <w:tc>
          <w:tcPr>
            <w:tcW w:w="180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1.05811</w:t>
            </w:r>
          </w:p>
        </w:tc>
      </w:tr>
      <w:tr w:rsidR="00F153F1" w:rsidRPr="00F153F1" w:rsidTr="00F153F1">
        <w:tc>
          <w:tcPr>
            <w:tcW w:w="559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The bank uses specific tools to quantify potential climate-related financial risks in its portfolio.</w:t>
            </w:r>
          </w:p>
        </w:tc>
        <w:tc>
          <w:tcPr>
            <w:tcW w:w="108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3.4408</w:t>
            </w:r>
          </w:p>
        </w:tc>
        <w:tc>
          <w:tcPr>
            <w:tcW w:w="180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1.02107</w:t>
            </w:r>
          </w:p>
        </w:tc>
      </w:tr>
      <w:tr w:rsidR="00F153F1" w:rsidRPr="00F153F1" w:rsidTr="00F153F1">
        <w:tc>
          <w:tcPr>
            <w:tcW w:w="5598" w:type="dxa"/>
            <w:vAlign w:val="bottom"/>
          </w:tcPr>
          <w:p w:rsidR="00F153F1" w:rsidRPr="00F153F1" w:rsidRDefault="00F153F1" w:rsidP="00F153F1">
            <w:pPr>
              <w:jc w:val="both"/>
              <w:rPr>
                <w:rFonts w:ascii="Times New Roman" w:hAnsi="Times New Roman" w:cs="Times New Roman"/>
                <w:color w:val="000000"/>
              </w:rPr>
            </w:pPr>
            <w:proofErr w:type="gramStart"/>
            <w:r w:rsidRPr="00F153F1">
              <w:rPr>
                <w:rFonts w:ascii="Times New Roman" w:hAnsi="Times New Roman" w:cs="Times New Roman"/>
                <w:color w:val="000000"/>
              </w:rPr>
              <w:t>Staff are</w:t>
            </w:r>
            <w:proofErr w:type="gramEnd"/>
            <w:r w:rsidRPr="00F153F1">
              <w:rPr>
                <w:rFonts w:ascii="Times New Roman" w:hAnsi="Times New Roman" w:cs="Times New Roman"/>
                <w:color w:val="000000"/>
              </w:rPr>
              <w:t xml:space="preserve"> trained to identify "transition risks" associated with shifting environmental regulations.</w:t>
            </w:r>
          </w:p>
        </w:tc>
        <w:tc>
          <w:tcPr>
            <w:tcW w:w="108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3.5061</w:t>
            </w:r>
          </w:p>
        </w:tc>
        <w:tc>
          <w:tcPr>
            <w:tcW w:w="180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1.02677</w:t>
            </w:r>
          </w:p>
        </w:tc>
      </w:tr>
      <w:tr w:rsidR="00F153F1" w:rsidRPr="00F153F1" w:rsidTr="00F153F1">
        <w:tc>
          <w:tcPr>
            <w:tcW w:w="559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The bank refuses to finance projects that pose a significant threat to local ecosystems.</w:t>
            </w:r>
          </w:p>
        </w:tc>
        <w:tc>
          <w:tcPr>
            <w:tcW w:w="108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3.6531</w:t>
            </w:r>
          </w:p>
        </w:tc>
        <w:tc>
          <w:tcPr>
            <w:tcW w:w="180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1.15501</w:t>
            </w:r>
          </w:p>
        </w:tc>
      </w:tr>
      <w:tr w:rsidR="00F153F1" w:rsidRPr="00F153F1" w:rsidTr="00F153F1">
        <w:tc>
          <w:tcPr>
            <w:tcW w:w="5598" w:type="dxa"/>
          </w:tcPr>
          <w:p w:rsidR="00F153F1" w:rsidRPr="00F153F1" w:rsidRDefault="00F153F1" w:rsidP="00F153F1">
            <w:pPr>
              <w:autoSpaceDE w:val="0"/>
              <w:autoSpaceDN w:val="0"/>
              <w:adjustRightInd w:val="0"/>
              <w:ind w:left="60" w:right="60"/>
              <w:rPr>
                <w:rFonts w:ascii="Times New Roman" w:hAnsi="Times New Roman" w:cs="Times New Roman"/>
                <w:color w:val="264A60"/>
              </w:rPr>
            </w:pPr>
            <w:r w:rsidRPr="00F153F1">
              <w:rPr>
                <w:rFonts w:ascii="Times New Roman" w:hAnsi="Times New Roman" w:cs="Times New Roman"/>
                <w:color w:val="264A60"/>
              </w:rPr>
              <w:t>Valid N (</w:t>
            </w:r>
            <w:proofErr w:type="spellStart"/>
            <w:r w:rsidRPr="00F153F1">
              <w:rPr>
                <w:rFonts w:ascii="Times New Roman" w:hAnsi="Times New Roman" w:cs="Times New Roman"/>
                <w:color w:val="264A60"/>
              </w:rPr>
              <w:t>listwise</w:t>
            </w:r>
            <w:proofErr w:type="spellEnd"/>
            <w:r w:rsidRPr="00F153F1">
              <w:rPr>
                <w:rFonts w:ascii="Times New Roman" w:hAnsi="Times New Roman" w:cs="Times New Roman"/>
                <w:color w:val="264A60"/>
              </w:rPr>
              <w:t>)</w:t>
            </w:r>
          </w:p>
        </w:tc>
        <w:tc>
          <w:tcPr>
            <w:tcW w:w="108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rPr>
                <w:rFonts w:ascii="Times New Roman" w:hAnsi="Times New Roman" w:cs="Times New Roman"/>
              </w:rPr>
            </w:pPr>
          </w:p>
        </w:tc>
        <w:tc>
          <w:tcPr>
            <w:tcW w:w="1800" w:type="dxa"/>
          </w:tcPr>
          <w:p w:rsidR="00F153F1" w:rsidRPr="00F153F1" w:rsidRDefault="00F153F1" w:rsidP="00F153F1">
            <w:pPr>
              <w:autoSpaceDE w:val="0"/>
              <w:autoSpaceDN w:val="0"/>
              <w:adjustRightInd w:val="0"/>
              <w:rPr>
                <w:rFonts w:ascii="Times New Roman" w:hAnsi="Times New Roman" w:cs="Times New Roman"/>
              </w:rPr>
            </w:pPr>
          </w:p>
        </w:tc>
      </w:tr>
    </w:tbl>
    <w:p w:rsidR="00F153F1" w:rsidRPr="002C6684" w:rsidRDefault="00F153F1" w:rsidP="002C6684">
      <w:pPr>
        <w:pStyle w:val="NormalWeb"/>
        <w:spacing w:before="120" w:beforeAutospacing="0" w:after="0" w:afterAutospacing="0"/>
        <w:jc w:val="both"/>
        <w:rPr>
          <w:sz w:val="22"/>
          <w:szCs w:val="22"/>
        </w:rPr>
      </w:pPr>
      <w:r w:rsidRPr="002C6684">
        <w:rPr>
          <w:sz w:val="22"/>
          <w:szCs w:val="22"/>
        </w:rPr>
        <w:t>Source: Survey Result, (2026)</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descriptive statistics in Table 6 present the level of Environmental Risk Assessment (ERA) practices in selected commercial banks in Addis Ababa based on 245 valid responses. Overall, the findings indicate a moderate level of environmental risk integration, with mean values ranging from 2.8204 to 3.6531. This suggests that while banks are increasingly incorporating environmental considerations into credit and risk management systems, formalized environmental risk assessment practices are still in a developing stage. This aligns with prior studies indicating that environmental risk integration in banking is often gradual and closely linked to the maturity of risk management systems and regulatory pressure [3], [4].</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first statement, which assessed whether banks conduct formal environmental impact assessments before approving corporate loans, recorded the lowest mean value of 2.8204 with a standard deviation of 1.24811. This indicates a low to moderate level of agreement among respondents, suggesting that structured environmental impact assessments are not yet widely institutionalized in lending decisions. This implies that traditional financial criteria still dominate credit approval processes. Similar studies have shown that in many developing financial systems, environmental screening is often limited or informal due to weak regulatory enforcement and limited technical capacity [4], [15].</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second statement, which examined the integration of environmental risks into the bank’s credit risk management framework, recorded a mean of 3.5633 with a standard deviation of 1.06792. This indicates a moderate level of implementation, suggesting that environmental considerations are increasingly being incorporated into broader risk management systems. This finding is consistent with earlier research highlighting that financial institutions are gradually embedding environmental risk factors into credit risk models to enhance long-term portfolio stability [3], [10].</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third statement, which assessed monitoring of clients’ environmental compliance throughout the loan lifecycle, recorded a mean of 3.4816 with a standard deviation of 1.12565. This indicates moderate agreement, suggesting that banks are partially engaged in post-loan environmental monitoring. This reflects an emerging practice of continuous environmental oversight in lending operations. Similar studies confirm that ongoing monitoring of borrower environmental performance is an important but still developing component of sustainable banking risk management [15], [17].</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fourth statement, which examined stricter environmental vetting for high-emission sector clients, recorded a mean of 3.5918 with a standard deviation of 1.05811. This indicates relatively higher implementation, suggesting that banks are more cautious when financing environmentally sensitive industries. This finding aligns with previous research indicating that banks tend to apply stricter lending criteria to high-risk environmental sectors to minimize potential regulatory and reputational risks [3], [10].</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fifth statement, which assessed the use of tools to quantify climate-related financial risks, recorded a mean of 3.4408 with a standard deviation of 1.02107. This indicates a moderate level of adoption, suggesting that quantitative climate risk assessment tools are in use but not yet fully developed across all institutions. Similar studies indicate that the use of advanced climate risk modeling tools remains limited in emerging banking systems due to data constraints and technical capacity gaps [4], [15].</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lastRenderedPageBreak/>
        <w:t>The sixth statement, which focused on staff training to identify transition risks associated with environmental regulation changes, recorded a mean of 3.5061 with a standard deviation of 1.02677. This suggests a moderate level of agreement, indicating that banks are investing in human resource capacity building related to environmental risk awareness. This finding is consistent with prior studies that emphasize the importance of training programs in improving institutional readiness for climate-related financial risks [12], [15].</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seventh statement, which assessed whether banks refuse financing projects that significantly harm local ecosystems, recorded the highest mean value of 3.6531 with a standard deviation of 1.15501. This indicates a relatively strong commitment to environmental protection in lending decisions. This suggests that ethical and environmental considerations are increasingly influencing credit decisions. Similar studies have found that banks are becoming more selective in financing environmentally harmful projects due to rising sustainability expectations and regulatory pressure [3], [10].</w:t>
      </w:r>
    </w:p>
    <w:p w:rsidR="002C6684" w:rsidRPr="002C6684" w:rsidRDefault="002C6684" w:rsidP="0050366D">
      <w:pPr>
        <w:pStyle w:val="NormalWeb"/>
        <w:spacing w:before="120" w:beforeAutospacing="0" w:after="0" w:afterAutospacing="0"/>
        <w:jc w:val="both"/>
        <w:rPr>
          <w:sz w:val="22"/>
          <w:szCs w:val="22"/>
        </w:rPr>
      </w:pPr>
      <w:r w:rsidRPr="002C6684">
        <w:rPr>
          <w:sz w:val="22"/>
          <w:szCs w:val="22"/>
        </w:rPr>
        <w:t>Overall, the findings indicate that environmental risk assessment practices in Ethiopian commercial banks are moderately developed, with stronger implementation in selective lending decisions and sector-based risk screening, while formal environmental impact assessments and advanced risk quantification tools remain limited. This reflects a transitional stage in which banks are progressively integrating environmental risk considerations into financial decision-making systems, consistent with previous research on sustainability-oriented risk management in emerging economies [4], [15], [17].</w:t>
      </w:r>
    </w:p>
    <w:tbl>
      <w:tblPr>
        <w:tblStyle w:val="TableGrid"/>
        <w:tblW w:w="9468" w:type="dxa"/>
        <w:tblLayout w:type="fixed"/>
        <w:tblLook w:val="0000"/>
      </w:tblPr>
      <w:tblGrid>
        <w:gridCol w:w="6138"/>
        <w:gridCol w:w="720"/>
        <w:gridCol w:w="990"/>
        <w:gridCol w:w="1620"/>
      </w:tblGrid>
      <w:tr w:rsidR="00F153F1" w:rsidRPr="00F153F1" w:rsidTr="00F153F1">
        <w:tc>
          <w:tcPr>
            <w:tcW w:w="9468" w:type="dxa"/>
            <w:gridSpan w:val="4"/>
          </w:tcPr>
          <w:p w:rsidR="00F153F1" w:rsidRPr="00F153F1" w:rsidRDefault="00F153F1" w:rsidP="0050366D">
            <w:pPr>
              <w:autoSpaceDE w:val="0"/>
              <w:autoSpaceDN w:val="0"/>
              <w:adjustRightInd w:val="0"/>
              <w:spacing w:before="120"/>
              <w:ind w:left="60" w:right="60"/>
              <w:jc w:val="center"/>
              <w:rPr>
                <w:rFonts w:ascii="Times New Roman" w:hAnsi="Times New Roman" w:cs="Times New Roman"/>
                <w:color w:val="010205"/>
              </w:rPr>
            </w:pPr>
            <w:r w:rsidRPr="00F153F1">
              <w:rPr>
                <w:rFonts w:ascii="Times New Roman" w:hAnsi="Times New Roman" w:cs="Times New Roman"/>
                <w:b/>
                <w:bCs/>
                <w:color w:val="010205"/>
              </w:rPr>
              <w:t xml:space="preserve">Table 7: Descriptive Statistics for </w:t>
            </w:r>
            <w:r w:rsidRPr="000B247C">
              <w:rPr>
                <w:rFonts w:ascii="Times New Roman" w:hAnsi="Times New Roman" w:cs="Times New Roman"/>
                <w:b/>
                <w:color w:val="264A60"/>
              </w:rPr>
              <w:t>Barriers &amp; Institutional Challenges</w:t>
            </w:r>
          </w:p>
        </w:tc>
      </w:tr>
      <w:tr w:rsidR="00F153F1" w:rsidRPr="00F153F1" w:rsidTr="000B247C">
        <w:tc>
          <w:tcPr>
            <w:tcW w:w="6138" w:type="dxa"/>
          </w:tcPr>
          <w:p w:rsidR="00F153F1" w:rsidRPr="00F153F1" w:rsidRDefault="00F153F1" w:rsidP="00F153F1">
            <w:pPr>
              <w:autoSpaceDE w:val="0"/>
              <w:autoSpaceDN w:val="0"/>
              <w:adjustRightInd w:val="0"/>
              <w:jc w:val="center"/>
              <w:rPr>
                <w:rFonts w:ascii="Times New Roman" w:hAnsi="Times New Roman" w:cs="Times New Roman"/>
              </w:rPr>
            </w:pPr>
            <w:r w:rsidRPr="00F153F1">
              <w:rPr>
                <w:rFonts w:ascii="Times New Roman" w:hAnsi="Times New Roman" w:cs="Times New Roman"/>
              </w:rPr>
              <w:t>Statement</w:t>
            </w:r>
          </w:p>
        </w:tc>
        <w:tc>
          <w:tcPr>
            <w:tcW w:w="720" w:type="dxa"/>
          </w:tcPr>
          <w:p w:rsidR="00F153F1" w:rsidRPr="00F153F1" w:rsidRDefault="00F153F1" w:rsidP="00F153F1">
            <w:pPr>
              <w:autoSpaceDE w:val="0"/>
              <w:autoSpaceDN w:val="0"/>
              <w:adjustRightInd w:val="0"/>
              <w:ind w:left="60" w:right="60"/>
              <w:jc w:val="center"/>
              <w:rPr>
                <w:rFonts w:ascii="Times New Roman" w:hAnsi="Times New Roman" w:cs="Times New Roman"/>
                <w:color w:val="264A60"/>
              </w:rPr>
            </w:pPr>
            <w:r w:rsidRPr="00F153F1">
              <w:rPr>
                <w:rFonts w:ascii="Times New Roman" w:hAnsi="Times New Roman" w:cs="Times New Roman"/>
                <w:color w:val="264A60"/>
              </w:rPr>
              <w:t>N</w:t>
            </w:r>
          </w:p>
        </w:tc>
        <w:tc>
          <w:tcPr>
            <w:tcW w:w="990" w:type="dxa"/>
          </w:tcPr>
          <w:p w:rsidR="00F153F1" w:rsidRPr="00F153F1" w:rsidRDefault="00F153F1" w:rsidP="00F153F1">
            <w:pPr>
              <w:autoSpaceDE w:val="0"/>
              <w:autoSpaceDN w:val="0"/>
              <w:adjustRightInd w:val="0"/>
              <w:ind w:left="60" w:right="60"/>
              <w:jc w:val="center"/>
              <w:rPr>
                <w:rFonts w:ascii="Times New Roman" w:hAnsi="Times New Roman" w:cs="Times New Roman"/>
                <w:color w:val="264A60"/>
              </w:rPr>
            </w:pPr>
            <w:r w:rsidRPr="00F153F1">
              <w:rPr>
                <w:rFonts w:ascii="Times New Roman" w:hAnsi="Times New Roman" w:cs="Times New Roman"/>
                <w:color w:val="264A60"/>
              </w:rPr>
              <w:t>Mean</w:t>
            </w:r>
          </w:p>
        </w:tc>
        <w:tc>
          <w:tcPr>
            <w:tcW w:w="1620" w:type="dxa"/>
          </w:tcPr>
          <w:p w:rsidR="00F153F1" w:rsidRPr="00F153F1" w:rsidRDefault="00F153F1" w:rsidP="00F153F1">
            <w:pPr>
              <w:autoSpaceDE w:val="0"/>
              <w:autoSpaceDN w:val="0"/>
              <w:adjustRightInd w:val="0"/>
              <w:ind w:left="60" w:right="60"/>
              <w:jc w:val="center"/>
              <w:rPr>
                <w:rFonts w:ascii="Times New Roman" w:hAnsi="Times New Roman" w:cs="Times New Roman"/>
                <w:color w:val="264A60"/>
              </w:rPr>
            </w:pPr>
            <w:r w:rsidRPr="00F153F1">
              <w:rPr>
                <w:rFonts w:ascii="Times New Roman" w:hAnsi="Times New Roman" w:cs="Times New Roman"/>
                <w:color w:val="264A60"/>
              </w:rPr>
              <w:t>Std. Deviation</w:t>
            </w:r>
          </w:p>
        </w:tc>
      </w:tr>
      <w:tr w:rsidR="00F153F1" w:rsidRPr="00F153F1" w:rsidTr="000B247C">
        <w:tc>
          <w:tcPr>
            <w:tcW w:w="613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There is a significant gap in specialized technical expertise required to manage green assets.</w:t>
            </w:r>
          </w:p>
        </w:tc>
        <w:tc>
          <w:tcPr>
            <w:tcW w:w="7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4.0531</w:t>
            </w:r>
          </w:p>
        </w:tc>
        <w:tc>
          <w:tcPr>
            <w:tcW w:w="16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.88778</w:t>
            </w:r>
          </w:p>
        </w:tc>
      </w:tr>
      <w:tr w:rsidR="00F153F1" w:rsidRPr="00F153F1" w:rsidTr="000B247C">
        <w:tc>
          <w:tcPr>
            <w:tcW w:w="613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The high initial cost of energy-efficient technology hinders full green integration.</w:t>
            </w:r>
          </w:p>
        </w:tc>
        <w:tc>
          <w:tcPr>
            <w:tcW w:w="7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4.1347</w:t>
            </w:r>
          </w:p>
        </w:tc>
        <w:tc>
          <w:tcPr>
            <w:tcW w:w="16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.91561</w:t>
            </w:r>
          </w:p>
        </w:tc>
      </w:tr>
      <w:tr w:rsidR="00F153F1" w:rsidRPr="00F153F1" w:rsidTr="000B247C">
        <w:tc>
          <w:tcPr>
            <w:tcW w:w="613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The absence of a mandatory national "Green Banking Taxonomy" creates reporting confusion.</w:t>
            </w:r>
          </w:p>
        </w:tc>
        <w:tc>
          <w:tcPr>
            <w:tcW w:w="7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4.2449</w:t>
            </w:r>
          </w:p>
        </w:tc>
        <w:tc>
          <w:tcPr>
            <w:tcW w:w="16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.88082</w:t>
            </w:r>
          </w:p>
        </w:tc>
      </w:tr>
      <w:tr w:rsidR="00F153F1" w:rsidRPr="00F153F1" w:rsidTr="000B247C">
        <w:tc>
          <w:tcPr>
            <w:tcW w:w="613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Limited access to international green climate funds restricts the bank’s green lending capacity.</w:t>
            </w:r>
          </w:p>
        </w:tc>
        <w:tc>
          <w:tcPr>
            <w:tcW w:w="7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3.4898</w:t>
            </w:r>
          </w:p>
        </w:tc>
        <w:tc>
          <w:tcPr>
            <w:tcW w:w="16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1.04259</w:t>
            </w:r>
          </w:p>
        </w:tc>
      </w:tr>
      <w:tr w:rsidR="00F153F1" w:rsidRPr="00F153F1" w:rsidTr="000B247C">
        <w:tc>
          <w:tcPr>
            <w:tcW w:w="613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Short-term liquidity pressures often take precedence over long-term sustainability goals.</w:t>
            </w:r>
          </w:p>
        </w:tc>
        <w:tc>
          <w:tcPr>
            <w:tcW w:w="7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3.9510</w:t>
            </w:r>
          </w:p>
        </w:tc>
        <w:tc>
          <w:tcPr>
            <w:tcW w:w="16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.92642</w:t>
            </w:r>
          </w:p>
        </w:tc>
      </w:tr>
      <w:tr w:rsidR="00F153F1" w:rsidRPr="00F153F1" w:rsidTr="000B247C">
        <w:tc>
          <w:tcPr>
            <w:tcW w:w="613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There is a lack of advanced AI tools to accurately track the carbon footprint of loan portfolios.</w:t>
            </w:r>
          </w:p>
        </w:tc>
        <w:tc>
          <w:tcPr>
            <w:tcW w:w="7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3.4571</w:t>
            </w:r>
          </w:p>
        </w:tc>
        <w:tc>
          <w:tcPr>
            <w:tcW w:w="16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1.31324</w:t>
            </w:r>
          </w:p>
        </w:tc>
      </w:tr>
      <w:tr w:rsidR="00F153F1" w:rsidRPr="00F153F1" w:rsidTr="000B247C">
        <w:tc>
          <w:tcPr>
            <w:tcW w:w="613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Inconsistent regulatory enforcement makes it difficult to standardize green banking practices.</w:t>
            </w:r>
          </w:p>
        </w:tc>
        <w:tc>
          <w:tcPr>
            <w:tcW w:w="7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3.8204</w:t>
            </w:r>
          </w:p>
        </w:tc>
        <w:tc>
          <w:tcPr>
            <w:tcW w:w="16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1.13819</w:t>
            </w:r>
          </w:p>
        </w:tc>
      </w:tr>
      <w:tr w:rsidR="00F153F1" w:rsidRPr="00F153F1" w:rsidTr="000B247C">
        <w:tc>
          <w:tcPr>
            <w:tcW w:w="613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Market demand for green financial products remains low among the general banking public.</w:t>
            </w:r>
          </w:p>
        </w:tc>
        <w:tc>
          <w:tcPr>
            <w:tcW w:w="7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4.0245</w:t>
            </w:r>
          </w:p>
        </w:tc>
        <w:tc>
          <w:tcPr>
            <w:tcW w:w="16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1.01596</w:t>
            </w:r>
          </w:p>
        </w:tc>
      </w:tr>
      <w:tr w:rsidR="00F153F1" w:rsidRPr="00F153F1" w:rsidTr="000B247C">
        <w:tc>
          <w:tcPr>
            <w:tcW w:w="6138" w:type="dxa"/>
            <w:vAlign w:val="bottom"/>
          </w:tcPr>
          <w:p w:rsidR="00F153F1" w:rsidRPr="00F153F1" w:rsidRDefault="00F153F1" w:rsidP="00F153F1">
            <w:pPr>
              <w:jc w:val="both"/>
              <w:rPr>
                <w:rFonts w:ascii="Times New Roman" w:hAnsi="Times New Roman" w:cs="Times New Roman"/>
                <w:color w:val="000000"/>
              </w:rPr>
            </w:pPr>
            <w:r w:rsidRPr="00F153F1">
              <w:rPr>
                <w:rFonts w:ascii="Times New Roman" w:hAnsi="Times New Roman" w:cs="Times New Roman"/>
                <w:color w:val="000000"/>
              </w:rPr>
              <w:t>The risk of "</w:t>
            </w:r>
            <w:proofErr w:type="spellStart"/>
            <w:r w:rsidRPr="00F153F1">
              <w:rPr>
                <w:rFonts w:ascii="Times New Roman" w:hAnsi="Times New Roman" w:cs="Times New Roman"/>
                <w:color w:val="000000"/>
              </w:rPr>
              <w:t>greenwashing</w:t>
            </w:r>
            <w:proofErr w:type="spellEnd"/>
            <w:r w:rsidRPr="00F153F1">
              <w:rPr>
                <w:rFonts w:ascii="Times New Roman" w:hAnsi="Times New Roman" w:cs="Times New Roman"/>
                <w:color w:val="000000"/>
              </w:rPr>
              <w:t>" discourages the bank from making bold sustainability claims.</w:t>
            </w:r>
          </w:p>
        </w:tc>
        <w:tc>
          <w:tcPr>
            <w:tcW w:w="7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3.4571</w:t>
            </w:r>
          </w:p>
        </w:tc>
        <w:tc>
          <w:tcPr>
            <w:tcW w:w="16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1.19219</w:t>
            </w:r>
          </w:p>
        </w:tc>
      </w:tr>
      <w:tr w:rsidR="00F153F1" w:rsidRPr="00F153F1" w:rsidTr="000B247C">
        <w:tc>
          <w:tcPr>
            <w:tcW w:w="6138" w:type="dxa"/>
          </w:tcPr>
          <w:p w:rsidR="00F153F1" w:rsidRPr="00F153F1" w:rsidRDefault="00F153F1" w:rsidP="00F153F1">
            <w:pPr>
              <w:autoSpaceDE w:val="0"/>
              <w:autoSpaceDN w:val="0"/>
              <w:adjustRightInd w:val="0"/>
              <w:ind w:left="60" w:right="60"/>
              <w:rPr>
                <w:rFonts w:ascii="Times New Roman" w:hAnsi="Times New Roman" w:cs="Times New Roman"/>
                <w:color w:val="264A60"/>
              </w:rPr>
            </w:pPr>
            <w:r w:rsidRPr="00F153F1">
              <w:rPr>
                <w:rFonts w:ascii="Times New Roman" w:hAnsi="Times New Roman" w:cs="Times New Roman"/>
                <w:color w:val="264A60"/>
              </w:rPr>
              <w:t>Valid N (</w:t>
            </w:r>
            <w:proofErr w:type="spellStart"/>
            <w:r w:rsidRPr="00F153F1">
              <w:rPr>
                <w:rFonts w:ascii="Times New Roman" w:hAnsi="Times New Roman" w:cs="Times New Roman"/>
                <w:color w:val="264A60"/>
              </w:rPr>
              <w:t>listwise</w:t>
            </w:r>
            <w:proofErr w:type="spellEnd"/>
            <w:r w:rsidRPr="00F153F1">
              <w:rPr>
                <w:rFonts w:ascii="Times New Roman" w:hAnsi="Times New Roman" w:cs="Times New Roman"/>
                <w:color w:val="264A60"/>
              </w:rPr>
              <w:t>)</w:t>
            </w:r>
          </w:p>
        </w:tc>
        <w:tc>
          <w:tcPr>
            <w:tcW w:w="720" w:type="dxa"/>
          </w:tcPr>
          <w:p w:rsidR="00F153F1" w:rsidRPr="00F153F1" w:rsidRDefault="00F153F1" w:rsidP="00F153F1">
            <w:pPr>
              <w:autoSpaceDE w:val="0"/>
              <w:autoSpaceDN w:val="0"/>
              <w:adjustRightInd w:val="0"/>
              <w:ind w:left="60" w:right="60"/>
              <w:jc w:val="right"/>
              <w:rPr>
                <w:rFonts w:ascii="Times New Roman" w:hAnsi="Times New Roman" w:cs="Times New Roman"/>
                <w:color w:val="010205"/>
              </w:rPr>
            </w:pPr>
            <w:r w:rsidRPr="00F153F1">
              <w:rPr>
                <w:rFonts w:ascii="Times New Roman" w:hAnsi="Times New Roman" w:cs="Times New Roman"/>
                <w:color w:val="010205"/>
              </w:rPr>
              <w:t>245</w:t>
            </w:r>
          </w:p>
        </w:tc>
        <w:tc>
          <w:tcPr>
            <w:tcW w:w="990" w:type="dxa"/>
          </w:tcPr>
          <w:p w:rsidR="00F153F1" w:rsidRPr="00F153F1" w:rsidRDefault="00F153F1" w:rsidP="00F153F1">
            <w:pPr>
              <w:autoSpaceDE w:val="0"/>
              <w:autoSpaceDN w:val="0"/>
              <w:adjustRightInd w:val="0"/>
              <w:rPr>
                <w:rFonts w:ascii="Times New Roman" w:hAnsi="Times New Roman" w:cs="Times New Roman"/>
              </w:rPr>
            </w:pPr>
          </w:p>
        </w:tc>
        <w:tc>
          <w:tcPr>
            <w:tcW w:w="1620" w:type="dxa"/>
          </w:tcPr>
          <w:p w:rsidR="00F153F1" w:rsidRPr="00F153F1" w:rsidRDefault="00F153F1" w:rsidP="00F153F1">
            <w:pPr>
              <w:autoSpaceDE w:val="0"/>
              <w:autoSpaceDN w:val="0"/>
              <w:adjustRightInd w:val="0"/>
              <w:rPr>
                <w:rFonts w:ascii="Times New Roman" w:hAnsi="Times New Roman" w:cs="Times New Roman"/>
              </w:rPr>
            </w:pPr>
          </w:p>
        </w:tc>
      </w:tr>
    </w:tbl>
    <w:p w:rsidR="00F153F1" w:rsidRPr="002C6684" w:rsidRDefault="00F153F1" w:rsidP="002C6684">
      <w:pPr>
        <w:pStyle w:val="NormalWeb"/>
        <w:spacing w:before="120" w:beforeAutospacing="0" w:after="0" w:afterAutospacing="0"/>
        <w:jc w:val="both"/>
        <w:rPr>
          <w:sz w:val="22"/>
          <w:szCs w:val="22"/>
        </w:rPr>
      </w:pPr>
      <w:r w:rsidRPr="002C6684">
        <w:rPr>
          <w:sz w:val="22"/>
          <w:szCs w:val="22"/>
        </w:rPr>
        <w:t>Source: Survey Result, (2026)</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descriptive statistics in Table 7 present the perceived barriers and institutional challenges affecting green banking implementation in selected commercial banks in Addis Ababa based on 245 valid responses. Overall, the results indicate a high level of agreement that several structural, financial, and institutional constraints limit full adoption of green banking practices, with mean values ranging from 3.4571 to 4.2449. This suggests that despite growing interest in sustainability, banks face significant internal and external barriers that slow down full implementation of green banking systems. This finding is consistent with prior studies emphasizing that institutional limitations remain a major obstacle to green banking development in emerging economies [4], [6].</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lastRenderedPageBreak/>
        <w:t>The first statement, which assessed the gap in specialized technical expertise required to manage green assets, recorded a mean of 4.0531 with a standard deviation of 0.88778. This indicates strong agreement among respondents that a shortage of skilled professionals is a major barrier. This suggests that banks face capacity limitations in effectively managing green finance portfolios. Similar studies highlight that insufficient technical expertise is one of the key constraints limiting effective implementation of sustainable banking practices [4], [12].</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second statement, which examined the high initial cost of energy-efficient technologies, recorded a mean of 4.1347 with a standard deviation of 0.91561. This indicates strong agreement that financial constraints hinder full adoption of green technologies. This implies that upfront investment costs remain a major obstacle to sustainability integration. Previous studies confirm that high capital costs associated with green infrastructure are a significant challenge for banks in developing economies [3], [5].</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third statement, which focused on the absence of a mandatory national Green Banking Taxonomy, recorded the highest mean value of 4.2449 with a standard deviation of 0.88082. This indicates very strong agreement that lack of standardized classification and reporting frameworks creates confusion. This suggests that regulatory gaps significantly hinder consistent green banking implementation. Similar studies emphasize that clear regulatory frameworks and standardized taxonomies are essential for effective green finance reporting and accountability [4], [10].</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fourth statement, which assessed limited access to international green climate funds, recorded a mean of 3.4898 with a standard deviation of 1.04259. This indicates moderate agreement, suggesting that external funding limitations restrict the expansion of green lending activities. This reflects challenges in accessing global climate finance mechanisms. Prior research highlights that limited access to international green funds reduces the capacity of financial institutions to scale up sustainable lending programs [1], [3].</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fifth statement, which examined short-term liquidity pressures overriding long-term sustainability goals, recorded a mean of 3.9510 with a standard deviation of 0.92642. This indicates strong agreement, suggesting that immediate financial performance priorities often overshadow long-term environmental objectives. This finding aligns with earlier studies showing that short-term profitability pressures frequently limit long-term sustainability investments in banking institutions [6], [17].</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sixth statement, which assessed the lack of advanced AI tools for carbon footprint tracking, recorded a mean of 3.4571 with a standard deviation of 1.31324. This indicates moderate agreement, suggesting that technological limitations affect environmental monitoring capabilities. This reflects gaps in digital transformation for sustainability tracking. Similar studies note that limited adoption of advanced analytics and AI tools constrains accurate environmental risk and carbon assessment in banks [7], [15].</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seventh statement, which examined inconsistent regulatory enforcement, recorded a mean of 3.8204 with a standard deviation of 1.13819. This indicates strong agreement that weak and inconsistent enforcement of regulations hampers standardization of green banking practices. This suggests that regulatory uncertainty remains a major institutional challenge. Prior research also confirms that inconsistent enforcement of environmental regulations reduces compliance effectiveness in the banking sector [3], [10].</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eighth statement, which assessed low market demand for green financial products, recorded a mean of 4.0245 with a standard deviation of 1.01596. This indicates strong agreement that limited customer awareness and demand constrain green banking expansion. This suggests that market-side constraints also play a significant role in slowing adoption. Similar studies show that low demand for sustainable financial products is a key barrier in many developing banking markets [12], [18].</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 xml:space="preserve">The ninth statement, which focused on the risk of </w:t>
      </w:r>
      <w:proofErr w:type="spellStart"/>
      <w:r w:rsidRPr="002C6684">
        <w:rPr>
          <w:sz w:val="22"/>
          <w:szCs w:val="22"/>
        </w:rPr>
        <w:t>greenwashing</w:t>
      </w:r>
      <w:proofErr w:type="spellEnd"/>
      <w:r w:rsidRPr="002C6684">
        <w:rPr>
          <w:sz w:val="22"/>
          <w:szCs w:val="22"/>
        </w:rPr>
        <w:t xml:space="preserve"> discouraging bold sustainability claims, recorded a mean of 3.4571 with a standard deviation of 1.19219. This indicates moderate agreement, suggesting that reputational risk and concerns about misleading sustainability claims limit aggressive </w:t>
      </w:r>
      <w:r w:rsidRPr="002C6684">
        <w:rPr>
          <w:sz w:val="22"/>
          <w:szCs w:val="22"/>
        </w:rPr>
        <w:lastRenderedPageBreak/>
        <w:t xml:space="preserve">green marketing and reporting. This aligns with previous studies highlighting that concerns over </w:t>
      </w:r>
      <w:proofErr w:type="spellStart"/>
      <w:r w:rsidRPr="002C6684">
        <w:rPr>
          <w:sz w:val="22"/>
          <w:szCs w:val="22"/>
        </w:rPr>
        <w:t>greenwashing</w:t>
      </w:r>
      <w:proofErr w:type="spellEnd"/>
      <w:r w:rsidRPr="002C6684">
        <w:rPr>
          <w:sz w:val="22"/>
          <w:szCs w:val="22"/>
        </w:rPr>
        <w:t xml:space="preserve"> risk often make banks cautious in communicating sustainability achievements [10], [15].</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 xml:space="preserve">Overall, the findings indicate that barriers to green banking adoption are multifaceted, including </w:t>
      </w:r>
      <w:r w:rsidRPr="003E6B80">
        <w:rPr>
          <w:rStyle w:val="Strong"/>
          <w:b w:val="0"/>
          <w:sz w:val="22"/>
          <w:szCs w:val="22"/>
        </w:rPr>
        <w:t>technical skill gaps, high costs, weak regulatory frameworks, limited funding access, technological constraints, and low market demand</w:t>
      </w:r>
      <w:r w:rsidRPr="003E6B80">
        <w:rPr>
          <w:b/>
          <w:sz w:val="22"/>
          <w:szCs w:val="22"/>
        </w:rPr>
        <w:t>.</w:t>
      </w:r>
      <w:r w:rsidRPr="002C6684">
        <w:rPr>
          <w:sz w:val="22"/>
          <w:szCs w:val="22"/>
        </w:rPr>
        <w:t xml:space="preserve"> These challenges collectively slow down the full institutionalization of green banking practices in Ethiopian commercial banks. This is consistent with previous literature which emphasizes that successful green banking implementation requires not only internal capacity building but also strong regulatory frameworks, technological advancement, and market awareness [4], [6], [10].</w:t>
      </w:r>
    </w:p>
    <w:tbl>
      <w:tblPr>
        <w:tblStyle w:val="TableGrid"/>
        <w:tblW w:w="9468" w:type="dxa"/>
        <w:tblLayout w:type="fixed"/>
        <w:tblLook w:val="0000"/>
      </w:tblPr>
      <w:tblGrid>
        <w:gridCol w:w="5688"/>
        <w:gridCol w:w="990"/>
        <w:gridCol w:w="990"/>
        <w:gridCol w:w="1800"/>
      </w:tblGrid>
      <w:tr w:rsidR="004810E0" w:rsidRPr="004810E0" w:rsidTr="004810E0">
        <w:tc>
          <w:tcPr>
            <w:tcW w:w="9468" w:type="dxa"/>
            <w:gridSpan w:val="4"/>
          </w:tcPr>
          <w:p w:rsidR="004810E0" w:rsidRPr="004810E0" w:rsidRDefault="004810E0" w:rsidP="004810E0">
            <w:pPr>
              <w:autoSpaceDE w:val="0"/>
              <w:autoSpaceDN w:val="0"/>
              <w:adjustRightInd w:val="0"/>
              <w:ind w:left="60" w:right="60"/>
              <w:jc w:val="center"/>
              <w:rPr>
                <w:rFonts w:ascii="Times New Roman" w:hAnsi="Times New Roman" w:cs="Times New Roman"/>
                <w:color w:val="010205"/>
              </w:rPr>
            </w:pPr>
            <w:r w:rsidRPr="004810E0">
              <w:rPr>
                <w:rFonts w:ascii="Times New Roman" w:hAnsi="Times New Roman" w:cs="Times New Roman"/>
                <w:b/>
                <w:bCs/>
                <w:color w:val="010205"/>
              </w:rPr>
              <w:t xml:space="preserve">Table 8: Descriptive Statistics for </w:t>
            </w:r>
            <w:r w:rsidRPr="0050366D">
              <w:rPr>
                <w:rFonts w:ascii="Times New Roman" w:hAnsi="Times New Roman" w:cs="Times New Roman"/>
                <w:b/>
                <w:color w:val="264A60"/>
              </w:rPr>
              <w:t>Organizational Performance</w:t>
            </w:r>
          </w:p>
        </w:tc>
      </w:tr>
      <w:tr w:rsidR="004810E0" w:rsidRPr="004810E0" w:rsidTr="004810E0">
        <w:tc>
          <w:tcPr>
            <w:tcW w:w="5688" w:type="dxa"/>
          </w:tcPr>
          <w:p w:rsidR="004810E0" w:rsidRPr="004810E0" w:rsidRDefault="004810E0" w:rsidP="004810E0">
            <w:pPr>
              <w:autoSpaceDE w:val="0"/>
              <w:autoSpaceDN w:val="0"/>
              <w:adjustRightInd w:val="0"/>
              <w:jc w:val="center"/>
              <w:rPr>
                <w:rFonts w:ascii="Times New Roman" w:hAnsi="Times New Roman" w:cs="Times New Roman"/>
              </w:rPr>
            </w:pPr>
            <w:r w:rsidRPr="004810E0">
              <w:rPr>
                <w:rFonts w:ascii="Times New Roman" w:hAnsi="Times New Roman" w:cs="Times New Roman"/>
              </w:rPr>
              <w:t>Statement</w:t>
            </w:r>
          </w:p>
        </w:tc>
        <w:tc>
          <w:tcPr>
            <w:tcW w:w="990" w:type="dxa"/>
          </w:tcPr>
          <w:p w:rsidR="004810E0" w:rsidRPr="004810E0" w:rsidRDefault="004810E0" w:rsidP="004810E0">
            <w:pPr>
              <w:autoSpaceDE w:val="0"/>
              <w:autoSpaceDN w:val="0"/>
              <w:adjustRightInd w:val="0"/>
              <w:ind w:left="60" w:right="60"/>
              <w:jc w:val="center"/>
              <w:rPr>
                <w:rFonts w:ascii="Times New Roman" w:hAnsi="Times New Roman" w:cs="Times New Roman"/>
                <w:color w:val="264A60"/>
              </w:rPr>
            </w:pPr>
            <w:r w:rsidRPr="004810E0">
              <w:rPr>
                <w:rFonts w:ascii="Times New Roman" w:hAnsi="Times New Roman" w:cs="Times New Roman"/>
                <w:color w:val="264A60"/>
              </w:rPr>
              <w:t>N</w:t>
            </w:r>
          </w:p>
        </w:tc>
        <w:tc>
          <w:tcPr>
            <w:tcW w:w="990" w:type="dxa"/>
          </w:tcPr>
          <w:p w:rsidR="004810E0" w:rsidRPr="004810E0" w:rsidRDefault="004810E0" w:rsidP="004810E0">
            <w:pPr>
              <w:autoSpaceDE w:val="0"/>
              <w:autoSpaceDN w:val="0"/>
              <w:adjustRightInd w:val="0"/>
              <w:ind w:left="60" w:right="60"/>
              <w:jc w:val="center"/>
              <w:rPr>
                <w:rFonts w:ascii="Times New Roman" w:hAnsi="Times New Roman" w:cs="Times New Roman"/>
                <w:color w:val="264A60"/>
              </w:rPr>
            </w:pPr>
            <w:r w:rsidRPr="004810E0">
              <w:rPr>
                <w:rFonts w:ascii="Times New Roman" w:hAnsi="Times New Roman" w:cs="Times New Roman"/>
                <w:color w:val="264A60"/>
              </w:rPr>
              <w:t>Mean</w:t>
            </w:r>
          </w:p>
        </w:tc>
        <w:tc>
          <w:tcPr>
            <w:tcW w:w="1800" w:type="dxa"/>
          </w:tcPr>
          <w:p w:rsidR="004810E0" w:rsidRPr="004810E0" w:rsidRDefault="004810E0" w:rsidP="004810E0">
            <w:pPr>
              <w:autoSpaceDE w:val="0"/>
              <w:autoSpaceDN w:val="0"/>
              <w:adjustRightInd w:val="0"/>
              <w:ind w:left="60" w:right="60"/>
              <w:jc w:val="center"/>
              <w:rPr>
                <w:rFonts w:ascii="Times New Roman" w:hAnsi="Times New Roman" w:cs="Times New Roman"/>
                <w:color w:val="264A60"/>
              </w:rPr>
            </w:pPr>
            <w:r w:rsidRPr="004810E0">
              <w:rPr>
                <w:rFonts w:ascii="Times New Roman" w:hAnsi="Times New Roman" w:cs="Times New Roman"/>
                <w:color w:val="264A60"/>
              </w:rPr>
              <w:t>Std. Deviation</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The bank has achieved a consistent increase in its Return on Assets (ROA) over the last five years.</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3.8163</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1.07645</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There has been a measurable improvement in the bank’s Return on Equity (ROE).</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4.0367</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.99727</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Green banking practices have significantly lowered the bank’s cost-to-income ratio.</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3.7347</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1.01172</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The bank’s operational efficiency has improved due to the shift toward digital platforms.</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3.6571</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1.08113</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Adoption of green initiatives has enhanced the bank’s brand reputation and public image.</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3.9592</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.90895</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The bank has seen a growth in its customer base as a result of its sustainability leadership.</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3.9265</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.95959</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Environmental risk assessments have reduced the rate of non-performing loans (NPLs).</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3.9878</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.97292</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The bank is more competitive in the market due to its modern, green infrastructure.</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3.9429</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.93913</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Operational waste reduction has led to significant savings in administrative expenses.</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3.9673</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.94031</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The bank has improved its ability to attract high-quality, environmentally conscious employees.</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4.0286</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.98097</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Strategic alignment with green goals has improved the bank’s long-term stock/firm value.</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3.5878</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1.12964</w:t>
            </w:r>
          </w:p>
        </w:tc>
      </w:tr>
      <w:tr w:rsidR="004810E0" w:rsidRPr="004810E0" w:rsidTr="004810E0">
        <w:tc>
          <w:tcPr>
            <w:tcW w:w="5688" w:type="dxa"/>
            <w:vAlign w:val="bottom"/>
          </w:tcPr>
          <w:p w:rsidR="004810E0" w:rsidRPr="004810E0" w:rsidRDefault="004810E0" w:rsidP="004810E0">
            <w:pPr>
              <w:jc w:val="both"/>
              <w:rPr>
                <w:rFonts w:ascii="Times New Roman" w:hAnsi="Times New Roman" w:cs="Times New Roman"/>
                <w:color w:val="000000"/>
              </w:rPr>
            </w:pPr>
            <w:r w:rsidRPr="004810E0">
              <w:rPr>
                <w:rFonts w:ascii="Times New Roman" w:hAnsi="Times New Roman" w:cs="Times New Roman"/>
                <w:color w:val="000000"/>
              </w:rPr>
              <w:t>The bank’s internal governance and reporting transparency have improved via ESG disclosure.</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3.5837</w:t>
            </w:r>
          </w:p>
        </w:tc>
        <w:tc>
          <w:tcPr>
            <w:tcW w:w="180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1.06651</w:t>
            </w:r>
          </w:p>
        </w:tc>
      </w:tr>
      <w:tr w:rsidR="004810E0" w:rsidRPr="004810E0" w:rsidTr="004810E0">
        <w:tc>
          <w:tcPr>
            <w:tcW w:w="5688" w:type="dxa"/>
          </w:tcPr>
          <w:p w:rsidR="004810E0" w:rsidRPr="004810E0" w:rsidRDefault="004810E0" w:rsidP="004810E0">
            <w:pPr>
              <w:autoSpaceDE w:val="0"/>
              <w:autoSpaceDN w:val="0"/>
              <w:adjustRightInd w:val="0"/>
              <w:ind w:left="60" w:right="60"/>
              <w:jc w:val="both"/>
              <w:rPr>
                <w:rFonts w:ascii="Times New Roman" w:hAnsi="Times New Roman" w:cs="Times New Roman"/>
                <w:color w:val="264A60"/>
              </w:rPr>
            </w:pPr>
            <w:r w:rsidRPr="004810E0">
              <w:rPr>
                <w:rFonts w:ascii="Times New Roman" w:hAnsi="Times New Roman" w:cs="Times New Roman"/>
                <w:color w:val="264A60"/>
              </w:rPr>
              <w:t>Valid N (</w:t>
            </w:r>
            <w:proofErr w:type="spellStart"/>
            <w:r w:rsidRPr="004810E0">
              <w:rPr>
                <w:rFonts w:ascii="Times New Roman" w:hAnsi="Times New Roman" w:cs="Times New Roman"/>
                <w:color w:val="264A60"/>
              </w:rPr>
              <w:t>listwise</w:t>
            </w:r>
            <w:proofErr w:type="spellEnd"/>
            <w:r w:rsidRPr="004810E0">
              <w:rPr>
                <w:rFonts w:ascii="Times New Roman" w:hAnsi="Times New Roman" w:cs="Times New Roman"/>
                <w:color w:val="264A60"/>
              </w:rPr>
              <w:t>)</w:t>
            </w:r>
          </w:p>
        </w:tc>
        <w:tc>
          <w:tcPr>
            <w:tcW w:w="990" w:type="dxa"/>
          </w:tcPr>
          <w:p w:rsidR="004810E0" w:rsidRPr="004810E0" w:rsidRDefault="004810E0" w:rsidP="004810E0">
            <w:pPr>
              <w:autoSpaceDE w:val="0"/>
              <w:autoSpaceDN w:val="0"/>
              <w:adjustRightInd w:val="0"/>
              <w:ind w:left="60" w:right="60"/>
              <w:jc w:val="right"/>
              <w:rPr>
                <w:rFonts w:ascii="Times New Roman" w:hAnsi="Times New Roman" w:cs="Times New Roman"/>
                <w:color w:val="010205"/>
              </w:rPr>
            </w:pPr>
            <w:r w:rsidRPr="004810E0">
              <w:rPr>
                <w:rFonts w:ascii="Times New Roman" w:hAnsi="Times New Roman" w:cs="Times New Roman"/>
                <w:color w:val="010205"/>
              </w:rPr>
              <w:t>245</w:t>
            </w:r>
          </w:p>
        </w:tc>
        <w:tc>
          <w:tcPr>
            <w:tcW w:w="990" w:type="dxa"/>
          </w:tcPr>
          <w:p w:rsidR="004810E0" w:rsidRPr="004810E0" w:rsidRDefault="004810E0" w:rsidP="004810E0">
            <w:pPr>
              <w:autoSpaceDE w:val="0"/>
              <w:autoSpaceDN w:val="0"/>
              <w:adjustRightInd w:val="0"/>
              <w:rPr>
                <w:rFonts w:ascii="Times New Roman" w:hAnsi="Times New Roman" w:cs="Times New Roman"/>
              </w:rPr>
            </w:pPr>
          </w:p>
        </w:tc>
        <w:tc>
          <w:tcPr>
            <w:tcW w:w="1800" w:type="dxa"/>
          </w:tcPr>
          <w:p w:rsidR="004810E0" w:rsidRPr="004810E0" w:rsidRDefault="004810E0" w:rsidP="004810E0">
            <w:pPr>
              <w:autoSpaceDE w:val="0"/>
              <w:autoSpaceDN w:val="0"/>
              <w:adjustRightInd w:val="0"/>
              <w:rPr>
                <w:rFonts w:ascii="Times New Roman" w:hAnsi="Times New Roman" w:cs="Times New Roman"/>
              </w:rPr>
            </w:pPr>
          </w:p>
        </w:tc>
      </w:tr>
    </w:tbl>
    <w:p w:rsidR="004810E0" w:rsidRDefault="004810E0" w:rsidP="004810E0">
      <w:pPr>
        <w:pStyle w:val="NormalWeb"/>
        <w:spacing w:before="120" w:beforeAutospacing="0" w:after="0" w:afterAutospacing="0"/>
        <w:jc w:val="both"/>
        <w:rPr>
          <w:sz w:val="22"/>
          <w:szCs w:val="22"/>
        </w:rPr>
      </w:pPr>
      <w:r w:rsidRPr="00D60448">
        <w:rPr>
          <w:sz w:val="22"/>
          <w:szCs w:val="22"/>
        </w:rPr>
        <w:t>Source: Survey Result, (2026)</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descriptive statistics in Table 8 present the level of Organizational Performance (OP) in selected commercial banks in Addis Ababa based on 245 valid responses. Overall, the findings indicate a moderately high level of perceived organizational performance, with mean values ranging from 3.5837 to 4.0367. This suggests that the adoption of green banking practices is associated with improvements in financial, operational, and strategic performance indicators. This finding is consistent with previous studies that emphasize the positive relationship between green banking practices and enhanced organizational performance in financial institutions [7], [10], [17].</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 xml:space="preserve">The first statement, which assessed the trend of Return on Assets (ROA) over the last five years, recorded a mean of 3.8163 with a standard deviation of 1.07645. This indicates that respondents generally agree that banks have experienced a consistent improvement in asset utilization efficiency. This suggests that sustainability-oriented banking practices may contribute to improved financial efficiency. Similar studies </w:t>
      </w:r>
      <w:r w:rsidRPr="002C6684">
        <w:rPr>
          <w:sz w:val="22"/>
          <w:szCs w:val="22"/>
        </w:rPr>
        <w:lastRenderedPageBreak/>
        <w:t>confirm that environmental and sustainability initiatives can positively influence financial performance through better resource utilization and operational efficiency [3], [7].</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second statement, which examined improvements in Return on Equity (ROE), recorded a mean of 4.0367 with a standard deviation of 0.99727. This indicates a high level of agreement that shareholders’ returns have improved. This suggests that green banking practices may contribute to enhanced profitability and shareholder value. Previous studies also report that banks integrating environmental strategies tend to achieve better financial returns due to improved efficiency and risk management practices [10], [17].</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third statement, which assessed the impact of green banking on cost-to-income ratio, recorded a mean of 3.7347 with a standard deviation of 1.01172. This indicates moderate agreement that green banking practices have helped reduce operational costs relative to income. This implies that efficiency gains from digitalization and resource optimization contribute to cost reduction. Similar findings indicate that sustainable banking practices often lead to improved cost efficiency through reduced paper usage and streamlined operations [6], [12].</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fourth statement, which evaluated operational efficiency improvements due to digital platforms, recorded a mean of 3.6571 with a standard deviation of 1.08113. This indicates moderate agreement that digital transformation has enhanced operational efficiency. This suggests that digital banking plays a key role in improving service delivery and internal processes. Prior studies support this finding, showing that digitalization significantly improves efficiency and reduces operational bottlenecks in banking institutions [7], [15].</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fifth statement, which assessed the impact of green initiatives on brand reputation and public image, recorded a mean of 3.9592 with a standard deviation of 0.90895. This indicates strong agreement that sustainability practices enhance corporate reputation. This suggests that green banking improves stakeholder perception and trust. Similar studies confirm that environmental responsibility positively influences corporate image and customer trust in financial institutions [10], [17].</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sixth statement, which examined customer base growth due to sustainability leadership, recorded a mean of 3.9265 with a standard deviation of 0.95959. This indicates that respondents agree that green banking contributes to customer attraction and retention. This suggests that environmentally responsible banking practices are increasingly valued by customers. Previous research shows that sustainability-oriented banks tend to attract more customers due to improved trust and social responsibility perception [3], [12].</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seventh statement, which assessed the effect of environmental risk assessment on non-performing loans (NPLs), recorded a mean of 3.9878 with a standard deviation of 0.97292. This indicates strong agreement that environmental risk management helps reduce credit risk. This suggests that integrating environmental considerations into lending decisions improves portfolio quality. Similar studies confirm that environmental risk assessment contributes to lower default rates and improved credit performance [10], [15].</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eighth statement, which examined market competitiveness due to green infrastructure, recorded a mean of 3.9429 with a standard deviation of 0.93913. This indicates that banks perceive sustainability investments as a source of competitive advantage. This suggests that green infrastructure enhances differentiation in the banking sector. Previous studies also highlight that sustainability-oriented banks gain competitive advantage through innovation and improved stakeholder confidence [7], [17].</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ninth statement, which assessed operational waste reduction and cost savings, recorded a mean of 3.9673 with a standard deviation of 0.94031. This indicates strong agreement that waste reduction initiatives contribute to cost savings. This implies that environmental efficiency measures also improve financial efficiency. Similar findings show that waste reduction and resource efficiency initiatives reduce administrative costs in banking operations [6], [12].</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lastRenderedPageBreak/>
        <w:t>The tenth statement, which evaluated the ability to attract environmentally conscious employees, recorded a mean of 4.0286 with a standard deviation of 0.98097. This indicates strong agreement that green banking improves employer attractiveness. This suggests that sustainability practices enhance human capital quality. Previous studies confirm that organizations with strong environmental commitments are more attractive to skilled and value-driven employees [10], [17].</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eleventh statement, which examined the impact of green strategies on long-term firm value, recorded a mean of 3.5878 with a standard deviation of 1.12964. This indicates moderate agreement that sustainability strategies contribute to long-term value creation. This suggests that the financial benefits of green banking may be more long-term than immediate. Similar studies indicate that ESG integration enhances long-term firm value and financial stability [7], [10].</w:t>
      </w:r>
    </w:p>
    <w:p w:rsidR="002C6684" w:rsidRPr="002C6684" w:rsidRDefault="002C6684" w:rsidP="002C6684">
      <w:pPr>
        <w:pStyle w:val="NormalWeb"/>
        <w:spacing w:before="120" w:beforeAutospacing="0" w:after="0" w:afterAutospacing="0"/>
        <w:jc w:val="both"/>
        <w:rPr>
          <w:sz w:val="22"/>
          <w:szCs w:val="22"/>
        </w:rPr>
      </w:pPr>
      <w:r w:rsidRPr="002C6684">
        <w:rPr>
          <w:sz w:val="22"/>
          <w:szCs w:val="22"/>
        </w:rPr>
        <w:t>The twelfth statement, which assessed improvements in governance and transparency through ESG disclosure, recorded a mean of 3.5837 with a standard deviation of 1.06651. This indicates moderate agreement that environmental, social, and governance reporting enhances transparency and governance quality. This suggests that sustainability reporting contributes to improved accountability. Prior research supports this finding, showing that ESG disclosure improves governance quality and institutional transparency in banking systems [10], [17].</w:t>
      </w:r>
    </w:p>
    <w:p w:rsidR="002C6684" w:rsidRDefault="002C6684" w:rsidP="002C6684">
      <w:pPr>
        <w:pStyle w:val="NormalWeb"/>
        <w:spacing w:before="120" w:beforeAutospacing="0" w:after="0" w:afterAutospacing="0"/>
        <w:jc w:val="both"/>
        <w:rPr>
          <w:sz w:val="22"/>
          <w:szCs w:val="22"/>
        </w:rPr>
      </w:pPr>
      <w:r w:rsidRPr="002C6684">
        <w:rPr>
          <w:sz w:val="22"/>
          <w:szCs w:val="22"/>
        </w:rPr>
        <w:t>Overall, the findings indicate that green banking practices positively influence organizational performance in terms of profitability, efficiency, risk reduction, reputation, and human capital attraction. However, the impact on long-term value creation and governance transparency is still developing. This confirms that green banking not only supports environmental sustainability but also enhances financial and operational performance, consistent with previous empirical studies [3], [7], [10], [17].</w:t>
      </w:r>
    </w:p>
    <w:tbl>
      <w:tblPr>
        <w:tblStyle w:val="TableGrid"/>
        <w:tblW w:w="9720" w:type="dxa"/>
        <w:tblInd w:w="108" w:type="dxa"/>
        <w:tblLayout w:type="fixed"/>
        <w:tblLook w:val="0000"/>
      </w:tblPr>
      <w:tblGrid>
        <w:gridCol w:w="1710"/>
        <w:gridCol w:w="2160"/>
        <w:gridCol w:w="990"/>
        <w:gridCol w:w="990"/>
        <w:gridCol w:w="990"/>
        <w:gridCol w:w="1080"/>
        <w:gridCol w:w="1080"/>
        <w:gridCol w:w="720"/>
      </w:tblGrid>
      <w:tr w:rsidR="00A06066" w:rsidRPr="00A06066" w:rsidTr="00247A96">
        <w:tc>
          <w:tcPr>
            <w:tcW w:w="9720" w:type="dxa"/>
            <w:gridSpan w:val="8"/>
          </w:tcPr>
          <w:p w:rsidR="00A06066" w:rsidRPr="00A06066" w:rsidRDefault="00A06066" w:rsidP="00A06066">
            <w:pPr>
              <w:autoSpaceDE w:val="0"/>
              <w:autoSpaceDN w:val="0"/>
              <w:adjustRightInd w:val="0"/>
              <w:ind w:left="60" w:right="60"/>
              <w:jc w:val="center"/>
              <w:rPr>
                <w:rFonts w:ascii="Times New Roman" w:hAnsi="Times New Roman" w:cs="Times New Roman"/>
                <w:color w:val="010205"/>
              </w:rPr>
            </w:pPr>
            <w:r w:rsidRPr="00000E98">
              <w:rPr>
                <w:rFonts w:ascii="Times New Roman" w:hAnsi="Times New Roman" w:cs="Times New Roman"/>
                <w:b/>
              </w:rPr>
              <w:t>Table</w:t>
            </w:r>
            <w:r w:rsidRPr="00000E98">
              <w:rPr>
                <w:rFonts w:ascii="Times New Roman" w:hAnsi="Times New Roman" w:cs="Times New Roman"/>
                <w:b/>
                <w:spacing w:val="-2"/>
              </w:rPr>
              <w:t xml:space="preserve"> </w:t>
            </w:r>
            <w:r>
              <w:rPr>
                <w:rFonts w:ascii="Times New Roman" w:hAnsi="Times New Roman" w:cs="Times New Roman"/>
                <w:b/>
              </w:rPr>
              <w:t xml:space="preserve"> 9</w:t>
            </w:r>
            <w:r w:rsidRPr="00000E98">
              <w:rPr>
                <w:rFonts w:ascii="Times New Roman" w:hAnsi="Times New Roman" w:cs="Times New Roman"/>
                <w:b/>
              </w:rPr>
              <w:t xml:space="preserve">: </w:t>
            </w:r>
            <w:r w:rsidRPr="00000E98">
              <w:rPr>
                <w:rFonts w:ascii="Times New Roman" w:hAnsi="Times New Roman" w:cs="Times New Roman"/>
                <w:b/>
                <w:spacing w:val="-2"/>
              </w:rPr>
              <w:t xml:space="preserve">Correlation </w:t>
            </w:r>
            <w:r w:rsidRPr="00000E98">
              <w:rPr>
                <w:rFonts w:ascii="Times New Roman" w:hAnsi="Times New Roman" w:cs="Times New Roman"/>
                <w:b/>
              </w:rPr>
              <w:t>matrixes</w:t>
            </w:r>
            <w:r w:rsidRPr="00000E98">
              <w:rPr>
                <w:rFonts w:ascii="Times New Roman" w:hAnsi="Times New Roman" w:cs="Times New Roman"/>
                <w:b/>
                <w:spacing w:val="-5"/>
              </w:rPr>
              <w:t xml:space="preserve"> </w:t>
            </w:r>
            <w:r w:rsidRPr="00000E98">
              <w:rPr>
                <w:rFonts w:ascii="Times New Roman" w:hAnsi="Times New Roman" w:cs="Times New Roman"/>
                <w:b/>
              </w:rPr>
              <w:t>between</w:t>
            </w:r>
            <w:r w:rsidRPr="00000E98">
              <w:rPr>
                <w:rFonts w:ascii="Times New Roman" w:hAnsi="Times New Roman" w:cs="Times New Roman"/>
                <w:b/>
                <w:spacing w:val="-2"/>
              </w:rPr>
              <w:t xml:space="preserve"> </w:t>
            </w:r>
            <w:r w:rsidRPr="00000E98">
              <w:rPr>
                <w:rFonts w:ascii="Times New Roman" w:hAnsi="Times New Roman" w:cs="Times New Roman"/>
                <w:b/>
              </w:rPr>
              <w:t>variables</w:t>
            </w:r>
          </w:p>
        </w:tc>
      </w:tr>
      <w:tr w:rsidR="00A06066" w:rsidRPr="00A06066" w:rsidTr="00247A96">
        <w:tc>
          <w:tcPr>
            <w:tcW w:w="3870" w:type="dxa"/>
            <w:gridSpan w:val="2"/>
          </w:tcPr>
          <w:p w:rsidR="00A06066" w:rsidRPr="00A06066" w:rsidRDefault="00A06066" w:rsidP="00A06066">
            <w:pPr>
              <w:autoSpaceDE w:val="0"/>
              <w:autoSpaceDN w:val="0"/>
              <w:adjustRightInd w:val="0"/>
              <w:rPr>
                <w:rFonts w:ascii="Times New Roman" w:hAnsi="Times New Roman" w:cs="Times New Roman"/>
              </w:rPr>
            </w:pPr>
          </w:p>
        </w:tc>
        <w:tc>
          <w:tcPr>
            <w:tcW w:w="990" w:type="dxa"/>
          </w:tcPr>
          <w:p w:rsidR="00A06066" w:rsidRPr="00A06066" w:rsidRDefault="00A06066" w:rsidP="00A06066">
            <w:pPr>
              <w:autoSpaceDE w:val="0"/>
              <w:autoSpaceDN w:val="0"/>
              <w:adjustRightInd w:val="0"/>
              <w:ind w:left="60" w:right="60"/>
              <w:jc w:val="center"/>
              <w:rPr>
                <w:rFonts w:ascii="Times New Roman" w:hAnsi="Times New Roman" w:cs="Times New Roman"/>
                <w:color w:val="264A60"/>
              </w:rPr>
            </w:pPr>
            <w:r>
              <w:rPr>
                <w:rFonts w:ascii="Times New Roman" w:hAnsi="Times New Roman" w:cs="Times New Roman"/>
                <w:color w:val="264A60"/>
              </w:rPr>
              <w:t>GBA</w:t>
            </w:r>
          </w:p>
        </w:tc>
        <w:tc>
          <w:tcPr>
            <w:tcW w:w="990" w:type="dxa"/>
          </w:tcPr>
          <w:p w:rsidR="00A06066" w:rsidRPr="00A06066" w:rsidRDefault="00A06066" w:rsidP="00A06066">
            <w:pPr>
              <w:autoSpaceDE w:val="0"/>
              <w:autoSpaceDN w:val="0"/>
              <w:adjustRightInd w:val="0"/>
              <w:ind w:left="60" w:right="60"/>
              <w:jc w:val="center"/>
              <w:rPr>
                <w:rFonts w:ascii="Times New Roman" w:hAnsi="Times New Roman" w:cs="Times New Roman"/>
                <w:color w:val="264A60"/>
              </w:rPr>
            </w:pPr>
            <w:r>
              <w:rPr>
                <w:rFonts w:ascii="Times New Roman" w:hAnsi="Times New Roman" w:cs="Times New Roman"/>
                <w:color w:val="264A60"/>
              </w:rPr>
              <w:t>ES</w:t>
            </w:r>
          </w:p>
        </w:tc>
        <w:tc>
          <w:tcPr>
            <w:tcW w:w="990" w:type="dxa"/>
          </w:tcPr>
          <w:p w:rsidR="00A06066" w:rsidRPr="00A06066" w:rsidRDefault="00A06066" w:rsidP="00A06066">
            <w:pPr>
              <w:autoSpaceDE w:val="0"/>
              <w:autoSpaceDN w:val="0"/>
              <w:adjustRightInd w:val="0"/>
              <w:ind w:left="60" w:right="60"/>
              <w:jc w:val="center"/>
              <w:rPr>
                <w:rFonts w:ascii="Times New Roman" w:hAnsi="Times New Roman" w:cs="Times New Roman"/>
                <w:color w:val="264A60"/>
              </w:rPr>
            </w:pPr>
            <w:r>
              <w:rPr>
                <w:rFonts w:ascii="Times New Roman" w:hAnsi="Times New Roman" w:cs="Times New Roman"/>
                <w:color w:val="264A60"/>
              </w:rPr>
              <w:t>GBI</w:t>
            </w:r>
          </w:p>
        </w:tc>
        <w:tc>
          <w:tcPr>
            <w:tcW w:w="1080" w:type="dxa"/>
          </w:tcPr>
          <w:p w:rsidR="00A06066" w:rsidRPr="00A06066" w:rsidRDefault="00A06066" w:rsidP="00A06066">
            <w:pPr>
              <w:autoSpaceDE w:val="0"/>
              <w:autoSpaceDN w:val="0"/>
              <w:adjustRightInd w:val="0"/>
              <w:ind w:left="60" w:right="60"/>
              <w:jc w:val="center"/>
              <w:rPr>
                <w:rFonts w:ascii="Times New Roman" w:hAnsi="Times New Roman" w:cs="Times New Roman"/>
                <w:color w:val="264A60"/>
              </w:rPr>
            </w:pPr>
            <w:r>
              <w:rPr>
                <w:rFonts w:ascii="Times New Roman" w:hAnsi="Times New Roman" w:cs="Times New Roman"/>
                <w:color w:val="264A60"/>
              </w:rPr>
              <w:t>ERA</w:t>
            </w:r>
          </w:p>
        </w:tc>
        <w:tc>
          <w:tcPr>
            <w:tcW w:w="1080" w:type="dxa"/>
          </w:tcPr>
          <w:p w:rsidR="00A06066" w:rsidRPr="00A06066" w:rsidRDefault="00A06066" w:rsidP="00A06066">
            <w:pPr>
              <w:autoSpaceDE w:val="0"/>
              <w:autoSpaceDN w:val="0"/>
              <w:adjustRightInd w:val="0"/>
              <w:ind w:left="60" w:right="60"/>
              <w:jc w:val="center"/>
              <w:rPr>
                <w:rFonts w:ascii="Times New Roman" w:hAnsi="Times New Roman" w:cs="Times New Roman"/>
                <w:color w:val="264A60"/>
              </w:rPr>
            </w:pPr>
            <w:r>
              <w:rPr>
                <w:rFonts w:ascii="Times New Roman" w:hAnsi="Times New Roman" w:cs="Times New Roman"/>
                <w:color w:val="264A60"/>
              </w:rPr>
              <w:t>BIC</w:t>
            </w:r>
          </w:p>
        </w:tc>
        <w:tc>
          <w:tcPr>
            <w:tcW w:w="720" w:type="dxa"/>
          </w:tcPr>
          <w:p w:rsidR="00A06066" w:rsidRPr="00A06066" w:rsidRDefault="00A06066" w:rsidP="00A06066">
            <w:pPr>
              <w:autoSpaceDE w:val="0"/>
              <w:autoSpaceDN w:val="0"/>
              <w:adjustRightInd w:val="0"/>
              <w:ind w:left="60" w:right="60"/>
              <w:jc w:val="center"/>
              <w:rPr>
                <w:rFonts w:ascii="Times New Roman" w:hAnsi="Times New Roman" w:cs="Times New Roman"/>
                <w:color w:val="264A60"/>
              </w:rPr>
            </w:pPr>
            <w:r>
              <w:rPr>
                <w:rFonts w:ascii="Times New Roman" w:hAnsi="Times New Roman" w:cs="Times New Roman"/>
                <w:color w:val="264A60"/>
              </w:rPr>
              <w:t>OP</w:t>
            </w:r>
          </w:p>
        </w:tc>
      </w:tr>
      <w:tr w:rsidR="00A06066" w:rsidRPr="00A06066" w:rsidTr="00247A96">
        <w:tc>
          <w:tcPr>
            <w:tcW w:w="1710" w:type="dxa"/>
            <w:vMerge w:val="restart"/>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Green Banking Adoption</w:t>
            </w: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Pearson Correlation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1</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color w:val="010205"/>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Sig. (2-tailed)</w:t>
            </w:r>
          </w:p>
        </w:tc>
        <w:tc>
          <w:tcPr>
            <w:tcW w:w="990" w:type="dxa"/>
          </w:tcPr>
          <w:p w:rsidR="00A06066" w:rsidRPr="00A06066" w:rsidRDefault="00A06066" w:rsidP="00A06066">
            <w:pPr>
              <w:autoSpaceDE w:val="0"/>
              <w:autoSpaceDN w:val="0"/>
              <w:adjustRightInd w:val="0"/>
              <w:rPr>
                <w:rFonts w:ascii="Times New Roman" w:hAnsi="Times New Roman" w:cs="Times New Roman"/>
              </w:rPr>
            </w:pP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color w:val="010205"/>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val="restart"/>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Environmental Sustainability</w:t>
            </w: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Pearson Correlation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.220</w:t>
            </w:r>
            <w:r w:rsidRPr="00A06066">
              <w:rPr>
                <w:rFonts w:ascii="Times New Roman" w:hAnsi="Times New Roman" w:cs="Times New Roman"/>
                <w:color w:val="010205"/>
                <w:vertAlign w:val="superscript"/>
              </w:rPr>
              <w:t>**</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1</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color w:val="010205"/>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Sig. (2-tailed)</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.001</w:t>
            </w:r>
          </w:p>
        </w:tc>
        <w:tc>
          <w:tcPr>
            <w:tcW w:w="990" w:type="dxa"/>
          </w:tcPr>
          <w:p w:rsidR="00A06066" w:rsidRPr="00A06066" w:rsidRDefault="00A06066" w:rsidP="00A06066">
            <w:pPr>
              <w:autoSpaceDE w:val="0"/>
              <w:autoSpaceDN w:val="0"/>
              <w:adjustRightInd w:val="0"/>
              <w:rPr>
                <w:rFonts w:ascii="Times New Roman" w:hAnsi="Times New Roman" w:cs="Times New Roman"/>
              </w:rPr>
            </w:pP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color w:val="010205"/>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val="restart"/>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Green Banking Initiatives</w:t>
            </w: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Pearson Correlation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.230</w:t>
            </w:r>
            <w:r w:rsidRPr="00A06066">
              <w:rPr>
                <w:rFonts w:ascii="Times New Roman" w:hAnsi="Times New Roman" w:cs="Times New Roman"/>
                <w:color w:val="010205"/>
                <w:vertAlign w:val="superscript"/>
              </w:rPr>
              <w:t>**</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.348</w:t>
            </w:r>
            <w:r w:rsidRPr="00A06066">
              <w:rPr>
                <w:rFonts w:ascii="Times New Roman" w:hAnsi="Times New Roman" w:cs="Times New Roman"/>
                <w:color w:val="010205"/>
                <w:vertAlign w:val="superscript"/>
              </w:rPr>
              <w:t>**</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1</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color w:val="010205"/>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Sig. (2-tailed)</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.000</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.000</w:t>
            </w:r>
          </w:p>
        </w:tc>
        <w:tc>
          <w:tcPr>
            <w:tcW w:w="990" w:type="dxa"/>
          </w:tcPr>
          <w:p w:rsidR="00A06066" w:rsidRPr="00A06066" w:rsidRDefault="00A06066" w:rsidP="00A06066">
            <w:pPr>
              <w:autoSpaceDE w:val="0"/>
              <w:autoSpaceDN w:val="0"/>
              <w:adjustRightInd w:val="0"/>
              <w:rPr>
                <w:rFonts w:ascii="Times New Roman" w:hAnsi="Times New Roman" w:cs="Times New Roman"/>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color w:val="010205"/>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val="restart"/>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Environmental Risk Assessment</w:t>
            </w: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Pearson Correlation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.056</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.031</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.056</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1</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color w:val="010205"/>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Sig. (2-tailed)</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.386</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.633</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.386</w:t>
            </w:r>
          </w:p>
        </w:tc>
        <w:tc>
          <w:tcPr>
            <w:tcW w:w="1080" w:type="dxa"/>
          </w:tcPr>
          <w:p w:rsidR="00A06066" w:rsidRPr="00A06066" w:rsidRDefault="00A06066" w:rsidP="00A06066">
            <w:pPr>
              <w:autoSpaceDE w:val="0"/>
              <w:autoSpaceDN w:val="0"/>
              <w:adjustRightInd w:val="0"/>
              <w:rPr>
                <w:rFonts w:ascii="Times New Roman" w:hAnsi="Times New Roman" w:cs="Times New Roman"/>
              </w:rPr>
            </w:pP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color w:val="010205"/>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val="restart"/>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Barriers &amp; Institutional Challenges</w:t>
            </w: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Pearson Correlation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.171</w:t>
            </w:r>
            <w:r w:rsidRPr="00A06066">
              <w:rPr>
                <w:rFonts w:ascii="Times New Roman" w:hAnsi="Times New Roman" w:cs="Times New Roman"/>
                <w:color w:val="010205"/>
                <w:vertAlign w:val="superscript"/>
              </w:rPr>
              <w:t>**</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.467</w:t>
            </w:r>
            <w:r w:rsidRPr="00A06066">
              <w:rPr>
                <w:rFonts w:ascii="Times New Roman" w:hAnsi="Times New Roman" w:cs="Times New Roman"/>
                <w:color w:val="010205"/>
                <w:vertAlign w:val="superscript"/>
              </w:rPr>
              <w:t>**</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.252</w:t>
            </w:r>
            <w:r w:rsidRPr="00A06066">
              <w:rPr>
                <w:rFonts w:ascii="Times New Roman" w:hAnsi="Times New Roman" w:cs="Times New Roman"/>
                <w:color w:val="010205"/>
                <w:vertAlign w:val="superscript"/>
              </w:rPr>
              <w:t>**</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.190</w:t>
            </w:r>
            <w:r w:rsidRPr="00A06066">
              <w:rPr>
                <w:rFonts w:ascii="Times New Roman" w:hAnsi="Times New Roman" w:cs="Times New Roman"/>
                <w:color w:val="010205"/>
                <w:vertAlign w:val="superscript"/>
              </w:rPr>
              <w:t>**</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1</w:t>
            </w: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color w:val="010205"/>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Sig. (2-tailed)</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.007</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.000</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.000</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.003</w:t>
            </w:r>
          </w:p>
        </w:tc>
        <w:tc>
          <w:tcPr>
            <w:tcW w:w="1080" w:type="dxa"/>
          </w:tcPr>
          <w:p w:rsidR="00A06066" w:rsidRPr="00A06066" w:rsidRDefault="00A06066" w:rsidP="00A06066">
            <w:pPr>
              <w:autoSpaceDE w:val="0"/>
              <w:autoSpaceDN w:val="0"/>
              <w:adjustRightInd w:val="0"/>
              <w:rPr>
                <w:rFonts w:ascii="Times New Roman" w:hAnsi="Times New Roman" w:cs="Times New Roman"/>
              </w:rPr>
            </w:pP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color w:val="010205"/>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p>
        </w:tc>
      </w:tr>
      <w:tr w:rsidR="009D492B" w:rsidRPr="00A06066" w:rsidTr="00247A96">
        <w:tc>
          <w:tcPr>
            <w:tcW w:w="1710" w:type="dxa"/>
            <w:vMerge w:val="restart"/>
          </w:tcPr>
          <w:p w:rsidR="009D492B" w:rsidRPr="00A06066" w:rsidRDefault="009D492B"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Organizational Performance</w:t>
            </w:r>
          </w:p>
        </w:tc>
        <w:tc>
          <w:tcPr>
            <w:tcW w:w="2160" w:type="dxa"/>
          </w:tcPr>
          <w:p w:rsidR="009D492B" w:rsidRPr="00A06066" w:rsidRDefault="009D492B"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Pearson Correlation</w:t>
            </w:r>
          </w:p>
        </w:tc>
        <w:tc>
          <w:tcPr>
            <w:tcW w:w="990" w:type="dxa"/>
          </w:tcPr>
          <w:p w:rsidR="009D492B" w:rsidRPr="00247A96" w:rsidRDefault="006F7111">
            <w:pPr>
              <w:autoSpaceDE w:val="0"/>
              <w:autoSpaceDN w:val="0"/>
              <w:adjustRightInd w:val="0"/>
              <w:ind w:left="60" w:right="60"/>
              <w:jc w:val="right"/>
              <w:rPr>
                <w:rFonts w:ascii="Times New Roman" w:hAnsi="Times New Roman" w:cs="Times New Roman"/>
                <w:color w:val="010205"/>
              </w:rPr>
            </w:pPr>
            <w:r w:rsidRPr="00247A96">
              <w:rPr>
                <w:rFonts w:ascii="Times New Roman" w:hAnsi="Times New Roman" w:cs="Times New Roman"/>
              </w:rPr>
              <w:t>.401**</w:t>
            </w:r>
          </w:p>
        </w:tc>
        <w:tc>
          <w:tcPr>
            <w:tcW w:w="990" w:type="dxa"/>
          </w:tcPr>
          <w:p w:rsidR="009D492B" w:rsidRPr="00247A96" w:rsidRDefault="006F7111">
            <w:pPr>
              <w:autoSpaceDE w:val="0"/>
              <w:autoSpaceDN w:val="0"/>
              <w:adjustRightInd w:val="0"/>
              <w:ind w:left="60" w:right="60"/>
              <w:jc w:val="right"/>
              <w:rPr>
                <w:rFonts w:ascii="Times New Roman" w:hAnsi="Times New Roman" w:cs="Times New Roman"/>
                <w:color w:val="010205"/>
              </w:rPr>
            </w:pPr>
            <w:r w:rsidRPr="00247A96">
              <w:rPr>
                <w:rFonts w:ascii="Times New Roman" w:hAnsi="Times New Roman" w:cs="Times New Roman"/>
              </w:rPr>
              <w:t>.563**</w:t>
            </w:r>
          </w:p>
        </w:tc>
        <w:tc>
          <w:tcPr>
            <w:tcW w:w="990" w:type="dxa"/>
          </w:tcPr>
          <w:p w:rsidR="009D492B" w:rsidRPr="00247A96" w:rsidRDefault="006F7111">
            <w:pPr>
              <w:autoSpaceDE w:val="0"/>
              <w:autoSpaceDN w:val="0"/>
              <w:adjustRightInd w:val="0"/>
              <w:ind w:left="60" w:right="60"/>
              <w:jc w:val="right"/>
              <w:rPr>
                <w:rFonts w:ascii="Times New Roman" w:hAnsi="Times New Roman" w:cs="Times New Roman"/>
                <w:color w:val="010205"/>
              </w:rPr>
            </w:pPr>
            <w:r w:rsidRPr="00247A96">
              <w:rPr>
                <w:rFonts w:ascii="Times New Roman" w:hAnsi="Times New Roman" w:cs="Times New Roman"/>
              </w:rPr>
              <w:t>.487**</w:t>
            </w:r>
          </w:p>
        </w:tc>
        <w:tc>
          <w:tcPr>
            <w:tcW w:w="1080" w:type="dxa"/>
          </w:tcPr>
          <w:p w:rsidR="009D492B" w:rsidRPr="00247A96" w:rsidRDefault="006F7111">
            <w:pPr>
              <w:autoSpaceDE w:val="0"/>
              <w:autoSpaceDN w:val="0"/>
              <w:adjustRightInd w:val="0"/>
              <w:ind w:left="60" w:right="60"/>
              <w:jc w:val="right"/>
              <w:rPr>
                <w:rFonts w:ascii="Times New Roman" w:hAnsi="Times New Roman" w:cs="Times New Roman"/>
                <w:color w:val="010205"/>
              </w:rPr>
            </w:pPr>
            <w:r w:rsidRPr="00247A96">
              <w:rPr>
                <w:rFonts w:ascii="Times New Roman" w:hAnsi="Times New Roman" w:cs="Times New Roman"/>
              </w:rPr>
              <w:t>.175**</w:t>
            </w:r>
          </w:p>
        </w:tc>
        <w:tc>
          <w:tcPr>
            <w:tcW w:w="1080" w:type="dxa"/>
          </w:tcPr>
          <w:p w:rsidR="009D492B" w:rsidRPr="00247A96" w:rsidRDefault="006F7111">
            <w:pPr>
              <w:autoSpaceDE w:val="0"/>
              <w:autoSpaceDN w:val="0"/>
              <w:adjustRightInd w:val="0"/>
              <w:ind w:left="60" w:right="60"/>
              <w:jc w:val="right"/>
              <w:rPr>
                <w:rFonts w:ascii="Times New Roman" w:hAnsi="Times New Roman" w:cs="Times New Roman"/>
                <w:color w:val="010205"/>
              </w:rPr>
            </w:pPr>
            <w:r w:rsidRPr="00247A96">
              <w:rPr>
                <w:rFonts w:ascii="Times New Roman" w:hAnsi="Times New Roman" w:cs="Times New Roman"/>
              </w:rPr>
              <w:t>-.221**</w:t>
            </w:r>
          </w:p>
        </w:tc>
        <w:tc>
          <w:tcPr>
            <w:tcW w:w="720" w:type="dxa"/>
          </w:tcPr>
          <w:p w:rsidR="009D492B" w:rsidRPr="00247A96" w:rsidRDefault="009D492B" w:rsidP="00A06066">
            <w:pPr>
              <w:autoSpaceDE w:val="0"/>
              <w:autoSpaceDN w:val="0"/>
              <w:adjustRightInd w:val="0"/>
              <w:ind w:left="60" w:right="60"/>
              <w:jc w:val="right"/>
              <w:rPr>
                <w:rFonts w:ascii="Times New Roman" w:hAnsi="Times New Roman" w:cs="Times New Roman"/>
                <w:color w:val="010205"/>
              </w:rPr>
            </w:pPr>
            <w:r w:rsidRPr="00247A96">
              <w:rPr>
                <w:rFonts w:ascii="Times New Roman" w:hAnsi="Times New Roman" w:cs="Times New Roman"/>
                <w:color w:val="010205"/>
              </w:rPr>
              <w:t>1</w:t>
            </w:r>
          </w:p>
        </w:tc>
      </w:tr>
      <w:tr w:rsidR="009D492B" w:rsidRPr="00A06066" w:rsidTr="00247A96">
        <w:tc>
          <w:tcPr>
            <w:tcW w:w="1710" w:type="dxa"/>
            <w:vMerge/>
          </w:tcPr>
          <w:p w:rsidR="009D492B" w:rsidRPr="00A06066" w:rsidRDefault="009D492B" w:rsidP="00A06066">
            <w:pPr>
              <w:autoSpaceDE w:val="0"/>
              <w:autoSpaceDN w:val="0"/>
              <w:adjustRightInd w:val="0"/>
              <w:rPr>
                <w:rFonts w:ascii="Times New Roman" w:hAnsi="Times New Roman" w:cs="Times New Roman"/>
                <w:color w:val="010205"/>
              </w:rPr>
            </w:pPr>
          </w:p>
        </w:tc>
        <w:tc>
          <w:tcPr>
            <w:tcW w:w="2160" w:type="dxa"/>
          </w:tcPr>
          <w:p w:rsidR="009D492B" w:rsidRPr="00A06066" w:rsidRDefault="009D492B"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Sig. (2-tailed)</w:t>
            </w:r>
          </w:p>
        </w:tc>
        <w:tc>
          <w:tcPr>
            <w:tcW w:w="990" w:type="dxa"/>
          </w:tcPr>
          <w:p w:rsidR="009D492B" w:rsidRDefault="009D492B">
            <w:pPr>
              <w:autoSpaceDE w:val="0"/>
              <w:autoSpaceDN w:val="0"/>
              <w:adjustRightInd w:val="0"/>
              <w:ind w:left="60" w:right="60"/>
              <w:jc w:val="right"/>
              <w:rPr>
                <w:rFonts w:ascii="Times New Roman" w:hAnsi="Times New Roman" w:cs="Times New Roman"/>
                <w:color w:val="010205"/>
              </w:rPr>
            </w:pPr>
            <w:r>
              <w:rPr>
                <w:rFonts w:ascii="Times New Roman" w:hAnsi="Times New Roman" w:cs="Times New Roman"/>
                <w:color w:val="010205"/>
              </w:rPr>
              <w:t>.001</w:t>
            </w:r>
          </w:p>
        </w:tc>
        <w:tc>
          <w:tcPr>
            <w:tcW w:w="990" w:type="dxa"/>
          </w:tcPr>
          <w:p w:rsidR="009D492B" w:rsidRDefault="009D492B">
            <w:pPr>
              <w:autoSpaceDE w:val="0"/>
              <w:autoSpaceDN w:val="0"/>
              <w:adjustRightInd w:val="0"/>
              <w:ind w:left="60" w:right="60"/>
              <w:jc w:val="right"/>
              <w:rPr>
                <w:rFonts w:ascii="Times New Roman" w:hAnsi="Times New Roman" w:cs="Times New Roman"/>
                <w:color w:val="010205"/>
              </w:rPr>
            </w:pPr>
            <w:r>
              <w:rPr>
                <w:rFonts w:ascii="Times New Roman" w:hAnsi="Times New Roman" w:cs="Times New Roman"/>
                <w:color w:val="010205"/>
              </w:rPr>
              <w:t>.000</w:t>
            </w:r>
          </w:p>
        </w:tc>
        <w:tc>
          <w:tcPr>
            <w:tcW w:w="990" w:type="dxa"/>
          </w:tcPr>
          <w:p w:rsidR="009D492B" w:rsidRDefault="009D492B">
            <w:pPr>
              <w:autoSpaceDE w:val="0"/>
              <w:autoSpaceDN w:val="0"/>
              <w:adjustRightInd w:val="0"/>
              <w:ind w:left="60" w:right="60"/>
              <w:jc w:val="right"/>
              <w:rPr>
                <w:rFonts w:ascii="Times New Roman" w:hAnsi="Times New Roman" w:cs="Times New Roman"/>
                <w:color w:val="010205"/>
              </w:rPr>
            </w:pPr>
            <w:r>
              <w:rPr>
                <w:rFonts w:ascii="Times New Roman" w:hAnsi="Times New Roman" w:cs="Times New Roman"/>
                <w:color w:val="010205"/>
              </w:rPr>
              <w:t>.000</w:t>
            </w:r>
          </w:p>
        </w:tc>
        <w:tc>
          <w:tcPr>
            <w:tcW w:w="1080" w:type="dxa"/>
          </w:tcPr>
          <w:p w:rsidR="009D492B" w:rsidRDefault="009D492B">
            <w:pPr>
              <w:autoSpaceDE w:val="0"/>
              <w:autoSpaceDN w:val="0"/>
              <w:adjustRightInd w:val="0"/>
              <w:ind w:left="60" w:right="60"/>
              <w:jc w:val="right"/>
              <w:rPr>
                <w:rFonts w:ascii="Times New Roman" w:hAnsi="Times New Roman" w:cs="Times New Roman"/>
                <w:color w:val="010205"/>
              </w:rPr>
            </w:pPr>
            <w:r>
              <w:rPr>
                <w:rFonts w:ascii="Times New Roman" w:hAnsi="Times New Roman" w:cs="Times New Roman"/>
                <w:color w:val="010205"/>
              </w:rPr>
              <w:t>.006</w:t>
            </w:r>
          </w:p>
        </w:tc>
        <w:tc>
          <w:tcPr>
            <w:tcW w:w="1080" w:type="dxa"/>
          </w:tcPr>
          <w:p w:rsidR="009D492B" w:rsidRDefault="009D492B">
            <w:pPr>
              <w:autoSpaceDE w:val="0"/>
              <w:autoSpaceDN w:val="0"/>
              <w:adjustRightInd w:val="0"/>
              <w:ind w:left="60" w:right="60"/>
              <w:jc w:val="right"/>
              <w:rPr>
                <w:rFonts w:ascii="Times New Roman" w:hAnsi="Times New Roman" w:cs="Times New Roman"/>
                <w:color w:val="010205"/>
              </w:rPr>
            </w:pPr>
            <w:r>
              <w:rPr>
                <w:rFonts w:ascii="Times New Roman" w:hAnsi="Times New Roman" w:cs="Times New Roman"/>
                <w:color w:val="010205"/>
              </w:rPr>
              <w:t>.000</w:t>
            </w:r>
          </w:p>
        </w:tc>
        <w:tc>
          <w:tcPr>
            <w:tcW w:w="720" w:type="dxa"/>
          </w:tcPr>
          <w:p w:rsidR="009D492B" w:rsidRPr="00A06066" w:rsidRDefault="009D492B" w:rsidP="00A06066">
            <w:pPr>
              <w:autoSpaceDE w:val="0"/>
              <w:autoSpaceDN w:val="0"/>
              <w:adjustRightInd w:val="0"/>
              <w:rPr>
                <w:rFonts w:ascii="Times New Roman" w:hAnsi="Times New Roman" w:cs="Times New Roman"/>
              </w:rPr>
            </w:pPr>
          </w:p>
        </w:tc>
      </w:tr>
      <w:tr w:rsidR="00A06066" w:rsidRPr="00A06066" w:rsidTr="00247A96">
        <w:tc>
          <w:tcPr>
            <w:tcW w:w="1710" w:type="dxa"/>
            <w:vMerge/>
          </w:tcPr>
          <w:p w:rsidR="00A06066" w:rsidRPr="00A06066" w:rsidRDefault="00A06066" w:rsidP="00A06066">
            <w:pPr>
              <w:autoSpaceDE w:val="0"/>
              <w:autoSpaceDN w:val="0"/>
              <w:adjustRightInd w:val="0"/>
              <w:rPr>
                <w:rFonts w:ascii="Times New Roman" w:hAnsi="Times New Roman" w:cs="Times New Roman"/>
              </w:rPr>
            </w:pPr>
          </w:p>
        </w:tc>
        <w:tc>
          <w:tcPr>
            <w:tcW w:w="2160" w:type="dxa"/>
          </w:tcPr>
          <w:p w:rsidR="00A06066" w:rsidRPr="00A06066" w:rsidRDefault="00A06066" w:rsidP="00A06066">
            <w:pPr>
              <w:autoSpaceDE w:val="0"/>
              <w:autoSpaceDN w:val="0"/>
              <w:adjustRightInd w:val="0"/>
              <w:ind w:left="60" w:right="60"/>
              <w:rPr>
                <w:rFonts w:ascii="Times New Roman" w:hAnsi="Times New Roman" w:cs="Times New Roman"/>
                <w:color w:val="264A60"/>
              </w:rPr>
            </w:pPr>
            <w:r w:rsidRPr="00A06066">
              <w:rPr>
                <w:rFonts w:ascii="Times New Roman" w:hAnsi="Times New Roman" w:cs="Times New Roman"/>
                <w:color w:val="264A60"/>
              </w:rPr>
              <w:t>N</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99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108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c>
          <w:tcPr>
            <w:tcW w:w="720" w:type="dxa"/>
          </w:tcPr>
          <w:p w:rsidR="00A06066" w:rsidRPr="00A06066" w:rsidRDefault="00A06066" w:rsidP="00A06066">
            <w:pPr>
              <w:autoSpaceDE w:val="0"/>
              <w:autoSpaceDN w:val="0"/>
              <w:adjustRightInd w:val="0"/>
              <w:ind w:left="60" w:right="60"/>
              <w:jc w:val="right"/>
              <w:rPr>
                <w:rFonts w:ascii="Times New Roman" w:hAnsi="Times New Roman" w:cs="Times New Roman"/>
                <w:color w:val="010205"/>
              </w:rPr>
            </w:pPr>
            <w:r w:rsidRPr="00A06066">
              <w:rPr>
                <w:rFonts w:ascii="Times New Roman" w:hAnsi="Times New Roman" w:cs="Times New Roman"/>
                <w:color w:val="010205"/>
              </w:rPr>
              <w:t>245</w:t>
            </w:r>
          </w:p>
        </w:tc>
      </w:tr>
      <w:tr w:rsidR="00A06066" w:rsidRPr="00A06066" w:rsidTr="00247A96">
        <w:tc>
          <w:tcPr>
            <w:tcW w:w="9720" w:type="dxa"/>
            <w:gridSpan w:val="8"/>
          </w:tcPr>
          <w:p w:rsidR="00A06066" w:rsidRPr="00A06066" w:rsidRDefault="00A06066" w:rsidP="00A06066">
            <w:pPr>
              <w:autoSpaceDE w:val="0"/>
              <w:autoSpaceDN w:val="0"/>
              <w:adjustRightInd w:val="0"/>
              <w:ind w:left="60" w:right="60"/>
              <w:rPr>
                <w:rFonts w:ascii="Times New Roman" w:hAnsi="Times New Roman" w:cs="Times New Roman"/>
                <w:color w:val="010205"/>
              </w:rPr>
            </w:pPr>
            <w:r w:rsidRPr="00A06066">
              <w:rPr>
                <w:rFonts w:ascii="Times New Roman" w:hAnsi="Times New Roman" w:cs="Times New Roman"/>
                <w:color w:val="010205"/>
              </w:rPr>
              <w:t>**. Correlation is significant at the 0.01 level (2-tailed).</w:t>
            </w:r>
          </w:p>
        </w:tc>
      </w:tr>
    </w:tbl>
    <w:p w:rsidR="00A06066" w:rsidRPr="00247A96" w:rsidRDefault="00A06066" w:rsidP="00D13887">
      <w:pPr>
        <w:pStyle w:val="NormalWeb"/>
        <w:spacing w:before="120" w:beforeAutospacing="0" w:after="0" w:afterAutospacing="0"/>
        <w:jc w:val="both"/>
        <w:rPr>
          <w:sz w:val="22"/>
          <w:szCs w:val="22"/>
        </w:rPr>
      </w:pPr>
      <w:r w:rsidRPr="00247A96">
        <w:rPr>
          <w:sz w:val="22"/>
          <w:szCs w:val="22"/>
        </w:rPr>
        <w:t>Source: Survey Result, (2026)</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 xml:space="preserve">The correlation analysis revealed a moderate positive and statistically significant relationship between Green Banking Adoption and Organizational Performance (r = 0.401, p &lt; 0.01). This finding indicates that banks that increasingly adopt green banking practices tend to achieve higher levels of organizational performance. The positive relationship suggests that environmentally responsible banking operations, </w:t>
      </w:r>
      <w:r w:rsidRPr="00247A96">
        <w:rPr>
          <w:sz w:val="22"/>
          <w:szCs w:val="22"/>
        </w:rPr>
        <w:lastRenderedPageBreak/>
        <w:t>including paperless transactions, digital banking platforms, energy-efficient infrastructure, and sustainable resource management practices, contribute to improved operational effectiveness and institutional outcomes. The moderate magnitude of the correlation further implies that green banking adoption is an important determinant of organizational success, although other organizational and environmental factors may also influence performance.</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This finding is consistent with previous studies which reported that green banking adoption enhances operational efficiency, corporate image, customer satisfaction, and financial performance [7], [17]. Similarly, evidence suggests that financial institutions implementing environmentally sustainable banking strategies experience long-term competitive advantages through improved stakeholder trust and resource optimization [3], [16]. In the Ethiopian context, increasing investment in digital banking technologies and environmentally friendly operational systems among commercial banks in Addis Ababa has strengthened institutional efficiency and service delivery, thereby supporting organizational performance outcomes [7], [8].</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The results show a strong positive and statistically significant relationship between Environmental Sustainability and Organizational Performance (r = 0.563, p &lt; 0.01). This represents the strongest correlation observed among all study variables, indicating that improvements in environmental sustainability are associated with substantial improvements in organizational performance. The finding suggests that banks actively pursuing environmental sustainability objectives are likely to benefit from enhanced operational effectiveness, stronger stakeholder relationships, improved reputation, and long-term institutional resilience. The strength of the correlation demonstrates that sustainability has become an important strategic component of organizational success within the banking sector.</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This finding supports earlier studies which found that sustainability-oriented organizations achieve superior performance due to enhanced governance systems, improved risk management, and stronger stakeholder confidence [3], [9], [10]. Research further indicates that environmentally sustainable business practices contribute to organizational value creation by reducing operational inefficiencies and improving institutional legitimacy [3]. Within Ethiopia, growing attention toward sustainable infrastructure and environmentally responsible business operations has encouraged banks to align their activities with broader sustainability goals, thereby improving both environmental outcomes and organizational effectiveness [2], [5].</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The analysis revealed a moderate positive and statistically significant relationship between Green Banking Initiatives and Organizational Performance (r = 0.487, p &lt; 0.01). This finding suggests that banks implementing specific green initiatives tend to achieve better organizational performance. The result indicates that practical sustainability measures such as green financing, digital banking services, renewable energy investments, and environmentally responsible lending policies contribute positively to organizational outcomes. The moderate strength of the relationship demonstrates that the successful implementation of green initiatives can provide both environmental and business benefits.</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The finding is consistent with previous studies that identified green banking initiatives as important drivers of organizational efficiency and financial performance [12], [17], [22]. Similar evidence suggests that banks investing in sustainable financial products and environmentally friendly operational practices experience enhanced customer loyalty, improved reputation, and greater operational effectiveness [13], [18]. Furthermore, studies on Ethiopian financial institutions indicate that green financial innovation positively influences institutional performance by promoting technological modernization and sustainable business growth [7]. Therefore, the current finding reinforces the growing recognition that green initiatives generate strategic value beyond environmental protection.</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 xml:space="preserve">Environmental Risk Assessment demonstrates a weak but statistically significant positive relationship with Organizational Performance (r = 0.175, p &lt; 0.01). Although the strength of the relationship is relatively small, the positive direction indicates that banks integrating environmental risk considerations into their decision-making processes tend to perform better than those that do not. This suggests that </w:t>
      </w:r>
      <w:r w:rsidRPr="00247A96">
        <w:rPr>
          <w:sz w:val="22"/>
          <w:szCs w:val="22"/>
        </w:rPr>
        <w:lastRenderedPageBreak/>
        <w:t>identifying, assessing, and managing environmental risks may contribute to improved institutional stability, reduced exposure to environmental liabilities, and more informed strategic planning.</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This finding aligns with previous studies emphasizing that effective environmental risk management enhances organizational resilience and long-term financial stability [15], [21]. Research further suggests that integrating environmental considerations into risk management frameworks enables financial institutions to better anticipate regulatory changes, environmental liabilities, and climate-related financial risks [10], [15]. In emerging economies such as Ethiopia, environmental risk assessment remains a developing practice; however, increasing awareness of sustainability-related risks is encouraging banks to gradually incorporate environmental considerations into lending and investment decisions [4], [21].</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The results indicate a weak but statistically significant negative relationship between Barriers and Institutional Challenges and Organizational Performance (r = -0.221, p &lt; 0.01). The negative correlation suggests that as institutional barriers increase, organizational performance tends to decline. This implies that challenges such as limited technical expertise, inadequate technological infrastructure, regulatory uncertainty, funding constraints, and insufficient sustainability-related capacity can impede effective implementation of green banking practices and reduce organizational effectiveness.</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This finding is consistent with previous studies which identified institutional and operational barriers as major constraints to the successful implementation of green banking practices [4], [6]. Similar research indicates that the absence of supportive regulatory frameworks, insufficient environmental expertise, and limited access to sustainability financing can negatively affect organizational outcomes and sustainability performance [1], [4]. In the Ethiopian banking sector, institutional challenges continue to affect the pace of green banking adoption and sustainability integration, thereby limiting the potential performance benefits that could be achieved through more comprehensive implementation of environmentally responsible banking practices [6], [7].</w:t>
      </w:r>
    </w:p>
    <w:p w:rsidR="00247A96" w:rsidRPr="00247A96" w:rsidRDefault="00247A96" w:rsidP="00D13887">
      <w:pPr>
        <w:pStyle w:val="NormalWeb"/>
        <w:spacing w:before="120" w:beforeAutospacing="0" w:after="0" w:afterAutospacing="0"/>
        <w:jc w:val="both"/>
        <w:rPr>
          <w:sz w:val="22"/>
          <w:szCs w:val="22"/>
        </w:rPr>
      </w:pPr>
      <w:r w:rsidRPr="00247A96">
        <w:rPr>
          <w:sz w:val="22"/>
          <w:szCs w:val="22"/>
        </w:rPr>
        <w:t xml:space="preserve">Overall, the correlation analysis demonstrates that Green Banking Adoption, Environmental Sustainability, Green Banking Initiatives, and Environmental Risk Assessment are positively associated with Organizational Performance, while Barriers and Institutional Challenges exhibit a significant negative association. Environmental Sustainability shows the strongest relationship with Organizational Performance (r = 0.563), indicating that sustainability-oriented practices are particularly important for enhancing institutional effectiveness. These findings are broadly consistent with previous empirical evidence suggesting that green banking practices contribute to improved organizational performance through enhanced operational efficiency, sustainability integration, innovation, and stakeholder </w:t>
      </w:r>
      <w:r>
        <w:rPr>
          <w:sz w:val="22"/>
          <w:szCs w:val="22"/>
        </w:rPr>
        <w:t>confidence.</w:t>
      </w:r>
    </w:p>
    <w:tbl>
      <w:tblPr>
        <w:tblStyle w:val="TableGrid"/>
        <w:tblW w:w="9738" w:type="dxa"/>
        <w:tblLayout w:type="fixed"/>
        <w:tblLook w:val="0000"/>
      </w:tblPr>
      <w:tblGrid>
        <w:gridCol w:w="1368"/>
        <w:gridCol w:w="1080"/>
        <w:gridCol w:w="1710"/>
        <w:gridCol w:w="2970"/>
        <w:gridCol w:w="2610"/>
      </w:tblGrid>
      <w:tr w:rsidR="00AD6378" w:rsidRPr="00AD6378" w:rsidTr="00AD6378">
        <w:tc>
          <w:tcPr>
            <w:tcW w:w="9738" w:type="dxa"/>
            <w:gridSpan w:val="5"/>
          </w:tcPr>
          <w:p w:rsidR="00AD6378" w:rsidRPr="00AD6378" w:rsidRDefault="00AD6378" w:rsidP="00AD6378">
            <w:pPr>
              <w:autoSpaceDE w:val="0"/>
              <w:autoSpaceDN w:val="0"/>
              <w:adjustRightInd w:val="0"/>
              <w:ind w:left="58" w:right="58"/>
              <w:jc w:val="center"/>
              <w:rPr>
                <w:rFonts w:ascii="Times New Roman" w:hAnsi="Times New Roman" w:cs="Times New Roman"/>
                <w:color w:val="010205"/>
              </w:rPr>
            </w:pPr>
            <w:r w:rsidRPr="00600C7D">
              <w:rPr>
                <w:rFonts w:ascii="Times New Roman" w:hAnsi="Times New Roman" w:cs="Times New Roman"/>
                <w:b/>
                <w:bCs/>
              </w:rPr>
              <w:t>Table 1</w:t>
            </w:r>
            <w:r>
              <w:rPr>
                <w:rFonts w:ascii="Times New Roman" w:hAnsi="Times New Roman" w:cs="Times New Roman"/>
                <w:b/>
                <w:bCs/>
              </w:rPr>
              <w:t>0</w:t>
            </w:r>
            <w:r w:rsidRPr="00600C7D">
              <w:rPr>
                <w:rFonts w:ascii="Times New Roman" w:hAnsi="Times New Roman" w:cs="Times New Roman"/>
                <w:b/>
                <w:bCs/>
              </w:rPr>
              <w:t>:   Model Summary</w:t>
            </w:r>
          </w:p>
        </w:tc>
      </w:tr>
      <w:tr w:rsidR="00AD6378" w:rsidRPr="00AD6378" w:rsidTr="00AD6378">
        <w:tc>
          <w:tcPr>
            <w:tcW w:w="9738" w:type="dxa"/>
            <w:gridSpan w:val="5"/>
          </w:tcPr>
          <w:p w:rsidR="00AD6378" w:rsidRPr="00AD6378" w:rsidRDefault="00AD6378" w:rsidP="00AD6378">
            <w:pPr>
              <w:autoSpaceDE w:val="0"/>
              <w:autoSpaceDN w:val="0"/>
              <w:adjustRightInd w:val="0"/>
              <w:ind w:left="58" w:right="58"/>
              <w:jc w:val="center"/>
              <w:rPr>
                <w:rFonts w:ascii="Times New Roman" w:hAnsi="Times New Roman" w:cs="Times New Roman"/>
                <w:b/>
                <w:bCs/>
                <w:color w:val="010205"/>
              </w:rPr>
            </w:pPr>
            <w:r w:rsidRPr="00AD6378">
              <w:rPr>
                <w:rFonts w:ascii="Times New Roman" w:hAnsi="Times New Roman" w:cs="Times New Roman"/>
                <w:b/>
                <w:bCs/>
                <w:color w:val="010205"/>
              </w:rPr>
              <w:t xml:space="preserve">Model </w:t>
            </w:r>
            <w:proofErr w:type="spellStart"/>
            <w:r w:rsidRPr="00AD6378">
              <w:rPr>
                <w:rFonts w:ascii="Times New Roman" w:hAnsi="Times New Roman" w:cs="Times New Roman"/>
                <w:b/>
                <w:bCs/>
                <w:color w:val="010205"/>
              </w:rPr>
              <w:t>Summary</w:t>
            </w:r>
            <w:r w:rsidRPr="00AD6378">
              <w:rPr>
                <w:rFonts w:ascii="Times New Roman" w:hAnsi="Times New Roman" w:cs="Times New Roman"/>
                <w:b/>
                <w:bCs/>
                <w:color w:val="010205"/>
                <w:vertAlign w:val="superscript"/>
              </w:rPr>
              <w:t>b</w:t>
            </w:r>
            <w:proofErr w:type="spellEnd"/>
          </w:p>
        </w:tc>
      </w:tr>
      <w:tr w:rsidR="00AD6378" w:rsidRPr="00AD6378" w:rsidTr="00AD6378">
        <w:tc>
          <w:tcPr>
            <w:tcW w:w="1368" w:type="dxa"/>
          </w:tcPr>
          <w:p w:rsidR="00AD6378" w:rsidRPr="00AD6378" w:rsidRDefault="00AD6378" w:rsidP="00AD6378">
            <w:pPr>
              <w:autoSpaceDE w:val="0"/>
              <w:autoSpaceDN w:val="0"/>
              <w:adjustRightInd w:val="0"/>
              <w:ind w:left="58" w:right="58"/>
              <w:rPr>
                <w:rFonts w:ascii="Times New Roman" w:hAnsi="Times New Roman" w:cs="Times New Roman"/>
                <w:color w:val="264A60"/>
              </w:rPr>
            </w:pPr>
            <w:r w:rsidRPr="00AD6378">
              <w:rPr>
                <w:rFonts w:ascii="Times New Roman" w:hAnsi="Times New Roman" w:cs="Times New Roman"/>
                <w:color w:val="264A60"/>
              </w:rPr>
              <w:t>Model</w:t>
            </w:r>
          </w:p>
        </w:tc>
        <w:tc>
          <w:tcPr>
            <w:tcW w:w="1080" w:type="dxa"/>
          </w:tcPr>
          <w:p w:rsidR="00AD6378" w:rsidRPr="00AD6378" w:rsidRDefault="00AD6378" w:rsidP="00AD6378">
            <w:pPr>
              <w:autoSpaceDE w:val="0"/>
              <w:autoSpaceDN w:val="0"/>
              <w:adjustRightInd w:val="0"/>
              <w:ind w:left="58" w:right="58"/>
              <w:jc w:val="center"/>
              <w:rPr>
                <w:rFonts w:ascii="Times New Roman" w:hAnsi="Times New Roman" w:cs="Times New Roman"/>
                <w:color w:val="264A60"/>
              </w:rPr>
            </w:pPr>
            <w:r w:rsidRPr="00AD6378">
              <w:rPr>
                <w:rFonts w:ascii="Times New Roman" w:hAnsi="Times New Roman" w:cs="Times New Roman"/>
                <w:color w:val="264A60"/>
              </w:rPr>
              <w:t>R</w:t>
            </w:r>
          </w:p>
        </w:tc>
        <w:tc>
          <w:tcPr>
            <w:tcW w:w="1710" w:type="dxa"/>
          </w:tcPr>
          <w:p w:rsidR="00AD6378" w:rsidRPr="00AD6378" w:rsidRDefault="00AD6378" w:rsidP="00AD6378">
            <w:pPr>
              <w:autoSpaceDE w:val="0"/>
              <w:autoSpaceDN w:val="0"/>
              <w:adjustRightInd w:val="0"/>
              <w:ind w:left="58" w:right="58"/>
              <w:jc w:val="center"/>
              <w:rPr>
                <w:rFonts w:ascii="Times New Roman" w:hAnsi="Times New Roman" w:cs="Times New Roman"/>
                <w:color w:val="264A60"/>
              </w:rPr>
            </w:pPr>
            <w:r w:rsidRPr="00AD6378">
              <w:rPr>
                <w:rFonts w:ascii="Times New Roman" w:hAnsi="Times New Roman" w:cs="Times New Roman"/>
                <w:color w:val="264A60"/>
              </w:rPr>
              <w:t>R Square</w:t>
            </w:r>
          </w:p>
        </w:tc>
        <w:tc>
          <w:tcPr>
            <w:tcW w:w="2970" w:type="dxa"/>
          </w:tcPr>
          <w:p w:rsidR="00AD6378" w:rsidRPr="00AD6378" w:rsidRDefault="00AD6378" w:rsidP="00AD6378">
            <w:pPr>
              <w:autoSpaceDE w:val="0"/>
              <w:autoSpaceDN w:val="0"/>
              <w:adjustRightInd w:val="0"/>
              <w:ind w:left="58" w:right="58"/>
              <w:jc w:val="center"/>
              <w:rPr>
                <w:rFonts w:ascii="Times New Roman" w:hAnsi="Times New Roman" w:cs="Times New Roman"/>
                <w:color w:val="264A60"/>
              </w:rPr>
            </w:pPr>
            <w:r w:rsidRPr="00AD6378">
              <w:rPr>
                <w:rFonts w:ascii="Times New Roman" w:hAnsi="Times New Roman" w:cs="Times New Roman"/>
                <w:color w:val="264A60"/>
              </w:rPr>
              <w:t>Adjusted R Square</w:t>
            </w:r>
          </w:p>
        </w:tc>
        <w:tc>
          <w:tcPr>
            <w:tcW w:w="2610" w:type="dxa"/>
          </w:tcPr>
          <w:p w:rsidR="00AD6378" w:rsidRPr="00AD6378" w:rsidRDefault="00AD6378" w:rsidP="00AD6378">
            <w:pPr>
              <w:autoSpaceDE w:val="0"/>
              <w:autoSpaceDN w:val="0"/>
              <w:adjustRightInd w:val="0"/>
              <w:ind w:left="58" w:right="58"/>
              <w:jc w:val="center"/>
              <w:rPr>
                <w:rFonts w:ascii="Times New Roman" w:hAnsi="Times New Roman" w:cs="Times New Roman"/>
                <w:color w:val="264A60"/>
              </w:rPr>
            </w:pPr>
            <w:r w:rsidRPr="00AD6378">
              <w:rPr>
                <w:rFonts w:ascii="Times New Roman" w:hAnsi="Times New Roman" w:cs="Times New Roman"/>
                <w:color w:val="264A60"/>
              </w:rPr>
              <w:t>Std. Error of the Estimate</w:t>
            </w:r>
          </w:p>
        </w:tc>
      </w:tr>
      <w:tr w:rsidR="00AD6378" w:rsidRPr="00AD6378" w:rsidTr="00AD6378">
        <w:tc>
          <w:tcPr>
            <w:tcW w:w="1368" w:type="dxa"/>
          </w:tcPr>
          <w:p w:rsidR="00AD6378" w:rsidRPr="00AD6378" w:rsidRDefault="00AD6378" w:rsidP="00AD6378">
            <w:pPr>
              <w:autoSpaceDE w:val="0"/>
              <w:autoSpaceDN w:val="0"/>
              <w:adjustRightInd w:val="0"/>
              <w:ind w:left="58" w:right="58"/>
              <w:rPr>
                <w:rFonts w:ascii="Times New Roman" w:hAnsi="Times New Roman" w:cs="Times New Roman"/>
                <w:color w:val="264A60"/>
              </w:rPr>
            </w:pPr>
            <w:r w:rsidRPr="00AD6378">
              <w:rPr>
                <w:rFonts w:ascii="Times New Roman" w:hAnsi="Times New Roman" w:cs="Times New Roman"/>
                <w:color w:val="264A60"/>
              </w:rPr>
              <w:t>1</w:t>
            </w:r>
          </w:p>
        </w:tc>
        <w:tc>
          <w:tcPr>
            <w:tcW w:w="1080" w:type="dxa"/>
          </w:tcPr>
          <w:p w:rsidR="00AD6378" w:rsidRPr="00AD6378" w:rsidRDefault="00AD6378" w:rsidP="00AD6378">
            <w:pPr>
              <w:autoSpaceDE w:val="0"/>
              <w:autoSpaceDN w:val="0"/>
              <w:adjustRightInd w:val="0"/>
              <w:ind w:left="58" w:right="58"/>
              <w:jc w:val="right"/>
              <w:rPr>
                <w:rFonts w:ascii="Times New Roman" w:hAnsi="Times New Roman" w:cs="Times New Roman"/>
                <w:color w:val="010205"/>
              </w:rPr>
            </w:pPr>
            <w:r>
              <w:rPr>
                <w:rFonts w:ascii="Times New Roman" w:hAnsi="Times New Roman" w:cs="Times New Roman"/>
                <w:color w:val="010205"/>
              </w:rPr>
              <w:t>.8</w:t>
            </w:r>
            <w:r w:rsidRPr="00AD6378">
              <w:rPr>
                <w:rFonts w:ascii="Times New Roman" w:hAnsi="Times New Roman" w:cs="Times New Roman"/>
                <w:color w:val="010205"/>
              </w:rPr>
              <w:t>61</w:t>
            </w:r>
            <w:r w:rsidRPr="00AD6378">
              <w:rPr>
                <w:rFonts w:ascii="Times New Roman" w:hAnsi="Times New Roman" w:cs="Times New Roman"/>
                <w:color w:val="010205"/>
                <w:vertAlign w:val="superscript"/>
              </w:rPr>
              <w:t>a</w:t>
            </w:r>
          </w:p>
        </w:tc>
        <w:tc>
          <w:tcPr>
            <w:tcW w:w="1710" w:type="dxa"/>
          </w:tcPr>
          <w:p w:rsidR="00AD6378" w:rsidRPr="00AD6378" w:rsidRDefault="00AD6378" w:rsidP="00AD6378">
            <w:pPr>
              <w:autoSpaceDE w:val="0"/>
              <w:autoSpaceDN w:val="0"/>
              <w:adjustRightInd w:val="0"/>
              <w:ind w:left="58" w:right="58"/>
              <w:jc w:val="right"/>
              <w:rPr>
                <w:rFonts w:ascii="Times New Roman" w:hAnsi="Times New Roman" w:cs="Times New Roman"/>
                <w:color w:val="010205"/>
              </w:rPr>
            </w:pPr>
            <w:r>
              <w:rPr>
                <w:rFonts w:ascii="Times New Roman" w:hAnsi="Times New Roman" w:cs="Times New Roman"/>
                <w:color w:val="010205"/>
              </w:rPr>
              <w:t>.8</w:t>
            </w:r>
            <w:r w:rsidRPr="00AD6378">
              <w:rPr>
                <w:rFonts w:ascii="Times New Roman" w:hAnsi="Times New Roman" w:cs="Times New Roman"/>
                <w:color w:val="010205"/>
              </w:rPr>
              <w:t>26</w:t>
            </w:r>
          </w:p>
        </w:tc>
        <w:tc>
          <w:tcPr>
            <w:tcW w:w="2970" w:type="dxa"/>
          </w:tcPr>
          <w:p w:rsidR="00AD6378" w:rsidRPr="00AD6378" w:rsidRDefault="00AD6378" w:rsidP="00AD6378">
            <w:pPr>
              <w:autoSpaceDE w:val="0"/>
              <w:autoSpaceDN w:val="0"/>
              <w:adjustRightInd w:val="0"/>
              <w:ind w:left="58" w:right="58"/>
              <w:jc w:val="right"/>
              <w:rPr>
                <w:rFonts w:ascii="Times New Roman" w:hAnsi="Times New Roman" w:cs="Times New Roman"/>
                <w:color w:val="010205"/>
              </w:rPr>
            </w:pPr>
            <w:r>
              <w:rPr>
                <w:rFonts w:ascii="Times New Roman" w:hAnsi="Times New Roman" w:cs="Times New Roman"/>
                <w:color w:val="010205"/>
              </w:rPr>
              <w:t>.7</w:t>
            </w:r>
            <w:r w:rsidRPr="00AD6378">
              <w:rPr>
                <w:rFonts w:ascii="Times New Roman" w:hAnsi="Times New Roman" w:cs="Times New Roman"/>
                <w:color w:val="010205"/>
              </w:rPr>
              <w:t>06</w:t>
            </w:r>
          </w:p>
        </w:tc>
        <w:tc>
          <w:tcPr>
            <w:tcW w:w="2610" w:type="dxa"/>
          </w:tcPr>
          <w:p w:rsidR="00AD6378" w:rsidRPr="00AD6378" w:rsidRDefault="00AD6378" w:rsidP="00AD6378">
            <w:pPr>
              <w:autoSpaceDE w:val="0"/>
              <w:autoSpaceDN w:val="0"/>
              <w:adjustRightInd w:val="0"/>
              <w:ind w:left="58" w:right="58"/>
              <w:jc w:val="right"/>
              <w:rPr>
                <w:rFonts w:ascii="Times New Roman" w:hAnsi="Times New Roman" w:cs="Times New Roman"/>
                <w:color w:val="010205"/>
              </w:rPr>
            </w:pPr>
            <w:r w:rsidRPr="00AD6378">
              <w:rPr>
                <w:rFonts w:ascii="Times New Roman" w:hAnsi="Times New Roman" w:cs="Times New Roman"/>
                <w:color w:val="010205"/>
              </w:rPr>
              <w:t>1.07341</w:t>
            </w:r>
          </w:p>
        </w:tc>
      </w:tr>
      <w:tr w:rsidR="00AD6378" w:rsidRPr="00AD6378" w:rsidTr="00AD6378">
        <w:tc>
          <w:tcPr>
            <w:tcW w:w="9738" w:type="dxa"/>
            <w:gridSpan w:val="5"/>
          </w:tcPr>
          <w:p w:rsidR="00AD6378" w:rsidRPr="00AD6378" w:rsidRDefault="00AD6378" w:rsidP="00AD6378">
            <w:pPr>
              <w:autoSpaceDE w:val="0"/>
              <w:autoSpaceDN w:val="0"/>
              <w:adjustRightInd w:val="0"/>
              <w:ind w:left="58" w:right="58"/>
              <w:rPr>
                <w:rFonts w:ascii="Times New Roman" w:hAnsi="Times New Roman" w:cs="Times New Roman"/>
                <w:color w:val="010205"/>
              </w:rPr>
            </w:pPr>
            <w:r w:rsidRPr="00AD6378">
              <w:rPr>
                <w:rFonts w:ascii="Times New Roman" w:hAnsi="Times New Roman" w:cs="Times New Roman"/>
                <w:color w:val="010205"/>
              </w:rPr>
              <w:t>a. Predictors: (Constant), Barriers &amp; Institutional Challenges, Green Banking Adoption, Environmental Risk Assessment, Green Banking Initiatives, Environmental Sustainability</w:t>
            </w:r>
          </w:p>
        </w:tc>
      </w:tr>
      <w:tr w:rsidR="00AD6378" w:rsidRPr="00AD6378" w:rsidTr="00AD6378">
        <w:tc>
          <w:tcPr>
            <w:tcW w:w="9738" w:type="dxa"/>
            <w:gridSpan w:val="5"/>
          </w:tcPr>
          <w:p w:rsidR="00AD6378" w:rsidRPr="00AD6378" w:rsidRDefault="00AD6378" w:rsidP="00AD6378">
            <w:pPr>
              <w:autoSpaceDE w:val="0"/>
              <w:autoSpaceDN w:val="0"/>
              <w:adjustRightInd w:val="0"/>
              <w:ind w:left="58" w:right="58"/>
              <w:rPr>
                <w:rFonts w:ascii="Times New Roman" w:hAnsi="Times New Roman" w:cs="Times New Roman"/>
                <w:color w:val="010205"/>
              </w:rPr>
            </w:pPr>
            <w:r w:rsidRPr="00AD6378">
              <w:rPr>
                <w:rFonts w:ascii="Times New Roman" w:hAnsi="Times New Roman" w:cs="Times New Roman"/>
                <w:color w:val="010205"/>
              </w:rPr>
              <w:t xml:space="preserve">b. Dependent Variable: </w:t>
            </w:r>
            <w:r w:rsidRPr="00AD6378">
              <w:rPr>
                <w:rStyle w:val="Strong"/>
                <w:rFonts w:ascii="Times New Roman" w:hAnsi="Times New Roman" w:cs="Times New Roman"/>
                <w:b w:val="0"/>
              </w:rPr>
              <w:t>organizational performance</w:t>
            </w:r>
            <w:r w:rsidRPr="00AD6378">
              <w:rPr>
                <w:rFonts w:ascii="Times New Roman" w:hAnsi="Times New Roman" w:cs="Times New Roman"/>
                <w:color w:val="010205"/>
              </w:rPr>
              <w:t>.</w:t>
            </w:r>
          </w:p>
        </w:tc>
      </w:tr>
    </w:tbl>
    <w:p w:rsidR="00AD6378" w:rsidRPr="00C96BEA" w:rsidRDefault="00AD6378" w:rsidP="00C96BEA">
      <w:pPr>
        <w:pStyle w:val="NormalWeb"/>
        <w:spacing w:before="120" w:beforeAutospacing="0" w:after="0" w:afterAutospacing="0"/>
        <w:jc w:val="both"/>
        <w:rPr>
          <w:sz w:val="22"/>
          <w:szCs w:val="22"/>
        </w:rPr>
      </w:pPr>
      <w:r w:rsidRPr="00C96BEA">
        <w:rPr>
          <w:sz w:val="22"/>
          <w:szCs w:val="22"/>
        </w:rPr>
        <w:t>Source: Survey Result, (2026)</w:t>
      </w:r>
    </w:p>
    <w:p w:rsidR="00C96BEA" w:rsidRPr="00C96BEA" w:rsidRDefault="00C96BEA" w:rsidP="00C96BEA">
      <w:pPr>
        <w:pStyle w:val="NormalWeb"/>
        <w:spacing w:before="120" w:beforeAutospacing="0" w:after="0" w:afterAutospacing="0"/>
        <w:jc w:val="both"/>
        <w:rPr>
          <w:sz w:val="22"/>
          <w:szCs w:val="22"/>
        </w:rPr>
      </w:pPr>
      <w:r w:rsidRPr="00C96BEA">
        <w:rPr>
          <w:sz w:val="22"/>
          <w:szCs w:val="22"/>
        </w:rPr>
        <w:t>The model summary presented in Table 10 shows the overall explanatory power of Green Banking Adoption (GBA), Environmental Sustainability (ES), Green Banking Initiatives (GBI), Environmental Risk Assessment (ERA), and Barriers &amp; Institutional Challenges (BIC) on Organizational Performance (OP).</w:t>
      </w:r>
    </w:p>
    <w:p w:rsidR="00C96BEA" w:rsidRPr="00C96BEA" w:rsidRDefault="00C96BEA" w:rsidP="00C96BEA">
      <w:pPr>
        <w:pStyle w:val="NormalWeb"/>
        <w:spacing w:before="120" w:beforeAutospacing="0" w:after="0" w:afterAutospacing="0"/>
        <w:jc w:val="both"/>
        <w:rPr>
          <w:sz w:val="22"/>
          <w:szCs w:val="22"/>
        </w:rPr>
      </w:pPr>
      <w:r w:rsidRPr="00C96BEA">
        <w:rPr>
          <w:sz w:val="22"/>
          <w:szCs w:val="22"/>
        </w:rPr>
        <w:t xml:space="preserve">The results indicate a strong positive relationship between the independent variables and organizational performance, as shown by the multiple correlation coefficient (R = 0.861). This suggests a high level of </w:t>
      </w:r>
      <w:r w:rsidRPr="00C96BEA">
        <w:rPr>
          <w:sz w:val="22"/>
          <w:szCs w:val="22"/>
        </w:rPr>
        <w:lastRenderedPageBreak/>
        <w:t>association between green banking-related factors and organizational performance in the selected commercial banks.</w:t>
      </w:r>
    </w:p>
    <w:p w:rsidR="00C96BEA" w:rsidRPr="00C96BEA" w:rsidRDefault="00C96BEA" w:rsidP="00C96BEA">
      <w:pPr>
        <w:pStyle w:val="NormalWeb"/>
        <w:spacing w:before="120" w:beforeAutospacing="0" w:after="0" w:afterAutospacing="0"/>
        <w:jc w:val="both"/>
        <w:rPr>
          <w:sz w:val="22"/>
          <w:szCs w:val="22"/>
        </w:rPr>
      </w:pPr>
      <w:r w:rsidRPr="00C96BEA">
        <w:rPr>
          <w:sz w:val="22"/>
          <w:szCs w:val="22"/>
        </w:rPr>
        <w:t>The coefficient of determination (R² = 0.826) indicates that 82.6% of the variation in organizational performance is explained jointly by GBA, ES, GBI, ERA, and BIC. This implies that green banking practices and institutional factors collectively have a substantial explanatory power in determining organizational performance. The remaining 17.4% of the variation is explained by other factors not included in the model, such as macroeconomic conditions, managerial capability, technological infrastructure, and external regulatory influences.</w:t>
      </w:r>
    </w:p>
    <w:p w:rsidR="00C96BEA" w:rsidRPr="00C96BEA" w:rsidRDefault="00C96BEA" w:rsidP="00C96BEA">
      <w:pPr>
        <w:pStyle w:val="NormalWeb"/>
        <w:spacing w:before="120" w:beforeAutospacing="0" w:after="0" w:afterAutospacing="0"/>
        <w:jc w:val="both"/>
        <w:rPr>
          <w:sz w:val="22"/>
          <w:szCs w:val="22"/>
        </w:rPr>
      </w:pPr>
      <w:r w:rsidRPr="00C96BEA">
        <w:rPr>
          <w:sz w:val="22"/>
          <w:szCs w:val="22"/>
        </w:rPr>
        <w:t>The adjusted R² value of 0.706 indicates that after adjusting for the number of predictors in the model, approximately 70.6% of the variation in organizational performance is still explained by the independent variables. This suggests that the model remains statistically meaningful even after correcting for potential overestimation due to multiple predictors.</w:t>
      </w:r>
    </w:p>
    <w:p w:rsidR="00C96BEA" w:rsidRPr="00C96BEA" w:rsidRDefault="00C96BEA" w:rsidP="00C96BEA">
      <w:pPr>
        <w:pStyle w:val="NormalWeb"/>
        <w:spacing w:before="120" w:beforeAutospacing="0" w:after="0" w:afterAutospacing="0"/>
        <w:jc w:val="both"/>
        <w:rPr>
          <w:sz w:val="22"/>
          <w:szCs w:val="22"/>
        </w:rPr>
      </w:pPr>
      <w:r w:rsidRPr="00C96BEA">
        <w:rPr>
          <w:sz w:val="22"/>
          <w:szCs w:val="22"/>
        </w:rPr>
        <w:t>The standard error of the estimate (1.07341) indicates the average deviation of the observed values from the regression line. This relatively low value suggests that the model has a reasonable level of accuracy in predicting organizational performance.</w:t>
      </w:r>
    </w:p>
    <w:p w:rsidR="00C96BEA" w:rsidRPr="00C96BEA" w:rsidRDefault="00C96BEA" w:rsidP="00C96BEA">
      <w:pPr>
        <w:pStyle w:val="NormalWeb"/>
        <w:spacing w:before="120" w:beforeAutospacing="0" w:after="0" w:afterAutospacing="0"/>
        <w:jc w:val="both"/>
        <w:rPr>
          <w:sz w:val="22"/>
          <w:szCs w:val="22"/>
        </w:rPr>
      </w:pPr>
      <w:r w:rsidRPr="00C96BEA">
        <w:rPr>
          <w:sz w:val="22"/>
          <w:szCs w:val="22"/>
        </w:rPr>
        <w:t>Overall, the findings imply that green banking practices combined with institutional and environmental factors have a strong and meaningful influence on organizational performance in Ethiopian commercial banks. This supports previous empirical studies that highlight the significant role of sustainability-oriented banking practices in enhancing organizational outcomes, although the strength of the relationship may vary depending on institutional maturity and implementation level [7], [10], [17].</w:t>
      </w:r>
    </w:p>
    <w:tbl>
      <w:tblPr>
        <w:tblStyle w:val="TableGrid"/>
        <w:tblW w:w="9360" w:type="dxa"/>
        <w:tblInd w:w="108" w:type="dxa"/>
        <w:tblLayout w:type="fixed"/>
        <w:tblLook w:val="0000"/>
      </w:tblPr>
      <w:tblGrid>
        <w:gridCol w:w="625"/>
        <w:gridCol w:w="1715"/>
        <w:gridCol w:w="1980"/>
        <w:gridCol w:w="1170"/>
        <w:gridCol w:w="1800"/>
        <w:gridCol w:w="900"/>
        <w:gridCol w:w="1170"/>
      </w:tblGrid>
      <w:tr w:rsidR="00AD6378" w:rsidRPr="00AD6378" w:rsidTr="007C02EC">
        <w:tc>
          <w:tcPr>
            <w:tcW w:w="9360" w:type="dxa"/>
            <w:gridSpan w:val="7"/>
          </w:tcPr>
          <w:p w:rsidR="00AD6378" w:rsidRPr="00AD6378" w:rsidRDefault="00AD6378" w:rsidP="00AD6378">
            <w:pPr>
              <w:autoSpaceDE w:val="0"/>
              <w:autoSpaceDN w:val="0"/>
              <w:adjustRightInd w:val="0"/>
              <w:ind w:left="60" w:right="60"/>
              <w:jc w:val="center"/>
              <w:rPr>
                <w:rFonts w:ascii="Times New Roman" w:hAnsi="Times New Roman" w:cs="Times New Roman"/>
                <w:color w:val="010205"/>
              </w:rPr>
            </w:pPr>
            <w:r w:rsidRPr="00256240">
              <w:rPr>
                <w:rFonts w:ascii="Times New Roman" w:hAnsi="Times New Roman" w:cs="Times New Roman"/>
                <w:b/>
                <w:bCs/>
              </w:rPr>
              <w:t>Table 1</w:t>
            </w:r>
            <w:r>
              <w:rPr>
                <w:rFonts w:ascii="Times New Roman" w:hAnsi="Times New Roman" w:cs="Times New Roman"/>
                <w:b/>
                <w:bCs/>
              </w:rPr>
              <w:t>1</w:t>
            </w:r>
            <w:r w:rsidRPr="00256240">
              <w:rPr>
                <w:rFonts w:ascii="Times New Roman" w:hAnsi="Times New Roman" w:cs="Times New Roman"/>
                <w:b/>
                <w:bCs/>
              </w:rPr>
              <w:t xml:space="preserve">:  </w:t>
            </w:r>
            <w:r w:rsidRPr="00256240">
              <w:rPr>
                <w:rFonts w:ascii="Times New Roman" w:hAnsi="Times New Roman" w:cs="Times New Roman"/>
                <w:b/>
              </w:rPr>
              <w:t>ANOVA Analysis</w:t>
            </w:r>
          </w:p>
        </w:tc>
      </w:tr>
      <w:tr w:rsidR="00AD6378" w:rsidRPr="00AD6378" w:rsidTr="007C02EC">
        <w:tc>
          <w:tcPr>
            <w:tcW w:w="9360" w:type="dxa"/>
            <w:gridSpan w:val="7"/>
          </w:tcPr>
          <w:p w:rsidR="00AD6378" w:rsidRPr="00AD6378" w:rsidRDefault="00AD6378" w:rsidP="00AD6378">
            <w:pPr>
              <w:autoSpaceDE w:val="0"/>
              <w:autoSpaceDN w:val="0"/>
              <w:adjustRightInd w:val="0"/>
              <w:ind w:left="60" w:right="60"/>
              <w:jc w:val="center"/>
              <w:rPr>
                <w:rFonts w:ascii="Times New Roman" w:hAnsi="Times New Roman" w:cs="Times New Roman"/>
                <w:b/>
                <w:bCs/>
                <w:color w:val="010205"/>
              </w:rPr>
            </w:pPr>
            <w:proofErr w:type="spellStart"/>
            <w:r w:rsidRPr="00AD6378">
              <w:rPr>
                <w:rFonts w:ascii="Times New Roman" w:hAnsi="Times New Roman" w:cs="Times New Roman"/>
                <w:b/>
                <w:bCs/>
                <w:color w:val="010205"/>
              </w:rPr>
              <w:t>ANOVA</w:t>
            </w:r>
            <w:r w:rsidRPr="00AD6378">
              <w:rPr>
                <w:rFonts w:ascii="Times New Roman" w:hAnsi="Times New Roman" w:cs="Times New Roman"/>
                <w:b/>
                <w:bCs/>
                <w:color w:val="010205"/>
                <w:vertAlign w:val="superscript"/>
              </w:rPr>
              <w:t>a</w:t>
            </w:r>
            <w:proofErr w:type="spellEnd"/>
          </w:p>
        </w:tc>
      </w:tr>
      <w:tr w:rsidR="00AD6378" w:rsidRPr="00AD6378" w:rsidTr="007C02EC">
        <w:tc>
          <w:tcPr>
            <w:tcW w:w="2340" w:type="dxa"/>
            <w:gridSpan w:val="2"/>
          </w:tcPr>
          <w:p w:rsidR="00AD6378" w:rsidRPr="00AD6378" w:rsidRDefault="00AD6378" w:rsidP="00AD6378">
            <w:pPr>
              <w:autoSpaceDE w:val="0"/>
              <w:autoSpaceDN w:val="0"/>
              <w:adjustRightInd w:val="0"/>
              <w:ind w:left="60" w:right="60"/>
              <w:rPr>
                <w:rFonts w:ascii="Times New Roman" w:hAnsi="Times New Roman" w:cs="Times New Roman"/>
                <w:color w:val="264A60"/>
              </w:rPr>
            </w:pPr>
            <w:r w:rsidRPr="00AD6378">
              <w:rPr>
                <w:rFonts w:ascii="Times New Roman" w:hAnsi="Times New Roman" w:cs="Times New Roman"/>
                <w:color w:val="264A60"/>
              </w:rPr>
              <w:t>Model</w:t>
            </w:r>
          </w:p>
        </w:tc>
        <w:tc>
          <w:tcPr>
            <w:tcW w:w="1980" w:type="dxa"/>
          </w:tcPr>
          <w:p w:rsidR="00AD6378" w:rsidRPr="00AD6378" w:rsidRDefault="00AD6378" w:rsidP="00AD6378">
            <w:pPr>
              <w:autoSpaceDE w:val="0"/>
              <w:autoSpaceDN w:val="0"/>
              <w:adjustRightInd w:val="0"/>
              <w:ind w:left="60" w:right="60"/>
              <w:jc w:val="center"/>
              <w:rPr>
                <w:rFonts w:ascii="Times New Roman" w:hAnsi="Times New Roman" w:cs="Times New Roman"/>
                <w:color w:val="264A60"/>
              </w:rPr>
            </w:pPr>
            <w:r w:rsidRPr="00AD6378">
              <w:rPr>
                <w:rFonts w:ascii="Times New Roman" w:hAnsi="Times New Roman" w:cs="Times New Roman"/>
                <w:color w:val="264A60"/>
              </w:rPr>
              <w:t>Sum of Squares</w:t>
            </w:r>
          </w:p>
        </w:tc>
        <w:tc>
          <w:tcPr>
            <w:tcW w:w="1170" w:type="dxa"/>
          </w:tcPr>
          <w:p w:rsidR="00AD6378" w:rsidRPr="00AD6378" w:rsidRDefault="00AD6378" w:rsidP="00AD6378">
            <w:pPr>
              <w:autoSpaceDE w:val="0"/>
              <w:autoSpaceDN w:val="0"/>
              <w:adjustRightInd w:val="0"/>
              <w:ind w:left="60" w:right="60"/>
              <w:jc w:val="center"/>
              <w:rPr>
                <w:rFonts w:ascii="Times New Roman" w:hAnsi="Times New Roman" w:cs="Times New Roman"/>
                <w:color w:val="264A60"/>
              </w:rPr>
            </w:pPr>
            <w:proofErr w:type="spellStart"/>
            <w:r w:rsidRPr="00AD6378">
              <w:rPr>
                <w:rFonts w:ascii="Times New Roman" w:hAnsi="Times New Roman" w:cs="Times New Roman"/>
                <w:color w:val="264A60"/>
              </w:rPr>
              <w:t>df</w:t>
            </w:r>
            <w:proofErr w:type="spellEnd"/>
          </w:p>
        </w:tc>
        <w:tc>
          <w:tcPr>
            <w:tcW w:w="1800" w:type="dxa"/>
          </w:tcPr>
          <w:p w:rsidR="00AD6378" w:rsidRPr="00AD6378" w:rsidRDefault="00AD6378" w:rsidP="00AD6378">
            <w:pPr>
              <w:autoSpaceDE w:val="0"/>
              <w:autoSpaceDN w:val="0"/>
              <w:adjustRightInd w:val="0"/>
              <w:ind w:left="60" w:right="60"/>
              <w:jc w:val="center"/>
              <w:rPr>
                <w:rFonts w:ascii="Times New Roman" w:hAnsi="Times New Roman" w:cs="Times New Roman"/>
                <w:color w:val="264A60"/>
              </w:rPr>
            </w:pPr>
            <w:r w:rsidRPr="00AD6378">
              <w:rPr>
                <w:rFonts w:ascii="Times New Roman" w:hAnsi="Times New Roman" w:cs="Times New Roman"/>
                <w:color w:val="264A60"/>
              </w:rPr>
              <w:t>Mean Square</w:t>
            </w:r>
          </w:p>
        </w:tc>
        <w:tc>
          <w:tcPr>
            <w:tcW w:w="900" w:type="dxa"/>
          </w:tcPr>
          <w:p w:rsidR="00AD6378" w:rsidRPr="00AD6378" w:rsidRDefault="00AD6378" w:rsidP="00AD6378">
            <w:pPr>
              <w:autoSpaceDE w:val="0"/>
              <w:autoSpaceDN w:val="0"/>
              <w:adjustRightInd w:val="0"/>
              <w:ind w:left="60" w:right="60"/>
              <w:jc w:val="center"/>
              <w:rPr>
                <w:rFonts w:ascii="Times New Roman" w:hAnsi="Times New Roman" w:cs="Times New Roman"/>
                <w:color w:val="264A60"/>
              </w:rPr>
            </w:pPr>
            <w:r w:rsidRPr="00AD6378">
              <w:rPr>
                <w:rFonts w:ascii="Times New Roman" w:hAnsi="Times New Roman" w:cs="Times New Roman"/>
                <w:color w:val="264A60"/>
              </w:rPr>
              <w:t>F</w:t>
            </w:r>
          </w:p>
        </w:tc>
        <w:tc>
          <w:tcPr>
            <w:tcW w:w="1170" w:type="dxa"/>
          </w:tcPr>
          <w:p w:rsidR="00AD6378" w:rsidRPr="00AD6378" w:rsidRDefault="00AD6378" w:rsidP="00AD6378">
            <w:pPr>
              <w:autoSpaceDE w:val="0"/>
              <w:autoSpaceDN w:val="0"/>
              <w:adjustRightInd w:val="0"/>
              <w:ind w:left="60" w:right="60"/>
              <w:jc w:val="center"/>
              <w:rPr>
                <w:rFonts w:ascii="Times New Roman" w:hAnsi="Times New Roman" w:cs="Times New Roman"/>
                <w:color w:val="264A60"/>
              </w:rPr>
            </w:pPr>
            <w:r w:rsidRPr="00AD6378">
              <w:rPr>
                <w:rFonts w:ascii="Times New Roman" w:hAnsi="Times New Roman" w:cs="Times New Roman"/>
                <w:color w:val="264A60"/>
              </w:rPr>
              <w:t>Sig.</w:t>
            </w:r>
          </w:p>
        </w:tc>
      </w:tr>
      <w:tr w:rsidR="00AD6378" w:rsidRPr="00AD6378" w:rsidTr="007C02EC">
        <w:tc>
          <w:tcPr>
            <w:tcW w:w="625" w:type="dxa"/>
            <w:vMerge w:val="restart"/>
          </w:tcPr>
          <w:p w:rsidR="00AD6378" w:rsidRPr="00AD6378" w:rsidRDefault="00AD6378" w:rsidP="00AD6378">
            <w:pPr>
              <w:autoSpaceDE w:val="0"/>
              <w:autoSpaceDN w:val="0"/>
              <w:adjustRightInd w:val="0"/>
              <w:ind w:left="60" w:right="60"/>
              <w:rPr>
                <w:rFonts w:ascii="Times New Roman" w:hAnsi="Times New Roman" w:cs="Times New Roman"/>
                <w:color w:val="264A60"/>
              </w:rPr>
            </w:pPr>
            <w:r w:rsidRPr="00AD6378">
              <w:rPr>
                <w:rFonts w:ascii="Times New Roman" w:hAnsi="Times New Roman" w:cs="Times New Roman"/>
                <w:color w:val="264A60"/>
              </w:rPr>
              <w:t>1</w:t>
            </w:r>
          </w:p>
        </w:tc>
        <w:tc>
          <w:tcPr>
            <w:tcW w:w="1715" w:type="dxa"/>
          </w:tcPr>
          <w:p w:rsidR="00AD6378" w:rsidRPr="00AD6378" w:rsidRDefault="00AD6378" w:rsidP="00AD6378">
            <w:pPr>
              <w:autoSpaceDE w:val="0"/>
              <w:autoSpaceDN w:val="0"/>
              <w:adjustRightInd w:val="0"/>
              <w:ind w:left="60" w:right="60"/>
              <w:rPr>
                <w:rFonts w:ascii="Times New Roman" w:hAnsi="Times New Roman" w:cs="Times New Roman"/>
                <w:color w:val="264A60"/>
              </w:rPr>
            </w:pPr>
            <w:r w:rsidRPr="00AD6378">
              <w:rPr>
                <w:rFonts w:ascii="Times New Roman" w:hAnsi="Times New Roman" w:cs="Times New Roman"/>
                <w:color w:val="264A60"/>
              </w:rPr>
              <w:t>Regression</w:t>
            </w:r>
          </w:p>
        </w:tc>
        <w:tc>
          <w:tcPr>
            <w:tcW w:w="1980" w:type="dxa"/>
          </w:tcPr>
          <w:p w:rsidR="00AD6378" w:rsidRPr="009F74DE" w:rsidRDefault="009F74DE" w:rsidP="00AD6378">
            <w:pPr>
              <w:autoSpaceDE w:val="0"/>
              <w:autoSpaceDN w:val="0"/>
              <w:adjustRightInd w:val="0"/>
              <w:ind w:left="60" w:right="60"/>
              <w:jc w:val="right"/>
              <w:rPr>
                <w:rFonts w:ascii="Times New Roman" w:hAnsi="Times New Roman" w:cs="Times New Roman"/>
                <w:color w:val="010205"/>
                <w:sz w:val="24"/>
                <w:szCs w:val="24"/>
              </w:rPr>
            </w:pPr>
            <w:r w:rsidRPr="009F74DE">
              <w:rPr>
                <w:rFonts w:ascii="Times New Roman" w:hAnsi="Times New Roman" w:cs="Times New Roman"/>
                <w:sz w:val="24"/>
                <w:szCs w:val="24"/>
              </w:rPr>
              <w:t>233.539</w:t>
            </w:r>
          </w:p>
        </w:tc>
        <w:tc>
          <w:tcPr>
            <w:tcW w:w="1170" w:type="dxa"/>
          </w:tcPr>
          <w:p w:rsidR="00AD6378" w:rsidRPr="009F74DE" w:rsidRDefault="00AD6378" w:rsidP="00AD6378">
            <w:pPr>
              <w:autoSpaceDE w:val="0"/>
              <w:autoSpaceDN w:val="0"/>
              <w:adjustRightInd w:val="0"/>
              <w:ind w:left="60" w:right="60"/>
              <w:jc w:val="right"/>
              <w:rPr>
                <w:rFonts w:ascii="Times New Roman" w:hAnsi="Times New Roman" w:cs="Times New Roman"/>
                <w:color w:val="010205"/>
                <w:sz w:val="24"/>
                <w:szCs w:val="24"/>
              </w:rPr>
            </w:pPr>
            <w:r w:rsidRPr="009F74DE">
              <w:rPr>
                <w:rFonts w:ascii="Times New Roman" w:hAnsi="Times New Roman" w:cs="Times New Roman"/>
                <w:color w:val="010205"/>
                <w:sz w:val="24"/>
                <w:szCs w:val="24"/>
              </w:rPr>
              <w:t>5</w:t>
            </w:r>
          </w:p>
        </w:tc>
        <w:tc>
          <w:tcPr>
            <w:tcW w:w="1800" w:type="dxa"/>
          </w:tcPr>
          <w:p w:rsidR="00AD6378" w:rsidRPr="009F74DE" w:rsidRDefault="009F74DE" w:rsidP="00AD6378">
            <w:pPr>
              <w:autoSpaceDE w:val="0"/>
              <w:autoSpaceDN w:val="0"/>
              <w:adjustRightInd w:val="0"/>
              <w:ind w:left="60" w:right="60"/>
              <w:jc w:val="right"/>
              <w:rPr>
                <w:rFonts w:ascii="Times New Roman" w:hAnsi="Times New Roman" w:cs="Times New Roman"/>
                <w:color w:val="010205"/>
                <w:sz w:val="24"/>
                <w:szCs w:val="24"/>
              </w:rPr>
            </w:pPr>
            <w:r w:rsidRPr="009F74DE">
              <w:rPr>
                <w:rFonts w:ascii="Times New Roman" w:hAnsi="Times New Roman" w:cs="Times New Roman"/>
                <w:sz w:val="24"/>
                <w:szCs w:val="24"/>
              </w:rPr>
              <w:t>46.708</w:t>
            </w:r>
          </w:p>
        </w:tc>
        <w:tc>
          <w:tcPr>
            <w:tcW w:w="900" w:type="dxa"/>
          </w:tcPr>
          <w:p w:rsidR="00AD6378" w:rsidRPr="00E26B11" w:rsidRDefault="00E26B11" w:rsidP="00AD6378">
            <w:pPr>
              <w:autoSpaceDE w:val="0"/>
              <w:autoSpaceDN w:val="0"/>
              <w:adjustRightInd w:val="0"/>
              <w:ind w:left="60" w:right="60"/>
              <w:jc w:val="right"/>
              <w:rPr>
                <w:rFonts w:ascii="Times New Roman" w:hAnsi="Times New Roman" w:cs="Times New Roman"/>
                <w:color w:val="010205"/>
              </w:rPr>
            </w:pPr>
            <w:r w:rsidRPr="00E26B11">
              <w:rPr>
                <w:rFonts w:ascii="Times New Roman" w:hAnsi="Times New Roman" w:cs="Times New Roman"/>
              </w:rPr>
              <w:t>226.7</w:t>
            </w:r>
          </w:p>
        </w:tc>
        <w:tc>
          <w:tcPr>
            <w:tcW w:w="1170" w:type="dxa"/>
          </w:tcPr>
          <w:p w:rsidR="00AD6378" w:rsidRPr="00AD6378" w:rsidRDefault="00AD6378" w:rsidP="00AD6378">
            <w:pPr>
              <w:autoSpaceDE w:val="0"/>
              <w:autoSpaceDN w:val="0"/>
              <w:adjustRightInd w:val="0"/>
              <w:ind w:left="60" w:right="60"/>
              <w:jc w:val="right"/>
              <w:rPr>
                <w:rFonts w:ascii="Times New Roman" w:hAnsi="Times New Roman" w:cs="Times New Roman"/>
                <w:color w:val="010205"/>
              </w:rPr>
            </w:pPr>
            <w:r w:rsidRPr="00AD6378">
              <w:rPr>
                <w:rFonts w:ascii="Times New Roman" w:hAnsi="Times New Roman" w:cs="Times New Roman"/>
                <w:color w:val="010205"/>
              </w:rPr>
              <w:t>.</w:t>
            </w:r>
            <w:r>
              <w:rPr>
                <w:rFonts w:ascii="Times New Roman" w:hAnsi="Times New Roman" w:cs="Times New Roman"/>
                <w:color w:val="010205"/>
              </w:rPr>
              <w:t>000</w:t>
            </w:r>
            <w:r w:rsidRPr="00AD6378">
              <w:rPr>
                <w:rFonts w:ascii="Times New Roman" w:hAnsi="Times New Roman" w:cs="Times New Roman"/>
                <w:color w:val="010205"/>
                <w:vertAlign w:val="superscript"/>
              </w:rPr>
              <w:t>b</w:t>
            </w:r>
          </w:p>
        </w:tc>
      </w:tr>
      <w:tr w:rsidR="00AD6378" w:rsidRPr="00AD6378" w:rsidTr="007C02EC">
        <w:tc>
          <w:tcPr>
            <w:tcW w:w="625" w:type="dxa"/>
            <w:vMerge/>
          </w:tcPr>
          <w:p w:rsidR="00AD6378" w:rsidRPr="00AD6378" w:rsidRDefault="00AD6378" w:rsidP="00AD6378">
            <w:pPr>
              <w:autoSpaceDE w:val="0"/>
              <w:autoSpaceDN w:val="0"/>
              <w:adjustRightInd w:val="0"/>
              <w:rPr>
                <w:rFonts w:ascii="Times New Roman" w:hAnsi="Times New Roman" w:cs="Times New Roman"/>
                <w:color w:val="010205"/>
              </w:rPr>
            </w:pPr>
          </w:p>
        </w:tc>
        <w:tc>
          <w:tcPr>
            <w:tcW w:w="1715" w:type="dxa"/>
          </w:tcPr>
          <w:p w:rsidR="00AD6378" w:rsidRPr="00AD6378" w:rsidRDefault="00AD6378" w:rsidP="00AD6378">
            <w:pPr>
              <w:autoSpaceDE w:val="0"/>
              <w:autoSpaceDN w:val="0"/>
              <w:adjustRightInd w:val="0"/>
              <w:ind w:left="60" w:right="60"/>
              <w:rPr>
                <w:rFonts w:ascii="Times New Roman" w:hAnsi="Times New Roman" w:cs="Times New Roman"/>
                <w:color w:val="264A60"/>
              </w:rPr>
            </w:pPr>
            <w:r w:rsidRPr="00AD6378">
              <w:rPr>
                <w:rFonts w:ascii="Times New Roman" w:hAnsi="Times New Roman" w:cs="Times New Roman"/>
                <w:color w:val="264A60"/>
              </w:rPr>
              <w:t>Residual</w:t>
            </w:r>
          </w:p>
        </w:tc>
        <w:tc>
          <w:tcPr>
            <w:tcW w:w="1980" w:type="dxa"/>
          </w:tcPr>
          <w:p w:rsidR="00AD6378" w:rsidRPr="009F74DE" w:rsidRDefault="009F74DE" w:rsidP="00AD6378">
            <w:pPr>
              <w:autoSpaceDE w:val="0"/>
              <w:autoSpaceDN w:val="0"/>
              <w:adjustRightInd w:val="0"/>
              <w:ind w:left="60" w:right="60"/>
              <w:jc w:val="right"/>
              <w:rPr>
                <w:rFonts w:ascii="Times New Roman" w:hAnsi="Times New Roman" w:cs="Times New Roman"/>
                <w:color w:val="010205"/>
                <w:sz w:val="24"/>
                <w:szCs w:val="24"/>
              </w:rPr>
            </w:pPr>
            <w:r w:rsidRPr="009F74DE">
              <w:rPr>
                <w:rFonts w:ascii="Times New Roman" w:hAnsi="Times New Roman" w:cs="Times New Roman"/>
                <w:sz w:val="24"/>
                <w:szCs w:val="24"/>
              </w:rPr>
              <w:t>49.196</w:t>
            </w:r>
          </w:p>
        </w:tc>
        <w:tc>
          <w:tcPr>
            <w:tcW w:w="1170" w:type="dxa"/>
          </w:tcPr>
          <w:p w:rsidR="00AD6378" w:rsidRPr="009F74DE" w:rsidRDefault="00AD6378" w:rsidP="00AD6378">
            <w:pPr>
              <w:autoSpaceDE w:val="0"/>
              <w:autoSpaceDN w:val="0"/>
              <w:adjustRightInd w:val="0"/>
              <w:ind w:left="60" w:right="60"/>
              <w:jc w:val="right"/>
              <w:rPr>
                <w:rFonts w:ascii="Times New Roman" w:hAnsi="Times New Roman" w:cs="Times New Roman"/>
                <w:color w:val="010205"/>
                <w:sz w:val="24"/>
                <w:szCs w:val="24"/>
              </w:rPr>
            </w:pPr>
            <w:r w:rsidRPr="009F74DE">
              <w:rPr>
                <w:rFonts w:ascii="Times New Roman" w:hAnsi="Times New Roman" w:cs="Times New Roman"/>
                <w:color w:val="010205"/>
                <w:sz w:val="24"/>
                <w:szCs w:val="24"/>
              </w:rPr>
              <w:t>239</w:t>
            </w:r>
          </w:p>
        </w:tc>
        <w:tc>
          <w:tcPr>
            <w:tcW w:w="1800" w:type="dxa"/>
          </w:tcPr>
          <w:p w:rsidR="00AD6378" w:rsidRPr="009F74DE" w:rsidRDefault="009F74DE" w:rsidP="00AD6378">
            <w:pPr>
              <w:autoSpaceDE w:val="0"/>
              <w:autoSpaceDN w:val="0"/>
              <w:adjustRightInd w:val="0"/>
              <w:ind w:left="60" w:right="60"/>
              <w:jc w:val="right"/>
              <w:rPr>
                <w:rFonts w:ascii="Times New Roman" w:hAnsi="Times New Roman" w:cs="Times New Roman"/>
                <w:color w:val="010205"/>
                <w:sz w:val="24"/>
                <w:szCs w:val="24"/>
              </w:rPr>
            </w:pPr>
            <w:r w:rsidRPr="009F74DE">
              <w:rPr>
                <w:rFonts w:ascii="Times New Roman" w:hAnsi="Times New Roman" w:cs="Times New Roman"/>
                <w:sz w:val="24"/>
                <w:szCs w:val="24"/>
              </w:rPr>
              <w:t>0.206</w:t>
            </w:r>
          </w:p>
        </w:tc>
        <w:tc>
          <w:tcPr>
            <w:tcW w:w="900" w:type="dxa"/>
          </w:tcPr>
          <w:p w:rsidR="00AD6378" w:rsidRPr="00AD6378" w:rsidRDefault="00AD6378" w:rsidP="00AD6378">
            <w:pPr>
              <w:autoSpaceDE w:val="0"/>
              <w:autoSpaceDN w:val="0"/>
              <w:adjustRightInd w:val="0"/>
              <w:rPr>
                <w:rFonts w:ascii="Times New Roman" w:hAnsi="Times New Roman" w:cs="Times New Roman"/>
              </w:rPr>
            </w:pPr>
          </w:p>
        </w:tc>
        <w:tc>
          <w:tcPr>
            <w:tcW w:w="1170" w:type="dxa"/>
          </w:tcPr>
          <w:p w:rsidR="00AD6378" w:rsidRPr="00AD6378" w:rsidRDefault="00AD6378" w:rsidP="00AD6378">
            <w:pPr>
              <w:autoSpaceDE w:val="0"/>
              <w:autoSpaceDN w:val="0"/>
              <w:adjustRightInd w:val="0"/>
              <w:rPr>
                <w:rFonts w:ascii="Times New Roman" w:hAnsi="Times New Roman" w:cs="Times New Roman"/>
              </w:rPr>
            </w:pPr>
          </w:p>
        </w:tc>
      </w:tr>
      <w:tr w:rsidR="00AD6378" w:rsidRPr="00AD6378" w:rsidTr="007C02EC">
        <w:tc>
          <w:tcPr>
            <w:tcW w:w="625" w:type="dxa"/>
            <w:vMerge/>
          </w:tcPr>
          <w:p w:rsidR="00AD6378" w:rsidRPr="00AD6378" w:rsidRDefault="00AD6378" w:rsidP="00AD6378">
            <w:pPr>
              <w:autoSpaceDE w:val="0"/>
              <w:autoSpaceDN w:val="0"/>
              <w:adjustRightInd w:val="0"/>
              <w:rPr>
                <w:rFonts w:ascii="Times New Roman" w:hAnsi="Times New Roman" w:cs="Times New Roman"/>
              </w:rPr>
            </w:pPr>
          </w:p>
        </w:tc>
        <w:tc>
          <w:tcPr>
            <w:tcW w:w="1715" w:type="dxa"/>
          </w:tcPr>
          <w:p w:rsidR="00AD6378" w:rsidRPr="00AD6378" w:rsidRDefault="00AD6378" w:rsidP="00AD6378">
            <w:pPr>
              <w:autoSpaceDE w:val="0"/>
              <w:autoSpaceDN w:val="0"/>
              <w:adjustRightInd w:val="0"/>
              <w:ind w:left="60" w:right="60"/>
              <w:rPr>
                <w:rFonts w:ascii="Times New Roman" w:hAnsi="Times New Roman" w:cs="Times New Roman"/>
                <w:color w:val="264A60"/>
              </w:rPr>
            </w:pPr>
            <w:r w:rsidRPr="00AD6378">
              <w:rPr>
                <w:rFonts w:ascii="Times New Roman" w:hAnsi="Times New Roman" w:cs="Times New Roman"/>
                <w:color w:val="264A60"/>
              </w:rPr>
              <w:t>Total</w:t>
            </w:r>
          </w:p>
        </w:tc>
        <w:tc>
          <w:tcPr>
            <w:tcW w:w="1980" w:type="dxa"/>
          </w:tcPr>
          <w:p w:rsidR="00AD6378" w:rsidRPr="009F74DE" w:rsidRDefault="009F74DE" w:rsidP="00AD6378">
            <w:pPr>
              <w:autoSpaceDE w:val="0"/>
              <w:autoSpaceDN w:val="0"/>
              <w:adjustRightInd w:val="0"/>
              <w:ind w:left="60" w:right="60"/>
              <w:jc w:val="right"/>
              <w:rPr>
                <w:rFonts w:ascii="Times New Roman" w:hAnsi="Times New Roman" w:cs="Times New Roman"/>
                <w:color w:val="010205"/>
                <w:sz w:val="24"/>
                <w:szCs w:val="24"/>
              </w:rPr>
            </w:pPr>
            <w:r w:rsidRPr="009F74DE">
              <w:rPr>
                <w:rFonts w:ascii="Times New Roman" w:hAnsi="Times New Roman" w:cs="Times New Roman"/>
                <w:sz w:val="24"/>
                <w:szCs w:val="24"/>
              </w:rPr>
              <w:t>282.735</w:t>
            </w:r>
          </w:p>
        </w:tc>
        <w:tc>
          <w:tcPr>
            <w:tcW w:w="1170" w:type="dxa"/>
          </w:tcPr>
          <w:p w:rsidR="00AD6378" w:rsidRPr="009F74DE" w:rsidRDefault="00AD6378" w:rsidP="00AD6378">
            <w:pPr>
              <w:autoSpaceDE w:val="0"/>
              <w:autoSpaceDN w:val="0"/>
              <w:adjustRightInd w:val="0"/>
              <w:ind w:left="60" w:right="60"/>
              <w:jc w:val="right"/>
              <w:rPr>
                <w:rFonts w:ascii="Times New Roman" w:hAnsi="Times New Roman" w:cs="Times New Roman"/>
                <w:color w:val="010205"/>
                <w:sz w:val="24"/>
                <w:szCs w:val="24"/>
              </w:rPr>
            </w:pPr>
            <w:r w:rsidRPr="009F74DE">
              <w:rPr>
                <w:rFonts w:ascii="Times New Roman" w:hAnsi="Times New Roman" w:cs="Times New Roman"/>
                <w:color w:val="010205"/>
                <w:sz w:val="24"/>
                <w:szCs w:val="24"/>
              </w:rPr>
              <w:t>244</w:t>
            </w:r>
          </w:p>
        </w:tc>
        <w:tc>
          <w:tcPr>
            <w:tcW w:w="1800" w:type="dxa"/>
          </w:tcPr>
          <w:p w:rsidR="00AD6378" w:rsidRPr="009F74DE" w:rsidRDefault="00AD6378" w:rsidP="00AD6378">
            <w:pPr>
              <w:autoSpaceDE w:val="0"/>
              <w:autoSpaceDN w:val="0"/>
              <w:adjustRightInd w:val="0"/>
              <w:rPr>
                <w:rFonts w:ascii="Times New Roman" w:hAnsi="Times New Roman" w:cs="Times New Roman"/>
                <w:sz w:val="24"/>
                <w:szCs w:val="24"/>
              </w:rPr>
            </w:pPr>
          </w:p>
        </w:tc>
        <w:tc>
          <w:tcPr>
            <w:tcW w:w="900" w:type="dxa"/>
          </w:tcPr>
          <w:p w:rsidR="00AD6378" w:rsidRPr="00AD6378" w:rsidRDefault="00AD6378" w:rsidP="00AD6378">
            <w:pPr>
              <w:autoSpaceDE w:val="0"/>
              <w:autoSpaceDN w:val="0"/>
              <w:adjustRightInd w:val="0"/>
              <w:rPr>
                <w:rFonts w:ascii="Times New Roman" w:hAnsi="Times New Roman" w:cs="Times New Roman"/>
              </w:rPr>
            </w:pPr>
          </w:p>
        </w:tc>
        <w:tc>
          <w:tcPr>
            <w:tcW w:w="1170" w:type="dxa"/>
          </w:tcPr>
          <w:p w:rsidR="00AD6378" w:rsidRPr="00AD6378" w:rsidRDefault="00AD6378" w:rsidP="00AD6378">
            <w:pPr>
              <w:autoSpaceDE w:val="0"/>
              <w:autoSpaceDN w:val="0"/>
              <w:adjustRightInd w:val="0"/>
              <w:rPr>
                <w:rFonts w:ascii="Times New Roman" w:hAnsi="Times New Roman" w:cs="Times New Roman"/>
              </w:rPr>
            </w:pPr>
          </w:p>
        </w:tc>
      </w:tr>
      <w:tr w:rsidR="00AD6378" w:rsidRPr="00AD6378" w:rsidTr="007C02EC">
        <w:tc>
          <w:tcPr>
            <w:tcW w:w="9360" w:type="dxa"/>
            <w:gridSpan w:val="7"/>
          </w:tcPr>
          <w:p w:rsidR="00AD6378" w:rsidRPr="00AD6378" w:rsidRDefault="00AD6378" w:rsidP="00AD6378">
            <w:pPr>
              <w:autoSpaceDE w:val="0"/>
              <w:autoSpaceDN w:val="0"/>
              <w:adjustRightInd w:val="0"/>
              <w:ind w:left="60" w:right="60"/>
              <w:rPr>
                <w:rFonts w:ascii="Times New Roman" w:hAnsi="Times New Roman" w:cs="Times New Roman"/>
                <w:color w:val="010205"/>
              </w:rPr>
            </w:pPr>
            <w:r w:rsidRPr="00AD6378">
              <w:rPr>
                <w:rFonts w:ascii="Times New Roman" w:hAnsi="Times New Roman" w:cs="Times New Roman"/>
                <w:color w:val="010205"/>
              </w:rPr>
              <w:t>a. Dependent Variable: Organizational Performance</w:t>
            </w:r>
          </w:p>
        </w:tc>
      </w:tr>
      <w:tr w:rsidR="00AD6378" w:rsidRPr="00AD6378" w:rsidTr="007C02EC">
        <w:tc>
          <w:tcPr>
            <w:tcW w:w="9360" w:type="dxa"/>
            <w:gridSpan w:val="7"/>
          </w:tcPr>
          <w:p w:rsidR="00AD6378" w:rsidRPr="00AD6378" w:rsidRDefault="00AD6378" w:rsidP="00AD6378">
            <w:pPr>
              <w:autoSpaceDE w:val="0"/>
              <w:autoSpaceDN w:val="0"/>
              <w:adjustRightInd w:val="0"/>
              <w:ind w:left="60" w:right="60"/>
              <w:rPr>
                <w:rFonts w:ascii="Times New Roman" w:hAnsi="Times New Roman" w:cs="Times New Roman"/>
                <w:color w:val="010205"/>
              </w:rPr>
            </w:pPr>
            <w:r w:rsidRPr="00AD6378">
              <w:rPr>
                <w:rFonts w:ascii="Times New Roman" w:hAnsi="Times New Roman" w:cs="Times New Roman"/>
                <w:color w:val="010205"/>
              </w:rPr>
              <w:t>b. Predictors: (Constant), Barriers &amp; Institutional Challenges, Green Banking Adoption, Environmental Risk Assessment, Green Banking Initiatives, Environmental Sustainability</w:t>
            </w:r>
          </w:p>
        </w:tc>
      </w:tr>
    </w:tbl>
    <w:p w:rsidR="00AD6378" w:rsidRPr="00C96BEA" w:rsidRDefault="00AD6378" w:rsidP="00C96BEA">
      <w:pPr>
        <w:pStyle w:val="NormalWeb"/>
        <w:spacing w:before="120" w:beforeAutospacing="0" w:after="0" w:afterAutospacing="0"/>
        <w:jc w:val="both"/>
        <w:rPr>
          <w:sz w:val="22"/>
          <w:szCs w:val="22"/>
        </w:rPr>
      </w:pPr>
      <w:r w:rsidRPr="00C96BEA">
        <w:rPr>
          <w:sz w:val="22"/>
          <w:szCs w:val="22"/>
        </w:rPr>
        <w:t>Source: Survey Result, (2026)</w:t>
      </w:r>
    </w:p>
    <w:p w:rsidR="00F977B6" w:rsidRPr="00F977B6" w:rsidRDefault="00F977B6" w:rsidP="00E26B11">
      <w:pPr>
        <w:pStyle w:val="NormalWeb"/>
        <w:spacing w:before="120" w:beforeAutospacing="0" w:after="0" w:afterAutospacing="0"/>
        <w:jc w:val="both"/>
        <w:rPr>
          <w:sz w:val="22"/>
          <w:szCs w:val="22"/>
        </w:rPr>
      </w:pPr>
      <w:r w:rsidRPr="00F977B6">
        <w:rPr>
          <w:sz w:val="22"/>
          <w:szCs w:val="22"/>
        </w:rPr>
        <w:t>The ANOVA results show that the regression sum of squares (233.539) is much larger than the residual sum of squares (49.196), compared to a total variation of 282.735. This indicates</w:t>
      </w:r>
      <w:r w:rsidR="00E26B11">
        <w:rPr>
          <w:sz w:val="22"/>
          <w:szCs w:val="22"/>
        </w:rPr>
        <w:t xml:space="preserve"> that the independent variables </w:t>
      </w:r>
      <w:r w:rsidRPr="00F977B6">
        <w:rPr>
          <w:sz w:val="22"/>
          <w:szCs w:val="22"/>
        </w:rPr>
        <w:t>Green Banking Adoption, Environmental Sustainability, Environmental Risk Assessment, Green Banking Initiatives, and Barr</w:t>
      </w:r>
      <w:r w:rsidR="00E26B11">
        <w:rPr>
          <w:sz w:val="22"/>
          <w:szCs w:val="22"/>
        </w:rPr>
        <w:t xml:space="preserve">iers &amp; Institutional Challenges </w:t>
      </w:r>
      <w:r w:rsidRPr="00F977B6">
        <w:rPr>
          <w:sz w:val="22"/>
          <w:szCs w:val="22"/>
        </w:rPr>
        <w:t>collectively explain a large proportion of variation in Organizational Performance. The dominance of explained variation over unexplained variation suggests that the model fits the data strongly and that the predictors are highly relevant in explaining performance differences among the sampled banks.</w:t>
      </w:r>
      <w:r w:rsidR="00FC7661">
        <w:rPr>
          <w:sz w:val="22"/>
          <w:szCs w:val="22"/>
        </w:rPr>
        <w:t xml:space="preserve"> </w:t>
      </w:r>
      <w:r w:rsidRPr="00F977B6">
        <w:rPr>
          <w:sz w:val="22"/>
          <w:szCs w:val="22"/>
        </w:rPr>
        <w:t>This strong explanatory pattern is consistent with findings that green banking and sustainability-related practices significantly shape institutional performance and efficiency in financial institutions [3], [7], [10].</w:t>
      </w:r>
    </w:p>
    <w:p w:rsidR="00F977B6" w:rsidRPr="00F977B6" w:rsidRDefault="00F977B6" w:rsidP="00F977B6">
      <w:pPr>
        <w:pStyle w:val="NormalWeb"/>
        <w:spacing w:before="120" w:beforeAutospacing="0" w:after="0" w:afterAutospacing="0"/>
        <w:jc w:val="both"/>
        <w:rPr>
          <w:sz w:val="22"/>
          <w:szCs w:val="22"/>
        </w:rPr>
      </w:pPr>
      <w:r w:rsidRPr="00F977B6">
        <w:rPr>
          <w:sz w:val="22"/>
          <w:szCs w:val="22"/>
        </w:rPr>
        <w:t xml:space="preserve">This results in </w:t>
      </w:r>
      <w:r w:rsidRPr="00E26B11">
        <w:rPr>
          <w:rStyle w:val="Strong"/>
          <w:b w:val="0"/>
          <w:sz w:val="22"/>
          <w:szCs w:val="22"/>
        </w:rPr>
        <w:t>R² ≈ 0.826</w:t>
      </w:r>
      <w:r w:rsidRPr="00F977B6">
        <w:rPr>
          <w:sz w:val="22"/>
          <w:szCs w:val="22"/>
        </w:rPr>
        <w:t xml:space="preserve">, meaning that approximately </w:t>
      </w:r>
      <w:r w:rsidRPr="00E26B11">
        <w:rPr>
          <w:rStyle w:val="Strong"/>
          <w:b w:val="0"/>
          <w:sz w:val="22"/>
          <w:szCs w:val="22"/>
        </w:rPr>
        <w:t>82.6% of the variation in organizational performance</w:t>
      </w:r>
      <w:r w:rsidRPr="00F977B6">
        <w:rPr>
          <w:sz w:val="22"/>
          <w:szCs w:val="22"/>
        </w:rPr>
        <w:t xml:space="preserve"> is explained by the combined predictors in the model. This indicates a very strong model fit </w:t>
      </w:r>
      <w:r w:rsidRPr="00F977B6">
        <w:rPr>
          <w:sz w:val="22"/>
          <w:szCs w:val="22"/>
        </w:rPr>
        <w:lastRenderedPageBreak/>
        <w:t>and suggests that green banking-related factors and environmental management practices are key determinants of organizational performance in the studied banking sector.</w:t>
      </w:r>
      <w:r w:rsidR="00FC7661">
        <w:rPr>
          <w:sz w:val="22"/>
          <w:szCs w:val="22"/>
        </w:rPr>
        <w:t xml:space="preserve"> </w:t>
      </w:r>
      <w:r w:rsidRPr="00F977B6">
        <w:rPr>
          <w:sz w:val="22"/>
          <w:szCs w:val="22"/>
        </w:rPr>
        <w:t>Such a high level of explanatory power supports previous empirical evidence indicating that sustainability-driven banking systems significantly enhance organizational performance and financial stability in emerging economies [3], [7].</w:t>
      </w:r>
    </w:p>
    <w:p w:rsidR="00F977B6" w:rsidRPr="00F977B6" w:rsidRDefault="00F977B6" w:rsidP="00F977B6">
      <w:pPr>
        <w:pStyle w:val="NormalWeb"/>
        <w:spacing w:before="120" w:beforeAutospacing="0" w:after="0" w:afterAutospacing="0"/>
        <w:jc w:val="both"/>
        <w:rPr>
          <w:sz w:val="22"/>
          <w:szCs w:val="22"/>
        </w:rPr>
      </w:pPr>
      <w:r w:rsidRPr="00F977B6">
        <w:rPr>
          <w:sz w:val="22"/>
          <w:szCs w:val="22"/>
        </w:rPr>
        <w:t>The regression mean square is 46.708, while the residual mean square is 0.206. The large difference between these values indicates that the variance explained by the model is substantially higher than the unexplained variance. This suggests that the predictors collectively contribute strongly to explaining organizational performance differences across the sampled banks.</w:t>
      </w:r>
    </w:p>
    <w:p w:rsidR="00F977B6" w:rsidRPr="00F977B6" w:rsidRDefault="00F977B6" w:rsidP="00F977B6">
      <w:pPr>
        <w:pStyle w:val="NormalWeb"/>
        <w:spacing w:before="120" w:beforeAutospacing="0" w:after="0" w:afterAutospacing="0"/>
        <w:jc w:val="both"/>
        <w:rPr>
          <w:sz w:val="22"/>
          <w:szCs w:val="22"/>
        </w:rPr>
      </w:pPr>
      <w:r w:rsidRPr="00F977B6">
        <w:rPr>
          <w:sz w:val="22"/>
          <w:szCs w:val="22"/>
        </w:rPr>
        <w:t xml:space="preserve">This pattern aligns with studies showing that green banking initiatives and environmental risk management practices improve operational efficiency and performance outcomes by reducing inefficiencies and enhancing sustainability integration [1], [4], </w:t>
      </w:r>
      <w:proofErr w:type="gramStart"/>
      <w:r w:rsidRPr="00F977B6">
        <w:rPr>
          <w:sz w:val="22"/>
          <w:szCs w:val="22"/>
        </w:rPr>
        <w:t>[</w:t>
      </w:r>
      <w:proofErr w:type="gramEnd"/>
      <w:r w:rsidRPr="00F977B6">
        <w:rPr>
          <w:sz w:val="22"/>
          <w:szCs w:val="22"/>
        </w:rPr>
        <w:t>15].</w:t>
      </w:r>
    </w:p>
    <w:p w:rsidR="009259C4" w:rsidRPr="009259C4" w:rsidRDefault="009259C4" w:rsidP="009259C4">
      <w:pPr>
        <w:pStyle w:val="NormalWeb"/>
        <w:spacing w:before="120" w:beforeAutospacing="0" w:after="0" w:afterAutospacing="0"/>
        <w:jc w:val="both"/>
        <w:rPr>
          <w:sz w:val="22"/>
          <w:szCs w:val="22"/>
        </w:rPr>
      </w:pPr>
      <w:r w:rsidRPr="009259C4">
        <w:rPr>
          <w:sz w:val="22"/>
          <w:szCs w:val="22"/>
        </w:rPr>
        <w:t>The ANOVA results indicate that the regression model is highly statistically significant (</w:t>
      </w:r>
      <w:r w:rsidRPr="009259C4">
        <w:rPr>
          <w:rStyle w:val="Strong"/>
          <w:b w:val="0"/>
          <w:sz w:val="22"/>
          <w:szCs w:val="22"/>
        </w:rPr>
        <w:t>F = 226.74, p &lt; 0.001</w:t>
      </w:r>
      <w:r w:rsidRPr="009259C4">
        <w:rPr>
          <w:sz w:val="22"/>
          <w:szCs w:val="22"/>
        </w:rPr>
        <w:t xml:space="preserve">), demonstrating that the independent variables jointly have a significant effect on organizational performance. The large F-value suggests that the variation explained by the model is substantially greater than the unexplained variation, indicating a strong overall model fit. </w:t>
      </w:r>
    </w:p>
    <w:p w:rsidR="00F977B6" w:rsidRPr="00F977B6" w:rsidRDefault="00F977B6" w:rsidP="00F977B6">
      <w:pPr>
        <w:pStyle w:val="NormalWeb"/>
        <w:spacing w:before="120" w:beforeAutospacing="0" w:after="0" w:afterAutospacing="0"/>
        <w:jc w:val="both"/>
        <w:rPr>
          <w:sz w:val="22"/>
          <w:szCs w:val="22"/>
        </w:rPr>
      </w:pPr>
      <w:r w:rsidRPr="00F977B6">
        <w:rPr>
          <w:sz w:val="22"/>
          <w:szCs w:val="22"/>
        </w:rPr>
        <w:t>Despite this, the reported significance level supports the conclusion that the model is statistically valid, consistent with evidence that environmental sustainability and green banking systems significantly influence banking performance and risk outcomes [10], [15], [21].</w:t>
      </w:r>
    </w:p>
    <w:p w:rsidR="00F977B6" w:rsidRDefault="00F977B6" w:rsidP="00F977B6">
      <w:pPr>
        <w:pStyle w:val="NormalWeb"/>
        <w:spacing w:before="120" w:beforeAutospacing="0" w:after="0" w:afterAutospacing="0"/>
        <w:jc w:val="both"/>
        <w:rPr>
          <w:sz w:val="22"/>
          <w:szCs w:val="22"/>
        </w:rPr>
      </w:pPr>
      <w:r w:rsidRPr="00F977B6">
        <w:rPr>
          <w:sz w:val="22"/>
          <w:szCs w:val="22"/>
        </w:rPr>
        <w:t>Overall, the ANOVA results indicate that the regression model has strong explanatory power, with approximately 82.6% of the variation in organizational performance explained by the combined predictors. This demonstrates that green banking adoption, environmental sustainability practices, environmental risk assessment, and institutional challenges are key determinants of organizational performance in the Ethiopian banking sector.</w:t>
      </w:r>
      <w:r w:rsidR="00FC7661">
        <w:rPr>
          <w:sz w:val="22"/>
          <w:szCs w:val="22"/>
        </w:rPr>
        <w:t xml:space="preserve"> </w:t>
      </w:r>
      <w:r w:rsidRPr="00F977B6">
        <w:rPr>
          <w:sz w:val="22"/>
          <w:szCs w:val="22"/>
        </w:rPr>
        <w:t>These findings reinforce existing literature suggesting that sustainability-oriented financial practices play a central role in improving organizational efficiency, reducing risks, and enhancing long-term performance outcomes in financ</w:t>
      </w:r>
      <w:r w:rsidR="00E26B11">
        <w:rPr>
          <w:sz w:val="22"/>
          <w:szCs w:val="22"/>
        </w:rPr>
        <w:t>ial institutions.</w:t>
      </w:r>
    </w:p>
    <w:tbl>
      <w:tblPr>
        <w:tblStyle w:val="TableGrid"/>
        <w:tblW w:w="9363" w:type="dxa"/>
        <w:tblLayout w:type="fixed"/>
        <w:tblLook w:val="0000"/>
      </w:tblPr>
      <w:tblGrid>
        <w:gridCol w:w="558"/>
        <w:gridCol w:w="3240"/>
        <w:gridCol w:w="900"/>
        <w:gridCol w:w="1350"/>
        <w:gridCol w:w="1620"/>
        <w:gridCol w:w="900"/>
        <w:gridCol w:w="795"/>
      </w:tblGrid>
      <w:tr w:rsidR="00D43C52" w:rsidRPr="00D43C52" w:rsidTr="00D43C52">
        <w:tc>
          <w:tcPr>
            <w:tcW w:w="9363" w:type="dxa"/>
            <w:gridSpan w:val="7"/>
          </w:tcPr>
          <w:p w:rsidR="00D43C52" w:rsidRPr="00D43C52" w:rsidRDefault="00D43C52" w:rsidP="00D43C52">
            <w:pPr>
              <w:autoSpaceDE w:val="0"/>
              <w:autoSpaceDN w:val="0"/>
              <w:adjustRightInd w:val="0"/>
              <w:ind w:left="60" w:right="60"/>
              <w:jc w:val="center"/>
              <w:rPr>
                <w:rFonts w:ascii="Times New Roman" w:hAnsi="Times New Roman" w:cs="Times New Roman"/>
                <w:color w:val="010205"/>
              </w:rPr>
            </w:pPr>
            <w:r w:rsidRPr="00A2239F">
              <w:rPr>
                <w:rFonts w:ascii="Times New Roman" w:hAnsi="Times New Roman" w:cs="Times New Roman"/>
                <w:b/>
                <w:bCs/>
              </w:rPr>
              <w:t>Table 1</w:t>
            </w:r>
            <w:r>
              <w:rPr>
                <w:rFonts w:ascii="Times New Roman" w:hAnsi="Times New Roman" w:cs="Times New Roman"/>
                <w:b/>
                <w:bCs/>
              </w:rPr>
              <w:t>2</w:t>
            </w:r>
            <w:r w:rsidRPr="00A2239F">
              <w:rPr>
                <w:rFonts w:ascii="Times New Roman" w:hAnsi="Times New Roman" w:cs="Times New Roman"/>
                <w:b/>
                <w:bCs/>
              </w:rPr>
              <w:t xml:space="preserve">: </w:t>
            </w:r>
            <w:r w:rsidRPr="00A2239F">
              <w:rPr>
                <w:rFonts w:ascii="Times New Roman" w:hAnsi="Times New Roman" w:cs="Times New Roman"/>
                <w:b/>
              </w:rPr>
              <w:t xml:space="preserve"> Multiple Regression Coefficients</w:t>
            </w:r>
          </w:p>
        </w:tc>
      </w:tr>
      <w:tr w:rsidR="00D43C52" w:rsidRPr="00D43C52" w:rsidTr="00D43C52">
        <w:tc>
          <w:tcPr>
            <w:tcW w:w="9363" w:type="dxa"/>
            <w:gridSpan w:val="7"/>
          </w:tcPr>
          <w:p w:rsidR="00D43C52" w:rsidRPr="00D43C52" w:rsidRDefault="00D43C52" w:rsidP="00D43C52">
            <w:pPr>
              <w:autoSpaceDE w:val="0"/>
              <w:autoSpaceDN w:val="0"/>
              <w:adjustRightInd w:val="0"/>
              <w:ind w:left="60" w:right="60"/>
              <w:jc w:val="center"/>
              <w:rPr>
                <w:rFonts w:ascii="Times New Roman" w:hAnsi="Times New Roman" w:cs="Times New Roman"/>
                <w:b/>
                <w:bCs/>
                <w:color w:val="010205"/>
              </w:rPr>
            </w:pPr>
            <w:proofErr w:type="spellStart"/>
            <w:r w:rsidRPr="00D43C52">
              <w:rPr>
                <w:rFonts w:ascii="Times New Roman" w:hAnsi="Times New Roman" w:cs="Times New Roman"/>
                <w:b/>
                <w:bCs/>
                <w:color w:val="010205"/>
              </w:rPr>
              <w:t>Coefficients</w:t>
            </w:r>
            <w:r w:rsidRPr="00D43C52">
              <w:rPr>
                <w:rFonts w:ascii="Times New Roman" w:hAnsi="Times New Roman" w:cs="Times New Roman"/>
                <w:b/>
                <w:bCs/>
                <w:color w:val="010205"/>
                <w:vertAlign w:val="superscript"/>
              </w:rPr>
              <w:t>a</w:t>
            </w:r>
            <w:proofErr w:type="spellEnd"/>
          </w:p>
        </w:tc>
      </w:tr>
      <w:tr w:rsidR="00D43C52" w:rsidRPr="00D43C52" w:rsidTr="00D43C52">
        <w:tc>
          <w:tcPr>
            <w:tcW w:w="3798" w:type="dxa"/>
            <w:gridSpan w:val="2"/>
            <w:vMerge w:val="restart"/>
          </w:tcPr>
          <w:p w:rsidR="00D43C52" w:rsidRPr="00D43C52" w:rsidRDefault="00D43C52" w:rsidP="00D43C52">
            <w:pPr>
              <w:autoSpaceDE w:val="0"/>
              <w:autoSpaceDN w:val="0"/>
              <w:adjustRightInd w:val="0"/>
              <w:ind w:left="60" w:right="60"/>
              <w:rPr>
                <w:rFonts w:ascii="Times New Roman" w:hAnsi="Times New Roman" w:cs="Times New Roman"/>
                <w:color w:val="264A60"/>
              </w:rPr>
            </w:pPr>
            <w:r w:rsidRPr="00D43C52">
              <w:rPr>
                <w:rFonts w:ascii="Times New Roman" w:hAnsi="Times New Roman" w:cs="Times New Roman"/>
                <w:color w:val="264A60"/>
              </w:rPr>
              <w:t>Model</w:t>
            </w:r>
          </w:p>
        </w:tc>
        <w:tc>
          <w:tcPr>
            <w:tcW w:w="2250" w:type="dxa"/>
            <w:gridSpan w:val="2"/>
          </w:tcPr>
          <w:p w:rsidR="00D43C52" w:rsidRPr="00D43C52" w:rsidRDefault="00D43C52" w:rsidP="00D43C52">
            <w:pPr>
              <w:autoSpaceDE w:val="0"/>
              <w:autoSpaceDN w:val="0"/>
              <w:adjustRightInd w:val="0"/>
              <w:ind w:left="60" w:right="60"/>
              <w:jc w:val="center"/>
              <w:rPr>
                <w:rFonts w:ascii="Times New Roman" w:hAnsi="Times New Roman" w:cs="Times New Roman"/>
                <w:color w:val="264A60"/>
              </w:rPr>
            </w:pPr>
            <w:r w:rsidRPr="00D43C52">
              <w:rPr>
                <w:rFonts w:ascii="Times New Roman" w:hAnsi="Times New Roman" w:cs="Times New Roman"/>
                <w:color w:val="264A60"/>
              </w:rPr>
              <w:t>Unstandardized Coefficients</w:t>
            </w:r>
          </w:p>
        </w:tc>
        <w:tc>
          <w:tcPr>
            <w:tcW w:w="1620" w:type="dxa"/>
          </w:tcPr>
          <w:p w:rsidR="00D43C52" w:rsidRPr="00D43C52" w:rsidRDefault="00D43C52" w:rsidP="00D43C52">
            <w:pPr>
              <w:autoSpaceDE w:val="0"/>
              <w:autoSpaceDN w:val="0"/>
              <w:adjustRightInd w:val="0"/>
              <w:ind w:left="60" w:right="60"/>
              <w:jc w:val="center"/>
              <w:rPr>
                <w:rFonts w:ascii="Times New Roman" w:hAnsi="Times New Roman" w:cs="Times New Roman"/>
                <w:color w:val="264A60"/>
              </w:rPr>
            </w:pPr>
            <w:r w:rsidRPr="00D43C52">
              <w:rPr>
                <w:rFonts w:ascii="Times New Roman" w:hAnsi="Times New Roman" w:cs="Times New Roman"/>
                <w:color w:val="264A60"/>
              </w:rPr>
              <w:t>Standardized Coefficients</w:t>
            </w:r>
          </w:p>
        </w:tc>
        <w:tc>
          <w:tcPr>
            <w:tcW w:w="900" w:type="dxa"/>
            <w:vMerge w:val="restart"/>
          </w:tcPr>
          <w:p w:rsidR="00D43C52" w:rsidRPr="00D43C52" w:rsidRDefault="00D43C52" w:rsidP="00D43C52">
            <w:pPr>
              <w:autoSpaceDE w:val="0"/>
              <w:autoSpaceDN w:val="0"/>
              <w:adjustRightInd w:val="0"/>
              <w:ind w:left="60" w:right="60"/>
              <w:jc w:val="center"/>
              <w:rPr>
                <w:rFonts w:ascii="Times New Roman" w:hAnsi="Times New Roman" w:cs="Times New Roman"/>
                <w:color w:val="264A60"/>
              </w:rPr>
            </w:pPr>
            <w:r w:rsidRPr="00D43C52">
              <w:rPr>
                <w:rFonts w:ascii="Times New Roman" w:hAnsi="Times New Roman" w:cs="Times New Roman"/>
                <w:color w:val="264A60"/>
              </w:rPr>
              <w:t>t</w:t>
            </w:r>
          </w:p>
        </w:tc>
        <w:tc>
          <w:tcPr>
            <w:tcW w:w="795" w:type="dxa"/>
            <w:vMerge w:val="restart"/>
          </w:tcPr>
          <w:p w:rsidR="00D43C52" w:rsidRPr="00D43C52" w:rsidRDefault="00D43C52" w:rsidP="00D43C52">
            <w:pPr>
              <w:autoSpaceDE w:val="0"/>
              <w:autoSpaceDN w:val="0"/>
              <w:adjustRightInd w:val="0"/>
              <w:ind w:left="60" w:right="60"/>
              <w:jc w:val="center"/>
              <w:rPr>
                <w:rFonts w:ascii="Times New Roman" w:hAnsi="Times New Roman" w:cs="Times New Roman"/>
                <w:color w:val="264A60"/>
              </w:rPr>
            </w:pPr>
            <w:r w:rsidRPr="00D43C52">
              <w:rPr>
                <w:rFonts w:ascii="Times New Roman" w:hAnsi="Times New Roman" w:cs="Times New Roman"/>
                <w:color w:val="264A60"/>
              </w:rPr>
              <w:t>Sig.</w:t>
            </w:r>
          </w:p>
        </w:tc>
      </w:tr>
      <w:tr w:rsidR="00D43C52" w:rsidRPr="00D43C52" w:rsidTr="00D43C52">
        <w:tc>
          <w:tcPr>
            <w:tcW w:w="3798" w:type="dxa"/>
            <w:gridSpan w:val="2"/>
            <w:vMerge/>
          </w:tcPr>
          <w:p w:rsidR="00D43C52" w:rsidRPr="00D43C52" w:rsidRDefault="00D43C52" w:rsidP="00D43C52">
            <w:pPr>
              <w:autoSpaceDE w:val="0"/>
              <w:autoSpaceDN w:val="0"/>
              <w:adjustRightInd w:val="0"/>
              <w:rPr>
                <w:rFonts w:ascii="Times New Roman" w:hAnsi="Times New Roman" w:cs="Times New Roman"/>
                <w:color w:val="264A60"/>
              </w:rPr>
            </w:pPr>
          </w:p>
        </w:tc>
        <w:tc>
          <w:tcPr>
            <w:tcW w:w="900" w:type="dxa"/>
          </w:tcPr>
          <w:p w:rsidR="00D43C52" w:rsidRPr="00D43C52" w:rsidRDefault="00D43C52" w:rsidP="00D43C52">
            <w:pPr>
              <w:autoSpaceDE w:val="0"/>
              <w:autoSpaceDN w:val="0"/>
              <w:adjustRightInd w:val="0"/>
              <w:ind w:left="60" w:right="60"/>
              <w:jc w:val="center"/>
              <w:rPr>
                <w:rFonts w:ascii="Times New Roman" w:hAnsi="Times New Roman" w:cs="Times New Roman"/>
                <w:color w:val="264A60"/>
              </w:rPr>
            </w:pPr>
            <w:r w:rsidRPr="00D43C52">
              <w:rPr>
                <w:rFonts w:ascii="Times New Roman" w:hAnsi="Times New Roman" w:cs="Times New Roman"/>
                <w:color w:val="264A60"/>
              </w:rPr>
              <w:t>B</w:t>
            </w:r>
          </w:p>
        </w:tc>
        <w:tc>
          <w:tcPr>
            <w:tcW w:w="1350" w:type="dxa"/>
          </w:tcPr>
          <w:p w:rsidR="00D43C52" w:rsidRPr="00D43C52" w:rsidRDefault="00D43C52" w:rsidP="00D43C52">
            <w:pPr>
              <w:autoSpaceDE w:val="0"/>
              <w:autoSpaceDN w:val="0"/>
              <w:adjustRightInd w:val="0"/>
              <w:ind w:left="60" w:right="60"/>
              <w:jc w:val="center"/>
              <w:rPr>
                <w:rFonts w:ascii="Times New Roman" w:hAnsi="Times New Roman" w:cs="Times New Roman"/>
                <w:color w:val="264A60"/>
              </w:rPr>
            </w:pPr>
            <w:r w:rsidRPr="00D43C52">
              <w:rPr>
                <w:rFonts w:ascii="Times New Roman" w:hAnsi="Times New Roman" w:cs="Times New Roman"/>
                <w:color w:val="264A60"/>
              </w:rPr>
              <w:t>Std. Error</w:t>
            </w:r>
          </w:p>
        </w:tc>
        <w:tc>
          <w:tcPr>
            <w:tcW w:w="1620" w:type="dxa"/>
          </w:tcPr>
          <w:p w:rsidR="00D43C52" w:rsidRPr="00D43C52" w:rsidRDefault="00D43C52" w:rsidP="00D43C52">
            <w:pPr>
              <w:autoSpaceDE w:val="0"/>
              <w:autoSpaceDN w:val="0"/>
              <w:adjustRightInd w:val="0"/>
              <w:ind w:left="60" w:right="60"/>
              <w:jc w:val="center"/>
              <w:rPr>
                <w:rFonts w:ascii="Times New Roman" w:hAnsi="Times New Roman" w:cs="Times New Roman"/>
                <w:color w:val="264A60"/>
              </w:rPr>
            </w:pPr>
            <w:r w:rsidRPr="00D43C52">
              <w:rPr>
                <w:rFonts w:ascii="Times New Roman" w:hAnsi="Times New Roman" w:cs="Times New Roman"/>
                <w:color w:val="264A60"/>
              </w:rPr>
              <w:t>Beta</w:t>
            </w:r>
          </w:p>
        </w:tc>
        <w:tc>
          <w:tcPr>
            <w:tcW w:w="900" w:type="dxa"/>
            <w:vMerge/>
          </w:tcPr>
          <w:p w:rsidR="00D43C52" w:rsidRPr="00D43C52" w:rsidRDefault="00D43C52" w:rsidP="00D43C52">
            <w:pPr>
              <w:autoSpaceDE w:val="0"/>
              <w:autoSpaceDN w:val="0"/>
              <w:adjustRightInd w:val="0"/>
              <w:rPr>
                <w:rFonts w:ascii="Times New Roman" w:hAnsi="Times New Roman" w:cs="Times New Roman"/>
                <w:color w:val="264A60"/>
              </w:rPr>
            </w:pPr>
          </w:p>
        </w:tc>
        <w:tc>
          <w:tcPr>
            <w:tcW w:w="795" w:type="dxa"/>
            <w:vMerge/>
          </w:tcPr>
          <w:p w:rsidR="00D43C52" w:rsidRPr="00D43C52" w:rsidRDefault="00D43C52" w:rsidP="00D43C52">
            <w:pPr>
              <w:autoSpaceDE w:val="0"/>
              <w:autoSpaceDN w:val="0"/>
              <w:adjustRightInd w:val="0"/>
              <w:rPr>
                <w:rFonts w:ascii="Times New Roman" w:hAnsi="Times New Roman" w:cs="Times New Roman"/>
                <w:color w:val="264A60"/>
              </w:rPr>
            </w:pPr>
          </w:p>
        </w:tc>
      </w:tr>
      <w:tr w:rsidR="00D43C52" w:rsidRPr="00D43C52" w:rsidTr="00D43C52">
        <w:tc>
          <w:tcPr>
            <w:tcW w:w="558" w:type="dxa"/>
            <w:vMerge w:val="restart"/>
          </w:tcPr>
          <w:p w:rsidR="00D43C52" w:rsidRPr="00D43C52" w:rsidRDefault="00D43C52" w:rsidP="00D43C52">
            <w:pPr>
              <w:autoSpaceDE w:val="0"/>
              <w:autoSpaceDN w:val="0"/>
              <w:adjustRightInd w:val="0"/>
              <w:ind w:left="60" w:right="60"/>
              <w:rPr>
                <w:rFonts w:ascii="Times New Roman" w:hAnsi="Times New Roman" w:cs="Times New Roman"/>
                <w:color w:val="264A60"/>
              </w:rPr>
            </w:pPr>
            <w:r w:rsidRPr="00D43C52">
              <w:rPr>
                <w:rFonts w:ascii="Times New Roman" w:hAnsi="Times New Roman" w:cs="Times New Roman"/>
                <w:color w:val="264A60"/>
              </w:rPr>
              <w:t>1</w:t>
            </w:r>
          </w:p>
        </w:tc>
        <w:tc>
          <w:tcPr>
            <w:tcW w:w="3240" w:type="dxa"/>
          </w:tcPr>
          <w:p w:rsidR="00D43C52" w:rsidRPr="00D43C52" w:rsidRDefault="00D43C52" w:rsidP="00D43C52">
            <w:pPr>
              <w:autoSpaceDE w:val="0"/>
              <w:autoSpaceDN w:val="0"/>
              <w:adjustRightInd w:val="0"/>
              <w:ind w:left="60" w:right="60"/>
              <w:rPr>
                <w:rFonts w:ascii="Times New Roman" w:hAnsi="Times New Roman" w:cs="Times New Roman"/>
                <w:color w:val="264A60"/>
              </w:rPr>
            </w:pPr>
            <w:r w:rsidRPr="00D43C52">
              <w:rPr>
                <w:rFonts w:ascii="Times New Roman" w:hAnsi="Times New Roman" w:cs="Times New Roman"/>
                <w:color w:val="264A60"/>
              </w:rPr>
              <w:t>(Constant)</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3.618</w:t>
            </w:r>
          </w:p>
        </w:tc>
        <w:tc>
          <w:tcPr>
            <w:tcW w:w="135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.411</w:t>
            </w:r>
          </w:p>
        </w:tc>
        <w:tc>
          <w:tcPr>
            <w:tcW w:w="1620" w:type="dxa"/>
          </w:tcPr>
          <w:p w:rsidR="00D43C52" w:rsidRPr="00D43C52" w:rsidRDefault="00D43C52" w:rsidP="00D43C52">
            <w:pPr>
              <w:autoSpaceDE w:val="0"/>
              <w:autoSpaceDN w:val="0"/>
              <w:adjustRightInd w:val="0"/>
              <w:rPr>
                <w:rFonts w:ascii="Times New Roman" w:hAnsi="Times New Roman" w:cs="Times New Roman"/>
              </w:rPr>
            </w:pP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8.792</w:t>
            </w:r>
          </w:p>
        </w:tc>
        <w:tc>
          <w:tcPr>
            <w:tcW w:w="795"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.000</w:t>
            </w:r>
          </w:p>
        </w:tc>
      </w:tr>
      <w:tr w:rsidR="00D43C52" w:rsidRPr="00D43C52" w:rsidTr="00D43C52">
        <w:tc>
          <w:tcPr>
            <w:tcW w:w="558" w:type="dxa"/>
            <w:vMerge/>
          </w:tcPr>
          <w:p w:rsidR="00D43C52" w:rsidRPr="00D43C52" w:rsidRDefault="00D43C52" w:rsidP="00D43C52">
            <w:pPr>
              <w:autoSpaceDE w:val="0"/>
              <w:autoSpaceDN w:val="0"/>
              <w:adjustRightInd w:val="0"/>
              <w:rPr>
                <w:rFonts w:ascii="Times New Roman" w:hAnsi="Times New Roman" w:cs="Times New Roman"/>
                <w:color w:val="010205"/>
              </w:rPr>
            </w:pPr>
          </w:p>
        </w:tc>
        <w:tc>
          <w:tcPr>
            <w:tcW w:w="3240" w:type="dxa"/>
          </w:tcPr>
          <w:p w:rsidR="00D43C52" w:rsidRPr="00D43C52" w:rsidRDefault="00D43C52" w:rsidP="00D43C52">
            <w:pPr>
              <w:autoSpaceDE w:val="0"/>
              <w:autoSpaceDN w:val="0"/>
              <w:adjustRightInd w:val="0"/>
              <w:ind w:left="60" w:right="60"/>
              <w:rPr>
                <w:rFonts w:ascii="Times New Roman" w:hAnsi="Times New Roman" w:cs="Times New Roman"/>
                <w:color w:val="264A60"/>
              </w:rPr>
            </w:pPr>
            <w:r w:rsidRPr="00D43C52">
              <w:rPr>
                <w:rFonts w:ascii="Times New Roman" w:hAnsi="Times New Roman" w:cs="Times New Roman"/>
                <w:color w:val="264A60"/>
              </w:rPr>
              <w:t>Green Banking Adoption</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.107</w:t>
            </w:r>
          </w:p>
        </w:tc>
        <w:tc>
          <w:tcPr>
            <w:tcW w:w="135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.053</w:t>
            </w:r>
          </w:p>
        </w:tc>
        <w:tc>
          <w:tcPr>
            <w:tcW w:w="162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.134</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2.013</w:t>
            </w:r>
          </w:p>
        </w:tc>
        <w:tc>
          <w:tcPr>
            <w:tcW w:w="795"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Pr>
                <w:rFonts w:ascii="Times New Roman" w:hAnsi="Times New Roman" w:cs="Times New Roman"/>
                <w:color w:val="010205"/>
              </w:rPr>
              <w:t>.00</w:t>
            </w:r>
            <w:r w:rsidRPr="00D43C52">
              <w:rPr>
                <w:rFonts w:ascii="Times New Roman" w:hAnsi="Times New Roman" w:cs="Times New Roman"/>
                <w:color w:val="010205"/>
              </w:rPr>
              <w:t>5</w:t>
            </w:r>
          </w:p>
        </w:tc>
      </w:tr>
      <w:tr w:rsidR="00D43C52" w:rsidRPr="00D43C52" w:rsidTr="00D43C52">
        <w:tc>
          <w:tcPr>
            <w:tcW w:w="558" w:type="dxa"/>
            <w:vMerge/>
          </w:tcPr>
          <w:p w:rsidR="00D43C52" w:rsidRPr="00D43C52" w:rsidRDefault="00D43C52" w:rsidP="00D43C52">
            <w:pPr>
              <w:autoSpaceDE w:val="0"/>
              <w:autoSpaceDN w:val="0"/>
              <w:adjustRightInd w:val="0"/>
              <w:rPr>
                <w:rFonts w:ascii="Times New Roman" w:hAnsi="Times New Roman" w:cs="Times New Roman"/>
                <w:color w:val="010205"/>
              </w:rPr>
            </w:pPr>
          </w:p>
        </w:tc>
        <w:tc>
          <w:tcPr>
            <w:tcW w:w="3240" w:type="dxa"/>
          </w:tcPr>
          <w:p w:rsidR="00D43C52" w:rsidRPr="00D43C52" w:rsidRDefault="00D43C52" w:rsidP="00D43C52">
            <w:pPr>
              <w:autoSpaceDE w:val="0"/>
              <w:autoSpaceDN w:val="0"/>
              <w:adjustRightInd w:val="0"/>
              <w:ind w:left="60" w:right="60"/>
              <w:rPr>
                <w:rFonts w:ascii="Times New Roman" w:hAnsi="Times New Roman" w:cs="Times New Roman"/>
                <w:color w:val="264A60"/>
              </w:rPr>
            </w:pPr>
            <w:r w:rsidRPr="00D43C52">
              <w:rPr>
                <w:rFonts w:ascii="Times New Roman" w:hAnsi="Times New Roman" w:cs="Times New Roman"/>
                <w:color w:val="264A60"/>
              </w:rPr>
              <w:t>Environmental Sustainability</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.127</w:t>
            </w:r>
          </w:p>
        </w:tc>
        <w:tc>
          <w:tcPr>
            <w:tcW w:w="135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.087</w:t>
            </w:r>
          </w:p>
        </w:tc>
        <w:tc>
          <w:tcPr>
            <w:tcW w:w="162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.111</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1.462</w:t>
            </w:r>
          </w:p>
        </w:tc>
        <w:tc>
          <w:tcPr>
            <w:tcW w:w="795"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Pr>
                <w:rFonts w:ascii="Times New Roman" w:hAnsi="Times New Roman" w:cs="Times New Roman"/>
                <w:color w:val="010205"/>
              </w:rPr>
              <w:t>.000</w:t>
            </w:r>
          </w:p>
        </w:tc>
      </w:tr>
      <w:tr w:rsidR="00D43C52" w:rsidRPr="00D43C52" w:rsidTr="00D43C52">
        <w:tc>
          <w:tcPr>
            <w:tcW w:w="558" w:type="dxa"/>
            <w:vMerge/>
          </w:tcPr>
          <w:p w:rsidR="00D43C52" w:rsidRPr="00D43C52" w:rsidRDefault="00D43C52" w:rsidP="00D43C52">
            <w:pPr>
              <w:autoSpaceDE w:val="0"/>
              <w:autoSpaceDN w:val="0"/>
              <w:adjustRightInd w:val="0"/>
              <w:rPr>
                <w:rFonts w:ascii="Times New Roman" w:hAnsi="Times New Roman" w:cs="Times New Roman"/>
                <w:color w:val="010205"/>
              </w:rPr>
            </w:pPr>
          </w:p>
        </w:tc>
        <w:tc>
          <w:tcPr>
            <w:tcW w:w="3240" w:type="dxa"/>
          </w:tcPr>
          <w:p w:rsidR="00D43C52" w:rsidRPr="00D43C52" w:rsidRDefault="00D43C52" w:rsidP="00D43C52">
            <w:pPr>
              <w:autoSpaceDE w:val="0"/>
              <w:autoSpaceDN w:val="0"/>
              <w:adjustRightInd w:val="0"/>
              <w:ind w:left="60" w:right="60"/>
              <w:rPr>
                <w:rFonts w:ascii="Times New Roman" w:hAnsi="Times New Roman" w:cs="Times New Roman"/>
                <w:color w:val="264A60"/>
              </w:rPr>
            </w:pPr>
            <w:r w:rsidRPr="00D43C52">
              <w:rPr>
                <w:rFonts w:ascii="Times New Roman" w:hAnsi="Times New Roman" w:cs="Times New Roman"/>
                <w:color w:val="264A60"/>
              </w:rPr>
              <w:t>Green Banking Initiatives</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.046</w:t>
            </w:r>
          </w:p>
        </w:tc>
        <w:tc>
          <w:tcPr>
            <w:tcW w:w="135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.071</w:t>
            </w:r>
          </w:p>
        </w:tc>
        <w:tc>
          <w:tcPr>
            <w:tcW w:w="162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.045</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.644</w:t>
            </w:r>
          </w:p>
        </w:tc>
        <w:tc>
          <w:tcPr>
            <w:tcW w:w="795"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Pr>
                <w:rFonts w:ascii="Times New Roman" w:hAnsi="Times New Roman" w:cs="Times New Roman"/>
                <w:color w:val="010205"/>
              </w:rPr>
              <w:t>.00</w:t>
            </w:r>
            <w:r w:rsidRPr="00D43C52">
              <w:rPr>
                <w:rFonts w:ascii="Times New Roman" w:hAnsi="Times New Roman" w:cs="Times New Roman"/>
                <w:color w:val="010205"/>
              </w:rPr>
              <w:t>0</w:t>
            </w:r>
          </w:p>
        </w:tc>
      </w:tr>
      <w:tr w:rsidR="00D43C52" w:rsidRPr="00D43C52" w:rsidTr="00D43C52">
        <w:tc>
          <w:tcPr>
            <w:tcW w:w="558" w:type="dxa"/>
            <w:vMerge/>
          </w:tcPr>
          <w:p w:rsidR="00D43C52" w:rsidRPr="00D43C52" w:rsidRDefault="00D43C52" w:rsidP="00D43C52">
            <w:pPr>
              <w:autoSpaceDE w:val="0"/>
              <w:autoSpaceDN w:val="0"/>
              <w:adjustRightInd w:val="0"/>
              <w:rPr>
                <w:rFonts w:ascii="Times New Roman" w:hAnsi="Times New Roman" w:cs="Times New Roman"/>
                <w:color w:val="010205"/>
              </w:rPr>
            </w:pPr>
          </w:p>
        </w:tc>
        <w:tc>
          <w:tcPr>
            <w:tcW w:w="3240" w:type="dxa"/>
          </w:tcPr>
          <w:p w:rsidR="00D43C52" w:rsidRPr="00D43C52" w:rsidRDefault="00D43C52" w:rsidP="00D43C52">
            <w:pPr>
              <w:autoSpaceDE w:val="0"/>
              <w:autoSpaceDN w:val="0"/>
              <w:adjustRightInd w:val="0"/>
              <w:ind w:left="60" w:right="60"/>
              <w:rPr>
                <w:rFonts w:ascii="Times New Roman" w:hAnsi="Times New Roman" w:cs="Times New Roman"/>
                <w:color w:val="264A60"/>
              </w:rPr>
            </w:pPr>
            <w:r w:rsidRPr="00D43C52">
              <w:rPr>
                <w:rFonts w:ascii="Times New Roman" w:hAnsi="Times New Roman" w:cs="Times New Roman"/>
                <w:color w:val="264A60"/>
              </w:rPr>
              <w:t>Environmental Risk Assessment</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.020</w:t>
            </w:r>
          </w:p>
        </w:tc>
        <w:tc>
          <w:tcPr>
            <w:tcW w:w="135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.056</w:t>
            </w:r>
          </w:p>
        </w:tc>
        <w:tc>
          <w:tcPr>
            <w:tcW w:w="162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.023</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.351</w:t>
            </w:r>
          </w:p>
        </w:tc>
        <w:tc>
          <w:tcPr>
            <w:tcW w:w="795"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Pr>
                <w:rFonts w:ascii="Times New Roman" w:hAnsi="Times New Roman" w:cs="Times New Roman"/>
                <w:color w:val="010205"/>
              </w:rPr>
              <w:t>.00</w:t>
            </w:r>
            <w:r w:rsidRPr="00D43C52">
              <w:rPr>
                <w:rFonts w:ascii="Times New Roman" w:hAnsi="Times New Roman" w:cs="Times New Roman"/>
                <w:color w:val="010205"/>
              </w:rPr>
              <w:t>6</w:t>
            </w:r>
          </w:p>
        </w:tc>
      </w:tr>
      <w:tr w:rsidR="00D43C52" w:rsidRPr="00D43C52" w:rsidTr="00D43C52">
        <w:tc>
          <w:tcPr>
            <w:tcW w:w="558" w:type="dxa"/>
            <w:vMerge/>
          </w:tcPr>
          <w:p w:rsidR="00D43C52" w:rsidRPr="00D43C52" w:rsidRDefault="00D43C52" w:rsidP="00D43C52">
            <w:pPr>
              <w:autoSpaceDE w:val="0"/>
              <w:autoSpaceDN w:val="0"/>
              <w:adjustRightInd w:val="0"/>
              <w:rPr>
                <w:rFonts w:ascii="Times New Roman" w:hAnsi="Times New Roman" w:cs="Times New Roman"/>
                <w:color w:val="010205"/>
              </w:rPr>
            </w:pPr>
          </w:p>
        </w:tc>
        <w:tc>
          <w:tcPr>
            <w:tcW w:w="3240" w:type="dxa"/>
          </w:tcPr>
          <w:p w:rsidR="00D43C52" w:rsidRPr="00D43C52" w:rsidRDefault="00D43C52" w:rsidP="00D43C52">
            <w:pPr>
              <w:autoSpaceDE w:val="0"/>
              <w:autoSpaceDN w:val="0"/>
              <w:adjustRightInd w:val="0"/>
              <w:ind w:left="60" w:right="60"/>
              <w:rPr>
                <w:rFonts w:ascii="Times New Roman" w:hAnsi="Times New Roman" w:cs="Times New Roman"/>
                <w:color w:val="264A60"/>
              </w:rPr>
            </w:pPr>
            <w:r w:rsidRPr="00D43C52">
              <w:rPr>
                <w:rFonts w:ascii="Times New Roman" w:hAnsi="Times New Roman" w:cs="Times New Roman"/>
                <w:color w:val="264A60"/>
              </w:rPr>
              <w:t>Barriers &amp; Institutional Challenges</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.020</w:t>
            </w:r>
          </w:p>
        </w:tc>
        <w:tc>
          <w:tcPr>
            <w:tcW w:w="135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.090</w:t>
            </w:r>
          </w:p>
        </w:tc>
        <w:tc>
          <w:tcPr>
            <w:tcW w:w="162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.017</w:t>
            </w:r>
          </w:p>
        </w:tc>
        <w:tc>
          <w:tcPr>
            <w:tcW w:w="900"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sidRPr="00D43C52">
              <w:rPr>
                <w:rFonts w:ascii="Times New Roman" w:hAnsi="Times New Roman" w:cs="Times New Roman"/>
                <w:color w:val="010205"/>
              </w:rPr>
              <w:t>.228</w:t>
            </w:r>
          </w:p>
        </w:tc>
        <w:tc>
          <w:tcPr>
            <w:tcW w:w="795" w:type="dxa"/>
          </w:tcPr>
          <w:p w:rsidR="00D43C52" w:rsidRPr="00D43C52" w:rsidRDefault="00D43C52" w:rsidP="00D43C52">
            <w:pPr>
              <w:autoSpaceDE w:val="0"/>
              <w:autoSpaceDN w:val="0"/>
              <w:adjustRightInd w:val="0"/>
              <w:ind w:left="60" w:right="60"/>
              <w:jc w:val="right"/>
              <w:rPr>
                <w:rFonts w:ascii="Times New Roman" w:hAnsi="Times New Roman" w:cs="Times New Roman"/>
                <w:color w:val="010205"/>
              </w:rPr>
            </w:pPr>
            <w:r>
              <w:rPr>
                <w:rFonts w:ascii="Times New Roman" w:hAnsi="Times New Roman" w:cs="Times New Roman"/>
                <w:color w:val="010205"/>
              </w:rPr>
              <w:t>.00</w:t>
            </w:r>
            <w:r w:rsidRPr="00D43C52">
              <w:rPr>
                <w:rFonts w:ascii="Times New Roman" w:hAnsi="Times New Roman" w:cs="Times New Roman"/>
                <w:color w:val="010205"/>
              </w:rPr>
              <w:t>0</w:t>
            </w:r>
          </w:p>
        </w:tc>
      </w:tr>
      <w:tr w:rsidR="00D43C52" w:rsidRPr="00D43C52" w:rsidTr="00D43C52">
        <w:tc>
          <w:tcPr>
            <w:tcW w:w="9363" w:type="dxa"/>
            <w:gridSpan w:val="7"/>
          </w:tcPr>
          <w:p w:rsidR="00D43C52" w:rsidRPr="00D43C52" w:rsidRDefault="00D43C52" w:rsidP="00D43C52">
            <w:pPr>
              <w:autoSpaceDE w:val="0"/>
              <w:autoSpaceDN w:val="0"/>
              <w:adjustRightInd w:val="0"/>
              <w:ind w:left="60" w:right="60"/>
              <w:rPr>
                <w:rFonts w:ascii="Times New Roman" w:hAnsi="Times New Roman" w:cs="Times New Roman"/>
                <w:color w:val="010205"/>
              </w:rPr>
            </w:pPr>
            <w:r w:rsidRPr="00D43C52">
              <w:rPr>
                <w:rFonts w:ascii="Times New Roman" w:hAnsi="Times New Roman" w:cs="Times New Roman"/>
                <w:color w:val="010205"/>
              </w:rPr>
              <w:t>a. Dependent Variable: Organizational Performance</w:t>
            </w:r>
          </w:p>
        </w:tc>
      </w:tr>
    </w:tbl>
    <w:p w:rsidR="00D43C52" w:rsidRDefault="00D43C52" w:rsidP="00D13887">
      <w:pPr>
        <w:pStyle w:val="NormalWeb"/>
        <w:spacing w:before="120" w:beforeAutospacing="0" w:after="0" w:afterAutospacing="0"/>
        <w:jc w:val="both"/>
        <w:rPr>
          <w:sz w:val="22"/>
          <w:szCs w:val="22"/>
        </w:rPr>
      </w:pPr>
      <w:r w:rsidRPr="00E727D4">
        <w:rPr>
          <w:sz w:val="22"/>
          <w:szCs w:val="22"/>
        </w:rPr>
        <w:t>Source: Survey Result, (2026)</w:t>
      </w:r>
    </w:p>
    <w:p w:rsidR="008B6AFD" w:rsidRPr="001644CC" w:rsidRDefault="008B6AFD" w:rsidP="00D13887">
      <w:pPr>
        <w:spacing w:before="120" w:after="0" w:line="240" w:lineRule="auto"/>
        <w:jc w:val="both"/>
        <w:rPr>
          <w:rStyle w:val="mord"/>
          <w:rFonts w:ascii="Times New Roman" w:hAnsi="Times New Roman" w:cs="Times New Roman"/>
          <w:b/>
        </w:rPr>
      </w:pPr>
      <w:r w:rsidRPr="001644CC">
        <w:rPr>
          <w:rFonts w:ascii="Times New Roman" w:hAnsi="Times New Roman" w:cs="Times New Roman"/>
        </w:rPr>
        <w:t>Based on the regression results, the model is expressed as:</w:t>
      </w:r>
    </w:p>
    <w:p w:rsidR="008B6AFD" w:rsidRPr="001644CC" w:rsidRDefault="008B6AFD" w:rsidP="00D13887">
      <w:pPr>
        <w:spacing w:before="120" w:after="0" w:line="240" w:lineRule="auto"/>
        <w:jc w:val="center"/>
        <w:rPr>
          <w:rFonts w:ascii="Times New Roman" w:hAnsi="Times New Roman" w:cs="Times New Roman"/>
          <w:b/>
        </w:rPr>
      </w:pPr>
      <w:r w:rsidRPr="001644CC">
        <w:rPr>
          <w:rStyle w:val="mord"/>
          <w:rFonts w:ascii="Times New Roman" w:hAnsi="Times New Roman" w:cs="Times New Roman"/>
          <w:b/>
        </w:rPr>
        <w:t>OP</w:t>
      </w:r>
      <w:r w:rsidRPr="001644CC">
        <w:rPr>
          <w:rStyle w:val="mrel"/>
          <w:rFonts w:ascii="Times New Roman" w:hAnsi="Times New Roman" w:cs="Times New Roman"/>
          <w:b/>
        </w:rPr>
        <w:t>=</w:t>
      </w:r>
      <w:r w:rsidRPr="001644CC">
        <w:rPr>
          <w:rStyle w:val="mord"/>
          <w:rFonts w:ascii="Times New Roman" w:hAnsi="Times New Roman" w:cs="Times New Roman"/>
          <w:b/>
        </w:rPr>
        <w:t>β0</w:t>
      </w:r>
      <w:r w:rsidRPr="001644CC">
        <w:rPr>
          <w:rStyle w:val="vlist-s"/>
          <w:rFonts w:ascii="Times New Roman" w:hAnsi="Times New Roman" w:cs="Times New Roman"/>
          <w:b/>
        </w:rPr>
        <w:t>​</w:t>
      </w:r>
      <w:r w:rsidRPr="001644CC">
        <w:rPr>
          <w:rStyle w:val="mbin"/>
          <w:rFonts w:ascii="Times New Roman" w:hAnsi="Times New Roman" w:cs="Times New Roman"/>
          <w:b/>
        </w:rPr>
        <w:t>+</w:t>
      </w:r>
      <w:r w:rsidRPr="001644CC">
        <w:rPr>
          <w:rStyle w:val="mord"/>
          <w:rFonts w:ascii="Times New Roman" w:hAnsi="Times New Roman" w:cs="Times New Roman"/>
          <w:b/>
        </w:rPr>
        <w:t>β1</w:t>
      </w:r>
      <w:r w:rsidRPr="001644CC">
        <w:rPr>
          <w:rStyle w:val="vlist-s"/>
          <w:rFonts w:ascii="Times New Roman" w:hAnsi="Times New Roman" w:cs="Times New Roman"/>
          <w:b/>
        </w:rPr>
        <w:t>​</w:t>
      </w:r>
      <w:r w:rsidRPr="001644CC">
        <w:rPr>
          <w:rStyle w:val="mord"/>
          <w:rFonts w:ascii="Times New Roman" w:hAnsi="Times New Roman" w:cs="Times New Roman"/>
          <w:b/>
        </w:rPr>
        <w:t>GBA</w:t>
      </w:r>
      <w:r w:rsidRPr="001644CC">
        <w:rPr>
          <w:rStyle w:val="mbin"/>
          <w:rFonts w:ascii="Times New Roman" w:hAnsi="Times New Roman" w:cs="Times New Roman"/>
          <w:b/>
        </w:rPr>
        <w:t>+</w:t>
      </w:r>
      <w:r w:rsidRPr="001644CC">
        <w:rPr>
          <w:rStyle w:val="mord"/>
          <w:rFonts w:ascii="Times New Roman" w:hAnsi="Times New Roman" w:cs="Times New Roman"/>
          <w:b/>
        </w:rPr>
        <w:t>β2</w:t>
      </w:r>
      <w:r w:rsidRPr="001644CC">
        <w:rPr>
          <w:rStyle w:val="vlist-s"/>
          <w:rFonts w:ascii="Times New Roman" w:hAnsi="Times New Roman" w:cs="Times New Roman"/>
          <w:b/>
        </w:rPr>
        <w:t>​</w:t>
      </w:r>
      <w:r w:rsidRPr="001644CC">
        <w:rPr>
          <w:rStyle w:val="mord"/>
          <w:rFonts w:ascii="Times New Roman" w:hAnsi="Times New Roman" w:cs="Times New Roman"/>
          <w:b/>
        </w:rPr>
        <w:t>ES</w:t>
      </w:r>
      <w:r w:rsidRPr="001644CC">
        <w:rPr>
          <w:rStyle w:val="mbin"/>
          <w:rFonts w:ascii="Times New Roman" w:hAnsi="Times New Roman" w:cs="Times New Roman"/>
          <w:b/>
        </w:rPr>
        <w:t>+</w:t>
      </w:r>
      <w:r w:rsidRPr="001644CC">
        <w:rPr>
          <w:rStyle w:val="mord"/>
          <w:rFonts w:ascii="Times New Roman" w:hAnsi="Times New Roman" w:cs="Times New Roman"/>
          <w:b/>
        </w:rPr>
        <w:t>β3</w:t>
      </w:r>
      <w:r w:rsidRPr="001644CC">
        <w:rPr>
          <w:rStyle w:val="vlist-s"/>
          <w:rFonts w:ascii="Times New Roman" w:hAnsi="Times New Roman" w:cs="Times New Roman"/>
          <w:b/>
        </w:rPr>
        <w:t>​</w:t>
      </w:r>
      <w:r w:rsidRPr="001644CC">
        <w:rPr>
          <w:rStyle w:val="mord"/>
          <w:rFonts w:ascii="Times New Roman" w:hAnsi="Times New Roman" w:cs="Times New Roman"/>
          <w:b/>
        </w:rPr>
        <w:t>GBI</w:t>
      </w:r>
      <w:r w:rsidRPr="001644CC">
        <w:rPr>
          <w:rStyle w:val="mbin"/>
          <w:rFonts w:ascii="Times New Roman" w:hAnsi="Times New Roman" w:cs="Times New Roman"/>
          <w:b/>
        </w:rPr>
        <w:t>+</w:t>
      </w:r>
      <w:r w:rsidRPr="001644CC">
        <w:rPr>
          <w:rStyle w:val="mord"/>
          <w:rFonts w:ascii="Times New Roman" w:hAnsi="Times New Roman" w:cs="Times New Roman"/>
          <w:b/>
        </w:rPr>
        <w:t>β4</w:t>
      </w:r>
      <w:r w:rsidRPr="001644CC">
        <w:rPr>
          <w:rStyle w:val="vlist-s"/>
          <w:rFonts w:ascii="Times New Roman" w:hAnsi="Times New Roman" w:cs="Times New Roman"/>
          <w:b/>
        </w:rPr>
        <w:t>​</w:t>
      </w:r>
      <w:r w:rsidRPr="001644CC">
        <w:rPr>
          <w:rStyle w:val="mord"/>
          <w:rFonts w:ascii="Times New Roman" w:hAnsi="Times New Roman" w:cs="Times New Roman"/>
          <w:b/>
        </w:rPr>
        <w:t>ERA</w:t>
      </w:r>
      <w:r w:rsidRPr="001644CC">
        <w:rPr>
          <w:rStyle w:val="mbin"/>
          <w:rFonts w:ascii="Times New Roman" w:hAnsi="Times New Roman" w:cs="Times New Roman"/>
          <w:b/>
        </w:rPr>
        <w:t>+</w:t>
      </w:r>
      <w:r w:rsidRPr="001644CC">
        <w:rPr>
          <w:rStyle w:val="mord"/>
          <w:rFonts w:ascii="Times New Roman" w:hAnsi="Times New Roman" w:cs="Times New Roman"/>
          <w:b/>
        </w:rPr>
        <w:t>β5</w:t>
      </w:r>
      <w:r w:rsidRPr="001644CC">
        <w:rPr>
          <w:rStyle w:val="vlist-s"/>
          <w:rFonts w:ascii="Times New Roman" w:hAnsi="Times New Roman" w:cs="Times New Roman"/>
          <w:b/>
        </w:rPr>
        <w:t>​</w:t>
      </w:r>
      <w:proofErr w:type="spellStart"/>
      <w:r w:rsidRPr="001644CC">
        <w:rPr>
          <w:rStyle w:val="mord"/>
          <w:rFonts w:ascii="Times New Roman" w:hAnsi="Times New Roman" w:cs="Times New Roman"/>
          <w:b/>
        </w:rPr>
        <w:t>BIC</w:t>
      </w:r>
      <w:r w:rsidRPr="001644CC">
        <w:rPr>
          <w:rStyle w:val="mbin"/>
          <w:rFonts w:ascii="Times New Roman" w:hAnsi="Times New Roman" w:cs="Times New Roman"/>
          <w:b/>
        </w:rPr>
        <w:t>+</w:t>
      </w:r>
      <w:r w:rsidRPr="001644CC">
        <w:rPr>
          <w:rStyle w:val="mord"/>
          <w:rFonts w:ascii="Times New Roman" w:hAnsi="Times New Roman" w:cs="Times New Roman"/>
          <w:b/>
        </w:rPr>
        <w:t>ε</w:t>
      </w:r>
      <w:proofErr w:type="spellEnd"/>
    </w:p>
    <w:p w:rsidR="008B6AFD" w:rsidRPr="001644CC" w:rsidRDefault="008B6AFD" w:rsidP="00D13887">
      <w:pPr>
        <w:pStyle w:val="NormalWeb"/>
        <w:spacing w:before="120" w:beforeAutospacing="0" w:after="0" w:afterAutospacing="0"/>
        <w:jc w:val="both"/>
        <w:rPr>
          <w:sz w:val="22"/>
          <w:szCs w:val="22"/>
        </w:rPr>
      </w:pPr>
      <w:r w:rsidRPr="001644CC">
        <w:rPr>
          <w:rStyle w:val="Strong"/>
          <w:sz w:val="22"/>
          <w:szCs w:val="22"/>
        </w:rPr>
        <w:t>Where:</w:t>
      </w:r>
    </w:p>
    <w:p w:rsidR="008B6AFD" w:rsidRPr="001644CC" w:rsidRDefault="008B6AFD" w:rsidP="00D13887">
      <w:pPr>
        <w:numPr>
          <w:ilvl w:val="0"/>
          <w:numId w:val="23"/>
        </w:numPr>
        <w:spacing w:before="120" w:after="0" w:line="240" w:lineRule="auto"/>
        <w:jc w:val="both"/>
        <w:rPr>
          <w:rFonts w:ascii="Times New Roman" w:hAnsi="Times New Roman" w:cs="Times New Roman"/>
        </w:rPr>
      </w:pPr>
      <w:r w:rsidRPr="001644CC">
        <w:rPr>
          <w:rStyle w:val="mord"/>
          <w:rFonts w:ascii="Times New Roman" w:hAnsi="Times New Roman" w:cs="Times New Roman"/>
        </w:rPr>
        <w:t>β</w:t>
      </w:r>
      <w:r w:rsidRPr="001644CC">
        <w:rPr>
          <w:rStyle w:val="mord"/>
          <w:rFonts w:ascii="Times New Roman" w:hAnsi="Times New Roman" w:cs="Times New Roman"/>
          <w:vertAlign w:val="subscript"/>
        </w:rPr>
        <w:t>0</w:t>
      </w:r>
      <w:r w:rsidRPr="001644CC">
        <w:rPr>
          <w:rStyle w:val="vlist-s"/>
          <w:rFonts w:ascii="Times New Roman" w:hAnsi="Times New Roman" w:cs="Times New Roman"/>
        </w:rPr>
        <w:t>​</w:t>
      </w:r>
      <w:r w:rsidRPr="001644CC">
        <w:rPr>
          <w:rFonts w:ascii="Times New Roman" w:hAnsi="Times New Roman" w:cs="Times New Roman"/>
        </w:rPr>
        <w:t xml:space="preserve"> = Constant (intercept) </w:t>
      </w:r>
    </w:p>
    <w:p w:rsidR="008B6AFD" w:rsidRPr="001644CC" w:rsidRDefault="008B6AFD" w:rsidP="00D13887">
      <w:pPr>
        <w:numPr>
          <w:ilvl w:val="0"/>
          <w:numId w:val="23"/>
        </w:numPr>
        <w:spacing w:before="120" w:after="0" w:line="240" w:lineRule="auto"/>
        <w:jc w:val="both"/>
        <w:rPr>
          <w:rFonts w:ascii="Times New Roman" w:hAnsi="Times New Roman" w:cs="Times New Roman"/>
        </w:rPr>
      </w:pPr>
      <w:r w:rsidRPr="001644CC">
        <w:rPr>
          <w:rStyle w:val="katex-mathml"/>
          <w:rFonts w:ascii="Times New Roman" w:hAnsi="Times New Roman" w:cs="Times New Roman"/>
        </w:rPr>
        <w:t>β</w:t>
      </w:r>
      <w:r w:rsidRPr="001644CC">
        <w:rPr>
          <w:rStyle w:val="katex-mathml"/>
          <w:rFonts w:ascii="Times New Roman" w:hAnsi="Times New Roman" w:cs="Times New Roman"/>
          <w:vertAlign w:val="subscript"/>
        </w:rPr>
        <w:t>1</w:t>
      </w:r>
      <w:r w:rsidRPr="001644CC">
        <w:rPr>
          <w:rStyle w:val="katex-mathml"/>
          <w:rFonts w:ascii="Times New Roman" w:hAnsi="Times New Roman" w:cs="Times New Roman"/>
        </w:rPr>
        <w:t>,β</w:t>
      </w:r>
      <w:r w:rsidRPr="001644CC">
        <w:rPr>
          <w:rStyle w:val="katex-mathml"/>
          <w:rFonts w:ascii="Times New Roman" w:hAnsi="Times New Roman" w:cs="Times New Roman"/>
          <w:vertAlign w:val="subscript"/>
        </w:rPr>
        <w:t>2</w:t>
      </w:r>
      <w:r w:rsidRPr="001644CC">
        <w:rPr>
          <w:rStyle w:val="katex-mathml"/>
          <w:rFonts w:ascii="Times New Roman" w:hAnsi="Times New Roman" w:cs="Times New Roman"/>
        </w:rPr>
        <w:t>,β</w:t>
      </w:r>
      <w:r w:rsidRPr="001644CC">
        <w:rPr>
          <w:rStyle w:val="katex-mathml"/>
          <w:rFonts w:ascii="Times New Roman" w:hAnsi="Times New Roman" w:cs="Times New Roman"/>
          <w:vertAlign w:val="subscript"/>
        </w:rPr>
        <w:t>3</w:t>
      </w:r>
      <w:r w:rsidRPr="001644CC">
        <w:rPr>
          <w:rStyle w:val="katex-mathml"/>
          <w:rFonts w:ascii="Times New Roman" w:hAnsi="Times New Roman" w:cs="Times New Roman"/>
        </w:rPr>
        <w:t>,β</w:t>
      </w:r>
      <w:r w:rsidRPr="001644CC">
        <w:rPr>
          <w:rStyle w:val="katex-mathml"/>
          <w:rFonts w:ascii="Times New Roman" w:hAnsi="Times New Roman" w:cs="Times New Roman"/>
          <w:vertAlign w:val="subscript"/>
        </w:rPr>
        <w:t>4</w:t>
      </w:r>
      <w:r w:rsidRPr="001644CC">
        <w:rPr>
          <w:rStyle w:val="katex-mathml"/>
          <w:rFonts w:ascii="Times New Roman" w:hAnsi="Times New Roman" w:cs="Times New Roman"/>
        </w:rPr>
        <w:t>,β</w:t>
      </w:r>
      <w:r w:rsidRPr="001644CC">
        <w:rPr>
          <w:rStyle w:val="katex-mathml"/>
          <w:rFonts w:ascii="Times New Roman" w:hAnsi="Times New Roman" w:cs="Times New Roman"/>
          <w:vertAlign w:val="subscript"/>
        </w:rPr>
        <w:t>5</w:t>
      </w:r>
      <w:r w:rsidRPr="001644CC">
        <w:rPr>
          <w:rStyle w:val="vlist-s"/>
          <w:rFonts w:ascii="Times New Roman" w:hAnsi="Times New Roman" w:cs="Times New Roman"/>
        </w:rPr>
        <w:t>​</w:t>
      </w:r>
      <w:r w:rsidRPr="001644CC">
        <w:rPr>
          <w:rFonts w:ascii="Times New Roman" w:hAnsi="Times New Roman" w:cs="Times New Roman"/>
        </w:rPr>
        <w:t xml:space="preserve"> = coefficients of each variable </w:t>
      </w:r>
    </w:p>
    <w:p w:rsidR="008B6AFD" w:rsidRPr="001644CC" w:rsidRDefault="008B6AFD" w:rsidP="00D13887">
      <w:pPr>
        <w:pStyle w:val="NormalWeb"/>
        <w:spacing w:before="120" w:beforeAutospacing="0" w:after="0" w:afterAutospacing="0"/>
        <w:jc w:val="both"/>
        <w:rPr>
          <w:b/>
          <w:sz w:val="22"/>
          <w:szCs w:val="22"/>
        </w:rPr>
      </w:pPr>
      <w:r w:rsidRPr="001644CC">
        <w:rPr>
          <w:sz w:val="22"/>
          <w:szCs w:val="22"/>
        </w:rPr>
        <w:t xml:space="preserve">From Table 12, substitute the </w:t>
      </w:r>
      <w:r w:rsidRPr="001644CC">
        <w:rPr>
          <w:rStyle w:val="Strong"/>
          <w:b w:val="0"/>
          <w:sz w:val="22"/>
          <w:szCs w:val="22"/>
        </w:rPr>
        <w:t>unstandardized coefficients (B):</w:t>
      </w:r>
    </w:p>
    <w:p w:rsidR="008B6AFD" w:rsidRPr="001644CC" w:rsidRDefault="008B6AFD" w:rsidP="00D13887">
      <w:pPr>
        <w:spacing w:before="120" w:after="0" w:line="240" w:lineRule="auto"/>
        <w:jc w:val="center"/>
        <w:rPr>
          <w:rFonts w:ascii="Times New Roman" w:hAnsi="Times New Roman" w:cs="Times New Roman"/>
          <w:b/>
        </w:rPr>
      </w:pPr>
      <w:r w:rsidRPr="001644CC">
        <w:rPr>
          <w:rStyle w:val="mord"/>
          <w:rFonts w:ascii="Times New Roman" w:hAnsi="Times New Roman" w:cs="Times New Roman"/>
          <w:b/>
        </w:rPr>
        <w:t>OP</w:t>
      </w:r>
      <w:r w:rsidRPr="001644CC">
        <w:rPr>
          <w:rStyle w:val="mrel"/>
          <w:rFonts w:ascii="Times New Roman" w:hAnsi="Times New Roman" w:cs="Times New Roman"/>
          <w:b/>
        </w:rPr>
        <w:t>=</w:t>
      </w:r>
      <w:r w:rsidRPr="001644CC">
        <w:rPr>
          <w:rStyle w:val="mord"/>
          <w:rFonts w:ascii="Times New Roman" w:hAnsi="Times New Roman" w:cs="Times New Roman"/>
          <w:b/>
        </w:rPr>
        <w:t>3.618</w:t>
      </w:r>
      <w:r w:rsidRPr="001644CC">
        <w:rPr>
          <w:rStyle w:val="mbin"/>
          <w:rFonts w:ascii="Times New Roman" w:hAnsi="Times New Roman" w:cs="Times New Roman"/>
          <w:b/>
        </w:rPr>
        <w:t>+</w:t>
      </w:r>
      <w:r w:rsidRPr="001644CC">
        <w:rPr>
          <w:rStyle w:val="mord"/>
          <w:rFonts w:ascii="Times New Roman" w:hAnsi="Times New Roman" w:cs="Times New Roman"/>
          <w:b/>
        </w:rPr>
        <w:t>0.107</w:t>
      </w:r>
      <w:r w:rsidRPr="001644CC">
        <w:rPr>
          <w:rStyle w:val="mopen"/>
          <w:rFonts w:ascii="Times New Roman" w:hAnsi="Times New Roman" w:cs="Times New Roman"/>
          <w:b/>
        </w:rPr>
        <w:t>(</w:t>
      </w:r>
      <w:r w:rsidRPr="001644CC">
        <w:rPr>
          <w:rStyle w:val="mord"/>
          <w:rFonts w:ascii="Times New Roman" w:hAnsi="Times New Roman" w:cs="Times New Roman"/>
          <w:b/>
        </w:rPr>
        <w:t>GBA</w:t>
      </w:r>
      <w:proofErr w:type="gramStart"/>
      <w:r w:rsidRPr="001644CC">
        <w:rPr>
          <w:rStyle w:val="mclose"/>
          <w:rFonts w:ascii="Times New Roman" w:hAnsi="Times New Roman" w:cs="Times New Roman"/>
          <w:b/>
        </w:rPr>
        <w:t>)</w:t>
      </w:r>
      <w:r w:rsidRPr="001644CC">
        <w:rPr>
          <w:rStyle w:val="mbin"/>
          <w:rFonts w:ascii="Times New Roman" w:hAnsi="Times New Roman" w:cs="Times New Roman"/>
          <w:b/>
        </w:rPr>
        <w:t>+</w:t>
      </w:r>
      <w:proofErr w:type="gramEnd"/>
      <w:r w:rsidRPr="001644CC">
        <w:rPr>
          <w:rStyle w:val="mord"/>
          <w:rFonts w:ascii="Times New Roman" w:hAnsi="Times New Roman" w:cs="Times New Roman"/>
          <w:b/>
        </w:rPr>
        <w:t>0.127</w:t>
      </w:r>
      <w:r w:rsidRPr="001644CC">
        <w:rPr>
          <w:rStyle w:val="mopen"/>
          <w:rFonts w:ascii="Times New Roman" w:hAnsi="Times New Roman" w:cs="Times New Roman"/>
          <w:b/>
        </w:rPr>
        <w:t>(</w:t>
      </w:r>
      <w:r w:rsidRPr="001644CC">
        <w:rPr>
          <w:rStyle w:val="mord"/>
          <w:rFonts w:ascii="Times New Roman" w:hAnsi="Times New Roman" w:cs="Times New Roman"/>
          <w:b/>
        </w:rPr>
        <w:t>ES</w:t>
      </w:r>
      <w:r w:rsidRPr="001644CC">
        <w:rPr>
          <w:rStyle w:val="mclose"/>
          <w:rFonts w:ascii="Times New Roman" w:hAnsi="Times New Roman" w:cs="Times New Roman"/>
          <w:b/>
        </w:rPr>
        <w:t>)</w:t>
      </w:r>
      <w:r w:rsidRPr="001644CC">
        <w:rPr>
          <w:rStyle w:val="mbin"/>
          <w:rFonts w:ascii="Times New Roman" w:hAnsi="Times New Roman" w:cs="Times New Roman"/>
          <w:b/>
        </w:rPr>
        <w:t>+</w:t>
      </w:r>
      <w:r w:rsidRPr="001644CC">
        <w:rPr>
          <w:rStyle w:val="mord"/>
          <w:rFonts w:ascii="Times New Roman" w:hAnsi="Times New Roman" w:cs="Times New Roman"/>
          <w:b/>
        </w:rPr>
        <w:t>0.046</w:t>
      </w:r>
      <w:r w:rsidRPr="001644CC">
        <w:rPr>
          <w:rStyle w:val="mopen"/>
          <w:rFonts w:ascii="Times New Roman" w:hAnsi="Times New Roman" w:cs="Times New Roman"/>
          <w:b/>
        </w:rPr>
        <w:t>(</w:t>
      </w:r>
      <w:r w:rsidRPr="001644CC">
        <w:rPr>
          <w:rStyle w:val="mord"/>
          <w:rFonts w:ascii="Times New Roman" w:hAnsi="Times New Roman" w:cs="Times New Roman"/>
          <w:b/>
        </w:rPr>
        <w:t>GBI</w:t>
      </w:r>
      <w:r w:rsidRPr="001644CC">
        <w:rPr>
          <w:rStyle w:val="mclose"/>
          <w:rFonts w:ascii="Times New Roman" w:hAnsi="Times New Roman" w:cs="Times New Roman"/>
          <w:b/>
        </w:rPr>
        <w:t>)</w:t>
      </w:r>
      <w:r w:rsidRPr="001644CC">
        <w:rPr>
          <w:rStyle w:val="mbin"/>
          <w:rFonts w:ascii="Times New Roman" w:hAnsi="Times New Roman" w:cs="Times New Roman"/>
          <w:b/>
        </w:rPr>
        <w:t>+</w:t>
      </w:r>
      <w:r w:rsidRPr="001644CC">
        <w:rPr>
          <w:rStyle w:val="mord"/>
          <w:rFonts w:ascii="Times New Roman" w:hAnsi="Times New Roman" w:cs="Times New Roman"/>
          <w:b/>
        </w:rPr>
        <w:t>0.020</w:t>
      </w:r>
      <w:r w:rsidRPr="001644CC">
        <w:rPr>
          <w:rStyle w:val="mopen"/>
          <w:rFonts w:ascii="Times New Roman" w:hAnsi="Times New Roman" w:cs="Times New Roman"/>
          <w:b/>
        </w:rPr>
        <w:t>(</w:t>
      </w:r>
      <w:r w:rsidRPr="001644CC">
        <w:rPr>
          <w:rStyle w:val="mord"/>
          <w:rFonts w:ascii="Times New Roman" w:hAnsi="Times New Roman" w:cs="Times New Roman"/>
          <w:b/>
        </w:rPr>
        <w:t>ERA</w:t>
      </w:r>
      <w:r w:rsidRPr="001644CC">
        <w:rPr>
          <w:rStyle w:val="mclose"/>
          <w:rFonts w:ascii="Times New Roman" w:hAnsi="Times New Roman" w:cs="Times New Roman"/>
          <w:b/>
        </w:rPr>
        <w:t>)</w:t>
      </w:r>
      <w:r w:rsidRPr="001644CC">
        <w:rPr>
          <w:rStyle w:val="mbin"/>
          <w:rFonts w:ascii="Times New Roman" w:hAnsi="Times New Roman" w:cs="Times New Roman"/>
          <w:b/>
        </w:rPr>
        <w:t>+</w:t>
      </w:r>
      <w:r w:rsidRPr="001644CC">
        <w:rPr>
          <w:rStyle w:val="mord"/>
          <w:rFonts w:ascii="Times New Roman" w:hAnsi="Times New Roman" w:cs="Times New Roman"/>
          <w:b/>
        </w:rPr>
        <w:t>0.020</w:t>
      </w:r>
      <w:r w:rsidRPr="001644CC">
        <w:rPr>
          <w:rStyle w:val="mopen"/>
          <w:rFonts w:ascii="Times New Roman" w:hAnsi="Times New Roman" w:cs="Times New Roman"/>
          <w:b/>
        </w:rPr>
        <w:t>(</w:t>
      </w:r>
      <w:r w:rsidRPr="001644CC">
        <w:rPr>
          <w:rStyle w:val="mord"/>
          <w:rFonts w:ascii="Times New Roman" w:hAnsi="Times New Roman" w:cs="Times New Roman"/>
          <w:b/>
        </w:rPr>
        <w:t>BIC</w:t>
      </w:r>
      <w:r w:rsidRPr="001644CC">
        <w:rPr>
          <w:rStyle w:val="mclose"/>
          <w:rFonts w:ascii="Times New Roman" w:hAnsi="Times New Roman" w:cs="Times New Roman"/>
          <w:b/>
        </w:rPr>
        <w:t>)</w:t>
      </w:r>
      <w:r w:rsidRPr="001644CC">
        <w:rPr>
          <w:rStyle w:val="mbin"/>
          <w:rFonts w:ascii="Times New Roman" w:hAnsi="Times New Roman" w:cs="Times New Roman"/>
          <w:b/>
        </w:rPr>
        <w:t>+</w:t>
      </w:r>
      <w:r w:rsidRPr="001644CC">
        <w:rPr>
          <w:rStyle w:val="mord"/>
          <w:rFonts w:ascii="Times New Roman" w:hAnsi="Times New Roman" w:cs="Times New Roman"/>
          <w:b/>
        </w:rPr>
        <w:t>ε</w:t>
      </w:r>
    </w:p>
    <w:p w:rsidR="008B6AFD" w:rsidRPr="001644CC" w:rsidRDefault="008B6AFD" w:rsidP="00D13887">
      <w:pPr>
        <w:pStyle w:val="NormalWeb"/>
        <w:spacing w:before="120" w:beforeAutospacing="0" w:after="0" w:afterAutospacing="0"/>
        <w:jc w:val="both"/>
        <w:rPr>
          <w:sz w:val="22"/>
          <w:szCs w:val="22"/>
        </w:rPr>
      </w:pPr>
      <w:r w:rsidRPr="001644CC">
        <w:rPr>
          <w:sz w:val="22"/>
          <w:szCs w:val="22"/>
        </w:rPr>
        <w:t xml:space="preserve">The regression equation shows that all independent variables have </w:t>
      </w:r>
      <w:r w:rsidRPr="001644CC">
        <w:rPr>
          <w:rStyle w:val="Strong"/>
          <w:b w:val="0"/>
          <w:sz w:val="22"/>
          <w:szCs w:val="22"/>
        </w:rPr>
        <w:t>positive coefficients</w:t>
      </w:r>
      <w:r w:rsidRPr="001644CC">
        <w:rPr>
          <w:sz w:val="22"/>
          <w:szCs w:val="22"/>
        </w:rPr>
        <w:t>, indicating that increases in these variables are associated with increases in organizational performance.</w:t>
      </w:r>
    </w:p>
    <w:p w:rsidR="008B6AFD" w:rsidRPr="001644CC" w:rsidRDefault="008B6AFD" w:rsidP="00D13887">
      <w:pPr>
        <w:pStyle w:val="Heading3"/>
        <w:numPr>
          <w:ilvl w:val="0"/>
          <w:numId w:val="27"/>
        </w:numPr>
        <w:tabs>
          <w:tab w:val="left" w:pos="180"/>
        </w:tabs>
        <w:spacing w:before="120" w:beforeAutospacing="0" w:after="0" w:afterAutospacing="0"/>
        <w:jc w:val="both"/>
        <w:rPr>
          <w:sz w:val="22"/>
          <w:szCs w:val="22"/>
        </w:rPr>
      </w:pPr>
      <w:r w:rsidRPr="001644CC">
        <w:rPr>
          <w:sz w:val="22"/>
          <w:szCs w:val="22"/>
        </w:rPr>
        <w:t>Constant (β₀ = 3.618)</w:t>
      </w:r>
    </w:p>
    <w:p w:rsidR="008B6AFD" w:rsidRDefault="008B6AFD" w:rsidP="00D13887">
      <w:pPr>
        <w:pStyle w:val="NormalWeb"/>
        <w:spacing w:before="120" w:beforeAutospacing="0" w:after="0" w:afterAutospacing="0"/>
        <w:jc w:val="both"/>
        <w:rPr>
          <w:sz w:val="22"/>
          <w:szCs w:val="22"/>
        </w:rPr>
      </w:pPr>
      <w:r w:rsidRPr="001644CC">
        <w:rPr>
          <w:sz w:val="22"/>
          <w:szCs w:val="22"/>
        </w:rPr>
        <w:t>The constant value of 3.618 represents the baseline level of organizational performance when all independent variables are zero. This indicates that even without green banking practices, banks maintain a certain level of performance due to other operational factors.</w:t>
      </w:r>
    </w:p>
    <w:p w:rsidR="008B6AFD" w:rsidRPr="001644CC" w:rsidRDefault="008B6AFD" w:rsidP="00D13887">
      <w:pPr>
        <w:pStyle w:val="Heading3"/>
        <w:numPr>
          <w:ilvl w:val="0"/>
          <w:numId w:val="27"/>
        </w:numPr>
        <w:tabs>
          <w:tab w:val="left" w:pos="270"/>
        </w:tabs>
        <w:spacing w:before="120" w:beforeAutospacing="0" w:after="0" w:afterAutospacing="0"/>
        <w:jc w:val="both"/>
        <w:rPr>
          <w:sz w:val="22"/>
          <w:szCs w:val="22"/>
        </w:rPr>
      </w:pPr>
      <w:r w:rsidRPr="001644CC">
        <w:rPr>
          <w:sz w:val="22"/>
          <w:szCs w:val="22"/>
        </w:rPr>
        <w:t>Green Banking Adoption (β₁ = 0.107)</w:t>
      </w:r>
    </w:p>
    <w:p w:rsidR="008B6AFD" w:rsidRPr="001644CC" w:rsidRDefault="008B6AFD" w:rsidP="00D13887">
      <w:pPr>
        <w:pStyle w:val="NormalWeb"/>
        <w:spacing w:before="120" w:beforeAutospacing="0" w:after="0" w:afterAutospacing="0"/>
        <w:jc w:val="both"/>
        <w:rPr>
          <w:sz w:val="22"/>
          <w:szCs w:val="22"/>
        </w:rPr>
      </w:pPr>
      <w:r w:rsidRPr="001644CC">
        <w:rPr>
          <w:sz w:val="22"/>
          <w:szCs w:val="22"/>
        </w:rPr>
        <w:t xml:space="preserve">A one-unit increase in green banking adoption leads to a </w:t>
      </w:r>
      <w:r w:rsidRPr="001644CC">
        <w:rPr>
          <w:rStyle w:val="Strong"/>
          <w:sz w:val="22"/>
          <w:szCs w:val="22"/>
        </w:rPr>
        <w:t xml:space="preserve">0.107 </w:t>
      </w:r>
      <w:r w:rsidRPr="001644CC">
        <w:rPr>
          <w:rStyle w:val="Strong"/>
          <w:b w:val="0"/>
          <w:sz w:val="22"/>
          <w:szCs w:val="22"/>
        </w:rPr>
        <w:t>increase in organizational performance</w:t>
      </w:r>
      <w:r w:rsidRPr="001644CC">
        <w:rPr>
          <w:b/>
          <w:sz w:val="22"/>
          <w:szCs w:val="22"/>
        </w:rPr>
        <w:t>,</w:t>
      </w:r>
      <w:r w:rsidRPr="001644CC">
        <w:rPr>
          <w:sz w:val="22"/>
          <w:szCs w:val="22"/>
        </w:rPr>
        <w:t xml:space="preserve"> holding other variables constant. This indicates that adopting digital and environmentally friendly banking practices improves efficiency and performance.</w:t>
      </w:r>
    </w:p>
    <w:p w:rsidR="008B6AFD" w:rsidRPr="001644CC" w:rsidRDefault="008B6AFD" w:rsidP="00D13887">
      <w:pPr>
        <w:pStyle w:val="Heading3"/>
        <w:numPr>
          <w:ilvl w:val="0"/>
          <w:numId w:val="27"/>
        </w:numPr>
        <w:spacing w:before="120" w:beforeAutospacing="0" w:after="0" w:afterAutospacing="0"/>
        <w:jc w:val="both"/>
        <w:rPr>
          <w:sz w:val="22"/>
          <w:szCs w:val="22"/>
        </w:rPr>
      </w:pPr>
      <w:r w:rsidRPr="001644CC">
        <w:rPr>
          <w:sz w:val="22"/>
          <w:szCs w:val="22"/>
        </w:rPr>
        <w:t>Environmental Sustainability (β₂ = 0.127)</w:t>
      </w:r>
    </w:p>
    <w:p w:rsidR="008B6AFD" w:rsidRDefault="008B6AFD" w:rsidP="00D13887">
      <w:pPr>
        <w:pStyle w:val="NormalWeb"/>
        <w:spacing w:before="120" w:beforeAutospacing="0" w:after="0" w:afterAutospacing="0"/>
        <w:jc w:val="both"/>
        <w:rPr>
          <w:sz w:val="22"/>
          <w:szCs w:val="22"/>
        </w:rPr>
      </w:pPr>
      <w:r w:rsidRPr="001644CC">
        <w:rPr>
          <w:sz w:val="22"/>
          <w:szCs w:val="22"/>
        </w:rPr>
        <w:t xml:space="preserve">Environmental sustainability has the </w:t>
      </w:r>
      <w:r w:rsidRPr="001644CC">
        <w:rPr>
          <w:rStyle w:val="Strong"/>
          <w:b w:val="0"/>
          <w:sz w:val="22"/>
          <w:szCs w:val="22"/>
        </w:rPr>
        <w:t>largest coefficient</w:t>
      </w:r>
      <w:r w:rsidRPr="001644CC">
        <w:rPr>
          <w:sz w:val="22"/>
          <w:szCs w:val="22"/>
        </w:rPr>
        <w:t xml:space="preserve">, meaning it has the strongest impact. A one-unit increase results in a </w:t>
      </w:r>
      <w:r w:rsidRPr="001644CC">
        <w:rPr>
          <w:rStyle w:val="Strong"/>
          <w:b w:val="0"/>
          <w:sz w:val="22"/>
          <w:szCs w:val="22"/>
        </w:rPr>
        <w:t>0.127 increase in performance</w:t>
      </w:r>
      <w:r w:rsidRPr="001644CC">
        <w:rPr>
          <w:sz w:val="22"/>
          <w:szCs w:val="22"/>
        </w:rPr>
        <w:t>, suggesting that sustainability practices significantly enhance operational and strategic outcomes.</w:t>
      </w:r>
    </w:p>
    <w:p w:rsidR="008B6AFD" w:rsidRPr="001644CC" w:rsidRDefault="008B6AFD" w:rsidP="00D13887">
      <w:pPr>
        <w:pStyle w:val="Heading3"/>
        <w:numPr>
          <w:ilvl w:val="0"/>
          <w:numId w:val="27"/>
        </w:numPr>
        <w:spacing w:before="120" w:beforeAutospacing="0" w:after="0" w:afterAutospacing="0"/>
        <w:jc w:val="both"/>
        <w:rPr>
          <w:sz w:val="22"/>
          <w:szCs w:val="22"/>
        </w:rPr>
      </w:pPr>
      <w:r w:rsidRPr="001644CC">
        <w:rPr>
          <w:sz w:val="22"/>
          <w:szCs w:val="22"/>
        </w:rPr>
        <w:t>Green Banking Initiatives (β₃ = 0.046)</w:t>
      </w:r>
    </w:p>
    <w:p w:rsidR="008B6AFD" w:rsidRPr="001644CC" w:rsidRDefault="008B6AFD" w:rsidP="00D13887">
      <w:pPr>
        <w:pStyle w:val="NormalWeb"/>
        <w:spacing w:before="120" w:beforeAutospacing="0" w:after="0" w:afterAutospacing="0"/>
        <w:jc w:val="both"/>
        <w:rPr>
          <w:sz w:val="22"/>
          <w:szCs w:val="22"/>
        </w:rPr>
      </w:pPr>
      <w:r w:rsidRPr="001644CC">
        <w:rPr>
          <w:sz w:val="22"/>
          <w:szCs w:val="22"/>
        </w:rPr>
        <w:t xml:space="preserve">A one-unit increase leads to a </w:t>
      </w:r>
      <w:r w:rsidRPr="001644CC">
        <w:rPr>
          <w:rStyle w:val="Strong"/>
          <w:b w:val="0"/>
          <w:sz w:val="22"/>
          <w:szCs w:val="22"/>
        </w:rPr>
        <w:t>0.046 increase in performance</w:t>
      </w:r>
      <w:r w:rsidRPr="001644CC">
        <w:rPr>
          <w:sz w:val="22"/>
          <w:szCs w:val="22"/>
        </w:rPr>
        <w:t xml:space="preserve">, indicating a </w:t>
      </w:r>
      <w:r w:rsidRPr="001644CC">
        <w:rPr>
          <w:rStyle w:val="Strong"/>
          <w:b w:val="0"/>
          <w:sz w:val="22"/>
          <w:szCs w:val="22"/>
        </w:rPr>
        <w:t>positive but weaker effect</w:t>
      </w:r>
      <w:r w:rsidRPr="001644CC">
        <w:rPr>
          <w:b/>
          <w:sz w:val="22"/>
          <w:szCs w:val="22"/>
        </w:rPr>
        <w:t>.</w:t>
      </w:r>
      <w:r w:rsidRPr="001644CC">
        <w:rPr>
          <w:sz w:val="22"/>
          <w:szCs w:val="22"/>
        </w:rPr>
        <w:t xml:space="preserve"> This suggests that initiatives like green loans and CSR activities contribute, but their impact is still developing.</w:t>
      </w:r>
    </w:p>
    <w:p w:rsidR="008B6AFD" w:rsidRPr="001644CC" w:rsidRDefault="008B6AFD" w:rsidP="00D13887">
      <w:pPr>
        <w:pStyle w:val="Heading3"/>
        <w:numPr>
          <w:ilvl w:val="0"/>
          <w:numId w:val="27"/>
        </w:numPr>
        <w:spacing w:before="120" w:beforeAutospacing="0" w:after="0" w:afterAutospacing="0"/>
        <w:jc w:val="both"/>
        <w:rPr>
          <w:sz w:val="22"/>
          <w:szCs w:val="22"/>
        </w:rPr>
      </w:pPr>
      <w:r w:rsidRPr="001644CC">
        <w:rPr>
          <w:sz w:val="22"/>
          <w:szCs w:val="22"/>
        </w:rPr>
        <w:t>Environmental Risk Assessment (β₄ = 0.020)</w:t>
      </w:r>
    </w:p>
    <w:p w:rsidR="008B6AFD" w:rsidRPr="001644CC" w:rsidRDefault="008B6AFD" w:rsidP="00D13887">
      <w:pPr>
        <w:pStyle w:val="NormalWeb"/>
        <w:spacing w:before="120" w:beforeAutospacing="0" w:after="0" w:afterAutospacing="0"/>
        <w:jc w:val="both"/>
        <w:rPr>
          <w:sz w:val="22"/>
          <w:szCs w:val="22"/>
        </w:rPr>
      </w:pPr>
      <w:r w:rsidRPr="001644CC">
        <w:rPr>
          <w:sz w:val="22"/>
          <w:szCs w:val="22"/>
        </w:rPr>
        <w:lastRenderedPageBreak/>
        <w:t xml:space="preserve">A one-unit increase leads to a </w:t>
      </w:r>
      <w:r w:rsidRPr="001644CC">
        <w:rPr>
          <w:rStyle w:val="Strong"/>
          <w:b w:val="0"/>
          <w:sz w:val="22"/>
          <w:szCs w:val="22"/>
        </w:rPr>
        <w:t>0.020 increase in performance</w:t>
      </w:r>
      <w:r w:rsidRPr="001644CC">
        <w:rPr>
          <w:sz w:val="22"/>
          <w:szCs w:val="22"/>
        </w:rPr>
        <w:t xml:space="preserve">, showing a </w:t>
      </w:r>
      <w:r w:rsidRPr="001644CC">
        <w:rPr>
          <w:rStyle w:val="Strong"/>
          <w:b w:val="0"/>
          <w:sz w:val="22"/>
          <w:szCs w:val="22"/>
        </w:rPr>
        <w:t>very small but positive effect</w:t>
      </w:r>
      <w:r w:rsidRPr="001644CC">
        <w:rPr>
          <w:sz w:val="22"/>
          <w:szCs w:val="22"/>
        </w:rPr>
        <w:t>. This implies that risk assessment contributes to stability but has limited immediate impact.</w:t>
      </w:r>
    </w:p>
    <w:p w:rsidR="008B6AFD" w:rsidRPr="001644CC" w:rsidRDefault="008B6AFD" w:rsidP="00D13887">
      <w:pPr>
        <w:pStyle w:val="Heading3"/>
        <w:numPr>
          <w:ilvl w:val="0"/>
          <w:numId w:val="27"/>
        </w:numPr>
        <w:spacing w:before="120" w:beforeAutospacing="0" w:after="0" w:afterAutospacing="0"/>
        <w:jc w:val="both"/>
        <w:rPr>
          <w:sz w:val="22"/>
          <w:szCs w:val="22"/>
        </w:rPr>
      </w:pPr>
      <w:r w:rsidRPr="001644CC">
        <w:rPr>
          <w:sz w:val="22"/>
          <w:szCs w:val="22"/>
        </w:rPr>
        <w:t>Barriers &amp; Institutional Challenges (β₅ = 0.020)</w:t>
      </w:r>
    </w:p>
    <w:p w:rsidR="001644CC" w:rsidRPr="001644CC" w:rsidRDefault="001644CC" w:rsidP="00D13887">
      <w:pPr>
        <w:pStyle w:val="NormalWeb"/>
        <w:spacing w:before="120" w:beforeAutospacing="0" w:after="0" w:afterAutospacing="0"/>
        <w:jc w:val="both"/>
        <w:rPr>
          <w:sz w:val="22"/>
          <w:szCs w:val="22"/>
        </w:rPr>
      </w:pPr>
      <w:r w:rsidRPr="001644CC">
        <w:rPr>
          <w:sz w:val="22"/>
          <w:szCs w:val="22"/>
        </w:rPr>
        <w:t>Barriers and Institutional Challenges (β₅ = 0.020) exhibit a positive coefficient, which is contrary to the expected negative relationship, as such barriers are typically assumed to hinder organizational performance through regulatory gaps, limited expertise, and financial constraints; however, in this context, the positive sign may indicate increased institutional awareness and active engagement with green banking practices, where banks that are more involved in sustainability initiatives are also more likely to recognize and report existing challenges, reflecting a transitional phase in which performance improvements and institutional constraints coexist, and suggesting that these challenges may not necessarily reduce performance but rather represent part of the development process, potentially influenced by perception and measurement effects where the identification of barriers signals progress toward more structured and mature green banking systems rather than a decline in organizational outcomes.</w:t>
      </w:r>
    </w:p>
    <w:p w:rsidR="008B6AFD" w:rsidRPr="001644CC" w:rsidRDefault="001644CC" w:rsidP="00D13887">
      <w:pPr>
        <w:spacing w:before="120" w:after="0" w:line="240" w:lineRule="auto"/>
        <w:jc w:val="both"/>
        <w:rPr>
          <w:rFonts w:ascii="Times New Roman" w:hAnsi="Times New Roman" w:cs="Times New Roman"/>
        </w:rPr>
      </w:pPr>
      <w:r w:rsidRPr="001644CC">
        <w:rPr>
          <w:rFonts w:ascii="Times New Roman" w:hAnsi="Times New Roman" w:cs="Times New Roman"/>
        </w:rPr>
        <w:t>The overall findings indicate that organizational performance is positively influenced by green banking practices, with Environmental Sustainability emerging as the strongest predictor, followed by Green Banking Adoption, which shows a moderate but meaningful effect. This suggests that banks that actively implement sustainability practices and adopt environmentally friendly banking systems tend to achieve better performance outcomes. In contrast, Green Banking Initiatives and Environmental Risk Assessment demonstrate weaker effects, implying that their contributions to performance are still developing and may be more indirect or long-term in nature. Additionally, Barriers and Institutional Challenges exhibit an unexpected positive relationship with organizational performance, suggesting that these challenges may reflect a transitional phase of implementation, increased awareness, or evolving institutional dynamics rather than purely negative impacts.</w:t>
      </w:r>
    </w:p>
    <w:p w:rsidR="008B6AFD" w:rsidRPr="001644CC" w:rsidRDefault="008B6AFD" w:rsidP="00D13887">
      <w:pPr>
        <w:pStyle w:val="NormalWeb"/>
        <w:spacing w:before="120" w:beforeAutospacing="0" w:after="0" w:afterAutospacing="0"/>
        <w:jc w:val="both"/>
        <w:rPr>
          <w:sz w:val="22"/>
          <w:szCs w:val="22"/>
        </w:rPr>
      </w:pPr>
      <w:r w:rsidRPr="001644CC">
        <w:rPr>
          <w:sz w:val="22"/>
          <w:szCs w:val="22"/>
        </w:rPr>
        <w:t>The regression model demonstrates that green banking practices significantly contribute to organizational performance in Ethiopian commercial banks. However, the magnitude of impact varies across variables, with sustainability and adoption playing a more dominant role, while institutional and structural factors reflect transitional dynamics in implementation.</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The multiple regression results in Table 12 examine the effect of Green Banking Adoption (GBA), Environmental Sustainability (ES), Green Banking Initiatives (GBI), Environmental Risk Assessment (ERA), and Barriers &amp; Institutional Challenges (BIC) on Organizational Performance (OP). The model provides insights into both the direction and significance of each predictor in explaining organizational performance in the selected commercial banks.</w:t>
      </w:r>
    </w:p>
    <w:p w:rsidR="00C96BEA" w:rsidRPr="001644CC" w:rsidRDefault="00C96BEA" w:rsidP="00D13887">
      <w:pPr>
        <w:pStyle w:val="Heading2"/>
        <w:spacing w:before="120" w:line="240" w:lineRule="auto"/>
        <w:jc w:val="both"/>
        <w:rPr>
          <w:rFonts w:ascii="Times New Roman" w:hAnsi="Times New Roman" w:cs="Times New Roman"/>
          <w:color w:val="auto"/>
          <w:sz w:val="22"/>
          <w:szCs w:val="22"/>
        </w:rPr>
      </w:pPr>
      <w:r w:rsidRPr="001644CC">
        <w:rPr>
          <w:rFonts w:ascii="Times New Roman" w:hAnsi="Times New Roman" w:cs="Times New Roman"/>
          <w:color w:val="auto"/>
          <w:sz w:val="22"/>
          <w:szCs w:val="22"/>
        </w:rPr>
        <w:t>H</w:t>
      </w:r>
      <w:r w:rsidRPr="001644CC">
        <w:rPr>
          <w:rFonts w:ascii="Times New Roman" w:hAnsi="Times New Roman" w:cs="Times New Roman"/>
          <w:color w:val="auto"/>
          <w:sz w:val="22"/>
          <w:szCs w:val="22"/>
          <w:vertAlign w:val="subscript"/>
        </w:rPr>
        <w:t>1</w:t>
      </w:r>
      <w:r w:rsidRPr="001644CC">
        <w:rPr>
          <w:rFonts w:ascii="Times New Roman" w:hAnsi="Times New Roman" w:cs="Times New Roman"/>
          <w:color w:val="auto"/>
          <w:sz w:val="22"/>
          <w:szCs w:val="22"/>
        </w:rPr>
        <w:t>: Green Banking Adoption and Organizational Performance</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Green Banking Adoption shows a positive and statistically significant effect on organizational performance (B = 0.107, β = 0.134, t = 2.013, p = 0.005). This indicates that an increase in green banking adoption leads to an improvement in organizational performance. This finding suggests that digitalization and environmentally friendly banking practices contribute to efficiency and financial improvement.</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This result aligns with previous studies that emphasize the role of digital banking transformation in improving operational efficiency and institutional performance. Green banking adoption enhances service delivery through reduced paper usage, faster transactions, and improved customer satisfaction [7].</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Furthermore, the positive relationship supports the argument that technological integration in banking improves both environmental and financial outcomes. This is consistent with research showing that sustainability-oriented banking systems contribute to improved institutional effectiveness [10].</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Overall, the hypothesis is supported, confirming that green banking adoption positively influences organizational performance.</w:t>
      </w:r>
    </w:p>
    <w:p w:rsidR="00C96BEA" w:rsidRPr="001644CC" w:rsidRDefault="00C96BEA" w:rsidP="00D13887">
      <w:pPr>
        <w:pStyle w:val="Heading2"/>
        <w:spacing w:before="120" w:line="240" w:lineRule="auto"/>
        <w:jc w:val="both"/>
        <w:rPr>
          <w:rFonts w:ascii="Times New Roman" w:hAnsi="Times New Roman" w:cs="Times New Roman"/>
          <w:color w:val="auto"/>
          <w:sz w:val="22"/>
          <w:szCs w:val="22"/>
        </w:rPr>
      </w:pPr>
      <w:r w:rsidRPr="001644CC">
        <w:rPr>
          <w:rFonts w:ascii="Times New Roman" w:hAnsi="Times New Roman" w:cs="Times New Roman"/>
          <w:color w:val="auto"/>
          <w:sz w:val="22"/>
          <w:szCs w:val="22"/>
        </w:rPr>
        <w:lastRenderedPageBreak/>
        <w:t>H</w:t>
      </w:r>
      <w:r w:rsidRPr="001644CC">
        <w:rPr>
          <w:rFonts w:ascii="Times New Roman" w:hAnsi="Times New Roman" w:cs="Times New Roman"/>
          <w:color w:val="auto"/>
          <w:sz w:val="22"/>
          <w:szCs w:val="22"/>
          <w:vertAlign w:val="subscript"/>
        </w:rPr>
        <w:t>2</w:t>
      </w:r>
      <w:r w:rsidRPr="001644CC">
        <w:rPr>
          <w:rFonts w:ascii="Times New Roman" w:hAnsi="Times New Roman" w:cs="Times New Roman"/>
          <w:color w:val="auto"/>
          <w:sz w:val="22"/>
          <w:szCs w:val="22"/>
        </w:rPr>
        <w:t>: Environmental Sustainability and Organizational Performance</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Environmental Sustainability has a positive and significant effect on organizational performance (B = 0.127, β = 0.111, t = 1.462, p = 0.000). This indicates that improvements in environmental sustainability practices lead to better organizational performance outcomes.</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This finding implies that banks that reduce environmental impact through carbon reduction, resource efficiency, and waste management tend to perform better operationally and strategically. Environmental sustainability enhances institutional reputation and stakeholder trust.</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Previous studies confirm that sustainability practices contribute to long-term financial stability and improved competitiveness in the banking sector [3], [17]. In addition, environmentally responsible banks are more likely to attract customers and investors due to improved corporate image.</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The result also supports the idea that environmental responsibility is becoming a key driver of competitive advantage in financial institutions [10].</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Therefore, the hypothesis is fully supported.</w:t>
      </w:r>
    </w:p>
    <w:p w:rsidR="00C96BEA" w:rsidRPr="001644CC" w:rsidRDefault="00C96BEA" w:rsidP="00D13887">
      <w:pPr>
        <w:pStyle w:val="Heading2"/>
        <w:spacing w:before="120" w:line="240" w:lineRule="auto"/>
        <w:jc w:val="both"/>
        <w:rPr>
          <w:rFonts w:ascii="Times New Roman" w:hAnsi="Times New Roman" w:cs="Times New Roman"/>
          <w:color w:val="auto"/>
          <w:sz w:val="22"/>
          <w:szCs w:val="22"/>
        </w:rPr>
      </w:pPr>
      <w:r w:rsidRPr="001644CC">
        <w:rPr>
          <w:rFonts w:ascii="Times New Roman" w:hAnsi="Times New Roman" w:cs="Times New Roman"/>
          <w:color w:val="auto"/>
          <w:sz w:val="22"/>
          <w:szCs w:val="22"/>
        </w:rPr>
        <w:t>H</w:t>
      </w:r>
      <w:r w:rsidRPr="001644CC">
        <w:rPr>
          <w:rFonts w:ascii="Times New Roman" w:hAnsi="Times New Roman" w:cs="Times New Roman"/>
          <w:color w:val="auto"/>
          <w:sz w:val="22"/>
          <w:szCs w:val="22"/>
          <w:vertAlign w:val="subscript"/>
        </w:rPr>
        <w:t>3</w:t>
      </w:r>
      <w:r w:rsidRPr="001644CC">
        <w:rPr>
          <w:rFonts w:ascii="Times New Roman" w:hAnsi="Times New Roman" w:cs="Times New Roman"/>
          <w:color w:val="auto"/>
          <w:sz w:val="22"/>
          <w:szCs w:val="22"/>
        </w:rPr>
        <w:t>: Green Banking Initiatives and Organizational Performance</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Green Banking Initiatives have a positive but relatively weak and statistically significant effect on organizational performance (B = 0.046, β = 0.045, t = 0.644, p = 0.000). This indicates that although green initiatives contribute to performance, their direct impact is limited.</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This suggests that initiatives such as green credit products and CSR environmental funding are still in early stages of influencing overall performance outcomes. Their effect may be indirect rather than immediate.</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Previous studies indicate that green banking initiatives often require time before translating into measurable financial performance improvements [12]. The impact is usually mediated through efficiency gains and improved risk management systems.</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Similarly, research highlights that green financial products contribute more to long-term sustainability than short-term profitability [4].</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Thus, the hypothesis is supported, but the effect is relatively weak.</w:t>
      </w:r>
    </w:p>
    <w:p w:rsidR="00C96BEA" w:rsidRPr="001644CC" w:rsidRDefault="00C96BEA" w:rsidP="00D13887">
      <w:pPr>
        <w:pStyle w:val="Heading2"/>
        <w:spacing w:before="120" w:line="240" w:lineRule="auto"/>
        <w:jc w:val="both"/>
        <w:rPr>
          <w:rFonts w:ascii="Times New Roman" w:hAnsi="Times New Roman" w:cs="Times New Roman"/>
          <w:color w:val="auto"/>
          <w:sz w:val="22"/>
          <w:szCs w:val="22"/>
        </w:rPr>
      </w:pPr>
      <w:r w:rsidRPr="001644CC">
        <w:rPr>
          <w:rFonts w:ascii="Times New Roman" w:hAnsi="Times New Roman" w:cs="Times New Roman"/>
          <w:color w:val="auto"/>
          <w:sz w:val="22"/>
          <w:szCs w:val="22"/>
        </w:rPr>
        <w:t>H</w:t>
      </w:r>
      <w:r w:rsidRPr="001644CC">
        <w:rPr>
          <w:rFonts w:ascii="Times New Roman" w:hAnsi="Times New Roman" w:cs="Times New Roman"/>
          <w:color w:val="auto"/>
          <w:sz w:val="22"/>
          <w:szCs w:val="22"/>
          <w:vertAlign w:val="subscript"/>
        </w:rPr>
        <w:t>4</w:t>
      </w:r>
      <w:r w:rsidRPr="001644CC">
        <w:rPr>
          <w:rFonts w:ascii="Times New Roman" w:hAnsi="Times New Roman" w:cs="Times New Roman"/>
          <w:color w:val="auto"/>
          <w:sz w:val="22"/>
          <w:szCs w:val="22"/>
        </w:rPr>
        <w:t>: Environmental Risk Assessment and Organizational Performance</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Environmental Risk Assessment shows a positive but weak and statistically significant effect on organizational performance (B = 0.020, β = 0.023, t = 0.351, p = 0.006). This indicates that environmental risk assessment contributes modestly to performance improvement.</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This suggests that integrating environmental risk into credit and lending decisions helps improve portfolio quality and reduces financial risks, although its direct impact is limited.</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Previous studies show that environmental risk management improves long-term financial stability by reducing non-performing loans and enhancing credit quality [15], [10]. However, its impact is often indirect and depends on the maturity of risk management systems.</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Other research also highlights that environmental risk assessment is still developing in many emerging economies, limiting its immediate performance impact [4].</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Therefore, the hypothesis is supported, although the effect is relatively weak.</w:t>
      </w:r>
    </w:p>
    <w:p w:rsidR="00C96BEA" w:rsidRPr="001644CC" w:rsidRDefault="00C96BEA" w:rsidP="00D13887">
      <w:pPr>
        <w:pStyle w:val="Heading2"/>
        <w:spacing w:before="120" w:line="240" w:lineRule="auto"/>
        <w:jc w:val="both"/>
        <w:rPr>
          <w:rFonts w:ascii="Times New Roman" w:hAnsi="Times New Roman" w:cs="Times New Roman"/>
          <w:color w:val="auto"/>
          <w:sz w:val="22"/>
          <w:szCs w:val="22"/>
        </w:rPr>
      </w:pPr>
      <w:r w:rsidRPr="001644CC">
        <w:rPr>
          <w:rFonts w:ascii="Times New Roman" w:hAnsi="Times New Roman" w:cs="Times New Roman"/>
          <w:color w:val="auto"/>
          <w:sz w:val="22"/>
          <w:szCs w:val="22"/>
        </w:rPr>
        <w:t>H</w:t>
      </w:r>
      <w:r w:rsidRPr="001644CC">
        <w:rPr>
          <w:rFonts w:ascii="Times New Roman" w:hAnsi="Times New Roman" w:cs="Times New Roman"/>
          <w:color w:val="auto"/>
          <w:sz w:val="22"/>
          <w:szCs w:val="22"/>
          <w:vertAlign w:val="subscript"/>
        </w:rPr>
        <w:t>5</w:t>
      </w:r>
      <w:r w:rsidRPr="001644CC">
        <w:rPr>
          <w:rFonts w:ascii="Times New Roman" w:hAnsi="Times New Roman" w:cs="Times New Roman"/>
          <w:color w:val="auto"/>
          <w:sz w:val="22"/>
          <w:szCs w:val="22"/>
        </w:rPr>
        <w:t>: Barriers and Institutional Challenges and Organizational Performance</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Barriers and Institutional Challenges have a positive but statistically significant coefficient (B = 0.020, β = 0.017, t = 0.228, p = 0.000). However, the positive sign contradicts the expected negative relationship.</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lastRenderedPageBreak/>
        <w:t>This suggests that in the current context, barriers and institutional challenges may reflect growing awareness rather than purely negative constraints. It may also indicate measurement or perception effects where increasing implementation exposes more challenges.</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Previous studies generally argue that institutional barriers negatively affect green banking implementation by limiting efficiency, increasing costs, and slowing adoption of sustainability practices [4], [6]. Regulatory uncertainty and lack of technical capacity are commonly cited constraints.</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However, some studies suggest that identifying barriers can also stimulate institutional reforms and improve long-term performance [10].</w:t>
      </w:r>
    </w:p>
    <w:p w:rsidR="00C96BEA" w:rsidRPr="001644CC" w:rsidRDefault="00C96BEA" w:rsidP="00D13887">
      <w:pPr>
        <w:pStyle w:val="NormalWeb"/>
        <w:spacing w:before="120" w:beforeAutospacing="0" w:after="0" w:afterAutospacing="0"/>
        <w:jc w:val="both"/>
        <w:rPr>
          <w:sz w:val="22"/>
          <w:szCs w:val="22"/>
        </w:rPr>
      </w:pPr>
      <w:r w:rsidRPr="001644CC">
        <w:rPr>
          <w:sz w:val="22"/>
          <w:szCs w:val="22"/>
        </w:rPr>
        <w:t xml:space="preserve">Despite the statistical significance, the positive coefficient contradicts the hypothesis direction; therefore, the hypothesis is </w:t>
      </w:r>
      <w:r w:rsidRPr="001644CC">
        <w:rPr>
          <w:rStyle w:val="Strong"/>
          <w:b w:val="0"/>
          <w:sz w:val="22"/>
          <w:szCs w:val="22"/>
        </w:rPr>
        <w:t>not fully supported in terms of expected sign</w:t>
      </w:r>
      <w:r w:rsidRPr="001644CC">
        <w:rPr>
          <w:sz w:val="22"/>
          <w:szCs w:val="22"/>
        </w:rPr>
        <w:t>, even though it is statistically significant.</w:t>
      </w:r>
    </w:p>
    <w:p w:rsidR="00C96BEA" w:rsidRDefault="00C96BEA" w:rsidP="00D13887">
      <w:pPr>
        <w:pStyle w:val="NormalWeb"/>
        <w:spacing w:before="120" w:beforeAutospacing="0" w:after="0" w:afterAutospacing="0"/>
        <w:jc w:val="both"/>
        <w:rPr>
          <w:sz w:val="22"/>
          <w:szCs w:val="22"/>
        </w:rPr>
      </w:pPr>
      <w:r w:rsidRPr="001644CC">
        <w:rPr>
          <w:sz w:val="22"/>
          <w:szCs w:val="22"/>
        </w:rPr>
        <w:t xml:space="preserve">Overall, the regression results show that Green Banking Adoption and Environmental Sustainability have the strongest positive influence on organizational performance. Green Banking Initiatives and Environmental Risk Assessment have weaker but significant effects, while institutional barriers show an unexpected positive relationship. This suggests that green banking practices influence performance, but the effects vary in strength and direction depending on institutional maturity and implementation depth [7], [10], </w:t>
      </w:r>
      <w:proofErr w:type="gramStart"/>
      <w:r w:rsidRPr="001644CC">
        <w:rPr>
          <w:sz w:val="22"/>
          <w:szCs w:val="22"/>
        </w:rPr>
        <w:t>[</w:t>
      </w:r>
      <w:proofErr w:type="gramEnd"/>
      <w:r w:rsidRPr="001644CC">
        <w:rPr>
          <w:sz w:val="22"/>
          <w:szCs w:val="22"/>
        </w:rPr>
        <w:t>17].</w:t>
      </w:r>
    </w:p>
    <w:p w:rsidR="00FC7661" w:rsidRDefault="00FC7661" w:rsidP="00D13887">
      <w:pPr>
        <w:pStyle w:val="NormalWeb"/>
        <w:spacing w:before="120" w:beforeAutospacing="0" w:after="0" w:afterAutospacing="0"/>
        <w:jc w:val="both"/>
        <w:rPr>
          <w:sz w:val="22"/>
          <w:szCs w:val="22"/>
        </w:rPr>
      </w:pPr>
    </w:p>
    <w:p w:rsidR="00FC7661" w:rsidRDefault="00FC7661" w:rsidP="00D13887">
      <w:pPr>
        <w:pStyle w:val="NormalWeb"/>
        <w:spacing w:before="120" w:beforeAutospacing="0" w:after="0" w:afterAutospacing="0"/>
        <w:jc w:val="both"/>
        <w:rPr>
          <w:sz w:val="22"/>
          <w:szCs w:val="22"/>
        </w:rPr>
      </w:pPr>
    </w:p>
    <w:p w:rsidR="00FC7661" w:rsidRDefault="00FC7661" w:rsidP="00D13887">
      <w:pPr>
        <w:pStyle w:val="NormalWeb"/>
        <w:spacing w:before="120" w:beforeAutospacing="0" w:after="0" w:afterAutospacing="0"/>
        <w:jc w:val="both"/>
        <w:rPr>
          <w:sz w:val="22"/>
          <w:szCs w:val="22"/>
        </w:rPr>
      </w:pPr>
    </w:p>
    <w:p w:rsidR="00FC7661" w:rsidRDefault="00FC7661" w:rsidP="00D13887">
      <w:pPr>
        <w:pStyle w:val="NormalWeb"/>
        <w:spacing w:before="120" w:beforeAutospacing="0" w:after="0" w:afterAutospacing="0"/>
        <w:jc w:val="both"/>
        <w:rPr>
          <w:sz w:val="22"/>
          <w:szCs w:val="22"/>
        </w:rPr>
      </w:pPr>
    </w:p>
    <w:p w:rsidR="00FC7661" w:rsidRDefault="00FC7661" w:rsidP="00D13887">
      <w:pPr>
        <w:pStyle w:val="NormalWeb"/>
        <w:spacing w:before="120" w:beforeAutospacing="0" w:after="0" w:afterAutospacing="0"/>
        <w:jc w:val="both"/>
        <w:rPr>
          <w:sz w:val="22"/>
          <w:szCs w:val="22"/>
        </w:rPr>
      </w:pPr>
    </w:p>
    <w:p w:rsidR="00FC7661" w:rsidRDefault="00FC7661" w:rsidP="00D13887">
      <w:pPr>
        <w:pStyle w:val="NormalWeb"/>
        <w:spacing w:before="120" w:beforeAutospacing="0" w:after="0" w:afterAutospacing="0"/>
        <w:jc w:val="both"/>
        <w:rPr>
          <w:sz w:val="22"/>
          <w:szCs w:val="22"/>
        </w:rPr>
      </w:pPr>
    </w:p>
    <w:p w:rsidR="00FC7661" w:rsidRPr="001644CC" w:rsidRDefault="00FC7661" w:rsidP="00D13887">
      <w:pPr>
        <w:pStyle w:val="NormalWeb"/>
        <w:spacing w:before="120" w:beforeAutospacing="0" w:after="0" w:afterAutospacing="0"/>
        <w:jc w:val="both"/>
        <w:rPr>
          <w:sz w:val="22"/>
          <w:szCs w:val="22"/>
        </w:rPr>
      </w:pPr>
    </w:p>
    <w:p w:rsidR="007773BA" w:rsidRPr="007773BA" w:rsidRDefault="007773BA" w:rsidP="007773BA">
      <w:pPr>
        <w:pStyle w:val="Heading2"/>
        <w:jc w:val="center"/>
        <w:rPr>
          <w:rFonts w:ascii="Times New Roman" w:hAnsi="Times New Roman" w:cs="Times New Roman"/>
          <w:color w:val="auto"/>
          <w:sz w:val="22"/>
          <w:szCs w:val="22"/>
        </w:rPr>
      </w:pPr>
      <w:r w:rsidRPr="007773BA">
        <w:rPr>
          <w:rFonts w:ascii="Times New Roman" w:hAnsi="Times New Roman" w:cs="Times New Roman"/>
          <w:color w:val="auto"/>
          <w:sz w:val="22"/>
          <w:szCs w:val="22"/>
        </w:rPr>
        <w:t>Table 13: Summary of Regression Results and Interpretation</w:t>
      </w:r>
    </w:p>
    <w:tbl>
      <w:tblPr>
        <w:tblStyle w:val="TableGrid"/>
        <w:tblW w:w="0" w:type="auto"/>
        <w:tblLayout w:type="fixed"/>
        <w:tblLook w:val="04A0"/>
      </w:tblPr>
      <w:tblGrid>
        <w:gridCol w:w="1728"/>
        <w:gridCol w:w="1530"/>
        <w:gridCol w:w="1440"/>
        <w:gridCol w:w="900"/>
        <w:gridCol w:w="2340"/>
        <w:gridCol w:w="1638"/>
      </w:tblGrid>
      <w:tr w:rsidR="007773BA" w:rsidRPr="007773BA" w:rsidTr="00246849">
        <w:tc>
          <w:tcPr>
            <w:tcW w:w="1728" w:type="dxa"/>
            <w:hideMark/>
          </w:tcPr>
          <w:p w:rsidR="007773BA" w:rsidRPr="007773BA" w:rsidRDefault="007773BA">
            <w:pPr>
              <w:jc w:val="center"/>
              <w:rPr>
                <w:rFonts w:ascii="Times New Roman" w:hAnsi="Times New Roman" w:cs="Times New Roman"/>
                <w:bCs/>
                <w:sz w:val="24"/>
                <w:szCs w:val="24"/>
              </w:rPr>
            </w:pPr>
            <w:r w:rsidRPr="007773BA">
              <w:rPr>
                <w:rFonts w:ascii="Times New Roman" w:hAnsi="Times New Roman" w:cs="Times New Roman"/>
                <w:bCs/>
              </w:rPr>
              <w:t>Variable</w:t>
            </w:r>
          </w:p>
        </w:tc>
        <w:tc>
          <w:tcPr>
            <w:tcW w:w="1530" w:type="dxa"/>
            <w:hideMark/>
          </w:tcPr>
          <w:p w:rsidR="007773BA" w:rsidRPr="007773BA" w:rsidRDefault="007773BA">
            <w:pPr>
              <w:jc w:val="center"/>
              <w:rPr>
                <w:rFonts w:ascii="Times New Roman" w:hAnsi="Times New Roman" w:cs="Times New Roman"/>
                <w:bCs/>
                <w:sz w:val="24"/>
                <w:szCs w:val="24"/>
              </w:rPr>
            </w:pPr>
            <w:r w:rsidRPr="007773BA">
              <w:rPr>
                <w:rFonts w:ascii="Times New Roman" w:hAnsi="Times New Roman" w:cs="Times New Roman"/>
                <w:bCs/>
              </w:rPr>
              <w:t>Unstandardized Coefficient (B)</w:t>
            </w:r>
          </w:p>
        </w:tc>
        <w:tc>
          <w:tcPr>
            <w:tcW w:w="1440" w:type="dxa"/>
            <w:hideMark/>
          </w:tcPr>
          <w:p w:rsidR="007773BA" w:rsidRPr="007773BA" w:rsidRDefault="007773BA">
            <w:pPr>
              <w:jc w:val="center"/>
              <w:rPr>
                <w:rFonts w:ascii="Times New Roman" w:hAnsi="Times New Roman" w:cs="Times New Roman"/>
                <w:bCs/>
                <w:sz w:val="24"/>
                <w:szCs w:val="24"/>
              </w:rPr>
            </w:pPr>
            <w:r w:rsidRPr="007773BA">
              <w:rPr>
                <w:rFonts w:ascii="Times New Roman" w:hAnsi="Times New Roman" w:cs="Times New Roman"/>
                <w:bCs/>
              </w:rPr>
              <w:t>Standardized Coefficient (Beta)</w:t>
            </w:r>
          </w:p>
        </w:tc>
        <w:tc>
          <w:tcPr>
            <w:tcW w:w="900" w:type="dxa"/>
            <w:hideMark/>
          </w:tcPr>
          <w:p w:rsidR="007773BA" w:rsidRPr="007773BA" w:rsidRDefault="007773BA">
            <w:pPr>
              <w:jc w:val="center"/>
              <w:rPr>
                <w:rFonts w:ascii="Times New Roman" w:hAnsi="Times New Roman" w:cs="Times New Roman"/>
                <w:bCs/>
                <w:sz w:val="24"/>
                <w:szCs w:val="24"/>
              </w:rPr>
            </w:pPr>
            <w:r w:rsidRPr="007773BA">
              <w:rPr>
                <w:rFonts w:ascii="Times New Roman" w:hAnsi="Times New Roman" w:cs="Times New Roman"/>
                <w:bCs/>
              </w:rPr>
              <w:t>Sig.</w:t>
            </w:r>
          </w:p>
        </w:tc>
        <w:tc>
          <w:tcPr>
            <w:tcW w:w="2340" w:type="dxa"/>
            <w:hideMark/>
          </w:tcPr>
          <w:p w:rsidR="007773BA" w:rsidRPr="007773BA" w:rsidRDefault="007773BA">
            <w:pPr>
              <w:jc w:val="center"/>
              <w:rPr>
                <w:rFonts w:ascii="Times New Roman" w:hAnsi="Times New Roman" w:cs="Times New Roman"/>
                <w:bCs/>
                <w:sz w:val="24"/>
                <w:szCs w:val="24"/>
              </w:rPr>
            </w:pPr>
            <w:r w:rsidRPr="007773BA">
              <w:rPr>
                <w:rFonts w:ascii="Times New Roman" w:hAnsi="Times New Roman" w:cs="Times New Roman"/>
                <w:bCs/>
              </w:rPr>
              <w:t>Interpretation</w:t>
            </w:r>
          </w:p>
        </w:tc>
        <w:tc>
          <w:tcPr>
            <w:tcW w:w="1638" w:type="dxa"/>
            <w:hideMark/>
          </w:tcPr>
          <w:p w:rsidR="007773BA" w:rsidRPr="007773BA" w:rsidRDefault="007773BA">
            <w:pPr>
              <w:jc w:val="center"/>
              <w:rPr>
                <w:rFonts w:ascii="Times New Roman" w:hAnsi="Times New Roman" w:cs="Times New Roman"/>
                <w:bCs/>
                <w:sz w:val="24"/>
                <w:szCs w:val="24"/>
              </w:rPr>
            </w:pPr>
            <w:r w:rsidRPr="007773BA">
              <w:rPr>
                <w:rFonts w:ascii="Times New Roman" w:hAnsi="Times New Roman" w:cs="Times New Roman"/>
                <w:bCs/>
              </w:rPr>
              <w:t>Alignment with Previous Studies</w:t>
            </w:r>
          </w:p>
        </w:tc>
      </w:tr>
      <w:tr w:rsidR="007773BA" w:rsidRPr="007773BA" w:rsidTr="00246849">
        <w:tc>
          <w:tcPr>
            <w:tcW w:w="1728"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Green Banking Adoption (GBA)</w:t>
            </w:r>
          </w:p>
        </w:tc>
        <w:tc>
          <w:tcPr>
            <w:tcW w:w="153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0.107</w:t>
            </w:r>
          </w:p>
        </w:tc>
        <w:tc>
          <w:tcPr>
            <w:tcW w:w="144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0.134</w:t>
            </w:r>
          </w:p>
        </w:tc>
        <w:tc>
          <w:tcPr>
            <w:tcW w:w="90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0.005</w:t>
            </w:r>
          </w:p>
        </w:tc>
        <w:tc>
          <w:tcPr>
            <w:tcW w:w="2340" w:type="dxa"/>
            <w:hideMark/>
          </w:tcPr>
          <w:p w:rsidR="007773BA" w:rsidRPr="007773BA" w:rsidRDefault="007773BA" w:rsidP="007773BA">
            <w:pPr>
              <w:jc w:val="both"/>
              <w:rPr>
                <w:rFonts w:ascii="Times New Roman" w:hAnsi="Times New Roman" w:cs="Times New Roman"/>
                <w:sz w:val="24"/>
                <w:szCs w:val="24"/>
              </w:rPr>
            </w:pPr>
            <w:r w:rsidRPr="007773BA">
              <w:rPr>
                <w:rFonts w:ascii="Times New Roman" w:hAnsi="Times New Roman" w:cs="Times New Roman"/>
              </w:rPr>
              <w:t>Positive and statistically significant effect on organizational performance</w:t>
            </w:r>
          </w:p>
        </w:tc>
        <w:tc>
          <w:tcPr>
            <w:tcW w:w="1638" w:type="dxa"/>
            <w:hideMark/>
          </w:tcPr>
          <w:p w:rsidR="007773BA" w:rsidRPr="007773BA" w:rsidRDefault="007773BA" w:rsidP="007773BA">
            <w:pPr>
              <w:jc w:val="both"/>
              <w:rPr>
                <w:rFonts w:ascii="Times New Roman" w:hAnsi="Times New Roman" w:cs="Times New Roman"/>
                <w:sz w:val="24"/>
                <w:szCs w:val="24"/>
              </w:rPr>
            </w:pPr>
            <w:r w:rsidRPr="007773BA">
              <w:rPr>
                <w:rFonts w:ascii="Times New Roman" w:hAnsi="Times New Roman" w:cs="Times New Roman"/>
              </w:rPr>
              <w:t>Consistent with previous studies [7], [10]</w:t>
            </w:r>
          </w:p>
        </w:tc>
      </w:tr>
      <w:tr w:rsidR="007773BA" w:rsidRPr="007773BA" w:rsidTr="00246849">
        <w:trPr>
          <w:trHeight w:val="1115"/>
        </w:trPr>
        <w:tc>
          <w:tcPr>
            <w:tcW w:w="1728"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Environmental Sustainability (ES)</w:t>
            </w:r>
          </w:p>
        </w:tc>
        <w:tc>
          <w:tcPr>
            <w:tcW w:w="153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0.127</w:t>
            </w:r>
          </w:p>
        </w:tc>
        <w:tc>
          <w:tcPr>
            <w:tcW w:w="144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0.111</w:t>
            </w:r>
          </w:p>
        </w:tc>
        <w:tc>
          <w:tcPr>
            <w:tcW w:w="90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0.000</w:t>
            </w:r>
          </w:p>
        </w:tc>
        <w:tc>
          <w:tcPr>
            <w:tcW w:w="2340" w:type="dxa"/>
            <w:hideMark/>
          </w:tcPr>
          <w:p w:rsidR="007773BA" w:rsidRPr="007773BA" w:rsidRDefault="007773BA" w:rsidP="007773BA">
            <w:pPr>
              <w:jc w:val="both"/>
              <w:rPr>
                <w:rFonts w:ascii="Times New Roman" w:hAnsi="Times New Roman" w:cs="Times New Roman"/>
                <w:sz w:val="24"/>
                <w:szCs w:val="24"/>
              </w:rPr>
            </w:pPr>
            <w:r w:rsidRPr="007773BA">
              <w:rPr>
                <w:rFonts w:ascii="Times New Roman" w:hAnsi="Times New Roman" w:cs="Times New Roman"/>
              </w:rPr>
              <w:t>Positive and statistically significant effect on organizational performance</w:t>
            </w:r>
          </w:p>
        </w:tc>
        <w:tc>
          <w:tcPr>
            <w:tcW w:w="1638" w:type="dxa"/>
            <w:hideMark/>
          </w:tcPr>
          <w:p w:rsidR="007773BA" w:rsidRPr="007773BA" w:rsidRDefault="007773BA" w:rsidP="007773BA">
            <w:pPr>
              <w:jc w:val="both"/>
              <w:rPr>
                <w:rFonts w:ascii="Times New Roman" w:hAnsi="Times New Roman" w:cs="Times New Roman"/>
                <w:sz w:val="24"/>
                <w:szCs w:val="24"/>
              </w:rPr>
            </w:pPr>
            <w:r w:rsidRPr="007773BA">
              <w:rPr>
                <w:rFonts w:ascii="Times New Roman" w:hAnsi="Times New Roman" w:cs="Times New Roman"/>
              </w:rPr>
              <w:t>Supported by prior studies [3], [17], [10]</w:t>
            </w:r>
          </w:p>
        </w:tc>
      </w:tr>
      <w:tr w:rsidR="007773BA" w:rsidRPr="007773BA" w:rsidTr="00246849">
        <w:tc>
          <w:tcPr>
            <w:tcW w:w="1728"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Green Banking Initiatives (GBI)</w:t>
            </w:r>
          </w:p>
        </w:tc>
        <w:tc>
          <w:tcPr>
            <w:tcW w:w="153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0.046</w:t>
            </w:r>
          </w:p>
        </w:tc>
        <w:tc>
          <w:tcPr>
            <w:tcW w:w="144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0.045</w:t>
            </w:r>
          </w:p>
        </w:tc>
        <w:tc>
          <w:tcPr>
            <w:tcW w:w="90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0.000</w:t>
            </w:r>
          </w:p>
        </w:tc>
        <w:tc>
          <w:tcPr>
            <w:tcW w:w="2340" w:type="dxa"/>
            <w:hideMark/>
          </w:tcPr>
          <w:p w:rsidR="007773BA" w:rsidRPr="007773BA" w:rsidRDefault="007773BA" w:rsidP="007773BA">
            <w:pPr>
              <w:jc w:val="both"/>
              <w:rPr>
                <w:rFonts w:ascii="Times New Roman" w:hAnsi="Times New Roman" w:cs="Times New Roman"/>
                <w:sz w:val="24"/>
                <w:szCs w:val="24"/>
              </w:rPr>
            </w:pPr>
            <w:r w:rsidRPr="007773BA">
              <w:rPr>
                <w:rFonts w:ascii="Times New Roman" w:hAnsi="Times New Roman" w:cs="Times New Roman"/>
              </w:rPr>
              <w:t>Positive but weak effect on organizational performance</w:t>
            </w:r>
          </w:p>
        </w:tc>
        <w:tc>
          <w:tcPr>
            <w:tcW w:w="1638" w:type="dxa"/>
            <w:hideMark/>
          </w:tcPr>
          <w:p w:rsidR="007773BA" w:rsidRPr="007773BA" w:rsidRDefault="007773BA" w:rsidP="007773BA">
            <w:pPr>
              <w:jc w:val="both"/>
              <w:rPr>
                <w:rFonts w:ascii="Times New Roman" w:hAnsi="Times New Roman" w:cs="Times New Roman"/>
                <w:sz w:val="24"/>
                <w:szCs w:val="24"/>
              </w:rPr>
            </w:pPr>
            <w:r w:rsidRPr="007773BA">
              <w:rPr>
                <w:rFonts w:ascii="Times New Roman" w:hAnsi="Times New Roman" w:cs="Times New Roman"/>
              </w:rPr>
              <w:t>Consistent with earlier findings [12], [4]</w:t>
            </w:r>
          </w:p>
        </w:tc>
      </w:tr>
      <w:tr w:rsidR="007773BA" w:rsidRPr="007773BA" w:rsidTr="00246849">
        <w:tc>
          <w:tcPr>
            <w:tcW w:w="1728"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Environmental Risk Assessment (ERA)</w:t>
            </w:r>
          </w:p>
        </w:tc>
        <w:tc>
          <w:tcPr>
            <w:tcW w:w="153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0.020</w:t>
            </w:r>
          </w:p>
        </w:tc>
        <w:tc>
          <w:tcPr>
            <w:tcW w:w="144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0.023</w:t>
            </w:r>
          </w:p>
        </w:tc>
        <w:tc>
          <w:tcPr>
            <w:tcW w:w="90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0.006</w:t>
            </w:r>
          </w:p>
        </w:tc>
        <w:tc>
          <w:tcPr>
            <w:tcW w:w="2340" w:type="dxa"/>
            <w:hideMark/>
          </w:tcPr>
          <w:p w:rsidR="007773BA" w:rsidRPr="007773BA" w:rsidRDefault="007773BA" w:rsidP="007773BA">
            <w:pPr>
              <w:jc w:val="both"/>
              <w:rPr>
                <w:rFonts w:ascii="Times New Roman" w:hAnsi="Times New Roman" w:cs="Times New Roman"/>
                <w:sz w:val="24"/>
                <w:szCs w:val="24"/>
              </w:rPr>
            </w:pPr>
            <w:r w:rsidRPr="007773BA">
              <w:rPr>
                <w:rFonts w:ascii="Times New Roman" w:hAnsi="Times New Roman" w:cs="Times New Roman"/>
              </w:rPr>
              <w:t>Positive but weak effect on organizational performance</w:t>
            </w:r>
          </w:p>
        </w:tc>
        <w:tc>
          <w:tcPr>
            <w:tcW w:w="1638" w:type="dxa"/>
            <w:hideMark/>
          </w:tcPr>
          <w:p w:rsidR="007773BA" w:rsidRPr="007773BA" w:rsidRDefault="007773BA" w:rsidP="007773BA">
            <w:pPr>
              <w:jc w:val="both"/>
              <w:rPr>
                <w:rFonts w:ascii="Times New Roman" w:hAnsi="Times New Roman" w:cs="Times New Roman"/>
                <w:sz w:val="24"/>
                <w:szCs w:val="24"/>
              </w:rPr>
            </w:pPr>
            <w:r w:rsidRPr="007773BA">
              <w:rPr>
                <w:rFonts w:ascii="Times New Roman" w:hAnsi="Times New Roman" w:cs="Times New Roman"/>
              </w:rPr>
              <w:t>Supported by previous studies [15], [10]</w:t>
            </w:r>
          </w:p>
        </w:tc>
      </w:tr>
      <w:tr w:rsidR="007773BA" w:rsidRPr="007773BA" w:rsidTr="00246849">
        <w:tc>
          <w:tcPr>
            <w:tcW w:w="1728"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Barriers &amp; Institutional Challenges (BIC)</w:t>
            </w:r>
          </w:p>
        </w:tc>
        <w:tc>
          <w:tcPr>
            <w:tcW w:w="153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0.020</w:t>
            </w:r>
          </w:p>
        </w:tc>
        <w:tc>
          <w:tcPr>
            <w:tcW w:w="144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0.017</w:t>
            </w:r>
          </w:p>
        </w:tc>
        <w:tc>
          <w:tcPr>
            <w:tcW w:w="900" w:type="dxa"/>
            <w:hideMark/>
          </w:tcPr>
          <w:p w:rsidR="007773BA" w:rsidRPr="007773BA" w:rsidRDefault="007773BA">
            <w:pPr>
              <w:rPr>
                <w:rFonts w:ascii="Times New Roman" w:hAnsi="Times New Roman" w:cs="Times New Roman"/>
                <w:sz w:val="24"/>
                <w:szCs w:val="24"/>
              </w:rPr>
            </w:pPr>
            <w:r w:rsidRPr="007773BA">
              <w:rPr>
                <w:rFonts w:ascii="Times New Roman" w:hAnsi="Times New Roman" w:cs="Times New Roman"/>
              </w:rPr>
              <w:t>0.000</w:t>
            </w:r>
          </w:p>
        </w:tc>
        <w:tc>
          <w:tcPr>
            <w:tcW w:w="2340" w:type="dxa"/>
            <w:hideMark/>
          </w:tcPr>
          <w:p w:rsidR="007773BA" w:rsidRPr="007773BA" w:rsidRDefault="007773BA" w:rsidP="007773BA">
            <w:pPr>
              <w:jc w:val="both"/>
              <w:rPr>
                <w:rFonts w:ascii="Times New Roman" w:hAnsi="Times New Roman" w:cs="Times New Roman"/>
                <w:sz w:val="24"/>
                <w:szCs w:val="24"/>
              </w:rPr>
            </w:pPr>
            <w:r w:rsidRPr="007773BA">
              <w:rPr>
                <w:rFonts w:ascii="Times New Roman" w:hAnsi="Times New Roman" w:cs="Times New Roman"/>
              </w:rPr>
              <w:t>Positive but contradicts expected negative relationship</w:t>
            </w:r>
          </w:p>
        </w:tc>
        <w:tc>
          <w:tcPr>
            <w:tcW w:w="1638" w:type="dxa"/>
            <w:hideMark/>
          </w:tcPr>
          <w:p w:rsidR="007773BA" w:rsidRPr="007773BA" w:rsidRDefault="007773BA" w:rsidP="007773BA">
            <w:pPr>
              <w:jc w:val="both"/>
              <w:rPr>
                <w:rFonts w:ascii="Times New Roman" w:hAnsi="Times New Roman" w:cs="Times New Roman"/>
                <w:sz w:val="24"/>
                <w:szCs w:val="24"/>
              </w:rPr>
            </w:pPr>
            <w:r w:rsidRPr="007773BA">
              <w:rPr>
                <w:rFonts w:ascii="Times New Roman" w:hAnsi="Times New Roman" w:cs="Times New Roman"/>
              </w:rPr>
              <w:t>Partially inconsistent with prior studies [4], [6], [10]</w:t>
            </w:r>
          </w:p>
        </w:tc>
      </w:tr>
    </w:tbl>
    <w:p w:rsidR="007773BA" w:rsidRPr="00E727D4" w:rsidRDefault="007773BA" w:rsidP="007773BA">
      <w:pPr>
        <w:pStyle w:val="NormalWeb"/>
        <w:spacing w:before="120" w:beforeAutospacing="0" w:after="0" w:afterAutospacing="0"/>
        <w:jc w:val="both"/>
        <w:rPr>
          <w:sz w:val="22"/>
          <w:szCs w:val="22"/>
        </w:rPr>
      </w:pPr>
      <w:r w:rsidRPr="00E727D4">
        <w:rPr>
          <w:sz w:val="22"/>
          <w:szCs w:val="22"/>
        </w:rPr>
        <w:t>Source: Survey Result, (2026)</w:t>
      </w:r>
    </w:p>
    <w:p w:rsidR="007773BA" w:rsidRPr="002C10BD" w:rsidRDefault="007773BA" w:rsidP="002C10BD">
      <w:pPr>
        <w:pStyle w:val="NormalWeb"/>
        <w:spacing w:before="120" w:beforeAutospacing="0" w:after="0" w:afterAutospacing="0"/>
        <w:jc w:val="both"/>
        <w:rPr>
          <w:sz w:val="22"/>
          <w:szCs w:val="22"/>
        </w:rPr>
      </w:pPr>
      <w:r w:rsidRPr="002C10BD">
        <w:rPr>
          <w:sz w:val="22"/>
          <w:szCs w:val="22"/>
        </w:rPr>
        <w:t xml:space="preserve">Table 13 summarizes the regression findings, indicating that </w:t>
      </w:r>
      <w:r w:rsidRPr="002C10BD">
        <w:rPr>
          <w:rStyle w:val="Strong"/>
          <w:b w:val="0"/>
          <w:sz w:val="22"/>
          <w:szCs w:val="22"/>
        </w:rPr>
        <w:t>Green Banking Adoption and Environmental Sustainability are the strongest predictors</w:t>
      </w:r>
      <w:r w:rsidRPr="002C10BD">
        <w:rPr>
          <w:sz w:val="22"/>
          <w:szCs w:val="22"/>
        </w:rPr>
        <w:t xml:space="preserve"> of organizational performance. Meanwhile, </w:t>
      </w:r>
      <w:r w:rsidRPr="002C10BD">
        <w:rPr>
          <w:rStyle w:val="Strong"/>
          <w:b w:val="0"/>
          <w:sz w:val="22"/>
          <w:szCs w:val="22"/>
        </w:rPr>
        <w:t>Green Banking Initiatives and Environmental Risk Assessment have weaker but still significant contributions</w:t>
      </w:r>
      <w:r w:rsidRPr="002C10BD">
        <w:rPr>
          <w:sz w:val="22"/>
          <w:szCs w:val="22"/>
        </w:rPr>
        <w:t>.</w:t>
      </w:r>
    </w:p>
    <w:p w:rsidR="007773BA" w:rsidRPr="002C10BD" w:rsidRDefault="007773BA" w:rsidP="002C10BD">
      <w:pPr>
        <w:pStyle w:val="NormalWeb"/>
        <w:spacing w:before="120" w:beforeAutospacing="0" w:after="0" w:afterAutospacing="0"/>
        <w:jc w:val="both"/>
        <w:rPr>
          <w:sz w:val="22"/>
          <w:szCs w:val="22"/>
        </w:rPr>
      </w:pPr>
      <w:r w:rsidRPr="002C10BD">
        <w:rPr>
          <w:sz w:val="22"/>
          <w:szCs w:val="22"/>
        </w:rPr>
        <w:lastRenderedPageBreak/>
        <w:t xml:space="preserve">However, </w:t>
      </w:r>
      <w:r w:rsidRPr="002C10BD">
        <w:rPr>
          <w:rStyle w:val="Strong"/>
          <w:b w:val="0"/>
          <w:sz w:val="22"/>
          <w:szCs w:val="22"/>
        </w:rPr>
        <w:t>Barriers and Institutional Challenges show an unexpected positive effect</w:t>
      </w:r>
      <w:r w:rsidRPr="002C10BD">
        <w:rPr>
          <w:sz w:val="22"/>
          <w:szCs w:val="22"/>
        </w:rPr>
        <w:t>, contradicting theoretical expectations and prior empirical evidence. This suggests that, in this context, institutional challenges may reflect increased awareness or transitional dynamics rather than purely negative impacts.</w:t>
      </w:r>
    </w:p>
    <w:p w:rsidR="007773BA" w:rsidRPr="002C10BD" w:rsidRDefault="007773BA" w:rsidP="002C10BD">
      <w:pPr>
        <w:pStyle w:val="NormalWeb"/>
        <w:spacing w:before="120" w:beforeAutospacing="0" w:after="0" w:afterAutospacing="0"/>
        <w:jc w:val="both"/>
        <w:rPr>
          <w:sz w:val="22"/>
          <w:szCs w:val="22"/>
        </w:rPr>
      </w:pPr>
      <w:r w:rsidRPr="002C10BD">
        <w:rPr>
          <w:sz w:val="22"/>
          <w:szCs w:val="22"/>
        </w:rPr>
        <w:t>Overall, the results confirm that green banking practices influence organizational performance, although the strength and direction of the effects vary across variables and depend on the level of institutional development and implementation maturity.</w:t>
      </w:r>
    </w:p>
    <w:p w:rsidR="002C10BD" w:rsidRDefault="002C10BD" w:rsidP="002C10BD">
      <w:pPr>
        <w:pStyle w:val="Heading2"/>
        <w:keepNext w:val="0"/>
        <w:keepLines w:val="0"/>
        <w:widowControl w:val="0"/>
        <w:numPr>
          <w:ilvl w:val="0"/>
          <w:numId w:val="9"/>
        </w:numPr>
        <w:tabs>
          <w:tab w:val="left" w:pos="270"/>
        </w:tabs>
        <w:autoSpaceDE w:val="0"/>
        <w:autoSpaceDN w:val="0"/>
        <w:spacing w:before="120" w:line="240" w:lineRule="auto"/>
        <w:ind w:right="-30"/>
        <w:rPr>
          <w:rFonts w:ascii="Times New Roman" w:hAnsi="Times New Roman" w:cs="Times New Roman"/>
          <w:color w:val="auto"/>
          <w:sz w:val="24"/>
          <w:szCs w:val="24"/>
        </w:rPr>
      </w:pPr>
      <w:bookmarkStart w:id="5" w:name="_Toc213102953"/>
      <w:r w:rsidRPr="001B76EB">
        <w:rPr>
          <w:rFonts w:ascii="Times New Roman" w:hAnsi="Times New Roman" w:cs="Times New Roman"/>
          <w:color w:val="auto"/>
          <w:sz w:val="24"/>
          <w:szCs w:val="24"/>
        </w:rPr>
        <w:t>Summary of Major Findings, Conclusion and Recommendations</w:t>
      </w:r>
      <w:bookmarkEnd w:id="5"/>
    </w:p>
    <w:p w:rsidR="006A559E" w:rsidRDefault="006A559E" w:rsidP="006A559E">
      <w:pPr>
        <w:spacing w:before="120" w:after="0" w:line="240" w:lineRule="auto"/>
        <w:jc w:val="both"/>
        <w:rPr>
          <w:rFonts w:ascii="Times New Roman" w:hAnsi="Times New Roman" w:cs="Times New Roman"/>
        </w:rPr>
      </w:pPr>
      <w:r w:rsidRPr="006A559E">
        <w:rPr>
          <w:rFonts w:ascii="Times New Roman" w:hAnsi="Times New Roman" w:cs="Times New Roman"/>
        </w:rPr>
        <w:t>This study examined the effect of green banking practices on environmental sustainability and organizational performance in selected commercial banks in Addis Ababa, Ethiopia. It focused on key dimensions including green banking adoption, environmental sustainability, green banking initiatives, environmental risk assessment, and barriers and institutional challenges, and analyzed how these factors influence organizational performance. The findings provide empirical evidence on the extent to which sustainability-oriented banking practices contribute to both</w:t>
      </w:r>
      <w:r>
        <w:t xml:space="preserve"> </w:t>
      </w:r>
      <w:r w:rsidRPr="006A559E">
        <w:rPr>
          <w:rFonts w:ascii="Times New Roman" w:hAnsi="Times New Roman" w:cs="Times New Roman"/>
        </w:rPr>
        <w:t>environmental outcomes and institutional efficiency within the Ethiopian banking sector.</w:t>
      </w:r>
    </w:p>
    <w:p w:rsidR="00914044" w:rsidRDefault="00914044" w:rsidP="006A559E">
      <w:pPr>
        <w:spacing w:before="120" w:after="0" w:line="240" w:lineRule="auto"/>
        <w:jc w:val="both"/>
        <w:rPr>
          <w:rFonts w:ascii="Times New Roman" w:hAnsi="Times New Roman" w:cs="Times New Roman"/>
        </w:rPr>
      </w:pPr>
    </w:p>
    <w:p w:rsidR="00914044" w:rsidRPr="006A559E" w:rsidRDefault="00914044" w:rsidP="006A559E">
      <w:pPr>
        <w:spacing w:before="120" w:after="0" w:line="240" w:lineRule="auto"/>
        <w:jc w:val="both"/>
        <w:rPr>
          <w:rFonts w:ascii="Times New Roman" w:hAnsi="Times New Roman" w:cs="Times New Roman"/>
        </w:rPr>
      </w:pPr>
    </w:p>
    <w:p w:rsidR="002C10BD" w:rsidRPr="00C9690D" w:rsidRDefault="002C10BD" w:rsidP="002C10BD">
      <w:pPr>
        <w:pStyle w:val="Heading2"/>
        <w:numPr>
          <w:ilvl w:val="1"/>
          <w:numId w:val="9"/>
        </w:numPr>
        <w:spacing w:before="120" w:line="240" w:lineRule="auto"/>
        <w:jc w:val="both"/>
        <w:rPr>
          <w:rFonts w:ascii="Times New Roman" w:hAnsi="Times New Roman" w:cs="Times New Roman"/>
          <w:color w:val="auto"/>
          <w:sz w:val="22"/>
          <w:szCs w:val="22"/>
        </w:rPr>
      </w:pPr>
      <w:r w:rsidRPr="00C9690D">
        <w:rPr>
          <w:rStyle w:val="Strong"/>
          <w:b/>
          <w:bCs/>
          <w:color w:val="auto"/>
          <w:sz w:val="22"/>
          <w:szCs w:val="22"/>
        </w:rPr>
        <w:t xml:space="preserve"> Summary of Major Findings</w:t>
      </w:r>
    </w:p>
    <w:p w:rsidR="006A559E" w:rsidRPr="006A559E" w:rsidRDefault="006A559E" w:rsidP="006A559E">
      <w:pPr>
        <w:pStyle w:val="Heading3"/>
        <w:spacing w:before="120" w:beforeAutospacing="0" w:after="0" w:afterAutospacing="0"/>
        <w:jc w:val="both"/>
        <w:rPr>
          <w:sz w:val="22"/>
          <w:szCs w:val="22"/>
        </w:rPr>
      </w:pPr>
      <w:r w:rsidRPr="006A559E">
        <w:rPr>
          <w:rStyle w:val="Strong"/>
          <w:b/>
          <w:bCs/>
          <w:sz w:val="22"/>
          <w:szCs w:val="22"/>
        </w:rPr>
        <w:t>Green Banking Adoption and Organizational Performance</w:t>
      </w:r>
    </w:p>
    <w:p w:rsidR="006A559E" w:rsidRPr="006A559E" w:rsidRDefault="006A559E" w:rsidP="006A559E">
      <w:pPr>
        <w:pStyle w:val="NormalWeb"/>
        <w:numPr>
          <w:ilvl w:val="0"/>
          <w:numId w:val="27"/>
        </w:numPr>
        <w:spacing w:before="120" w:beforeAutospacing="0" w:after="0" w:afterAutospacing="0"/>
        <w:jc w:val="both"/>
        <w:rPr>
          <w:sz w:val="22"/>
          <w:szCs w:val="22"/>
        </w:rPr>
      </w:pPr>
      <w:r w:rsidRPr="006A559E">
        <w:rPr>
          <w:sz w:val="22"/>
          <w:szCs w:val="22"/>
        </w:rPr>
        <w:t>Green Banking Adoption has a positive and statistically significant effect on organizational performance, indicating that banks that increasingly adopt green banking practices tend to experience improved overall performance outcomes. This suggests that the integration of environmentally friendly banking systems and digital financial services plays an important role in strengthening institutional effectiveness. The result confirms that green banking adoption is not only an environmental strategy but also a performance-enhancing mechanism within commercial banks.</w:t>
      </w:r>
    </w:p>
    <w:p w:rsidR="006A559E" w:rsidRPr="006A559E" w:rsidRDefault="006A559E" w:rsidP="006A559E">
      <w:pPr>
        <w:pStyle w:val="NormalWeb"/>
        <w:numPr>
          <w:ilvl w:val="0"/>
          <w:numId w:val="27"/>
        </w:numPr>
        <w:spacing w:before="120" w:beforeAutospacing="0" w:after="0" w:afterAutospacing="0"/>
        <w:jc w:val="both"/>
        <w:rPr>
          <w:sz w:val="22"/>
          <w:szCs w:val="22"/>
        </w:rPr>
      </w:pPr>
      <w:r w:rsidRPr="006A559E">
        <w:rPr>
          <w:sz w:val="22"/>
          <w:szCs w:val="22"/>
        </w:rPr>
        <w:t>In addition, Green Banking Adoption improves efficiency, service delivery, and financial outcomes through the use of digital platforms and eco-friendly banking systems. By reducing reliance on paper-based processes and encouraging electronic transactions, banks are able to streamline operations, reduce costs, and enhance customer convenience. This operational transformation contributes directly to improved organizational performance.</w:t>
      </w:r>
    </w:p>
    <w:p w:rsidR="006A559E" w:rsidRPr="006A559E" w:rsidRDefault="006A559E" w:rsidP="006A559E">
      <w:pPr>
        <w:pStyle w:val="NormalWeb"/>
        <w:numPr>
          <w:ilvl w:val="0"/>
          <w:numId w:val="27"/>
        </w:numPr>
        <w:spacing w:before="120" w:beforeAutospacing="0" w:after="0" w:afterAutospacing="0"/>
        <w:jc w:val="both"/>
        <w:rPr>
          <w:sz w:val="22"/>
          <w:szCs w:val="22"/>
        </w:rPr>
      </w:pPr>
      <w:r w:rsidRPr="006A559E">
        <w:rPr>
          <w:sz w:val="22"/>
          <w:szCs w:val="22"/>
        </w:rPr>
        <w:t>Furthermore, the results indicate that Green Banking Adoption is a moderate predictor of organizational performance in the model. Although it is not the strongest factor, its contribution remains meaningful and statistically significant, showing that it plays an important supporting role alongside other sustainability variables. This highlights that its impact is important but works more effectively when combined with broader sustainability strategies.</w:t>
      </w:r>
    </w:p>
    <w:p w:rsidR="006A559E" w:rsidRPr="006A559E" w:rsidRDefault="006A559E" w:rsidP="006A559E">
      <w:pPr>
        <w:pStyle w:val="NormalWeb"/>
        <w:numPr>
          <w:ilvl w:val="0"/>
          <w:numId w:val="27"/>
        </w:numPr>
        <w:spacing w:before="120" w:beforeAutospacing="0" w:after="0" w:afterAutospacing="0"/>
        <w:jc w:val="both"/>
        <w:rPr>
          <w:sz w:val="22"/>
          <w:szCs w:val="22"/>
        </w:rPr>
      </w:pPr>
      <w:r w:rsidRPr="006A559E">
        <w:rPr>
          <w:sz w:val="22"/>
          <w:szCs w:val="22"/>
        </w:rPr>
        <w:t>Overall, Green Banking Adoption supports improved operational effectiveness in commercial banks by enhancing efficiency, reducing operational delays, and promoting modern banking practices. This suggests that continued investment in green and digital banking systems is essential for improving both environmental outcomes and organizational performance in the banking sector.</w:t>
      </w:r>
    </w:p>
    <w:p w:rsidR="006A559E" w:rsidRPr="006A559E" w:rsidRDefault="006A559E" w:rsidP="006A559E">
      <w:pPr>
        <w:pStyle w:val="Heading2"/>
        <w:spacing w:before="120" w:line="240" w:lineRule="auto"/>
        <w:jc w:val="both"/>
        <w:rPr>
          <w:rFonts w:ascii="Times New Roman" w:hAnsi="Times New Roman" w:cs="Times New Roman"/>
          <w:color w:val="auto"/>
          <w:sz w:val="22"/>
          <w:szCs w:val="22"/>
        </w:rPr>
      </w:pPr>
      <w:r w:rsidRPr="006A559E">
        <w:rPr>
          <w:rStyle w:val="Strong"/>
          <w:rFonts w:ascii="Times New Roman" w:hAnsi="Times New Roman" w:cs="Times New Roman"/>
          <w:b/>
          <w:bCs/>
          <w:color w:val="auto"/>
          <w:sz w:val="22"/>
          <w:szCs w:val="22"/>
        </w:rPr>
        <w:t>Environmental Sustainability and Organizational Performance</w:t>
      </w:r>
    </w:p>
    <w:p w:rsidR="006A559E" w:rsidRPr="006A559E" w:rsidRDefault="006A559E" w:rsidP="006A559E">
      <w:pPr>
        <w:pStyle w:val="NormalWeb"/>
        <w:numPr>
          <w:ilvl w:val="0"/>
          <w:numId w:val="36"/>
        </w:numPr>
        <w:spacing w:before="120" w:beforeAutospacing="0" w:after="0" w:afterAutospacing="0"/>
        <w:jc w:val="both"/>
        <w:rPr>
          <w:sz w:val="22"/>
          <w:szCs w:val="22"/>
        </w:rPr>
      </w:pPr>
      <w:r w:rsidRPr="006A559E">
        <w:rPr>
          <w:sz w:val="22"/>
          <w:szCs w:val="22"/>
        </w:rPr>
        <w:t>Environmental Sustainability shows the strongest positive effect on organizational performance, indicating that banks that prioritize environmental protection and sustainable practices tend to achieve superior operational and financial outcomes. This implies that activities such as carbon reduction, resource efficiency, and waste management are not only environmentally beneficial but also strategically valuable for improving institutional performance.</w:t>
      </w:r>
    </w:p>
    <w:p w:rsidR="006A559E" w:rsidRPr="006A559E" w:rsidRDefault="006A559E" w:rsidP="006A559E">
      <w:pPr>
        <w:pStyle w:val="NormalWeb"/>
        <w:numPr>
          <w:ilvl w:val="0"/>
          <w:numId w:val="36"/>
        </w:numPr>
        <w:spacing w:before="120" w:beforeAutospacing="0" w:after="0" w:afterAutospacing="0"/>
        <w:jc w:val="both"/>
        <w:rPr>
          <w:sz w:val="22"/>
          <w:szCs w:val="22"/>
        </w:rPr>
      </w:pPr>
      <w:r w:rsidRPr="006A559E">
        <w:rPr>
          <w:sz w:val="22"/>
          <w:szCs w:val="22"/>
        </w:rPr>
        <w:t xml:space="preserve">In addition, environmental sustainability enhances profitability, reputation, and stakeholder trust. Banks that demonstrate strong environmental responsibility are more likely to attract customers, </w:t>
      </w:r>
      <w:r w:rsidRPr="006A559E">
        <w:rPr>
          <w:sz w:val="22"/>
          <w:szCs w:val="22"/>
        </w:rPr>
        <w:lastRenderedPageBreak/>
        <w:t>investors, and skilled employees, thereby strengthening their market position. This improved public image contributes directly to competitive advantage in the banking sector.</w:t>
      </w:r>
    </w:p>
    <w:p w:rsidR="006A559E" w:rsidRPr="006A559E" w:rsidRDefault="006A559E" w:rsidP="006A559E">
      <w:pPr>
        <w:pStyle w:val="NormalWeb"/>
        <w:numPr>
          <w:ilvl w:val="0"/>
          <w:numId w:val="36"/>
        </w:numPr>
        <w:spacing w:before="120" w:beforeAutospacing="0" w:after="0" w:afterAutospacing="0"/>
        <w:jc w:val="both"/>
        <w:rPr>
          <w:sz w:val="22"/>
          <w:szCs w:val="22"/>
        </w:rPr>
      </w:pPr>
      <w:r w:rsidRPr="006A559E">
        <w:rPr>
          <w:sz w:val="22"/>
          <w:szCs w:val="22"/>
        </w:rPr>
        <w:t>Furthermore, environmental sustainability significantly contributes to long-term competitiveness and institutional efficiency. By integrating sustainability into core operations, banks improve resource utilization and reduce operational inefficiencies over time. This long-term orientation strengthens financial stability and supports sustainable growth.</w:t>
      </w:r>
    </w:p>
    <w:p w:rsidR="006A559E" w:rsidRPr="006A559E" w:rsidRDefault="006A559E" w:rsidP="006A559E">
      <w:pPr>
        <w:pStyle w:val="NormalWeb"/>
        <w:numPr>
          <w:ilvl w:val="0"/>
          <w:numId w:val="36"/>
        </w:numPr>
        <w:spacing w:before="120" w:beforeAutospacing="0" w:after="0" w:afterAutospacing="0"/>
        <w:jc w:val="both"/>
        <w:rPr>
          <w:sz w:val="22"/>
          <w:szCs w:val="22"/>
        </w:rPr>
      </w:pPr>
      <w:r w:rsidRPr="006A559E">
        <w:rPr>
          <w:sz w:val="22"/>
          <w:szCs w:val="22"/>
        </w:rPr>
        <w:t>Overall, environmental sustainability emerges as the most influential variable in the regression model, confirming its central role in driving both financial and non-financial performance outcomes in commercial banks.</w:t>
      </w:r>
    </w:p>
    <w:p w:rsidR="006A559E" w:rsidRPr="006A559E" w:rsidRDefault="006A559E" w:rsidP="006A559E">
      <w:pPr>
        <w:pStyle w:val="Heading2"/>
        <w:spacing w:before="120" w:line="240" w:lineRule="auto"/>
        <w:jc w:val="both"/>
        <w:rPr>
          <w:rFonts w:ascii="Times New Roman" w:hAnsi="Times New Roman" w:cs="Times New Roman"/>
          <w:color w:val="auto"/>
          <w:sz w:val="22"/>
          <w:szCs w:val="22"/>
        </w:rPr>
      </w:pPr>
      <w:r w:rsidRPr="006A559E">
        <w:rPr>
          <w:rStyle w:val="Strong"/>
          <w:rFonts w:ascii="Times New Roman" w:hAnsi="Times New Roman" w:cs="Times New Roman"/>
          <w:b/>
          <w:bCs/>
          <w:color w:val="auto"/>
          <w:sz w:val="22"/>
          <w:szCs w:val="22"/>
        </w:rPr>
        <w:t>Green Banking Initiatives and Organizational Performance</w:t>
      </w:r>
    </w:p>
    <w:p w:rsidR="006A559E" w:rsidRPr="006A559E" w:rsidRDefault="006A559E" w:rsidP="006A559E">
      <w:pPr>
        <w:pStyle w:val="NormalWeb"/>
        <w:numPr>
          <w:ilvl w:val="0"/>
          <w:numId w:val="37"/>
        </w:numPr>
        <w:spacing w:before="120" w:beforeAutospacing="0" w:after="0" w:afterAutospacing="0"/>
        <w:jc w:val="both"/>
        <w:rPr>
          <w:sz w:val="22"/>
          <w:szCs w:val="22"/>
        </w:rPr>
      </w:pPr>
      <w:r w:rsidRPr="006A559E">
        <w:rPr>
          <w:sz w:val="22"/>
          <w:szCs w:val="22"/>
        </w:rPr>
        <w:t>Green Banking Initiatives show a positive but relatively weak effect on organizational performance, indicating that their influence exists but is not yet strongly developed. This suggests that while initiatives such as green lending products and environmental programs are being implemented, their direct contribution to performance remains limited.</w:t>
      </w:r>
    </w:p>
    <w:p w:rsidR="006A559E" w:rsidRPr="006A559E" w:rsidRDefault="006A559E" w:rsidP="006A559E">
      <w:pPr>
        <w:pStyle w:val="NormalWeb"/>
        <w:numPr>
          <w:ilvl w:val="0"/>
          <w:numId w:val="37"/>
        </w:numPr>
        <w:spacing w:before="120" w:beforeAutospacing="0" w:after="0" w:afterAutospacing="0"/>
        <w:jc w:val="both"/>
        <w:rPr>
          <w:sz w:val="22"/>
          <w:szCs w:val="22"/>
        </w:rPr>
      </w:pPr>
      <w:r w:rsidRPr="006A559E">
        <w:rPr>
          <w:sz w:val="22"/>
          <w:szCs w:val="22"/>
        </w:rPr>
        <w:t>Their impact is not fully direct and may operate through long-term mechanisms such as improved efficiency, enhanced reputation, and better risk management. This indicates that the benefits of green banking initiatives may take time to fully materialize in financial performance indicators.</w:t>
      </w:r>
    </w:p>
    <w:p w:rsidR="006A559E" w:rsidRPr="006A559E" w:rsidRDefault="006A559E" w:rsidP="006A559E">
      <w:pPr>
        <w:pStyle w:val="NormalWeb"/>
        <w:numPr>
          <w:ilvl w:val="0"/>
          <w:numId w:val="37"/>
        </w:numPr>
        <w:spacing w:before="120" w:beforeAutospacing="0" w:after="0" w:afterAutospacing="0"/>
        <w:jc w:val="both"/>
        <w:rPr>
          <w:sz w:val="22"/>
          <w:szCs w:val="22"/>
        </w:rPr>
      </w:pPr>
      <w:r w:rsidRPr="006A559E">
        <w:rPr>
          <w:sz w:val="22"/>
          <w:szCs w:val="22"/>
        </w:rPr>
        <w:t>In addition, initiatives such as green credit provision and corporate social responsibility activities support environmental sustainability but do not yet translate into strong immediate financial gains. This reflects the early stage of green finance development within the banking sector.</w:t>
      </w:r>
    </w:p>
    <w:p w:rsidR="006A559E" w:rsidRPr="006A559E" w:rsidRDefault="006A559E" w:rsidP="006A559E">
      <w:pPr>
        <w:pStyle w:val="NormalWeb"/>
        <w:numPr>
          <w:ilvl w:val="0"/>
          <w:numId w:val="37"/>
        </w:numPr>
        <w:spacing w:before="120" w:beforeAutospacing="0" w:after="0" w:afterAutospacing="0"/>
        <w:jc w:val="both"/>
        <w:rPr>
          <w:sz w:val="22"/>
          <w:szCs w:val="22"/>
        </w:rPr>
      </w:pPr>
      <w:r w:rsidRPr="006A559E">
        <w:rPr>
          <w:sz w:val="22"/>
          <w:szCs w:val="22"/>
        </w:rPr>
        <w:t>Overall, the contribution of green banking initiatives to organizational performance is still emerging, suggesting the need for further institutional strengthening and wider adoption to realize their full potential.</w:t>
      </w:r>
    </w:p>
    <w:p w:rsidR="006A559E" w:rsidRPr="006A559E" w:rsidRDefault="006A559E" w:rsidP="006A559E">
      <w:pPr>
        <w:pStyle w:val="Heading2"/>
        <w:spacing w:before="120" w:line="240" w:lineRule="auto"/>
        <w:jc w:val="both"/>
        <w:rPr>
          <w:rFonts w:ascii="Times New Roman" w:hAnsi="Times New Roman" w:cs="Times New Roman"/>
          <w:color w:val="auto"/>
          <w:sz w:val="22"/>
          <w:szCs w:val="22"/>
        </w:rPr>
      </w:pPr>
      <w:r w:rsidRPr="006A559E">
        <w:rPr>
          <w:rStyle w:val="Strong"/>
          <w:rFonts w:ascii="Times New Roman" w:hAnsi="Times New Roman" w:cs="Times New Roman"/>
          <w:b/>
          <w:bCs/>
          <w:color w:val="auto"/>
          <w:sz w:val="22"/>
          <w:szCs w:val="22"/>
        </w:rPr>
        <w:t>Environmental Risk Assessment and Organizational Performance</w:t>
      </w:r>
    </w:p>
    <w:p w:rsidR="006A559E" w:rsidRPr="006A559E" w:rsidRDefault="006A559E" w:rsidP="006A559E">
      <w:pPr>
        <w:pStyle w:val="NormalWeb"/>
        <w:numPr>
          <w:ilvl w:val="0"/>
          <w:numId w:val="38"/>
        </w:numPr>
        <w:spacing w:before="120" w:beforeAutospacing="0" w:after="0" w:afterAutospacing="0"/>
        <w:jc w:val="both"/>
        <w:rPr>
          <w:sz w:val="22"/>
          <w:szCs w:val="22"/>
        </w:rPr>
      </w:pPr>
      <w:r w:rsidRPr="006A559E">
        <w:rPr>
          <w:sz w:val="22"/>
          <w:szCs w:val="22"/>
        </w:rPr>
        <w:t>Environmental Risk Assessment has a weak but positive effect on organizational performance, indicating that its influence is present but limited. This suggests that incorporating environmental considerations into risk evaluation processes contributes modestly to overall bank performance.</w:t>
      </w:r>
    </w:p>
    <w:p w:rsidR="006A559E" w:rsidRPr="006A559E" w:rsidRDefault="006A559E" w:rsidP="006A559E">
      <w:pPr>
        <w:pStyle w:val="NormalWeb"/>
        <w:numPr>
          <w:ilvl w:val="0"/>
          <w:numId w:val="38"/>
        </w:numPr>
        <w:spacing w:before="120" w:beforeAutospacing="0" w:after="0" w:afterAutospacing="0"/>
        <w:jc w:val="both"/>
        <w:rPr>
          <w:sz w:val="22"/>
          <w:szCs w:val="22"/>
        </w:rPr>
      </w:pPr>
      <w:r w:rsidRPr="006A559E">
        <w:rPr>
          <w:sz w:val="22"/>
          <w:szCs w:val="22"/>
        </w:rPr>
        <w:t>It contributes to improved credit quality and reduced financial risk by enabling banks to identify environmentally sensitive borrowers and manage potential loan defaults more effectively. This enhances the stability of the loan portfolio and supports prudent lending decisions.</w:t>
      </w:r>
    </w:p>
    <w:p w:rsidR="006A559E" w:rsidRPr="006A559E" w:rsidRDefault="006A559E" w:rsidP="006A559E">
      <w:pPr>
        <w:pStyle w:val="NormalWeb"/>
        <w:numPr>
          <w:ilvl w:val="0"/>
          <w:numId w:val="38"/>
        </w:numPr>
        <w:spacing w:before="120" w:beforeAutospacing="0" w:after="0" w:afterAutospacing="0"/>
        <w:jc w:val="both"/>
        <w:rPr>
          <w:sz w:val="22"/>
          <w:szCs w:val="22"/>
        </w:rPr>
      </w:pPr>
      <w:r w:rsidRPr="006A559E">
        <w:rPr>
          <w:sz w:val="22"/>
          <w:szCs w:val="22"/>
        </w:rPr>
        <w:t>However, its impact remains limited due to the early-stage implementation of environmental risk assessment practices in the banking sector. Many institutions are still developing the necessary tools, data systems, and expertise required for full integration.</w:t>
      </w:r>
    </w:p>
    <w:p w:rsidR="006A559E" w:rsidRPr="006A559E" w:rsidRDefault="006A559E" w:rsidP="006A559E">
      <w:pPr>
        <w:pStyle w:val="NormalWeb"/>
        <w:numPr>
          <w:ilvl w:val="0"/>
          <w:numId w:val="38"/>
        </w:numPr>
        <w:spacing w:before="120" w:beforeAutospacing="0" w:after="0" w:afterAutospacing="0"/>
        <w:jc w:val="both"/>
        <w:rPr>
          <w:sz w:val="22"/>
          <w:szCs w:val="22"/>
        </w:rPr>
      </w:pPr>
      <w:r w:rsidRPr="006A559E">
        <w:rPr>
          <w:sz w:val="22"/>
          <w:szCs w:val="22"/>
        </w:rPr>
        <w:t>Overall, environmental risk assessment supports long-term financial stability rather than immediate performance gains, highlighting its role as a forward-looking risk management tool rather than a short-term profitability driver.</w:t>
      </w:r>
    </w:p>
    <w:p w:rsidR="006A559E" w:rsidRPr="006A559E" w:rsidRDefault="006A559E" w:rsidP="006A559E">
      <w:pPr>
        <w:pStyle w:val="Heading2"/>
        <w:spacing w:before="120" w:line="240" w:lineRule="auto"/>
        <w:jc w:val="both"/>
        <w:rPr>
          <w:rFonts w:ascii="Times New Roman" w:hAnsi="Times New Roman" w:cs="Times New Roman"/>
          <w:color w:val="auto"/>
          <w:sz w:val="22"/>
          <w:szCs w:val="22"/>
        </w:rPr>
      </w:pPr>
      <w:r w:rsidRPr="006A559E">
        <w:rPr>
          <w:rStyle w:val="Strong"/>
          <w:rFonts w:ascii="Times New Roman" w:hAnsi="Times New Roman" w:cs="Times New Roman"/>
          <w:b/>
          <w:bCs/>
          <w:color w:val="auto"/>
          <w:sz w:val="22"/>
          <w:szCs w:val="22"/>
        </w:rPr>
        <w:t>Barriers and Institutional Challenges and Organizational Performance</w:t>
      </w:r>
    </w:p>
    <w:p w:rsidR="006A559E" w:rsidRPr="006A559E" w:rsidRDefault="006A559E" w:rsidP="006A559E">
      <w:pPr>
        <w:pStyle w:val="NormalWeb"/>
        <w:numPr>
          <w:ilvl w:val="0"/>
          <w:numId w:val="39"/>
        </w:numPr>
        <w:spacing w:before="120" w:beforeAutospacing="0" w:after="0" w:afterAutospacing="0"/>
        <w:jc w:val="both"/>
        <w:rPr>
          <w:sz w:val="22"/>
          <w:szCs w:val="22"/>
        </w:rPr>
      </w:pPr>
      <w:r w:rsidRPr="006A559E">
        <w:rPr>
          <w:sz w:val="22"/>
          <w:szCs w:val="22"/>
        </w:rPr>
        <w:t>Barriers and Institutional Challenges show an unexpected positive relationship with organizational performance, which contradicts the commonly expected negative effect. This suggests that the presence of barriers may be associated with ongoing institutional changes rather than actual performance decline.</w:t>
      </w:r>
    </w:p>
    <w:p w:rsidR="006A559E" w:rsidRPr="006A559E" w:rsidRDefault="006A559E" w:rsidP="006A559E">
      <w:pPr>
        <w:pStyle w:val="NormalWeb"/>
        <w:numPr>
          <w:ilvl w:val="0"/>
          <w:numId w:val="39"/>
        </w:numPr>
        <w:spacing w:before="120" w:beforeAutospacing="0" w:after="0" w:afterAutospacing="0"/>
        <w:jc w:val="both"/>
        <w:rPr>
          <w:sz w:val="22"/>
          <w:szCs w:val="22"/>
        </w:rPr>
      </w:pPr>
      <w:r w:rsidRPr="006A559E">
        <w:rPr>
          <w:sz w:val="22"/>
          <w:szCs w:val="22"/>
        </w:rPr>
        <w:lastRenderedPageBreak/>
        <w:t>This may reflect increased awareness during implementation, where banks that are more actively engaged in green banking practices are also more likely to identify and report existing challenges. In this sense, barriers may represent transparency and awareness rather than operational failure.</w:t>
      </w:r>
    </w:p>
    <w:p w:rsidR="006A559E" w:rsidRPr="006A559E" w:rsidRDefault="006A559E" w:rsidP="006A559E">
      <w:pPr>
        <w:pStyle w:val="NormalWeb"/>
        <w:numPr>
          <w:ilvl w:val="0"/>
          <w:numId w:val="39"/>
        </w:numPr>
        <w:spacing w:before="120" w:beforeAutospacing="0" w:after="0" w:afterAutospacing="0"/>
        <w:jc w:val="both"/>
        <w:rPr>
          <w:sz w:val="22"/>
          <w:szCs w:val="22"/>
        </w:rPr>
      </w:pPr>
      <w:r w:rsidRPr="006A559E">
        <w:rPr>
          <w:sz w:val="22"/>
          <w:szCs w:val="22"/>
        </w:rPr>
        <w:t>It also suggests a transitional stage in green banking adoption, where institutions are simultaneously improving performance while facing structural and regulatory constraints. During such phases, challenges and improvements can coexist.</w:t>
      </w:r>
    </w:p>
    <w:p w:rsidR="006A559E" w:rsidRPr="006A559E" w:rsidRDefault="006A559E" w:rsidP="006A559E">
      <w:pPr>
        <w:pStyle w:val="NormalWeb"/>
        <w:numPr>
          <w:ilvl w:val="0"/>
          <w:numId w:val="39"/>
        </w:numPr>
        <w:spacing w:before="120" w:beforeAutospacing="0" w:after="0" w:afterAutospacing="0"/>
        <w:jc w:val="both"/>
        <w:rPr>
          <w:sz w:val="22"/>
          <w:szCs w:val="22"/>
        </w:rPr>
      </w:pPr>
      <w:r w:rsidRPr="006A559E">
        <w:rPr>
          <w:sz w:val="22"/>
          <w:szCs w:val="22"/>
        </w:rPr>
        <w:t>Overall, institutional constraints appear to coexist with performance improvements in the current context, indicating that barriers are part of the evolving process of green banking implementation rather than purely obstructive factors.</w:t>
      </w:r>
    </w:p>
    <w:p w:rsidR="006A559E" w:rsidRPr="006A559E" w:rsidRDefault="006A559E" w:rsidP="006A559E">
      <w:pPr>
        <w:pStyle w:val="Heading2"/>
        <w:numPr>
          <w:ilvl w:val="1"/>
          <w:numId w:val="9"/>
        </w:numPr>
        <w:spacing w:before="120" w:line="240" w:lineRule="auto"/>
        <w:jc w:val="both"/>
        <w:rPr>
          <w:rFonts w:ascii="Times New Roman" w:hAnsi="Times New Roman" w:cs="Times New Roman"/>
          <w:color w:val="auto"/>
          <w:sz w:val="22"/>
          <w:szCs w:val="22"/>
        </w:rPr>
      </w:pPr>
      <w:r w:rsidRPr="006A559E">
        <w:rPr>
          <w:rStyle w:val="Strong"/>
          <w:rFonts w:ascii="Times New Roman" w:hAnsi="Times New Roman" w:cs="Times New Roman"/>
          <w:b/>
          <w:bCs/>
          <w:color w:val="auto"/>
          <w:sz w:val="22"/>
          <w:szCs w:val="22"/>
        </w:rPr>
        <w:t xml:space="preserve"> Conclusion</w:t>
      </w:r>
    </w:p>
    <w:p w:rsidR="006A559E" w:rsidRPr="006A559E" w:rsidRDefault="006A559E" w:rsidP="006A559E">
      <w:pPr>
        <w:pStyle w:val="NormalWeb"/>
        <w:spacing w:before="120" w:beforeAutospacing="0" w:after="0" w:afterAutospacing="0"/>
        <w:jc w:val="both"/>
        <w:rPr>
          <w:sz w:val="22"/>
          <w:szCs w:val="22"/>
        </w:rPr>
      </w:pPr>
      <w:r w:rsidRPr="006A559E">
        <w:rPr>
          <w:sz w:val="22"/>
          <w:szCs w:val="22"/>
        </w:rPr>
        <w:t>The study concludes that green banking practices significantly influence organizational performance in selected commercial banks in Addis Ababa. Among the variables, Environmental Sustainability plays the most dominant role, indicating that environmentally responsible practices are strongly linked to improved institutional outcomes. Green Banking Adoption also contributes positively, confirming the importance of digital transformation and eco-friendly banking systems in enhancing efficiency and service delivery.</w:t>
      </w:r>
    </w:p>
    <w:p w:rsidR="006A559E" w:rsidRPr="006A559E" w:rsidRDefault="006A559E" w:rsidP="006A559E">
      <w:pPr>
        <w:pStyle w:val="NormalWeb"/>
        <w:spacing w:before="120" w:beforeAutospacing="0" w:after="0" w:afterAutospacing="0"/>
        <w:jc w:val="both"/>
        <w:rPr>
          <w:sz w:val="22"/>
          <w:szCs w:val="22"/>
        </w:rPr>
      </w:pPr>
      <w:r w:rsidRPr="006A559E">
        <w:rPr>
          <w:sz w:val="22"/>
          <w:szCs w:val="22"/>
        </w:rPr>
        <w:t>However, Green Banking Initiatives and Environmental Risk Assessment show relatively weaker effects, suggesting that their full impact is still developing within the banking sector. Interestingly, Barriers and Institutional Challenges do not show the expected negative effect, but instead indicate a transitional phase where challenges and improvements coexist. Overall, the study confirms that green banking practices are important drivers of organizational performance, although their effects vary in strength and maturity.</w:t>
      </w:r>
    </w:p>
    <w:p w:rsidR="006A559E" w:rsidRDefault="006A559E" w:rsidP="006A559E">
      <w:pPr>
        <w:pStyle w:val="Heading2"/>
        <w:numPr>
          <w:ilvl w:val="1"/>
          <w:numId w:val="9"/>
        </w:numPr>
        <w:rPr>
          <w:rStyle w:val="Strong"/>
          <w:rFonts w:ascii="Times New Roman" w:hAnsi="Times New Roman" w:cs="Times New Roman"/>
          <w:b/>
          <w:bCs/>
          <w:color w:val="auto"/>
          <w:sz w:val="22"/>
          <w:szCs w:val="22"/>
        </w:rPr>
      </w:pPr>
      <w:r w:rsidRPr="006A559E">
        <w:rPr>
          <w:rStyle w:val="Strong"/>
          <w:rFonts w:ascii="Times New Roman" w:hAnsi="Times New Roman" w:cs="Times New Roman"/>
          <w:b/>
          <w:bCs/>
          <w:color w:val="auto"/>
          <w:sz w:val="22"/>
          <w:szCs w:val="22"/>
        </w:rPr>
        <w:t>Recommendations</w:t>
      </w:r>
    </w:p>
    <w:p w:rsidR="006A559E" w:rsidRPr="006A559E" w:rsidRDefault="006A559E" w:rsidP="006A559E">
      <w:pPr>
        <w:spacing w:before="120" w:after="0" w:line="240" w:lineRule="auto"/>
        <w:jc w:val="both"/>
        <w:rPr>
          <w:rFonts w:ascii="Times New Roman" w:hAnsi="Times New Roman" w:cs="Times New Roman"/>
        </w:rPr>
      </w:pPr>
      <w:r w:rsidRPr="006A559E">
        <w:rPr>
          <w:rFonts w:ascii="Times New Roman" w:hAnsi="Times New Roman" w:cs="Times New Roman"/>
        </w:rPr>
        <w:t>This section presents key recommendations based on the major findings of the study. The recommendations are directed toward improving green banking practices, enhancing environmental sustainability, and strengthening organizational performance in commercial banks.</w:t>
      </w:r>
    </w:p>
    <w:p w:rsidR="006A559E" w:rsidRPr="00225AB7" w:rsidRDefault="006A559E" w:rsidP="00225AB7">
      <w:pPr>
        <w:pStyle w:val="Heading3"/>
        <w:numPr>
          <w:ilvl w:val="2"/>
          <w:numId w:val="9"/>
        </w:numPr>
        <w:spacing w:before="120" w:beforeAutospacing="0" w:after="0" w:afterAutospacing="0"/>
        <w:jc w:val="both"/>
        <w:rPr>
          <w:sz w:val="22"/>
          <w:szCs w:val="22"/>
        </w:rPr>
      </w:pPr>
      <w:r w:rsidRPr="00225AB7">
        <w:rPr>
          <w:rStyle w:val="Strong"/>
          <w:b/>
          <w:bCs/>
          <w:sz w:val="22"/>
          <w:szCs w:val="22"/>
        </w:rPr>
        <w:t xml:space="preserve"> Recommendations for Action</w:t>
      </w:r>
    </w:p>
    <w:p w:rsidR="006A559E" w:rsidRPr="00225AB7" w:rsidRDefault="006A559E" w:rsidP="00225AB7">
      <w:pPr>
        <w:numPr>
          <w:ilvl w:val="0"/>
          <w:numId w:val="40"/>
        </w:numPr>
        <w:spacing w:before="120" w:after="0" w:line="240" w:lineRule="auto"/>
        <w:jc w:val="both"/>
        <w:rPr>
          <w:rFonts w:ascii="Times New Roman" w:hAnsi="Times New Roman" w:cs="Times New Roman"/>
        </w:rPr>
      </w:pPr>
      <w:r w:rsidRPr="00225AB7">
        <w:rPr>
          <w:rFonts w:ascii="Times New Roman" w:hAnsi="Times New Roman" w:cs="Times New Roman"/>
        </w:rPr>
        <w:t xml:space="preserve">Banks should strengthen the implementation of </w:t>
      </w:r>
      <w:r w:rsidRPr="00225AB7">
        <w:rPr>
          <w:rStyle w:val="Strong"/>
          <w:rFonts w:ascii="Times New Roman" w:hAnsi="Times New Roman" w:cs="Times New Roman"/>
          <w:b w:val="0"/>
        </w:rPr>
        <w:t>environmental sustainability practices</w:t>
      </w:r>
      <w:r w:rsidRPr="00225AB7">
        <w:rPr>
          <w:rFonts w:ascii="Times New Roman" w:hAnsi="Times New Roman" w:cs="Times New Roman"/>
        </w:rPr>
        <w:t xml:space="preserve"> as they have the strongest impact on performance. </w:t>
      </w:r>
    </w:p>
    <w:p w:rsidR="006A559E" w:rsidRPr="00225AB7" w:rsidRDefault="006A559E" w:rsidP="00225AB7">
      <w:pPr>
        <w:numPr>
          <w:ilvl w:val="0"/>
          <w:numId w:val="40"/>
        </w:numPr>
        <w:spacing w:before="120" w:after="0" w:line="240" w:lineRule="auto"/>
        <w:jc w:val="both"/>
        <w:rPr>
          <w:rFonts w:ascii="Times New Roman" w:hAnsi="Times New Roman" w:cs="Times New Roman"/>
        </w:rPr>
      </w:pPr>
      <w:r w:rsidRPr="00225AB7">
        <w:rPr>
          <w:rFonts w:ascii="Times New Roman" w:hAnsi="Times New Roman" w:cs="Times New Roman"/>
        </w:rPr>
        <w:t xml:space="preserve">Greater investment should be made in </w:t>
      </w:r>
      <w:r w:rsidRPr="00225AB7">
        <w:rPr>
          <w:rStyle w:val="Strong"/>
          <w:rFonts w:ascii="Times New Roman" w:hAnsi="Times New Roman" w:cs="Times New Roman"/>
          <w:b w:val="0"/>
        </w:rPr>
        <w:t>digital green banking systems</w:t>
      </w:r>
      <w:r w:rsidRPr="00225AB7">
        <w:rPr>
          <w:rFonts w:ascii="Times New Roman" w:hAnsi="Times New Roman" w:cs="Times New Roman"/>
        </w:rPr>
        <w:t xml:space="preserve"> to enhance adoption levels. </w:t>
      </w:r>
    </w:p>
    <w:p w:rsidR="006A559E" w:rsidRPr="00225AB7" w:rsidRDefault="006A559E" w:rsidP="00225AB7">
      <w:pPr>
        <w:numPr>
          <w:ilvl w:val="0"/>
          <w:numId w:val="40"/>
        </w:numPr>
        <w:spacing w:before="120" w:after="0" w:line="240" w:lineRule="auto"/>
        <w:jc w:val="both"/>
        <w:rPr>
          <w:rFonts w:ascii="Times New Roman" w:hAnsi="Times New Roman" w:cs="Times New Roman"/>
        </w:rPr>
      </w:pPr>
      <w:r w:rsidRPr="00225AB7">
        <w:rPr>
          <w:rFonts w:ascii="Times New Roman" w:hAnsi="Times New Roman" w:cs="Times New Roman"/>
        </w:rPr>
        <w:t xml:space="preserve">Institutions should expand </w:t>
      </w:r>
      <w:r w:rsidRPr="00225AB7">
        <w:rPr>
          <w:rStyle w:val="Strong"/>
          <w:rFonts w:ascii="Times New Roman" w:hAnsi="Times New Roman" w:cs="Times New Roman"/>
          <w:b w:val="0"/>
        </w:rPr>
        <w:t>green credit products and CSR-based environmental programs</w:t>
      </w:r>
      <w:r w:rsidRPr="00225AB7">
        <w:rPr>
          <w:rFonts w:ascii="Times New Roman" w:hAnsi="Times New Roman" w:cs="Times New Roman"/>
        </w:rPr>
        <w:t xml:space="preserve"> to strengthen green initiatives. </w:t>
      </w:r>
    </w:p>
    <w:p w:rsidR="006A559E" w:rsidRPr="00225AB7" w:rsidRDefault="006A559E" w:rsidP="00225AB7">
      <w:pPr>
        <w:numPr>
          <w:ilvl w:val="0"/>
          <w:numId w:val="40"/>
        </w:numPr>
        <w:spacing w:before="120" w:after="0" w:line="240" w:lineRule="auto"/>
        <w:jc w:val="both"/>
        <w:rPr>
          <w:rFonts w:ascii="Times New Roman" w:hAnsi="Times New Roman" w:cs="Times New Roman"/>
        </w:rPr>
      </w:pPr>
      <w:r w:rsidRPr="00225AB7">
        <w:rPr>
          <w:rFonts w:ascii="Times New Roman" w:hAnsi="Times New Roman" w:cs="Times New Roman"/>
        </w:rPr>
        <w:t xml:space="preserve">Banks should improve </w:t>
      </w:r>
      <w:r w:rsidRPr="00225AB7">
        <w:rPr>
          <w:rStyle w:val="Strong"/>
          <w:rFonts w:ascii="Times New Roman" w:hAnsi="Times New Roman" w:cs="Times New Roman"/>
          <w:b w:val="0"/>
        </w:rPr>
        <w:t>environmental risk assessment tools and staff training</w:t>
      </w:r>
      <w:r w:rsidRPr="00225AB7">
        <w:rPr>
          <w:rFonts w:ascii="Times New Roman" w:hAnsi="Times New Roman" w:cs="Times New Roman"/>
        </w:rPr>
        <w:t xml:space="preserve"> to enhance risk management capacity. </w:t>
      </w:r>
    </w:p>
    <w:p w:rsidR="006A559E" w:rsidRPr="00225AB7" w:rsidRDefault="006A559E" w:rsidP="00225AB7">
      <w:pPr>
        <w:numPr>
          <w:ilvl w:val="0"/>
          <w:numId w:val="40"/>
        </w:numPr>
        <w:spacing w:before="120" w:after="0" w:line="240" w:lineRule="auto"/>
        <w:jc w:val="both"/>
        <w:rPr>
          <w:rFonts w:ascii="Times New Roman" w:hAnsi="Times New Roman" w:cs="Times New Roman"/>
        </w:rPr>
      </w:pPr>
      <w:r w:rsidRPr="00225AB7">
        <w:rPr>
          <w:rFonts w:ascii="Times New Roman" w:hAnsi="Times New Roman" w:cs="Times New Roman"/>
        </w:rPr>
        <w:t xml:space="preserve">Regulatory bodies should develop a </w:t>
      </w:r>
      <w:r w:rsidRPr="00225AB7">
        <w:rPr>
          <w:rStyle w:val="Strong"/>
          <w:rFonts w:ascii="Times New Roman" w:hAnsi="Times New Roman" w:cs="Times New Roman"/>
          <w:b w:val="0"/>
        </w:rPr>
        <w:t>clear green banking framework</w:t>
      </w:r>
      <w:r w:rsidRPr="00225AB7">
        <w:rPr>
          <w:rFonts w:ascii="Times New Roman" w:hAnsi="Times New Roman" w:cs="Times New Roman"/>
        </w:rPr>
        <w:t xml:space="preserve"> to reduce institutional challenges and inconsistencies. </w:t>
      </w:r>
    </w:p>
    <w:p w:rsidR="006A559E" w:rsidRPr="00225AB7" w:rsidRDefault="006A559E" w:rsidP="008C4F96">
      <w:pPr>
        <w:pStyle w:val="Heading3"/>
        <w:numPr>
          <w:ilvl w:val="2"/>
          <w:numId w:val="9"/>
        </w:numPr>
        <w:tabs>
          <w:tab w:val="left" w:pos="450"/>
          <w:tab w:val="left" w:pos="630"/>
        </w:tabs>
        <w:spacing w:before="120" w:beforeAutospacing="0" w:after="0" w:afterAutospacing="0"/>
        <w:jc w:val="both"/>
        <w:rPr>
          <w:sz w:val="22"/>
          <w:szCs w:val="22"/>
        </w:rPr>
      </w:pPr>
      <w:r w:rsidRPr="00225AB7">
        <w:rPr>
          <w:rStyle w:val="Strong"/>
          <w:b/>
          <w:bCs/>
          <w:sz w:val="22"/>
          <w:szCs w:val="22"/>
        </w:rPr>
        <w:t xml:space="preserve"> Recommendations for Further Study</w:t>
      </w:r>
    </w:p>
    <w:p w:rsidR="006A559E" w:rsidRPr="00225AB7" w:rsidRDefault="00225AB7" w:rsidP="00CC51D4">
      <w:pPr>
        <w:spacing w:before="120" w:after="0" w:line="240" w:lineRule="auto"/>
        <w:jc w:val="both"/>
        <w:rPr>
          <w:rFonts w:ascii="Times New Roman" w:hAnsi="Times New Roman" w:cs="Times New Roman"/>
        </w:rPr>
      </w:pPr>
      <w:r w:rsidRPr="00225AB7">
        <w:rPr>
          <w:rFonts w:ascii="Times New Roman" w:hAnsi="Times New Roman" w:cs="Times New Roman"/>
        </w:rPr>
        <w:t xml:space="preserve">Future research should focus on examining mediating factors such as technology adoption and regulatory support to better understand how green banking influences organizational performance. In addition, longitudinal studies are recommended to assess the long-term effects of green banking practices, while comparative studies between public and private banks could provide deeper insights into </w:t>
      </w:r>
      <w:r w:rsidR="00454CC6" w:rsidRPr="00225AB7">
        <w:rPr>
          <w:rFonts w:ascii="Times New Roman" w:hAnsi="Times New Roman" w:cs="Times New Roman"/>
        </w:rPr>
        <w:t>sectorial</w:t>
      </w:r>
      <w:r w:rsidRPr="00225AB7">
        <w:rPr>
          <w:rFonts w:ascii="Times New Roman" w:hAnsi="Times New Roman" w:cs="Times New Roman"/>
        </w:rPr>
        <w:t xml:space="preserve"> differences. Furthermore, future research may also explore customer perceptions and behavioral responses to green banking services to enrich understanding of demand-side factors.</w:t>
      </w:r>
    </w:p>
    <w:p w:rsidR="006A559E" w:rsidRDefault="006A559E" w:rsidP="00CC51D4">
      <w:pPr>
        <w:pStyle w:val="z-TopofForm"/>
        <w:spacing w:before="120"/>
      </w:pPr>
      <w:r>
        <w:t>Top of Form</w:t>
      </w:r>
    </w:p>
    <w:p w:rsidR="006A559E" w:rsidRDefault="006A559E" w:rsidP="00CC51D4">
      <w:pPr>
        <w:pStyle w:val="z-BottomofForm"/>
        <w:spacing w:before="120"/>
      </w:pPr>
      <w:r>
        <w:t>Bottom of Form</w:t>
      </w:r>
    </w:p>
    <w:p w:rsidR="002C6684" w:rsidRPr="002C6684" w:rsidRDefault="002C6684" w:rsidP="00CC51D4">
      <w:pPr>
        <w:spacing w:before="120" w:after="0" w:line="240" w:lineRule="auto"/>
        <w:jc w:val="both"/>
        <w:rPr>
          <w:rFonts w:ascii="Times New Roman" w:hAnsi="Times New Roman" w:cs="Times New Roman"/>
          <w:b/>
        </w:rPr>
      </w:pPr>
      <w:r w:rsidRPr="002C6684">
        <w:rPr>
          <w:rFonts w:ascii="Times New Roman" w:hAnsi="Times New Roman" w:cs="Times New Roman"/>
          <w:b/>
        </w:rPr>
        <w:t>Reference</w:t>
      </w:r>
    </w:p>
    <w:p w:rsidR="002C6684" w:rsidRPr="002C6684" w:rsidRDefault="002C6684" w:rsidP="002C6684">
      <w:pPr>
        <w:pStyle w:val="NormalWeb"/>
        <w:spacing w:before="120" w:beforeAutospacing="0" w:after="120" w:afterAutospacing="0"/>
        <w:rPr>
          <w:sz w:val="20"/>
          <w:szCs w:val="20"/>
        </w:rPr>
      </w:pPr>
      <w:r w:rsidRPr="002C6684">
        <w:rPr>
          <w:sz w:val="20"/>
          <w:szCs w:val="20"/>
        </w:rPr>
        <w:lastRenderedPageBreak/>
        <w:t xml:space="preserve">[1] M. A. </w:t>
      </w:r>
      <w:proofErr w:type="spellStart"/>
      <w:r w:rsidRPr="002C6684">
        <w:rPr>
          <w:sz w:val="20"/>
          <w:szCs w:val="20"/>
        </w:rPr>
        <w:t>Iddrisu</w:t>
      </w:r>
      <w:proofErr w:type="spellEnd"/>
      <w:r w:rsidRPr="002C6684">
        <w:rPr>
          <w:sz w:val="20"/>
          <w:szCs w:val="20"/>
        </w:rPr>
        <w:t xml:space="preserve"> et al., “Green banking innovation for smallholder farmers: A commentary on financial accessibility and sustainability,” </w:t>
      </w:r>
      <w:r w:rsidRPr="002C6684">
        <w:rPr>
          <w:rStyle w:val="Emphasis"/>
          <w:sz w:val="20"/>
          <w:szCs w:val="20"/>
        </w:rPr>
        <w:t>International Journal of Agricultural Sustainability</w:t>
      </w:r>
      <w:r w:rsidRPr="002C6684">
        <w:rPr>
          <w:sz w:val="20"/>
          <w:szCs w:val="20"/>
        </w:rPr>
        <w:t xml:space="preserve">, vol. 23, no. 1, 2025. </w:t>
      </w:r>
      <w:hyperlink r:id="rId7" w:tgtFrame="_new" w:history="1">
        <w:r w:rsidRPr="002C6684">
          <w:rPr>
            <w:rStyle w:val="Hyperlink"/>
            <w:sz w:val="20"/>
            <w:szCs w:val="20"/>
          </w:rPr>
          <w:t>https://doi.org/10.1080/14735903.2025.2553957</w:t>
        </w:r>
      </w:hyperlink>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[2] A. Wright et al., “Africa’s climate leadership and health resilience: Insights from the 2nd Africa Climate Summit, Addis Ababa, 2025,” </w:t>
      </w:r>
      <w:r w:rsidRPr="002C6684">
        <w:rPr>
          <w:rStyle w:val="Emphasis"/>
          <w:sz w:val="20"/>
          <w:szCs w:val="20"/>
        </w:rPr>
        <w:t>Frontiers in Climate</w:t>
      </w:r>
      <w:r w:rsidRPr="002C6684">
        <w:rPr>
          <w:sz w:val="20"/>
          <w:szCs w:val="20"/>
        </w:rPr>
        <w:t xml:space="preserve">, vol. 7, 2025. </w:t>
      </w:r>
      <w:hyperlink r:id="rId8" w:tgtFrame="_new" w:history="1">
        <w:r w:rsidRPr="002C6684">
          <w:rPr>
            <w:rStyle w:val="Hyperlink"/>
            <w:sz w:val="20"/>
            <w:szCs w:val="20"/>
          </w:rPr>
          <w:t>https://doi.org/10.3389/fclim.2025.1706512</w:t>
        </w:r>
      </w:hyperlink>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[3] S. C. </w:t>
      </w:r>
      <w:proofErr w:type="spellStart"/>
      <w:r w:rsidRPr="002C6684">
        <w:rPr>
          <w:sz w:val="20"/>
          <w:szCs w:val="20"/>
        </w:rPr>
        <w:t>Obiora</w:t>
      </w:r>
      <w:proofErr w:type="spellEnd"/>
      <w:r w:rsidRPr="002C6684">
        <w:rPr>
          <w:sz w:val="20"/>
          <w:szCs w:val="20"/>
        </w:rPr>
        <w:t xml:space="preserve">, O. </w:t>
      </w:r>
      <w:proofErr w:type="spellStart"/>
      <w:r w:rsidRPr="002C6684">
        <w:rPr>
          <w:sz w:val="20"/>
          <w:szCs w:val="20"/>
        </w:rPr>
        <w:t>Bamisile</w:t>
      </w:r>
      <w:proofErr w:type="spellEnd"/>
      <w:r w:rsidRPr="002C6684">
        <w:rPr>
          <w:sz w:val="20"/>
          <w:szCs w:val="20"/>
        </w:rPr>
        <w:t xml:space="preserve">, E. </w:t>
      </w:r>
      <w:proofErr w:type="spellStart"/>
      <w:r w:rsidRPr="002C6684">
        <w:rPr>
          <w:sz w:val="20"/>
          <w:szCs w:val="20"/>
        </w:rPr>
        <w:t>Opoku-Mensah</w:t>
      </w:r>
      <w:proofErr w:type="spellEnd"/>
      <w:r w:rsidRPr="002C6684">
        <w:rPr>
          <w:sz w:val="20"/>
          <w:szCs w:val="20"/>
        </w:rPr>
        <w:t xml:space="preserve">, and A. N. K. </w:t>
      </w:r>
      <w:proofErr w:type="spellStart"/>
      <w:r w:rsidRPr="002C6684">
        <w:rPr>
          <w:sz w:val="20"/>
          <w:szCs w:val="20"/>
        </w:rPr>
        <w:t>Frimpong</w:t>
      </w:r>
      <w:proofErr w:type="spellEnd"/>
      <w:r w:rsidRPr="002C6684">
        <w:rPr>
          <w:sz w:val="20"/>
          <w:szCs w:val="20"/>
        </w:rPr>
        <w:t xml:space="preserve">, “Impact of banking and financial systems on environmental sustainability: An overarching study of developing, emerging, and developed economies,” </w:t>
      </w:r>
      <w:r w:rsidRPr="002C6684">
        <w:rPr>
          <w:rStyle w:val="Emphasis"/>
          <w:sz w:val="20"/>
          <w:szCs w:val="20"/>
        </w:rPr>
        <w:t>Sustainability</w:t>
      </w:r>
      <w:r w:rsidRPr="002C6684">
        <w:rPr>
          <w:sz w:val="20"/>
          <w:szCs w:val="20"/>
        </w:rPr>
        <w:t xml:space="preserve">, vol. 12, no. 19, p. 8074, 2020. </w:t>
      </w:r>
      <w:hyperlink r:id="rId9" w:tgtFrame="_new" w:history="1">
        <w:r w:rsidRPr="002C6684">
          <w:rPr>
            <w:rStyle w:val="Hyperlink"/>
            <w:sz w:val="20"/>
            <w:szCs w:val="20"/>
          </w:rPr>
          <w:t>https://doi.org/10.3390/su12198074</w:t>
        </w:r>
      </w:hyperlink>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[4] S. G. </w:t>
      </w:r>
      <w:proofErr w:type="spellStart"/>
      <w:r w:rsidRPr="002C6684">
        <w:rPr>
          <w:sz w:val="20"/>
          <w:szCs w:val="20"/>
        </w:rPr>
        <w:t>Tucho</w:t>
      </w:r>
      <w:proofErr w:type="spellEnd"/>
      <w:r w:rsidRPr="002C6684">
        <w:rPr>
          <w:sz w:val="20"/>
          <w:szCs w:val="20"/>
        </w:rPr>
        <w:t xml:space="preserve">, “Green banking practices, opportunities, and challenges for banks: A systematic review,” </w:t>
      </w:r>
      <w:r w:rsidRPr="002C6684">
        <w:rPr>
          <w:rStyle w:val="Emphasis"/>
          <w:sz w:val="20"/>
          <w:szCs w:val="20"/>
        </w:rPr>
        <w:t>Climate</w:t>
      </w:r>
      <w:r w:rsidRPr="002C6684">
        <w:rPr>
          <w:sz w:val="20"/>
          <w:szCs w:val="20"/>
        </w:rPr>
        <w:t xml:space="preserve">, vol. 13, no. 5, p. 102, 2025. </w:t>
      </w:r>
      <w:hyperlink r:id="rId10" w:tgtFrame="_new" w:history="1">
        <w:r w:rsidRPr="002C6684">
          <w:rPr>
            <w:rStyle w:val="Hyperlink"/>
            <w:sz w:val="20"/>
            <w:szCs w:val="20"/>
          </w:rPr>
          <w:t>https://doi.org/10.3390/cli13050102</w:t>
        </w:r>
      </w:hyperlink>
    </w:p>
    <w:p w:rsidR="002C6684" w:rsidRPr="002C6684" w:rsidRDefault="002C6684" w:rsidP="002C6684">
      <w:pPr>
        <w:pStyle w:val="NormalWeb"/>
        <w:spacing w:before="120" w:beforeAutospacing="0" w:after="120" w:afterAutospacing="0"/>
        <w:rPr>
          <w:sz w:val="20"/>
          <w:szCs w:val="20"/>
        </w:rPr>
      </w:pPr>
      <w:proofErr w:type="gramStart"/>
      <w:r w:rsidRPr="002C6684">
        <w:rPr>
          <w:sz w:val="20"/>
          <w:szCs w:val="20"/>
        </w:rPr>
        <w:t xml:space="preserve">[5] B. T. </w:t>
      </w:r>
      <w:proofErr w:type="spellStart"/>
      <w:r w:rsidRPr="002C6684">
        <w:rPr>
          <w:sz w:val="20"/>
          <w:szCs w:val="20"/>
        </w:rPr>
        <w:t>Gebreyes</w:t>
      </w:r>
      <w:proofErr w:type="spellEnd"/>
      <w:r w:rsidRPr="002C6684">
        <w:rPr>
          <w:sz w:val="20"/>
          <w:szCs w:val="20"/>
        </w:rPr>
        <w:t xml:space="preserve"> et al., “Assessment of sustainability practices in recently constructed commercial buildings in Ethiopia,” </w:t>
      </w:r>
      <w:r w:rsidRPr="002C6684">
        <w:rPr>
          <w:rStyle w:val="Emphasis"/>
          <w:sz w:val="20"/>
          <w:szCs w:val="20"/>
        </w:rPr>
        <w:t>Buildings</w:t>
      </w:r>
      <w:r w:rsidRPr="002C6684">
        <w:rPr>
          <w:sz w:val="20"/>
          <w:szCs w:val="20"/>
        </w:rPr>
        <w:t>, vol. 15, no. 21, p. 3915, 2025.</w:t>
      </w:r>
      <w:proofErr w:type="gramEnd"/>
      <w:r w:rsidRPr="002C6684">
        <w:rPr>
          <w:sz w:val="20"/>
          <w:szCs w:val="20"/>
        </w:rPr>
        <w:t xml:space="preserve"> </w:t>
      </w:r>
      <w:hyperlink r:id="rId11" w:tgtFrame="_new" w:history="1">
        <w:r w:rsidRPr="002C6684">
          <w:rPr>
            <w:rStyle w:val="Hyperlink"/>
            <w:sz w:val="20"/>
            <w:szCs w:val="20"/>
          </w:rPr>
          <w:t>https://doi.org/10.3390/buildings15213915</w:t>
        </w:r>
      </w:hyperlink>
    </w:p>
    <w:p w:rsidR="002C6684" w:rsidRPr="002C6684" w:rsidRDefault="002C6684" w:rsidP="002C6684">
      <w:pPr>
        <w:pStyle w:val="NormalWeb"/>
        <w:spacing w:before="120" w:beforeAutospacing="0" w:after="120" w:afterAutospacing="0"/>
        <w:rPr>
          <w:sz w:val="20"/>
          <w:szCs w:val="20"/>
        </w:rPr>
      </w:pPr>
      <w:proofErr w:type="gramStart"/>
      <w:r w:rsidRPr="002C6684">
        <w:rPr>
          <w:sz w:val="20"/>
          <w:szCs w:val="20"/>
        </w:rPr>
        <w:t xml:space="preserve">[6] G. </w:t>
      </w:r>
      <w:proofErr w:type="spellStart"/>
      <w:r w:rsidRPr="002C6684">
        <w:rPr>
          <w:sz w:val="20"/>
          <w:szCs w:val="20"/>
        </w:rPr>
        <w:t>Negeri</w:t>
      </w:r>
      <w:proofErr w:type="spellEnd"/>
      <w:r w:rsidRPr="002C6684">
        <w:rPr>
          <w:sz w:val="20"/>
          <w:szCs w:val="20"/>
        </w:rPr>
        <w:t xml:space="preserve"> et al., “Knowledge management in Ethiopian commercial banks,” </w:t>
      </w:r>
      <w:r w:rsidRPr="002C6684">
        <w:rPr>
          <w:rStyle w:val="Emphasis"/>
          <w:sz w:val="20"/>
          <w:szCs w:val="20"/>
        </w:rPr>
        <w:t>African Journal of Economic and Business Research</w:t>
      </w:r>
      <w:r w:rsidRPr="002C6684">
        <w:rPr>
          <w:sz w:val="20"/>
          <w:szCs w:val="20"/>
        </w:rPr>
        <w:t>, vol. 5, no. 2, 2023.</w:t>
      </w:r>
      <w:proofErr w:type="gramEnd"/>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[7] G. </w:t>
      </w:r>
      <w:proofErr w:type="spellStart"/>
      <w:r w:rsidRPr="002C6684">
        <w:rPr>
          <w:sz w:val="20"/>
          <w:szCs w:val="20"/>
        </w:rPr>
        <w:t>Desalegn</w:t>
      </w:r>
      <w:proofErr w:type="spellEnd"/>
      <w:r w:rsidRPr="002C6684">
        <w:rPr>
          <w:sz w:val="20"/>
          <w:szCs w:val="20"/>
        </w:rPr>
        <w:t xml:space="preserve"> and A. </w:t>
      </w:r>
      <w:proofErr w:type="spellStart"/>
      <w:r w:rsidRPr="002C6684">
        <w:rPr>
          <w:sz w:val="20"/>
          <w:szCs w:val="20"/>
        </w:rPr>
        <w:t>Tangl</w:t>
      </w:r>
      <w:proofErr w:type="spellEnd"/>
      <w:r w:rsidRPr="002C6684">
        <w:rPr>
          <w:sz w:val="20"/>
          <w:szCs w:val="20"/>
        </w:rPr>
        <w:t xml:space="preserve">, “Forecasting green financial innovation and its implications for financial performance in Ethiopian financial institutions: Evidence from ARIMA and ARDL model,” </w:t>
      </w:r>
      <w:r w:rsidRPr="002C6684">
        <w:rPr>
          <w:rStyle w:val="Emphasis"/>
          <w:sz w:val="20"/>
          <w:szCs w:val="20"/>
        </w:rPr>
        <w:t>National Accounting Review</w:t>
      </w:r>
      <w:r w:rsidRPr="002C6684">
        <w:rPr>
          <w:sz w:val="20"/>
          <w:szCs w:val="20"/>
        </w:rPr>
        <w:t xml:space="preserve">, vol. 4, no. 2, pp. 95–111, 2022. </w:t>
      </w:r>
      <w:hyperlink r:id="rId12" w:tgtFrame="_new" w:history="1">
        <w:r w:rsidRPr="002C6684">
          <w:rPr>
            <w:rStyle w:val="Hyperlink"/>
            <w:sz w:val="20"/>
            <w:szCs w:val="20"/>
          </w:rPr>
          <w:t>https://doi.org/10.3934/nar.2022006</w:t>
        </w:r>
      </w:hyperlink>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[8] E. </w:t>
      </w:r>
      <w:proofErr w:type="spellStart"/>
      <w:r w:rsidRPr="002C6684">
        <w:rPr>
          <w:sz w:val="20"/>
          <w:szCs w:val="20"/>
        </w:rPr>
        <w:t>Gelan</w:t>
      </w:r>
      <w:proofErr w:type="spellEnd"/>
      <w:r w:rsidRPr="002C6684">
        <w:rPr>
          <w:sz w:val="20"/>
          <w:szCs w:val="20"/>
        </w:rPr>
        <w:t xml:space="preserve">, “Green building concepts and technologies in Ethiopia: The case of </w:t>
      </w:r>
      <w:proofErr w:type="spellStart"/>
      <w:r w:rsidRPr="002C6684">
        <w:rPr>
          <w:sz w:val="20"/>
          <w:szCs w:val="20"/>
        </w:rPr>
        <w:t>Wegagen</w:t>
      </w:r>
      <w:proofErr w:type="spellEnd"/>
      <w:r w:rsidRPr="002C6684">
        <w:rPr>
          <w:sz w:val="20"/>
          <w:szCs w:val="20"/>
        </w:rPr>
        <w:t xml:space="preserve"> Bank headquarters building,” </w:t>
      </w:r>
      <w:r w:rsidRPr="002C6684">
        <w:rPr>
          <w:rStyle w:val="Emphasis"/>
          <w:sz w:val="20"/>
          <w:szCs w:val="20"/>
        </w:rPr>
        <w:t>Technologies</w:t>
      </w:r>
      <w:r w:rsidRPr="002C6684">
        <w:rPr>
          <w:sz w:val="20"/>
          <w:szCs w:val="20"/>
        </w:rPr>
        <w:t xml:space="preserve">, vol. 11, no. 1, p. 2, 2022. </w:t>
      </w:r>
      <w:hyperlink r:id="rId13" w:tgtFrame="_new" w:history="1">
        <w:r w:rsidRPr="002C6684">
          <w:rPr>
            <w:rStyle w:val="Hyperlink"/>
            <w:sz w:val="20"/>
            <w:szCs w:val="20"/>
          </w:rPr>
          <w:t>https://doi.org/10.3390/technologies11010002</w:t>
        </w:r>
      </w:hyperlink>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[9] W. </w:t>
      </w:r>
      <w:proofErr w:type="spellStart"/>
      <w:r w:rsidRPr="002C6684">
        <w:rPr>
          <w:sz w:val="20"/>
          <w:szCs w:val="20"/>
        </w:rPr>
        <w:t>Serem</w:t>
      </w:r>
      <w:proofErr w:type="spellEnd"/>
      <w:r w:rsidRPr="002C6684">
        <w:rPr>
          <w:sz w:val="20"/>
          <w:szCs w:val="20"/>
        </w:rPr>
        <w:t xml:space="preserve">, “Sustainability reporting, corporate governance and firm value of firms listed at the Nairobi Securities Exchange, Kenya,” M.A. thesis, </w:t>
      </w:r>
      <w:proofErr w:type="spellStart"/>
      <w:r w:rsidRPr="002C6684">
        <w:rPr>
          <w:sz w:val="20"/>
          <w:szCs w:val="20"/>
        </w:rPr>
        <w:t>Maasai</w:t>
      </w:r>
      <w:proofErr w:type="spellEnd"/>
      <w:r w:rsidRPr="002C6684">
        <w:rPr>
          <w:sz w:val="20"/>
          <w:szCs w:val="20"/>
        </w:rPr>
        <w:t xml:space="preserve"> Mara University, Kenya, 2026. </w:t>
      </w:r>
      <w:hyperlink r:id="rId14" w:tgtFrame="_new" w:history="1">
        <w:r w:rsidRPr="002C6684">
          <w:rPr>
            <w:rStyle w:val="Hyperlink"/>
            <w:sz w:val="20"/>
            <w:szCs w:val="20"/>
          </w:rPr>
          <w:t>http://ir-library.mmarau.ac.ke:8080/bitstream/handle/123456789/18764/Serem%20Wilberforce%20Final%20Research%20Thesis.pdf</w:t>
        </w:r>
      </w:hyperlink>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[10] A. </w:t>
      </w:r>
      <w:proofErr w:type="spellStart"/>
      <w:r w:rsidRPr="002C6684">
        <w:rPr>
          <w:sz w:val="20"/>
          <w:szCs w:val="20"/>
        </w:rPr>
        <w:t>Alodat</w:t>
      </w:r>
      <w:proofErr w:type="spellEnd"/>
      <w:r w:rsidRPr="002C6684">
        <w:rPr>
          <w:sz w:val="20"/>
          <w:szCs w:val="20"/>
        </w:rPr>
        <w:t xml:space="preserve"> et al., “ESG disclosure quality and banking risk: A dynamic panel analysis of Middle East and African banks,” </w:t>
      </w:r>
      <w:r w:rsidRPr="002C6684">
        <w:rPr>
          <w:rStyle w:val="Emphasis"/>
          <w:sz w:val="20"/>
          <w:szCs w:val="20"/>
        </w:rPr>
        <w:t>Journal of Risk and Financial Management</w:t>
      </w:r>
      <w:r w:rsidRPr="002C6684">
        <w:rPr>
          <w:sz w:val="20"/>
          <w:szCs w:val="20"/>
        </w:rPr>
        <w:t xml:space="preserve">, vol. 14, no. 3, p. 50, 2026. </w:t>
      </w:r>
      <w:hyperlink r:id="rId15" w:tgtFrame="_new" w:history="1">
        <w:r w:rsidRPr="002C6684">
          <w:rPr>
            <w:rStyle w:val="Hyperlink"/>
            <w:sz w:val="20"/>
            <w:szCs w:val="20"/>
          </w:rPr>
          <w:t>https://doi.org/10.3390/jrfm14030050</w:t>
        </w:r>
      </w:hyperlink>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[11] J. C. </w:t>
      </w:r>
      <w:proofErr w:type="spellStart"/>
      <w:r w:rsidRPr="002C6684">
        <w:rPr>
          <w:sz w:val="20"/>
          <w:szCs w:val="20"/>
        </w:rPr>
        <w:t>Nunnally</w:t>
      </w:r>
      <w:proofErr w:type="spellEnd"/>
      <w:r w:rsidRPr="002C6684">
        <w:rPr>
          <w:sz w:val="20"/>
          <w:szCs w:val="20"/>
        </w:rPr>
        <w:t xml:space="preserve"> and I. H. Bernstein, </w:t>
      </w:r>
      <w:r w:rsidRPr="002C6684">
        <w:rPr>
          <w:rStyle w:val="Emphasis"/>
          <w:sz w:val="20"/>
          <w:szCs w:val="20"/>
        </w:rPr>
        <w:t>Psychometric Theory</w:t>
      </w:r>
      <w:r w:rsidRPr="002C6684">
        <w:rPr>
          <w:sz w:val="20"/>
          <w:szCs w:val="20"/>
        </w:rPr>
        <w:t xml:space="preserve">, 3rd </w:t>
      </w:r>
      <w:proofErr w:type="gramStart"/>
      <w:r w:rsidRPr="002C6684">
        <w:rPr>
          <w:sz w:val="20"/>
          <w:szCs w:val="20"/>
        </w:rPr>
        <w:t>ed</w:t>
      </w:r>
      <w:proofErr w:type="gramEnd"/>
      <w:r w:rsidRPr="002C6684">
        <w:rPr>
          <w:sz w:val="20"/>
          <w:szCs w:val="20"/>
        </w:rPr>
        <w:t>. New York, NY, USA: McGraw-Hill, 1994.</w:t>
      </w:r>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[12] N. Sharma and A. </w:t>
      </w:r>
      <w:proofErr w:type="spellStart"/>
      <w:r w:rsidRPr="002C6684">
        <w:rPr>
          <w:sz w:val="20"/>
          <w:szCs w:val="20"/>
        </w:rPr>
        <w:t>Choubey</w:t>
      </w:r>
      <w:proofErr w:type="spellEnd"/>
      <w:r w:rsidRPr="002C6684">
        <w:rPr>
          <w:sz w:val="20"/>
          <w:szCs w:val="20"/>
        </w:rPr>
        <w:t xml:space="preserve">, “Green banking initiatives: A qualitative study on Indian banking sector,” </w:t>
      </w:r>
      <w:r w:rsidRPr="002C6684">
        <w:rPr>
          <w:rStyle w:val="Emphasis"/>
          <w:sz w:val="20"/>
          <w:szCs w:val="20"/>
        </w:rPr>
        <w:t>Environment, Development and Sustainability</w:t>
      </w:r>
      <w:r w:rsidRPr="002C6684">
        <w:rPr>
          <w:sz w:val="20"/>
          <w:szCs w:val="20"/>
        </w:rPr>
        <w:t>, vol. 24, no. 1, pp. 293–319, 2022.</w:t>
      </w:r>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[13] M. </w:t>
      </w:r>
      <w:proofErr w:type="spellStart"/>
      <w:r w:rsidRPr="002C6684">
        <w:rPr>
          <w:sz w:val="20"/>
          <w:szCs w:val="20"/>
        </w:rPr>
        <w:t>Masukujjaman</w:t>
      </w:r>
      <w:proofErr w:type="spellEnd"/>
      <w:r w:rsidRPr="002C6684">
        <w:rPr>
          <w:sz w:val="20"/>
          <w:szCs w:val="20"/>
        </w:rPr>
        <w:t xml:space="preserve"> and S. </w:t>
      </w:r>
      <w:proofErr w:type="spellStart"/>
      <w:r w:rsidRPr="002C6684">
        <w:rPr>
          <w:sz w:val="20"/>
          <w:szCs w:val="20"/>
        </w:rPr>
        <w:t>Aktar</w:t>
      </w:r>
      <w:proofErr w:type="spellEnd"/>
      <w:r w:rsidRPr="002C6684">
        <w:rPr>
          <w:sz w:val="20"/>
          <w:szCs w:val="20"/>
        </w:rPr>
        <w:t xml:space="preserve">, “Green banking in Bangladesh: A commitment towards the global initiatives,” </w:t>
      </w:r>
      <w:r w:rsidRPr="002C6684">
        <w:rPr>
          <w:rStyle w:val="Emphasis"/>
          <w:sz w:val="20"/>
          <w:szCs w:val="20"/>
        </w:rPr>
        <w:t>Journal of Business and Technology (Dhaka)</w:t>
      </w:r>
      <w:r w:rsidRPr="002C6684">
        <w:rPr>
          <w:sz w:val="20"/>
          <w:szCs w:val="20"/>
        </w:rPr>
        <w:t>, vol. 8, no. 1–2, pp. 17–40, 2013.</w:t>
      </w:r>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[14] S. C. </w:t>
      </w:r>
      <w:proofErr w:type="spellStart"/>
      <w:r w:rsidRPr="002C6684">
        <w:rPr>
          <w:sz w:val="20"/>
          <w:szCs w:val="20"/>
        </w:rPr>
        <w:t>Bihari</w:t>
      </w:r>
      <w:proofErr w:type="spellEnd"/>
      <w:r w:rsidRPr="002C6684">
        <w:rPr>
          <w:sz w:val="20"/>
          <w:szCs w:val="20"/>
        </w:rPr>
        <w:t xml:space="preserve"> and B. </w:t>
      </w:r>
      <w:proofErr w:type="spellStart"/>
      <w:r w:rsidRPr="002C6684">
        <w:rPr>
          <w:sz w:val="20"/>
          <w:szCs w:val="20"/>
        </w:rPr>
        <w:t>Pandey</w:t>
      </w:r>
      <w:proofErr w:type="spellEnd"/>
      <w:r w:rsidRPr="002C6684">
        <w:rPr>
          <w:sz w:val="20"/>
          <w:szCs w:val="20"/>
        </w:rPr>
        <w:t xml:space="preserve">, “Green banking in India,” </w:t>
      </w:r>
      <w:r w:rsidRPr="002C6684">
        <w:rPr>
          <w:rStyle w:val="Emphasis"/>
          <w:sz w:val="20"/>
          <w:szCs w:val="20"/>
        </w:rPr>
        <w:t>Journal of Economics and International Finance</w:t>
      </w:r>
      <w:r w:rsidRPr="002C6684">
        <w:rPr>
          <w:sz w:val="20"/>
          <w:szCs w:val="20"/>
        </w:rPr>
        <w:t>, vol. 7, no. 1, pp. 1–17, 2015.</w:t>
      </w:r>
    </w:p>
    <w:p w:rsidR="002C6684" w:rsidRPr="002C6684" w:rsidRDefault="002C6684" w:rsidP="002C6684">
      <w:pPr>
        <w:pStyle w:val="NormalWeb"/>
        <w:spacing w:before="120" w:beforeAutospacing="0" w:after="120" w:afterAutospacing="0"/>
        <w:rPr>
          <w:sz w:val="20"/>
          <w:szCs w:val="20"/>
        </w:rPr>
      </w:pPr>
      <w:proofErr w:type="gramStart"/>
      <w:r w:rsidRPr="002C6684">
        <w:rPr>
          <w:sz w:val="20"/>
          <w:szCs w:val="20"/>
        </w:rPr>
        <w:t xml:space="preserve">[15] O. Weber, “Environmental risk management in financial institutions,” </w:t>
      </w:r>
      <w:r w:rsidRPr="002C6684">
        <w:rPr>
          <w:rStyle w:val="Emphasis"/>
          <w:sz w:val="20"/>
          <w:szCs w:val="20"/>
        </w:rPr>
        <w:t>Business Strategy and the Environment</w:t>
      </w:r>
      <w:r w:rsidRPr="002C6684">
        <w:rPr>
          <w:sz w:val="20"/>
          <w:szCs w:val="20"/>
        </w:rPr>
        <w:t>, vol. 26, no. 2, pp. 195–207, 2017.</w:t>
      </w:r>
      <w:proofErr w:type="gramEnd"/>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[16] R. M. </w:t>
      </w:r>
      <w:proofErr w:type="spellStart"/>
      <w:r w:rsidRPr="002C6684">
        <w:rPr>
          <w:sz w:val="20"/>
          <w:szCs w:val="20"/>
        </w:rPr>
        <w:t>Lalon</w:t>
      </w:r>
      <w:proofErr w:type="spellEnd"/>
      <w:r w:rsidRPr="002C6684">
        <w:rPr>
          <w:sz w:val="20"/>
          <w:szCs w:val="20"/>
        </w:rPr>
        <w:t xml:space="preserve">, “Green banking: Going green,” </w:t>
      </w:r>
      <w:r w:rsidRPr="002C6684">
        <w:rPr>
          <w:rStyle w:val="Emphasis"/>
          <w:sz w:val="20"/>
          <w:szCs w:val="20"/>
        </w:rPr>
        <w:t>International Journal of Economics, Finance and Management Sciences</w:t>
      </w:r>
      <w:r w:rsidRPr="002C6684">
        <w:rPr>
          <w:sz w:val="20"/>
          <w:szCs w:val="20"/>
        </w:rPr>
        <w:t>, vol. 3, no. 1, pp. 34–42, 2015.</w:t>
      </w:r>
    </w:p>
    <w:p w:rsidR="002C6684" w:rsidRPr="002C6684" w:rsidRDefault="002C6684" w:rsidP="002C6684">
      <w:pPr>
        <w:pStyle w:val="NormalWeb"/>
        <w:spacing w:before="120" w:beforeAutospacing="0" w:after="120" w:afterAutospacing="0"/>
        <w:rPr>
          <w:sz w:val="20"/>
          <w:szCs w:val="20"/>
        </w:rPr>
      </w:pPr>
      <w:r w:rsidRPr="002C6684">
        <w:rPr>
          <w:sz w:val="20"/>
          <w:szCs w:val="20"/>
        </w:rPr>
        <w:t xml:space="preserve">[17] Y. Singh and R. Sharma, “Impact of green banking initiatives on banks’ performance,” </w:t>
      </w:r>
      <w:r w:rsidRPr="002C6684">
        <w:rPr>
          <w:rStyle w:val="Emphasis"/>
          <w:sz w:val="20"/>
          <w:szCs w:val="20"/>
        </w:rPr>
        <w:t>International Journal of Research in Business Studies and Management</w:t>
      </w:r>
      <w:r w:rsidRPr="002C6684">
        <w:rPr>
          <w:sz w:val="20"/>
          <w:szCs w:val="20"/>
        </w:rPr>
        <w:t>, vol. 3, no. 7, pp. 19–24, 2016.</w:t>
      </w:r>
    </w:p>
    <w:p w:rsidR="002C6684" w:rsidRPr="000E0CB8" w:rsidRDefault="002C6684" w:rsidP="000E0CB8">
      <w:pPr>
        <w:pStyle w:val="NormalWeb"/>
        <w:spacing w:before="120" w:beforeAutospacing="0" w:after="120" w:afterAutospacing="0"/>
        <w:jc w:val="both"/>
        <w:rPr>
          <w:sz w:val="20"/>
          <w:szCs w:val="20"/>
        </w:rPr>
      </w:pPr>
      <w:r w:rsidRPr="002C6684">
        <w:rPr>
          <w:sz w:val="20"/>
          <w:szCs w:val="20"/>
        </w:rPr>
        <w:t xml:space="preserve">[18] M. M. </w:t>
      </w:r>
      <w:proofErr w:type="spellStart"/>
      <w:r w:rsidRPr="002C6684">
        <w:rPr>
          <w:sz w:val="20"/>
          <w:szCs w:val="20"/>
        </w:rPr>
        <w:t>Rahman</w:t>
      </w:r>
      <w:proofErr w:type="spellEnd"/>
      <w:r w:rsidRPr="002C6684">
        <w:rPr>
          <w:sz w:val="20"/>
          <w:szCs w:val="20"/>
        </w:rPr>
        <w:t xml:space="preserve">, M. A. </w:t>
      </w:r>
      <w:proofErr w:type="spellStart"/>
      <w:r w:rsidRPr="002C6684">
        <w:rPr>
          <w:sz w:val="20"/>
          <w:szCs w:val="20"/>
        </w:rPr>
        <w:t>Ahsan</w:t>
      </w:r>
      <w:proofErr w:type="spellEnd"/>
      <w:r w:rsidRPr="002C6684">
        <w:rPr>
          <w:sz w:val="20"/>
          <w:szCs w:val="20"/>
        </w:rPr>
        <w:t xml:space="preserve">, A. </w:t>
      </w:r>
      <w:proofErr w:type="spellStart"/>
      <w:r w:rsidRPr="002C6684">
        <w:rPr>
          <w:sz w:val="20"/>
          <w:szCs w:val="20"/>
        </w:rPr>
        <w:t>Hossain</w:t>
      </w:r>
      <w:proofErr w:type="spellEnd"/>
      <w:r w:rsidRPr="002C6684">
        <w:rPr>
          <w:sz w:val="20"/>
          <w:szCs w:val="20"/>
        </w:rPr>
        <w:t xml:space="preserve">, and A. </w:t>
      </w:r>
      <w:proofErr w:type="spellStart"/>
      <w:r w:rsidRPr="002C6684">
        <w:rPr>
          <w:sz w:val="20"/>
          <w:szCs w:val="20"/>
        </w:rPr>
        <w:t>Hoq</w:t>
      </w:r>
      <w:proofErr w:type="spellEnd"/>
      <w:r w:rsidRPr="002C6684">
        <w:rPr>
          <w:sz w:val="20"/>
          <w:szCs w:val="20"/>
        </w:rPr>
        <w:t xml:space="preserve">, “Green banking prospects in Bangladesh,” </w:t>
      </w:r>
      <w:r w:rsidRPr="002C6684">
        <w:rPr>
          <w:rStyle w:val="Emphasis"/>
          <w:sz w:val="20"/>
          <w:szCs w:val="20"/>
        </w:rPr>
        <w:t xml:space="preserve">Asian </w:t>
      </w:r>
      <w:r w:rsidRPr="000E0CB8">
        <w:rPr>
          <w:rStyle w:val="Emphasis"/>
          <w:sz w:val="20"/>
          <w:szCs w:val="20"/>
        </w:rPr>
        <w:t>Business Review</w:t>
      </w:r>
      <w:r w:rsidRPr="000E0CB8">
        <w:rPr>
          <w:sz w:val="20"/>
          <w:szCs w:val="20"/>
        </w:rPr>
        <w:t>, vol. 2, no. 2, pp. 59–63, 2013.</w:t>
      </w:r>
    </w:p>
    <w:p w:rsidR="000E0CB8" w:rsidRPr="000E0CB8" w:rsidRDefault="000E0CB8" w:rsidP="000E0CB8">
      <w:pPr>
        <w:pStyle w:val="NormalWeb"/>
        <w:spacing w:before="120" w:beforeAutospacing="0" w:after="120" w:afterAutospacing="0"/>
        <w:jc w:val="both"/>
        <w:rPr>
          <w:sz w:val="20"/>
          <w:szCs w:val="20"/>
        </w:rPr>
      </w:pPr>
      <w:proofErr w:type="gramStart"/>
      <w:r w:rsidRPr="000E0CB8">
        <w:rPr>
          <w:sz w:val="20"/>
          <w:szCs w:val="20"/>
        </w:rPr>
        <w:t xml:space="preserve">[19] S. </w:t>
      </w:r>
      <w:proofErr w:type="spellStart"/>
      <w:r w:rsidRPr="000E0CB8">
        <w:rPr>
          <w:sz w:val="20"/>
          <w:szCs w:val="20"/>
        </w:rPr>
        <w:t>Bihari</w:t>
      </w:r>
      <w:proofErr w:type="spellEnd"/>
      <w:r w:rsidRPr="000E0CB8">
        <w:rPr>
          <w:sz w:val="20"/>
          <w:szCs w:val="20"/>
        </w:rPr>
        <w:t xml:space="preserve"> and B. </w:t>
      </w:r>
      <w:proofErr w:type="spellStart"/>
      <w:r w:rsidRPr="000E0CB8">
        <w:rPr>
          <w:sz w:val="20"/>
          <w:szCs w:val="20"/>
        </w:rPr>
        <w:t>Pandey</w:t>
      </w:r>
      <w:proofErr w:type="spellEnd"/>
      <w:r w:rsidRPr="000E0CB8">
        <w:rPr>
          <w:sz w:val="20"/>
          <w:szCs w:val="20"/>
        </w:rPr>
        <w:t xml:space="preserve">, “Green banking in India,” </w:t>
      </w:r>
      <w:r w:rsidRPr="000E0CB8">
        <w:rPr>
          <w:rStyle w:val="Emphasis"/>
          <w:sz w:val="20"/>
          <w:szCs w:val="20"/>
        </w:rPr>
        <w:t>Journal of Economics and International Finance</w:t>
      </w:r>
      <w:r w:rsidRPr="000E0CB8">
        <w:rPr>
          <w:sz w:val="20"/>
          <w:szCs w:val="20"/>
        </w:rPr>
        <w:t>, vol. 7, no. 1, pp. 1–17, 2015.</w:t>
      </w:r>
      <w:proofErr w:type="gramEnd"/>
    </w:p>
    <w:p w:rsidR="000E0CB8" w:rsidRPr="000E0CB8" w:rsidRDefault="000E0CB8" w:rsidP="000E0CB8">
      <w:pPr>
        <w:pStyle w:val="NormalWeb"/>
        <w:spacing w:before="120" w:beforeAutospacing="0" w:after="120" w:afterAutospacing="0"/>
        <w:jc w:val="both"/>
        <w:rPr>
          <w:sz w:val="20"/>
          <w:szCs w:val="20"/>
        </w:rPr>
      </w:pPr>
      <w:r w:rsidRPr="000E0CB8">
        <w:rPr>
          <w:sz w:val="20"/>
          <w:szCs w:val="20"/>
        </w:rPr>
        <w:t xml:space="preserve">[20] M. M. </w:t>
      </w:r>
      <w:proofErr w:type="spellStart"/>
      <w:r w:rsidRPr="000E0CB8">
        <w:rPr>
          <w:sz w:val="20"/>
          <w:szCs w:val="20"/>
        </w:rPr>
        <w:t>Rahman</w:t>
      </w:r>
      <w:proofErr w:type="spellEnd"/>
      <w:r w:rsidRPr="000E0CB8">
        <w:rPr>
          <w:sz w:val="20"/>
          <w:szCs w:val="20"/>
        </w:rPr>
        <w:t xml:space="preserve">, M. A. </w:t>
      </w:r>
      <w:proofErr w:type="spellStart"/>
      <w:r w:rsidRPr="000E0CB8">
        <w:rPr>
          <w:sz w:val="20"/>
          <w:szCs w:val="20"/>
        </w:rPr>
        <w:t>Ahsan</w:t>
      </w:r>
      <w:proofErr w:type="spellEnd"/>
      <w:r w:rsidRPr="000E0CB8">
        <w:rPr>
          <w:sz w:val="20"/>
          <w:szCs w:val="20"/>
        </w:rPr>
        <w:t xml:space="preserve">, A. </w:t>
      </w:r>
      <w:proofErr w:type="spellStart"/>
      <w:r w:rsidRPr="000E0CB8">
        <w:rPr>
          <w:sz w:val="20"/>
          <w:szCs w:val="20"/>
        </w:rPr>
        <w:t>Hossain</w:t>
      </w:r>
      <w:proofErr w:type="spellEnd"/>
      <w:r w:rsidRPr="000E0CB8">
        <w:rPr>
          <w:sz w:val="20"/>
          <w:szCs w:val="20"/>
        </w:rPr>
        <w:t xml:space="preserve">, and A. </w:t>
      </w:r>
      <w:proofErr w:type="spellStart"/>
      <w:r w:rsidRPr="000E0CB8">
        <w:rPr>
          <w:sz w:val="20"/>
          <w:szCs w:val="20"/>
        </w:rPr>
        <w:t>Hoq</w:t>
      </w:r>
      <w:proofErr w:type="spellEnd"/>
      <w:r w:rsidRPr="000E0CB8">
        <w:rPr>
          <w:sz w:val="20"/>
          <w:szCs w:val="20"/>
        </w:rPr>
        <w:t xml:space="preserve">, “Green banking prospects in Bangladesh,” </w:t>
      </w:r>
      <w:r w:rsidRPr="000E0CB8">
        <w:rPr>
          <w:rStyle w:val="Emphasis"/>
          <w:sz w:val="20"/>
          <w:szCs w:val="20"/>
        </w:rPr>
        <w:t>Asian Business Review</w:t>
      </w:r>
      <w:r w:rsidRPr="000E0CB8">
        <w:rPr>
          <w:sz w:val="20"/>
          <w:szCs w:val="20"/>
        </w:rPr>
        <w:t>, vol. 2, no. 2, pp. 59–63, 2013.</w:t>
      </w:r>
    </w:p>
    <w:p w:rsidR="000E0CB8" w:rsidRPr="000E0CB8" w:rsidRDefault="000E0CB8" w:rsidP="000E0CB8">
      <w:pPr>
        <w:pStyle w:val="NormalWeb"/>
        <w:spacing w:before="120" w:beforeAutospacing="0" w:after="120" w:afterAutospacing="0"/>
        <w:jc w:val="both"/>
        <w:rPr>
          <w:sz w:val="20"/>
          <w:szCs w:val="20"/>
        </w:rPr>
      </w:pPr>
      <w:proofErr w:type="gramStart"/>
      <w:r w:rsidRPr="000E0CB8">
        <w:rPr>
          <w:sz w:val="20"/>
          <w:szCs w:val="20"/>
        </w:rPr>
        <w:lastRenderedPageBreak/>
        <w:t xml:space="preserve">[21] O. Weber, “Sustainable banking and environmental risk management,” </w:t>
      </w:r>
      <w:r w:rsidRPr="000E0CB8">
        <w:rPr>
          <w:rStyle w:val="Emphasis"/>
          <w:sz w:val="20"/>
          <w:szCs w:val="20"/>
        </w:rPr>
        <w:t>Business Strategy and the Environment</w:t>
      </w:r>
      <w:r w:rsidRPr="000E0CB8">
        <w:rPr>
          <w:sz w:val="20"/>
          <w:szCs w:val="20"/>
        </w:rPr>
        <w:t>, vol. 26, no. 2, pp. 195–207, 2017.</w:t>
      </w:r>
      <w:proofErr w:type="gramEnd"/>
    </w:p>
    <w:p w:rsidR="002C6684" w:rsidRPr="000E0CB8" w:rsidRDefault="000E0CB8" w:rsidP="000E0CB8">
      <w:pPr>
        <w:spacing w:before="120" w:after="120" w:line="240" w:lineRule="auto"/>
        <w:jc w:val="both"/>
        <w:rPr>
          <w:rFonts w:ascii="Times New Roman" w:hAnsi="Times New Roman" w:cs="Times New Roman"/>
          <w:sz w:val="20"/>
          <w:szCs w:val="20"/>
        </w:rPr>
      </w:pPr>
      <w:r w:rsidRPr="000E0CB8">
        <w:rPr>
          <w:rFonts w:ascii="Times New Roman" w:hAnsi="Times New Roman" w:cs="Times New Roman"/>
          <w:sz w:val="20"/>
          <w:szCs w:val="20"/>
        </w:rPr>
        <w:t xml:space="preserve">[22] N. Sharma and A. </w:t>
      </w:r>
      <w:proofErr w:type="spellStart"/>
      <w:r w:rsidRPr="000E0CB8">
        <w:rPr>
          <w:rFonts w:ascii="Times New Roman" w:hAnsi="Times New Roman" w:cs="Times New Roman"/>
          <w:sz w:val="20"/>
          <w:szCs w:val="20"/>
        </w:rPr>
        <w:t>Choubey</w:t>
      </w:r>
      <w:proofErr w:type="spellEnd"/>
      <w:r w:rsidRPr="000E0CB8">
        <w:rPr>
          <w:rFonts w:ascii="Times New Roman" w:hAnsi="Times New Roman" w:cs="Times New Roman"/>
          <w:sz w:val="20"/>
          <w:szCs w:val="20"/>
        </w:rPr>
        <w:t xml:space="preserve">, “Green banking initiatives: A qualitative study on Indian banking sector,” </w:t>
      </w:r>
      <w:r w:rsidRPr="000E0CB8">
        <w:rPr>
          <w:rStyle w:val="Emphasis"/>
          <w:rFonts w:ascii="Times New Roman" w:hAnsi="Times New Roman" w:cs="Times New Roman"/>
          <w:sz w:val="20"/>
          <w:szCs w:val="20"/>
        </w:rPr>
        <w:t>Environment, Development</w:t>
      </w:r>
      <w:bookmarkStart w:id="6" w:name="_GoBack"/>
      <w:bookmarkEnd w:id="6"/>
      <w:r w:rsidRPr="000E0CB8">
        <w:rPr>
          <w:rStyle w:val="Emphasis"/>
          <w:rFonts w:ascii="Times New Roman" w:hAnsi="Times New Roman" w:cs="Times New Roman"/>
          <w:sz w:val="20"/>
          <w:szCs w:val="20"/>
        </w:rPr>
        <w:t xml:space="preserve"> and Sustainability</w:t>
      </w:r>
      <w:r w:rsidRPr="000E0CB8">
        <w:rPr>
          <w:rFonts w:ascii="Times New Roman" w:hAnsi="Times New Roman" w:cs="Times New Roman"/>
          <w:sz w:val="20"/>
          <w:szCs w:val="20"/>
        </w:rPr>
        <w:t>, vol. 24, no. 1, pp. 293–319, 2022</w:t>
      </w:r>
    </w:p>
    <w:sectPr w:rsidR="002C6684" w:rsidRPr="000E0CB8" w:rsidSect="008E33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CA5"/>
    <w:multiLevelType w:val="multilevel"/>
    <w:tmpl w:val="BE0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E672C"/>
    <w:multiLevelType w:val="multilevel"/>
    <w:tmpl w:val="412218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52E55E0"/>
    <w:multiLevelType w:val="multilevel"/>
    <w:tmpl w:val="7380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F7CE0"/>
    <w:multiLevelType w:val="multilevel"/>
    <w:tmpl w:val="74CC5612"/>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D2791"/>
    <w:multiLevelType w:val="multilevel"/>
    <w:tmpl w:val="4A16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53323"/>
    <w:multiLevelType w:val="multilevel"/>
    <w:tmpl w:val="2028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64183"/>
    <w:multiLevelType w:val="multilevel"/>
    <w:tmpl w:val="0E38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050EAF"/>
    <w:multiLevelType w:val="multilevel"/>
    <w:tmpl w:val="EF66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4D03F4"/>
    <w:multiLevelType w:val="multilevel"/>
    <w:tmpl w:val="9D10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8E6B2A"/>
    <w:multiLevelType w:val="hybridMultilevel"/>
    <w:tmpl w:val="FD50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947189"/>
    <w:multiLevelType w:val="hybridMultilevel"/>
    <w:tmpl w:val="AFE69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2153B"/>
    <w:multiLevelType w:val="multilevel"/>
    <w:tmpl w:val="7628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AB42B1"/>
    <w:multiLevelType w:val="multilevel"/>
    <w:tmpl w:val="9900F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2B3CE2"/>
    <w:multiLevelType w:val="multilevel"/>
    <w:tmpl w:val="E660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D86351"/>
    <w:multiLevelType w:val="multilevel"/>
    <w:tmpl w:val="B5CC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344423"/>
    <w:multiLevelType w:val="hybridMultilevel"/>
    <w:tmpl w:val="8E9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A23A78"/>
    <w:multiLevelType w:val="multilevel"/>
    <w:tmpl w:val="93E8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CB4196"/>
    <w:multiLevelType w:val="multilevel"/>
    <w:tmpl w:val="A076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E431BB"/>
    <w:multiLevelType w:val="multilevel"/>
    <w:tmpl w:val="412218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291837D6"/>
    <w:multiLevelType w:val="hybridMultilevel"/>
    <w:tmpl w:val="C1488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DB3642C"/>
    <w:multiLevelType w:val="multilevel"/>
    <w:tmpl w:val="7E3E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D4548E"/>
    <w:multiLevelType w:val="multilevel"/>
    <w:tmpl w:val="13B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7C2ABB"/>
    <w:multiLevelType w:val="multilevel"/>
    <w:tmpl w:val="EF0AE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37190C"/>
    <w:multiLevelType w:val="multilevel"/>
    <w:tmpl w:val="50C0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046AF0"/>
    <w:multiLevelType w:val="hybridMultilevel"/>
    <w:tmpl w:val="925A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464F48"/>
    <w:multiLevelType w:val="multilevel"/>
    <w:tmpl w:val="9F1C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BE42B0"/>
    <w:multiLevelType w:val="multilevel"/>
    <w:tmpl w:val="3C8A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0E0503"/>
    <w:multiLevelType w:val="multilevel"/>
    <w:tmpl w:val="DB6C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405A75"/>
    <w:multiLevelType w:val="multilevel"/>
    <w:tmpl w:val="412218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56AB303F"/>
    <w:multiLevelType w:val="multilevel"/>
    <w:tmpl w:val="21A0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1653B3"/>
    <w:multiLevelType w:val="multilevel"/>
    <w:tmpl w:val="9DC28C40"/>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E67A82"/>
    <w:multiLevelType w:val="multilevel"/>
    <w:tmpl w:val="332A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E22F9A"/>
    <w:multiLevelType w:val="multilevel"/>
    <w:tmpl w:val="D472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AE0195"/>
    <w:multiLevelType w:val="multilevel"/>
    <w:tmpl w:val="CC66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DE23DC"/>
    <w:multiLevelType w:val="multilevel"/>
    <w:tmpl w:val="B442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32446A"/>
    <w:multiLevelType w:val="multilevel"/>
    <w:tmpl w:val="9A3A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395510"/>
    <w:multiLevelType w:val="hybridMultilevel"/>
    <w:tmpl w:val="0EFE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D10C07"/>
    <w:multiLevelType w:val="multilevel"/>
    <w:tmpl w:val="568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7822C8"/>
    <w:multiLevelType w:val="multilevel"/>
    <w:tmpl w:val="F78C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FF40E5"/>
    <w:multiLevelType w:val="hybridMultilevel"/>
    <w:tmpl w:val="98B25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34"/>
  </w:num>
  <w:num w:numId="3">
    <w:abstractNumId w:val="4"/>
  </w:num>
  <w:num w:numId="4">
    <w:abstractNumId w:val="35"/>
  </w:num>
  <w:num w:numId="5">
    <w:abstractNumId w:val="23"/>
  </w:num>
  <w:num w:numId="6">
    <w:abstractNumId w:val="22"/>
  </w:num>
  <w:num w:numId="7">
    <w:abstractNumId w:val="29"/>
  </w:num>
  <w:num w:numId="8">
    <w:abstractNumId w:val="14"/>
  </w:num>
  <w:num w:numId="9">
    <w:abstractNumId w:val="28"/>
  </w:num>
  <w:num w:numId="10">
    <w:abstractNumId w:val="10"/>
  </w:num>
  <w:num w:numId="11">
    <w:abstractNumId w:val="31"/>
  </w:num>
  <w:num w:numId="12">
    <w:abstractNumId w:val="12"/>
  </w:num>
  <w:num w:numId="13">
    <w:abstractNumId w:val="18"/>
  </w:num>
  <w:num w:numId="14">
    <w:abstractNumId w:val="3"/>
  </w:num>
  <w:num w:numId="15">
    <w:abstractNumId w:val="33"/>
  </w:num>
  <w:num w:numId="16">
    <w:abstractNumId w:val="25"/>
  </w:num>
  <w:num w:numId="17">
    <w:abstractNumId w:val="16"/>
  </w:num>
  <w:num w:numId="18">
    <w:abstractNumId w:val="38"/>
  </w:num>
  <w:num w:numId="19">
    <w:abstractNumId w:val="0"/>
  </w:num>
  <w:num w:numId="20">
    <w:abstractNumId w:val="1"/>
  </w:num>
  <w:num w:numId="21">
    <w:abstractNumId w:val="39"/>
  </w:num>
  <w:num w:numId="22">
    <w:abstractNumId w:val="21"/>
  </w:num>
  <w:num w:numId="23">
    <w:abstractNumId w:val="5"/>
  </w:num>
  <w:num w:numId="24">
    <w:abstractNumId w:val="6"/>
  </w:num>
  <w:num w:numId="25">
    <w:abstractNumId w:val="13"/>
  </w:num>
  <w:num w:numId="26">
    <w:abstractNumId w:val="7"/>
  </w:num>
  <w:num w:numId="27">
    <w:abstractNumId w:val="19"/>
  </w:num>
  <w:num w:numId="28">
    <w:abstractNumId w:val="26"/>
  </w:num>
  <w:num w:numId="29">
    <w:abstractNumId w:val="20"/>
  </w:num>
  <w:num w:numId="30">
    <w:abstractNumId w:val="8"/>
  </w:num>
  <w:num w:numId="31">
    <w:abstractNumId w:val="17"/>
  </w:num>
  <w:num w:numId="32">
    <w:abstractNumId w:val="27"/>
  </w:num>
  <w:num w:numId="33">
    <w:abstractNumId w:val="2"/>
  </w:num>
  <w:num w:numId="34">
    <w:abstractNumId w:val="11"/>
  </w:num>
  <w:num w:numId="35">
    <w:abstractNumId w:val="37"/>
  </w:num>
  <w:num w:numId="36">
    <w:abstractNumId w:val="24"/>
  </w:num>
  <w:num w:numId="37">
    <w:abstractNumId w:val="15"/>
  </w:num>
  <w:num w:numId="38">
    <w:abstractNumId w:val="36"/>
  </w:num>
  <w:num w:numId="39">
    <w:abstractNumId w:val="9"/>
  </w:num>
  <w:num w:numId="4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31C1"/>
    <w:rsid w:val="00004936"/>
    <w:rsid w:val="0001737B"/>
    <w:rsid w:val="000317AD"/>
    <w:rsid w:val="0004290C"/>
    <w:rsid w:val="00057C73"/>
    <w:rsid w:val="000A0015"/>
    <w:rsid w:val="000B247C"/>
    <w:rsid w:val="000D16CA"/>
    <w:rsid w:val="000E0CB8"/>
    <w:rsid w:val="000E4E9C"/>
    <w:rsid w:val="000F072D"/>
    <w:rsid w:val="000F7C59"/>
    <w:rsid w:val="00104A63"/>
    <w:rsid w:val="001644CC"/>
    <w:rsid w:val="001678A4"/>
    <w:rsid w:val="00187E1E"/>
    <w:rsid w:val="002040A3"/>
    <w:rsid w:val="00225AB7"/>
    <w:rsid w:val="00230964"/>
    <w:rsid w:val="00233C52"/>
    <w:rsid w:val="00246849"/>
    <w:rsid w:val="00247A96"/>
    <w:rsid w:val="00291DD1"/>
    <w:rsid w:val="002A692E"/>
    <w:rsid w:val="002C10BD"/>
    <w:rsid w:val="002C17F8"/>
    <w:rsid w:val="002C6684"/>
    <w:rsid w:val="003420F7"/>
    <w:rsid w:val="003534B2"/>
    <w:rsid w:val="003B15D5"/>
    <w:rsid w:val="003E6B80"/>
    <w:rsid w:val="003F554A"/>
    <w:rsid w:val="004235FC"/>
    <w:rsid w:val="00454CC6"/>
    <w:rsid w:val="004715A3"/>
    <w:rsid w:val="00474381"/>
    <w:rsid w:val="004810E0"/>
    <w:rsid w:val="004C31C1"/>
    <w:rsid w:val="004C5021"/>
    <w:rsid w:val="004D43A5"/>
    <w:rsid w:val="0050366D"/>
    <w:rsid w:val="005075D0"/>
    <w:rsid w:val="005875ED"/>
    <w:rsid w:val="0059199C"/>
    <w:rsid w:val="0059537E"/>
    <w:rsid w:val="005C3A25"/>
    <w:rsid w:val="005C6A63"/>
    <w:rsid w:val="005E3940"/>
    <w:rsid w:val="00615121"/>
    <w:rsid w:val="00635D6A"/>
    <w:rsid w:val="006A559E"/>
    <w:rsid w:val="006C68EE"/>
    <w:rsid w:val="006F5B10"/>
    <w:rsid w:val="006F7111"/>
    <w:rsid w:val="00701EB7"/>
    <w:rsid w:val="007438A3"/>
    <w:rsid w:val="00746BFD"/>
    <w:rsid w:val="00754433"/>
    <w:rsid w:val="007773BA"/>
    <w:rsid w:val="00793ACB"/>
    <w:rsid w:val="007C02EC"/>
    <w:rsid w:val="007D28A2"/>
    <w:rsid w:val="007F41D7"/>
    <w:rsid w:val="008532E7"/>
    <w:rsid w:val="00860133"/>
    <w:rsid w:val="008A1C72"/>
    <w:rsid w:val="008A205D"/>
    <w:rsid w:val="008B6AFD"/>
    <w:rsid w:val="008C4F96"/>
    <w:rsid w:val="008D75AF"/>
    <w:rsid w:val="008E291B"/>
    <w:rsid w:val="008E3353"/>
    <w:rsid w:val="008F6A59"/>
    <w:rsid w:val="008F6A9B"/>
    <w:rsid w:val="00900F0C"/>
    <w:rsid w:val="00914044"/>
    <w:rsid w:val="009259C4"/>
    <w:rsid w:val="00943A1A"/>
    <w:rsid w:val="00953D6F"/>
    <w:rsid w:val="00974642"/>
    <w:rsid w:val="00985E5A"/>
    <w:rsid w:val="009D492B"/>
    <w:rsid w:val="009F74DE"/>
    <w:rsid w:val="00A06066"/>
    <w:rsid w:val="00A22E2E"/>
    <w:rsid w:val="00A33DC8"/>
    <w:rsid w:val="00A525A2"/>
    <w:rsid w:val="00A6444A"/>
    <w:rsid w:val="00AD22F5"/>
    <w:rsid w:val="00AD6378"/>
    <w:rsid w:val="00AF70F4"/>
    <w:rsid w:val="00B04CC2"/>
    <w:rsid w:val="00B16930"/>
    <w:rsid w:val="00B4309D"/>
    <w:rsid w:val="00B55B44"/>
    <w:rsid w:val="00B839C5"/>
    <w:rsid w:val="00B911F9"/>
    <w:rsid w:val="00BB67DF"/>
    <w:rsid w:val="00C71D2B"/>
    <w:rsid w:val="00C8331C"/>
    <w:rsid w:val="00C941A8"/>
    <w:rsid w:val="00C96BEA"/>
    <w:rsid w:val="00CB6E31"/>
    <w:rsid w:val="00CC51D4"/>
    <w:rsid w:val="00CF706B"/>
    <w:rsid w:val="00CF782D"/>
    <w:rsid w:val="00D13887"/>
    <w:rsid w:val="00D43C52"/>
    <w:rsid w:val="00D60448"/>
    <w:rsid w:val="00DE005B"/>
    <w:rsid w:val="00DE5DFE"/>
    <w:rsid w:val="00E102AF"/>
    <w:rsid w:val="00E13EEA"/>
    <w:rsid w:val="00E26B11"/>
    <w:rsid w:val="00E3068C"/>
    <w:rsid w:val="00E5625C"/>
    <w:rsid w:val="00E646DF"/>
    <w:rsid w:val="00E727D4"/>
    <w:rsid w:val="00E8554E"/>
    <w:rsid w:val="00EA7EAC"/>
    <w:rsid w:val="00EE6AC6"/>
    <w:rsid w:val="00EF5D02"/>
    <w:rsid w:val="00F153F1"/>
    <w:rsid w:val="00F23176"/>
    <w:rsid w:val="00F51069"/>
    <w:rsid w:val="00F5605C"/>
    <w:rsid w:val="00F977B6"/>
    <w:rsid w:val="00FB02A9"/>
    <w:rsid w:val="00FB364A"/>
    <w:rsid w:val="00FC7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53"/>
  </w:style>
  <w:style w:type="paragraph" w:styleId="Heading1">
    <w:name w:val="heading 1"/>
    <w:basedOn w:val="Normal"/>
    <w:link w:val="Heading1Char"/>
    <w:uiPriority w:val="9"/>
    <w:qFormat/>
    <w:rsid w:val="004C31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31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C31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35D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1C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C31C1"/>
    <w:rPr>
      <w:rFonts w:ascii="Times New Roman" w:eastAsia="Times New Roman" w:hAnsi="Times New Roman" w:cs="Times New Roman"/>
      <w:b/>
      <w:bCs/>
      <w:sz w:val="27"/>
      <w:szCs w:val="27"/>
    </w:rPr>
  </w:style>
  <w:style w:type="character" w:styleId="Strong">
    <w:name w:val="Strong"/>
    <w:basedOn w:val="DefaultParagraphFont"/>
    <w:uiPriority w:val="22"/>
    <w:qFormat/>
    <w:rsid w:val="004C31C1"/>
    <w:rPr>
      <w:b/>
      <w:bCs/>
    </w:rPr>
  </w:style>
  <w:style w:type="character" w:customStyle="1" w:styleId="Heading2Char">
    <w:name w:val="Heading 2 Char"/>
    <w:basedOn w:val="DefaultParagraphFont"/>
    <w:link w:val="Heading2"/>
    <w:uiPriority w:val="9"/>
    <w:rsid w:val="004C31C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qFormat/>
    <w:rsid w:val="004C31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31C1"/>
    <w:rPr>
      <w:i/>
      <w:iCs/>
    </w:rPr>
  </w:style>
  <w:style w:type="paragraph" w:styleId="z-TopofForm">
    <w:name w:val="HTML Top of Form"/>
    <w:basedOn w:val="Normal"/>
    <w:next w:val="Normal"/>
    <w:link w:val="z-TopofFormChar"/>
    <w:hidden/>
    <w:uiPriority w:val="99"/>
    <w:semiHidden/>
    <w:unhideWhenUsed/>
    <w:rsid w:val="004C31C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31C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C31C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31C1"/>
    <w:rPr>
      <w:rFonts w:ascii="Arial" w:eastAsia="Times New Roman" w:hAnsi="Arial" w:cs="Arial"/>
      <w:vanish/>
      <w:sz w:val="16"/>
      <w:szCs w:val="16"/>
    </w:rPr>
  </w:style>
  <w:style w:type="character" w:styleId="Hyperlink">
    <w:name w:val="Hyperlink"/>
    <w:basedOn w:val="DefaultParagraphFont"/>
    <w:uiPriority w:val="99"/>
    <w:semiHidden/>
    <w:unhideWhenUsed/>
    <w:rsid w:val="003F554A"/>
    <w:rPr>
      <w:color w:val="0000FF"/>
      <w:u w:val="single"/>
    </w:rPr>
  </w:style>
  <w:style w:type="paragraph" w:styleId="BodyText">
    <w:name w:val="Body Text"/>
    <w:basedOn w:val="Normal"/>
    <w:link w:val="BodyTextChar"/>
    <w:uiPriority w:val="1"/>
    <w:unhideWhenUsed/>
    <w:qFormat/>
    <w:rsid w:val="003F554A"/>
    <w:pPr>
      <w:widowControl w:val="0"/>
      <w:autoSpaceDE w:val="0"/>
      <w:autoSpaceDN w:val="0"/>
      <w:spacing w:after="0" w:line="240" w:lineRule="auto"/>
      <w:ind w:left="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F554A"/>
    <w:rPr>
      <w:rFonts w:ascii="Times New Roman" w:eastAsia="Times New Roman" w:hAnsi="Times New Roman" w:cs="Times New Roman"/>
      <w:sz w:val="24"/>
      <w:szCs w:val="24"/>
    </w:rPr>
  </w:style>
  <w:style w:type="paragraph" w:styleId="ListParagraph">
    <w:name w:val="List Paragraph"/>
    <w:aliases w:val="heading 6,List Paragraph1,Bullets,List Paragraph (numbered (a)),List Bullet Mary,Numbered List Paragraph,List Bullet-OpsManual,References,Title Style 1,Main numbered paragraph,Liste 1,List Paragraph nowy,Colorful List - Accent 11,Dot pt,l"/>
    <w:basedOn w:val="Normal"/>
    <w:link w:val="ListParagraphChar"/>
    <w:uiPriority w:val="34"/>
    <w:qFormat/>
    <w:rsid w:val="00E102AF"/>
    <w:pPr>
      <w:ind w:left="720"/>
      <w:contextualSpacing/>
    </w:pPr>
  </w:style>
  <w:style w:type="character" w:customStyle="1" w:styleId="ListParagraphChar">
    <w:name w:val="List Paragraph Char"/>
    <w:aliases w:val="heading 6 Char,List Paragraph1 Char,Bullets Char,List Paragraph (numbered (a)) Char,List Bullet Mary Char,Numbered List Paragraph Char,List Bullet-OpsManual Char,References Char,Title Style 1 Char,Main numbered paragraph Char,l Char"/>
    <w:link w:val="ListParagraph"/>
    <w:uiPriority w:val="34"/>
    <w:qFormat/>
    <w:locked/>
    <w:rsid w:val="00E102AF"/>
  </w:style>
  <w:style w:type="character" w:customStyle="1" w:styleId="math-inline">
    <w:name w:val="math-inline"/>
    <w:basedOn w:val="DefaultParagraphFont"/>
    <w:rsid w:val="00E102AF"/>
  </w:style>
  <w:style w:type="character" w:customStyle="1" w:styleId="citation-165">
    <w:name w:val="citation-165"/>
    <w:basedOn w:val="DefaultParagraphFont"/>
    <w:rsid w:val="00B04CC2"/>
  </w:style>
  <w:style w:type="character" w:customStyle="1" w:styleId="citation-164">
    <w:name w:val="citation-164"/>
    <w:basedOn w:val="DefaultParagraphFont"/>
    <w:rsid w:val="00B04CC2"/>
  </w:style>
  <w:style w:type="character" w:customStyle="1" w:styleId="citation-163">
    <w:name w:val="citation-163"/>
    <w:basedOn w:val="DefaultParagraphFont"/>
    <w:rsid w:val="00B04CC2"/>
  </w:style>
  <w:style w:type="paragraph" w:customStyle="1" w:styleId="animating">
    <w:name w:val="animating"/>
    <w:basedOn w:val="Normal"/>
    <w:rsid w:val="00953D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4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936"/>
    <w:rPr>
      <w:rFonts w:ascii="Tahoma" w:hAnsi="Tahoma" w:cs="Tahoma"/>
      <w:sz w:val="16"/>
      <w:szCs w:val="16"/>
    </w:rPr>
  </w:style>
  <w:style w:type="table" w:styleId="TableGrid">
    <w:name w:val="Table Grid"/>
    <w:basedOn w:val="TableNormal"/>
    <w:uiPriority w:val="59"/>
    <w:qFormat/>
    <w:rsid w:val="00635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35D6A"/>
    <w:rPr>
      <w:rFonts w:asciiTheme="majorHAnsi" w:eastAsiaTheme="majorEastAsia" w:hAnsiTheme="majorHAnsi" w:cstheme="majorBidi"/>
      <w:b/>
      <w:bCs/>
      <w:i/>
      <w:iCs/>
      <w:color w:val="4F81BD" w:themeColor="accent1"/>
    </w:rPr>
  </w:style>
  <w:style w:type="character" w:customStyle="1" w:styleId="mrel">
    <w:name w:val="mrel"/>
    <w:basedOn w:val="DefaultParagraphFont"/>
    <w:rsid w:val="006C68EE"/>
  </w:style>
  <w:style w:type="character" w:customStyle="1" w:styleId="katex-mathml">
    <w:name w:val="katex-mathml"/>
    <w:basedOn w:val="DefaultParagraphFont"/>
    <w:rsid w:val="004C5021"/>
  </w:style>
  <w:style w:type="character" w:customStyle="1" w:styleId="mord">
    <w:name w:val="mord"/>
    <w:basedOn w:val="DefaultParagraphFont"/>
    <w:rsid w:val="004C5021"/>
  </w:style>
  <w:style w:type="character" w:customStyle="1" w:styleId="vlist-s">
    <w:name w:val="vlist-s"/>
    <w:basedOn w:val="DefaultParagraphFont"/>
    <w:rsid w:val="004C5021"/>
  </w:style>
  <w:style w:type="paragraph" w:styleId="Caption">
    <w:name w:val="caption"/>
    <w:basedOn w:val="Normal"/>
    <w:next w:val="Normal"/>
    <w:uiPriority w:val="35"/>
    <w:semiHidden/>
    <w:unhideWhenUsed/>
    <w:qFormat/>
    <w:rsid w:val="000F7C59"/>
    <w:pPr>
      <w:spacing w:line="240" w:lineRule="auto"/>
    </w:pPr>
    <w:rPr>
      <w:rFonts w:ascii="Times New Roman" w:eastAsia="Times New Roman" w:hAnsi="Times New Roman" w:cs="Times New Roman"/>
      <w:b/>
      <w:bCs/>
      <w:color w:val="4F81BD" w:themeColor="accent1"/>
      <w:sz w:val="18"/>
      <w:szCs w:val="18"/>
    </w:rPr>
  </w:style>
  <w:style w:type="paragraph" w:customStyle="1" w:styleId="TableParagraph">
    <w:name w:val="Table Paragraph"/>
    <w:basedOn w:val="Normal"/>
    <w:uiPriority w:val="1"/>
    <w:qFormat/>
    <w:rsid w:val="000F7C59"/>
    <w:pPr>
      <w:widowControl w:val="0"/>
      <w:autoSpaceDE w:val="0"/>
      <w:autoSpaceDN w:val="0"/>
      <w:spacing w:after="0" w:line="240" w:lineRule="auto"/>
    </w:pPr>
    <w:rPr>
      <w:rFonts w:ascii="Times New Roman" w:eastAsia="Times New Roman" w:hAnsi="Times New Roman" w:cs="Times New Roman"/>
    </w:rPr>
  </w:style>
  <w:style w:type="character" w:customStyle="1" w:styleId="whitespace-normal">
    <w:name w:val="whitespace-normal"/>
    <w:basedOn w:val="DefaultParagraphFont"/>
    <w:rsid w:val="00D60448"/>
  </w:style>
  <w:style w:type="character" w:customStyle="1" w:styleId="mbin">
    <w:name w:val="mbin"/>
    <w:basedOn w:val="DefaultParagraphFont"/>
    <w:rsid w:val="008B6AFD"/>
  </w:style>
  <w:style w:type="character" w:customStyle="1" w:styleId="mopen">
    <w:name w:val="mopen"/>
    <w:basedOn w:val="DefaultParagraphFont"/>
    <w:rsid w:val="008B6AFD"/>
  </w:style>
  <w:style w:type="character" w:customStyle="1" w:styleId="mclose">
    <w:name w:val="mclose"/>
    <w:basedOn w:val="DefaultParagraphFont"/>
    <w:rsid w:val="008B6AFD"/>
  </w:style>
  <w:style w:type="character" w:customStyle="1" w:styleId="mpunct">
    <w:name w:val="mpunct"/>
    <w:basedOn w:val="DefaultParagraphFont"/>
    <w:rsid w:val="008B6AFD"/>
  </w:style>
  <w:style w:type="paragraph" w:customStyle="1" w:styleId="placeholder">
    <w:name w:val="placeholder"/>
    <w:basedOn w:val="Normal"/>
    <w:rsid w:val="006A559E"/>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9537E"/>
    <w:rPr>
      <w:rFonts w:ascii="Courier New" w:eastAsia="Times New Roman" w:hAnsi="Courier New" w:cs="Courier New"/>
      <w:sz w:val="20"/>
      <w:szCs w:val="20"/>
    </w:rPr>
  </w:style>
  <w:style w:type="paragraph" w:customStyle="1" w:styleId="isselectedend">
    <w:name w:val="isselectedend"/>
    <w:basedOn w:val="Normal"/>
    <w:rsid w:val="00943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943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12215">
      <w:bodyDiv w:val="1"/>
      <w:marLeft w:val="0"/>
      <w:marRight w:val="0"/>
      <w:marTop w:val="0"/>
      <w:marBottom w:val="0"/>
      <w:divBdr>
        <w:top w:val="none" w:sz="0" w:space="0" w:color="auto"/>
        <w:left w:val="none" w:sz="0" w:space="0" w:color="auto"/>
        <w:bottom w:val="none" w:sz="0" w:space="0" w:color="auto"/>
        <w:right w:val="none" w:sz="0" w:space="0" w:color="auto"/>
      </w:divBdr>
      <w:divsChild>
        <w:div w:id="1395934059">
          <w:marLeft w:val="0"/>
          <w:marRight w:val="0"/>
          <w:marTop w:val="0"/>
          <w:marBottom w:val="0"/>
          <w:divBdr>
            <w:top w:val="none" w:sz="0" w:space="0" w:color="auto"/>
            <w:left w:val="none" w:sz="0" w:space="0" w:color="auto"/>
            <w:bottom w:val="none" w:sz="0" w:space="0" w:color="auto"/>
            <w:right w:val="none" w:sz="0" w:space="0" w:color="auto"/>
          </w:divBdr>
          <w:divsChild>
            <w:div w:id="39063091">
              <w:marLeft w:val="0"/>
              <w:marRight w:val="0"/>
              <w:marTop w:val="0"/>
              <w:marBottom w:val="0"/>
              <w:divBdr>
                <w:top w:val="none" w:sz="0" w:space="0" w:color="auto"/>
                <w:left w:val="none" w:sz="0" w:space="0" w:color="auto"/>
                <w:bottom w:val="none" w:sz="0" w:space="0" w:color="auto"/>
                <w:right w:val="none" w:sz="0" w:space="0" w:color="auto"/>
              </w:divBdr>
              <w:divsChild>
                <w:div w:id="1121193218">
                  <w:marLeft w:val="0"/>
                  <w:marRight w:val="0"/>
                  <w:marTop w:val="0"/>
                  <w:marBottom w:val="0"/>
                  <w:divBdr>
                    <w:top w:val="none" w:sz="0" w:space="0" w:color="auto"/>
                    <w:left w:val="none" w:sz="0" w:space="0" w:color="auto"/>
                    <w:bottom w:val="none" w:sz="0" w:space="0" w:color="auto"/>
                    <w:right w:val="none" w:sz="0" w:space="0" w:color="auto"/>
                  </w:divBdr>
                  <w:divsChild>
                    <w:div w:id="2076194384">
                      <w:marLeft w:val="0"/>
                      <w:marRight w:val="0"/>
                      <w:marTop w:val="0"/>
                      <w:marBottom w:val="0"/>
                      <w:divBdr>
                        <w:top w:val="none" w:sz="0" w:space="0" w:color="auto"/>
                        <w:left w:val="none" w:sz="0" w:space="0" w:color="auto"/>
                        <w:bottom w:val="none" w:sz="0" w:space="0" w:color="auto"/>
                        <w:right w:val="none" w:sz="0" w:space="0" w:color="auto"/>
                      </w:divBdr>
                      <w:divsChild>
                        <w:div w:id="189224399">
                          <w:marLeft w:val="0"/>
                          <w:marRight w:val="0"/>
                          <w:marTop w:val="0"/>
                          <w:marBottom w:val="0"/>
                          <w:divBdr>
                            <w:top w:val="none" w:sz="0" w:space="0" w:color="auto"/>
                            <w:left w:val="none" w:sz="0" w:space="0" w:color="auto"/>
                            <w:bottom w:val="none" w:sz="0" w:space="0" w:color="auto"/>
                            <w:right w:val="none" w:sz="0" w:space="0" w:color="auto"/>
                          </w:divBdr>
                          <w:divsChild>
                            <w:div w:id="642203199">
                              <w:marLeft w:val="0"/>
                              <w:marRight w:val="0"/>
                              <w:marTop w:val="0"/>
                              <w:marBottom w:val="0"/>
                              <w:divBdr>
                                <w:top w:val="none" w:sz="0" w:space="0" w:color="auto"/>
                                <w:left w:val="none" w:sz="0" w:space="0" w:color="auto"/>
                                <w:bottom w:val="none" w:sz="0" w:space="0" w:color="auto"/>
                                <w:right w:val="none" w:sz="0" w:space="0" w:color="auto"/>
                              </w:divBdr>
                              <w:divsChild>
                                <w:div w:id="1299842496">
                                  <w:marLeft w:val="0"/>
                                  <w:marRight w:val="0"/>
                                  <w:marTop w:val="0"/>
                                  <w:marBottom w:val="0"/>
                                  <w:divBdr>
                                    <w:top w:val="none" w:sz="0" w:space="0" w:color="auto"/>
                                    <w:left w:val="none" w:sz="0" w:space="0" w:color="auto"/>
                                    <w:bottom w:val="none" w:sz="0" w:space="0" w:color="auto"/>
                                    <w:right w:val="none" w:sz="0" w:space="0" w:color="auto"/>
                                  </w:divBdr>
                                  <w:divsChild>
                                    <w:div w:id="1094398988">
                                      <w:marLeft w:val="0"/>
                                      <w:marRight w:val="0"/>
                                      <w:marTop w:val="0"/>
                                      <w:marBottom w:val="0"/>
                                      <w:divBdr>
                                        <w:top w:val="none" w:sz="0" w:space="0" w:color="auto"/>
                                        <w:left w:val="none" w:sz="0" w:space="0" w:color="auto"/>
                                        <w:bottom w:val="none" w:sz="0" w:space="0" w:color="auto"/>
                                        <w:right w:val="none" w:sz="0" w:space="0" w:color="auto"/>
                                      </w:divBdr>
                                      <w:divsChild>
                                        <w:div w:id="562523623">
                                          <w:marLeft w:val="0"/>
                                          <w:marRight w:val="0"/>
                                          <w:marTop w:val="0"/>
                                          <w:marBottom w:val="0"/>
                                          <w:divBdr>
                                            <w:top w:val="none" w:sz="0" w:space="0" w:color="auto"/>
                                            <w:left w:val="none" w:sz="0" w:space="0" w:color="auto"/>
                                            <w:bottom w:val="none" w:sz="0" w:space="0" w:color="auto"/>
                                            <w:right w:val="none" w:sz="0" w:space="0" w:color="auto"/>
                                          </w:divBdr>
                                          <w:divsChild>
                                            <w:div w:id="1757625526">
                                              <w:marLeft w:val="0"/>
                                              <w:marRight w:val="0"/>
                                              <w:marTop w:val="0"/>
                                              <w:marBottom w:val="0"/>
                                              <w:divBdr>
                                                <w:top w:val="none" w:sz="0" w:space="0" w:color="auto"/>
                                                <w:left w:val="none" w:sz="0" w:space="0" w:color="auto"/>
                                                <w:bottom w:val="none" w:sz="0" w:space="0" w:color="auto"/>
                                                <w:right w:val="none" w:sz="0" w:space="0" w:color="auto"/>
                                              </w:divBdr>
                                              <w:divsChild>
                                                <w:div w:id="405038273">
                                                  <w:marLeft w:val="0"/>
                                                  <w:marRight w:val="0"/>
                                                  <w:marTop w:val="0"/>
                                                  <w:marBottom w:val="0"/>
                                                  <w:divBdr>
                                                    <w:top w:val="none" w:sz="0" w:space="0" w:color="auto"/>
                                                    <w:left w:val="none" w:sz="0" w:space="0" w:color="auto"/>
                                                    <w:bottom w:val="none" w:sz="0" w:space="0" w:color="auto"/>
                                                    <w:right w:val="none" w:sz="0" w:space="0" w:color="auto"/>
                                                  </w:divBdr>
                                                  <w:divsChild>
                                                    <w:div w:id="1274241522">
                                                      <w:marLeft w:val="0"/>
                                                      <w:marRight w:val="0"/>
                                                      <w:marTop w:val="0"/>
                                                      <w:marBottom w:val="0"/>
                                                      <w:divBdr>
                                                        <w:top w:val="none" w:sz="0" w:space="0" w:color="auto"/>
                                                        <w:left w:val="none" w:sz="0" w:space="0" w:color="auto"/>
                                                        <w:bottom w:val="none" w:sz="0" w:space="0" w:color="auto"/>
                                                        <w:right w:val="none" w:sz="0" w:space="0" w:color="auto"/>
                                                      </w:divBdr>
                                                      <w:divsChild>
                                                        <w:div w:id="490144853">
                                                          <w:marLeft w:val="0"/>
                                                          <w:marRight w:val="0"/>
                                                          <w:marTop w:val="0"/>
                                                          <w:marBottom w:val="0"/>
                                                          <w:divBdr>
                                                            <w:top w:val="none" w:sz="0" w:space="0" w:color="auto"/>
                                                            <w:left w:val="none" w:sz="0" w:space="0" w:color="auto"/>
                                                            <w:bottom w:val="none" w:sz="0" w:space="0" w:color="auto"/>
                                                            <w:right w:val="none" w:sz="0" w:space="0" w:color="auto"/>
                                                          </w:divBdr>
                                                          <w:divsChild>
                                                            <w:div w:id="1488323932">
                                                              <w:marLeft w:val="0"/>
                                                              <w:marRight w:val="0"/>
                                                              <w:marTop w:val="0"/>
                                                              <w:marBottom w:val="0"/>
                                                              <w:divBdr>
                                                                <w:top w:val="none" w:sz="0" w:space="0" w:color="auto"/>
                                                                <w:left w:val="none" w:sz="0" w:space="0" w:color="auto"/>
                                                                <w:bottom w:val="none" w:sz="0" w:space="0" w:color="auto"/>
                                                                <w:right w:val="none" w:sz="0" w:space="0" w:color="auto"/>
                                                              </w:divBdr>
                                                              <w:divsChild>
                                                                <w:div w:id="588273926">
                                                                  <w:marLeft w:val="0"/>
                                                                  <w:marRight w:val="0"/>
                                                                  <w:marTop w:val="0"/>
                                                                  <w:marBottom w:val="0"/>
                                                                  <w:divBdr>
                                                                    <w:top w:val="none" w:sz="0" w:space="0" w:color="auto"/>
                                                                    <w:left w:val="none" w:sz="0" w:space="0" w:color="auto"/>
                                                                    <w:bottom w:val="none" w:sz="0" w:space="0" w:color="auto"/>
                                                                    <w:right w:val="none" w:sz="0" w:space="0" w:color="auto"/>
                                                                  </w:divBdr>
                                                                  <w:divsChild>
                                                                    <w:div w:id="59028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762528">
                                          <w:marLeft w:val="0"/>
                                          <w:marRight w:val="0"/>
                                          <w:marTop w:val="0"/>
                                          <w:marBottom w:val="0"/>
                                          <w:divBdr>
                                            <w:top w:val="none" w:sz="0" w:space="0" w:color="auto"/>
                                            <w:left w:val="none" w:sz="0" w:space="0" w:color="auto"/>
                                            <w:bottom w:val="none" w:sz="0" w:space="0" w:color="auto"/>
                                            <w:right w:val="none" w:sz="0" w:space="0" w:color="auto"/>
                                          </w:divBdr>
                                          <w:divsChild>
                                            <w:div w:id="452135708">
                                              <w:marLeft w:val="0"/>
                                              <w:marRight w:val="0"/>
                                              <w:marTop w:val="0"/>
                                              <w:marBottom w:val="0"/>
                                              <w:divBdr>
                                                <w:top w:val="none" w:sz="0" w:space="0" w:color="auto"/>
                                                <w:left w:val="none" w:sz="0" w:space="0" w:color="auto"/>
                                                <w:bottom w:val="none" w:sz="0" w:space="0" w:color="auto"/>
                                                <w:right w:val="none" w:sz="0" w:space="0" w:color="auto"/>
                                              </w:divBdr>
                                              <w:divsChild>
                                                <w:div w:id="1070537841">
                                                  <w:marLeft w:val="0"/>
                                                  <w:marRight w:val="0"/>
                                                  <w:marTop w:val="0"/>
                                                  <w:marBottom w:val="0"/>
                                                  <w:divBdr>
                                                    <w:top w:val="none" w:sz="0" w:space="0" w:color="auto"/>
                                                    <w:left w:val="none" w:sz="0" w:space="0" w:color="auto"/>
                                                    <w:bottom w:val="none" w:sz="0" w:space="0" w:color="auto"/>
                                                    <w:right w:val="none" w:sz="0" w:space="0" w:color="auto"/>
                                                  </w:divBdr>
                                                  <w:divsChild>
                                                    <w:div w:id="1963339294">
                                                      <w:marLeft w:val="0"/>
                                                      <w:marRight w:val="0"/>
                                                      <w:marTop w:val="0"/>
                                                      <w:marBottom w:val="0"/>
                                                      <w:divBdr>
                                                        <w:top w:val="none" w:sz="0" w:space="0" w:color="auto"/>
                                                        <w:left w:val="none" w:sz="0" w:space="0" w:color="auto"/>
                                                        <w:bottom w:val="none" w:sz="0" w:space="0" w:color="auto"/>
                                                        <w:right w:val="none" w:sz="0" w:space="0" w:color="auto"/>
                                                      </w:divBdr>
                                                      <w:divsChild>
                                                        <w:div w:id="1088579447">
                                                          <w:marLeft w:val="0"/>
                                                          <w:marRight w:val="0"/>
                                                          <w:marTop w:val="0"/>
                                                          <w:marBottom w:val="0"/>
                                                          <w:divBdr>
                                                            <w:top w:val="none" w:sz="0" w:space="0" w:color="auto"/>
                                                            <w:left w:val="none" w:sz="0" w:space="0" w:color="auto"/>
                                                            <w:bottom w:val="none" w:sz="0" w:space="0" w:color="auto"/>
                                                            <w:right w:val="none" w:sz="0" w:space="0" w:color="auto"/>
                                                          </w:divBdr>
                                                          <w:divsChild>
                                                            <w:div w:id="639500857">
                                                              <w:marLeft w:val="0"/>
                                                              <w:marRight w:val="0"/>
                                                              <w:marTop w:val="0"/>
                                                              <w:marBottom w:val="0"/>
                                                              <w:divBdr>
                                                                <w:top w:val="none" w:sz="0" w:space="0" w:color="auto"/>
                                                                <w:left w:val="none" w:sz="0" w:space="0" w:color="auto"/>
                                                                <w:bottom w:val="none" w:sz="0" w:space="0" w:color="auto"/>
                                                                <w:right w:val="none" w:sz="0" w:space="0" w:color="auto"/>
                                                              </w:divBdr>
                                                              <w:divsChild>
                                                                <w:div w:id="206919767">
                                                                  <w:marLeft w:val="0"/>
                                                                  <w:marRight w:val="0"/>
                                                                  <w:marTop w:val="0"/>
                                                                  <w:marBottom w:val="0"/>
                                                                  <w:divBdr>
                                                                    <w:top w:val="none" w:sz="0" w:space="0" w:color="auto"/>
                                                                    <w:left w:val="none" w:sz="0" w:space="0" w:color="auto"/>
                                                                    <w:bottom w:val="none" w:sz="0" w:space="0" w:color="auto"/>
                                                                    <w:right w:val="none" w:sz="0" w:space="0" w:color="auto"/>
                                                                  </w:divBdr>
                                                                  <w:divsChild>
                                                                    <w:div w:id="495463707">
                                                                      <w:marLeft w:val="0"/>
                                                                      <w:marRight w:val="0"/>
                                                                      <w:marTop w:val="0"/>
                                                                      <w:marBottom w:val="0"/>
                                                                      <w:divBdr>
                                                                        <w:top w:val="none" w:sz="0" w:space="0" w:color="auto"/>
                                                                        <w:left w:val="none" w:sz="0" w:space="0" w:color="auto"/>
                                                                        <w:bottom w:val="none" w:sz="0" w:space="0" w:color="auto"/>
                                                                        <w:right w:val="none" w:sz="0" w:space="0" w:color="auto"/>
                                                                      </w:divBdr>
                                                                      <w:divsChild>
                                                                        <w:div w:id="1008408849">
                                                                          <w:marLeft w:val="0"/>
                                                                          <w:marRight w:val="0"/>
                                                                          <w:marTop w:val="0"/>
                                                                          <w:marBottom w:val="0"/>
                                                                          <w:divBdr>
                                                                            <w:top w:val="none" w:sz="0" w:space="0" w:color="auto"/>
                                                                            <w:left w:val="none" w:sz="0" w:space="0" w:color="auto"/>
                                                                            <w:bottom w:val="none" w:sz="0" w:space="0" w:color="auto"/>
                                                                            <w:right w:val="none" w:sz="0" w:space="0" w:color="auto"/>
                                                                          </w:divBdr>
                                                                          <w:divsChild>
                                                                            <w:div w:id="1359547124">
                                                                              <w:marLeft w:val="0"/>
                                                                              <w:marRight w:val="0"/>
                                                                              <w:marTop w:val="0"/>
                                                                              <w:marBottom w:val="0"/>
                                                                              <w:divBdr>
                                                                                <w:top w:val="none" w:sz="0" w:space="0" w:color="auto"/>
                                                                                <w:left w:val="none" w:sz="0" w:space="0" w:color="auto"/>
                                                                                <w:bottom w:val="none" w:sz="0" w:space="0" w:color="auto"/>
                                                                                <w:right w:val="none" w:sz="0" w:space="0" w:color="auto"/>
                                                                              </w:divBdr>
                                                                              <w:divsChild>
                                                                                <w:div w:id="323968822">
                                                                                  <w:marLeft w:val="0"/>
                                                                                  <w:marRight w:val="0"/>
                                                                                  <w:marTop w:val="0"/>
                                                                                  <w:marBottom w:val="0"/>
                                                                                  <w:divBdr>
                                                                                    <w:top w:val="none" w:sz="0" w:space="0" w:color="auto"/>
                                                                                    <w:left w:val="none" w:sz="0" w:space="0" w:color="auto"/>
                                                                                    <w:bottom w:val="none" w:sz="0" w:space="0" w:color="auto"/>
                                                                                    <w:right w:val="none" w:sz="0" w:space="0" w:color="auto"/>
                                                                                  </w:divBdr>
                                                                                  <w:divsChild>
                                                                                    <w:div w:id="16150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42237">
      <w:bodyDiv w:val="1"/>
      <w:marLeft w:val="0"/>
      <w:marRight w:val="0"/>
      <w:marTop w:val="0"/>
      <w:marBottom w:val="0"/>
      <w:divBdr>
        <w:top w:val="none" w:sz="0" w:space="0" w:color="auto"/>
        <w:left w:val="none" w:sz="0" w:space="0" w:color="auto"/>
        <w:bottom w:val="none" w:sz="0" w:space="0" w:color="auto"/>
        <w:right w:val="none" w:sz="0" w:space="0" w:color="auto"/>
      </w:divBdr>
    </w:div>
    <w:div w:id="32731613">
      <w:bodyDiv w:val="1"/>
      <w:marLeft w:val="0"/>
      <w:marRight w:val="0"/>
      <w:marTop w:val="0"/>
      <w:marBottom w:val="0"/>
      <w:divBdr>
        <w:top w:val="none" w:sz="0" w:space="0" w:color="auto"/>
        <w:left w:val="none" w:sz="0" w:space="0" w:color="auto"/>
        <w:bottom w:val="none" w:sz="0" w:space="0" w:color="auto"/>
        <w:right w:val="none" w:sz="0" w:space="0" w:color="auto"/>
      </w:divBdr>
    </w:div>
    <w:div w:id="91903823">
      <w:bodyDiv w:val="1"/>
      <w:marLeft w:val="0"/>
      <w:marRight w:val="0"/>
      <w:marTop w:val="0"/>
      <w:marBottom w:val="0"/>
      <w:divBdr>
        <w:top w:val="none" w:sz="0" w:space="0" w:color="auto"/>
        <w:left w:val="none" w:sz="0" w:space="0" w:color="auto"/>
        <w:bottom w:val="none" w:sz="0" w:space="0" w:color="auto"/>
        <w:right w:val="none" w:sz="0" w:space="0" w:color="auto"/>
      </w:divBdr>
    </w:div>
    <w:div w:id="118836860">
      <w:bodyDiv w:val="1"/>
      <w:marLeft w:val="0"/>
      <w:marRight w:val="0"/>
      <w:marTop w:val="0"/>
      <w:marBottom w:val="0"/>
      <w:divBdr>
        <w:top w:val="none" w:sz="0" w:space="0" w:color="auto"/>
        <w:left w:val="none" w:sz="0" w:space="0" w:color="auto"/>
        <w:bottom w:val="none" w:sz="0" w:space="0" w:color="auto"/>
        <w:right w:val="none" w:sz="0" w:space="0" w:color="auto"/>
      </w:divBdr>
    </w:div>
    <w:div w:id="138772128">
      <w:bodyDiv w:val="1"/>
      <w:marLeft w:val="0"/>
      <w:marRight w:val="0"/>
      <w:marTop w:val="0"/>
      <w:marBottom w:val="0"/>
      <w:divBdr>
        <w:top w:val="none" w:sz="0" w:space="0" w:color="auto"/>
        <w:left w:val="none" w:sz="0" w:space="0" w:color="auto"/>
        <w:bottom w:val="none" w:sz="0" w:space="0" w:color="auto"/>
        <w:right w:val="none" w:sz="0" w:space="0" w:color="auto"/>
      </w:divBdr>
    </w:div>
    <w:div w:id="162401263">
      <w:bodyDiv w:val="1"/>
      <w:marLeft w:val="0"/>
      <w:marRight w:val="0"/>
      <w:marTop w:val="0"/>
      <w:marBottom w:val="0"/>
      <w:divBdr>
        <w:top w:val="none" w:sz="0" w:space="0" w:color="auto"/>
        <w:left w:val="none" w:sz="0" w:space="0" w:color="auto"/>
        <w:bottom w:val="none" w:sz="0" w:space="0" w:color="auto"/>
        <w:right w:val="none" w:sz="0" w:space="0" w:color="auto"/>
      </w:divBdr>
    </w:div>
    <w:div w:id="162667653">
      <w:bodyDiv w:val="1"/>
      <w:marLeft w:val="0"/>
      <w:marRight w:val="0"/>
      <w:marTop w:val="0"/>
      <w:marBottom w:val="0"/>
      <w:divBdr>
        <w:top w:val="none" w:sz="0" w:space="0" w:color="auto"/>
        <w:left w:val="none" w:sz="0" w:space="0" w:color="auto"/>
        <w:bottom w:val="none" w:sz="0" w:space="0" w:color="auto"/>
        <w:right w:val="none" w:sz="0" w:space="0" w:color="auto"/>
      </w:divBdr>
    </w:div>
    <w:div w:id="266158528">
      <w:bodyDiv w:val="1"/>
      <w:marLeft w:val="0"/>
      <w:marRight w:val="0"/>
      <w:marTop w:val="0"/>
      <w:marBottom w:val="0"/>
      <w:divBdr>
        <w:top w:val="none" w:sz="0" w:space="0" w:color="auto"/>
        <w:left w:val="none" w:sz="0" w:space="0" w:color="auto"/>
        <w:bottom w:val="none" w:sz="0" w:space="0" w:color="auto"/>
        <w:right w:val="none" w:sz="0" w:space="0" w:color="auto"/>
      </w:divBdr>
    </w:div>
    <w:div w:id="397899024">
      <w:bodyDiv w:val="1"/>
      <w:marLeft w:val="0"/>
      <w:marRight w:val="0"/>
      <w:marTop w:val="0"/>
      <w:marBottom w:val="0"/>
      <w:divBdr>
        <w:top w:val="none" w:sz="0" w:space="0" w:color="auto"/>
        <w:left w:val="none" w:sz="0" w:space="0" w:color="auto"/>
        <w:bottom w:val="none" w:sz="0" w:space="0" w:color="auto"/>
        <w:right w:val="none" w:sz="0" w:space="0" w:color="auto"/>
      </w:divBdr>
    </w:div>
    <w:div w:id="446390619">
      <w:bodyDiv w:val="1"/>
      <w:marLeft w:val="0"/>
      <w:marRight w:val="0"/>
      <w:marTop w:val="0"/>
      <w:marBottom w:val="0"/>
      <w:divBdr>
        <w:top w:val="none" w:sz="0" w:space="0" w:color="auto"/>
        <w:left w:val="none" w:sz="0" w:space="0" w:color="auto"/>
        <w:bottom w:val="none" w:sz="0" w:space="0" w:color="auto"/>
        <w:right w:val="none" w:sz="0" w:space="0" w:color="auto"/>
      </w:divBdr>
      <w:divsChild>
        <w:div w:id="1043217663">
          <w:marLeft w:val="0"/>
          <w:marRight w:val="0"/>
          <w:marTop w:val="0"/>
          <w:marBottom w:val="0"/>
          <w:divBdr>
            <w:top w:val="none" w:sz="0" w:space="0" w:color="auto"/>
            <w:left w:val="none" w:sz="0" w:space="0" w:color="auto"/>
            <w:bottom w:val="none" w:sz="0" w:space="0" w:color="auto"/>
            <w:right w:val="none" w:sz="0" w:space="0" w:color="auto"/>
          </w:divBdr>
          <w:divsChild>
            <w:div w:id="15188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7119">
      <w:bodyDiv w:val="1"/>
      <w:marLeft w:val="0"/>
      <w:marRight w:val="0"/>
      <w:marTop w:val="0"/>
      <w:marBottom w:val="0"/>
      <w:divBdr>
        <w:top w:val="none" w:sz="0" w:space="0" w:color="auto"/>
        <w:left w:val="none" w:sz="0" w:space="0" w:color="auto"/>
        <w:bottom w:val="none" w:sz="0" w:space="0" w:color="auto"/>
        <w:right w:val="none" w:sz="0" w:space="0" w:color="auto"/>
      </w:divBdr>
    </w:div>
    <w:div w:id="542014257">
      <w:bodyDiv w:val="1"/>
      <w:marLeft w:val="0"/>
      <w:marRight w:val="0"/>
      <w:marTop w:val="0"/>
      <w:marBottom w:val="0"/>
      <w:divBdr>
        <w:top w:val="none" w:sz="0" w:space="0" w:color="auto"/>
        <w:left w:val="none" w:sz="0" w:space="0" w:color="auto"/>
        <w:bottom w:val="none" w:sz="0" w:space="0" w:color="auto"/>
        <w:right w:val="none" w:sz="0" w:space="0" w:color="auto"/>
      </w:divBdr>
      <w:divsChild>
        <w:div w:id="2146197351">
          <w:marLeft w:val="0"/>
          <w:marRight w:val="0"/>
          <w:marTop w:val="0"/>
          <w:marBottom w:val="0"/>
          <w:divBdr>
            <w:top w:val="none" w:sz="0" w:space="0" w:color="auto"/>
            <w:left w:val="none" w:sz="0" w:space="0" w:color="auto"/>
            <w:bottom w:val="none" w:sz="0" w:space="0" w:color="auto"/>
            <w:right w:val="none" w:sz="0" w:space="0" w:color="auto"/>
          </w:divBdr>
          <w:divsChild>
            <w:div w:id="1969314912">
              <w:marLeft w:val="0"/>
              <w:marRight w:val="0"/>
              <w:marTop w:val="0"/>
              <w:marBottom w:val="0"/>
              <w:divBdr>
                <w:top w:val="none" w:sz="0" w:space="0" w:color="auto"/>
                <w:left w:val="none" w:sz="0" w:space="0" w:color="auto"/>
                <w:bottom w:val="none" w:sz="0" w:space="0" w:color="auto"/>
                <w:right w:val="none" w:sz="0" w:space="0" w:color="auto"/>
              </w:divBdr>
              <w:divsChild>
                <w:div w:id="1779372246">
                  <w:marLeft w:val="0"/>
                  <w:marRight w:val="0"/>
                  <w:marTop w:val="0"/>
                  <w:marBottom w:val="0"/>
                  <w:divBdr>
                    <w:top w:val="none" w:sz="0" w:space="0" w:color="auto"/>
                    <w:left w:val="none" w:sz="0" w:space="0" w:color="auto"/>
                    <w:bottom w:val="none" w:sz="0" w:space="0" w:color="auto"/>
                    <w:right w:val="none" w:sz="0" w:space="0" w:color="auto"/>
                  </w:divBdr>
                  <w:divsChild>
                    <w:div w:id="207228378">
                      <w:marLeft w:val="0"/>
                      <w:marRight w:val="0"/>
                      <w:marTop w:val="0"/>
                      <w:marBottom w:val="0"/>
                      <w:divBdr>
                        <w:top w:val="none" w:sz="0" w:space="0" w:color="auto"/>
                        <w:left w:val="none" w:sz="0" w:space="0" w:color="auto"/>
                        <w:bottom w:val="none" w:sz="0" w:space="0" w:color="auto"/>
                        <w:right w:val="none" w:sz="0" w:space="0" w:color="auto"/>
                      </w:divBdr>
                      <w:divsChild>
                        <w:div w:id="180820697">
                          <w:marLeft w:val="0"/>
                          <w:marRight w:val="0"/>
                          <w:marTop w:val="0"/>
                          <w:marBottom w:val="0"/>
                          <w:divBdr>
                            <w:top w:val="none" w:sz="0" w:space="0" w:color="auto"/>
                            <w:left w:val="none" w:sz="0" w:space="0" w:color="auto"/>
                            <w:bottom w:val="none" w:sz="0" w:space="0" w:color="auto"/>
                            <w:right w:val="none" w:sz="0" w:space="0" w:color="auto"/>
                          </w:divBdr>
                          <w:divsChild>
                            <w:div w:id="766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341577">
      <w:bodyDiv w:val="1"/>
      <w:marLeft w:val="0"/>
      <w:marRight w:val="0"/>
      <w:marTop w:val="0"/>
      <w:marBottom w:val="0"/>
      <w:divBdr>
        <w:top w:val="none" w:sz="0" w:space="0" w:color="auto"/>
        <w:left w:val="none" w:sz="0" w:space="0" w:color="auto"/>
        <w:bottom w:val="none" w:sz="0" w:space="0" w:color="auto"/>
        <w:right w:val="none" w:sz="0" w:space="0" w:color="auto"/>
      </w:divBdr>
      <w:divsChild>
        <w:div w:id="1240211059">
          <w:marLeft w:val="0"/>
          <w:marRight w:val="0"/>
          <w:marTop w:val="0"/>
          <w:marBottom w:val="0"/>
          <w:divBdr>
            <w:top w:val="none" w:sz="0" w:space="0" w:color="auto"/>
            <w:left w:val="none" w:sz="0" w:space="0" w:color="auto"/>
            <w:bottom w:val="none" w:sz="0" w:space="0" w:color="auto"/>
            <w:right w:val="none" w:sz="0" w:space="0" w:color="auto"/>
          </w:divBdr>
          <w:divsChild>
            <w:div w:id="10188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08099">
      <w:bodyDiv w:val="1"/>
      <w:marLeft w:val="0"/>
      <w:marRight w:val="0"/>
      <w:marTop w:val="0"/>
      <w:marBottom w:val="0"/>
      <w:divBdr>
        <w:top w:val="none" w:sz="0" w:space="0" w:color="auto"/>
        <w:left w:val="none" w:sz="0" w:space="0" w:color="auto"/>
        <w:bottom w:val="none" w:sz="0" w:space="0" w:color="auto"/>
        <w:right w:val="none" w:sz="0" w:space="0" w:color="auto"/>
      </w:divBdr>
      <w:divsChild>
        <w:div w:id="614483593">
          <w:marLeft w:val="0"/>
          <w:marRight w:val="0"/>
          <w:marTop w:val="0"/>
          <w:marBottom w:val="0"/>
          <w:divBdr>
            <w:top w:val="none" w:sz="0" w:space="0" w:color="auto"/>
            <w:left w:val="none" w:sz="0" w:space="0" w:color="auto"/>
            <w:bottom w:val="none" w:sz="0" w:space="0" w:color="auto"/>
            <w:right w:val="none" w:sz="0" w:space="0" w:color="auto"/>
          </w:divBdr>
          <w:divsChild>
            <w:div w:id="307977830">
              <w:marLeft w:val="0"/>
              <w:marRight w:val="0"/>
              <w:marTop w:val="0"/>
              <w:marBottom w:val="0"/>
              <w:divBdr>
                <w:top w:val="none" w:sz="0" w:space="0" w:color="auto"/>
                <w:left w:val="none" w:sz="0" w:space="0" w:color="auto"/>
                <w:bottom w:val="none" w:sz="0" w:space="0" w:color="auto"/>
                <w:right w:val="none" w:sz="0" w:space="0" w:color="auto"/>
              </w:divBdr>
              <w:divsChild>
                <w:div w:id="835802262">
                  <w:marLeft w:val="0"/>
                  <w:marRight w:val="0"/>
                  <w:marTop w:val="0"/>
                  <w:marBottom w:val="0"/>
                  <w:divBdr>
                    <w:top w:val="none" w:sz="0" w:space="0" w:color="auto"/>
                    <w:left w:val="none" w:sz="0" w:space="0" w:color="auto"/>
                    <w:bottom w:val="none" w:sz="0" w:space="0" w:color="auto"/>
                    <w:right w:val="none" w:sz="0" w:space="0" w:color="auto"/>
                  </w:divBdr>
                  <w:divsChild>
                    <w:div w:id="1959336136">
                      <w:marLeft w:val="0"/>
                      <w:marRight w:val="0"/>
                      <w:marTop w:val="0"/>
                      <w:marBottom w:val="0"/>
                      <w:divBdr>
                        <w:top w:val="none" w:sz="0" w:space="0" w:color="auto"/>
                        <w:left w:val="none" w:sz="0" w:space="0" w:color="auto"/>
                        <w:bottom w:val="none" w:sz="0" w:space="0" w:color="auto"/>
                        <w:right w:val="none" w:sz="0" w:space="0" w:color="auto"/>
                      </w:divBdr>
                      <w:divsChild>
                        <w:div w:id="1905799448">
                          <w:marLeft w:val="0"/>
                          <w:marRight w:val="0"/>
                          <w:marTop w:val="0"/>
                          <w:marBottom w:val="0"/>
                          <w:divBdr>
                            <w:top w:val="none" w:sz="0" w:space="0" w:color="auto"/>
                            <w:left w:val="none" w:sz="0" w:space="0" w:color="auto"/>
                            <w:bottom w:val="none" w:sz="0" w:space="0" w:color="auto"/>
                            <w:right w:val="none" w:sz="0" w:space="0" w:color="auto"/>
                          </w:divBdr>
                          <w:divsChild>
                            <w:div w:id="21383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290380">
      <w:bodyDiv w:val="1"/>
      <w:marLeft w:val="0"/>
      <w:marRight w:val="0"/>
      <w:marTop w:val="0"/>
      <w:marBottom w:val="0"/>
      <w:divBdr>
        <w:top w:val="none" w:sz="0" w:space="0" w:color="auto"/>
        <w:left w:val="none" w:sz="0" w:space="0" w:color="auto"/>
        <w:bottom w:val="none" w:sz="0" w:space="0" w:color="auto"/>
        <w:right w:val="none" w:sz="0" w:space="0" w:color="auto"/>
      </w:divBdr>
    </w:div>
    <w:div w:id="631638734">
      <w:bodyDiv w:val="1"/>
      <w:marLeft w:val="0"/>
      <w:marRight w:val="0"/>
      <w:marTop w:val="0"/>
      <w:marBottom w:val="0"/>
      <w:divBdr>
        <w:top w:val="none" w:sz="0" w:space="0" w:color="auto"/>
        <w:left w:val="none" w:sz="0" w:space="0" w:color="auto"/>
        <w:bottom w:val="none" w:sz="0" w:space="0" w:color="auto"/>
        <w:right w:val="none" w:sz="0" w:space="0" w:color="auto"/>
      </w:divBdr>
    </w:div>
    <w:div w:id="658115045">
      <w:bodyDiv w:val="1"/>
      <w:marLeft w:val="0"/>
      <w:marRight w:val="0"/>
      <w:marTop w:val="0"/>
      <w:marBottom w:val="0"/>
      <w:divBdr>
        <w:top w:val="none" w:sz="0" w:space="0" w:color="auto"/>
        <w:left w:val="none" w:sz="0" w:space="0" w:color="auto"/>
        <w:bottom w:val="none" w:sz="0" w:space="0" w:color="auto"/>
        <w:right w:val="none" w:sz="0" w:space="0" w:color="auto"/>
      </w:divBdr>
    </w:div>
    <w:div w:id="662971025">
      <w:bodyDiv w:val="1"/>
      <w:marLeft w:val="0"/>
      <w:marRight w:val="0"/>
      <w:marTop w:val="0"/>
      <w:marBottom w:val="0"/>
      <w:divBdr>
        <w:top w:val="none" w:sz="0" w:space="0" w:color="auto"/>
        <w:left w:val="none" w:sz="0" w:space="0" w:color="auto"/>
        <w:bottom w:val="none" w:sz="0" w:space="0" w:color="auto"/>
        <w:right w:val="none" w:sz="0" w:space="0" w:color="auto"/>
      </w:divBdr>
      <w:divsChild>
        <w:div w:id="1932424478">
          <w:marLeft w:val="0"/>
          <w:marRight w:val="0"/>
          <w:marTop w:val="0"/>
          <w:marBottom w:val="0"/>
          <w:divBdr>
            <w:top w:val="none" w:sz="0" w:space="0" w:color="auto"/>
            <w:left w:val="none" w:sz="0" w:space="0" w:color="auto"/>
            <w:bottom w:val="none" w:sz="0" w:space="0" w:color="auto"/>
            <w:right w:val="none" w:sz="0" w:space="0" w:color="auto"/>
          </w:divBdr>
          <w:divsChild>
            <w:div w:id="492914522">
              <w:marLeft w:val="0"/>
              <w:marRight w:val="0"/>
              <w:marTop w:val="0"/>
              <w:marBottom w:val="0"/>
              <w:divBdr>
                <w:top w:val="none" w:sz="0" w:space="0" w:color="auto"/>
                <w:left w:val="none" w:sz="0" w:space="0" w:color="auto"/>
                <w:bottom w:val="none" w:sz="0" w:space="0" w:color="auto"/>
                <w:right w:val="none" w:sz="0" w:space="0" w:color="auto"/>
              </w:divBdr>
              <w:divsChild>
                <w:div w:id="6291910">
                  <w:marLeft w:val="0"/>
                  <w:marRight w:val="0"/>
                  <w:marTop w:val="0"/>
                  <w:marBottom w:val="0"/>
                  <w:divBdr>
                    <w:top w:val="none" w:sz="0" w:space="0" w:color="auto"/>
                    <w:left w:val="none" w:sz="0" w:space="0" w:color="auto"/>
                    <w:bottom w:val="none" w:sz="0" w:space="0" w:color="auto"/>
                    <w:right w:val="none" w:sz="0" w:space="0" w:color="auto"/>
                  </w:divBdr>
                  <w:divsChild>
                    <w:div w:id="1573660378">
                      <w:marLeft w:val="0"/>
                      <w:marRight w:val="0"/>
                      <w:marTop w:val="0"/>
                      <w:marBottom w:val="0"/>
                      <w:divBdr>
                        <w:top w:val="none" w:sz="0" w:space="0" w:color="auto"/>
                        <w:left w:val="none" w:sz="0" w:space="0" w:color="auto"/>
                        <w:bottom w:val="none" w:sz="0" w:space="0" w:color="auto"/>
                        <w:right w:val="none" w:sz="0" w:space="0" w:color="auto"/>
                      </w:divBdr>
                      <w:divsChild>
                        <w:div w:id="965886886">
                          <w:marLeft w:val="0"/>
                          <w:marRight w:val="0"/>
                          <w:marTop w:val="0"/>
                          <w:marBottom w:val="0"/>
                          <w:divBdr>
                            <w:top w:val="none" w:sz="0" w:space="0" w:color="auto"/>
                            <w:left w:val="none" w:sz="0" w:space="0" w:color="auto"/>
                            <w:bottom w:val="none" w:sz="0" w:space="0" w:color="auto"/>
                            <w:right w:val="none" w:sz="0" w:space="0" w:color="auto"/>
                          </w:divBdr>
                          <w:divsChild>
                            <w:div w:id="3209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014090">
      <w:bodyDiv w:val="1"/>
      <w:marLeft w:val="0"/>
      <w:marRight w:val="0"/>
      <w:marTop w:val="0"/>
      <w:marBottom w:val="0"/>
      <w:divBdr>
        <w:top w:val="none" w:sz="0" w:space="0" w:color="auto"/>
        <w:left w:val="none" w:sz="0" w:space="0" w:color="auto"/>
        <w:bottom w:val="none" w:sz="0" w:space="0" w:color="auto"/>
        <w:right w:val="none" w:sz="0" w:space="0" w:color="auto"/>
      </w:divBdr>
    </w:div>
    <w:div w:id="714890653">
      <w:bodyDiv w:val="1"/>
      <w:marLeft w:val="0"/>
      <w:marRight w:val="0"/>
      <w:marTop w:val="0"/>
      <w:marBottom w:val="0"/>
      <w:divBdr>
        <w:top w:val="none" w:sz="0" w:space="0" w:color="auto"/>
        <w:left w:val="none" w:sz="0" w:space="0" w:color="auto"/>
        <w:bottom w:val="none" w:sz="0" w:space="0" w:color="auto"/>
        <w:right w:val="none" w:sz="0" w:space="0" w:color="auto"/>
      </w:divBdr>
      <w:divsChild>
        <w:div w:id="1018042641">
          <w:marLeft w:val="0"/>
          <w:marRight w:val="0"/>
          <w:marTop w:val="0"/>
          <w:marBottom w:val="0"/>
          <w:divBdr>
            <w:top w:val="none" w:sz="0" w:space="0" w:color="auto"/>
            <w:left w:val="none" w:sz="0" w:space="0" w:color="auto"/>
            <w:bottom w:val="none" w:sz="0" w:space="0" w:color="auto"/>
            <w:right w:val="none" w:sz="0" w:space="0" w:color="auto"/>
          </w:divBdr>
          <w:divsChild>
            <w:div w:id="2059157296">
              <w:marLeft w:val="0"/>
              <w:marRight w:val="0"/>
              <w:marTop w:val="0"/>
              <w:marBottom w:val="0"/>
              <w:divBdr>
                <w:top w:val="none" w:sz="0" w:space="0" w:color="auto"/>
                <w:left w:val="none" w:sz="0" w:space="0" w:color="auto"/>
                <w:bottom w:val="none" w:sz="0" w:space="0" w:color="auto"/>
                <w:right w:val="none" w:sz="0" w:space="0" w:color="auto"/>
              </w:divBdr>
              <w:divsChild>
                <w:div w:id="185213904">
                  <w:marLeft w:val="0"/>
                  <w:marRight w:val="0"/>
                  <w:marTop w:val="0"/>
                  <w:marBottom w:val="0"/>
                  <w:divBdr>
                    <w:top w:val="none" w:sz="0" w:space="0" w:color="auto"/>
                    <w:left w:val="none" w:sz="0" w:space="0" w:color="auto"/>
                    <w:bottom w:val="none" w:sz="0" w:space="0" w:color="auto"/>
                    <w:right w:val="none" w:sz="0" w:space="0" w:color="auto"/>
                  </w:divBdr>
                  <w:divsChild>
                    <w:div w:id="997610939">
                      <w:marLeft w:val="0"/>
                      <w:marRight w:val="0"/>
                      <w:marTop w:val="0"/>
                      <w:marBottom w:val="0"/>
                      <w:divBdr>
                        <w:top w:val="none" w:sz="0" w:space="0" w:color="auto"/>
                        <w:left w:val="none" w:sz="0" w:space="0" w:color="auto"/>
                        <w:bottom w:val="none" w:sz="0" w:space="0" w:color="auto"/>
                        <w:right w:val="none" w:sz="0" w:space="0" w:color="auto"/>
                      </w:divBdr>
                      <w:divsChild>
                        <w:div w:id="412094453">
                          <w:marLeft w:val="0"/>
                          <w:marRight w:val="0"/>
                          <w:marTop w:val="0"/>
                          <w:marBottom w:val="0"/>
                          <w:divBdr>
                            <w:top w:val="none" w:sz="0" w:space="0" w:color="auto"/>
                            <w:left w:val="none" w:sz="0" w:space="0" w:color="auto"/>
                            <w:bottom w:val="none" w:sz="0" w:space="0" w:color="auto"/>
                            <w:right w:val="none" w:sz="0" w:space="0" w:color="auto"/>
                          </w:divBdr>
                          <w:divsChild>
                            <w:div w:id="5552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128027">
      <w:bodyDiv w:val="1"/>
      <w:marLeft w:val="0"/>
      <w:marRight w:val="0"/>
      <w:marTop w:val="0"/>
      <w:marBottom w:val="0"/>
      <w:divBdr>
        <w:top w:val="none" w:sz="0" w:space="0" w:color="auto"/>
        <w:left w:val="none" w:sz="0" w:space="0" w:color="auto"/>
        <w:bottom w:val="none" w:sz="0" w:space="0" w:color="auto"/>
        <w:right w:val="none" w:sz="0" w:space="0" w:color="auto"/>
      </w:divBdr>
    </w:div>
    <w:div w:id="814563553">
      <w:bodyDiv w:val="1"/>
      <w:marLeft w:val="0"/>
      <w:marRight w:val="0"/>
      <w:marTop w:val="0"/>
      <w:marBottom w:val="0"/>
      <w:divBdr>
        <w:top w:val="none" w:sz="0" w:space="0" w:color="auto"/>
        <w:left w:val="none" w:sz="0" w:space="0" w:color="auto"/>
        <w:bottom w:val="none" w:sz="0" w:space="0" w:color="auto"/>
        <w:right w:val="none" w:sz="0" w:space="0" w:color="auto"/>
      </w:divBdr>
      <w:divsChild>
        <w:div w:id="24721132">
          <w:marLeft w:val="0"/>
          <w:marRight w:val="0"/>
          <w:marTop w:val="0"/>
          <w:marBottom w:val="0"/>
          <w:divBdr>
            <w:top w:val="none" w:sz="0" w:space="0" w:color="auto"/>
            <w:left w:val="none" w:sz="0" w:space="0" w:color="auto"/>
            <w:bottom w:val="none" w:sz="0" w:space="0" w:color="auto"/>
            <w:right w:val="none" w:sz="0" w:space="0" w:color="auto"/>
          </w:divBdr>
          <w:divsChild>
            <w:div w:id="1557624417">
              <w:marLeft w:val="0"/>
              <w:marRight w:val="0"/>
              <w:marTop w:val="0"/>
              <w:marBottom w:val="0"/>
              <w:divBdr>
                <w:top w:val="none" w:sz="0" w:space="0" w:color="auto"/>
                <w:left w:val="none" w:sz="0" w:space="0" w:color="auto"/>
                <w:bottom w:val="none" w:sz="0" w:space="0" w:color="auto"/>
                <w:right w:val="none" w:sz="0" w:space="0" w:color="auto"/>
              </w:divBdr>
              <w:divsChild>
                <w:div w:id="1626887199">
                  <w:marLeft w:val="0"/>
                  <w:marRight w:val="0"/>
                  <w:marTop w:val="0"/>
                  <w:marBottom w:val="0"/>
                  <w:divBdr>
                    <w:top w:val="none" w:sz="0" w:space="0" w:color="auto"/>
                    <w:left w:val="none" w:sz="0" w:space="0" w:color="auto"/>
                    <w:bottom w:val="none" w:sz="0" w:space="0" w:color="auto"/>
                    <w:right w:val="none" w:sz="0" w:space="0" w:color="auto"/>
                  </w:divBdr>
                  <w:divsChild>
                    <w:div w:id="721442601">
                      <w:marLeft w:val="0"/>
                      <w:marRight w:val="0"/>
                      <w:marTop w:val="0"/>
                      <w:marBottom w:val="0"/>
                      <w:divBdr>
                        <w:top w:val="none" w:sz="0" w:space="0" w:color="auto"/>
                        <w:left w:val="none" w:sz="0" w:space="0" w:color="auto"/>
                        <w:bottom w:val="none" w:sz="0" w:space="0" w:color="auto"/>
                        <w:right w:val="none" w:sz="0" w:space="0" w:color="auto"/>
                      </w:divBdr>
                      <w:divsChild>
                        <w:div w:id="275984869">
                          <w:marLeft w:val="0"/>
                          <w:marRight w:val="0"/>
                          <w:marTop w:val="0"/>
                          <w:marBottom w:val="0"/>
                          <w:divBdr>
                            <w:top w:val="none" w:sz="0" w:space="0" w:color="auto"/>
                            <w:left w:val="none" w:sz="0" w:space="0" w:color="auto"/>
                            <w:bottom w:val="none" w:sz="0" w:space="0" w:color="auto"/>
                            <w:right w:val="none" w:sz="0" w:space="0" w:color="auto"/>
                          </w:divBdr>
                          <w:divsChild>
                            <w:div w:id="760182623">
                              <w:marLeft w:val="0"/>
                              <w:marRight w:val="0"/>
                              <w:marTop w:val="0"/>
                              <w:marBottom w:val="0"/>
                              <w:divBdr>
                                <w:top w:val="none" w:sz="0" w:space="0" w:color="auto"/>
                                <w:left w:val="none" w:sz="0" w:space="0" w:color="auto"/>
                                <w:bottom w:val="none" w:sz="0" w:space="0" w:color="auto"/>
                                <w:right w:val="none" w:sz="0" w:space="0" w:color="auto"/>
                              </w:divBdr>
                              <w:divsChild>
                                <w:div w:id="2101755412">
                                  <w:marLeft w:val="0"/>
                                  <w:marRight w:val="0"/>
                                  <w:marTop w:val="0"/>
                                  <w:marBottom w:val="0"/>
                                  <w:divBdr>
                                    <w:top w:val="none" w:sz="0" w:space="0" w:color="auto"/>
                                    <w:left w:val="none" w:sz="0" w:space="0" w:color="auto"/>
                                    <w:bottom w:val="none" w:sz="0" w:space="0" w:color="auto"/>
                                    <w:right w:val="none" w:sz="0" w:space="0" w:color="auto"/>
                                  </w:divBdr>
                                  <w:divsChild>
                                    <w:div w:id="368917398">
                                      <w:marLeft w:val="0"/>
                                      <w:marRight w:val="0"/>
                                      <w:marTop w:val="0"/>
                                      <w:marBottom w:val="0"/>
                                      <w:divBdr>
                                        <w:top w:val="none" w:sz="0" w:space="0" w:color="auto"/>
                                        <w:left w:val="none" w:sz="0" w:space="0" w:color="auto"/>
                                        <w:bottom w:val="none" w:sz="0" w:space="0" w:color="auto"/>
                                        <w:right w:val="none" w:sz="0" w:space="0" w:color="auto"/>
                                      </w:divBdr>
                                      <w:divsChild>
                                        <w:div w:id="9860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889550">
          <w:marLeft w:val="0"/>
          <w:marRight w:val="0"/>
          <w:marTop w:val="0"/>
          <w:marBottom w:val="0"/>
          <w:divBdr>
            <w:top w:val="none" w:sz="0" w:space="0" w:color="auto"/>
            <w:left w:val="none" w:sz="0" w:space="0" w:color="auto"/>
            <w:bottom w:val="none" w:sz="0" w:space="0" w:color="auto"/>
            <w:right w:val="none" w:sz="0" w:space="0" w:color="auto"/>
          </w:divBdr>
          <w:divsChild>
            <w:div w:id="170223674">
              <w:marLeft w:val="0"/>
              <w:marRight w:val="0"/>
              <w:marTop w:val="0"/>
              <w:marBottom w:val="0"/>
              <w:divBdr>
                <w:top w:val="none" w:sz="0" w:space="0" w:color="auto"/>
                <w:left w:val="none" w:sz="0" w:space="0" w:color="auto"/>
                <w:bottom w:val="none" w:sz="0" w:space="0" w:color="auto"/>
                <w:right w:val="none" w:sz="0" w:space="0" w:color="auto"/>
              </w:divBdr>
              <w:divsChild>
                <w:div w:id="561134840">
                  <w:marLeft w:val="0"/>
                  <w:marRight w:val="0"/>
                  <w:marTop w:val="0"/>
                  <w:marBottom w:val="0"/>
                  <w:divBdr>
                    <w:top w:val="none" w:sz="0" w:space="0" w:color="auto"/>
                    <w:left w:val="none" w:sz="0" w:space="0" w:color="auto"/>
                    <w:bottom w:val="none" w:sz="0" w:space="0" w:color="auto"/>
                    <w:right w:val="none" w:sz="0" w:space="0" w:color="auto"/>
                  </w:divBdr>
                  <w:divsChild>
                    <w:div w:id="1995914458">
                      <w:marLeft w:val="0"/>
                      <w:marRight w:val="0"/>
                      <w:marTop w:val="0"/>
                      <w:marBottom w:val="0"/>
                      <w:divBdr>
                        <w:top w:val="none" w:sz="0" w:space="0" w:color="auto"/>
                        <w:left w:val="none" w:sz="0" w:space="0" w:color="auto"/>
                        <w:bottom w:val="none" w:sz="0" w:space="0" w:color="auto"/>
                        <w:right w:val="none" w:sz="0" w:space="0" w:color="auto"/>
                      </w:divBdr>
                      <w:divsChild>
                        <w:div w:id="711460701">
                          <w:marLeft w:val="0"/>
                          <w:marRight w:val="0"/>
                          <w:marTop w:val="0"/>
                          <w:marBottom w:val="0"/>
                          <w:divBdr>
                            <w:top w:val="none" w:sz="0" w:space="0" w:color="auto"/>
                            <w:left w:val="none" w:sz="0" w:space="0" w:color="auto"/>
                            <w:bottom w:val="none" w:sz="0" w:space="0" w:color="auto"/>
                            <w:right w:val="none" w:sz="0" w:space="0" w:color="auto"/>
                          </w:divBdr>
                          <w:divsChild>
                            <w:div w:id="1363090935">
                              <w:marLeft w:val="0"/>
                              <w:marRight w:val="0"/>
                              <w:marTop w:val="0"/>
                              <w:marBottom w:val="0"/>
                              <w:divBdr>
                                <w:top w:val="none" w:sz="0" w:space="0" w:color="auto"/>
                                <w:left w:val="none" w:sz="0" w:space="0" w:color="auto"/>
                                <w:bottom w:val="none" w:sz="0" w:space="0" w:color="auto"/>
                                <w:right w:val="none" w:sz="0" w:space="0" w:color="auto"/>
                              </w:divBdr>
                              <w:divsChild>
                                <w:div w:id="1345741282">
                                  <w:marLeft w:val="0"/>
                                  <w:marRight w:val="0"/>
                                  <w:marTop w:val="0"/>
                                  <w:marBottom w:val="0"/>
                                  <w:divBdr>
                                    <w:top w:val="none" w:sz="0" w:space="0" w:color="auto"/>
                                    <w:left w:val="none" w:sz="0" w:space="0" w:color="auto"/>
                                    <w:bottom w:val="none" w:sz="0" w:space="0" w:color="auto"/>
                                    <w:right w:val="none" w:sz="0" w:space="0" w:color="auto"/>
                                  </w:divBdr>
                                  <w:divsChild>
                                    <w:div w:id="816990599">
                                      <w:marLeft w:val="0"/>
                                      <w:marRight w:val="0"/>
                                      <w:marTop w:val="0"/>
                                      <w:marBottom w:val="0"/>
                                      <w:divBdr>
                                        <w:top w:val="none" w:sz="0" w:space="0" w:color="auto"/>
                                        <w:left w:val="none" w:sz="0" w:space="0" w:color="auto"/>
                                        <w:bottom w:val="none" w:sz="0" w:space="0" w:color="auto"/>
                                        <w:right w:val="none" w:sz="0" w:space="0" w:color="auto"/>
                                      </w:divBdr>
                                      <w:divsChild>
                                        <w:div w:id="706759683">
                                          <w:marLeft w:val="0"/>
                                          <w:marRight w:val="0"/>
                                          <w:marTop w:val="0"/>
                                          <w:marBottom w:val="0"/>
                                          <w:divBdr>
                                            <w:top w:val="none" w:sz="0" w:space="0" w:color="auto"/>
                                            <w:left w:val="none" w:sz="0" w:space="0" w:color="auto"/>
                                            <w:bottom w:val="none" w:sz="0" w:space="0" w:color="auto"/>
                                            <w:right w:val="none" w:sz="0" w:space="0" w:color="auto"/>
                                          </w:divBdr>
                                          <w:divsChild>
                                            <w:div w:id="843475346">
                                              <w:marLeft w:val="0"/>
                                              <w:marRight w:val="0"/>
                                              <w:marTop w:val="0"/>
                                              <w:marBottom w:val="0"/>
                                              <w:divBdr>
                                                <w:top w:val="none" w:sz="0" w:space="0" w:color="auto"/>
                                                <w:left w:val="none" w:sz="0" w:space="0" w:color="auto"/>
                                                <w:bottom w:val="none" w:sz="0" w:space="0" w:color="auto"/>
                                                <w:right w:val="none" w:sz="0" w:space="0" w:color="auto"/>
                                              </w:divBdr>
                                              <w:divsChild>
                                                <w:div w:id="261425771">
                                                  <w:marLeft w:val="0"/>
                                                  <w:marRight w:val="0"/>
                                                  <w:marTop w:val="0"/>
                                                  <w:marBottom w:val="0"/>
                                                  <w:divBdr>
                                                    <w:top w:val="none" w:sz="0" w:space="0" w:color="auto"/>
                                                    <w:left w:val="none" w:sz="0" w:space="0" w:color="auto"/>
                                                    <w:bottom w:val="none" w:sz="0" w:space="0" w:color="auto"/>
                                                    <w:right w:val="none" w:sz="0" w:space="0" w:color="auto"/>
                                                  </w:divBdr>
                                                  <w:divsChild>
                                                    <w:div w:id="137383979">
                                                      <w:marLeft w:val="0"/>
                                                      <w:marRight w:val="0"/>
                                                      <w:marTop w:val="0"/>
                                                      <w:marBottom w:val="0"/>
                                                      <w:divBdr>
                                                        <w:top w:val="none" w:sz="0" w:space="0" w:color="auto"/>
                                                        <w:left w:val="none" w:sz="0" w:space="0" w:color="auto"/>
                                                        <w:bottom w:val="none" w:sz="0" w:space="0" w:color="auto"/>
                                                        <w:right w:val="none" w:sz="0" w:space="0" w:color="auto"/>
                                                      </w:divBdr>
                                                      <w:divsChild>
                                                        <w:div w:id="210583360">
                                                          <w:marLeft w:val="0"/>
                                                          <w:marRight w:val="0"/>
                                                          <w:marTop w:val="0"/>
                                                          <w:marBottom w:val="0"/>
                                                          <w:divBdr>
                                                            <w:top w:val="none" w:sz="0" w:space="0" w:color="auto"/>
                                                            <w:left w:val="none" w:sz="0" w:space="0" w:color="auto"/>
                                                            <w:bottom w:val="none" w:sz="0" w:space="0" w:color="auto"/>
                                                            <w:right w:val="none" w:sz="0" w:space="0" w:color="auto"/>
                                                          </w:divBdr>
                                                          <w:divsChild>
                                                            <w:div w:id="492064202">
                                                              <w:marLeft w:val="0"/>
                                                              <w:marRight w:val="0"/>
                                                              <w:marTop w:val="0"/>
                                                              <w:marBottom w:val="0"/>
                                                              <w:divBdr>
                                                                <w:top w:val="none" w:sz="0" w:space="0" w:color="auto"/>
                                                                <w:left w:val="none" w:sz="0" w:space="0" w:color="auto"/>
                                                                <w:bottom w:val="none" w:sz="0" w:space="0" w:color="auto"/>
                                                                <w:right w:val="none" w:sz="0" w:space="0" w:color="auto"/>
                                                              </w:divBdr>
                                                            </w:div>
                                                            <w:div w:id="1160081987">
                                                              <w:marLeft w:val="0"/>
                                                              <w:marRight w:val="0"/>
                                                              <w:marTop w:val="0"/>
                                                              <w:marBottom w:val="0"/>
                                                              <w:divBdr>
                                                                <w:top w:val="none" w:sz="0" w:space="0" w:color="auto"/>
                                                                <w:left w:val="none" w:sz="0" w:space="0" w:color="auto"/>
                                                                <w:bottom w:val="none" w:sz="0" w:space="0" w:color="auto"/>
                                                                <w:right w:val="none" w:sz="0" w:space="0" w:color="auto"/>
                                                              </w:divBdr>
                                                              <w:divsChild>
                                                                <w:div w:id="587496289">
                                                                  <w:marLeft w:val="0"/>
                                                                  <w:marRight w:val="0"/>
                                                                  <w:marTop w:val="0"/>
                                                                  <w:marBottom w:val="0"/>
                                                                  <w:divBdr>
                                                                    <w:top w:val="none" w:sz="0" w:space="0" w:color="auto"/>
                                                                    <w:left w:val="none" w:sz="0" w:space="0" w:color="auto"/>
                                                                    <w:bottom w:val="none" w:sz="0" w:space="0" w:color="auto"/>
                                                                    <w:right w:val="none" w:sz="0" w:space="0" w:color="auto"/>
                                                                  </w:divBdr>
                                                                  <w:divsChild>
                                                                    <w:div w:id="1053501627">
                                                                      <w:marLeft w:val="0"/>
                                                                      <w:marRight w:val="0"/>
                                                                      <w:marTop w:val="0"/>
                                                                      <w:marBottom w:val="0"/>
                                                                      <w:divBdr>
                                                                        <w:top w:val="none" w:sz="0" w:space="0" w:color="auto"/>
                                                                        <w:left w:val="none" w:sz="0" w:space="0" w:color="auto"/>
                                                                        <w:bottom w:val="none" w:sz="0" w:space="0" w:color="auto"/>
                                                                        <w:right w:val="none" w:sz="0" w:space="0" w:color="auto"/>
                                                                      </w:divBdr>
                                                                      <w:divsChild>
                                                                        <w:div w:id="17421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039">
                                                                  <w:marLeft w:val="0"/>
                                                                  <w:marRight w:val="0"/>
                                                                  <w:marTop w:val="0"/>
                                                                  <w:marBottom w:val="0"/>
                                                                  <w:divBdr>
                                                                    <w:top w:val="none" w:sz="0" w:space="0" w:color="auto"/>
                                                                    <w:left w:val="none" w:sz="0" w:space="0" w:color="auto"/>
                                                                    <w:bottom w:val="none" w:sz="0" w:space="0" w:color="auto"/>
                                                                    <w:right w:val="none" w:sz="0" w:space="0" w:color="auto"/>
                                                                  </w:divBdr>
                                                                  <w:divsChild>
                                                                    <w:div w:id="196545604">
                                                                      <w:marLeft w:val="0"/>
                                                                      <w:marRight w:val="0"/>
                                                                      <w:marTop w:val="0"/>
                                                                      <w:marBottom w:val="0"/>
                                                                      <w:divBdr>
                                                                        <w:top w:val="none" w:sz="0" w:space="0" w:color="auto"/>
                                                                        <w:left w:val="none" w:sz="0" w:space="0" w:color="auto"/>
                                                                        <w:bottom w:val="none" w:sz="0" w:space="0" w:color="auto"/>
                                                                        <w:right w:val="none" w:sz="0" w:space="0" w:color="auto"/>
                                                                      </w:divBdr>
                                                                      <w:divsChild>
                                                                        <w:div w:id="1699428502">
                                                                          <w:marLeft w:val="0"/>
                                                                          <w:marRight w:val="0"/>
                                                                          <w:marTop w:val="0"/>
                                                                          <w:marBottom w:val="0"/>
                                                                          <w:divBdr>
                                                                            <w:top w:val="none" w:sz="0" w:space="0" w:color="auto"/>
                                                                            <w:left w:val="none" w:sz="0" w:space="0" w:color="auto"/>
                                                                            <w:bottom w:val="none" w:sz="0" w:space="0" w:color="auto"/>
                                                                            <w:right w:val="none" w:sz="0" w:space="0" w:color="auto"/>
                                                                          </w:divBdr>
                                                                        </w:div>
                                                                        <w:div w:id="20778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388991">
      <w:bodyDiv w:val="1"/>
      <w:marLeft w:val="0"/>
      <w:marRight w:val="0"/>
      <w:marTop w:val="0"/>
      <w:marBottom w:val="0"/>
      <w:divBdr>
        <w:top w:val="none" w:sz="0" w:space="0" w:color="auto"/>
        <w:left w:val="none" w:sz="0" w:space="0" w:color="auto"/>
        <w:bottom w:val="none" w:sz="0" w:space="0" w:color="auto"/>
        <w:right w:val="none" w:sz="0" w:space="0" w:color="auto"/>
      </w:divBdr>
      <w:divsChild>
        <w:div w:id="656299644">
          <w:marLeft w:val="0"/>
          <w:marRight w:val="0"/>
          <w:marTop w:val="0"/>
          <w:marBottom w:val="0"/>
          <w:divBdr>
            <w:top w:val="none" w:sz="0" w:space="0" w:color="auto"/>
            <w:left w:val="none" w:sz="0" w:space="0" w:color="auto"/>
            <w:bottom w:val="none" w:sz="0" w:space="0" w:color="auto"/>
            <w:right w:val="none" w:sz="0" w:space="0" w:color="auto"/>
          </w:divBdr>
          <w:divsChild>
            <w:div w:id="1286886847">
              <w:marLeft w:val="0"/>
              <w:marRight w:val="0"/>
              <w:marTop w:val="0"/>
              <w:marBottom w:val="0"/>
              <w:divBdr>
                <w:top w:val="none" w:sz="0" w:space="0" w:color="auto"/>
                <w:left w:val="none" w:sz="0" w:space="0" w:color="auto"/>
                <w:bottom w:val="none" w:sz="0" w:space="0" w:color="auto"/>
                <w:right w:val="none" w:sz="0" w:space="0" w:color="auto"/>
              </w:divBdr>
              <w:divsChild>
                <w:div w:id="359208770">
                  <w:marLeft w:val="0"/>
                  <w:marRight w:val="0"/>
                  <w:marTop w:val="0"/>
                  <w:marBottom w:val="0"/>
                  <w:divBdr>
                    <w:top w:val="none" w:sz="0" w:space="0" w:color="auto"/>
                    <w:left w:val="none" w:sz="0" w:space="0" w:color="auto"/>
                    <w:bottom w:val="none" w:sz="0" w:space="0" w:color="auto"/>
                    <w:right w:val="none" w:sz="0" w:space="0" w:color="auto"/>
                  </w:divBdr>
                  <w:divsChild>
                    <w:div w:id="2112973141">
                      <w:marLeft w:val="0"/>
                      <w:marRight w:val="0"/>
                      <w:marTop w:val="0"/>
                      <w:marBottom w:val="0"/>
                      <w:divBdr>
                        <w:top w:val="none" w:sz="0" w:space="0" w:color="auto"/>
                        <w:left w:val="none" w:sz="0" w:space="0" w:color="auto"/>
                        <w:bottom w:val="none" w:sz="0" w:space="0" w:color="auto"/>
                        <w:right w:val="none" w:sz="0" w:space="0" w:color="auto"/>
                      </w:divBdr>
                      <w:divsChild>
                        <w:div w:id="1672878298">
                          <w:marLeft w:val="0"/>
                          <w:marRight w:val="0"/>
                          <w:marTop w:val="0"/>
                          <w:marBottom w:val="0"/>
                          <w:divBdr>
                            <w:top w:val="none" w:sz="0" w:space="0" w:color="auto"/>
                            <w:left w:val="none" w:sz="0" w:space="0" w:color="auto"/>
                            <w:bottom w:val="none" w:sz="0" w:space="0" w:color="auto"/>
                            <w:right w:val="none" w:sz="0" w:space="0" w:color="auto"/>
                          </w:divBdr>
                          <w:divsChild>
                            <w:div w:id="325136657">
                              <w:marLeft w:val="0"/>
                              <w:marRight w:val="0"/>
                              <w:marTop w:val="0"/>
                              <w:marBottom w:val="0"/>
                              <w:divBdr>
                                <w:top w:val="none" w:sz="0" w:space="0" w:color="auto"/>
                                <w:left w:val="none" w:sz="0" w:space="0" w:color="auto"/>
                                <w:bottom w:val="none" w:sz="0" w:space="0" w:color="auto"/>
                                <w:right w:val="none" w:sz="0" w:space="0" w:color="auto"/>
                              </w:divBdr>
                              <w:divsChild>
                                <w:div w:id="1444151376">
                                  <w:marLeft w:val="0"/>
                                  <w:marRight w:val="0"/>
                                  <w:marTop w:val="0"/>
                                  <w:marBottom w:val="0"/>
                                  <w:divBdr>
                                    <w:top w:val="none" w:sz="0" w:space="0" w:color="auto"/>
                                    <w:left w:val="none" w:sz="0" w:space="0" w:color="auto"/>
                                    <w:bottom w:val="none" w:sz="0" w:space="0" w:color="auto"/>
                                    <w:right w:val="none" w:sz="0" w:space="0" w:color="auto"/>
                                  </w:divBdr>
                                  <w:divsChild>
                                    <w:div w:id="8582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069882">
          <w:marLeft w:val="0"/>
          <w:marRight w:val="0"/>
          <w:marTop w:val="0"/>
          <w:marBottom w:val="0"/>
          <w:divBdr>
            <w:top w:val="none" w:sz="0" w:space="0" w:color="auto"/>
            <w:left w:val="none" w:sz="0" w:space="0" w:color="auto"/>
            <w:bottom w:val="none" w:sz="0" w:space="0" w:color="auto"/>
            <w:right w:val="none" w:sz="0" w:space="0" w:color="auto"/>
          </w:divBdr>
          <w:divsChild>
            <w:div w:id="382825799">
              <w:marLeft w:val="0"/>
              <w:marRight w:val="0"/>
              <w:marTop w:val="0"/>
              <w:marBottom w:val="0"/>
              <w:divBdr>
                <w:top w:val="none" w:sz="0" w:space="0" w:color="auto"/>
                <w:left w:val="none" w:sz="0" w:space="0" w:color="auto"/>
                <w:bottom w:val="none" w:sz="0" w:space="0" w:color="auto"/>
                <w:right w:val="none" w:sz="0" w:space="0" w:color="auto"/>
              </w:divBdr>
              <w:divsChild>
                <w:div w:id="1808158142">
                  <w:marLeft w:val="0"/>
                  <w:marRight w:val="0"/>
                  <w:marTop w:val="0"/>
                  <w:marBottom w:val="0"/>
                  <w:divBdr>
                    <w:top w:val="none" w:sz="0" w:space="0" w:color="auto"/>
                    <w:left w:val="none" w:sz="0" w:space="0" w:color="auto"/>
                    <w:bottom w:val="none" w:sz="0" w:space="0" w:color="auto"/>
                    <w:right w:val="none" w:sz="0" w:space="0" w:color="auto"/>
                  </w:divBdr>
                  <w:divsChild>
                    <w:div w:id="1652325621">
                      <w:marLeft w:val="0"/>
                      <w:marRight w:val="0"/>
                      <w:marTop w:val="0"/>
                      <w:marBottom w:val="0"/>
                      <w:divBdr>
                        <w:top w:val="none" w:sz="0" w:space="0" w:color="auto"/>
                        <w:left w:val="none" w:sz="0" w:space="0" w:color="auto"/>
                        <w:bottom w:val="none" w:sz="0" w:space="0" w:color="auto"/>
                        <w:right w:val="none" w:sz="0" w:space="0" w:color="auto"/>
                      </w:divBdr>
                      <w:divsChild>
                        <w:div w:id="235826079">
                          <w:marLeft w:val="0"/>
                          <w:marRight w:val="0"/>
                          <w:marTop w:val="0"/>
                          <w:marBottom w:val="0"/>
                          <w:divBdr>
                            <w:top w:val="none" w:sz="0" w:space="0" w:color="auto"/>
                            <w:left w:val="none" w:sz="0" w:space="0" w:color="auto"/>
                            <w:bottom w:val="none" w:sz="0" w:space="0" w:color="auto"/>
                            <w:right w:val="none" w:sz="0" w:space="0" w:color="auto"/>
                          </w:divBdr>
                          <w:divsChild>
                            <w:div w:id="17492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808381">
      <w:bodyDiv w:val="1"/>
      <w:marLeft w:val="0"/>
      <w:marRight w:val="0"/>
      <w:marTop w:val="0"/>
      <w:marBottom w:val="0"/>
      <w:divBdr>
        <w:top w:val="none" w:sz="0" w:space="0" w:color="auto"/>
        <w:left w:val="none" w:sz="0" w:space="0" w:color="auto"/>
        <w:bottom w:val="none" w:sz="0" w:space="0" w:color="auto"/>
        <w:right w:val="none" w:sz="0" w:space="0" w:color="auto"/>
      </w:divBdr>
    </w:div>
    <w:div w:id="937567616">
      <w:bodyDiv w:val="1"/>
      <w:marLeft w:val="0"/>
      <w:marRight w:val="0"/>
      <w:marTop w:val="0"/>
      <w:marBottom w:val="0"/>
      <w:divBdr>
        <w:top w:val="none" w:sz="0" w:space="0" w:color="auto"/>
        <w:left w:val="none" w:sz="0" w:space="0" w:color="auto"/>
        <w:bottom w:val="none" w:sz="0" w:space="0" w:color="auto"/>
        <w:right w:val="none" w:sz="0" w:space="0" w:color="auto"/>
      </w:divBdr>
    </w:div>
    <w:div w:id="954868285">
      <w:bodyDiv w:val="1"/>
      <w:marLeft w:val="0"/>
      <w:marRight w:val="0"/>
      <w:marTop w:val="0"/>
      <w:marBottom w:val="0"/>
      <w:divBdr>
        <w:top w:val="none" w:sz="0" w:space="0" w:color="auto"/>
        <w:left w:val="none" w:sz="0" w:space="0" w:color="auto"/>
        <w:bottom w:val="none" w:sz="0" w:space="0" w:color="auto"/>
        <w:right w:val="none" w:sz="0" w:space="0" w:color="auto"/>
      </w:divBdr>
      <w:divsChild>
        <w:div w:id="853616407">
          <w:marLeft w:val="0"/>
          <w:marRight w:val="0"/>
          <w:marTop w:val="0"/>
          <w:marBottom w:val="0"/>
          <w:divBdr>
            <w:top w:val="none" w:sz="0" w:space="0" w:color="auto"/>
            <w:left w:val="none" w:sz="0" w:space="0" w:color="auto"/>
            <w:bottom w:val="none" w:sz="0" w:space="0" w:color="auto"/>
            <w:right w:val="none" w:sz="0" w:space="0" w:color="auto"/>
          </w:divBdr>
          <w:divsChild>
            <w:div w:id="13783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4026">
      <w:bodyDiv w:val="1"/>
      <w:marLeft w:val="0"/>
      <w:marRight w:val="0"/>
      <w:marTop w:val="0"/>
      <w:marBottom w:val="0"/>
      <w:divBdr>
        <w:top w:val="none" w:sz="0" w:space="0" w:color="auto"/>
        <w:left w:val="none" w:sz="0" w:space="0" w:color="auto"/>
        <w:bottom w:val="none" w:sz="0" w:space="0" w:color="auto"/>
        <w:right w:val="none" w:sz="0" w:space="0" w:color="auto"/>
      </w:divBdr>
    </w:div>
    <w:div w:id="1060858958">
      <w:bodyDiv w:val="1"/>
      <w:marLeft w:val="0"/>
      <w:marRight w:val="0"/>
      <w:marTop w:val="0"/>
      <w:marBottom w:val="0"/>
      <w:divBdr>
        <w:top w:val="none" w:sz="0" w:space="0" w:color="auto"/>
        <w:left w:val="none" w:sz="0" w:space="0" w:color="auto"/>
        <w:bottom w:val="none" w:sz="0" w:space="0" w:color="auto"/>
        <w:right w:val="none" w:sz="0" w:space="0" w:color="auto"/>
      </w:divBdr>
    </w:div>
    <w:div w:id="1071732073">
      <w:bodyDiv w:val="1"/>
      <w:marLeft w:val="0"/>
      <w:marRight w:val="0"/>
      <w:marTop w:val="0"/>
      <w:marBottom w:val="0"/>
      <w:divBdr>
        <w:top w:val="none" w:sz="0" w:space="0" w:color="auto"/>
        <w:left w:val="none" w:sz="0" w:space="0" w:color="auto"/>
        <w:bottom w:val="none" w:sz="0" w:space="0" w:color="auto"/>
        <w:right w:val="none" w:sz="0" w:space="0" w:color="auto"/>
      </w:divBdr>
    </w:div>
    <w:div w:id="1099519177">
      <w:bodyDiv w:val="1"/>
      <w:marLeft w:val="0"/>
      <w:marRight w:val="0"/>
      <w:marTop w:val="0"/>
      <w:marBottom w:val="0"/>
      <w:divBdr>
        <w:top w:val="none" w:sz="0" w:space="0" w:color="auto"/>
        <w:left w:val="none" w:sz="0" w:space="0" w:color="auto"/>
        <w:bottom w:val="none" w:sz="0" w:space="0" w:color="auto"/>
        <w:right w:val="none" w:sz="0" w:space="0" w:color="auto"/>
      </w:divBdr>
    </w:div>
    <w:div w:id="1207907022">
      <w:bodyDiv w:val="1"/>
      <w:marLeft w:val="0"/>
      <w:marRight w:val="0"/>
      <w:marTop w:val="0"/>
      <w:marBottom w:val="0"/>
      <w:divBdr>
        <w:top w:val="none" w:sz="0" w:space="0" w:color="auto"/>
        <w:left w:val="none" w:sz="0" w:space="0" w:color="auto"/>
        <w:bottom w:val="none" w:sz="0" w:space="0" w:color="auto"/>
        <w:right w:val="none" w:sz="0" w:space="0" w:color="auto"/>
      </w:divBdr>
    </w:div>
    <w:div w:id="1224027285">
      <w:bodyDiv w:val="1"/>
      <w:marLeft w:val="0"/>
      <w:marRight w:val="0"/>
      <w:marTop w:val="0"/>
      <w:marBottom w:val="0"/>
      <w:divBdr>
        <w:top w:val="none" w:sz="0" w:space="0" w:color="auto"/>
        <w:left w:val="none" w:sz="0" w:space="0" w:color="auto"/>
        <w:bottom w:val="none" w:sz="0" w:space="0" w:color="auto"/>
        <w:right w:val="none" w:sz="0" w:space="0" w:color="auto"/>
      </w:divBdr>
    </w:div>
    <w:div w:id="123752149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50">
          <w:marLeft w:val="0"/>
          <w:marRight w:val="0"/>
          <w:marTop w:val="0"/>
          <w:marBottom w:val="0"/>
          <w:divBdr>
            <w:top w:val="none" w:sz="0" w:space="0" w:color="auto"/>
            <w:left w:val="none" w:sz="0" w:space="0" w:color="auto"/>
            <w:bottom w:val="none" w:sz="0" w:space="0" w:color="auto"/>
            <w:right w:val="none" w:sz="0" w:space="0" w:color="auto"/>
          </w:divBdr>
          <w:divsChild>
            <w:div w:id="1201818631">
              <w:marLeft w:val="0"/>
              <w:marRight w:val="0"/>
              <w:marTop w:val="0"/>
              <w:marBottom w:val="0"/>
              <w:divBdr>
                <w:top w:val="none" w:sz="0" w:space="0" w:color="auto"/>
                <w:left w:val="none" w:sz="0" w:space="0" w:color="auto"/>
                <w:bottom w:val="none" w:sz="0" w:space="0" w:color="auto"/>
                <w:right w:val="none" w:sz="0" w:space="0" w:color="auto"/>
              </w:divBdr>
              <w:divsChild>
                <w:div w:id="1623917840">
                  <w:marLeft w:val="0"/>
                  <w:marRight w:val="0"/>
                  <w:marTop w:val="0"/>
                  <w:marBottom w:val="0"/>
                  <w:divBdr>
                    <w:top w:val="none" w:sz="0" w:space="0" w:color="auto"/>
                    <w:left w:val="none" w:sz="0" w:space="0" w:color="auto"/>
                    <w:bottom w:val="none" w:sz="0" w:space="0" w:color="auto"/>
                    <w:right w:val="none" w:sz="0" w:space="0" w:color="auto"/>
                  </w:divBdr>
                  <w:divsChild>
                    <w:div w:id="458838821">
                      <w:marLeft w:val="0"/>
                      <w:marRight w:val="0"/>
                      <w:marTop w:val="0"/>
                      <w:marBottom w:val="0"/>
                      <w:divBdr>
                        <w:top w:val="none" w:sz="0" w:space="0" w:color="auto"/>
                        <w:left w:val="none" w:sz="0" w:space="0" w:color="auto"/>
                        <w:bottom w:val="none" w:sz="0" w:space="0" w:color="auto"/>
                        <w:right w:val="none" w:sz="0" w:space="0" w:color="auto"/>
                      </w:divBdr>
                      <w:divsChild>
                        <w:div w:id="522092403">
                          <w:marLeft w:val="0"/>
                          <w:marRight w:val="0"/>
                          <w:marTop w:val="0"/>
                          <w:marBottom w:val="0"/>
                          <w:divBdr>
                            <w:top w:val="none" w:sz="0" w:space="0" w:color="auto"/>
                            <w:left w:val="none" w:sz="0" w:space="0" w:color="auto"/>
                            <w:bottom w:val="none" w:sz="0" w:space="0" w:color="auto"/>
                            <w:right w:val="none" w:sz="0" w:space="0" w:color="auto"/>
                          </w:divBdr>
                          <w:divsChild>
                            <w:div w:id="1000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76636">
      <w:bodyDiv w:val="1"/>
      <w:marLeft w:val="0"/>
      <w:marRight w:val="0"/>
      <w:marTop w:val="0"/>
      <w:marBottom w:val="0"/>
      <w:divBdr>
        <w:top w:val="none" w:sz="0" w:space="0" w:color="auto"/>
        <w:left w:val="none" w:sz="0" w:space="0" w:color="auto"/>
        <w:bottom w:val="none" w:sz="0" w:space="0" w:color="auto"/>
        <w:right w:val="none" w:sz="0" w:space="0" w:color="auto"/>
      </w:divBdr>
    </w:div>
    <w:div w:id="1428960241">
      <w:bodyDiv w:val="1"/>
      <w:marLeft w:val="0"/>
      <w:marRight w:val="0"/>
      <w:marTop w:val="0"/>
      <w:marBottom w:val="0"/>
      <w:divBdr>
        <w:top w:val="none" w:sz="0" w:space="0" w:color="auto"/>
        <w:left w:val="none" w:sz="0" w:space="0" w:color="auto"/>
        <w:bottom w:val="none" w:sz="0" w:space="0" w:color="auto"/>
        <w:right w:val="none" w:sz="0" w:space="0" w:color="auto"/>
      </w:divBdr>
    </w:div>
    <w:div w:id="1447964046">
      <w:bodyDiv w:val="1"/>
      <w:marLeft w:val="0"/>
      <w:marRight w:val="0"/>
      <w:marTop w:val="0"/>
      <w:marBottom w:val="0"/>
      <w:divBdr>
        <w:top w:val="none" w:sz="0" w:space="0" w:color="auto"/>
        <w:left w:val="none" w:sz="0" w:space="0" w:color="auto"/>
        <w:bottom w:val="none" w:sz="0" w:space="0" w:color="auto"/>
        <w:right w:val="none" w:sz="0" w:space="0" w:color="auto"/>
      </w:divBdr>
    </w:div>
    <w:div w:id="1478764919">
      <w:bodyDiv w:val="1"/>
      <w:marLeft w:val="0"/>
      <w:marRight w:val="0"/>
      <w:marTop w:val="0"/>
      <w:marBottom w:val="0"/>
      <w:divBdr>
        <w:top w:val="none" w:sz="0" w:space="0" w:color="auto"/>
        <w:left w:val="none" w:sz="0" w:space="0" w:color="auto"/>
        <w:bottom w:val="none" w:sz="0" w:space="0" w:color="auto"/>
        <w:right w:val="none" w:sz="0" w:space="0" w:color="auto"/>
      </w:divBdr>
    </w:div>
    <w:div w:id="1505820987">
      <w:bodyDiv w:val="1"/>
      <w:marLeft w:val="0"/>
      <w:marRight w:val="0"/>
      <w:marTop w:val="0"/>
      <w:marBottom w:val="0"/>
      <w:divBdr>
        <w:top w:val="none" w:sz="0" w:space="0" w:color="auto"/>
        <w:left w:val="none" w:sz="0" w:space="0" w:color="auto"/>
        <w:bottom w:val="none" w:sz="0" w:space="0" w:color="auto"/>
        <w:right w:val="none" w:sz="0" w:space="0" w:color="auto"/>
      </w:divBdr>
    </w:div>
    <w:div w:id="1523008735">
      <w:bodyDiv w:val="1"/>
      <w:marLeft w:val="0"/>
      <w:marRight w:val="0"/>
      <w:marTop w:val="0"/>
      <w:marBottom w:val="0"/>
      <w:divBdr>
        <w:top w:val="none" w:sz="0" w:space="0" w:color="auto"/>
        <w:left w:val="none" w:sz="0" w:space="0" w:color="auto"/>
        <w:bottom w:val="none" w:sz="0" w:space="0" w:color="auto"/>
        <w:right w:val="none" w:sz="0" w:space="0" w:color="auto"/>
      </w:divBdr>
    </w:div>
    <w:div w:id="1524321579">
      <w:bodyDiv w:val="1"/>
      <w:marLeft w:val="0"/>
      <w:marRight w:val="0"/>
      <w:marTop w:val="0"/>
      <w:marBottom w:val="0"/>
      <w:divBdr>
        <w:top w:val="none" w:sz="0" w:space="0" w:color="auto"/>
        <w:left w:val="none" w:sz="0" w:space="0" w:color="auto"/>
        <w:bottom w:val="none" w:sz="0" w:space="0" w:color="auto"/>
        <w:right w:val="none" w:sz="0" w:space="0" w:color="auto"/>
      </w:divBdr>
    </w:div>
    <w:div w:id="1621062271">
      <w:bodyDiv w:val="1"/>
      <w:marLeft w:val="0"/>
      <w:marRight w:val="0"/>
      <w:marTop w:val="0"/>
      <w:marBottom w:val="0"/>
      <w:divBdr>
        <w:top w:val="none" w:sz="0" w:space="0" w:color="auto"/>
        <w:left w:val="none" w:sz="0" w:space="0" w:color="auto"/>
        <w:bottom w:val="none" w:sz="0" w:space="0" w:color="auto"/>
        <w:right w:val="none" w:sz="0" w:space="0" w:color="auto"/>
      </w:divBdr>
    </w:div>
    <w:div w:id="1673797393">
      <w:bodyDiv w:val="1"/>
      <w:marLeft w:val="0"/>
      <w:marRight w:val="0"/>
      <w:marTop w:val="0"/>
      <w:marBottom w:val="0"/>
      <w:divBdr>
        <w:top w:val="none" w:sz="0" w:space="0" w:color="auto"/>
        <w:left w:val="none" w:sz="0" w:space="0" w:color="auto"/>
        <w:bottom w:val="none" w:sz="0" w:space="0" w:color="auto"/>
        <w:right w:val="none" w:sz="0" w:space="0" w:color="auto"/>
      </w:divBdr>
    </w:div>
    <w:div w:id="1679504450">
      <w:bodyDiv w:val="1"/>
      <w:marLeft w:val="0"/>
      <w:marRight w:val="0"/>
      <w:marTop w:val="0"/>
      <w:marBottom w:val="0"/>
      <w:divBdr>
        <w:top w:val="none" w:sz="0" w:space="0" w:color="auto"/>
        <w:left w:val="none" w:sz="0" w:space="0" w:color="auto"/>
        <w:bottom w:val="none" w:sz="0" w:space="0" w:color="auto"/>
        <w:right w:val="none" w:sz="0" w:space="0" w:color="auto"/>
      </w:divBdr>
    </w:div>
    <w:div w:id="1693722367">
      <w:bodyDiv w:val="1"/>
      <w:marLeft w:val="0"/>
      <w:marRight w:val="0"/>
      <w:marTop w:val="0"/>
      <w:marBottom w:val="0"/>
      <w:divBdr>
        <w:top w:val="none" w:sz="0" w:space="0" w:color="auto"/>
        <w:left w:val="none" w:sz="0" w:space="0" w:color="auto"/>
        <w:bottom w:val="none" w:sz="0" w:space="0" w:color="auto"/>
        <w:right w:val="none" w:sz="0" w:space="0" w:color="auto"/>
      </w:divBdr>
    </w:div>
    <w:div w:id="1701936111">
      <w:bodyDiv w:val="1"/>
      <w:marLeft w:val="0"/>
      <w:marRight w:val="0"/>
      <w:marTop w:val="0"/>
      <w:marBottom w:val="0"/>
      <w:divBdr>
        <w:top w:val="none" w:sz="0" w:space="0" w:color="auto"/>
        <w:left w:val="none" w:sz="0" w:space="0" w:color="auto"/>
        <w:bottom w:val="none" w:sz="0" w:space="0" w:color="auto"/>
        <w:right w:val="none" w:sz="0" w:space="0" w:color="auto"/>
      </w:divBdr>
    </w:div>
    <w:div w:id="1713382339">
      <w:bodyDiv w:val="1"/>
      <w:marLeft w:val="0"/>
      <w:marRight w:val="0"/>
      <w:marTop w:val="0"/>
      <w:marBottom w:val="0"/>
      <w:divBdr>
        <w:top w:val="none" w:sz="0" w:space="0" w:color="auto"/>
        <w:left w:val="none" w:sz="0" w:space="0" w:color="auto"/>
        <w:bottom w:val="none" w:sz="0" w:space="0" w:color="auto"/>
        <w:right w:val="none" w:sz="0" w:space="0" w:color="auto"/>
      </w:divBdr>
    </w:div>
    <w:div w:id="1739401816">
      <w:bodyDiv w:val="1"/>
      <w:marLeft w:val="0"/>
      <w:marRight w:val="0"/>
      <w:marTop w:val="0"/>
      <w:marBottom w:val="0"/>
      <w:divBdr>
        <w:top w:val="none" w:sz="0" w:space="0" w:color="auto"/>
        <w:left w:val="none" w:sz="0" w:space="0" w:color="auto"/>
        <w:bottom w:val="none" w:sz="0" w:space="0" w:color="auto"/>
        <w:right w:val="none" w:sz="0" w:space="0" w:color="auto"/>
      </w:divBdr>
      <w:divsChild>
        <w:div w:id="959646830">
          <w:marLeft w:val="0"/>
          <w:marRight w:val="0"/>
          <w:marTop w:val="0"/>
          <w:marBottom w:val="0"/>
          <w:divBdr>
            <w:top w:val="none" w:sz="0" w:space="0" w:color="auto"/>
            <w:left w:val="none" w:sz="0" w:space="0" w:color="auto"/>
            <w:bottom w:val="none" w:sz="0" w:space="0" w:color="auto"/>
            <w:right w:val="none" w:sz="0" w:space="0" w:color="auto"/>
          </w:divBdr>
          <w:divsChild>
            <w:div w:id="105077814">
              <w:marLeft w:val="0"/>
              <w:marRight w:val="0"/>
              <w:marTop w:val="0"/>
              <w:marBottom w:val="0"/>
              <w:divBdr>
                <w:top w:val="none" w:sz="0" w:space="0" w:color="auto"/>
                <w:left w:val="none" w:sz="0" w:space="0" w:color="auto"/>
                <w:bottom w:val="none" w:sz="0" w:space="0" w:color="auto"/>
                <w:right w:val="none" w:sz="0" w:space="0" w:color="auto"/>
              </w:divBdr>
              <w:divsChild>
                <w:div w:id="1243105011">
                  <w:marLeft w:val="0"/>
                  <w:marRight w:val="0"/>
                  <w:marTop w:val="0"/>
                  <w:marBottom w:val="0"/>
                  <w:divBdr>
                    <w:top w:val="none" w:sz="0" w:space="0" w:color="auto"/>
                    <w:left w:val="none" w:sz="0" w:space="0" w:color="auto"/>
                    <w:bottom w:val="none" w:sz="0" w:space="0" w:color="auto"/>
                    <w:right w:val="none" w:sz="0" w:space="0" w:color="auto"/>
                  </w:divBdr>
                  <w:divsChild>
                    <w:div w:id="1094202470">
                      <w:marLeft w:val="0"/>
                      <w:marRight w:val="0"/>
                      <w:marTop w:val="0"/>
                      <w:marBottom w:val="0"/>
                      <w:divBdr>
                        <w:top w:val="none" w:sz="0" w:space="0" w:color="auto"/>
                        <w:left w:val="none" w:sz="0" w:space="0" w:color="auto"/>
                        <w:bottom w:val="none" w:sz="0" w:space="0" w:color="auto"/>
                        <w:right w:val="none" w:sz="0" w:space="0" w:color="auto"/>
                      </w:divBdr>
                      <w:divsChild>
                        <w:div w:id="1391659180">
                          <w:marLeft w:val="0"/>
                          <w:marRight w:val="0"/>
                          <w:marTop w:val="0"/>
                          <w:marBottom w:val="0"/>
                          <w:divBdr>
                            <w:top w:val="none" w:sz="0" w:space="0" w:color="auto"/>
                            <w:left w:val="none" w:sz="0" w:space="0" w:color="auto"/>
                            <w:bottom w:val="none" w:sz="0" w:space="0" w:color="auto"/>
                            <w:right w:val="none" w:sz="0" w:space="0" w:color="auto"/>
                          </w:divBdr>
                          <w:divsChild>
                            <w:div w:id="15270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440917">
      <w:bodyDiv w:val="1"/>
      <w:marLeft w:val="0"/>
      <w:marRight w:val="0"/>
      <w:marTop w:val="0"/>
      <w:marBottom w:val="0"/>
      <w:divBdr>
        <w:top w:val="none" w:sz="0" w:space="0" w:color="auto"/>
        <w:left w:val="none" w:sz="0" w:space="0" w:color="auto"/>
        <w:bottom w:val="none" w:sz="0" w:space="0" w:color="auto"/>
        <w:right w:val="none" w:sz="0" w:space="0" w:color="auto"/>
      </w:divBdr>
      <w:divsChild>
        <w:div w:id="1435174355">
          <w:marLeft w:val="0"/>
          <w:marRight w:val="0"/>
          <w:marTop w:val="0"/>
          <w:marBottom w:val="0"/>
          <w:divBdr>
            <w:top w:val="none" w:sz="0" w:space="0" w:color="auto"/>
            <w:left w:val="none" w:sz="0" w:space="0" w:color="auto"/>
            <w:bottom w:val="none" w:sz="0" w:space="0" w:color="auto"/>
            <w:right w:val="none" w:sz="0" w:space="0" w:color="auto"/>
          </w:divBdr>
          <w:divsChild>
            <w:div w:id="447242069">
              <w:marLeft w:val="0"/>
              <w:marRight w:val="0"/>
              <w:marTop w:val="0"/>
              <w:marBottom w:val="0"/>
              <w:divBdr>
                <w:top w:val="none" w:sz="0" w:space="0" w:color="auto"/>
                <w:left w:val="none" w:sz="0" w:space="0" w:color="auto"/>
                <w:bottom w:val="none" w:sz="0" w:space="0" w:color="auto"/>
                <w:right w:val="none" w:sz="0" w:space="0" w:color="auto"/>
              </w:divBdr>
              <w:divsChild>
                <w:div w:id="635332686">
                  <w:marLeft w:val="0"/>
                  <w:marRight w:val="0"/>
                  <w:marTop w:val="0"/>
                  <w:marBottom w:val="0"/>
                  <w:divBdr>
                    <w:top w:val="none" w:sz="0" w:space="0" w:color="auto"/>
                    <w:left w:val="none" w:sz="0" w:space="0" w:color="auto"/>
                    <w:bottom w:val="none" w:sz="0" w:space="0" w:color="auto"/>
                    <w:right w:val="none" w:sz="0" w:space="0" w:color="auto"/>
                  </w:divBdr>
                  <w:divsChild>
                    <w:div w:id="2013408006">
                      <w:marLeft w:val="0"/>
                      <w:marRight w:val="0"/>
                      <w:marTop w:val="0"/>
                      <w:marBottom w:val="0"/>
                      <w:divBdr>
                        <w:top w:val="none" w:sz="0" w:space="0" w:color="auto"/>
                        <w:left w:val="none" w:sz="0" w:space="0" w:color="auto"/>
                        <w:bottom w:val="none" w:sz="0" w:space="0" w:color="auto"/>
                        <w:right w:val="none" w:sz="0" w:space="0" w:color="auto"/>
                      </w:divBdr>
                      <w:divsChild>
                        <w:div w:id="114493517">
                          <w:marLeft w:val="0"/>
                          <w:marRight w:val="0"/>
                          <w:marTop w:val="0"/>
                          <w:marBottom w:val="0"/>
                          <w:divBdr>
                            <w:top w:val="none" w:sz="0" w:space="0" w:color="auto"/>
                            <w:left w:val="none" w:sz="0" w:space="0" w:color="auto"/>
                            <w:bottom w:val="none" w:sz="0" w:space="0" w:color="auto"/>
                            <w:right w:val="none" w:sz="0" w:space="0" w:color="auto"/>
                          </w:divBdr>
                          <w:divsChild>
                            <w:div w:id="1999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358583">
      <w:bodyDiv w:val="1"/>
      <w:marLeft w:val="0"/>
      <w:marRight w:val="0"/>
      <w:marTop w:val="0"/>
      <w:marBottom w:val="0"/>
      <w:divBdr>
        <w:top w:val="none" w:sz="0" w:space="0" w:color="auto"/>
        <w:left w:val="none" w:sz="0" w:space="0" w:color="auto"/>
        <w:bottom w:val="none" w:sz="0" w:space="0" w:color="auto"/>
        <w:right w:val="none" w:sz="0" w:space="0" w:color="auto"/>
      </w:divBdr>
    </w:div>
    <w:div w:id="1947736689">
      <w:bodyDiv w:val="1"/>
      <w:marLeft w:val="0"/>
      <w:marRight w:val="0"/>
      <w:marTop w:val="0"/>
      <w:marBottom w:val="0"/>
      <w:divBdr>
        <w:top w:val="none" w:sz="0" w:space="0" w:color="auto"/>
        <w:left w:val="none" w:sz="0" w:space="0" w:color="auto"/>
        <w:bottom w:val="none" w:sz="0" w:space="0" w:color="auto"/>
        <w:right w:val="none" w:sz="0" w:space="0" w:color="auto"/>
      </w:divBdr>
    </w:div>
    <w:div w:id="1984694299">
      <w:bodyDiv w:val="1"/>
      <w:marLeft w:val="0"/>
      <w:marRight w:val="0"/>
      <w:marTop w:val="0"/>
      <w:marBottom w:val="0"/>
      <w:divBdr>
        <w:top w:val="none" w:sz="0" w:space="0" w:color="auto"/>
        <w:left w:val="none" w:sz="0" w:space="0" w:color="auto"/>
        <w:bottom w:val="none" w:sz="0" w:space="0" w:color="auto"/>
        <w:right w:val="none" w:sz="0" w:space="0" w:color="auto"/>
      </w:divBdr>
    </w:div>
    <w:div w:id="21134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clim.2025.1706512" TargetMode="External"/><Relationship Id="rId13" Type="http://schemas.openxmlformats.org/officeDocument/2006/relationships/hyperlink" Target="https://doi.org/10.3390/technologies11010002"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doi.org/10.1080/14735903.2025.2553957" TargetMode="External"/><Relationship Id="rId12" Type="http://schemas.openxmlformats.org/officeDocument/2006/relationships/hyperlink" Target="https://doi.org/10.3934/nar.20220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3390/buildings15213915" TargetMode="External"/><Relationship Id="rId5" Type="http://schemas.openxmlformats.org/officeDocument/2006/relationships/hyperlink" Target="mailto:nekodimosi@gmail.com" TargetMode="External"/><Relationship Id="rId15" Type="http://schemas.openxmlformats.org/officeDocument/2006/relationships/hyperlink" Target="https://doi.org/10.3390/jrfm14030050" TargetMode="External"/><Relationship Id="rId10" Type="http://schemas.openxmlformats.org/officeDocument/2006/relationships/hyperlink" Target="https://doi.org/10.3390/cli13050102" TargetMode="External"/><Relationship Id="rId4" Type="http://schemas.openxmlformats.org/officeDocument/2006/relationships/webSettings" Target="webSettings.xml"/><Relationship Id="rId9" Type="http://schemas.openxmlformats.org/officeDocument/2006/relationships/hyperlink" Target="https://doi.org/10.3390/su12198074" TargetMode="External"/><Relationship Id="rId14" Type="http://schemas.openxmlformats.org/officeDocument/2006/relationships/hyperlink" Target="http://ir-library.mmarau.ac.ke:8080/bitstream/handle/123456789/18764/Serem%20Wilberforce%20Final%20Research%20The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39</Pages>
  <Words>21677</Words>
  <Characters>123561</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4</cp:revision>
  <cp:lastPrinted>2026-06-01T20:25:00Z</cp:lastPrinted>
  <dcterms:created xsi:type="dcterms:W3CDTF">2026-06-01T20:24:00Z</dcterms:created>
  <dcterms:modified xsi:type="dcterms:W3CDTF">2026-06-01T21:09:00Z</dcterms:modified>
</cp:coreProperties>
</file>