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A757" w14:textId="32184F8B" w:rsidR="00C276EF" w:rsidRPr="00BD01B7" w:rsidRDefault="00C276EF" w:rsidP="00C276EF">
      <w:pPr>
        <w:jc w:val="center"/>
        <w:rPr>
          <w:rFonts w:ascii="Arial" w:hAnsi="Arial" w:cs="Arial"/>
          <w:b/>
          <w:bCs/>
        </w:rPr>
      </w:pPr>
      <w:r w:rsidRPr="00BD01B7">
        <w:rPr>
          <w:rFonts w:ascii="Arial" w:hAnsi="Arial" w:cs="Arial"/>
          <w:b/>
          <w:bCs/>
        </w:rPr>
        <w:t xml:space="preserve">Topic: </w:t>
      </w:r>
      <w:r w:rsidRPr="00C276EF">
        <w:rPr>
          <w:rFonts w:ascii="Arial" w:hAnsi="Arial" w:cs="Arial"/>
          <w:b/>
          <w:bCs/>
        </w:rPr>
        <w:t>Early Biological Aging and the Potential for Reverse Aging in Indian Adults: The Role of Lifestyle Factors</w:t>
      </w:r>
    </w:p>
    <w:p w14:paraId="3D09600F" w14:textId="61E16E85" w:rsidR="00C276EF" w:rsidRPr="00BD01B7" w:rsidRDefault="00C276EF" w:rsidP="00C276EF">
      <w:pPr>
        <w:jc w:val="center"/>
        <w:rPr>
          <w:rFonts w:ascii="Arial" w:hAnsi="Arial" w:cs="Arial"/>
          <w:b/>
          <w:bCs/>
        </w:rPr>
      </w:pPr>
      <w:r w:rsidRPr="00BD01B7">
        <w:rPr>
          <w:rFonts w:ascii="Arial" w:hAnsi="Arial" w:cs="Arial"/>
          <w:b/>
          <w:bCs/>
        </w:rPr>
        <w:t>Author: Ms Yashvi Trivedi (Student of 11 Biology)</w:t>
      </w:r>
    </w:p>
    <w:p w14:paraId="14E9CF0E" w14:textId="7E085710" w:rsidR="00C276EF" w:rsidRPr="00BD01B7" w:rsidRDefault="00C276EF" w:rsidP="00C276EF">
      <w:pPr>
        <w:jc w:val="center"/>
        <w:rPr>
          <w:rFonts w:ascii="Arial" w:hAnsi="Arial" w:cs="Arial"/>
          <w:b/>
          <w:bCs/>
        </w:rPr>
      </w:pPr>
      <w:r w:rsidRPr="00BD01B7">
        <w:rPr>
          <w:rFonts w:ascii="Arial" w:hAnsi="Arial" w:cs="Arial"/>
          <w:b/>
          <w:bCs/>
        </w:rPr>
        <w:t>Guide: Ms Shaily Mishra (Vice- Principal)</w:t>
      </w:r>
    </w:p>
    <w:p w14:paraId="30BDD53A" w14:textId="5484C75B" w:rsidR="00C276EF" w:rsidRPr="00C276EF" w:rsidRDefault="00C276EF" w:rsidP="00C276EF">
      <w:pPr>
        <w:jc w:val="center"/>
        <w:rPr>
          <w:rFonts w:ascii="Arial" w:hAnsi="Arial" w:cs="Arial"/>
          <w:b/>
          <w:bCs/>
        </w:rPr>
      </w:pPr>
      <w:r w:rsidRPr="00BD01B7">
        <w:rPr>
          <w:rFonts w:ascii="Arial" w:hAnsi="Arial" w:cs="Arial"/>
          <w:b/>
          <w:bCs/>
        </w:rPr>
        <w:t>Institute Name: Adani Vidya Mandir, Ahmedabad</w:t>
      </w:r>
    </w:p>
    <w:p w14:paraId="4059AFB7" w14:textId="77777777" w:rsidR="00C276EF" w:rsidRPr="00C276EF" w:rsidRDefault="00C276EF" w:rsidP="00C276EF">
      <w:pPr>
        <w:rPr>
          <w:rFonts w:ascii="Arial" w:hAnsi="Arial" w:cs="Arial"/>
          <w:b/>
          <w:bCs/>
        </w:rPr>
      </w:pPr>
      <w:r w:rsidRPr="00C276EF">
        <w:rPr>
          <w:rFonts w:ascii="Arial" w:hAnsi="Arial" w:cs="Arial"/>
          <w:b/>
          <w:bCs/>
        </w:rPr>
        <w:t>Abstract</w:t>
      </w:r>
    </w:p>
    <w:p w14:paraId="6ED88023" w14:textId="77777777" w:rsidR="00BD01B7" w:rsidRPr="00BD01B7" w:rsidRDefault="00BD01B7" w:rsidP="00BD01B7">
      <w:pPr>
        <w:rPr>
          <w:rFonts w:ascii="Arial" w:hAnsi="Arial" w:cs="Arial"/>
        </w:rPr>
      </w:pPr>
      <w:r w:rsidRPr="00BD01B7">
        <w:rPr>
          <w:rFonts w:ascii="Arial" w:hAnsi="Arial" w:cs="Arial"/>
        </w:rPr>
        <w:t>Aging is a universal biological process characterized by gradual deterioration of physiological systems, reduced metabolic efficiency, and increased susceptibility to diseases. Traditionally, aging has been measured using chronological age, which represents the number of years an individual has lived. However, chronological age does not accurately represent the functional health status of an individual. Two individuals of the same chronological age may have significantly different physiological conditions depending on their lifestyle, diet, stress levels, sleep patterns, and environmental exposures.</w:t>
      </w:r>
    </w:p>
    <w:p w14:paraId="03CED724" w14:textId="77777777" w:rsidR="00BD01B7" w:rsidRPr="00BD01B7" w:rsidRDefault="00BD01B7" w:rsidP="00BD01B7">
      <w:pPr>
        <w:rPr>
          <w:rFonts w:ascii="Arial" w:hAnsi="Arial" w:cs="Arial"/>
        </w:rPr>
      </w:pPr>
      <w:r w:rsidRPr="00BD01B7">
        <w:rPr>
          <w:rFonts w:ascii="Arial" w:hAnsi="Arial" w:cs="Arial"/>
        </w:rPr>
        <w:t>In recent years, the concept of biological age has gained importance in health and medical research. Biological age refers to the functional and physiological state of the body and is influenced by lifestyle factors rather than just time. When biological age exceeds chronological age, it indicates accelerated aging, which increases the risk of chronic diseases and early mortality. Conversely, when biological age is lower than chronological age, it indicates healthy aging and better physiological functioning.</w:t>
      </w:r>
    </w:p>
    <w:p w14:paraId="3A6CA281" w14:textId="77777777" w:rsidR="00BD01B7" w:rsidRPr="00BD01B7" w:rsidRDefault="00BD01B7" w:rsidP="00BD01B7">
      <w:pPr>
        <w:rPr>
          <w:rFonts w:ascii="Arial" w:hAnsi="Arial" w:cs="Arial"/>
        </w:rPr>
      </w:pPr>
      <w:r w:rsidRPr="00BD01B7">
        <w:rPr>
          <w:rFonts w:ascii="Arial" w:hAnsi="Arial" w:cs="Arial"/>
        </w:rPr>
        <w:t>India is currently undergoing rapid urbanization and lifestyle transition, which has led to an increase in sedentary lifestyle, unhealthy dietary patterns, stress, and sleep disorders. As a result, lifestyle-related diseases such as diabetes, obesity, hypertension, and cardiovascular diseases are increasing at younger ages. This trend suggests that early biological aging is becoming a major public health concern in India.</w:t>
      </w:r>
    </w:p>
    <w:p w14:paraId="2BD876E1" w14:textId="77777777" w:rsidR="00BD01B7" w:rsidRPr="00BD01B7" w:rsidRDefault="00BD01B7" w:rsidP="00BD01B7">
      <w:pPr>
        <w:rPr>
          <w:rFonts w:ascii="Arial" w:hAnsi="Arial" w:cs="Arial"/>
        </w:rPr>
      </w:pPr>
      <w:r w:rsidRPr="00BD01B7">
        <w:rPr>
          <w:rFonts w:ascii="Arial" w:hAnsi="Arial" w:cs="Arial"/>
        </w:rPr>
        <w:t>Lifestyle factors such as physical inactivity, poor diet, chronic stress, and lack of sleep contribute to inflammation, oxidative stress, and hormonal imbalance, which accelerate biological aging. On the other hand, healthy lifestyle practices such as regular physical activity, balanced diet, stress management, and proper sleep improve metabolic health, reduce inflammation, and promote cellular repair, thereby slowing biological aging.</w:t>
      </w:r>
    </w:p>
    <w:p w14:paraId="27257ACA" w14:textId="29299F74" w:rsidR="00BD01B7" w:rsidRPr="00BD01B7" w:rsidRDefault="00BD01B7" w:rsidP="00BD01B7">
      <w:pPr>
        <w:rPr>
          <w:rFonts w:ascii="Arial" w:hAnsi="Arial" w:cs="Arial"/>
        </w:rPr>
      </w:pPr>
      <w:r w:rsidRPr="00BD01B7">
        <w:rPr>
          <w:rFonts w:ascii="Arial" w:hAnsi="Arial" w:cs="Arial"/>
        </w:rPr>
        <w:t>The concept of reverse aging refers to slowing down biological aging and improving health span through lifestyle interventions. Reverse aging does not mean stopping aging but refers to improving physiological health and reducing biological age through healthy lifestyle practices.</w:t>
      </w:r>
    </w:p>
    <w:p w14:paraId="7A5B6635" w14:textId="1B2F60D4" w:rsidR="00BD01B7" w:rsidRDefault="00BD01B7" w:rsidP="00BD01B7">
      <w:pPr>
        <w:rPr>
          <w:rFonts w:ascii="Arial" w:hAnsi="Arial" w:cs="Arial"/>
        </w:rPr>
      </w:pPr>
      <w:r w:rsidRPr="00BD01B7">
        <w:rPr>
          <w:rFonts w:ascii="Arial" w:hAnsi="Arial" w:cs="Arial"/>
        </w:rPr>
        <w:t>Therefore, the present study aims to examine lifestyle factors associated with early biological aging and to analyse awareness and willingness among Indian adults to adopt lifestyle changes for reverse aging.</w:t>
      </w:r>
    </w:p>
    <w:p w14:paraId="091AC991" w14:textId="5D40F78C" w:rsidR="00BD01B7" w:rsidRDefault="00BD01B7" w:rsidP="00BD01B7">
      <w:pPr>
        <w:rPr>
          <w:rFonts w:ascii="Arial" w:hAnsi="Arial" w:cs="Arial"/>
        </w:rPr>
      </w:pPr>
      <w:r w:rsidRPr="00BD01B7">
        <w:rPr>
          <w:rFonts w:ascii="Arial" w:hAnsi="Arial" w:cs="Arial"/>
        </w:rPr>
        <w:t>The study was conducted using a descriptive survey method on a sample of 25 participants. Data were collected using a structured questionnaire covering physical activity, sleep duration, stress levels, junk food consumption, awareness about reverse aging, and willingness to adopt lifestyle changes. The data were analysed using percentage analysis representation.</w:t>
      </w:r>
    </w:p>
    <w:p w14:paraId="67F6FF9A" w14:textId="18727767" w:rsidR="00C276EF" w:rsidRPr="00C276EF" w:rsidRDefault="00C276EF" w:rsidP="00BD01B7">
      <w:pPr>
        <w:rPr>
          <w:rFonts w:ascii="Arial" w:hAnsi="Arial" w:cs="Arial"/>
        </w:rPr>
      </w:pPr>
      <w:r w:rsidRPr="00C276EF">
        <w:rPr>
          <w:rFonts w:ascii="Arial" w:hAnsi="Arial" w:cs="Arial"/>
          <w:b/>
          <w:bCs/>
        </w:rPr>
        <w:t>Keywords:</w:t>
      </w:r>
      <w:r w:rsidRPr="00C276EF">
        <w:rPr>
          <w:rFonts w:ascii="Arial" w:hAnsi="Arial" w:cs="Arial"/>
        </w:rPr>
        <w:t xml:space="preserve"> Biological Aging, Reverse Aging, Lifestyle Factors, Stress, Sleep, Physical Activity, Diet, Preventive Health, Indian Adults</w:t>
      </w:r>
    </w:p>
    <w:p w14:paraId="0985D5F6" w14:textId="77777777" w:rsidR="00C276EF" w:rsidRPr="00C276EF" w:rsidRDefault="00C276EF" w:rsidP="00C276EF">
      <w:pPr>
        <w:rPr>
          <w:rFonts w:ascii="Arial" w:hAnsi="Arial" w:cs="Arial"/>
          <w:b/>
          <w:bCs/>
        </w:rPr>
      </w:pPr>
      <w:r w:rsidRPr="00C276EF">
        <w:rPr>
          <w:rFonts w:ascii="Arial" w:hAnsi="Arial" w:cs="Arial"/>
          <w:b/>
          <w:bCs/>
        </w:rPr>
        <w:lastRenderedPageBreak/>
        <w:t>1. Introduction</w:t>
      </w:r>
    </w:p>
    <w:p w14:paraId="6E6DF49D" w14:textId="77777777" w:rsidR="00C276EF" w:rsidRPr="00C276EF" w:rsidRDefault="00C276EF" w:rsidP="00C276EF">
      <w:pPr>
        <w:rPr>
          <w:rFonts w:ascii="Arial" w:hAnsi="Arial" w:cs="Arial"/>
        </w:rPr>
      </w:pPr>
      <w:r w:rsidRPr="00C276EF">
        <w:rPr>
          <w:rFonts w:ascii="Arial" w:hAnsi="Arial" w:cs="Arial"/>
        </w:rPr>
        <w:t>Aging is a natural biological process characterized by gradual decline in physiological function, cellular repair, and metabolic efficiency. Traditionally, aging has been measured using chronological age, which refers to the number of years a person has lived. However, chronological age does not accurately represent the functional health status of an individual. Two individuals of the same chronological age may have very different health conditions depending on their lifestyle, environment, stress levels, and genetic factors.</w:t>
      </w:r>
    </w:p>
    <w:p w14:paraId="0B4E185C" w14:textId="77777777" w:rsidR="00C276EF" w:rsidRPr="00C276EF" w:rsidRDefault="00C276EF" w:rsidP="00C276EF">
      <w:pPr>
        <w:rPr>
          <w:rFonts w:ascii="Arial" w:hAnsi="Arial" w:cs="Arial"/>
        </w:rPr>
      </w:pPr>
      <w:r w:rsidRPr="00C276EF">
        <w:rPr>
          <w:rFonts w:ascii="Arial" w:hAnsi="Arial" w:cs="Arial"/>
        </w:rPr>
        <w:t>In recent years, the concept of biological age has gained importance in medical and health research. Biological age refers to the functional and physiological condition of the body and is influenced by lifestyle factors such as diet, physical activity, sleep, stress, and environmental exposure. When biological age is higher than chronological age, it indicates accelerated aging, while if biological age is lower than chronological age, it indicates healthy aging.</w:t>
      </w:r>
    </w:p>
    <w:p w14:paraId="4E09357F" w14:textId="77777777" w:rsidR="00C276EF" w:rsidRPr="00C276EF" w:rsidRDefault="00C276EF" w:rsidP="00C276EF">
      <w:pPr>
        <w:rPr>
          <w:rFonts w:ascii="Arial" w:hAnsi="Arial" w:cs="Arial"/>
        </w:rPr>
      </w:pPr>
      <w:r w:rsidRPr="00C276EF">
        <w:rPr>
          <w:rFonts w:ascii="Arial" w:hAnsi="Arial" w:cs="Arial"/>
        </w:rPr>
        <w:t>India is currently facing a major public health challenge due to the rapid increase in lifestyle diseases such as diabetes, hypertension, obesity, and cardiovascular diseases. These diseases are now occurring at younger ages compared to previous generations. This trend suggests that early biological aging is occurring due to sedentary lifestyle, unhealthy diet, stress, and lack of sleep.</w:t>
      </w:r>
    </w:p>
    <w:p w14:paraId="52562C31" w14:textId="77777777" w:rsidR="00C276EF" w:rsidRPr="00C276EF" w:rsidRDefault="00C276EF" w:rsidP="00C276EF">
      <w:pPr>
        <w:rPr>
          <w:rFonts w:ascii="Arial" w:hAnsi="Arial" w:cs="Arial"/>
        </w:rPr>
      </w:pPr>
      <w:r w:rsidRPr="00C276EF">
        <w:rPr>
          <w:rFonts w:ascii="Arial" w:hAnsi="Arial" w:cs="Arial"/>
        </w:rPr>
        <w:t>Lifestyle plays a significant role in determining biological aging. Regular physical activity improves cardiovascular health, metabolic function, and reduces inflammation. Healthy diet provides essential nutrients and antioxidants that protect cells from damage. Sleep is essential for cellular repair and hormonal balance. Stress management is important because chronic stress increases cortisol levels, which accelerates cellular aging.</w:t>
      </w:r>
    </w:p>
    <w:p w14:paraId="4EEA3296" w14:textId="396B0CC8" w:rsidR="00C276EF" w:rsidRPr="00C276EF" w:rsidRDefault="00C276EF" w:rsidP="00C276EF">
      <w:pPr>
        <w:rPr>
          <w:rFonts w:ascii="Arial" w:hAnsi="Arial" w:cs="Arial"/>
        </w:rPr>
      </w:pPr>
      <w:r w:rsidRPr="00C276EF">
        <w:rPr>
          <w:rFonts w:ascii="Arial" w:hAnsi="Arial" w:cs="Arial"/>
        </w:rPr>
        <w:t xml:space="preserve">The concept of reverse aging does not mean stopping aging but refers to slowing down biological aging and improving </w:t>
      </w:r>
      <w:r w:rsidR="00BD01B7" w:rsidRPr="00C276EF">
        <w:rPr>
          <w:rFonts w:ascii="Arial" w:hAnsi="Arial" w:cs="Arial"/>
        </w:rPr>
        <w:t>health span</w:t>
      </w:r>
      <w:r w:rsidRPr="00C276EF">
        <w:rPr>
          <w:rFonts w:ascii="Arial" w:hAnsi="Arial" w:cs="Arial"/>
        </w:rPr>
        <w:t xml:space="preserve"> through lifestyle changes. Reverse aging can be achieved through regular exercise, balanced diet, stress management, meditation, and proper sleep.</w:t>
      </w:r>
    </w:p>
    <w:p w14:paraId="09A375B8" w14:textId="62055ADF" w:rsidR="00C276EF" w:rsidRPr="00C276EF" w:rsidRDefault="00C276EF" w:rsidP="00C276EF">
      <w:pPr>
        <w:rPr>
          <w:rFonts w:ascii="Arial" w:hAnsi="Arial" w:cs="Arial"/>
        </w:rPr>
      </w:pPr>
      <w:r w:rsidRPr="00C276EF">
        <w:rPr>
          <w:rFonts w:ascii="Arial" w:hAnsi="Arial" w:cs="Arial"/>
        </w:rPr>
        <w:t xml:space="preserve">Therefore, this study aims to examine lifestyle factors affecting biological aging and to </w:t>
      </w:r>
      <w:r w:rsidR="00BD01B7" w:rsidRPr="00C276EF">
        <w:rPr>
          <w:rFonts w:ascii="Arial" w:hAnsi="Arial" w:cs="Arial"/>
        </w:rPr>
        <w:t>analyse</w:t>
      </w:r>
      <w:r w:rsidRPr="00C276EF">
        <w:rPr>
          <w:rFonts w:ascii="Arial" w:hAnsi="Arial" w:cs="Arial"/>
        </w:rPr>
        <w:t xml:space="preserve"> awareness regarding reverse aging among Indian adults.</w:t>
      </w:r>
    </w:p>
    <w:p w14:paraId="7C40ED2F" w14:textId="77777777" w:rsidR="00C276EF" w:rsidRPr="00C276EF" w:rsidRDefault="00C276EF" w:rsidP="00C276EF">
      <w:pPr>
        <w:rPr>
          <w:rFonts w:ascii="Arial" w:hAnsi="Arial" w:cs="Arial"/>
          <w:b/>
          <w:bCs/>
        </w:rPr>
      </w:pPr>
      <w:r w:rsidRPr="00C276EF">
        <w:rPr>
          <w:rFonts w:ascii="Arial" w:hAnsi="Arial" w:cs="Arial"/>
          <w:b/>
          <w:bCs/>
        </w:rPr>
        <w:t>2. Review of Literature</w:t>
      </w:r>
    </w:p>
    <w:p w14:paraId="61D813F1" w14:textId="77777777" w:rsidR="00C276EF" w:rsidRPr="00C276EF" w:rsidRDefault="00C276EF" w:rsidP="00C276EF">
      <w:pPr>
        <w:rPr>
          <w:rFonts w:ascii="Arial" w:hAnsi="Arial" w:cs="Arial"/>
        </w:rPr>
      </w:pPr>
      <w:r w:rsidRPr="00C276EF">
        <w:rPr>
          <w:rFonts w:ascii="Arial" w:hAnsi="Arial" w:cs="Arial"/>
        </w:rPr>
        <w:t>Several studies have shown that biological aging is influenced more by lifestyle than by genetics alone. Research in preventive medicine suggests that nearly 60–70% of diseases are lifestyle-related and can be prevented through lifestyle modification.</w:t>
      </w:r>
    </w:p>
    <w:p w14:paraId="3981E5BC" w14:textId="77777777" w:rsidR="00C276EF" w:rsidRPr="00C276EF" w:rsidRDefault="00C276EF" w:rsidP="00C276EF">
      <w:pPr>
        <w:rPr>
          <w:rFonts w:ascii="Arial" w:hAnsi="Arial" w:cs="Arial"/>
        </w:rPr>
      </w:pPr>
      <w:r w:rsidRPr="00C276EF">
        <w:rPr>
          <w:rFonts w:ascii="Arial" w:hAnsi="Arial" w:cs="Arial"/>
        </w:rPr>
        <w:t>Studies indicate that physical inactivity leads to obesity, metabolic disorders, and cardiovascular diseases, which accelerate biological aging. Regular exercise improves mitochondrial function, reduces inflammation, and improves metabolic health, thereby slowing biological aging.</w:t>
      </w:r>
    </w:p>
    <w:p w14:paraId="47572753" w14:textId="77777777" w:rsidR="00C276EF" w:rsidRPr="00C276EF" w:rsidRDefault="00C276EF" w:rsidP="00C276EF">
      <w:pPr>
        <w:rPr>
          <w:rFonts w:ascii="Arial" w:hAnsi="Arial" w:cs="Arial"/>
        </w:rPr>
      </w:pPr>
      <w:r w:rsidRPr="00C276EF">
        <w:rPr>
          <w:rFonts w:ascii="Arial" w:hAnsi="Arial" w:cs="Arial"/>
        </w:rPr>
        <w:t>Sleep is another important factor affecting biological aging. Poor sleep quality and shorter sleep duration are associated with increased inflammation, hormonal imbalance, and cognitive decline. Sleep is essential for tissue repair and memory consolidation.</w:t>
      </w:r>
    </w:p>
    <w:p w14:paraId="758C86AC" w14:textId="77777777" w:rsidR="00C276EF" w:rsidRPr="00C276EF" w:rsidRDefault="00C276EF" w:rsidP="00C276EF">
      <w:pPr>
        <w:rPr>
          <w:rFonts w:ascii="Arial" w:hAnsi="Arial" w:cs="Arial"/>
        </w:rPr>
      </w:pPr>
      <w:r w:rsidRPr="00C276EF">
        <w:rPr>
          <w:rFonts w:ascii="Arial" w:hAnsi="Arial" w:cs="Arial"/>
        </w:rPr>
        <w:t>Stress is a major contributor to early aging. Chronic stress increases cortisol hormone, which leads to increased inflammation, high blood pressure, and weakened immune system. Long-term stress accelerates cellular aging and increases risk of lifestyle diseases.</w:t>
      </w:r>
    </w:p>
    <w:p w14:paraId="2B17676D" w14:textId="77777777" w:rsidR="00C276EF" w:rsidRPr="00C276EF" w:rsidRDefault="00C276EF" w:rsidP="00C276EF">
      <w:pPr>
        <w:rPr>
          <w:rFonts w:ascii="Arial" w:hAnsi="Arial" w:cs="Arial"/>
        </w:rPr>
      </w:pPr>
      <w:r w:rsidRPr="00C276EF">
        <w:rPr>
          <w:rFonts w:ascii="Arial" w:hAnsi="Arial" w:cs="Arial"/>
        </w:rPr>
        <w:lastRenderedPageBreak/>
        <w:t>Diet also plays an important role in biological aging. Diet high in processed food, sugar, and unhealthy fats increases oxidative stress and inflammation. On the other hand, a balanced diet rich in fruits, vegetables, whole grains, and proteins slows aging and improves health.</w:t>
      </w:r>
    </w:p>
    <w:p w14:paraId="3BE78CA7" w14:textId="77777777" w:rsidR="00C276EF" w:rsidRPr="00C276EF" w:rsidRDefault="00C276EF" w:rsidP="00C276EF">
      <w:pPr>
        <w:rPr>
          <w:rFonts w:ascii="Arial" w:hAnsi="Arial" w:cs="Arial"/>
        </w:rPr>
      </w:pPr>
      <w:r w:rsidRPr="00C276EF">
        <w:rPr>
          <w:rFonts w:ascii="Arial" w:hAnsi="Arial" w:cs="Arial"/>
        </w:rPr>
        <w:t>Research studies on meditation and yoga show that these practices reduce stress, improve mental health, and improve sleep quality. Meditation also reduces inflammation and improves emotional well-being.</w:t>
      </w:r>
    </w:p>
    <w:p w14:paraId="3D0BA428" w14:textId="55F72761" w:rsidR="00C276EF" w:rsidRPr="00C276EF" w:rsidRDefault="00C276EF" w:rsidP="00C276EF">
      <w:pPr>
        <w:rPr>
          <w:rFonts w:ascii="Arial" w:hAnsi="Arial" w:cs="Arial"/>
        </w:rPr>
      </w:pPr>
      <w:r w:rsidRPr="00C276EF">
        <w:rPr>
          <w:rFonts w:ascii="Arial" w:hAnsi="Arial" w:cs="Arial"/>
        </w:rPr>
        <w:t xml:space="preserve">However, there is limited research on awareness regarding reverse aging and lifestyle </w:t>
      </w:r>
      <w:r w:rsidR="00BD01B7" w:rsidRPr="00C276EF">
        <w:rPr>
          <w:rFonts w:ascii="Arial" w:hAnsi="Arial" w:cs="Arial"/>
        </w:rPr>
        <w:t>behaviour</w:t>
      </w:r>
      <w:r w:rsidRPr="00C276EF">
        <w:rPr>
          <w:rFonts w:ascii="Arial" w:hAnsi="Arial" w:cs="Arial"/>
        </w:rPr>
        <w:t xml:space="preserve"> patterns in Indian adults. Therefore, this study attempts to </w:t>
      </w:r>
      <w:r w:rsidR="00BD01B7" w:rsidRPr="00C276EF">
        <w:rPr>
          <w:rFonts w:ascii="Arial" w:hAnsi="Arial" w:cs="Arial"/>
        </w:rPr>
        <w:t>analyse</w:t>
      </w:r>
      <w:r w:rsidRPr="00C276EF">
        <w:rPr>
          <w:rFonts w:ascii="Arial" w:hAnsi="Arial" w:cs="Arial"/>
        </w:rPr>
        <w:t xml:space="preserve"> lifestyle factors and awareness regarding reverse aging.</w:t>
      </w:r>
    </w:p>
    <w:p w14:paraId="1DD11A7B" w14:textId="77777777" w:rsidR="00C276EF" w:rsidRPr="00C276EF" w:rsidRDefault="00C276EF" w:rsidP="00C276EF">
      <w:pPr>
        <w:rPr>
          <w:rFonts w:ascii="Arial" w:hAnsi="Arial" w:cs="Arial"/>
          <w:b/>
          <w:bCs/>
        </w:rPr>
      </w:pPr>
      <w:r w:rsidRPr="00C276EF">
        <w:rPr>
          <w:rFonts w:ascii="Arial" w:hAnsi="Arial" w:cs="Arial"/>
          <w:b/>
          <w:bCs/>
        </w:rPr>
        <w:t>3. Objectives of the Study</w:t>
      </w:r>
    </w:p>
    <w:p w14:paraId="79F1A83D" w14:textId="77777777" w:rsidR="00C276EF" w:rsidRPr="00C276EF" w:rsidRDefault="00C276EF" w:rsidP="00C276EF">
      <w:pPr>
        <w:rPr>
          <w:rFonts w:ascii="Arial" w:hAnsi="Arial" w:cs="Arial"/>
        </w:rPr>
      </w:pPr>
      <w:r w:rsidRPr="00C276EF">
        <w:rPr>
          <w:rFonts w:ascii="Arial" w:hAnsi="Arial" w:cs="Arial"/>
        </w:rPr>
        <w:t>The main objectives of the study are:</w:t>
      </w:r>
    </w:p>
    <w:p w14:paraId="46D02EE9"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physical activity patterns among adults. </w:t>
      </w:r>
    </w:p>
    <w:p w14:paraId="3BA47923"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sleep patterns among adults. </w:t>
      </w:r>
    </w:p>
    <w:p w14:paraId="2FC7FB0C"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stress levels among adults. </w:t>
      </w:r>
    </w:p>
    <w:p w14:paraId="25F6D234"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dietary habits among adults. </w:t>
      </w:r>
    </w:p>
    <w:p w14:paraId="08EADC60" w14:textId="1819BE13"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w:t>
      </w:r>
      <w:r w:rsidR="00BD01B7" w:rsidRPr="00C276EF">
        <w:rPr>
          <w:rFonts w:ascii="Arial" w:hAnsi="Arial" w:cs="Arial"/>
        </w:rPr>
        <w:t>analyse</w:t>
      </w:r>
      <w:r w:rsidRPr="00C276EF">
        <w:rPr>
          <w:rFonts w:ascii="Arial" w:hAnsi="Arial" w:cs="Arial"/>
        </w:rPr>
        <w:t xml:space="preserve"> awareness about reverse aging. </w:t>
      </w:r>
    </w:p>
    <w:p w14:paraId="35150D4B"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willingness to adopt lifestyle changes. </w:t>
      </w:r>
    </w:p>
    <w:p w14:paraId="03ABB57D"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identify lifestyle risk factors associated with early biological aging. </w:t>
      </w:r>
    </w:p>
    <w:p w14:paraId="532054F6" w14:textId="77777777" w:rsidR="00C276EF" w:rsidRPr="00C276EF" w:rsidRDefault="00C276EF" w:rsidP="00C276EF">
      <w:pPr>
        <w:rPr>
          <w:rFonts w:ascii="Arial" w:hAnsi="Arial" w:cs="Arial"/>
          <w:b/>
          <w:bCs/>
        </w:rPr>
      </w:pPr>
      <w:r w:rsidRPr="00C276EF">
        <w:rPr>
          <w:rFonts w:ascii="Arial" w:hAnsi="Arial" w:cs="Arial"/>
          <w:b/>
          <w:bCs/>
        </w:rPr>
        <w:t>4. Research Methodology</w:t>
      </w:r>
    </w:p>
    <w:p w14:paraId="1A684433" w14:textId="77777777" w:rsidR="00C276EF" w:rsidRPr="00C276EF" w:rsidRDefault="00C276EF" w:rsidP="00C276EF">
      <w:pPr>
        <w:rPr>
          <w:rFonts w:ascii="Arial" w:hAnsi="Arial" w:cs="Arial"/>
          <w:b/>
          <w:bCs/>
        </w:rPr>
      </w:pPr>
      <w:r w:rsidRPr="00C276EF">
        <w:rPr>
          <w:rFonts w:ascii="Arial" w:hAnsi="Arial" w:cs="Arial"/>
          <w:b/>
          <w:bCs/>
        </w:rPr>
        <w:t>4.1 Research Design</w:t>
      </w:r>
    </w:p>
    <w:p w14:paraId="2D0D2268" w14:textId="77777777" w:rsidR="00C276EF" w:rsidRPr="00C276EF" w:rsidRDefault="00C276EF" w:rsidP="00C276EF">
      <w:pPr>
        <w:rPr>
          <w:rFonts w:ascii="Arial" w:hAnsi="Arial" w:cs="Arial"/>
        </w:rPr>
      </w:pPr>
      <w:r w:rsidRPr="00C276EF">
        <w:rPr>
          <w:rFonts w:ascii="Arial" w:hAnsi="Arial" w:cs="Arial"/>
        </w:rPr>
        <w:t>The present study is based on descriptive survey method. The descriptive method is used to collect information about current lifestyle habits and awareness regarding reverse aging.</w:t>
      </w:r>
    </w:p>
    <w:p w14:paraId="6BEDCD5D" w14:textId="77777777" w:rsidR="00C276EF" w:rsidRPr="00C276EF" w:rsidRDefault="00C276EF" w:rsidP="00C276EF">
      <w:pPr>
        <w:rPr>
          <w:rFonts w:ascii="Arial" w:hAnsi="Arial" w:cs="Arial"/>
          <w:b/>
          <w:bCs/>
        </w:rPr>
      </w:pPr>
      <w:r w:rsidRPr="00C276EF">
        <w:rPr>
          <w:rFonts w:ascii="Arial" w:hAnsi="Arial" w:cs="Arial"/>
          <w:b/>
          <w:bCs/>
        </w:rPr>
        <w:t>4.2 Sample Size</w:t>
      </w:r>
    </w:p>
    <w:p w14:paraId="1CEC63F8" w14:textId="77777777" w:rsidR="00C276EF" w:rsidRPr="00C276EF" w:rsidRDefault="00C276EF" w:rsidP="00C276EF">
      <w:pPr>
        <w:rPr>
          <w:rFonts w:ascii="Arial" w:hAnsi="Arial" w:cs="Arial"/>
        </w:rPr>
      </w:pPr>
      <w:r w:rsidRPr="00C276EF">
        <w:rPr>
          <w:rFonts w:ascii="Arial" w:hAnsi="Arial" w:cs="Arial"/>
        </w:rPr>
        <w:t>The study was conducted on 25 participants.</w:t>
      </w:r>
    </w:p>
    <w:p w14:paraId="0F6CEB85" w14:textId="77777777" w:rsidR="00C276EF" w:rsidRPr="00C276EF" w:rsidRDefault="00C276EF" w:rsidP="00C276EF">
      <w:pPr>
        <w:rPr>
          <w:rFonts w:ascii="Arial" w:hAnsi="Arial" w:cs="Arial"/>
          <w:b/>
          <w:bCs/>
        </w:rPr>
      </w:pPr>
      <w:r w:rsidRPr="00C276EF">
        <w:rPr>
          <w:rFonts w:ascii="Arial" w:hAnsi="Arial" w:cs="Arial"/>
          <w:b/>
          <w:bCs/>
        </w:rPr>
        <w:t>4.3 Sampling Method</w:t>
      </w:r>
    </w:p>
    <w:p w14:paraId="6093F69A" w14:textId="77777777" w:rsidR="00C276EF" w:rsidRPr="00C276EF" w:rsidRDefault="00C276EF" w:rsidP="00C276EF">
      <w:pPr>
        <w:rPr>
          <w:rFonts w:ascii="Arial" w:hAnsi="Arial" w:cs="Arial"/>
        </w:rPr>
      </w:pPr>
      <w:r w:rsidRPr="00C276EF">
        <w:rPr>
          <w:rFonts w:ascii="Arial" w:hAnsi="Arial" w:cs="Arial"/>
        </w:rPr>
        <w:t>Convenience sampling method was used for data collection.</w:t>
      </w:r>
    </w:p>
    <w:p w14:paraId="27684F02" w14:textId="77777777" w:rsidR="00C276EF" w:rsidRPr="00C276EF" w:rsidRDefault="00C276EF" w:rsidP="00C276EF">
      <w:pPr>
        <w:rPr>
          <w:rFonts w:ascii="Arial" w:hAnsi="Arial" w:cs="Arial"/>
          <w:b/>
          <w:bCs/>
        </w:rPr>
      </w:pPr>
      <w:r w:rsidRPr="00C276EF">
        <w:rPr>
          <w:rFonts w:ascii="Arial" w:hAnsi="Arial" w:cs="Arial"/>
          <w:b/>
          <w:bCs/>
        </w:rPr>
        <w:t>4.4 Data Collection Tool</w:t>
      </w:r>
    </w:p>
    <w:p w14:paraId="67ABCA21" w14:textId="77777777" w:rsidR="00C276EF" w:rsidRPr="00C276EF" w:rsidRDefault="00C276EF" w:rsidP="00C276EF">
      <w:pPr>
        <w:rPr>
          <w:rFonts w:ascii="Arial" w:hAnsi="Arial" w:cs="Arial"/>
        </w:rPr>
      </w:pPr>
      <w:r w:rsidRPr="00C276EF">
        <w:rPr>
          <w:rFonts w:ascii="Arial" w:hAnsi="Arial" w:cs="Arial"/>
        </w:rPr>
        <w:t>A structured questionnaire was used to collect data. The questionnaire included the following variables:</w:t>
      </w:r>
    </w:p>
    <w:p w14:paraId="44763BFD"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Physical activity </w:t>
      </w:r>
    </w:p>
    <w:p w14:paraId="06E83740"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Sleep duration </w:t>
      </w:r>
    </w:p>
    <w:p w14:paraId="159C39AA"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Stress level </w:t>
      </w:r>
    </w:p>
    <w:p w14:paraId="255CF711"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Junk food consumption </w:t>
      </w:r>
    </w:p>
    <w:p w14:paraId="7A7F0583"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Awareness about reverse aging </w:t>
      </w:r>
    </w:p>
    <w:p w14:paraId="76037796"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Willingness to change lifestyle </w:t>
      </w:r>
    </w:p>
    <w:p w14:paraId="7E0F9F36" w14:textId="77777777" w:rsidR="00C276EF" w:rsidRPr="00C276EF" w:rsidRDefault="00C276EF" w:rsidP="00C276EF">
      <w:pPr>
        <w:rPr>
          <w:rFonts w:ascii="Arial" w:hAnsi="Arial" w:cs="Arial"/>
          <w:b/>
          <w:bCs/>
        </w:rPr>
      </w:pPr>
      <w:r w:rsidRPr="00C276EF">
        <w:rPr>
          <w:rFonts w:ascii="Arial" w:hAnsi="Arial" w:cs="Arial"/>
          <w:b/>
          <w:bCs/>
        </w:rPr>
        <w:t>4.5 Data Analysis Method</w:t>
      </w:r>
    </w:p>
    <w:p w14:paraId="385BE636" w14:textId="6E44A210" w:rsidR="00C276EF" w:rsidRPr="00C276EF" w:rsidRDefault="00C276EF" w:rsidP="00C276EF">
      <w:pPr>
        <w:rPr>
          <w:rFonts w:ascii="Arial" w:hAnsi="Arial" w:cs="Arial"/>
        </w:rPr>
      </w:pPr>
      <w:r w:rsidRPr="00C276EF">
        <w:rPr>
          <w:rFonts w:ascii="Arial" w:hAnsi="Arial" w:cs="Arial"/>
        </w:rPr>
        <w:t xml:space="preserve">Data were </w:t>
      </w:r>
      <w:r w:rsidR="00BD01B7" w:rsidRPr="00C276EF">
        <w:rPr>
          <w:rFonts w:ascii="Arial" w:hAnsi="Arial" w:cs="Arial"/>
        </w:rPr>
        <w:t>analysed</w:t>
      </w:r>
      <w:r w:rsidRPr="00C276EF">
        <w:rPr>
          <w:rFonts w:ascii="Arial" w:hAnsi="Arial" w:cs="Arial"/>
        </w:rPr>
        <w:t xml:space="preserve"> using:</w:t>
      </w:r>
    </w:p>
    <w:p w14:paraId="389B6861"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Percentage analysis </w:t>
      </w:r>
    </w:p>
    <w:p w14:paraId="3D002502"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Tables </w:t>
      </w:r>
    </w:p>
    <w:p w14:paraId="49989A6A"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Graphical representation </w:t>
      </w:r>
    </w:p>
    <w:p w14:paraId="7E68A26E"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Interpretation method </w:t>
      </w:r>
    </w:p>
    <w:p w14:paraId="32686137" w14:textId="77777777" w:rsidR="00C276EF" w:rsidRPr="00C276EF" w:rsidRDefault="00C276EF" w:rsidP="00C276EF">
      <w:pPr>
        <w:rPr>
          <w:rFonts w:ascii="Arial" w:hAnsi="Arial" w:cs="Arial"/>
          <w:b/>
          <w:bCs/>
        </w:rPr>
      </w:pPr>
      <w:r w:rsidRPr="00C276EF">
        <w:rPr>
          <w:rFonts w:ascii="Arial" w:hAnsi="Arial" w:cs="Arial"/>
          <w:b/>
          <w:bCs/>
        </w:rPr>
        <w:lastRenderedPageBreak/>
        <w:t>5. Data Analysis and Interpretation</w:t>
      </w:r>
    </w:p>
    <w:p w14:paraId="69663AF8" w14:textId="77777777" w:rsidR="00C276EF" w:rsidRPr="00BD01B7" w:rsidRDefault="00C276EF" w:rsidP="00C276EF">
      <w:pPr>
        <w:rPr>
          <w:rFonts w:ascii="Arial" w:hAnsi="Arial" w:cs="Arial"/>
          <w:b/>
          <w:bCs/>
        </w:rPr>
      </w:pPr>
      <w:r w:rsidRPr="00C276EF">
        <w:rPr>
          <w:rFonts w:ascii="Arial" w:hAnsi="Arial" w:cs="Arial"/>
          <w:b/>
          <w:bCs/>
        </w:rPr>
        <w:t>5.1 Physical Activity</w:t>
      </w:r>
    </w:p>
    <w:p w14:paraId="662DF051" w14:textId="68C7F89A" w:rsidR="00C276EF" w:rsidRPr="00BD01B7" w:rsidRDefault="00C276EF" w:rsidP="00C4634C">
      <w:pPr>
        <w:jc w:val="center"/>
        <w:rPr>
          <w:rFonts w:ascii="Arial" w:hAnsi="Arial" w:cs="Arial"/>
          <w:b/>
          <w:bCs/>
        </w:rPr>
      </w:pPr>
      <w:r w:rsidRPr="00BD01B7">
        <w:rPr>
          <w:rFonts w:ascii="Arial" w:hAnsi="Arial" w:cs="Arial"/>
          <w:b/>
          <w:bCs/>
        </w:rPr>
        <w:t>Table: 1</w:t>
      </w:r>
    </w:p>
    <w:tbl>
      <w:tblPr>
        <w:tblStyle w:val="TableGrid"/>
        <w:tblW w:w="9015" w:type="dxa"/>
        <w:tblLook w:val="04A0" w:firstRow="1" w:lastRow="0" w:firstColumn="1" w:lastColumn="0" w:noHBand="0" w:noVBand="1"/>
      </w:tblPr>
      <w:tblGrid>
        <w:gridCol w:w="3005"/>
        <w:gridCol w:w="3005"/>
        <w:gridCol w:w="3005"/>
      </w:tblGrid>
      <w:tr w:rsidR="00C276EF" w:rsidRPr="00BD01B7" w14:paraId="020E38FE" w14:textId="77777777" w:rsidTr="00C276EF">
        <w:tc>
          <w:tcPr>
            <w:tcW w:w="3005" w:type="dxa"/>
            <w:vAlign w:val="center"/>
          </w:tcPr>
          <w:p w14:paraId="683319B4" w14:textId="7B55159A" w:rsidR="00C276EF" w:rsidRPr="00BD01B7" w:rsidRDefault="00C276EF" w:rsidP="00C276EF">
            <w:pPr>
              <w:rPr>
                <w:rFonts w:ascii="Arial" w:hAnsi="Arial" w:cs="Arial"/>
                <w:b/>
                <w:bCs/>
              </w:rPr>
            </w:pPr>
            <w:r w:rsidRPr="00C276EF">
              <w:rPr>
                <w:rFonts w:ascii="Arial" w:hAnsi="Arial" w:cs="Arial"/>
                <w:b/>
                <w:bCs/>
              </w:rPr>
              <w:t>Exercise Days per Week</w:t>
            </w:r>
          </w:p>
        </w:tc>
        <w:tc>
          <w:tcPr>
            <w:tcW w:w="3005" w:type="dxa"/>
            <w:vAlign w:val="center"/>
          </w:tcPr>
          <w:p w14:paraId="0B6DF652" w14:textId="0A2AC197" w:rsidR="00C276EF" w:rsidRPr="00BD01B7" w:rsidRDefault="00C276EF" w:rsidP="00C276EF">
            <w:pPr>
              <w:rPr>
                <w:rFonts w:ascii="Arial" w:hAnsi="Arial" w:cs="Arial"/>
                <w:b/>
                <w:bCs/>
              </w:rPr>
            </w:pPr>
            <w:r w:rsidRPr="00C276EF">
              <w:rPr>
                <w:rFonts w:ascii="Arial" w:hAnsi="Arial" w:cs="Arial"/>
                <w:b/>
                <w:bCs/>
              </w:rPr>
              <w:t>Participants</w:t>
            </w:r>
          </w:p>
        </w:tc>
        <w:tc>
          <w:tcPr>
            <w:tcW w:w="3005" w:type="dxa"/>
            <w:vAlign w:val="center"/>
          </w:tcPr>
          <w:p w14:paraId="148F58CC" w14:textId="25516F16" w:rsidR="00C276EF" w:rsidRPr="00BD01B7" w:rsidRDefault="00C276EF" w:rsidP="00C276EF">
            <w:pPr>
              <w:rPr>
                <w:rFonts w:ascii="Arial" w:hAnsi="Arial" w:cs="Arial"/>
                <w:b/>
                <w:bCs/>
              </w:rPr>
            </w:pPr>
            <w:r w:rsidRPr="00C276EF">
              <w:rPr>
                <w:rFonts w:ascii="Arial" w:hAnsi="Arial" w:cs="Arial"/>
                <w:b/>
                <w:bCs/>
              </w:rPr>
              <w:t>Percentage</w:t>
            </w:r>
          </w:p>
        </w:tc>
      </w:tr>
      <w:tr w:rsidR="00C276EF" w:rsidRPr="00BD01B7" w14:paraId="4686761D" w14:textId="77777777" w:rsidTr="00C276EF">
        <w:tc>
          <w:tcPr>
            <w:tcW w:w="3005" w:type="dxa"/>
            <w:vAlign w:val="center"/>
          </w:tcPr>
          <w:p w14:paraId="056CC2E0" w14:textId="401F5F6E" w:rsidR="00C276EF" w:rsidRPr="00BD01B7" w:rsidRDefault="00C276EF" w:rsidP="00C276EF">
            <w:pPr>
              <w:rPr>
                <w:rFonts w:ascii="Arial" w:hAnsi="Arial" w:cs="Arial"/>
                <w:b/>
                <w:bCs/>
              </w:rPr>
            </w:pPr>
            <w:r w:rsidRPr="00C276EF">
              <w:rPr>
                <w:rFonts w:ascii="Arial" w:hAnsi="Arial" w:cs="Arial"/>
              </w:rPr>
              <w:t xml:space="preserve">0–1 </w:t>
            </w:r>
            <w:proofErr w:type="gramStart"/>
            <w:r w:rsidRPr="00C276EF">
              <w:rPr>
                <w:rFonts w:ascii="Arial" w:hAnsi="Arial" w:cs="Arial"/>
              </w:rPr>
              <w:t>days</w:t>
            </w:r>
            <w:proofErr w:type="gramEnd"/>
          </w:p>
        </w:tc>
        <w:tc>
          <w:tcPr>
            <w:tcW w:w="3005" w:type="dxa"/>
            <w:vAlign w:val="center"/>
          </w:tcPr>
          <w:p w14:paraId="387CCD3D" w14:textId="0E9CE0E5" w:rsidR="00C276EF" w:rsidRPr="00BD01B7" w:rsidRDefault="00C276EF" w:rsidP="00C276EF">
            <w:pPr>
              <w:rPr>
                <w:rFonts w:ascii="Arial" w:hAnsi="Arial" w:cs="Arial"/>
                <w:b/>
                <w:bCs/>
              </w:rPr>
            </w:pPr>
            <w:r w:rsidRPr="00C276EF">
              <w:rPr>
                <w:rFonts w:ascii="Arial" w:hAnsi="Arial" w:cs="Arial"/>
              </w:rPr>
              <w:t>8</w:t>
            </w:r>
          </w:p>
        </w:tc>
        <w:tc>
          <w:tcPr>
            <w:tcW w:w="3005" w:type="dxa"/>
            <w:vAlign w:val="center"/>
          </w:tcPr>
          <w:p w14:paraId="26DA6A0A" w14:textId="336C742E" w:rsidR="00C276EF" w:rsidRPr="00BD01B7" w:rsidRDefault="00C276EF" w:rsidP="00C276EF">
            <w:pPr>
              <w:rPr>
                <w:rFonts w:ascii="Arial" w:hAnsi="Arial" w:cs="Arial"/>
                <w:b/>
                <w:bCs/>
              </w:rPr>
            </w:pPr>
            <w:r w:rsidRPr="00C276EF">
              <w:rPr>
                <w:rFonts w:ascii="Arial" w:hAnsi="Arial" w:cs="Arial"/>
              </w:rPr>
              <w:t>32%</w:t>
            </w:r>
          </w:p>
        </w:tc>
      </w:tr>
      <w:tr w:rsidR="00C276EF" w:rsidRPr="00BD01B7" w14:paraId="467765CA" w14:textId="77777777" w:rsidTr="00C276EF">
        <w:tc>
          <w:tcPr>
            <w:tcW w:w="3005" w:type="dxa"/>
            <w:vAlign w:val="center"/>
          </w:tcPr>
          <w:p w14:paraId="64A16CCA" w14:textId="62B1CB05" w:rsidR="00C276EF" w:rsidRPr="00BD01B7" w:rsidRDefault="00C276EF" w:rsidP="00C276EF">
            <w:pPr>
              <w:rPr>
                <w:rFonts w:ascii="Arial" w:hAnsi="Arial" w:cs="Arial"/>
                <w:b/>
                <w:bCs/>
              </w:rPr>
            </w:pPr>
            <w:r w:rsidRPr="00C276EF">
              <w:rPr>
                <w:rFonts w:ascii="Arial" w:hAnsi="Arial" w:cs="Arial"/>
              </w:rPr>
              <w:t>2–3 days</w:t>
            </w:r>
          </w:p>
        </w:tc>
        <w:tc>
          <w:tcPr>
            <w:tcW w:w="3005" w:type="dxa"/>
            <w:vAlign w:val="center"/>
          </w:tcPr>
          <w:p w14:paraId="1FD75B86" w14:textId="59C67580" w:rsidR="00C276EF" w:rsidRPr="00BD01B7" w:rsidRDefault="00C276EF" w:rsidP="00C276EF">
            <w:pPr>
              <w:rPr>
                <w:rFonts w:ascii="Arial" w:hAnsi="Arial" w:cs="Arial"/>
                <w:b/>
                <w:bCs/>
              </w:rPr>
            </w:pPr>
            <w:r w:rsidRPr="00C276EF">
              <w:rPr>
                <w:rFonts w:ascii="Arial" w:hAnsi="Arial" w:cs="Arial"/>
              </w:rPr>
              <w:t>8</w:t>
            </w:r>
          </w:p>
        </w:tc>
        <w:tc>
          <w:tcPr>
            <w:tcW w:w="3005" w:type="dxa"/>
            <w:vAlign w:val="center"/>
          </w:tcPr>
          <w:p w14:paraId="23DEEADD" w14:textId="2D96A4EA" w:rsidR="00C276EF" w:rsidRPr="00BD01B7" w:rsidRDefault="00C276EF" w:rsidP="00C276EF">
            <w:pPr>
              <w:rPr>
                <w:rFonts w:ascii="Arial" w:hAnsi="Arial" w:cs="Arial"/>
                <w:b/>
                <w:bCs/>
              </w:rPr>
            </w:pPr>
            <w:r w:rsidRPr="00C276EF">
              <w:rPr>
                <w:rFonts w:ascii="Arial" w:hAnsi="Arial" w:cs="Arial"/>
              </w:rPr>
              <w:t>32%</w:t>
            </w:r>
          </w:p>
        </w:tc>
      </w:tr>
      <w:tr w:rsidR="00C276EF" w:rsidRPr="00BD01B7" w14:paraId="4A8AB700" w14:textId="77777777" w:rsidTr="00C276EF">
        <w:tc>
          <w:tcPr>
            <w:tcW w:w="3005" w:type="dxa"/>
            <w:vAlign w:val="center"/>
          </w:tcPr>
          <w:p w14:paraId="1DD2CC87" w14:textId="074170B0" w:rsidR="00C276EF" w:rsidRPr="00BD01B7" w:rsidRDefault="00C276EF" w:rsidP="00C276EF">
            <w:pPr>
              <w:rPr>
                <w:rFonts w:ascii="Arial" w:hAnsi="Arial" w:cs="Arial"/>
                <w:b/>
                <w:bCs/>
              </w:rPr>
            </w:pPr>
            <w:r w:rsidRPr="00C276EF">
              <w:rPr>
                <w:rFonts w:ascii="Arial" w:hAnsi="Arial" w:cs="Arial"/>
              </w:rPr>
              <w:t>4–5 days</w:t>
            </w:r>
          </w:p>
        </w:tc>
        <w:tc>
          <w:tcPr>
            <w:tcW w:w="3005" w:type="dxa"/>
            <w:vAlign w:val="center"/>
          </w:tcPr>
          <w:p w14:paraId="3AFD14B6" w14:textId="748CD4F2" w:rsidR="00C276EF" w:rsidRPr="00BD01B7" w:rsidRDefault="00C276EF" w:rsidP="00C276EF">
            <w:pPr>
              <w:rPr>
                <w:rFonts w:ascii="Arial" w:hAnsi="Arial" w:cs="Arial"/>
                <w:b/>
                <w:bCs/>
              </w:rPr>
            </w:pPr>
            <w:r w:rsidRPr="00C276EF">
              <w:rPr>
                <w:rFonts w:ascii="Arial" w:hAnsi="Arial" w:cs="Arial"/>
              </w:rPr>
              <w:t>5</w:t>
            </w:r>
          </w:p>
        </w:tc>
        <w:tc>
          <w:tcPr>
            <w:tcW w:w="3005" w:type="dxa"/>
            <w:vAlign w:val="center"/>
          </w:tcPr>
          <w:p w14:paraId="1A105067" w14:textId="59D22CEB" w:rsidR="00C276EF" w:rsidRPr="00BD01B7" w:rsidRDefault="00C276EF" w:rsidP="00C276EF">
            <w:pPr>
              <w:rPr>
                <w:rFonts w:ascii="Arial" w:hAnsi="Arial" w:cs="Arial"/>
                <w:b/>
                <w:bCs/>
              </w:rPr>
            </w:pPr>
            <w:r w:rsidRPr="00C276EF">
              <w:rPr>
                <w:rFonts w:ascii="Arial" w:hAnsi="Arial" w:cs="Arial"/>
              </w:rPr>
              <w:t>20%</w:t>
            </w:r>
          </w:p>
        </w:tc>
      </w:tr>
      <w:tr w:rsidR="00C276EF" w:rsidRPr="00BD01B7" w14:paraId="75CF7A8B" w14:textId="77777777" w:rsidTr="00C276EF">
        <w:tc>
          <w:tcPr>
            <w:tcW w:w="3005" w:type="dxa"/>
            <w:vAlign w:val="center"/>
          </w:tcPr>
          <w:p w14:paraId="557FF3C6" w14:textId="6F120783" w:rsidR="00C276EF" w:rsidRPr="00BD01B7" w:rsidRDefault="00C276EF" w:rsidP="00C276EF">
            <w:pPr>
              <w:rPr>
                <w:rFonts w:ascii="Arial" w:hAnsi="Arial" w:cs="Arial"/>
                <w:b/>
                <w:bCs/>
              </w:rPr>
            </w:pPr>
            <w:r w:rsidRPr="00C276EF">
              <w:rPr>
                <w:rFonts w:ascii="Arial" w:hAnsi="Arial" w:cs="Arial"/>
              </w:rPr>
              <w:t>6–7 days</w:t>
            </w:r>
          </w:p>
        </w:tc>
        <w:tc>
          <w:tcPr>
            <w:tcW w:w="3005" w:type="dxa"/>
            <w:vAlign w:val="center"/>
          </w:tcPr>
          <w:p w14:paraId="28B7D277" w14:textId="21B72C1F" w:rsidR="00C276EF" w:rsidRPr="00BD01B7" w:rsidRDefault="00C276EF" w:rsidP="00C276EF">
            <w:pPr>
              <w:rPr>
                <w:rFonts w:ascii="Arial" w:hAnsi="Arial" w:cs="Arial"/>
                <w:b/>
                <w:bCs/>
              </w:rPr>
            </w:pPr>
            <w:r w:rsidRPr="00C276EF">
              <w:rPr>
                <w:rFonts w:ascii="Arial" w:hAnsi="Arial" w:cs="Arial"/>
              </w:rPr>
              <w:t>4</w:t>
            </w:r>
          </w:p>
        </w:tc>
        <w:tc>
          <w:tcPr>
            <w:tcW w:w="3005" w:type="dxa"/>
            <w:vAlign w:val="center"/>
          </w:tcPr>
          <w:p w14:paraId="2F11E969" w14:textId="0B245ABC" w:rsidR="00C276EF" w:rsidRPr="00BD01B7" w:rsidRDefault="00C276EF" w:rsidP="00C276EF">
            <w:pPr>
              <w:rPr>
                <w:rFonts w:ascii="Arial" w:hAnsi="Arial" w:cs="Arial"/>
                <w:b/>
                <w:bCs/>
              </w:rPr>
            </w:pPr>
            <w:r w:rsidRPr="00C276EF">
              <w:rPr>
                <w:rFonts w:ascii="Arial" w:hAnsi="Arial" w:cs="Arial"/>
              </w:rPr>
              <w:t>16%</w:t>
            </w:r>
          </w:p>
        </w:tc>
      </w:tr>
      <w:tr w:rsidR="00C276EF" w:rsidRPr="00BD01B7" w14:paraId="46981E8B" w14:textId="77777777" w:rsidTr="00C276EF">
        <w:tc>
          <w:tcPr>
            <w:tcW w:w="3005" w:type="dxa"/>
            <w:vAlign w:val="center"/>
          </w:tcPr>
          <w:p w14:paraId="36C4F2DC" w14:textId="0CB99DFD" w:rsidR="00C276EF" w:rsidRPr="00BD01B7" w:rsidRDefault="00C276EF" w:rsidP="00C276EF">
            <w:pPr>
              <w:rPr>
                <w:rFonts w:ascii="Arial" w:hAnsi="Arial" w:cs="Arial"/>
                <w:b/>
                <w:bCs/>
              </w:rPr>
            </w:pPr>
            <w:r w:rsidRPr="00C276EF">
              <w:rPr>
                <w:rFonts w:ascii="Arial" w:hAnsi="Arial" w:cs="Arial"/>
              </w:rPr>
              <w:t>Total</w:t>
            </w:r>
          </w:p>
        </w:tc>
        <w:tc>
          <w:tcPr>
            <w:tcW w:w="3005" w:type="dxa"/>
            <w:vAlign w:val="center"/>
          </w:tcPr>
          <w:p w14:paraId="3CA5AE93" w14:textId="47EEB585" w:rsidR="00C276EF" w:rsidRPr="00BD01B7" w:rsidRDefault="00C276EF" w:rsidP="00C276EF">
            <w:pPr>
              <w:rPr>
                <w:rFonts w:ascii="Arial" w:hAnsi="Arial" w:cs="Arial"/>
                <w:b/>
                <w:bCs/>
              </w:rPr>
            </w:pPr>
            <w:r w:rsidRPr="00C276EF">
              <w:rPr>
                <w:rFonts w:ascii="Arial" w:hAnsi="Arial" w:cs="Arial"/>
              </w:rPr>
              <w:t>25</w:t>
            </w:r>
          </w:p>
        </w:tc>
        <w:tc>
          <w:tcPr>
            <w:tcW w:w="3005" w:type="dxa"/>
            <w:vAlign w:val="center"/>
          </w:tcPr>
          <w:p w14:paraId="3B271046" w14:textId="2BB69B84" w:rsidR="00C276EF" w:rsidRPr="00BD01B7" w:rsidRDefault="00C276EF" w:rsidP="00C276EF">
            <w:pPr>
              <w:rPr>
                <w:rFonts w:ascii="Arial" w:hAnsi="Arial" w:cs="Arial"/>
                <w:b/>
                <w:bCs/>
              </w:rPr>
            </w:pPr>
            <w:r w:rsidRPr="00C276EF">
              <w:rPr>
                <w:rFonts w:ascii="Arial" w:hAnsi="Arial" w:cs="Arial"/>
              </w:rPr>
              <w:t>100%</w:t>
            </w:r>
          </w:p>
        </w:tc>
      </w:tr>
    </w:tbl>
    <w:p w14:paraId="40EC3753" w14:textId="77777777" w:rsidR="00C276EF" w:rsidRPr="00BD01B7" w:rsidRDefault="00C276EF" w:rsidP="00C276EF">
      <w:pPr>
        <w:rPr>
          <w:rFonts w:ascii="Arial" w:hAnsi="Arial" w:cs="Arial"/>
        </w:rPr>
      </w:pPr>
      <w:r w:rsidRPr="00C276EF">
        <w:rPr>
          <w:rFonts w:ascii="Arial" w:hAnsi="Arial" w:cs="Arial"/>
          <w:b/>
          <w:bCs/>
        </w:rPr>
        <w:t>Interpretation:</w:t>
      </w:r>
      <w:r w:rsidRPr="00C276EF">
        <w:rPr>
          <w:rFonts w:ascii="Arial" w:hAnsi="Arial" w:cs="Arial"/>
        </w:rPr>
        <w:br/>
        <w:t>The data shows that 64% of participants exercise less than three days per week, indicating low physical activity. Only 36% participants engage in regular physical activity. Low physical activity is a major risk factor for obesity, diabetes, and early biological aging.</w:t>
      </w:r>
    </w:p>
    <w:p w14:paraId="3FFD8DF6" w14:textId="77777777" w:rsidR="00C276EF" w:rsidRPr="00C276EF" w:rsidRDefault="00C276EF" w:rsidP="00C276EF">
      <w:pPr>
        <w:rPr>
          <w:rFonts w:ascii="Arial" w:hAnsi="Arial" w:cs="Arial"/>
        </w:rPr>
      </w:pPr>
    </w:p>
    <w:p w14:paraId="1DAEDA67" w14:textId="77777777" w:rsidR="00C276EF" w:rsidRPr="00BD01B7" w:rsidRDefault="00C276EF" w:rsidP="00C276EF">
      <w:pPr>
        <w:rPr>
          <w:rFonts w:ascii="Arial" w:hAnsi="Arial" w:cs="Arial"/>
          <w:b/>
          <w:bCs/>
        </w:rPr>
      </w:pPr>
      <w:r w:rsidRPr="00C276EF">
        <w:rPr>
          <w:rFonts w:ascii="Arial" w:hAnsi="Arial" w:cs="Arial"/>
          <w:b/>
          <w:bCs/>
        </w:rPr>
        <w:t>5.2 Sleep Duration</w:t>
      </w:r>
    </w:p>
    <w:p w14:paraId="75EF47A0" w14:textId="7C35F10A" w:rsidR="00C276EF" w:rsidRPr="00BD01B7" w:rsidRDefault="00C276EF" w:rsidP="00C4634C">
      <w:pPr>
        <w:jc w:val="center"/>
        <w:rPr>
          <w:rFonts w:ascii="Arial" w:hAnsi="Arial" w:cs="Arial"/>
          <w:b/>
          <w:bCs/>
        </w:rPr>
      </w:pPr>
      <w:r w:rsidRPr="00BD01B7">
        <w:rPr>
          <w:rFonts w:ascii="Arial" w:hAnsi="Arial" w:cs="Arial"/>
          <w:b/>
          <w:bCs/>
        </w:rPr>
        <w:t>Table:2</w:t>
      </w:r>
    </w:p>
    <w:tbl>
      <w:tblPr>
        <w:tblStyle w:val="TableGrid"/>
        <w:tblW w:w="9015" w:type="dxa"/>
        <w:tblLook w:val="04A0" w:firstRow="1" w:lastRow="0" w:firstColumn="1" w:lastColumn="0" w:noHBand="0" w:noVBand="1"/>
      </w:tblPr>
      <w:tblGrid>
        <w:gridCol w:w="3005"/>
        <w:gridCol w:w="3005"/>
        <w:gridCol w:w="3005"/>
      </w:tblGrid>
      <w:tr w:rsidR="00C276EF" w:rsidRPr="00BD01B7" w14:paraId="5F41C06A" w14:textId="77777777" w:rsidTr="00C276EF">
        <w:tc>
          <w:tcPr>
            <w:tcW w:w="3005" w:type="dxa"/>
            <w:vAlign w:val="center"/>
          </w:tcPr>
          <w:p w14:paraId="0E745092" w14:textId="2E358248" w:rsidR="00C276EF" w:rsidRPr="00BD01B7" w:rsidRDefault="00C276EF" w:rsidP="00C276EF">
            <w:pPr>
              <w:rPr>
                <w:rFonts w:ascii="Arial" w:hAnsi="Arial" w:cs="Arial"/>
                <w:b/>
                <w:bCs/>
              </w:rPr>
            </w:pPr>
            <w:r w:rsidRPr="00C276EF">
              <w:rPr>
                <w:rFonts w:ascii="Arial" w:hAnsi="Arial" w:cs="Arial"/>
                <w:b/>
                <w:bCs/>
              </w:rPr>
              <w:t>Sleep Duration</w:t>
            </w:r>
          </w:p>
        </w:tc>
        <w:tc>
          <w:tcPr>
            <w:tcW w:w="3005" w:type="dxa"/>
            <w:vAlign w:val="center"/>
          </w:tcPr>
          <w:p w14:paraId="1F43ACFC" w14:textId="55D3DFF1" w:rsidR="00C276EF" w:rsidRPr="00BD01B7" w:rsidRDefault="00C276EF" w:rsidP="00C276EF">
            <w:pPr>
              <w:rPr>
                <w:rFonts w:ascii="Arial" w:hAnsi="Arial" w:cs="Arial"/>
                <w:b/>
                <w:bCs/>
              </w:rPr>
            </w:pPr>
            <w:r w:rsidRPr="00C276EF">
              <w:rPr>
                <w:rFonts w:ascii="Arial" w:hAnsi="Arial" w:cs="Arial"/>
                <w:b/>
                <w:bCs/>
              </w:rPr>
              <w:t>Participants</w:t>
            </w:r>
          </w:p>
        </w:tc>
        <w:tc>
          <w:tcPr>
            <w:tcW w:w="3005" w:type="dxa"/>
            <w:vAlign w:val="center"/>
          </w:tcPr>
          <w:p w14:paraId="024FFF04" w14:textId="3C430DF2" w:rsidR="00C276EF" w:rsidRPr="00BD01B7" w:rsidRDefault="00C276EF" w:rsidP="00C276EF">
            <w:pPr>
              <w:rPr>
                <w:rFonts w:ascii="Arial" w:hAnsi="Arial" w:cs="Arial"/>
                <w:b/>
                <w:bCs/>
              </w:rPr>
            </w:pPr>
            <w:r w:rsidRPr="00C276EF">
              <w:rPr>
                <w:rFonts w:ascii="Arial" w:hAnsi="Arial" w:cs="Arial"/>
                <w:b/>
                <w:bCs/>
              </w:rPr>
              <w:t>Percentage</w:t>
            </w:r>
          </w:p>
        </w:tc>
      </w:tr>
      <w:tr w:rsidR="00C276EF" w:rsidRPr="00BD01B7" w14:paraId="684F977E" w14:textId="77777777" w:rsidTr="00C276EF">
        <w:tc>
          <w:tcPr>
            <w:tcW w:w="3005" w:type="dxa"/>
            <w:vAlign w:val="center"/>
          </w:tcPr>
          <w:p w14:paraId="0881F919" w14:textId="737ADE3E" w:rsidR="00C276EF" w:rsidRPr="00BD01B7" w:rsidRDefault="00C276EF" w:rsidP="00C276EF">
            <w:pPr>
              <w:rPr>
                <w:rFonts w:ascii="Arial" w:hAnsi="Arial" w:cs="Arial"/>
                <w:b/>
                <w:bCs/>
              </w:rPr>
            </w:pPr>
            <w:r w:rsidRPr="00C276EF">
              <w:rPr>
                <w:rFonts w:ascii="Arial" w:hAnsi="Arial" w:cs="Arial"/>
              </w:rPr>
              <w:t>5–6 hours</w:t>
            </w:r>
          </w:p>
        </w:tc>
        <w:tc>
          <w:tcPr>
            <w:tcW w:w="3005" w:type="dxa"/>
            <w:vAlign w:val="center"/>
          </w:tcPr>
          <w:p w14:paraId="7D3DE229" w14:textId="4BACEEDA" w:rsidR="00C276EF" w:rsidRPr="00BD01B7" w:rsidRDefault="00C276EF" w:rsidP="00C276EF">
            <w:pPr>
              <w:rPr>
                <w:rFonts w:ascii="Arial" w:hAnsi="Arial" w:cs="Arial"/>
                <w:b/>
                <w:bCs/>
              </w:rPr>
            </w:pPr>
            <w:r w:rsidRPr="00C276EF">
              <w:rPr>
                <w:rFonts w:ascii="Arial" w:hAnsi="Arial" w:cs="Arial"/>
              </w:rPr>
              <w:t>8</w:t>
            </w:r>
          </w:p>
        </w:tc>
        <w:tc>
          <w:tcPr>
            <w:tcW w:w="3005" w:type="dxa"/>
            <w:vAlign w:val="center"/>
          </w:tcPr>
          <w:p w14:paraId="4A1A33EF" w14:textId="445404A0" w:rsidR="00C276EF" w:rsidRPr="00BD01B7" w:rsidRDefault="00C276EF" w:rsidP="00C276EF">
            <w:pPr>
              <w:rPr>
                <w:rFonts w:ascii="Arial" w:hAnsi="Arial" w:cs="Arial"/>
                <w:b/>
                <w:bCs/>
              </w:rPr>
            </w:pPr>
            <w:r w:rsidRPr="00C276EF">
              <w:rPr>
                <w:rFonts w:ascii="Arial" w:hAnsi="Arial" w:cs="Arial"/>
              </w:rPr>
              <w:t>32%</w:t>
            </w:r>
          </w:p>
        </w:tc>
      </w:tr>
      <w:tr w:rsidR="00C276EF" w:rsidRPr="00BD01B7" w14:paraId="74748F1A" w14:textId="77777777" w:rsidTr="00C276EF">
        <w:tc>
          <w:tcPr>
            <w:tcW w:w="3005" w:type="dxa"/>
            <w:vAlign w:val="center"/>
          </w:tcPr>
          <w:p w14:paraId="46B6AA89" w14:textId="66424963" w:rsidR="00C276EF" w:rsidRPr="00BD01B7" w:rsidRDefault="00C276EF" w:rsidP="00C276EF">
            <w:pPr>
              <w:rPr>
                <w:rFonts w:ascii="Arial" w:hAnsi="Arial" w:cs="Arial"/>
                <w:b/>
                <w:bCs/>
              </w:rPr>
            </w:pPr>
            <w:r w:rsidRPr="00C276EF">
              <w:rPr>
                <w:rFonts w:ascii="Arial" w:hAnsi="Arial" w:cs="Arial"/>
              </w:rPr>
              <w:t>7–8 hours</w:t>
            </w:r>
          </w:p>
        </w:tc>
        <w:tc>
          <w:tcPr>
            <w:tcW w:w="3005" w:type="dxa"/>
            <w:vAlign w:val="center"/>
          </w:tcPr>
          <w:p w14:paraId="68B924A8" w14:textId="18063DF3" w:rsidR="00C276EF" w:rsidRPr="00BD01B7" w:rsidRDefault="00C276EF" w:rsidP="00C276EF">
            <w:pPr>
              <w:rPr>
                <w:rFonts w:ascii="Arial" w:hAnsi="Arial" w:cs="Arial"/>
                <w:b/>
                <w:bCs/>
              </w:rPr>
            </w:pPr>
            <w:r w:rsidRPr="00C276EF">
              <w:rPr>
                <w:rFonts w:ascii="Arial" w:hAnsi="Arial" w:cs="Arial"/>
              </w:rPr>
              <w:t>14</w:t>
            </w:r>
          </w:p>
        </w:tc>
        <w:tc>
          <w:tcPr>
            <w:tcW w:w="3005" w:type="dxa"/>
            <w:vAlign w:val="center"/>
          </w:tcPr>
          <w:p w14:paraId="21C02789" w14:textId="428344BB" w:rsidR="00C276EF" w:rsidRPr="00BD01B7" w:rsidRDefault="00C276EF" w:rsidP="00C276EF">
            <w:pPr>
              <w:rPr>
                <w:rFonts w:ascii="Arial" w:hAnsi="Arial" w:cs="Arial"/>
                <w:b/>
                <w:bCs/>
              </w:rPr>
            </w:pPr>
            <w:r w:rsidRPr="00C276EF">
              <w:rPr>
                <w:rFonts w:ascii="Arial" w:hAnsi="Arial" w:cs="Arial"/>
              </w:rPr>
              <w:t>56%</w:t>
            </w:r>
          </w:p>
        </w:tc>
      </w:tr>
      <w:tr w:rsidR="00C276EF" w:rsidRPr="00BD01B7" w14:paraId="4C396D3D" w14:textId="77777777" w:rsidTr="00C276EF">
        <w:tc>
          <w:tcPr>
            <w:tcW w:w="3005" w:type="dxa"/>
            <w:vAlign w:val="center"/>
          </w:tcPr>
          <w:p w14:paraId="5D5D307C" w14:textId="40F08F47" w:rsidR="00C276EF" w:rsidRPr="00BD01B7" w:rsidRDefault="00C276EF" w:rsidP="00C276EF">
            <w:pPr>
              <w:rPr>
                <w:rFonts w:ascii="Arial" w:hAnsi="Arial" w:cs="Arial"/>
                <w:b/>
                <w:bCs/>
              </w:rPr>
            </w:pPr>
            <w:r w:rsidRPr="00C276EF">
              <w:rPr>
                <w:rFonts w:ascii="Arial" w:hAnsi="Arial" w:cs="Arial"/>
              </w:rPr>
              <w:t>More than 8 hours</w:t>
            </w:r>
          </w:p>
        </w:tc>
        <w:tc>
          <w:tcPr>
            <w:tcW w:w="3005" w:type="dxa"/>
            <w:vAlign w:val="center"/>
          </w:tcPr>
          <w:p w14:paraId="5B19EC39" w14:textId="67B56C5C" w:rsidR="00C276EF" w:rsidRPr="00BD01B7" w:rsidRDefault="00C276EF" w:rsidP="00C276EF">
            <w:pPr>
              <w:rPr>
                <w:rFonts w:ascii="Arial" w:hAnsi="Arial" w:cs="Arial"/>
                <w:b/>
                <w:bCs/>
              </w:rPr>
            </w:pPr>
            <w:r w:rsidRPr="00C276EF">
              <w:rPr>
                <w:rFonts w:ascii="Arial" w:hAnsi="Arial" w:cs="Arial"/>
              </w:rPr>
              <w:t>3</w:t>
            </w:r>
          </w:p>
        </w:tc>
        <w:tc>
          <w:tcPr>
            <w:tcW w:w="3005" w:type="dxa"/>
            <w:vAlign w:val="center"/>
          </w:tcPr>
          <w:p w14:paraId="0C88251F" w14:textId="360AEFE5" w:rsidR="00C276EF" w:rsidRPr="00BD01B7" w:rsidRDefault="00C276EF" w:rsidP="00C276EF">
            <w:pPr>
              <w:rPr>
                <w:rFonts w:ascii="Arial" w:hAnsi="Arial" w:cs="Arial"/>
                <w:b/>
                <w:bCs/>
              </w:rPr>
            </w:pPr>
            <w:r w:rsidRPr="00C276EF">
              <w:rPr>
                <w:rFonts w:ascii="Arial" w:hAnsi="Arial" w:cs="Arial"/>
              </w:rPr>
              <w:t>12%</w:t>
            </w:r>
          </w:p>
        </w:tc>
      </w:tr>
      <w:tr w:rsidR="00C276EF" w:rsidRPr="00BD01B7" w14:paraId="13394A24" w14:textId="77777777" w:rsidTr="00C276EF">
        <w:tc>
          <w:tcPr>
            <w:tcW w:w="3005" w:type="dxa"/>
            <w:vAlign w:val="center"/>
          </w:tcPr>
          <w:p w14:paraId="77F8B220" w14:textId="5CA2024D" w:rsidR="00C276EF" w:rsidRPr="00BD01B7" w:rsidRDefault="00C276EF" w:rsidP="00C276EF">
            <w:pPr>
              <w:rPr>
                <w:rFonts w:ascii="Arial" w:hAnsi="Arial" w:cs="Arial"/>
                <w:b/>
                <w:bCs/>
              </w:rPr>
            </w:pPr>
            <w:r w:rsidRPr="00C276EF">
              <w:rPr>
                <w:rFonts w:ascii="Arial" w:hAnsi="Arial" w:cs="Arial"/>
              </w:rPr>
              <w:t>Total</w:t>
            </w:r>
          </w:p>
        </w:tc>
        <w:tc>
          <w:tcPr>
            <w:tcW w:w="3005" w:type="dxa"/>
            <w:vAlign w:val="center"/>
          </w:tcPr>
          <w:p w14:paraId="1AD65AB5" w14:textId="4E3F2335" w:rsidR="00C276EF" w:rsidRPr="00BD01B7" w:rsidRDefault="00C276EF" w:rsidP="00C276EF">
            <w:pPr>
              <w:rPr>
                <w:rFonts w:ascii="Arial" w:hAnsi="Arial" w:cs="Arial"/>
                <w:b/>
                <w:bCs/>
              </w:rPr>
            </w:pPr>
            <w:r w:rsidRPr="00C276EF">
              <w:rPr>
                <w:rFonts w:ascii="Arial" w:hAnsi="Arial" w:cs="Arial"/>
              </w:rPr>
              <w:t>25</w:t>
            </w:r>
          </w:p>
        </w:tc>
        <w:tc>
          <w:tcPr>
            <w:tcW w:w="3005" w:type="dxa"/>
            <w:vAlign w:val="center"/>
          </w:tcPr>
          <w:p w14:paraId="2C628694" w14:textId="67367CEC" w:rsidR="00C276EF" w:rsidRPr="00BD01B7" w:rsidRDefault="00C276EF" w:rsidP="00C276EF">
            <w:pPr>
              <w:rPr>
                <w:rFonts w:ascii="Arial" w:hAnsi="Arial" w:cs="Arial"/>
                <w:b/>
                <w:bCs/>
              </w:rPr>
            </w:pPr>
            <w:r w:rsidRPr="00C276EF">
              <w:rPr>
                <w:rFonts w:ascii="Arial" w:hAnsi="Arial" w:cs="Arial"/>
              </w:rPr>
              <w:t>100%</w:t>
            </w:r>
          </w:p>
        </w:tc>
      </w:tr>
    </w:tbl>
    <w:p w14:paraId="06EC44E3" w14:textId="77777777" w:rsidR="00C276EF" w:rsidRPr="00C276EF" w:rsidRDefault="00C276EF" w:rsidP="00C276EF">
      <w:pPr>
        <w:rPr>
          <w:rFonts w:ascii="Arial" w:hAnsi="Arial" w:cs="Arial"/>
        </w:rPr>
      </w:pPr>
      <w:r w:rsidRPr="00C276EF">
        <w:rPr>
          <w:rFonts w:ascii="Arial" w:hAnsi="Arial" w:cs="Arial"/>
          <w:b/>
          <w:bCs/>
        </w:rPr>
        <w:t>Interpretation:</w:t>
      </w:r>
      <w:r w:rsidRPr="00C276EF">
        <w:rPr>
          <w:rFonts w:ascii="Arial" w:hAnsi="Arial" w:cs="Arial"/>
        </w:rPr>
        <w:br/>
        <w:t>The table shows that 32% participants sleep less than 6 hours, which is below recommended sleep duration. Inadequate sleep leads to fatigue, stress, hormonal imbalance, and accelerates biological aging.</w:t>
      </w:r>
    </w:p>
    <w:p w14:paraId="01682C7D" w14:textId="77777777" w:rsidR="00C276EF" w:rsidRPr="00BD01B7" w:rsidRDefault="00C276EF" w:rsidP="00C276EF">
      <w:pPr>
        <w:rPr>
          <w:rFonts w:ascii="Arial" w:hAnsi="Arial" w:cs="Arial"/>
          <w:b/>
          <w:bCs/>
        </w:rPr>
      </w:pPr>
      <w:r w:rsidRPr="00C276EF">
        <w:rPr>
          <w:rFonts w:ascii="Arial" w:hAnsi="Arial" w:cs="Arial"/>
          <w:b/>
          <w:bCs/>
        </w:rPr>
        <w:t>5.3 Stress Levels</w:t>
      </w:r>
    </w:p>
    <w:p w14:paraId="1B560AC4" w14:textId="212FA00C" w:rsidR="00C4634C" w:rsidRPr="00BD01B7" w:rsidRDefault="00C4634C" w:rsidP="00C4634C">
      <w:pPr>
        <w:jc w:val="center"/>
        <w:rPr>
          <w:rFonts w:ascii="Arial" w:hAnsi="Arial" w:cs="Arial"/>
          <w:b/>
          <w:bCs/>
        </w:rPr>
      </w:pPr>
      <w:r w:rsidRPr="00BD01B7">
        <w:rPr>
          <w:rFonts w:ascii="Arial" w:hAnsi="Arial" w:cs="Arial"/>
          <w:b/>
          <w:bCs/>
        </w:rPr>
        <w:t>Table: 3</w:t>
      </w:r>
    </w:p>
    <w:tbl>
      <w:tblPr>
        <w:tblStyle w:val="TableGrid"/>
        <w:tblW w:w="0" w:type="auto"/>
        <w:tblLook w:val="04A0" w:firstRow="1" w:lastRow="0" w:firstColumn="1" w:lastColumn="0" w:noHBand="0" w:noVBand="1"/>
      </w:tblPr>
      <w:tblGrid>
        <w:gridCol w:w="3005"/>
        <w:gridCol w:w="3005"/>
        <w:gridCol w:w="3006"/>
      </w:tblGrid>
      <w:tr w:rsidR="00C4634C" w:rsidRPr="00BD01B7" w14:paraId="781A0BC6" w14:textId="77777777" w:rsidTr="00C85573">
        <w:tc>
          <w:tcPr>
            <w:tcW w:w="3005" w:type="dxa"/>
            <w:vAlign w:val="center"/>
          </w:tcPr>
          <w:p w14:paraId="265FCEF3" w14:textId="518926A6" w:rsidR="00C4634C" w:rsidRPr="00BD01B7" w:rsidRDefault="00C4634C" w:rsidP="00C4634C">
            <w:pPr>
              <w:rPr>
                <w:rFonts w:ascii="Arial" w:hAnsi="Arial" w:cs="Arial"/>
                <w:b/>
                <w:bCs/>
              </w:rPr>
            </w:pPr>
            <w:r w:rsidRPr="00C276EF">
              <w:rPr>
                <w:rFonts w:ascii="Arial" w:hAnsi="Arial" w:cs="Arial"/>
                <w:b/>
                <w:bCs/>
              </w:rPr>
              <w:t>Stress Level</w:t>
            </w:r>
          </w:p>
        </w:tc>
        <w:tc>
          <w:tcPr>
            <w:tcW w:w="3005" w:type="dxa"/>
            <w:vAlign w:val="center"/>
          </w:tcPr>
          <w:p w14:paraId="44930343" w14:textId="159C93C3" w:rsidR="00C4634C" w:rsidRPr="00BD01B7" w:rsidRDefault="00C4634C" w:rsidP="00C4634C">
            <w:pPr>
              <w:rPr>
                <w:rFonts w:ascii="Arial" w:hAnsi="Arial" w:cs="Arial"/>
                <w:b/>
                <w:bCs/>
              </w:rPr>
            </w:pPr>
            <w:r w:rsidRPr="00C276EF">
              <w:rPr>
                <w:rFonts w:ascii="Arial" w:hAnsi="Arial" w:cs="Arial"/>
                <w:b/>
                <w:bCs/>
              </w:rPr>
              <w:t>Participants</w:t>
            </w:r>
          </w:p>
        </w:tc>
        <w:tc>
          <w:tcPr>
            <w:tcW w:w="3006" w:type="dxa"/>
            <w:vAlign w:val="center"/>
          </w:tcPr>
          <w:p w14:paraId="56F10A03" w14:textId="32DD5112" w:rsidR="00C4634C" w:rsidRPr="00BD01B7" w:rsidRDefault="00C4634C" w:rsidP="00C4634C">
            <w:pPr>
              <w:rPr>
                <w:rFonts w:ascii="Arial" w:hAnsi="Arial" w:cs="Arial"/>
                <w:b/>
                <w:bCs/>
              </w:rPr>
            </w:pPr>
            <w:r w:rsidRPr="00C276EF">
              <w:rPr>
                <w:rFonts w:ascii="Arial" w:hAnsi="Arial" w:cs="Arial"/>
                <w:b/>
                <w:bCs/>
              </w:rPr>
              <w:t>Percentage</w:t>
            </w:r>
          </w:p>
        </w:tc>
      </w:tr>
      <w:tr w:rsidR="00C4634C" w:rsidRPr="00BD01B7" w14:paraId="278C6FF5" w14:textId="77777777" w:rsidTr="00C85573">
        <w:tc>
          <w:tcPr>
            <w:tcW w:w="3005" w:type="dxa"/>
            <w:vAlign w:val="center"/>
          </w:tcPr>
          <w:p w14:paraId="1A42A058" w14:textId="6F7BDFFA" w:rsidR="00C4634C" w:rsidRPr="00BD01B7" w:rsidRDefault="00C4634C" w:rsidP="00C4634C">
            <w:pPr>
              <w:rPr>
                <w:rFonts w:ascii="Arial" w:hAnsi="Arial" w:cs="Arial"/>
                <w:b/>
                <w:bCs/>
              </w:rPr>
            </w:pPr>
            <w:r w:rsidRPr="00C276EF">
              <w:rPr>
                <w:rFonts w:ascii="Arial" w:hAnsi="Arial" w:cs="Arial"/>
              </w:rPr>
              <w:t>Always</w:t>
            </w:r>
          </w:p>
        </w:tc>
        <w:tc>
          <w:tcPr>
            <w:tcW w:w="3005" w:type="dxa"/>
            <w:vAlign w:val="center"/>
          </w:tcPr>
          <w:p w14:paraId="090E1BBA" w14:textId="7E4C5BC0" w:rsidR="00C4634C" w:rsidRPr="00BD01B7" w:rsidRDefault="00C4634C" w:rsidP="00C4634C">
            <w:pPr>
              <w:rPr>
                <w:rFonts w:ascii="Arial" w:hAnsi="Arial" w:cs="Arial"/>
                <w:b/>
                <w:bCs/>
              </w:rPr>
            </w:pPr>
            <w:r w:rsidRPr="00C276EF">
              <w:rPr>
                <w:rFonts w:ascii="Arial" w:hAnsi="Arial" w:cs="Arial"/>
              </w:rPr>
              <w:t>1</w:t>
            </w:r>
          </w:p>
        </w:tc>
        <w:tc>
          <w:tcPr>
            <w:tcW w:w="3006" w:type="dxa"/>
            <w:vAlign w:val="center"/>
          </w:tcPr>
          <w:p w14:paraId="7D4A542E" w14:textId="5268BE2C" w:rsidR="00C4634C" w:rsidRPr="00BD01B7" w:rsidRDefault="00C4634C" w:rsidP="00C4634C">
            <w:pPr>
              <w:rPr>
                <w:rFonts w:ascii="Arial" w:hAnsi="Arial" w:cs="Arial"/>
                <w:b/>
                <w:bCs/>
              </w:rPr>
            </w:pPr>
            <w:r w:rsidRPr="00C276EF">
              <w:rPr>
                <w:rFonts w:ascii="Arial" w:hAnsi="Arial" w:cs="Arial"/>
              </w:rPr>
              <w:t>4%</w:t>
            </w:r>
          </w:p>
        </w:tc>
      </w:tr>
      <w:tr w:rsidR="00C4634C" w:rsidRPr="00BD01B7" w14:paraId="5CC780A0" w14:textId="77777777" w:rsidTr="00C85573">
        <w:tc>
          <w:tcPr>
            <w:tcW w:w="3005" w:type="dxa"/>
            <w:vAlign w:val="center"/>
          </w:tcPr>
          <w:p w14:paraId="51AFDE99" w14:textId="17548DB5" w:rsidR="00C4634C" w:rsidRPr="00BD01B7" w:rsidRDefault="00C4634C" w:rsidP="00C4634C">
            <w:pPr>
              <w:rPr>
                <w:rFonts w:ascii="Arial" w:hAnsi="Arial" w:cs="Arial"/>
                <w:b/>
                <w:bCs/>
              </w:rPr>
            </w:pPr>
            <w:r w:rsidRPr="00C276EF">
              <w:rPr>
                <w:rFonts w:ascii="Arial" w:hAnsi="Arial" w:cs="Arial"/>
              </w:rPr>
              <w:t>Often</w:t>
            </w:r>
          </w:p>
        </w:tc>
        <w:tc>
          <w:tcPr>
            <w:tcW w:w="3005" w:type="dxa"/>
            <w:vAlign w:val="center"/>
          </w:tcPr>
          <w:p w14:paraId="62FB7031" w14:textId="21CD0590" w:rsidR="00C4634C" w:rsidRPr="00BD01B7" w:rsidRDefault="00C4634C" w:rsidP="00C4634C">
            <w:pPr>
              <w:rPr>
                <w:rFonts w:ascii="Arial" w:hAnsi="Arial" w:cs="Arial"/>
                <w:b/>
                <w:bCs/>
              </w:rPr>
            </w:pPr>
            <w:r w:rsidRPr="00C276EF">
              <w:rPr>
                <w:rFonts w:ascii="Arial" w:hAnsi="Arial" w:cs="Arial"/>
              </w:rPr>
              <w:t>5</w:t>
            </w:r>
          </w:p>
        </w:tc>
        <w:tc>
          <w:tcPr>
            <w:tcW w:w="3006" w:type="dxa"/>
            <w:vAlign w:val="center"/>
          </w:tcPr>
          <w:p w14:paraId="630BF51F" w14:textId="515B309D" w:rsidR="00C4634C" w:rsidRPr="00BD01B7" w:rsidRDefault="00C4634C" w:rsidP="00C4634C">
            <w:pPr>
              <w:rPr>
                <w:rFonts w:ascii="Arial" w:hAnsi="Arial" w:cs="Arial"/>
                <w:b/>
                <w:bCs/>
              </w:rPr>
            </w:pPr>
            <w:r w:rsidRPr="00C276EF">
              <w:rPr>
                <w:rFonts w:ascii="Arial" w:hAnsi="Arial" w:cs="Arial"/>
              </w:rPr>
              <w:t>20%</w:t>
            </w:r>
          </w:p>
        </w:tc>
      </w:tr>
      <w:tr w:rsidR="00C4634C" w:rsidRPr="00BD01B7" w14:paraId="52643D82" w14:textId="77777777" w:rsidTr="00C85573">
        <w:tc>
          <w:tcPr>
            <w:tcW w:w="3005" w:type="dxa"/>
            <w:vAlign w:val="center"/>
          </w:tcPr>
          <w:p w14:paraId="6C9E5636" w14:textId="3264E5EE" w:rsidR="00C4634C" w:rsidRPr="00BD01B7" w:rsidRDefault="00C4634C" w:rsidP="00C4634C">
            <w:pPr>
              <w:rPr>
                <w:rFonts w:ascii="Arial" w:hAnsi="Arial" w:cs="Arial"/>
                <w:b/>
                <w:bCs/>
              </w:rPr>
            </w:pPr>
            <w:r w:rsidRPr="00C276EF">
              <w:rPr>
                <w:rFonts w:ascii="Arial" w:hAnsi="Arial" w:cs="Arial"/>
              </w:rPr>
              <w:t>Sometimes</w:t>
            </w:r>
          </w:p>
        </w:tc>
        <w:tc>
          <w:tcPr>
            <w:tcW w:w="3005" w:type="dxa"/>
            <w:vAlign w:val="center"/>
          </w:tcPr>
          <w:p w14:paraId="115E3887" w14:textId="63D5AEB4" w:rsidR="00C4634C" w:rsidRPr="00BD01B7" w:rsidRDefault="00C4634C" w:rsidP="00C4634C">
            <w:pPr>
              <w:rPr>
                <w:rFonts w:ascii="Arial" w:hAnsi="Arial" w:cs="Arial"/>
                <w:b/>
                <w:bCs/>
              </w:rPr>
            </w:pPr>
            <w:r w:rsidRPr="00C276EF">
              <w:rPr>
                <w:rFonts w:ascii="Arial" w:hAnsi="Arial" w:cs="Arial"/>
              </w:rPr>
              <w:t>14</w:t>
            </w:r>
          </w:p>
        </w:tc>
        <w:tc>
          <w:tcPr>
            <w:tcW w:w="3006" w:type="dxa"/>
            <w:vAlign w:val="center"/>
          </w:tcPr>
          <w:p w14:paraId="66AB3D86" w14:textId="179C2807" w:rsidR="00C4634C" w:rsidRPr="00BD01B7" w:rsidRDefault="00C4634C" w:rsidP="00C4634C">
            <w:pPr>
              <w:rPr>
                <w:rFonts w:ascii="Arial" w:hAnsi="Arial" w:cs="Arial"/>
                <w:b/>
                <w:bCs/>
              </w:rPr>
            </w:pPr>
            <w:r w:rsidRPr="00C276EF">
              <w:rPr>
                <w:rFonts w:ascii="Arial" w:hAnsi="Arial" w:cs="Arial"/>
              </w:rPr>
              <w:t>56%</w:t>
            </w:r>
          </w:p>
        </w:tc>
      </w:tr>
      <w:tr w:rsidR="00C4634C" w:rsidRPr="00BD01B7" w14:paraId="752C8D6F" w14:textId="77777777" w:rsidTr="00C85573">
        <w:tc>
          <w:tcPr>
            <w:tcW w:w="3005" w:type="dxa"/>
            <w:vAlign w:val="center"/>
          </w:tcPr>
          <w:p w14:paraId="6A98796B" w14:textId="5CB858F3" w:rsidR="00C4634C" w:rsidRPr="00BD01B7" w:rsidRDefault="00C4634C" w:rsidP="00C4634C">
            <w:pPr>
              <w:rPr>
                <w:rFonts w:ascii="Arial" w:hAnsi="Arial" w:cs="Arial"/>
                <w:b/>
                <w:bCs/>
              </w:rPr>
            </w:pPr>
            <w:r w:rsidRPr="00C276EF">
              <w:rPr>
                <w:rFonts w:ascii="Arial" w:hAnsi="Arial" w:cs="Arial"/>
              </w:rPr>
              <w:t>Rarely</w:t>
            </w:r>
          </w:p>
        </w:tc>
        <w:tc>
          <w:tcPr>
            <w:tcW w:w="3005" w:type="dxa"/>
            <w:vAlign w:val="center"/>
          </w:tcPr>
          <w:p w14:paraId="7676EBDD" w14:textId="27395C43" w:rsidR="00C4634C" w:rsidRPr="00BD01B7" w:rsidRDefault="00C4634C" w:rsidP="00C4634C">
            <w:pPr>
              <w:rPr>
                <w:rFonts w:ascii="Arial" w:hAnsi="Arial" w:cs="Arial"/>
                <w:b/>
                <w:bCs/>
              </w:rPr>
            </w:pPr>
            <w:r w:rsidRPr="00C276EF">
              <w:rPr>
                <w:rFonts w:ascii="Arial" w:hAnsi="Arial" w:cs="Arial"/>
              </w:rPr>
              <w:t>5</w:t>
            </w:r>
          </w:p>
        </w:tc>
        <w:tc>
          <w:tcPr>
            <w:tcW w:w="3006" w:type="dxa"/>
            <w:vAlign w:val="center"/>
          </w:tcPr>
          <w:p w14:paraId="4B437000" w14:textId="5E954517" w:rsidR="00C4634C" w:rsidRPr="00BD01B7" w:rsidRDefault="00C4634C" w:rsidP="00C4634C">
            <w:pPr>
              <w:rPr>
                <w:rFonts w:ascii="Arial" w:hAnsi="Arial" w:cs="Arial"/>
                <w:b/>
                <w:bCs/>
              </w:rPr>
            </w:pPr>
            <w:r w:rsidRPr="00C276EF">
              <w:rPr>
                <w:rFonts w:ascii="Arial" w:hAnsi="Arial" w:cs="Arial"/>
              </w:rPr>
              <w:t>20%</w:t>
            </w:r>
          </w:p>
        </w:tc>
      </w:tr>
    </w:tbl>
    <w:p w14:paraId="0ADEC7CA" w14:textId="77777777" w:rsidR="00C276EF" w:rsidRPr="00C276EF" w:rsidRDefault="00C276EF" w:rsidP="00C276EF">
      <w:pPr>
        <w:rPr>
          <w:rFonts w:ascii="Arial" w:hAnsi="Arial" w:cs="Arial"/>
        </w:rPr>
      </w:pPr>
      <w:r w:rsidRPr="00C276EF">
        <w:rPr>
          <w:rFonts w:ascii="Arial" w:hAnsi="Arial" w:cs="Arial"/>
          <w:b/>
          <w:bCs/>
        </w:rPr>
        <w:t>Interpretation:</w:t>
      </w:r>
      <w:r w:rsidRPr="00C276EF">
        <w:rPr>
          <w:rFonts w:ascii="Arial" w:hAnsi="Arial" w:cs="Arial"/>
        </w:rPr>
        <w:br/>
        <w:t>The data shows that 80% participants experience stress (sometimes, often, or always). Chronic stress is a major factor that accelerates biological aging.</w:t>
      </w:r>
    </w:p>
    <w:p w14:paraId="57FE831B" w14:textId="77777777" w:rsidR="00C276EF" w:rsidRPr="00BD01B7" w:rsidRDefault="00C276EF" w:rsidP="00C276EF">
      <w:pPr>
        <w:rPr>
          <w:rFonts w:ascii="Arial" w:hAnsi="Arial" w:cs="Arial"/>
          <w:b/>
          <w:bCs/>
        </w:rPr>
      </w:pPr>
      <w:r w:rsidRPr="00C276EF">
        <w:rPr>
          <w:rFonts w:ascii="Arial" w:hAnsi="Arial" w:cs="Arial"/>
          <w:b/>
          <w:bCs/>
        </w:rPr>
        <w:t>5.4 Junk Food Consumption</w:t>
      </w:r>
    </w:p>
    <w:p w14:paraId="6CCEED2B" w14:textId="2677B340" w:rsidR="00C4634C" w:rsidRPr="00BD01B7" w:rsidRDefault="00C4634C" w:rsidP="00C4634C">
      <w:pPr>
        <w:jc w:val="center"/>
        <w:rPr>
          <w:rFonts w:ascii="Arial" w:hAnsi="Arial" w:cs="Arial"/>
          <w:b/>
          <w:bCs/>
        </w:rPr>
      </w:pPr>
      <w:r w:rsidRPr="00BD01B7">
        <w:rPr>
          <w:rFonts w:ascii="Arial" w:hAnsi="Arial" w:cs="Arial"/>
          <w:b/>
          <w:bCs/>
        </w:rPr>
        <w:t>Table: 4</w:t>
      </w:r>
    </w:p>
    <w:tbl>
      <w:tblPr>
        <w:tblStyle w:val="TableGrid"/>
        <w:tblW w:w="9015" w:type="dxa"/>
        <w:tblLook w:val="04A0" w:firstRow="1" w:lastRow="0" w:firstColumn="1" w:lastColumn="0" w:noHBand="0" w:noVBand="1"/>
      </w:tblPr>
      <w:tblGrid>
        <w:gridCol w:w="3005"/>
        <w:gridCol w:w="3005"/>
        <w:gridCol w:w="3005"/>
      </w:tblGrid>
      <w:tr w:rsidR="00C4634C" w:rsidRPr="00BD01B7" w14:paraId="30EB9B62" w14:textId="77777777" w:rsidTr="00C4634C">
        <w:tc>
          <w:tcPr>
            <w:tcW w:w="3005" w:type="dxa"/>
            <w:vAlign w:val="center"/>
          </w:tcPr>
          <w:p w14:paraId="35793D28" w14:textId="1AC67288" w:rsidR="00C4634C" w:rsidRPr="00BD01B7" w:rsidRDefault="00C4634C" w:rsidP="00C4634C">
            <w:pPr>
              <w:rPr>
                <w:rFonts w:ascii="Arial" w:hAnsi="Arial" w:cs="Arial"/>
                <w:b/>
                <w:bCs/>
              </w:rPr>
            </w:pPr>
            <w:r w:rsidRPr="00C276EF">
              <w:rPr>
                <w:rFonts w:ascii="Arial" w:hAnsi="Arial" w:cs="Arial"/>
                <w:b/>
                <w:bCs/>
              </w:rPr>
              <w:t>Junk Food Consumption</w:t>
            </w:r>
          </w:p>
        </w:tc>
        <w:tc>
          <w:tcPr>
            <w:tcW w:w="3005" w:type="dxa"/>
            <w:vAlign w:val="center"/>
          </w:tcPr>
          <w:p w14:paraId="072BEAF8" w14:textId="4A2492AA" w:rsidR="00C4634C" w:rsidRPr="00BD01B7" w:rsidRDefault="00C4634C" w:rsidP="00C4634C">
            <w:pPr>
              <w:rPr>
                <w:rFonts w:ascii="Arial" w:hAnsi="Arial" w:cs="Arial"/>
                <w:b/>
                <w:bCs/>
              </w:rPr>
            </w:pPr>
            <w:r w:rsidRPr="00C276EF">
              <w:rPr>
                <w:rFonts w:ascii="Arial" w:hAnsi="Arial" w:cs="Arial"/>
                <w:b/>
                <w:bCs/>
              </w:rPr>
              <w:t>Participants</w:t>
            </w:r>
          </w:p>
        </w:tc>
        <w:tc>
          <w:tcPr>
            <w:tcW w:w="3005" w:type="dxa"/>
            <w:vAlign w:val="center"/>
          </w:tcPr>
          <w:p w14:paraId="3AE1F1DA" w14:textId="781B53A1" w:rsidR="00C4634C" w:rsidRPr="00BD01B7" w:rsidRDefault="00C4634C" w:rsidP="00C4634C">
            <w:pPr>
              <w:rPr>
                <w:rFonts w:ascii="Arial" w:hAnsi="Arial" w:cs="Arial"/>
                <w:b/>
                <w:bCs/>
              </w:rPr>
            </w:pPr>
            <w:r w:rsidRPr="00C276EF">
              <w:rPr>
                <w:rFonts w:ascii="Arial" w:hAnsi="Arial" w:cs="Arial"/>
                <w:b/>
                <w:bCs/>
              </w:rPr>
              <w:t>Percentage</w:t>
            </w:r>
          </w:p>
        </w:tc>
      </w:tr>
      <w:tr w:rsidR="00C4634C" w:rsidRPr="00BD01B7" w14:paraId="51D1CAB6" w14:textId="77777777" w:rsidTr="00C4634C">
        <w:tc>
          <w:tcPr>
            <w:tcW w:w="3005" w:type="dxa"/>
            <w:vAlign w:val="center"/>
          </w:tcPr>
          <w:p w14:paraId="1646CDD5" w14:textId="4B643974" w:rsidR="00C4634C" w:rsidRPr="00BD01B7" w:rsidRDefault="00C4634C" w:rsidP="00C4634C">
            <w:pPr>
              <w:rPr>
                <w:rFonts w:ascii="Arial" w:hAnsi="Arial" w:cs="Arial"/>
                <w:b/>
                <w:bCs/>
              </w:rPr>
            </w:pPr>
            <w:r w:rsidRPr="00C276EF">
              <w:rPr>
                <w:rFonts w:ascii="Arial" w:hAnsi="Arial" w:cs="Arial"/>
              </w:rPr>
              <w:t>3–4 times/week</w:t>
            </w:r>
          </w:p>
        </w:tc>
        <w:tc>
          <w:tcPr>
            <w:tcW w:w="3005" w:type="dxa"/>
            <w:vAlign w:val="center"/>
          </w:tcPr>
          <w:p w14:paraId="35531AED" w14:textId="5EFCFB9E" w:rsidR="00C4634C" w:rsidRPr="00BD01B7" w:rsidRDefault="00C4634C" w:rsidP="00C4634C">
            <w:pPr>
              <w:rPr>
                <w:rFonts w:ascii="Arial" w:hAnsi="Arial" w:cs="Arial"/>
                <w:b/>
                <w:bCs/>
              </w:rPr>
            </w:pPr>
            <w:r w:rsidRPr="00C276EF">
              <w:rPr>
                <w:rFonts w:ascii="Arial" w:hAnsi="Arial" w:cs="Arial"/>
              </w:rPr>
              <w:t>3</w:t>
            </w:r>
          </w:p>
        </w:tc>
        <w:tc>
          <w:tcPr>
            <w:tcW w:w="3005" w:type="dxa"/>
            <w:vAlign w:val="center"/>
          </w:tcPr>
          <w:p w14:paraId="503CD8ED" w14:textId="2A4DCC7E" w:rsidR="00C4634C" w:rsidRPr="00BD01B7" w:rsidRDefault="00C4634C" w:rsidP="00C4634C">
            <w:pPr>
              <w:rPr>
                <w:rFonts w:ascii="Arial" w:hAnsi="Arial" w:cs="Arial"/>
                <w:b/>
                <w:bCs/>
              </w:rPr>
            </w:pPr>
            <w:r w:rsidRPr="00C276EF">
              <w:rPr>
                <w:rFonts w:ascii="Arial" w:hAnsi="Arial" w:cs="Arial"/>
              </w:rPr>
              <w:t>12%</w:t>
            </w:r>
          </w:p>
        </w:tc>
      </w:tr>
      <w:tr w:rsidR="00C4634C" w:rsidRPr="00BD01B7" w14:paraId="72A854CB" w14:textId="77777777" w:rsidTr="00C4634C">
        <w:tc>
          <w:tcPr>
            <w:tcW w:w="3005" w:type="dxa"/>
            <w:vAlign w:val="center"/>
          </w:tcPr>
          <w:p w14:paraId="4029A331" w14:textId="05AACD6D" w:rsidR="00C4634C" w:rsidRPr="00BD01B7" w:rsidRDefault="00C4634C" w:rsidP="00C4634C">
            <w:pPr>
              <w:rPr>
                <w:rFonts w:ascii="Arial" w:hAnsi="Arial" w:cs="Arial"/>
                <w:b/>
                <w:bCs/>
              </w:rPr>
            </w:pPr>
            <w:r w:rsidRPr="00C276EF">
              <w:rPr>
                <w:rFonts w:ascii="Arial" w:hAnsi="Arial" w:cs="Arial"/>
              </w:rPr>
              <w:t>Once a week</w:t>
            </w:r>
          </w:p>
        </w:tc>
        <w:tc>
          <w:tcPr>
            <w:tcW w:w="3005" w:type="dxa"/>
            <w:vAlign w:val="center"/>
          </w:tcPr>
          <w:p w14:paraId="1866639F" w14:textId="0497854D" w:rsidR="00C4634C" w:rsidRPr="00BD01B7" w:rsidRDefault="00C4634C" w:rsidP="00C4634C">
            <w:pPr>
              <w:rPr>
                <w:rFonts w:ascii="Arial" w:hAnsi="Arial" w:cs="Arial"/>
                <w:b/>
                <w:bCs/>
              </w:rPr>
            </w:pPr>
            <w:r w:rsidRPr="00C276EF">
              <w:rPr>
                <w:rFonts w:ascii="Arial" w:hAnsi="Arial" w:cs="Arial"/>
              </w:rPr>
              <w:t>18</w:t>
            </w:r>
          </w:p>
        </w:tc>
        <w:tc>
          <w:tcPr>
            <w:tcW w:w="3005" w:type="dxa"/>
            <w:vAlign w:val="center"/>
          </w:tcPr>
          <w:p w14:paraId="2B0895EB" w14:textId="43E17F03" w:rsidR="00C4634C" w:rsidRPr="00BD01B7" w:rsidRDefault="00C4634C" w:rsidP="00C4634C">
            <w:pPr>
              <w:rPr>
                <w:rFonts w:ascii="Arial" w:hAnsi="Arial" w:cs="Arial"/>
                <w:b/>
                <w:bCs/>
              </w:rPr>
            </w:pPr>
            <w:r w:rsidRPr="00C276EF">
              <w:rPr>
                <w:rFonts w:ascii="Arial" w:hAnsi="Arial" w:cs="Arial"/>
              </w:rPr>
              <w:t>72%</w:t>
            </w:r>
          </w:p>
        </w:tc>
      </w:tr>
      <w:tr w:rsidR="00C4634C" w:rsidRPr="00BD01B7" w14:paraId="2EB15270" w14:textId="77777777" w:rsidTr="00C4634C">
        <w:tc>
          <w:tcPr>
            <w:tcW w:w="3005" w:type="dxa"/>
            <w:vAlign w:val="center"/>
          </w:tcPr>
          <w:p w14:paraId="64206937" w14:textId="3CD27E17" w:rsidR="00C4634C" w:rsidRPr="00BD01B7" w:rsidRDefault="00C4634C" w:rsidP="00C4634C">
            <w:pPr>
              <w:rPr>
                <w:rFonts w:ascii="Arial" w:hAnsi="Arial" w:cs="Arial"/>
                <w:b/>
                <w:bCs/>
              </w:rPr>
            </w:pPr>
            <w:r w:rsidRPr="00C276EF">
              <w:rPr>
                <w:rFonts w:ascii="Arial" w:hAnsi="Arial" w:cs="Arial"/>
              </w:rPr>
              <w:t>Rarely</w:t>
            </w:r>
          </w:p>
        </w:tc>
        <w:tc>
          <w:tcPr>
            <w:tcW w:w="3005" w:type="dxa"/>
            <w:vAlign w:val="center"/>
          </w:tcPr>
          <w:p w14:paraId="4A715ADE" w14:textId="723C16B0" w:rsidR="00C4634C" w:rsidRPr="00BD01B7" w:rsidRDefault="00C4634C" w:rsidP="00C4634C">
            <w:pPr>
              <w:rPr>
                <w:rFonts w:ascii="Arial" w:hAnsi="Arial" w:cs="Arial"/>
                <w:b/>
                <w:bCs/>
              </w:rPr>
            </w:pPr>
            <w:r w:rsidRPr="00C276EF">
              <w:rPr>
                <w:rFonts w:ascii="Arial" w:hAnsi="Arial" w:cs="Arial"/>
              </w:rPr>
              <w:t>4</w:t>
            </w:r>
          </w:p>
        </w:tc>
        <w:tc>
          <w:tcPr>
            <w:tcW w:w="3005" w:type="dxa"/>
            <w:vAlign w:val="center"/>
          </w:tcPr>
          <w:p w14:paraId="79B7C219" w14:textId="063F5215" w:rsidR="00C4634C" w:rsidRPr="00BD01B7" w:rsidRDefault="00C4634C" w:rsidP="00C4634C">
            <w:pPr>
              <w:rPr>
                <w:rFonts w:ascii="Arial" w:hAnsi="Arial" w:cs="Arial"/>
                <w:b/>
                <w:bCs/>
              </w:rPr>
            </w:pPr>
            <w:r w:rsidRPr="00C276EF">
              <w:rPr>
                <w:rFonts w:ascii="Arial" w:hAnsi="Arial" w:cs="Arial"/>
              </w:rPr>
              <w:t>16%</w:t>
            </w:r>
          </w:p>
        </w:tc>
      </w:tr>
      <w:tr w:rsidR="00C4634C" w:rsidRPr="00BD01B7" w14:paraId="295FB5CC" w14:textId="77777777" w:rsidTr="00C4634C">
        <w:tc>
          <w:tcPr>
            <w:tcW w:w="3005" w:type="dxa"/>
            <w:vAlign w:val="center"/>
          </w:tcPr>
          <w:p w14:paraId="65871D29" w14:textId="463C91B9" w:rsidR="00C4634C" w:rsidRPr="00BD01B7" w:rsidRDefault="00C4634C" w:rsidP="00C4634C">
            <w:pPr>
              <w:rPr>
                <w:rFonts w:ascii="Arial" w:hAnsi="Arial" w:cs="Arial"/>
                <w:b/>
                <w:bCs/>
              </w:rPr>
            </w:pPr>
            <w:r w:rsidRPr="00C276EF">
              <w:rPr>
                <w:rFonts w:ascii="Arial" w:hAnsi="Arial" w:cs="Arial"/>
              </w:rPr>
              <w:t>Total</w:t>
            </w:r>
          </w:p>
        </w:tc>
        <w:tc>
          <w:tcPr>
            <w:tcW w:w="3005" w:type="dxa"/>
            <w:vAlign w:val="center"/>
          </w:tcPr>
          <w:p w14:paraId="0B768EDB" w14:textId="1CAF327D" w:rsidR="00C4634C" w:rsidRPr="00BD01B7" w:rsidRDefault="00C4634C" w:rsidP="00C4634C">
            <w:pPr>
              <w:rPr>
                <w:rFonts w:ascii="Arial" w:hAnsi="Arial" w:cs="Arial"/>
                <w:b/>
                <w:bCs/>
              </w:rPr>
            </w:pPr>
            <w:r w:rsidRPr="00C276EF">
              <w:rPr>
                <w:rFonts w:ascii="Arial" w:hAnsi="Arial" w:cs="Arial"/>
              </w:rPr>
              <w:t>25</w:t>
            </w:r>
          </w:p>
        </w:tc>
        <w:tc>
          <w:tcPr>
            <w:tcW w:w="3005" w:type="dxa"/>
            <w:vAlign w:val="center"/>
          </w:tcPr>
          <w:p w14:paraId="5E531CAE" w14:textId="08309571" w:rsidR="00C4634C" w:rsidRPr="00BD01B7" w:rsidRDefault="00C4634C" w:rsidP="00C4634C">
            <w:pPr>
              <w:rPr>
                <w:rFonts w:ascii="Arial" w:hAnsi="Arial" w:cs="Arial"/>
                <w:b/>
                <w:bCs/>
              </w:rPr>
            </w:pPr>
            <w:r w:rsidRPr="00C276EF">
              <w:rPr>
                <w:rFonts w:ascii="Arial" w:hAnsi="Arial" w:cs="Arial"/>
              </w:rPr>
              <w:t>100%</w:t>
            </w:r>
          </w:p>
        </w:tc>
      </w:tr>
    </w:tbl>
    <w:p w14:paraId="2EE959BE" w14:textId="77777777" w:rsidR="00C4634C" w:rsidRPr="00C276EF" w:rsidRDefault="00C4634C" w:rsidP="00C276EF">
      <w:pPr>
        <w:rPr>
          <w:rFonts w:ascii="Arial" w:hAnsi="Arial" w:cs="Arial"/>
          <w:b/>
          <w:bCs/>
        </w:rPr>
      </w:pPr>
    </w:p>
    <w:p w14:paraId="7E465D60" w14:textId="77777777" w:rsidR="00C276EF" w:rsidRPr="00C276EF" w:rsidRDefault="00C276EF" w:rsidP="00C276EF">
      <w:pPr>
        <w:rPr>
          <w:rFonts w:ascii="Arial" w:hAnsi="Arial" w:cs="Arial"/>
        </w:rPr>
      </w:pPr>
      <w:r w:rsidRPr="00C276EF">
        <w:rPr>
          <w:rFonts w:ascii="Arial" w:hAnsi="Arial" w:cs="Arial"/>
          <w:b/>
          <w:bCs/>
        </w:rPr>
        <w:lastRenderedPageBreak/>
        <w:t>Interpretation:</w:t>
      </w:r>
      <w:r w:rsidRPr="00C276EF">
        <w:rPr>
          <w:rFonts w:ascii="Arial" w:hAnsi="Arial" w:cs="Arial"/>
        </w:rPr>
        <w:br/>
        <w:t>84% participants consume junk food at least once per week. Junk food increases inflammation and metabolic disorders, which accelerates aging.</w:t>
      </w:r>
    </w:p>
    <w:p w14:paraId="00888269" w14:textId="77777777" w:rsidR="00C276EF" w:rsidRPr="00BD01B7" w:rsidRDefault="00C276EF" w:rsidP="00C276EF">
      <w:pPr>
        <w:rPr>
          <w:rFonts w:ascii="Arial" w:hAnsi="Arial" w:cs="Arial"/>
          <w:b/>
          <w:bCs/>
        </w:rPr>
      </w:pPr>
      <w:r w:rsidRPr="00C276EF">
        <w:rPr>
          <w:rFonts w:ascii="Arial" w:hAnsi="Arial" w:cs="Arial"/>
          <w:b/>
          <w:bCs/>
        </w:rPr>
        <w:t>5.5 Awareness About Reverse Aging</w:t>
      </w:r>
    </w:p>
    <w:p w14:paraId="785D37E8" w14:textId="2B01DD7D" w:rsidR="007C408C" w:rsidRPr="00BD01B7" w:rsidRDefault="007C408C" w:rsidP="007C408C">
      <w:pPr>
        <w:jc w:val="center"/>
        <w:rPr>
          <w:rFonts w:ascii="Arial" w:hAnsi="Arial" w:cs="Arial"/>
          <w:b/>
          <w:bCs/>
        </w:rPr>
      </w:pPr>
      <w:r w:rsidRPr="00BD01B7">
        <w:rPr>
          <w:rFonts w:ascii="Arial" w:hAnsi="Arial" w:cs="Arial"/>
          <w:b/>
          <w:bCs/>
        </w:rPr>
        <w:t>Table: 5</w:t>
      </w:r>
    </w:p>
    <w:tbl>
      <w:tblPr>
        <w:tblStyle w:val="TableGrid"/>
        <w:tblW w:w="5771" w:type="dxa"/>
        <w:tblLook w:val="04A0" w:firstRow="1" w:lastRow="0" w:firstColumn="1" w:lastColumn="0" w:noHBand="0" w:noVBand="1"/>
      </w:tblPr>
      <w:tblGrid>
        <w:gridCol w:w="2951"/>
        <w:gridCol w:w="596"/>
        <w:gridCol w:w="821"/>
        <w:gridCol w:w="1403"/>
      </w:tblGrid>
      <w:tr w:rsidR="007C408C" w:rsidRPr="00BD01B7" w14:paraId="09EAC32F" w14:textId="77777777" w:rsidTr="007C408C">
        <w:tc>
          <w:tcPr>
            <w:tcW w:w="3002" w:type="dxa"/>
            <w:vAlign w:val="center"/>
          </w:tcPr>
          <w:p w14:paraId="6A8498C9" w14:textId="679AF1CF" w:rsidR="007C408C" w:rsidRPr="00BD01B7" w:rsidRDefault="007C408C" w:rsidP="007C408C">
            <w:pPr>
              <w:rPr>
                <w:rFonts w:ascii="Arial" w:hAnsi="Arial" w:cs="Arial"/>
                <w:b/>
                <w:bCs/>
              </w:rPr>
            </w:pPr>
            <w:r w:rsidRPr="00C276EF">
              <w:rPr>
                <w:rFonts w:ascii="Arial" w:hAnsi="Arial" w:cs="Arial"/>
                <w:b/>
                <w:bCs/>
              </w:rPr>
              <w:t>Question</w:t>
            </w:r>
          </w:p>
        </w:tc>
        <w:tc>
          <w:tcPr>
            <w:tcW w:w="593" w:type="dxa"/>
            <w:vAlign w:val="center"/>
          </w:tcPr>
          <w:p w14:paraId="7BE63E91" w14:textId="3E3B7C26" w:rsidR="007C408C" w:rsidRPr="00BD01B7" w:rsidRDefault="007C408C" w:rsidP="007C408C">
            <w:pPr>
              <w:rPr>
                <w:rFonts w:ascii="Arial" w:hAnsi="Arial" w:cs="Arial"/>
                <w:b/>
                <w:bCs/>
              </w:rPr>
            </w:pPr>
            <w:r w:rsidRPr="00C276EF">
              <w:rPr>
                <w:rFonts w:ascii="Arial" w:hAnsi="Arial" w:cs="Arial"/>
                <w:b/>
                <w:bCs/>
              </w:rPr>
              <w:t>Yes</w:t>
            </w:r>
          </w:p>
        </w:tc>
        <w:tc>
          <w:tcPr>
            <w:tcW w:w="830" w:type="dxa"/>
            <w:vAlign w:val="center"/>
          </w:tcPr>
          <w:p w14:paraId="4AFB41ED" w14:textId="0B169181" w:rsidR="007C408C" w:rsidRPr="00BD01B7" w:rsidRDefault="007C408C" w:rsidP="007C408C">
            <w:pPr>
              <w:rPr>
                <w:rFonts w:ascii="Arial" w:hAnsi="Arial" w:cs="Arial"/>
                <w:b/>
                <w:bCs/>
              </w:rPr>
            </w:pPr>
            <w:r w:rsidRPr="00C276EF">
              <w:rPr>
                <w:rFonts w:ascii="Arial" w:hAnsi="Arial" w:cs="Arial"/>
                <w:b/>
                <w:bCs/>
              </w:rPr>
              <w:t>No</w:t>
            </w:r>
          </w:p>
        </w:tc>
        <w:tc>
          <w:tcPr>
            <w:tcW w:w="1346" w:type="dxa"/>
            <w:vAlign w:val="center"/>
          </w:tcPr>
          <w:p w14:paraId="241D07AD" w14:textId="7BD8B137" w:rsidR="007C408C" w:rsidRPr="00BD01B7" w:rsidRDefault="007C408C" w:rsidP="007C408C">
            <w:pPr>
              <w:rPr>
                <w:rFonts w:ascii="Arial" w:hAnsi="Arial" w:cs="Arial"/>
                <w:b/>
                <w:bCs/>
              </w:rPr>
            </w:pPr>
            <w:r w:rsidRPr="00C276EF">
              <w:rPr>
                <w:rFonts w:ascii="Arial" w:hAnsi="Arial" w:cs="Arial"/>
                <w:b/>
                <w:bCs/>
              </w:rPr>
              <w:t>Percentage Yes</w:t>
            </w:r>
          </w:p>
        </w:tc>
      </w:tr>
      <w:tr w:rsidR="007C408C" w:rsidRPr="00BD01B7" w14:paraId="7FE7207F" w14:textId="77777777" w:rsidTr="007C408C">
        <w:tc>
          <w:tcPr>
            <w:tcW w:w="3002" w:type="dxa"/>
            <w:vAlign w:val="center"/>
          </w:tcPr>
          <w:p w14:paraId="39AB14BA" w14:textId="43138364" w:rsidR="007C408C" w:rsidRPr="00BD01B7" w:rsidRDefault="007C408C" w:rsidP="007C408C">
            <w:pPr>
              <w:rPr>
                <w:rFonts w:ascii="Arial" w:hAnsi="Arial" w:cs="Arial"/>
                <w:b/>
                <w:bCs/>
              </w:rPr>
            </w:pPr>
            <w:r w:rsidRPr="00C276EF">
              <w:rPr>
                <w:rFonts w:ascii="Arial" w:hAnsi="Arial" w:cs="Arial"/>
              </w:rPr>
              <w:t>Lifestyle can slow aging</w:t>
            </w:r>
          </w:p>
        </w:tc>
        <w:tc>
          <w:tcPr>
            <w:tcW w:w="593" w:type="dxa"/>
            <w:vAlign w:val="center"/>
          </w:tcPr>
          <w:p w14:paraId="7346E4C1" w14:textId="5EA46945" w:rsidR="007C408C" w:rsidRPr="00BD01B7" w:rsidRDefault="007C408C" w:rsidP="007C408C">
            <w:pPr>
              <w:rPr>
                <w:rFonts w:ascii="Arial" w:hAnsi="Arial" w:cs="Arial"/>
                <w:b/>
                <w:bCs/>
              </w:rPr>
            </w:pPr>
            <w:r w:rsidRPr="00C276EF">
              <w:rPr>
                <w:rFonts w:ascii="Arial" w:hAnsi="Arial" w:cs="Arial"/>
              </w:rPr>
              <w:t>23</w:t>
            </w:r>
          </w:p>
        </w:tc>
        <w:tc>
          <w:tcPr>
            <w:tcW w:w="830" w:type="dxa"/>
            <w:vAlign w:val="center"/>
          </w:tcPr>
          <w:p w14:paraId="01C2C15E" w14:textId="64676304" w:rsidR="007C408C" w:rsidRPr="00BD01B7" w:rsidRDefault="007C408C" w:rsidP="007C408C">
            <w:pPr>
              <w:rPr>
                <w:rFonts w:ascii="Arial" w:hAnsi="Arial" w:cs="Arial"/>
                <w:b/>
                <w:bCs/>
              </w:rPr>
            </w:pPr>
            <w:r w:rsidRPr="00C276EF">
              <w:rPr>
                <w:rFonts w:ascii="Arial" w:hAnsi="Arial" w:cs="Arial"/>
              </w:rPr>
              <w:t>2</w:t>
            </w:r>
          </w:p>
        </w:tc>
        <w:tc>
          <w:tcPr>
            <w:tcW w:w="1346" w:type="dxa"/>
            <w:vAlign w:val="center"/>
          </w:tcPr>
          <w:p w14:paraId="2780F35D" w14:textId="6D4E8052" w:rsidR="007C408C" w:rsidRPr="00BD01B7" w:rsidRDefault="007C408C" w:rsidP="007C408C">
            <w:pPr>
              <w:rPr>
                <w:rFonts w:ascii="Arial" w:hAnsi="Arial" w:cs="Arial"/>
                <w:b/>
                <w:bCs/>
              </w:rPr>
            </w:pPr>
            <w:r w:rsidRPr="00C276EF">
              <w:rPr>
                <w:rFonts w:ascii="Arial" w:hAnsi="Arial" w:cs="Arial"/>
              </w:rPr>
              <w:t>92%</w:t>
            </w:r>
          </w:p>
        </w:tc>
      </w:tr>
      <w:tr w:rsidR="007C408C" w:rsidRPr="00BD01B7" w14:paraId="7A081783" w14:textId="77777777" w:rsidTr="007C408C">
        <w:tc>
          <w:tcPr>
            <w:tcW w:w="3002" w:type="dxa"/>
            <w:vAlign w:val="center"/>
          </w:tcPr>
          <w:p w14:paraId="707028E9" w14:textId="779DAAE5" w:rsidR="007C408C" w:rsidRPr="00BD01B7" w:rsidRDefault="007C408C" w:rsidP="007C408C">
            <w:pPr>
              <w:rPr>
                <w:rFonts w:ascii="Arial" w:hAnsi="Arial" w:cs="Arial"/>
                <w:b/>
                <w:bCs/>
              </w:rPr>
            </w:pPr>
            <w:r w:rsidRPr="00C276EF">
              <w:rPr>
                <w:rFonts w:ascii="Arial" w:hAnsi="Arial" w:cs="Arial"/>
              </w:rPr>
              <w:t>Willing to change lifestyle</w:t>
            </w:r>
          </w:p>
        </w:tc>
        <w:tc>
          <w:tcPr>
            <w:tcW w:w="593" w:type="dxa"/>
            <w:vAlign w:val="center"/>
          </w:tcPr>
          <w:p w14:paraId="19DE777F" w14:textId="76B1FC9D" w:rsidR="007C408C" w:rsidRPr="00BD01B7" w:rsidRDefault="007C408C" w:rsidP="007C408C">
            <w:pPr>
              <w:rPr>
                <w:rFonts w:ascii="Arial" w:hAnsi="Arial" w:cs="Arial"/>
                <w:b/>
                <w:bCs/>
              </w:rPr>
            </w:pPr>
            <w:r w:rsidRPr="00C276EF">
              <w:rPr>
                <w:rFonts w:ascii="Arial" w:hAnsi="Arial" w:cs="Arial"/>
              </w:rPr>
              <w:t>24</w:t>
            </w:r>
          </w:p>
        </w:tc>
        <w:tc>
          <w:tcPr>
            <w:tcW w:w="830" w:type="dxa"/>
            <w:vAlign w:val="center"/>
          </w:tcPr>
          <w:p w14:paraId="069AF890" w14:textId="253502C1" w:rsidR="007C408C" w:rsidRPr="00BD01B7" w:rsidRDefault="007C408C" w:rsidP="007C408C">
            <w:pPr>
              <w:rPr>
                <w:rFonts w:ascii="Arial" w:hAnsi="Arial" w:cs="Arial"/>
                <w:b/>
                <w:bCs/>
              </w:rPr>
            </w:pPr>
            <w:r w:rsidRPr="00C276EF">
              <w:rPr>
                <w:rFonts w:ascii="Arial" w:hAnsi="Arial" w:cs="Arial"/>
              </w:rPr>
              <w:t>1</w:t>
            </w:r>
          </w:p>
        </w:tc>
        <w:tc>
          <w:tcPr>
            <w:tcW w:w="1346" w:type="dxa"/>
            <w:vAlign w:val="center"/>
          </w:tcPr>
          <w:p w14:paraId="023E7359" w14:textId="7DB7795B" w:rsidR="007C408C" w:rsidRPr="00BD01B7" w:rsidRDefault="007C408C" w:rsidP="007C408C">
            <w:pPr>
              <w:rPr>
                <w:rFonts w:ascii="Arial" w:hAnsi="Arial" w:cs="Arial"/>
                <w:b/>
                <w:bCs/>
              </w:rPr>
            </w:pPr>
            <w:r w:rsidRPr="00C276EF">
              <w:rPr>
                <w:rFonts w:ascii="Arial" w:hAnsi="Arial" w:cs="Arial"/>
              </w:rPr>
              <w:t>96%</w:t>
            </w:r>
          </w:p>
        </w:tc>
      </w:tr>
    </w:tbl>
    <w:p w14:paraId="02C49A36" w14:textId="77777777" w:rsidR="007C408C" w:rsidRPr="00C276EF" w:rsidRDefault="007C408C" w:rsidP="00C276EF">
      <w:pPr>
        <w:rPr>
          <w:rFonts w:ascii="Arial" w:hAnsi="Arial" w:cs="Arial"/>
          <w:b/>
          <w:bCs/>
        </w:rPr>
      </w:pPr>
    </w:p>
    <w:p w14:paraId="4C879C41" w14:textId="77777777" w:rsidR="00C276EF" w:rsidRPr="00C276EF" w:rsidRDefault="00C276EF" w:rsidP="00C276EF">
      <w:pPr>
        <w:rPr>
          <w:rFonts w:ascii="Arial" w:hAnsi="Arial" w:cs="Arial"/>
        </w:rPr>
      </w:pPr>
      <w:r w:rsidRPr="00C276EF">
        <w:rPr>
          <w:rFonts w:ascii="Arial" w:hAnsi="Arial" w:cs="Arial"/>
          <w:b/>
          <w:bCs/>
        </w:rPr>
        <w:t>Interpretation:</w:t>
      </w:r>
      <w:r w:rsidRPr="00C276EF">
        <w:rPr>
          <w:rFonts w:ascii="Arial" w:hAnsi="Arial" w:cs="Arial"/>
        </w:rPr>
        <w:br/>
        <w:t>Most participants are aware that lifestyle affects aging and are willing to adopt lifestyle changes.</w:t>
      </w:r>
    </w:p>
    <w:p w14:paraId="669EBC96" w14:textId="77777777" w:rsidR="00C276EF" w:rsidRPr="00C276EF" w:rsidRDefault="00C276EF" w:rsidP="00C276EF">
      <w:pPr>
        <w:rPr>
          <w:rFonts w:ascii="Arial" w:hAnsi="Arial" w:cs="Arial"/>
          <w:b/>
          <w:bCs/>
        </w:rPr>
      </w:pPr>
      <w:r w:rsidRPr="00C276EF">
        <w:rPr>
          <w:rFonts w:ascii="Arial" w:hAnsi="Arial" w:cs="Arial"/>
          <w:b/>
          <w:bCs/>
        </w:rPr>
        <w:t>6. Results of the Study</w:t>
      </w:r>
    </w:p>
    <w:p w14:paraId="72B5A6EC" w14:textId="77777777" w:rsidR="00C276EF" w:rsidRPr="00C276EF" w:rsidRDefault="00C276EF" w:rsidP="00C276EF">
      <w:pPr>
        <w:rPr>
          <w:rFonts w:ascii="Arial" w:hAnsi="Arial" w:cs="Arial"/>
        </w:rPr>
      </w:pPr>
      <w:r w:rsidRPr="00C276EF">
        <w:rPr>
          <w:rFonts w:ascii="Arial" w:hAnsi="Arial" w:cs="Arial"/>
        </w:rPr>
        <w:t>The results of the study show that:</w:t>
      </w:r>
    </w:p>
    <w:p w14:paraId="3DD1A32C"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Majority participants have low physical activity. </w:t>
      </w:r>
    </w:p>
    <w:p w14:paraId="2E6D9724"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Many participants have inadequate sleep. </w:t>
      </w:r>
    </w:p>
    <w:p w14:paraId="3D4C16D8"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Stress levels are high among participants. </w:t>
      </w:r>
    </w:p>
    <w:p w14:paraId="2B154359"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Junk food consumption is common. </w:t>
      </w:r>
    </w:p>
    <w:p w14:paraId="69C56FDE"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Participants are aware about reverse aging. </w:t>
      </w:r>
    </w:p>
    <w:p w14:paraId="56617CE0"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Participants are willing to change lifestyle habits. </w:t>
      </w:r>
    </w:p>
    <w:p w14:paraId="7500866C" w14:textId="77777777" w:rsidR="00C276EF" w:rsidRPr="00C276EF" w:rsidRDefault="00C276EF" w:rsidP="00C276EF">
      <w:pPr>
        <w:rPr>
          <w:rFonts w:ascii="Arial" w:hAnsi="Arial" w:cs="Arial"/>
        </w:rPr>
      </w:pPr>
      <w:r w:rsidRPr="00C276EF">
        <w:rPr>
          <w:rFonts w:ascii="Arial" w:hAnsi="Arial" w:cs="Arial"/>
        </w:rPr>
        <w:t>These factors are associated with early biological aging.</w:t>
      </w:r>
    </w:p>
    <w:p w14:paraId="0214B9F1" w14:textId="77777777" w:rsidR="00C276EF" w:rsidRPr="00C276EF" w:rsidRDefault="00C276EF" w:rsidP="00C276EF">
      <w:pPr>
        <w:rPr>
          <w:rFonts w:ascii="Arial" w:hAnsi="Arial" w:cs="Arial"/>
          <w:b/>
          <w:bCs/>
        </w:rPr>
      </w:pPr>
      <w:r w:rsidRPr="00C276EF">
        <w:rPr>
          <w:rFonts w:ascii="Arial" w:hAnsi="Arial" w:cs="Arial"/>
          <w:b/>
          <w:bCs/>
        </w:rPr>
        <w:t>7. Discussion</w:t>
      </w:r>
    </w:p>
    <w:p w14:paraId="702E00B4" w14:textId="77777777" w:rsidR="00C276EF" w:rsidRPr="00C276EF" w:rsidRDefault="00C276EF" w:rsidP="00C276EF">
      <w:pPr>
        <w:rPr>
          <w:rFonts w:ascii="Arial" w:hAnsi="Arial" w:cs="Arial"/>
        </w:rPr>
      </w:pPr>
      <w:r w:rsidRPr="00C276EF">
        <w:rPr>
          <w:rFonts w:ascii="Arial" w:hAnsi="Arial" w:cs="Arial"/>
        </w:rPr>
        <w:t>The present study shows that lifestyle factors such as physical inactivity, poor sleep, stress, and unhealthy diet are common among adults and may contribute to early biological aging. These findings are supported by previous research studies which show that lifestyle habits influence metabolic health, inflammation, and cellular aging.</w:t>
      </w:r>
    </w:p>
    <w:p w14:paraId="2FDDF567" w14:textId="77777777" w:rsidR="00C276EF" w:rsidRPr="00C276EF" w:rsidRDefault="00C276EF" w:rsidP="00C276EF">
      <w:pPr>
        <w:rPr>
          <w:rFonts w:ascii="Arial" w:hAnsi="Arial" w:cs="Arial"/>
        </w:rPr>
      </w:pPr>
      <w:r w:rsidRPr="00C276EF">
        <w:rPr>
          <w:rFonts w:ascii="Arial" w:hAnsi="Arial" w:cs="Arial"/>
        </w:rPr>
        <w:t>Physical inactivity reduces metabolic rate and increases fat accumulation, which leads to metabolic diseases. Poor sleep affects hormonal balance and increases stress levels. Chronic stress increases cortisol hormone, which accelerates aging. Junk food consumption increases oxidative stress and inflammation.</w:t>
      </w:r>
    </w:p>
    <w:p w14:paraId="711C2C22" w14:textId="77777777" w:rsidR="00C276EF" w:rsidRPr="00C276EF" w:rsidRDefault="00C276EF" w:rsidP="00C276EF">
      <w:pPr>
        <w:rPr>
          <w:rFonts w:ascii="Arial" w:hAnsi="Arial" w:cs="Arial"/>
        </w:rPr>
      </w:pPr>
      <w:r w:rsidRPr="00C276EF">
        <w:rPr>
          <w:rFonts w:ascii="Arial" w:hAnsi="Arial" w:cs="Arial"/>
        </w:rPr>
        <w:t>However, the positive finding of this study is that most participants are aware that lifestyle affects aging and are willing to change their lifestyle habits. This indicates that lifestyle intervention programs can be effective in preventing early biological aging.</w:t>
      </w:r>
    </w:p>
    <w:p w14:paraId="60D60BA3" w14:textId="77777777" w:rsidR="00C276EF" w:rsidRPr="00C276EF" w:rsidRDefault="00C276EF" w:rsidP="00C276EF">
      <w:pPr>
        <w:rPr>
          <w:rFonts w:ascii="Arial" w:hAnsi="Arial" w:cs="Arial"/>
        </w:rPr>
      </w:pPr>
      <w:r w:rsidRPr="00C276EF">
        <w:rPr>
          <w:rFonts w:ascii="Arial" w:hAnsi="Arial" w:cs="Arial"/>
        </w:rPr>
        <w:t>Preventive healthcare programs focusing on lifestyle modification can reduce healthcare burden and improve quality of life.</w:t>
      </w:r>
    </w:p>
    <w:p w14:paraId="444E4D61" w14:textId="77777777" w:rsidR="00C276EF" w:rsidRPr="00C276EF" w:rsidRDefault="00C276EF" w:rsidP="00C276EF">
      <w:pPr>
        <w:rPr>
          <w:rFonts w:ascii="Arial" w:hAnsi="Arial" w:cs="Arial"/>
          <w:b/>
          <w:bCs/>
        </w:rPr>
      </w:pPr>
      <w:r w:rsidRPr="00C276EF">
        <w:rPr>
          <w:rFonts w:ascii="Arial" w:hAnsi="Arial" w:cs="Arial"/>
          <w:b/>
          <w:bCs/>
        </w:rPr>
        <w:t>8. Major Findings</w:t>
      </w:r>
    </w:p>
    <w:p w14:paraId="0AFB4A3F"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64% participants have low physical activity. </w:t>
      </w:r>
    </w:p>
    <w:p w14:paraId="655C1BB7"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32% participants have inadequate sleep. </w:t>
      </w:r>
    </w:p>
    <w:p w14:paraId="19A02A9A"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80% participants experience stress. </w:t>
      </w:r>
    </w:p>
    <w:p w14:paraId="308F17BC"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84% participants consume junk food weekly. </w:t>
      </w:r>
    </w:p>
    <w:p w14:paraId="7C8E4D34"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92% participants believe lifestyle affects aging. </w:t>
      </w:r>
    </w:p>
    <w:p w14:paraId="7A34AFC9"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96% participants are willing to change lifestyle. </w:t>
      </w:r>
    </w:p>
    <w:p w14:paraId="4766236C" w14:textId="77777777" w:rsidR="00C276EF" w:rsidRPr="00C276EF" w:rsidRDefault="00C276EF" w:rsidP="00C276EF">
      <w:pPr>
        <w:rPr>
          <w:rFonts w:ascii="Arial" w:hAnsi="Arial" w:cs="Arial"/>
          <w:b/>
          <w:bCs/>
        </w:rPr>
      </w:pPr>
      <w:r w:rsidRPr="00C276EF">
        <w:rPr>
          <w:rFonts w:ascii="Arial" w:hAnsi="Arial" w:cs="Arial"/>
          <w:b/>
          <w:bCs/>
        </w:rPr>
        <w:lastRenderedPageBreak/>
        <w:t>9. Conclusion</w:t>
      </w:r>
    </w:p>
    <w:p w14:paraId="2CC9586D" w14:textId="371D798B" w:rsidR="001B0245" w:rsidRPr="001B0245" w:rsidRDefault="001B0245" w:rsidP="001B0245">
      <w:pPr>
        <w:rPr>
          <w:rFonts w:ascii="Arial" w:hAnsi="Arial" w:cs="Arial"/>
        </w:rPr>
      </w:pPr>
      <w:r w:rsidRPr="001B0245">
        <w:rPr>
          <w:rFonts w:ascii="Arial" w:hAnsi="Arial" w:cs="Arial"/>
        </w:rPr>
        <w:t>The present study concludes that early biological aging among Indian adults is significantly influenced by modifiable lifestyle factors rather than chronological age alone. The findings of the study indicate that a large proportion of participants are exposed to risk factors such as low physical activity, high stress levels, inadequate sleep, and frequent consumption of unhealthy food. These lifestyle behaviours are known to contribute to metabolic imbalance, inflammation, hormonal disruption, and reduced cellular repair, all of which accelerate biological aging.</w:t>
      </w:r>
    </w:p>
    <w:p w14:paraId="43520F4F" w14:textId="0CAA9ADA" w:rsidR="001B0245" w:rsidRPr="001B0245" w:rsidRDefault="001B0245" w:rsidP="001B0245">
      <w:pPr>
        <w:rPr>
          <w:rFonts w:ascii="Arial" w:hAnsi="Arial" w:cs="Arial"/>
        </w:rPr>
      </w:pPr>
      <w:r w:rsidRPr="001B0245">
        <w:rPr>
          <w:rFonts w:ascii="Arial" w:hAnsi="Arial" w:cs="Arial"/>
        </w:rPr>
        <w:t>The study also highlights an important and encouraging finding that most participants are aware that lifestyle plays a major role in aging and expressed willingness to adopt healthier lifestyle practices. This indicates that early biological aging is not only preventable but also potentially reversible through appropriate lifestyle interventions. The concept of reverse aging in this context refers to slowing down the rate of biological aging, improving physiological health, and increasing health span through sustainable lifestyle modifications such as regular physical activity, balanced nutrition, stress management, and adequate sleep.</w:t>
      </w:r>
    </w:p>
    <w:p w14:paraId="3E222F01" w14:textId="77777777" w:rsidR="001B0245" w:rsidRPr="001B0245" w:rsidRDefault="001B0245" w:rsidP="001B0245">
      <w:pPr>
        <w:rPr>
          <w:rFonts w:ascii="Arial" w:hAnsi="Arial" w:cs="Arial"/>
        </w:rPr>
      </w:pPr>
      <w:r w:rsidRPr="001B0245">
        <w:rPr>
          <w:rFonts w:ascii="Arial" w:hAnsi="Arial" w:cs="Arial"/>
        </w:rPr>
        <w:t>The study emphasizes that biological aging should be viewed as a lifestyle-related health outcome rather than an inevitable consequence of chronological age. Preventive healthcare strategies focusing on lifestyle modification can play a crucial role in reducing early onset of lifestyle diseases such as diabetes, hypertension, and cardiovascular disorders, which are increasingly affecting younger Indian adults.</w:t>
      </w:r>
    </w:p>
    <w:p w14:paraId="40720305" w14:textId="235559E3" w:rsidR="001B0245" w:rsidRPr="001B0245" w:rsidRDefault="001B0245" w:rsidP="001B0245">
      <w:pPr>
        <w:rPr>
          <w:rFonts w:ascii="Arial" w:hAnsi="Arial" w:cs="Arial"/>
        </w:rPr>
      </w:pPr>
      <w:r>
        <w:rPr>
          <w:rFonts w:ascii="Arial" w:hAnsi="Arial" w:cs="Arial"/>
        </w:rPr>
        <w:t>T</w:t>
      </w:r>
      <w:r w:rsidRPr="001B0245">
        <w:rPr>
          <w:rFonts w:ascii="Arial" w:hAnsi="Arial" w:cs="Arial"/>
        </w:rPr>
        <w:t>he study suggests that there is a strong need for lifestyle education, workplace wellness programs, and public health awareness initiatives to promote healthy lifestyle habits among adults. Early intervention through lifestyle modification can significantly improve quality of life, reduce healthcare burden, and promote healthy aging in the Indian population.</w:t>
      </w:r>
    </w:p>
    <w:p w14:paraId="7BE33E92" w14:textId="256FEE96" w:rsidR="001B0245" w:rsidRPr="00C276EF" w:rsidRDefault="001B0245" w:rsidP="00C276EF">
      <w:pPr>
        <w:rPr>
          <w:rFonts w:ascii="Arial" w:hAnsi="Arial" w:cs="Arial"/>
        </w:rPr>
      </w:pPr>
      <w:r w:rsidRPr="001B0245">
        <w:rPr>
          <w:rFonts w:ascii="Arial" w:hAnsi="Arial" w:cs="Arial"/>
        </w:rPr>
        <w:t>In conclusion, early biological aging in Indian adults is largely lifestyle-driven and modifiable. The potential for reverse aging exists through consistent and healthy lifestyle practices. Therefore, adopting a preventive and lifestyle-based approach to health can help individuals not only live longer but also live healthier lives with improved physical, mental, and metabolic well-being.</w:t>
      </w:r>
    </w:p>
    <w:p w14:paraId="5F95E031" w14:textId="77777777" w:rsidR="00C276EF" w:rsidRPr="00C276EF" w:rsidRDefault="00C276EF" w:rsidP="00C276EF">
      <w:pPr>
        <w:rPr>
          <w:rFonts w:ascii="Arial" w:hAnsi="Arial" w:cs="Arial"/>
          <w:b/>
          <w:bCs/>
        </w:rPr>
      </w:pPr>
      <w:r w:rsidRPr="00C276EF">
        <w:rPr>
          <w:rFonts w:ascii="Arial" w:hAnsi="Arial" w:cs="Arial"/>
          <w:b/>
          <w:bCs/>
        </w:rPr>
        <w:t>10. Recommendations</w:t>
      </w:r>
    </w:p>
    <w:p w14:paraId="13C6B456"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Individuals should engage in regular physical activity. </w:t>
      </w:r>
    </w:p>
    <w:p w14:paraId="4900F65F"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Sleep duration should be at least 7–8 hours per day. </w:t>
      </w:r>
    </w:p>
    <w:p w14:paraId="44F87E04"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Stress management techniques such as yoga and meditation should be practiced. </w:t>
      </w:r>
    </w:p>
    <w:p w14:paraId="0C0741B0"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Junk food consumption should be reduced. </w:t>
      </w:r>
    </w:p>
    <w:p w14:paraId="0D6FB570"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Awareness programs on lifestyle and aging should be conducted. </w:t>
      </w:r>
    </w:p>
    <w:p w14:paraId="11903B85"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Preventive healthcare programs should be promoted. </w:t>
      </w:r>
    </w:p>
    <w:p w14:paraId="72473C7C" w14:textId="49B43DF4" w:rsidR="00C276EF" w:rsidRPr="00C276EF" w:rsidRDefault="00C276EF" w:rsidP="001B0245">
      <w:pPr>
        <w:spacing w:after="0"/>
        <w:ind w:left="720"/>
        <w:rPr>
          <w:rFonts w:ascii="Arial" w:hAnsi="Arial" w:cs="Arial"/>
        </w:rPr>
      </w:pPr>
      <w:r w:rsidRPr="00C276EF">
        <w:rPr>
          <w:rFonts w:ascii="Arial" w:hAnsi="Arial" w:cs="Arial"/>
        </w:rPr>
        <w:t xml:space="preserve"> </w:t>
      </w:r>
    </w:p>
    <w:p w14:paraId="3BC7DBE9" w14:textId="4538FD66" w:rsidR="00C276EF" w:rsidRPr="00C276EF" w:rsidRDefault="00C276EF" w:rsidP="00C276EF">
      <w:pPr>
        <w:rPr>
          <w:rFonts w:ascii="Arial" w:hAnsi="Arial" w:cs="Arial"/>
          <w:b/>
          <w:bCs/>
        </w:rPr>
      </w:pPr>
      <w:r w:rsidRPr="00C276EF">
        <w:rPr>
          <w:rFonts w:ascii="Arial" w:hAnsi="Arial" w:cs="Arial"/>
          <w:b/>
          <w:bCs/>
        </w:rPr>
        <w:t>1</w:t>
      </w:r>
      <w:r w:rsidR="001B0245">
        <w:rPr>
          <w:rFonts w:ascii="Arial" w:hAnsi="Arial" w:cs="Arial"/>
          <w:b/>
          <w:bCs/>
        </w:rPr>
        <w:t>1</w:t>
      </w:r>
      <w:r w:rsidRPr="00C276EF">
        <w:rPr>
          <w:rFonts w:ascii="Arial" w:hAnsi="Arial" w:cs="Arial"/>
          <w:b/>
          <w:bCs/>
        </w:rPr>
        <w:t>. Limitations of the Study</w:t>
      </w:r>
    </w:p>
    <w:p w14:paraId="7D4C4B76"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sample size was small (25 participants). </w:t>
      </w:r>
    </w:p>
    <w:p w14:paraId="72F7FB8E"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study was based on self-reported data. </w:t>
      </w:r>
    </w:p>
    <w:p w14:paraId="2E7A6302"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study was conducted for limited </w:t>
      </w:r>
      <w:proofErr w:type="gramStart"/>
      <w:r w:rsidRPr="00C276EF">
        <w:rPr>
          <w:rFonts w:ascii="Arial" w:hAnsi="Arial" w:cs="Arial"/>
        </w:rPr>
        <w:t>time period</w:t>
      </w:r>
      <w:proofErr w:type="gramEnd"/>
      <w:r w:rsidRPr="00C276EF">
        <w:rPr>
          <w:rFonts w:ascii="Arial" w:hAnsi="Arial" w:cs="Arial"/>
        </w:rPr>
        <w:t xml:space="preserve">. </w:t>
      </w:r>
    </w:p>
    <w:p w14:paraId="28351746"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study focused only on lifestyle factors. </w:t>
      </w:r>
    </w:p>
    <w:p w14:paraId="537111E8" w14:textId="4F5A549D" w:rsidR="00C276EF" w:rsidRPr="00C276EF" w:rsidRDefault="00C276EF" w:rsidP="00C276EF">
      <w:pPr>
        <w:rPr>
          <w:rFonts w:ascii="Arial" w:hAnsi="Arial" w:cs="Arial"/>
          <w:b/>
          <w:bCs/>
        </w:rPr>
      </w:pPr>
      <w:r w:rsidRPr="00C276EF">
        <w:rPr>
          <w:rFonts w:ascii="Arial" w:hAnsi="Arial" w:cs="Arial"/>
          <w:b/>
          <w:bCs/>
        </w:rPr>
        <w:t>1</w:t>
      </w:r>
      <w:r w:rsidR="001B0245">
        <w:rPr>
          <w:rFonts w:ascii="Arial" w:hAnsi="Arial" w:cs="Arial"/>
          <w:b/>
          <w:bCs/>
        </w:rPr>
        <w:t>2</w:t>
      </w:r>
      <w:r w:rsidRPr="00C276EF">
        <w:rPr>
          <w:rFonts w:ascii="Arial" w:hAnsi="Arial" w:cs="Arial"/>
          <w:b/>
          <w:bCs/>
        </w:rPr>
        <w:t>. Suggestions for Future Research</w:t>
      </w:r>
    </w:p>
    <w:p w14:paraId="33C8C667" w14:textId="77777777" w:rsidR="00C276EF" w:rsidRPr="00C276EF" w:rsidRDefault="00C276EF" w:rsidP="001B0245">
      <w:pPr>
        <w:numPr>
          <w:ilvl w:val="0"/>
          <w:numId w:val="9"/>
        </w:numPr>
        <w:spacing w:after="0"/>
        <w:rPr>
          <w:rFonts w:ascii="Arial" w:hAnsi="Arial" w:cs="Arial"/>
        </w:rPr>
      </w:pPr>
      <w:r w:rsidRPr="00C276EF">
        <w:rPr>
          <w:rFonts w:ascii="Arial" w:hAnsi="Arial" w:cs="Arial"/>
        </w:rPr>
        <w:t xml:space="preserve">Study can be conducted on larger sample size. </w:t>
      </w:r>
    </w:p>
    <w:p w14:paraId="38701E15" w14:textId="77777777" w:rsidR="00C276EF" w:rsidRPr="00C276EF" w:rsidRDefault="00C276EF" w:rsidP="001B0245">
      <w:pPr>
        <w:numPr>
          <w:ilvl w:val="0"/>
          <w:numId w:val="9"/>
        </w:numPr>
        <w:spacing w:after="0"/>
        <w:rPr>
          <w:rFonts w:ascii="Arial" w:hAnsi="Arial" w:cs="Arial"/>
        </w:rPr>
      </w:pPr>
      <w:r w:rsidRPr="00C276EF">
        <w:rPr>
          <w:rFonts w:ascii="Arial" w:hAnsi="Arial" w:cs="Arial"/>
        </w:rPr>
        <w:lastRenderedPageBreak/>
        <w:t xml:space="preserve">Biological markers can be included. </w:t>
      </w:r>
    </w:p>
    <w:p w14:paraId="403EDC1A" w14:textId="77777777" w:rsidR="00C276EF" w:rsidRPr="00C276EF" w:rsidRDefault="00C276EF" w:rsidP="001B0245">
      <w:pPr>
        <w:numPr>
          <w:ilvl w:val="0"/>
          <w:numId w:val="9"/>
        </w:numPr>
        <w:spacing w:after="0"/>
        <w:rPr>
          <w:rFonts w:ascii="Arial" w:hAnsi="Arial" w:cs="Arial"/>
        </w:rPr>
      </w:pPr>
      <w:r w:rsidRPr="00C276EF">
        <w:rPr>
          <w:rFonts w:ascii="Arial" w:hAnsi="Arial" w:cs="Arial"/>
        </w:rPr>
        <w:t xml:space="preserve">Longitudinal study can be conducted. </w:t>
      </w:r>
    </w:p>
    <w:p w14:paraId="468EAE6E" w14:textId="77777777" w:rsidR="00C276EF" w:rsidRPr="00BD01B7" w:rsidRDefault="00C276EF" w:rsidP="001B0245">
      <w:pPr>
        <w:numPr>
          <w:ilvl w:val="0"/>
          <w:numId w:val="9"/>
        </w:numPr>
        <w:spacing w:after="0"/>
        <w:rPr>
          <w:rFonts w:ascii="Arial" w:hAnsi="Arial" w:cs="Arial"/>
        </w:rPr>
      </w:pPr>
      <w:r w:rsidRPr="00C276EF">
        <w:rPr>
          <w:rFonts w:ascii="Arial" w:hAnsi="Arial" w:cs="Arial"/>
        </w:rPr>
        <w:t>Intervention-based study can be conducted.</w:t>
      </w:r>
    </w:p>
    <w:p w14:paraId="5FEDD3C0" w14:textId="0AD3F1AD" w:rsidR="00C276EF" w:rsidRPr="00BD01B7" w:rsidRDefault="00C276EF" w:rsidP="00C276EF">
      <w:pPr>
        <w:rPr>
          <w:rFonts w:ascii="Arial" w:hAnsi="Arial" w:cs="Arial"/>
          <w:b/>
          <w:bCs/>
        </w:rPr>
      </w:pPr>
      <w:r w:rsidRPr="00BD01B7">
        <w:rPr>
          <w:rFonts w:ascii="Arial" w:hAnsi="Arial" w:cs="Arial"/>
          <w:b/>
          <w:bCs/>
        </w:rPr>
        <w:t>1</w:t>
      </w:r>
      <w:r w:rsidR="001B0245">
        <w:rPr>
          <w:rFonts w:ascii="Arial" w:hAnsi="Arial" w:cs="Arial"/>
          <w:b/>
          <w:bCs/>
        </w:rPr>
        <w:t>3</w:t>
      </w:r>
      <w:r w:rsidRPr="00BD01B7">
        <w:rPr>
          <w:rFonts w:ascii="Arial" w:hAnsi="Arial" w:cs="Arial"/>
          <w:b/>
          <w:bCs/>
        </w:rPr>
        <w:t>.References (APA 7th Edition)</w:t>
      </w:r>
    </w:p>
    <w:p w14:paraId="41E15846" w14:textId="77777777" w:rsidR="00C276EF" w:rsidRPr="00BD01B7" w:rsidRDefault="00C276EF" w:rsidP="00C276EF">
      <w:pPr>
        <w:numPr>
          <w:ilvl w:val="0"/>
          <w:numId w:val="10"/>
        </w:numPr>
        <w:rPr>
          <w:rFonts w:ascii="Arial" w:hAnsi="Arial" w:cs="Arial"/>
        </w:rPr>
      </w:pPr>
      <w:r w:rsidRPr="00BD01B7">
        <w:rPr>
          <w:rFonts w:ascii="Arial" w:hAnsi="Arial" w:cs="Arial"/>
        </w:rPr>
        <w:t xml:space="preserve">Fahy, G. M., Brooke, R. T., Watson, J. P., Good, Z., </w:t>
      </w:r>
      <w:proofErr w:type="spellStart"/>
      <w:r w:rsidRPr="00BD01B7">
        <w:rPr>
          <w:rFonts w:ascii="Arial" w:hAnsi="Arial" w:cs="Arial"/>
        </w:rPr>
        <w:t>Vasanawala</w:t>
      </w:r>
      <w:proofErr w:type="spellEnd"/>
      <w:r w:rsidRPr="00BD01B7">
        <w:rPr>
          <w:rFonts w:ascii="Arial" w:hAnsi="Arial" w:cs="Arial"/>
        </w:rPr>
        <w:t xml:space="preserve">, S. S., </w:t>
      </w:r>
      <w:proofErr w:type="spellStart"/>
      <w:r w:rsidRPr="00BD01B7">
        <w:rPr>
          <w:rFonts w:ascii="Arial" w:hAnsi="Arial" w:cs="Arial"/>
        </w:rPr>
        <w:t>Maecker</w:t>
      </w:r>
      <w:proofErr w:type="spellEnd"/>
      <w:r w:rsidRPr="00BD01B7">
        <w:rPr>
          <w:rFonts w:ascii="Arial" w:hAnsi="Arial" w:cs="Arial"/>
        </w:rPr>
        <w:t>, H., Leipold, M. D., Lin, D. T., Kobor, M. S., &amp; Horvath, S. (2019). Reversal of epigenetic aging and immunosenescent trends in humans. Aging Cell, 18(6), e13028. https://doi.org/10.1111/acel.13028</w:t>
      </w:r>
    </w:p>
    <w:p w14:paraId="7D044201" w14:textId="77777777" w:rsidR="00C276EF" w:rsidRPr="00BD01B7" w:rsidRDefault="00C276EF" w:rsidP="00C276EF">
      <w:pPr>
        <w:numPr>
          <w:ilvl w:val="0"/>
          <w:numId w:val="10"/>
        </w:numPr>
        <w:rPr>
          <w:rFonts w:ascii="Arial" w:hAnsi="Arial" w:cs="Arial"/>
        </w:rPr>
      </w:pPr>
      <w:r w:rsidRPr="00BD01B7">
        <w:rPr>
          <w:rFonts w:ascii="Arial" w:hAnsi="Arial" w:cs="Arial"/>
        </w:rPr>
        <w:t xml:space="preserve">Levine, M. E., Lu, A. T., Quach, A., Chen, B. H., </w:t>
      </w:r>
      <w:proofErr w:type="spellStart"/>
      <w:r w:rsidRPr="00BD01B7">
        <w:rPr>
          <w:rFonts w:ascii="Arial" w:hAnsi="Arial" w:cs="Arial"/>
        </w:rPr>
        <w:t>Assimes</w:t>
      </w:r>
      <w:proofErr w:type="spellEnd"/>
      <w:r w:rsidRPr="00BD01B7">
        <w:rPr>
          <w:rFonts w:ascii="Arial" w:hAnsi="Arial" w:cs="Arial"/>
        </w:rPr>
        <w:t xml:space="preserve">, T. L., Bandinelli, S., Hou, L., </w:t>
      </w:r>
      <w:proofErr w:type="spellStart"/>
      <w:r w:rsidRPr="00BD01B7">
        <w:rPr>
          <w:rFonts w:ascii="Arial" w:hAnsi="Arial" w:cs="Arial"/>
        </w:rPr>
        <w:t>Baccarelli</w:t>
      </w:r>
      <w:proofErr w:type="spellEnd"/>
      <w:r w:rsidRPr="00BD01B7">
        <w:rPr>
          <w:rFonts w:ascii="Arial" w:hAnsi="Arial" w:cs="Arial"/>
        </w:rPr>
        <w:t xml:space="preserve">, A. A., Stewart, J. D., Li, Y., Whitsel, E. A., Wilson, J. G., Reiner, A. P., Aviv, A., Lohman, K., Liu, Y., Ferrucci, L., &amp; Horvath, S. (2018). An epigenetic biomarker of aging for lifespan and </w:t>
      </w:r>
      <w:proofErr w:type="spellStart"/>
      <w:r w:rsidRPr="00BD01B7">
        <w:rPr>
          <w:rFonts w:ascii="Arial" w:hAnsi="Arial" w:cs="Arial"/>
        </w:rPr>
        <w:t>healthspan</w:t>
      </w:r>
      <w:proofErr w:type="spellEnd"/>
      <w:r w:rsidRPr="00BD01B7">
        <w:rPr>
          <w:rFonts w:ascii="Arial" w:hAnsi="Arial" w:cs="Arial"/>
        </w:rPr>
        <w:t xml:space="preserve">. Aging, 10(4), 573–591. </w:t>
      </w:r>
      <w:hyperlink r:id="rId5" w:tgtFrame="_new" w:history="1">
        <w:r w:rsidRPr="00BD01B7">
          <w:rPr>
            <w:rFonts w:ascii="Arial" w:hAnsi="Arial" w:cs="Arial"/>
          </w:rPr>
          <w:t>https://doi.org/10.18632/aging.101414</w:t>
        </w:r>
      </w:hyperlink>
    </w:p>
    <w:p w14:paraId="276512A1" w14:textId="77777777" w:rsidR="00C276EF" w:rsidRPr="00BD01B7" w:rsidRDefault="00C276EF" w:rsidP="00C276EF">
      <w:pPr>
        <w:numPr>
          <w:ilvl w:val="0"/>
          <w:numId w:val="10"/>
        </w:numPr>
        <w:rPr>
          <w:rFonts w:ascii="Arial" w:hAnsi="Arial" w:cs="Arial"/>
        </w:rPr>
      </w:pPr>
      <w:r w:rsidRPr="00BD01B7">
        <w:rPr>
          <w:rFonts w:ascii="Arial" w:hAnsi="Arial" w:cs="Arial"/>
        </w:rPr>
        <w:t xml:space="preserve">Misra, A., &amp; Khurana, L. (2011). Obesity and the metabolic syndrome in developing countries. The Journal of Clinical Endocrinology &amp; Metabolism, 93(11), S9–S30. </w:t>
      </w:r>
      <w:hyperlink r:id="rId6" w:tgtFrame="_new" w:history="1">
        <w:r w:rsidRPr="00BD01B7">
          <w:rPr>
            <w:rFonts w:ascii="Arial" w:hAnsi="Arial" w:cs="Arial"/>
          </w:rPr>
          <w:t>https://doi.org/10.1210/jc.2008-1595</w:t>
        </w:r>
      </w:hyperlink>
    </w:p>
    <w:p w14:paraId="6B88847A" w14:textId="77777777" w:rsidR="00C276EF" w:rsidRPr="00BD01B7" w:rsidRDefault="00C276EF" w:rsidP="00C276EF">
      <w:pPr>
        <w:numPr>
          <w:ilvl w:val="0"/>
          <w:numId w:val="10"/>
        </w:numPr>
        <w:rPr>
          <w:rFonts w:ascii="Arial" w:hAnsi="Arial" w:cs="Arial"/>
        </w:rPr>
      </w:pPr>
      <w:r w:rsidRPr="00BD01B7">
        <w:rPr>
          <w:rFonts w:ascii="Arial" w:hAnsi="Arial" w:cs="Arial"/>
        </w:rPr>
        <w:t>Sinclair, D. A. (2019). Lifespan: Why we age—and why we don’t have to. Atria Books.</w:t>
      </w:r>
    </w:p>
    <w:p w14:paraId="6F4F1BED" w14:textId="77777777" w:rsidR="00C276EF" w:rsidRPr="00BD01B7" w:rsidRDefault="00C276EF" w:rsidP="00C276EF">
      <w:pPr>
        <w:numPr>
          <w:ilvl w:val="0"/>
          <w:numId w:val="10"/>
        </w:numPr>
        <w:rPr>
          <w:rFonts w:ascii="Arial" w:hAnsi="Arial" w:cs="Arial"/>
        </w:rPr>
      </w:pPr>
      <w:r w:rsidRPr="00BD01B7">
        <w:rPr>
          <w:rFonts w:ascii="Arial" w:hAnsi="Arial" w:cs="Arial"/>
        </w:rPr>
        <w:t>World Health Organization. (2020). Preventing chronic diseases: A vital investment. World Health Organization.</w:t>
      </w:r>
    </w:p>
    <w:p w14:paraId="48EF4A9C" w14:textId="77777777" w:rsidR="00C276EF" w:rsidRPr="00BD01B7" w:rsidRDefault="00C276EF" w:rsidP="00C276EF">
      <w:pPr>
        <w:numPr>
          <w:ilvl w:val="0"/>
          <w:numId w:val="10"/>
        </w:numPr>
        <w:rPr>
          <w:rFonts w:ascii="Arial" w:hAnsi="Arial" w:cs="Arial"/>
        </w:rPr>
      </w:pPr>
      <w:proofErr w:type="spellStart"/>
      <w:r w:rsidRPr="00BD01B7">
        <w:rPr>
          <w:rFonts w:ascii="Arial" w:hAnsi="Arial" w:cs="Arial"/>
        </w:rPr>
        <w:t>Yajnik</w:t>
      </w:r>
      <w:proofErr w:type="spellEnd"/>
      <w:r w:rsidRPr="00BD01B7">
        <w:rPr>
          <w:rFonts w:ascii="Arial" w:hAnsi="Arial" w:cs="Arial"/>
        </w:rPr>
        <w:t>, C. S. (2004). Early life origins of insulin resistance and type 2 diabetes in India and other Asian countries. The Journal of Nutrition, 134(1), 205–210. https://doi.org/10.1093/jn/134.1.205</w:t>
      </w:r>
    </w:p>
    <w:p w14:paraId="1F0E11B9" w14:textId="77777777" w:rsidR="00C276EF" w:rsidRPr="00BD01B7" w:rsidRDefault="00C276EF" w:rsidP="00C276EF">
      <w:pPr>
        <w:numPr>
          <w:ilvl w:val="0"/>
          <w:numId w:val="10"/>
        </w:numPr>
        <w:rPr>
          <w:rFonts w:ascii="Arial" w:hAnsi="Arial" w:cs="Arial"/>
        </w:rPr>
      </w:pPr>
      <w:r w:rsidRPr="00BD01B7">
        <w:rPr>
          <w:rFonts w:ascii="Arial" w:hAnsi="Arial" w:cs="Arial"/>
        </w:rPr>
        <w:t xml:space="preserve">Irwin, M. R. (2015). Why sleep is important for health: A psychoneuroimmunology perspective. Annual Review of Psychology, 66, 143–172. </w:t>
      </w:r>
      <w:hyperlink r:id="rId7" w:tgtFrame="_new" w:history="1">
        <w:r w:rsidRPr="00BD01B7">
          <w:rPr>
            <w:rFonts w:ascii="Arial" w:hAnsi="Arial" w:cs="Arial"/>
          </w:rPr>
          <w:t>https://doi.org/10.1146/annurev-psych-010213-115205</w:t>
        </w:r>
      </w:hyperlink>
    </w:p>
    <w:p w14:paraId="79CAB1E2" w14:textId="77777777" w:rsidR="00C276EF" w:rsidRPr="00BD01B7" w:rsidRDefault="00C276EF" w:rsidP="00C276EF">
      <w:pPr>
        <w:numPr>
          <w:ilvl w:val="0"/>
          <w:numId w:val="10"/>
        </w:numPr>
        <w:rPr>
          <w:rFonts w:ascii="Arial" w:hAnsi="Arial" w:cs="Arial"/>
        </w:rPr>
      </w:pPr>
      <w:r w:rsidRPr="00BD01B7">
        <w:rPr>
          <w:rFonts w:ascii="Arial" w:hAnsi="Arial" w:cs="Arial"/>
        </w:rPr>
        <w:t xml:space="preserve">Ornish, D., Lin, J., Chan, J. M., Epel, E., Kemp, C., Weidner, G., Marlin, R., Frenda, S. J., Magbanua, M. J. M., </w:t>
      </w:r>
      <w:proofErr w:type="spellStart"/>
      <w:r w:rsidRPr="00BD01B7">
        <w:rPr>
          <w:rFonts w:ascii="Arial" w:hAnsi="Arial" w:cs="Arial"/>
        </w:rPr>
        <w:t>Daubenmier</w:t>
      </w:r>
      <w:proofErr w:type="spellEnd"/>
      <w:r w:rsidRPr="00BD01B7">
        <w:rPr>
          <w:rFonts w:ascii="Arial" w:hAnsi="Arial" w:cs="Arial"/>
        </w:rPr>
        <w:t>, J., Estay, I., Hills, N. K., Chainani-Wu, N., Carroll, P. R., &amp; Blackburn, E. H. (2013). Effect of comprehensive lifestyle changes on telomerase activity and telomere length. The Lancet Oncology, 14(11), 1112–1120. https://doi.org/10.1016/S1470-2045(13)70366-8</w:t>
      </w:r>
    </w:p>
    <w:p w14:paraId="3A5953F7" w14:textId="77777777" w:rsidR="00BE3003" w:rsidRPr="00BD01B7" w:rsidRDefault="00BE3003" w:rsidP="001B0245">
      <w:pPr>
        <w:rPr>
          <w:rFonts w:ascii="Arial" w:hAnsi="Arial" w:cs="Arial"/>
        </w:rPr>
      </w:pPr>
    </w:p>
    <w:sectPr w:rsidR="00BE3003" w:rsidRPr="00BD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443"/>
    <w:multiLevelType w:val="multilevel"/>
    <w:tmpl w:val="9A20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32FC"/>
    <w:multiLevelType w:val="multilevel"/>
    <w:tmpl w:val="781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A0089"/>
    <w:multiLevelType w:val="multilevel"/>
    <w:tmpl w:val="967C9F7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150F7"/>
    <w:multiLevelType w:val="multilevel"/>
    <w:tmpl w:val="D348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D1C14"/>
    <w:multiLevelType w:val="multilevel"/>
    <w:tmpl w:val="781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E33464"/>
    <w:multiLevelType w:val="multilevel"/>
    <w:tmpl w:val="3A92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650C7"/>
    <w:multiLevelType w:val="multilevel"/>
    <w:tmpl w:val="6E58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33E0A"/>
    <w:multiLevelType w:val="multilevel"/>
    <w:tmpl w:val="69E0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81159"/>
    <w:multiLevelType w:val="multilevel"/>
    <w:tmpl w:val="7238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265FFE"/>
    <w:multiLevelType w:val="multilevel"/>
    <w:tmpl w:val="98F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560043">
    <w:abstractNumId w:val="5"/>
  </w:num>
  <w:num w:numId="2" w16cid:durableId="995574203">
    <w:abstractNumId w:val="6"/>
  </w:num>
  <w:num w:numId="3" w16cid:durableId="1638803450">
    <w:abstractNumId w:val="7"/>
  </w:num>
  <w:num w:numId="4" w16cid:durableId="634257559">
    <w:abstractNumId w:val="9"/>
  </w:num>
  <w:num w:numId="5" w16cid:durableId="742068852">
    <w:abstractNumId w:val="8"/>
  </w:num>
  <w:num w:numId="6" w16cid:durableId="214850055">
    <w:abstractNumId w:val="3"/>
  </w:num>
  <w:num w:numId="7" w16cid:durableId="436293970">
    <w:abstractNumId w:val="2"/>
  </w:num>
  <w:num w:numId="8" w16cid:durableId="1297249558">
    <w:abstractNumId w:val="0"/>
  </w:num>
  <w:num w:numId="9" w16cid:durableId="1060132578">
    <w:abstractNumId w:val="1"/>
  </w:num>
  <w:num w:numId="10" w16cid:durableId="1758483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BC"/>
    <w:rsid w:val="001B0245"/>
    <w:rsid w:val="00384226"/>
    <w:rsid w:val="004E5D14"/>
    <w:rsid w:val="004F4736"/>
    <w:rsid w:val="007C408C"/>
    <w:rsid w:val="00904F25"/>
    <w:rsid w:val="00BD01B7"/>
    <w:rsid w:val="00BE3003"/>
    <w:rsid w:val="00C276EF"/>
    <w:rsid w:val="00C4634C"/>
    <w:rsid w:val="00F60E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9241"/>
  <w15:chartTrackingRefBased/>
  <w15:docId w15:val="{2475FBF5-3E01-4413-98BC-8ABC9F7B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EBC"/>
    <w:rPr>
      <w:rFonts w:eastAsiaTheme="majorEastAsia" w:cstheme="majorBidi"/>
      <w:color w:val="272727" w:themeColor="text1" w:themeTint="D8"/>
    </w:rPr>
  </w:style>
  <w:style w:type="paragraph" w:styleId="Title">
    <w:name w:val="Title"/>
    <w:basedOn w:val="Normal"/>
    <w:next w:val="Normal"/>
    <w:link w:val="TitleChar"/>
    <w:uiPriority w:val="10"/>
    <w:qFormat/>
    <w:rsid w:val="00F6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EBC"/>
    <w:pPr>
      <w:spacing w:before="160"/>
      <w:jc w:val="center"/>
    </w:pPr>
    <w:rPr>
      <w:i/>
      <w:iCs/>
      <w:color w:val="404040" w:themeColor="text1" w:themeTint="BF"/>
    </w:rPr>
  </w:style>
  <w:style w:type="character" w:customStyle="1" w:styleId="QuoteChar">
    <w:name w:val="Quote Char"/>
    <w:basedOn w:val="DefaultParagraphFont"/>
    <w:link w:val="Quote"/>
    <w:uiPriority w:val="29"/>
    <w:rsid w:val="00F60EBC"/>
    <w:rPr>
      <w:i/>
      <w:iCs/>
      <w:color w:val="404040" w:themeColor="text1" w:themeTint="BF"/>
    </w:rPr>
  </w:style>
  <w:style w:type="paragraph" w:styleId="ListParagraph">
    <w:name w:val="List Paragraph"/>
    <w:basedOn w:val="Normal"/>
    <w:uiPriority w:val="34"/>
    <w:qFormat/>
    <w:rsid w:val="00F60EBC"/>
    <w:pPr>
      <w:ind w:left="720"/>
      <w:contextualSpacing/>
    </w:pPr>
  </w:style>
  <w:style w:type="character" w:styleId="IntenseEmphasis">
    <w:name w:val="Intense Emphasis"/>
    <w:basedOn w:val="DefaultParagraphFont"/>
    <w:uiPriority w:val="21"/>
    <w:qFormat/>
    <w:rsid w:val="00F60EBC"/>
    <w:rPr>
      <w:i/>
      <w:iCs/>
      <w:color w:val="0F4761" w:themeColor="accent1" w:themeShade="BF"/>
    </w:rPr>
  </w:style>
  <w:style w:type="paragraph" w:styleId="IntenseQuote">
    <w:name w:val="Intense Quote"/>
    <w:basedOn w:val="Normal"/>
    <w:next w:val="Normal"/>
    <w:link w:val="IntenseQuoteChar"/>
    <w:uiPriority w:val="30"/>
    <w:qFormat/>
    <w:rsid w:val="00F6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EBC"/>
    <w:rPr>
      <w:i/>
      <w:iCs/>
      <w:color w:val="0F4761" w:themeColor="accent1" w:themeShade="BF"/>
    </w:rPr>
  </w:style>
  <w:style w:type="character" w:styleId="IntenseReference">
    <w:name w:val="Intense Reference"/>
    <w:basedOn w:val="DefaultParagraphFont"/>
    <w:uiPriority w:val="32"/>
    <w:qFormat/>
    <w:rsid w:val="00F60EBC"/>
    <w:rPr>
      <w:b/>
      <w:bCs/>
      <w:smallCaps/>
      <w:color w:val="0F4761" w:themeColor="accent1" w:themeShade="BF"/>
      <w:spacing w:val="5"/>
    </w:rPr>
  </w:style>
  <w:style w:type="paragraph" w:styleId="NormalWeb">
    <w:name w:val="Normal (Web)"/>
    <w:basedOn w:val="Normal"/>
    <w:uiPriority w:val="99"/>
    <w:semiHidden/>
    <w:unhideWhenUsed/>
    <w:rsid w:val="00C276E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C276EF"/>
    <w:rPr>
      <w:i/>
      <w:iCs/>
    </w:rPr>
  </w:style>
  <w:style w:type="character" w:styleId="Hyperlink">
    <w:name w:val="Hyperlink"/>
    <w:basedOn w:val="DefaultParagraphFont"/>
    <w:uiPriority w:val="99"/>
    <w:semiHidden/>
    <w:unhideWhenUsed/>
    <w:rsid w:val="00C276EF"/>
    <w:rPr>
      <w:color w:val="0000FF"/>
      <w:u w:val="single"/>
    </w:rPr>
  </w:style>
  <w:style w:type="table" w:styleId="TableGrid">
    <w:name w:val="Table Grid"/>
    <w:basedOn w:val="TableNormal"/>
    <w:uiPriority w:val="39"/>
    <w:rsid w:val="00C27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46/annurev-psych-010213-115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10/jc.2008-1595" TargetMode="External"/><Relationship Id="rId5" Type="http://schemas.openxmlformats.org/officeDocument/2006/relationships/hyperlink" Target="https://doi.org/10.18632/aging.1014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Room 1</dc:creator>
  <cp:keywords/>
  <dc:description/>
  <cp:lastModifiedBy>Admin01</cp:lastModifiedBy>
  <cp:revision>2</cp:revision>
  <dcterms:created xsi:type="dcterms:W3CDTF">2026-03-28T10:21:00Z</dcterms:created>
  <dcterms:modified xsi:type="dcterms:W3CDTF">2026-03-28T10:21:00Z</dcterms:modified>
</cp:coreProperties>
</file>