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C3C" w:rsidRDefault="00500341" w:rsidP="00123BFD">
      <w:pPr>
        <w:spacing w:after="240"/>
        <w:jc w:val="center"/>
      </w:pPr>
      <w:r>
        <w:rPr>
          <w:b/>
          <w:bCs/>
          <w:sz w:val="32"/>
          <w:szCs w:val="32"/>
        </w:rPr>
        <w:t>India'</w:t>
      </w:r>
      <w:r>
        <w:rPr>
          <w:b/>
          <w:bCs/>
          <w:sz w:val="32"/>
          <w:szCs w:val="32"/>
        </w:rPr>
        <w:t>s Economic Resilience Amid Global Geopolitical Uncertainties: Structural Foundations, Policy Responses, and the Road Ahead</w:t>
      </w:r>
    </w:p>
    <w:p w:rsidR="00BA1C3C" w:rsidRDefault="00500341">
      <w:pPr>
        <w:spacing w:after="40"/>
        <w:jc w:val="center"/>
      </w:pPr>
      <w:r>
        <w:rPr>
          <w:b/>
          <w:bCs/>
        </w:rPr>
        <w:t/>
      </w:r>
      <w:r w:rsidR="00123BFD">
        <w:rPr>
          <w:b/>
          <w:bCs/>
        </w:rPr>
        <w:t/>
      </w:r>
    </w:p>
    <w:p w:rsidR="00BA1C3C" w:rsidRDefault="00123BFD" w:rsidP="00123BFD">
      <w:pPr>
        <w:spacing w:after="80"/>
        <w:jc w:val="center"/>
        <w:rPr>
          <w:i/>
          <w:iCs/>
          <w:sz w:val="22"/>
          <w:szCs w:val="22"/>
        </w:rPr>
      </w:pPr>
      <w:r>
        <w:rPr>
          <w:i/>
          <w:iCs/>
          <w:sz w:val="22"/>
          <w:szCs w:val="22"/>
        </w:rPr>
        <w:t/>
      </w:r>
    </w:p>
    <w:p w:rsidR="00123BFD" w:rsidRDefault="00123BFD" w:rsidP="00123BFD">
      <w:pPr>
        <w:spacing w:after="80"/>
        <w:jc w:val="center"/>
      </w:pPr>
      <w:r>
        <w:rPr>
          <w:i/>
          <w:iCs/>
          <w:sz w:val="22"/>
          <w:szCs w:val="22"/>
        </w:rPr>
        <w:t/>
      </w:r>
    </w:p>
    <w:tbl>
      <w:tblPr>
        <w:tblW w:w="9360"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BA1C3C">
        <w:tblPrEx>
          <w:tblCellMar>
            <w:top w:w="0" w:type="dxa"/>
            <w:bottom w:w="0" w:type="dxa"/>
          </w:tblCellMar>
        </w:tblPrEx>
        <w:tc>
          <w:tcPr>
            <w:tcW w:w="9360" w:type="dxa"/>
            <w:tcBorders>
              <w:top w:val="single" w:sz="6" w:space="0" w:color="000000"/>
              <w:left w:val="nil"/>
              <w:bottom w:val="single" w:sz="6" w:space="0" w:color="000000"/>
              <w:right w:val="nil"/>
            </w:tcBorders>
            <w:shd w:val="clear" w:color="auto" w:fill="F5F5F5"/>
            <w:tcMar>
              <w:top w:w="160" w:type="dxa"/>
              <w:left w:w="240" w:type="dxa"/>
              <w:bottom w:w="160" w:type="dxa"/>
              <w:right w:w="240" w:type="dxa"/>
            </w:tcMar>
          </w:tcPr>
          <w:p w:rsidR="00BA1C3C" w:rsidRDefault="00500341">
            <w:pPr>
              <w:spacing w:after="80"/>
            </w:pPr>
            <w:r>
              <w:rPr>
                <w:b/>
                <w:bCs/>
                <w:sz w:val="22"/>
                <w:szCs w:val="22"/>
              </w:rPr>
              <w:t>ABSTRACT</w:t>
            </w:r>
          </w:p>
          <w:p w:rsidR="00BA1C3C" w:rsidRDefault="00500341">
            <w:pPr>
              <w:spacing w:after="100"/>
              <w:jc w:val="both"/>
            </w:pPr>
            <w:r>
              <w:rPr>
                <w:sz w:val="22"/>
                <w:szCs w:val="22"/>
              </w:rPr>
              <w:t>This paper examines the structural and policy determinants of India's macroeconomic resilience during the period 2024–2026, a phase characterised by acute global geopoli</w:t>
            </w:r>
            <w:r>
              <w:rPr>
                <w:sz w:val="22"/>
                <w:szCs w:val="22"/>
              </w:rPr>
              <w:t>tical stress, including escalating West Asian conflict, US trade tariff imposition, and sustained post-pandemic supply chain fragmentation. Drawing on data from the Reserve Bank of India (RBI) Annual Report 2025–26, the Economic Survey 2025–26, IMF World E</w:t>
            </w:r>
            <w:r>
              <w:rPr>
                <w:sz w:val="22"/>
                <w:szCs w:val="22"/>
              </w:rPr>
              <w:t>conomic Outlook projections, and UN WESP 2026, the study identifies three interacting pillars of resilience: (i) robust domestic demand anchored by rising rural consumption and public capital expenditure; (ii) structural diversification of manufacturing th</w:t>
            </w:r>
            <w:r>
              <w:rPr>
                <w:sz w:val="22"/>
                <w:szCs w:val="22"/>
              </w:rPr>
              <w:t xml:space="preserve">rough policy-driven frameworks such as the Production-Linked Incentive (PLI) scheme; and (iii) strengthened external buffers comprising record foreign exchange reserves, diversified foreign direct investment inflows, and expanded trade partnerships. India </w:t>
            </w:r>
            <w:r>
              <w:rPr>
                <w:sz w:val="22"/>
                <w:szCs w:val="22"/>
              </w:rPr>
              <w:t>recorded GDP growth of 7.6% in FY2025–26 — up from 7.1% the prior year — maintaining its position as the world's fastest-growing major economy with an average annual growth of 7.8% across the five-year period 2021–2026. The paper further analyses key struc</w:t>
            </w:r>
            <w:r>
              <w:rPr>
                <w:sz w:val="22"/>
                <w:szCs w:val="22"/>
              </w:rPr>
              <w:t>tural vulnerabilities — including currency depreciation, shallow manufacturing depth, and limited global value chain integration — and evaluates the policy recalibrations required to sustain and deepen this growth trajectory. The findings have implications</w:t>
            </w:r>
            <w:r>
              <w:rPr>
                <w:sz w:val="22"/>
                <w:szCs w:val="22"/>
              </w:rPr>
              <w:t xml:space="preserve"> for the broader literature on economic resilience in large developing economies navigating an era of geopolitical multipolarity.</w:t>
            </w:r>
          </w:p>
          <w:p w:rsidR="00BA1C3C" w:rsidRDefault="00500341" w:rsidP="00123BFD">
            <w:pPr>
              <w:spacing w:before="80"/>
            </w:pPr>
            <w:r>
              <w:rPr>
                <w:b/>
                <w:bCs/>
                <w:sz w:val="22"/>
                <w:szCs w:val="22"/>
              </w:rPr>
              <w:t xml:space="preserve">Keywords: </w:t>
            </w:r>
            <w:r>
              <w:rPr>
                <w:i/>
                <w:iCs/>
                <w:sz w:val="22"/>
                <w:szCs w:val="22"/>
              </w:rPr>
              <w:t>Economic resilience, India, geopolitical uncertainty, GDP growth, Production-Linked Incentive, trade diversification, foreign direct investment, macroeconomic stability</w:t>
            </w:r>
          </w:p>
        </w:tc>
      </w:tr>
    </w:tbl>
    <w:p w:rsidR="00BA1C3C" w:rsidRDefault="00BA1C3C">
      <w:pPr>
        <w:spacing w:before="280"/>
      </w:pPr>
    </w:p>
    <w:p w:rsidR="00BA1C3C" w:rsidRDefault="00500341">
      <w:pPr>
        <w:pBdr>
          <w:bottom w:val="single" w:sz="2" w:space="0" w:color="000000"/>
        </w:pBdr>
        <w:spacing w:before="240" w:after="120"/>
      </w:pPr>
      <w:r>
        <w:rPr>
          <w:b/>
          <w:bCs/>
        </w:rPr>
        <w:t>1. INTRODUCTION</w:t>
      </w:r>
    </w:p>
    <w:p w:rsidR="00BA1C3C" w:rsidRDefault="00500341">
      <w:pPr>
        <w:spacing w:after="120"/>
        <w:ind w:firstLine="720"/>
        <w:jc w:val="both"/>
      </w:pPr>
      <w:r>
        <w:t>The global economic order of the mid-2020s has been defined by compounding disruptions of a kind rarely encountered in the post-Cold War era. The residual fragility from the COVID-19 pandemic's fiscal and monetary aftershocks has intersected with renewed g</w:t>
      </w:r>
      <w:r>
        <w:t>eopolitical conflict — most acutely, the sustained hostilities in West Asia and the Russia-Ukraine theatre — generating persistent uncertainty in energy markets, commodity supply chains, and the multilateral trade system. The United States' aggressive impo</w:t>
      </w:r>
      <w:r>
        <w:t>sition of broad-based tariffs on trading partners, including India, has added a further dimension of trade policy uncertainty, challenging the growth models of export-oriented developing economies.</w:t>
      </w:r>
    </w:p>
    <w:p w:rsidR="00BA1C3C" w:rsidRDefault="00500341">
      <w:pPr>
        <w:spacing w:after="120"/>
        <w:ind w:firstLine="720"/>
        <w:jc w:val="both"/>
      </w:pPr>
      <w:r>
        <w:t>Within this context, India's macroeconomic performance has</w:t>
      </w:r>
      <w:r>
        <w:t xml:space="preserve"> been anomalous in its resilience. The Reserve Bank of India (2026) confirmed that the Indian economy grew at 7.6% in FY2025–26, accelerating from 7.1% in the prior fiscal year, making it the world's fastest-growing major economy for the fifth consecutive </w:t>
      </w:r>
      <w:r>
        <w:t xml:space="preserve">year. Over the five-year period spanning FY2021–22 to FY2025–26, India recorded an average annual real GDP growth rate of 7.8% </w:t>
      </w:r>
      <w:r>
        <w:lastRenderedPageBreak/>
        <w:t>(Channeliam Economic Monitor, 2026), a pace that compares favourably not merely with advanced economies but with most other large</w:t>
      </w:r>
      <w:r>
        <w:t xml:space="preserve"> emerging markets as well.</w:t>
      </w:r>
    </w:p>
    <w:p w:rsidR="00BA1C3C" w:rsidRDefault="00500341">
      <w:pPr>
        <w:spacing w:after="120"/>
        <w:ind w:firstLine="720"/>
        <w:jc w:val="both"/>
      </w:pPr>
      <w:r>
        <w:t>The question animating this paper is not merely descriptive — that India has grown — but analytical: what structural and policy foundations explain the persistence of this growth in the face of severe external headwinds? And what</w:t>
      </w:r>
      <w:r>
        <w:t xml:space="preserve"> are the fault lines that, if unaddressed, could convert current resilience into future fragility?</w:t>
      </w:r>
    </w:p>
    <w:p w:rsidR="00BA1C3C" w:rsidRDefault="00500341">
      <w:pPr>
        <w:spacing w:after="120"/>
        <w:ind w:firstLine="720"/>
        <w:jc w:val="both"/>
      </w:pPr>
      <w:r>
        <w:t>This paper is organised as follows. Section 2 reviews the relevant literature on economic resilience in developing economies. Section 3 characterises the geo</w:t>
      </w:r>
      <w:r>
        <w:t>political stress environment confronting India in 2024–26. Section 4 analyses the domestic pillars of resilience, including demand dynamics, manufacturing transformation, and macroprudential management. Section 5 examines the external sector, including cap</w:t>
      </w:r>
      <w:r>
        <w:t>ital flows, trade diversification, and digital financial architecture. Section 6 identifies structural vulnerabilities. Section 7 evaluates forward-looking policy implications, and Section 8 concludes.</w:t>
      </w:r>
    </w:p>
    <w:p w:rsidR="00BA1C3C" w:rsidRDefault="00BA1C3C">
      <w:pPr>
        <w:spacing w:before="120"/>
      </w:pPr>
    </w:p>
    <w:p w:rsidR="00BA1C3C" w:rsidRDefault="00500341">
      <w:pPr>
        <w:pBdr>
          <w:bottom w:val="single" w:sz="2" w:space="0" w:color="000000"/>
        </w:pBdr>
        <w:spacing w:before="240" w:after="120"/>
      </w:pPr>
      <w:r>
        <w:rPr>
          <w:b/>
          <w:bCs/>
        </w:rPr>
        <w:t>2. LITERATURE REVIEW</w:t>
      </w:r>
    </w:p>
    <w:p w:rsidR="00BA1C3C" w:rsidRDefault="00500341">
      <w:pPr>
        <w:spacing w:after="120"/>
        <w:ind w:firstLine="720"/>
        <w:jc w:val="both"/>
      </w:pPr>
      <w:r>
        <w:t>The concept of economic resilience has gained considerable traction in development economics since the global financial crisis of 2008–09, which revealed the asymmetric vulnerability of economies to external shocks. Briguglio et al. (2009) introduced an ea</w:t>
      </w:r>
      <w:r>
        <w:t xml:space="preserve">rly framework distinguishing between inherent vulnerability and policy-constructed resilience, arguing that small economies in particular could ameliorate structural exposure through institutional and macroeconomic buffers. Subsequent scholarship extended </w:t>
      </w:r>
      <w:r>
        <w:t>this framework to large developing economies, where the interaction between internal structural transformation and external exposure is more complex.</w:t>
      </w:r>
    </w:p>
    <w:p w:rsidR="00BA1C3C" w:rsidRDefault="00500341">
      <w:pPr>
        <w:spacing w:after="120"/>
        <w:ind w:firstLine="720"/>
        <w:jc w:val="both"/>
      </w:pPr>
      <w:r>
        <w:t>In the Indian context, Panagariya (2008) and Acharya (2016) have traced the foundations of growth resilien</w:t>
      </w:r>
      <w:r>
        <w:t>ce to the post-1991 liberalisation, which diversified India's sectoral base and reduced the dominant fiscal-agricultural nexus. More recently, Rajan and Subramanian (2011) cautioned that India's relative capital account openness could amplify external shoc</w:t>
      </w:r>
      <w:r>
        <w:t xml:space="preserve">ks, while Ghosh (2020) documented the countercyclical effectiveness of public investment during the COVID-19 contraction. The role of digital infrastructure — particularly the Unified Payments Interface — as a macroeconomic stabiliser has been explored by </w:t>
      </w:r>
      <w:r>
        <w:t>Prahalad and Nandan (2017) and extended by more recent work from the RBI's Department of Economic and Policy Research (2024).</w:t>
      </w:r>
    </w:p>
    <w:p w:rsidR="00BA1C3C" w:rsidRDefault="00500341">
      <w:pPr>
        <w:spacing w:after="120"/>
        <w:ind w:firstLine="720"/>
        <w:jc w:val="both"/>
      </w:pPr>
      <w:r>
        <w:t>The geopolitics-economy interface literature (Bremmer, 2022; Rodrik, 2023) highlights how the fracturing of multilateral trade nor</w:t>
      </w:r>
      <w:r>
        <w:t>ms generates both risks and opportunities for large developing economies capable of positioning themselves as geopolitically neutral manufacturing hubs. India's potential to exploit this strategic positioning has been analysed by Huang and Khanna (2024) an</w:t>
      </w:r>
      <w:r>
        <w:t>d by the IMF's Asia-Pacific Regional Economic Outlook (2025), though neither account fully integrates the demand-side buffers that have proven central to India's resilience in the 2024–26 episode.</w:t>
      </w:r>
    </w:p>
    <w:p w:rsidR="00BA1C3C" w:rsidRDefault="00500341">
      <w:pPr>
        <w:spacing w:after="120"/>
        <w:ind w:firstLine="720"/>
        <w:jc w:val="both"/>
      </w:pPr>
      <w:r>
        <w:t>This paper seeks to contribute to this literature by offeri</w:t>
      </w:r>
      <w:r>
        <w:t xml:space="preserve">ng a comprehensive, evidence-based assessment of the mechanisms underlying India's resilience in a specific and severe </w:t>
      </w:r>
      <w:r>
        <w:lastRenderedPageBreak/>
        <w:t>geopolitical stress episode, drawing on the most recent official data and international organisation projections.</w:t>
      </w:r>
    </w:p>
    <w:p w:rsidR="00BA1C3C" w:rsidRDefault="00BA1C3C">
      <w:pPr>
        <w:spacing w:before="120"/>
      </w:pPr>
    </w:p>
    <w:p w:rsidR="00BA1C3C" w:rsidRDefault="00500341">
      <w:pPr>
        <w:pBdr>
          <w:bottom w:val="single" w:sz="2" w:space="0" w:color="000000"/>
        </w:pBdr>
        <w:spacing w:before="240" w:after="120"/>
      </w:pPr>
      <w:r>
        <w:rPr>
          <w:b/>
          <w:bCs/>
        </w:rPr>
        <w:t>3. THE GEOPOLITICAL ST</w:t>
      </w:r>
      <w:r>
        <w:rPr>
          <w:b/>
          <w:bCs/>
        </w:rPr>
        <w:t>RESS ENVIRONMENT: 2024–2026</w:t>
      </w:r>
    </w:p>
    <w:p w:rsidR="00BA1C3C" w:rsidRDefault="00500341">
      <w:pPr>
        <w:spacing w:before="200" w:after="80"/>
      </w:pPr>
      <w:r>
        <w:rPr>
          <w:b/>
          <w:bCs/>
          <w:i/>
          <w:iCs/>
        </w:rPr>
        <w:t>3.1 Multi-Directional External Shocks</w:t>
      </w:r>
    </w:p>
    <w:p w:rsidR="00BA1C3C" w:rsidRDefault="00500341">
      <w:pPr>
        <w:spacing w:after="120"/>
        <w:ind w:firstLine="720"/>
        <w:jc w:val="both"/>
      </w:pPr>
      <w:r>
        <w:t>The period under study was characterised by an unusual convergence of external shocks that collectively constituted one of the most severe geopolitical stress episodes since the 1973 oil cri</w:t>
      </w:r>
      <w:r>
        <w:t>sis. West Asian conflict, centred on the Israel-Gaza war and subsequently involving broader regional actors, disrupted the Red Sea shipping corridor — a conduit for approximately 12% of global trade — raising freight costs and introducing supply chain dela</w:t>
      </w:r>
      <w:r>
        <w:t>ys across multiple sectors. The coordinated US-Israel strikes on Iranian targets in February 2026, followed by retaliatory missile launches on US assets in the region, introduced fresh uncertainty into global energy markets (HDFC Fund, 2026).</w:t>
      </w:r>
    </w:p>
    <w:p w:rsidR="00BA1C3C" w:rsidRDefault="00500341">
      <w:pPr>
        <w:spacing w:after="120"/>
        <w:ind w:firstLine="720"/>
        <w:jc w:val="both"/>
      </w:pPr>
      <w:r>
        <w:t>Simultaneousl</w:t>
      </w:r>
      <w:r>
        <w:t>y, the United States administration's tariff programme, initiated in 2025, imposed significant levies on imports from major trading partners, including a 50% tariff on select Indian goods (Deloitte, 2026). The UN Secretary-General's characterisation of the</w:t>
      </w:r>
      <w:r>
        <w:t xml:space="preserve"> environment as one in which "a combination of economic, geopolitical and technological tensions is reshaping the global landscape" (WESP 2026) underscores the systemic rather than episodic nature of these pressures. China's continued slow recovery further</w:t>
      </w:r>
      <w:r>
        <w:t xml:space="preserve"> constrained global demand, while geopolitical fragmentation weakened the impetus for multilateral coordination.</w:t>
      </w:r>
    </w:p>
    <w:p w:rsidR="00BA1C3C" w:rsidRDefault="00500341">
      <w:pPr>
        <w:spacing w:before="200" w:after="80"/>
      </w:pPr>
      <w:r>
        <w:rPr>
          <w:b/>
          <w:bCs/>
          <w:i/>
          <w:iCs/>
        </w:rPr>
        <w:t>3.2 Channels of Transmission to India</w:t>
      </w:r>
    </w:p>
    <w:p w:rsidR="00BA1C3C" w:rsidRDefault="00500341">
      <w:pPr>
        <w:spacing w:after="120"/>
        <w:ind w:firstLine="720"/>
        <w:jc w:val="both"/>
      </w:pPr>
      <w:r>
        <w:t>For India, the primary transmission channels of this global stress were threefold. First, energy price vo</w:t>
      </w:r>
      <w:r>
        <w:t>latility — driven by West Asian escalation — posed inflationary risks through import costs, though structural improvements in energy efficiency and the declining oil-import-to-GDP ratio (from approximately 8.5% to 4.8% over the preceding decade) significan</w:t>
      </w:r>
      <w:r>
        <w:t>tly attenuated this channel (HDFC Fund, 2026). Second, US tariffs moderated goods export growth from India, particularly in categories such as textiles, chemicals, and select manufactured goods, partially offsetting the gains from supply chain diversificat</w:t>
      </w:r>
      <w:r>
        <w:t>ion. Third, geopolitical uncertainty contributed to episodic foreign portfolio investment (FPI) outflows and currency depreciation pressures, with the rupee depreciating 5.4% against the US dollar during FY2025–26 (Economic Survey 2025–26).</w:t>
      </w:r>
    </w:p>
    <w:p w:rsidR="00BA1C3C" w:rsidRDefault="00BA1C3C">
      <w:pPr>
        <w:spacing w:before="120"/>
      </w:pPr>
    </w:p>
    <w:p w:rsidR="00BA1C3C" w:rsidRDefault="00500341">
      <w:pPr>
        <w:pBdr>
          <w:bottom w:val="single" w:sz="2" w:space="0" w:color="000000"/>
        </w:pBdr>
        <w:spacing w:before="240" w:after="120"/>
      </w:pPr>
      <w:r>
        <w:rPr>
          <w:b/>
          <w:bCs/>
        </w:rPr>
        <w:t>4. DOMESTIC PI</w:t>
      </w:r>
      <w:r>
        <w:rPr>
          <w:b/>
          <w:bCs/>
        </w:rPr>
        <w:t>LLARS OF RESILIENCE</w:t>
      </w:r>
    </w:p>
    <w:p w:rsidR="00BA1C3C" w:rsidRDefault="00500341">
      <w:pPr>
        <w:spacing w:before="200" w:after="80"/>
      </w:pPr>
      <w:r>
        <w:rPr>
          <w:b/>
          <w:bCs/>
          <w:i/>
          <w:iCs/>
        </w:rPr>
        <w:t>4.1 Robust Domestic Demand</w:t>
      </w:r>
    </w:p>
    <w:p w:rsidR="00BA1C3C" w:rsidRDefault="00500341">
      <w:pPr>
        <w:spacing w:after="120"/>
        <w:ind w:firstLine="720"/>
        <w:jc w:val="both"/>
      </w:pPr>
      <w:r>
        <w:t>The central mechanism insulating India's growth from external headwinds has been the strength of its domestic demand. Household consumption — buoyed by rising rural incomes, easing inflation, and accommodative</w:t>
      </w:r>
      <w:r>
        <w:t xml:space="preserve"> monetary conditions — sustained aggregate demand even as export growth moderated. In September 2025, the government reduced GST rates on 375 consumption goods and raised the taxable income threshold, generating a material boost to disposable incomes and c</w:t>
      </w:r>
      <w:r>
        <w:t xml:space="preserve">onsumer confidence (East Asia Forum, 2026). High-frequency </w:t>
      </w:r>
      <w:r>
        <w:lastRenderedPageBreak/>
        <w:t>indicators corroborate this picture: vehicle registrations, consumer confidence indices, and FMCG sales showed broad recovery through FY2025–26 (Deloitte, 2026).</w:t>
      </w:r>
    </w:p>
    <w:p w:rsidR="00BA1C3C" w:rsidRDefault="00500341">
      <w:pPr>
        <w:spacing w:after="120"/>
        <w:ind w:firstLine="720"/>
        <w:jc w:val="both"/>
      </w:pPr>
      <w:r>
        <w:t>Agricultural performance provided a</w:t>
      </w:r>
      <w:r>
        <w:t>n additional demand stabiliser. The 2025 monsoon season, characterised by 5% above-normal rainfall, supported crop yields, moderated food price pressures, and augmented rural purchasing power (Vocal Media, 2026). Consumer goods majors including Hindustan U</w:t>
      </w:r>
      <w:r>
        <w:t>nilever, ITC, and Nestlé India reported volume growth of 9–11%, a signal of broad-based domestic consumption momentum. This rural-urban demand complementarity has been a recurring feature of India's resilience, distinct from the export-led growth models of</w:t>
      </w:r>
      <w:r>
        <w:t xml:space="preserve"> many East Asian comparator economies.</w:t>
      </w:r>
    </w:p>
    <w:p w:rsidR="00BA1C3C" w:rsidRDefault="00500341">
      <w:pPr>
        <w:spacing w:before="200" w:after="80"/>
      </w:pPr>
      <w:r>
        <w:rPr>
          <w:b/>
          <w:bCs/>
          <w:i/>
          <w:iCs/>
        </w:rPr>
        <w:t>4.2 Public Capital Expenditure and Infrastructure</w:t>
      </w:r>
    </w:p>
    <w:p w:rsidR="00BA1C3C" w:rsidRDefault="00500341">
      <w:pPr>
        <w:spacing w:after="120"/>
        <w:ind w:firstLine="720"/>
        <w:jc w:val="both"/>
      </w:pPr>
      <w:r>
        <w:t>Government capital expenditure has functioned as the principal countercyclical instrument in India's macroeconomic management framework. Sustained public investment in</w:t>
      </w:r>
      <w:r>
        <w:t xml:space="preserve"> roads, railways, ports, urban infrastructure, and digital connectivity has supported employment, catalysed private sector investment, and generated positive productivity spillovers across the economy. While capex growth moderated to 5.4% in the second qua</w:t>
      </w:r>
      <w:r>
        <w:t>rter of FY2024–25, reflecting execution lags, it subsequently recovered, and the FY2025–26 Union Budget reaffirmed the government's infrastructure investment commitment with a positive fiscal impulse (HDFC Fund, 2026).</w:t>
      </w:r>
    </w:p>
    <w:p w:rsidR="00BA1C3C" w:rsidRDefault="00500341">
      <w:pPr>
        <w:spacing w:after="120"/>
        <w:ind w:firstLine="720"/>
        <w:jc w:val="both"/>
      </w:pPr>
      <w:r>
        <w:t>The crowding-in effect of public infr</w:t>
      </w:r>
      <w:r>
        <w:t>astructure investment on private capital formation has been well-documented in the Indian context (Ghosh, 2020; RBI, 2024), and evidence from the current period confirms its continued operation. The Manufacturing as a Share of GDP indicator, while still be</w:t>
      </w:r>
      <w:r>
        <w:t>low the government's 25% target at approximately 14% in FY2025–26, showed improvement from the 13% recorded in FY2024–25 — a trajectory consistent with the structural upgrading of India's industrial base.</w:t>
      </w:r>
    </w:p>
    <w:p w:rsidR="00BA1C3C" w:rsidRDefault="00500341">
      <w:pPr>
        <w:spacing w:before="200" w:after="80"/>
      </w:pPr>
      <w:r>
        <w:rPr>
          <w:b/>
          <w:bCs/>
          <w:i/>
          <w:iCs/>
        </w:rPr>
        <w:t>4.3 Monetary Policy and Macroprudential Management</w:t>
      </w:r>
    </w:p>
    <w:p w:rsidR="00BA1C3C" w:rsidRDefault="00500341">
      <w:pPr>
        <w:spacing w:after="120"/>
        <w:ind w:firstLine="720"/>
        <w:jc w:val="both"/>
      </w:pPr>
      <w:r>
        <w:t>The Reserve Bank of India navigated the 2024–26 period with notable dexterity, calibrating monetary policy to balance the competing imperatives of inflation control, growth support, and exchange rate stability. Lower interest rates in FY2025–26, enabled by</w:t>
      </w:r>
      <w:r>
        <w:t xml:space="preserve"> the moderation of domestic inflation, reduced the cost of capital for both firms and households, supporting private investment and consumption respectively. The RBI's active management of foreign exchange reserves — which reached $701.4 billion as of Janu</w:t>
      </w:r>
      <w:r>
        <w:t>ary 2026, covering 11 months of imports — provided a credible buffer against external account pressures (Economic Survey 2025–26).</w:t>
      </w:r>
    </w:p>
    <w:p w:rsidR="00BA1C3C" w:rsidRDefault="00500341">
      <w:pPr>
        <w:spacing w:after="120"/>
        <w:ind w:firstLine="720"/>
        <w:jc w:val="both"/>
      </w:pPr>
      <w:r>
        <w:t>Gold reserve accumulation (reaching 880.52 metric tonnes by March 2026) reflected a broader diversification strategy, consist</w:t>
      </w:r>
      <w:r>
        <w:t>ent with a global trend among central banks seeking insulation from geopolitical and currency risks (RBI Annual Report, 2026). Banking sector health, substantially improved relative to the non-performing asset (NPA) crisis of the early 2010s, provided a st</w:t>
      </w:r>
      <w:r>
        <w:t>able credit transmission mechanism for monetary policy.</w:t>
      </w:r>
    </w:p>
    <w:p w:rsidR="00BA1C3C" w:rsidRDefault="00BA1C3C">
      <w:pPr>
        <w:spacing w:before="120"/>
      </w:pPr>
    </w:p>
    <w:p w:rsidR="00BA1C3C" w:rsidRDefault="00500341">
      <w:pPr>
        <w:pBdr>
          <w:bottom w:val="single" w:sz="2" w:space="0" w:color="000000"/>
        </w:pBdr>
        <w:spacing w:before="240" w:after="120"/>
      </w:pPr>
      <w:r>
        <w:rPr>
          <w:b/>
          <w:bCs/>
        </w:rPr>
        <w:t>5. MANUFACTURING TRANSFORMATION AND SECTORAL DIVERSIFICATION</w:t>
      </w:r>
    </w:p>
    <w:p w:rsidR="00BA1C3C" w:rsidRDefault="00500341">
      <w:pPr>
        <w:spacing w:after="120"/>
        <w:ind w:firstLine="720"/>
        <w:jc w:val="both"/>
      </w:pPr>
      <w:r>
        <w:lastRenderedPageBreak/>
        <w:t>One of the most consequential structural shifts in India'</w:t>
      </w:r>
      <w:r>
        <w:t>s growth architecture during the study period has been the renaissance of the manufacturing sector. The Production-Linked Incentive (PLI) scheme, which provides financial incentives to companies across fourteen strategic sectors based on incremental sales,</w:t>
      </w:r>
      <w:r>
        <w:t xml:space="preserve"> has functioned as the centrepiece of this transformation. By directly subsidising domestic production and attracting foreign manufacturers seeking to diversify supply chains away from China, the PLI has accelerated investment in electronics, semiconductor</w:t>
      </w:r>
      <w:r>
        <w:t>s, pharmaceuticals, textiles, and defence manufacturing.</w:t>
      </w:r>
    </w:p>
    <w:p w:rsidR="00BA1C3C" w:rsidRDefault="00500341">
      <w:pPr>
        <w:spacing w:after="120"/>
        <w:ind w:firstLine="720"/>
        <w:jc w:val="both"/>
      </w:pPr>
      <w:r>
        <w:t>The empirical evidence is compelling. Manufacturing grew at 11.6% in the October–December 2024 quarter — the highest rate in six consecutive quarters — reflecting both the PLI's investment-catalysing</w:t>
      </w:r>
      <w:r>
        <w:t xml:space="preserve"> effect and the broader Make in India policy ecosystem (Vocal Media, 2026). Mining and minerals extraction also contributed positively, supported by infrastructure development and regulatory streamlining. Business activity reached an eight-month high in Ap</w:t>
      </w:r>
      <w:r>
        <w:t>ril 2025, driven by rising export orders and manufacturing momentum, with the services sector — particularly IT, finance, and logistics — adding further impetus (RBI Bulletin, June 2025).</w:t>
      </w:r>
    </w:p>
    <w:p w:rsidR="00BA1C3C" w:rsidRDefault="00500341">
      <w:pPr>
        <w:spacing w:after="120"/>
        <w:ind w:firstLine="720"/>
        <w:jc w:val="both"/>
      </w:pPr>
      <w:r>
        <w:t>The sectoral diversification implied by these trends represents a si</w:t>
      </w:r>
      <w:r>
        <w:t xml:space="preserve">gnificant evolution from India's historical growth model, which was heavily weighted toward services. A more balanced sectoral architecture reduces systemic vulnerability: adverse shocks to any single sector can be absorbed without triggering economy-wide </w:t>
      </w:r>
      <w:r>
        <w:t>contraction. It also expands formal employment and supports upskilling across a broader segment of the labour force.</w:t>
      </w:r>
    </w:p>
    <w:p w:rsidR="00BA1C3C" w:rsidRDefault="00BA1C3C">
      <w:pPr>
        <w:spacing w:before="120"/>
      </w:pPr>
    </w:p>
    <w:p w:rsidR="00BA1C3C" w:rsidRDefault="00500341">
      <w:pPr>
        <w:pBdr>
          <w:bottom w:val="single" w:sz="2" w:space="0" w:color="000000"/>
        </w:pBdr>
        <w:spacing w:before="240" w:after="120"/>
      </w:pPr>
      <w:r>
        <w:rPr>
          <w:b/>
          <w:bCs/>
        </w:rPr>
        <w:t>6. EXTERNAL SECTOR: CAPITAL FLOWS, TRADE, AND DIGITAL ARCHITECTURE</w:t>
      </w:r>
    </w:p>
    <w:p w:rsidR="00BA1C3C" w:rsidRDefault="00500341">
      <w:pPr>
        <w:spacing w:before="200" w:after="80"/>
      </w:pPr>
      <w:r>
        <w:rPr>
          <w:b/>
          <w:bCs/>
          <w:i/>
          <w:iCs/>
        </w:rPr>
        <w:t>6.1 Foreign Direct Investment and Portfolio Flows</w:t>
      </w:r>
    </w:p>
    <w:p w:rsidR="00BA1C3C" w:rsidRDefault="00500341">
      <w:pPr>
        <w:spacing w:after="120"/>
        <w:ind w:firstLine="720"/>
        <w:jc w:val="both"/>
      </w:pPr>
      <w:r>
        <w:t>India's external posi</w:t>
      </w:r>
      <w:r>
        <w:t>tion entering 2026 reflects a decade of deliberate policy construction. Gross FDI inflows rose to $64.7 billion during April–November 2025, up from $55.8 billion in the corresponding period of the prior year, as global corporations accelerated supply chain</w:t>
      </w:r>
      <w:r>
        <w:t xml:space="preserve"> diversification toward India (Economic Survey 2025–26). This FDI momentum is partly structural — reflecting India's improving regulatory environment, rising Global Innovation Index ranking (38th in 2025, up from 81st in 2015), and expanding pool of techni</w:t>
      </w:r>
      <w:r>
        <w:t>cally skilled labour — and partly cyclical, driven by geopolitical reconfiguration of global value chains (IBEF, 2026).</w:t>
      </w:r>
    </w:p>
    <w:p w:rsidR="00BA1C3C" w:rsidRDefault="00500341">
      <w:pPr>
        <w:spacing w:after="120"/>
        <w:ind w:firstLine="720"/>
        <w:jc w:val="both"/>
      </w:pPr>
      <w:r>
        <w:t>Portfolio flows showed the episodic volatility characteristic of emerging market assets in a risk-off global environment — six months of</w:t>
      </w:r>
      <w:r>
        <w:t xml:space="preserve"> net outflows and three months of inflows during FY2025–26 — but medium-term investor sentiment remained constructive (Economic Survey 2025–26). Remittances, at $135.4 billion in FY2024–25, confirmed India's position as the world's largest recipient, provi</w:t>
      </w:r>
      <w:r>
        <w:t>ding a structurally stable current account buffer.</w:t>
      </w:r>
    </w:p>
    <w:p w:rsidR="00BA1C3C" w:rsidRDefault="00500341">
      <w:pPr>
        <w:spacing w:before="200" w:after="80"/>
      </w:pPr>
      <w:r>
        <w:rPr>
          <w:b/>
          <w:bCs/>
          <w:i/>
          <w:iCs/>
        </w:rPr>
        <w:t>6.2 Trade Diversification</w:t>
      </w:r>
    </w:p>
    <w:p w:rsidR="00BA1C3C" w:rsidRDefault="00500341">
      <w:pPr>
        <w:spacing w:after="120"/>
        <w:ind w:firstLine="720"/>
        <w:jc w:val="both"/>
      </w:pPr>
      <w:r>
        <w:t>India's trade policy response to the geopolitical reconfiguration of global commerce has centred on systematic partner diversification and sectoral upgrading of exports. The India</w:t>
      </w:r>
      <w:r>
        <w:t xml:space="preserve">-EFTA Trade and Economic Partnership Agreement (TEPA), which came into effect on 1 October 2025, opened preferential access to Switzerland, Norway, Iceland, and Liechtenstein across goods and services categories. Parallel free trade agreement negotiations </w:t>
      </w:r>
      <w:r>
        <w:t xml:space="preserve">with the United States and the </w:t>
      </w:r>
      <w:r>
        <w:lastRenderedPageBreak/>
        <w:t>European Union advanced through the period, with a provisional US-India trade framework expected to moderate tariff headwinds in key export sectors (Deloitte, 2026).</w:t>
      </w:r>
    </w:p>
    <w:p w:rsidR="00BA1C3C" w:rsidRDefault="00500341">
      <w:pPr>
        <w:spacing w:after="120"/>
        <w:ind w:firstLine="720"/>
        <w:jc w:val="both"/>
      </w:pPr>
      <w:r>
        <w:t>Export diversification into high-value segments — electroni</w:t>
      </w:r>
      <w:r>
        <w:t>cs, pharmaceuticals, software services, and financial services — has reduced India's exposure to any single commodity or trading partner. The geographic diversification of both FDI sources and export destinations has strengthened resilience against bilater</w:t>
      </w:r>
      <w:r>
        <w:t>al relationship risks, a consideration of increasing salience in an era of geopolitical fragmentation (Economic Survey 2025–26; IBEF, 2026).</w:t>
      </w:r>
    </w:p>
    <w:p w:rsidR="00BA1C3C" w:rsidRDefault="00500341">
      <w:pPr>
        <w:spacing w:before="200" w:after="80"/>
      </w:pPr>
      <w:r>
        <w:rPr>
          <w:b/>
          <w:bCs/>
          <w:i/>
          <w:iCs/>
        </w:rPr>
        <w:t>6.3 Digital Financial Architecture as Strategic Resilience</w:t>
      </w:r>
    </w:p>
    <w:p w:rsidR="00BA1C3C" w:rsidRDefault="00500341">
      <w:pPr>
        <w:spacing w:after="120"/>
        <w:ind w:firstLine="720"/>
        <w:jc w:val="both"/>
      </w:pPr>
      <w:r>
        <w:t>India's digital public infrastructure — centred on the U</w:t>
      </w:r>
      <w:r>
        <w:t>nified Payments Interface (UPI), the Aadhaar identity platform, and the Open Network for Digital Commerce (ONDC) — has increasingly assumed the character of strategic economic infrastructure. As the RBI's policy analysis notes, global financial infrastruct</w:t>
      </w:r>
      <w:r>
        <w:t>ure remains highly centralised around a small number of settlement currencies, exposing the system to geopolitical shocks, sanctions, and operational disruptions (Policy Circle, 2025). India's development of an alternative digital payments architecture off</w:t>
      </w:r>
      <w:r>
        <w:t>ers both domestic stabilisation — by broadening financial inclusion and formalising transaction flows — and strategic resilience against geopolitically motivated financial exclusion risks.</w:t>
      </w:r>
    </w:p>
    <w:p w:rsidR="00BA1C3C" w:rsidRDefault="00500341">
      <w:pPr>
        <w:spacing w:after="120"/>
        <w:ind w:firstLine="720"/>
        <w:jc w:val="both"/>
      </w:pPr>
      <w:r>
        <w:t>The Bharti Airtel-Google AI hub partnership in Visakhapatnam, annou</w:t>
      </w:r>
      <w:r>
        <w:t xml:space="preserve">nced in October 2025, exemplifies the convergence of digital infrastructure investment with India's broader strategic positioning in the global technology economy. The proposed investment of approximately $15 billion over 2026–2030 in data centres, subsea </w:t>
      </w:r>
      <w:r>
        <w:t>cable connectivity, and clean energy digital infrastructure underscores the private sector's confidence in India's digital economy trajectory (IBEF, 2026).</w:t>
      </w:r>
    </w:p>
    <w:p w:rsidR="00BA1C3C" w:rsidRDefault="00BA1C3C">
      <w:pPr>
        <w:spacing w:before="120"/>
      </w:pPr>
    </w:p>
    <w:p w:rsidR="00BA1C3C" w:rsidRDefault="00500341">
      <w:pPr>
        <w:pBdr>
          <w:bottom w:val="single" w:sz="2" w:space="0" w:color="000000"/>
        </w:pBdr>
        <w:spacing w:before="240" w:after="120"/>
      </w:pPr>
      <w:r>
        <w:rPr>
          <w:b/>
          <w:bCs/>
        </w:rPr>
        <w:t>7. STRUCTURAL VULNERABILITIES AND RISK ASSESSMENT</w:t>
      </w:r>
    </w:p>
    <w:p w:rsidR="00BA1C3C" w:rsidRDefault="00500341">
      <w:pPr>
        <w:spacing w:after="120"/>
        <w:ind w:firstLine="720"/>
        <w:jc w:val="both"/>
      </w:pPr>
      <w:r>
        <w:t>The foregoing analysis should not be read as an unqualified endorsement of India's economic invulnerability. The RBI's own assessment is explicit: "resilience does not mean immunity" (RBI Annual Report, 2026). Several structural vulnerabilities warrant can</w:t>
      </w:r>
      <w:r>
        <w:t>did acknowledgment.</w:t>
      </w:r>
    </w:p>
    <w:p w:rsidR="00BA1C3C" w:rsidRDefault="00500341">
      <w:pPr>
        <w:spacing w:before="200" w:after="80"/>
      </w:pPr>
      <w:r>
        <w:rPr>
          <w:b/>
          <w:bCs/>
          <w:i/>
          <w:iCs/>
        </w:rPr>
        <w:t>7.1 Currency and External Debt Exposure</w:t>
      </w:r>
    </w:p>
    <w:p w:rsidR="00BA1C3C" w:rsidRDefault="00500341">
      <w:pPr>
        <w:spacing w:after="120"/>
        <w:ind w:firstLine="720"/>
        <w:jc w:val="both"/>
      </w:pPr>
      <w:r>
        <w:t>The rupee's depreciation of 5.4% against the US dollar during FY2025–26 introduces imported inflation risk, raises the domestic currency cost of dollar-denominated debt servicing, and can erode in</w:t>
      </w:r>
      <w:r>
        <w:t>vestor confidence if it becomes disorderly. External debt at 19.2% of GDP (September 2025) remains below crisis-level thresholds, and the debt-service ratio is manageable; however, rapid expansion of dollar-denominated borrowing — by the sovereign, financi</w:t>
      </w:r>
      <w:r>
        <w:t>al institutions, or corporates — could amplify vulnerability in a scenario of sustained dollar strengthening or global risk-off sentiment (East Asia Forum, 2026).</w:t>
      </w:r>
    </w:p>
    <w:p w:rsidR="00BA1C3C" w:rsidRDefault="00500341">
      <w:pPr>
        <w:spacing w:before="200" w:after="80"/>
      </w:pPr>
      <w:r>
        <w:rPr>
          <w:b/>
          <w:bCs/>
          <w:i/>
          <w:iCs/>
        </w:rPr>
        <w:t>7.2 Manufacturing Depth and Global Value Chain Integration</w:t>
      </w:r>
    </w:p>
    <w:p w:rsidR="00BA1C3C" w:rsidRDefault="00500341">
      <w:pPr>
        <w:spacing w:after="120"/>
        <w:ind w:firstLine="720"/>
        <w:jc w:val="both"/>
      </w:pPr>
      <w:r>
        <w:t>Manufacturing's share of GDP — app</w:t>
      </w:r>
      <w:r>
        <w:t xml:space="preserve">roximately 14% in FY2025–26, against a government target of 25% — remains structurally insufficient for an economy of India's demographic scale and aspirations. India's global value chain (GVC) integration is notably </w:t>
      </w:r>
      <w:r>
        <w:lastRenderedPageBreak/>
        <w:t xml:space="preserve">shallower than that of comparable East </w:t>
      </w:r>
      <w:r>
        <w:t xml:space="preserve">Asian economies, limiting the multiplier effects of manufacturing investment and constraining productivity-driven wage growth (East Asia Forum, 2026). The PLI scheme has catalysed assembly-stage manufacturing in several sectors, but backward integration — </w:t>
      </w:r>
      <w:r>
        <w:t>domestic production of inputs, components, and capital equipment — remains limited, creating continued import dependence in key supply chains.</w:t>
      </w:r>
    </w:p>
    <w:p w:rsidR="00BA1C3C" w:rsidRDefault="00500341">
      <w:pPr>
        <w:spacing w:before="200" w:after="80"/>
      </w:pPr>
      <w:r>
        <w:rPr>
          <w:b/>
          <w:bCs/>
          <w:i/>
          <w:iCs/>
        </w:rPr>
        <w:t>7.3 Fiscal Consolidation Pressures</w:t>
      </w:r>
    </w:p>
    <w:p w:rsidR="00BA1C3C" w:rsidRDefault="00500341">
      <w:pPr>
        <w:spacing w:after="120"/>
        <w:ind w:firstLine="720"/>
        <w:jc w:val="both"/>
      </w:pPr>
      <w:r>
        <w:t>The combination of consumption-stimulus measures — reduced GST rates, increase</w:t>
      </w:r>
      <w:r>
        <w:t>d income tax thresholds, and continued public capex — poses fiscal consolidation challenges. Near-term fiscal deficit management requires balancing the short-run demand benefits of stimulus against the medium-term imperative of debt sustainability. Bond ma</w:t>
      </w:r>
      <w:r>
        <w:t>rket sensitivity to fiscal slippage could raise government borrowing costs, crowding out private investment and tightening financial conditions in ways that undercut the growth dividend of the stimulus (East Asia Forum, 2026; Deloitte, 2026).</w:t>
      </w:r>
    </w:p>
    <w:p w:rsidR="00BA1C3C" w:rsidRDefault="00500341">
      <w:pPr>
        <w:spacing w:before="200" w:after="80"/>
      </w:pPr>
      <w:r>
        <w:rPr>
          <w:b/>
          <w:bCs/>
          <w:i/>
          <w:iCs/>
        </w:rPr>
        <w:t>7.4 Labour Ma</w:t>
      </w:r>
      <w:r>
        <w:rPr>
          <w:b/>
          <w:bCs/>
          <w:i/>
          <w:iCs/>
        </w:rPr>
        <w:t>rket and Structural Poverty</w:t>
      </w:r>
    </w:p>
    <w:p w:rsidR="00BA1C3C" w:rsidRDefault="00500341">
      <w:pPr>
        <w:spacing w:after="120"/>
        <w:ind w:firstLine="720"/>
        <w:jc w:val="both"/>
      </w:pPr>
      <w:r>
        <w:t>India's labour market data reveal a persistent duality: formal employment creation in manufacturing and services has not kept pace with the demographic dividend, and agricultural employment — still absorbing over 45% of the work</w:t>
      </w:r>
      <w:r>
        <w:t>force despite contributing only approximately 15% of GDP — represents a structural productivity trap. Poverty reduction, while substantial over the preceding two decades, remains incomplete, and the distributional consequences of growth — including urban-r</w:t>
      </w:r>
      <w:r>
        <w:t>ural and inter-state disparities — require continued policy attention if India's domestic demand resilience is to be sustained over the longer run.</w:t>
      </w:r>
    </w:p>
    <w:p w:rsidR="00BA1C3C" w:rsidRDefault="00BA1C3C">
      <w:pPr>
        <w:spacing w:before="120"/>
      </w:pPr>
    </w:p>
    <w:p w:rsidR="00BA1C3C" w:rsidRDefault="00500341">
      <w:pPr>
        <w:pBdr>
          <w:bottom w:val="single" w:sz="2" w:space="0" w:color="000000"/>
        </w:pBdr>
        <w:spacing w:before="240" w:after="120"/>
      </w:pPr>
      <w:r>
        <w:rPr>
          <w:b/>
          <w:bCs/>
        </w:rPr>
        <w:t>8. GROWTH PROJECTIONS AND POLICY IMPLICATIONS</w:t>
      </w:r>
    </w:p>
    <w:p w:rsidR="00BA1C3C" w:rsidRDefault="00500341">
      <w:pPr>
        <w:spacing w:before="200" w:after="80"/>
      </w:pPr>
      <w:r>
        <w:rPr>
          <w:b/>
          <w:bCs/>
          <w:i/>
          <w:iCs/>
        </w:rPr>
        <w:t>8.1 Near-Term Outlook</w:t>
      </w:r>
    </w:p>
    <w:p w:rsidR="00BA1C3C" w:rsidRDefault="00500341">
      <w:pPr>
        <w:spacing w:after="120"/>
        <w:ind w:firstLine="720"/>
        <w:jc w:val="both"/>
      </w:pPr>
      <w:r>
        <w:t>The consensus of major international institutions and analytical bodies points to continued robust growth for India in FY2026–27, albeit with some moderation from the FY2025–26 pace. Table 1 summarises key projections.</w:t>
      </w:r>
    </w:p>
    <w:p w:rsidR="00BA1C3C" w:rsidRDefault="00500341">
      <w:pPr>
        <w:spacing w:before="160" w:after="80"/>
        <w:jc w:val="center"/>
      </w:pPr>
      <w:r>
        <w:rPr>
          <w:b/>
          <w:bCs/>
          <w:i/>
          <w:iCs/>
          <w:sz w:val="22"/>
          <w:szCs w:val="22"/>
        </w:rPr>
        <w:t>Table 1: India GDP Growth Projections</w:t>
      </w:r>
      <w:r>
        <w:rPr>
          <w:b/>
          <w:bCs/>
          <w:i/>
          <w:iCs/>
          <w:sz w:val="22"/>
          <w:szCs w:val="22"/>
        </w:rPr>
        <w:t xml:space="preserve"> for FY2026–27</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000"/>
        <w:gridCol w:w="2680"/>
        <w:gridCol w:w="2680"/>
      </w:tblGrid>
      <w:tr w:rsidR="00BA1C3C">
        <w:tblPrEx>
          <w:tblCellMar>
            <w:top w:w="0" w:type="dxa"/>
            <w:bottom w:w="0" w:type="dxa"/>
          </w:tblCellMar>
        </w:tblPrEx>
        <w:tc>
          <w:tcPr>
            <w:tcW w:w="4000" w:type="dxa"/>
            <w:tcBorders>
              <w:top w:val="single" w:sz="4" w:space="0" w:color="000000"/>
              <w:left w:val="nil"/>
              <w:bottom w:val="single" w:sz="2" w:space="0" w:color="000000"/>
              <w:right w:val="nil"/>
            </w:tcBorders>
            <w:shd w:val="clear" w:color="auto" w:fill="F0F0F0"/>
            <w:tcMar>
              <w:top w:w="80" w:type="dxa"/>
              <w:left w:w="120" w:type="dxa"/>
              <w:bottom w:w="80" w:type="dxa"/>
              <w:right w:w="120" w:type="dxa"/>
            </w:tcMar>
          </w:tcPr>
          <w:p w:rsidR="00BA1C3C" w:rsidRDefault="00500341">
            <w:r>
              <w:rPr>
                <w:b/>
                <w:bCs/>
                <w:sz w:val="22"/>
                <w:szCs w:val="22"/>
              </w:rPr>
              <w:t>Institution / Source</w:t>
            </w:r>
          </w:p>
        </w:tc>
        <w:tc>
          <w:tcPr>
            <w:tcW w:w="2680" w:type="dxa"/>
            <w:tcBorders>
              <w:top w:val="single" w:sz="4" w:space="0" w:color="000000"/>
              <w:left w:val="nil"/>
              <w:bottom w:val="single" w:sz="2" w:space="0" w:color="000000"/>
              <w:right w:val="nil"/>
            </w:tcBorders>
            <w:shd w:val="clear" w:color="auto" w:fill="F0F0F0"/>
            <w:tcMar>
              <w:top w:w="80" w:type="dxa"/>
              <w:left w:w="120" w:type="dxa"/>
              <w:bottom w:w="80" w:type="dxa"/>
              <w:right w:w="120" w:type="dxa"/>
            </w:tcMar>
          </w:tcPr>
          <w:p w:rsidR="00BA1C3C" w:rsidRDefault="00500341">
            <w:pPr>
              <w:jc w:val="center"/>
            </w:pPr>
            <w:r>
              <w:rPr>
                <w:b/>
                <w:bCs/>
                <w:sz w:val="22"/>
                <w:szCs w:val="22"/>
              </w:rPr>
              <w:t>GDP Growth Projection (%)</w:t>
            </w:r>
          </w:p>
        </w:tc>
        <w:tc>
          <w:tcPr>
            <w:tcW w:w="2680" w:type="dxa"/>
            <w:tcBorders>
              <w:top w:val="single" w:sz="4" w:space="0" w:color="000000"/>
              <w:left w:val="nil"/>
              <w:bottom w:val="single" w:sz="2" w:space="0" w:color="000000"/>
              <w:right w:val="nil"/>
            </w:tcBorders>
            <w:shd w:val="clear" w:color="auto" w:fill="F0F0F0"/>
            <w:tcMar>
              <w:top w:w="80" w:type="dxa"/>
              <w:left w:w="120" w:type="dxa"/>
              <w:bottom w:w="80" w:type="dxa"/>
              <w:right w:w="120" w:type="dxa"/>
            </w:tcMar>
          </w:tcPr>
          <w:p w:rsidR="00BA1C3C" w:rsidRDefault="00500341">
            <w:pPr>
              <w:jc w:val="center"/>
            </w:pPr>
            <w:r>
              <w:rPr>
                <w:b/>
                <w:bCs/>
                <w:sz w:val="22"/>
                <w:szCs w:val="22"/>
              </w:rPr>
              <w:t>Publication Date</w:t>
            </w:r>
          </w:p>
        </w:tc>
      </w:tr>
      <w:tr w:rsidR="00BA1C3C">
        <w:tblPrEx>
          <w:tblCellMar>
            <w:top w:w="0" w:type="dxa"/>
            <w:bottom w:w="0" w:type="dxa"/>
          </w:tblCellMar>
        </w:tblPrEx>
        <w:tc>
          <w:tcPr>
            <w:tcW w:w="4000" w:type="dxa"/>
            <w:tcBorders>
              <w:top w:val="nil"/>
              <w:left w:val="nil"/>
              <w:bottom w:val="single" w:sz="1" w:space="0" w:color="CCCCCC"/>
              <w:right w:val="nil"/>
            </w:tcBorders>
            <w:shd w:val="clear" w:color="auto" w:fill="FFFFFF"/>
            <w:tcMar>
              <w:top w:w="80" w:type="dxa"/>
              <w:left w:w="120" w:type="dxa"/>
              <w:bottom w:w="80" w:type="dxa"/>
              <w:right w:w="120" w:type="dxa"/>
            </w:tcMar>
          </w:tcPr>
          <w:p w:rsidR="00BA1C3C" w:rsidRDefault="00500341">
            <w:r>
              <w:rPr>
                <w:sz w:val="22"/>
                <w:szCs w:val="22"/>
              </w:rPr>
              <w:t>IMF World Economic Outlook</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rsidR="00BA1C3C" w:rsidRDefault="00500341">
            <w:pPr>
              <w:jc w:val="center"/>
            </w:pPr>
            <w:r>
              <w:rPr>
                <w:sz w:val="22"/>
                <w:szCs w:val="22"/>
              </w:rPr>
              <w:t>6.6%</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rsidR="00BA1C3C" w:rsidRDefault="00500341">
            <w:pPr>
              <w:jc w:val="center"/>
            </w:pPr>
            <w:r>
              <w:rPr>
                <w:sz w:val="22"/>
                <w:szCs w:val="22"/>
              </w:rPr>
              <w:t>October 2025</w:t>
            </w:r>
          </w:p>
        </w:tc>
      </w:tr>
      <w:tr w:rsidR="00BA1C3C">
        <w:tblPrEx>
          <w:tblCellMar>
            <w:top w:w="0" w:type="dxa"/>
            <w:bottom w:w="0" w:type="dxa"/>
          </w:tblCellMar>
        </w:tblPrEx>
        <w:tc>
          <w:tcPr>
            <w:tcW w:w="4000" w:type="dxa"/>
            <w:tcBorders>
              <w:top w:val="nil"/>
              <w:left w:val="nil"/>
              <w:bottom w:val="single" w:sz="1" w:space="0" w:color="CCCCCC"/>
              <w:right w:val="nil"/>
            </w:tcBorders>
            <w:shd w:val="clear" w:color="auto" w:fill="FAFAFA"/>
            <w:tcMar>
              <w:top w:w="80" w:type="dxa"/>
              <w:left w:w="120" w:type="dxa"/>
              <w:bottom w:w="80" w:type="dxa"/>
              <w:right w:w="120" w:type="dxa"/>
            </w:tcMar>
          </w:tcPr>
          <w:p w:rsidR="00BA1C3C" w:rsidRDefault="00500341">
            <w:r>
              <w:rPr>
                <w:sz w:val="22"/>
                <w:szCs w:val="22"/>
              </w:rPr>
              <w:t>S&amp;P Global Economic Outlook</w:t>
            </w:r>
          </w:p>
        </w:tc>
        <w:tc>
          <w:tcPr>
            <w:tcW w:w="2680" w:type="dxa"/>
            <w:tcBorders>
              <w:top w:val="nil"/>
              <w:left w:val="nil"/>
              <w:bottom w:val="single" w:sz="1" w:space="0" w:color="CCCCCC"/>
              <w:right w:val="nil"/>
            </w:tcBorders>
            <w:shd w:val="clear" w:color="auto" w:fill="FAFAFA"/>
            <w:tcMar>
              <w:top w:w="80" w:type="dxa"/>
              <w:left w:w="120" w:type="dxa"/>
              <w:bottom w:w="80" w:type="dxa"/>
              <w:right w:w="120" w:type="dxa"/>
            </w:tcMar>
          </w:tcPr>
          <w:p w:rsidR="00BA1C3C" w:rsidRDefault="00500341">
            <w:pPr>
              <w:jc w:val="center"/>
            </w:pPr>
            <w:r>
              <w:rPr>
                <w:sz w:val="22"/>
                <w:szCs w:val="22"/>
              </w:rPr>
              <w:t>7.1%</w:t>
            </w:r>
          </w:p>
        </w:tc>
        <w:tc>
          <w:tcPr>
            <w:tcW w:w="2680" w:type="dxa"/>
            <w:tcBorders>
              <w:top w:val="nil"/>
              <w:left w:val="nil"/>
              <w:bottom w:val="single" w:sz="1" w:space="0" w:color="CCCCCC"/>
              <w:right w:val="nil"/>
            </w:tcBorders>
            <w:shd w:val="clear" w:color="auto" w:fill="FAFAFA"/>
            <w:tcMar>
              <w:top w:w="80" w:type="dxa"/>
              <w:left w:w="120" w:type="dxa"/>
              <w:bottom w:w="80" w:type="dxa"/>
              <w:right w:w="120" w:type="dxa"/>
            </w:tcMar>
          </w:tcPr>
          <w:p w:rsidR="00BA1C3C" w:rsidRDefault="00500341">
            <w:pPr>
              <w:jc w:val="center"/>
            </w:pPr>
            <w:r>
              <w:rPr>
                <w:sz w:val="22"/>
                <w:szCs w:val="22"/>
              </w:rPr>
              <w:t>March 2026</w:t>
            </w:r>
          </w:p>
        </w:tc>
      </w:tr>
      <w:tr w:rsidR="00BA1C3C">
        <w:tblPrEx>
          <w:tblCellMar>
            <w:top w:w="0" w:type="dxa"/>
            <w:bottom w:w="0" w:type="dxa"/>
          </w:tblCellMar>
        </w:tblPrEx>
        <w:tc>
          <w:tcPr>
            <w:tcW w:w="4000" w:type="dxa"/>
            <w:tcBorders>
              <w:top w:val="nil"/>
              <w:left w:val="nil"/>
              <w:bottom w:val="single" w:sz="1" w:space="0" w:color="CCCCCC"/>
              <w:right w:val="nil"/>
            </w:tcBorders>
            <w:shd w:val="clear" w:color="auto" w:fill="FFFFFF"/>
            <w:tcMar>
              <w:top w:w="80" w:type="dxa"/>
              <w:left w:w="120" w:type="dxa"/>
              <w:bottom w:w="80" w:type="dxa"/>
              <w:right w:w="120" w:type="dxa"/>
            </w:tcMar>
          </w:tcPr>
          <w:p w:rsidR="00BA1C3C" w:rsidRDefault="00500341">
            <w:r>
              <w:rPr>
                <w:sz w:val="22"/>
                <w:szCs w:val="22"/>
              </w:rPr>
              <w:t>UN WESP 2026</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rsidR="00BA1C3C" w:rsidRDefault="00500341">
            <w:pPr>
              <w:jc w:val="center"/>
            </w:pPr>
            <w:r>
              <w:rPr>
                <w:sz w:val="22"/>
                <w:szCs w:val="22"/>
              </w:rPr>
              <w:t>6.6%</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rsidR="00BA1C3C" w:rsidRDefault="00500341">
            <w:pPr>
              <w:jc w:val="center"/>
            </w:pPr>
            <w:r>
              <w:rPr>
                <w:sz w:val="22"/>
                <w:szCs w:val="22"/>
              </w:rPr>
              <w:t>January 2026</w:t>
            </w:r>
          </w:p>
        </w:tc>
      </w:tr>
      <w:tr w:rsidR="00BA1C3C">
        <w:tblPrEx>
          <w:tblCellMar>
            <w:top w:w="0" w:type="dxa"/>
            <w:bottom w:w="0" w:type="dxa"/>
          </w:tblCellMar>
        </w:tblPrEx>
        <w:tc>
          <w:tcPr>
            <w:tcW w:w="4000" w:type="dxa"/>
            <w:tcBorders>
              <w:top w:val="nil"/>
              <w:left w:val="nil"/>
              <w:bottom w:val="single" w:sz="1" w:space="0" w:color="CCCCCC"/>
              <w:right w:val="nil"/>
            </w:tcBorders>
            <w:shd w:val="clear" w:color="auto" w:fill="FAFAFA"/>
            <w:tcMar>
              <w:top w:w="80" w:type="dxa"/>
              <w:left w:w="120" w:type="dxa"/>
              <w:bottom w:w="80" w:type="dxa"/>
              <w:right w:w="120" w:type="dxa"/>
            </w:tcMar>
          </w:tcPr>
          <w:p w:rsidR="00BA1C3C" w:rsidRDefault="00500341">
            <w:r>
              <w:rPr>
                <w:sz w:val="22"/>
                <w:szCs w:val="22"/>
              </w:rPr>
              <w:t>Economic Survey 2025–26 (GoI)</w:t>
            </w:r>
          </w:p>
        </w:tc>
        <w:tc>
          <w:tcPr>
            <w:tcW w:w="2680" w:type="dxa"/>
            <w:tcBorders>
              <w:top w:val="nil"/>
              <w:left w:val="nil"/>
              <w:bottom w:val="single" w:sz="1" w:space="0" w:color="CCCCCC"/>
              <w:right w:val="nil"/>
            </w:tcBorders>
            <w:shd w:val="clear" w:color="auto" w:fill="FAFAFA"/>
            <w:tcMar>
              <w:top w:w="80" w:type="dxa"/>
              <w:left w:w="120" w:type="dxa"/>
              <w:bottom w:w="80" w:type="dxa"/>
              <w:right w:w="120" w:type="dxa"/>
            </w:tcMar>
          </w:tcPr>
          <w:p w:rsidR="00BA1C3C" w:rsidRDefault="00500341">
            <w:pPr>
              <w:jc w:val="center"/>
            </w:pPr>
            <w:r>
              <w:rPr>
                <w:sz w:val="22"/>
                <w:szCs w:val="22"/>
              </w:rPr>
              <w:t>6.8%–7.2%</w:t>
            </w:r>
          </w:p>
        </w:tc>
        <w:tc>
          <w:tcPr>
            <w:tcW w:w="2680" w:type="dxa"/>
            <w:tcBorders>
              <w:top w:val="nil"/>
              <w:left w:val="nil"/>
              <w:bottom w:val="single" w:sz="1" w:space="0" w:color="CCCCCC"/>
              <w:right w:val="nil"/>
            </w:tcBorders>
            <w:shd w:val="clear" w:color="auto" w:fill="FAFAFA"/>
            <w:tcMar>
              <w:top w:w="80" w:type="dxa"/>
              <w:left w:w="120" w:type="dxa"/>
              <w:bottom w:w="80" w:type="dxa"/>
              <w:right w:w="120" w:type="dxa"/>
            </w:tcMar>
          </w:tcPr>
          <w:p w:rsidR="00BA1C3C" w:rsidRDefault="00500341">
            <w:pPr>
              <w:jc w:val="center"/>
            </w:pPr>
            <w:r>
              <w:rPr>
                <w:sz w:val="22"/>
                <w:szCs w:val="22"/>
              </w:rPr>
              <w:t>January 2026</w:t>
            </w:r>
          </w:p>
        </w:tc>
      </w:tr>
      <w:tr w:rsidR="00BA1C3C">
        <w:tblPrEx>
          <w:tblCellMar>
            <w:top w:w="0" w:type="dxa"/>
            <w:bottom w:w="0" w:type="dxa"/>
          </w:tblCellMar>
        </w:tblPrEx>
        <w:tc>
          <w:tcPr>
            <w:tcW w:w="4000" w:type="dxa"/>
            <w:tcBorders>
              <w:top w:val="nil"/>
              <w:left w:val="nil"/>
              <w:bottom w:val="single" w:sz="1" w:space="0" w:color="CCCCCC"/>
              <w:right w:val="nil"/>
            </w:tcBorders>
            <w:shd w:val="clear" w:color="auto" w:fill="FFFFFF"/>
            <w:tcMar>
              <w:top w:w="80" w:type="dxa"/>
              <w:left w:w="120" w:type="dxa"/>
              <w:bottom w:w="80" w:type="dxa"/>
              <w:right w:w="120" w:type="dxa"/>
            </w:tcMar>
          </w:tcPr>
          <w:p w:rsidR="00BA1C3C" w:rsidRDefault="00500341">
            <w:r>
              <w:rPr>
                <w:sz w:val="22"/>
                <w:szCs w:val="22"/>
              </w:rPr>
              <w:t>Deloitte India Economic Outlook</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rsidR="00BA1C3C" w:rsidRDefault="00500341">
            <w:pPr>
              <w:jc w:val="center"/>
            </w:pPr>
            <w:r>
              <w:rPr>
                <w:sz w:val="22"/>
                <w:szCs w:val="22"/>
              </w:rPr>
              <w:t>6.5%–7.0%</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rsidR="00BA1C3C" w:rsidRDefault="00500341">
            <w:pPr>
              <w:jc w:val="center"/>
            </w:pPr>
            <w:r>
              <w:rPr>
                <w:sz w:val="22"/>
                <w:szCs w:val="22"/>
              </w:rPr>
              <w:t>January 2026</w:t>
            </w:r>
          </w:p>
        </w:tc>
      </w:tr>
      <w:tr w:rsidR="00BA1C3C">
        <w:tblPrEx>
          <w:tblCellMar>
            <w:top w:w="0" w:type="dxa"/>
            <w:bottom w:w="0" w:type="dxa"/>
          </w:tblCellMar>
        </w:tblPrEx>
        <w:tc>
          <w:tcPr>
            <w:tcW w:w="4000" w:type="dxa"/>
            <w:tcBorders>
              <w:top w:val="nil"/>
              <w:left w:val="nil"/>
              <w:bottom w:val="single" w:sz="4" w:space="0" w:color="000000"/>
              <w:right w:val="nil"/>
            </w:tcBorders>
            <w:shd w:val="clear" w:color="auto" w:fill="FAFAFA"/>
            <w:tcMar>
              <w:top w:w="80" w:type="dxa"/>
              <w:left w:w="120" w:type="dxa"/>
              <w:bottom w:w="80" w:type="dxa"/>
              <w:right w:w="120" w:type="dxa"/>
            </w:tcMar>
          </w:tcPr>
          <w:p w:rsidR="00BA1C3C" w:rsidRDefault="00500341">
            <w:r>
              <w:rPr>
                <w:sz w:val="22"/>
                <w:szCs w:val="22"/>
              </w:rPr>
              <w:t>RBI Annual Report 2025–26</w:t>
            </w:r>
          </w:p>
        </w:tc>
        <w:tc>
          <w:tcPr>
            <w:tcW w:w="2680" w:type="dxa"/>
            <w:tcBorders>
              <w:top w:val="nil"/>
              <w:left w:val="nil"/>
              <w:bottom w:val="single" w:sz="4" w:space="0" w:color="000000"/>
              <w:right w:val="nil"/>
            </w:tcBorders>
            <w:shd w:val="clear" w:color="auto" w:fill="FAFAFA"/>
            <w:tcMar>
              <w:top w:w="80" w:type="dxa"/>
              <w:left w:w="120" w:type="dxa"/>
              <w:bottom w:w="80" w:type="dxa"/>
              <w:right w:w="120" w:type="dxa"/>
            </w:tcMar>
          </w:tcPr>
          <w:p w:rsidR="00BA1C3C" w:rsidRDefault="00500341">
            <w:pPr>
              <w:jc w:val="center"/>
            </w:pPr>
            <w:r>
              <w:rPr>
                <w:sz w:val="22"/>
                <w:szCs w:val="22"/>
              </w:rPr>
              <w:t>6.8% (central forecast)</w:t>
            </w:r>
          </w:p>
        </w:tc>
        <w:tc>
          <w:tcPr>
            <w:tcW w:w="2680" w:type="dxa"/>
            <w:tcBorders>
              <w:top w:val="nil"/>
              <w:left w:val="nil"/>
              <w:bottom w:val="single" w:sz="4" w:space="0" w:color="000000"/>
              <w:right w:val="nil"/>
            </w:tcBorders>
            <w:shd w:val="clear" w:color="auto" w:fill="FAFAFA"/>
            <w:tcMar>
              <w:top w:w="80" w:type="dxa"/>
              <w:left w:w="120" w:type="dxa"/>
              <w:bottom w:w="80" w:type="dxa"/>
              <w:right w:w="120" w:type="dxa"/>
            </w:tcMar>
          </w:tcPr>
          <w:p w:rsidR="00BA1C3C" w:rsidRDefault="00500341">
            <w:pPr>
              <w:jc w:val="center"/>
            </w:pPr>
            <w:r>
              <w:rPr>
                <w:sz w:val="22"/>
                <w:szCs w:val="22"/>
              </w:rPr>
              <w:t>May 2026</w:t>
            </w:r>
          </w:p>
        </w:tc>
      </w:tr>
    </w:tbl>
    <w:p w:rsidR="00BA1C3C" w:rsidRDefault="00500341">
      <w:pPr>
        <w:spacing w:before="80" w:after="200"/>
        <w:jc w:val="center"/>
      </w:pPr>
      <w:r>
        <w:rPr>
          <w:i/>
          <w:iCs/>
          <w:sz w:val="20"/>
          <w:szCs w:val="20"/>
        </w:rPr>
        <w:t>Source: Authors' compilation from IMF (2025), S&amp;P Global (2026), UN WESP (2026), Ministry of Finance (2026), RBI (2026).</w:t>
      </w:r>
    </w:p>
    <w:p w:rsidR="00BA1C3C" w:rsidRDefault="00500341">
      <w:pPr>
        <w:spacing w:after="120"/>
        <w:ind w:firstLine="720"/>
        <w:jc w:val="both"/>
      </w:pPr>
      <w:r>
        <w:lastRenderedPageBreak/>
        <w:t>S&amp;P Global'</w:t>
      </w:r>
      <w:r>
        <w:t>s projection of 7.1% growth for FY2026–27, supported by strong domestic demand, steady exports, and a gradual recovery in private investment (S&amp;P Global, 2026), is among the more optimistic of the institutional forecasts, reflecting confidence in India's s</w:t>
      </w:r>
      <w:r>
        <w:t>tructural momentum. The IMF and UN projections of 6.6% reflect a more conservative assessment of external headwinds, including the persistent drag from US tariffs and geopolitical volatility. Even on the more conservative estimates, India would remain comf</w:t>
      </w:r>
      <w:r>
        <w:t>ortably the world's fastest-growing major economy.</w:t>
      </w:r>
    </w:p>
    <w:p w:rsidR="00BA1C3C" w:rsidRDefault="00500341">
      <w:pPr>
        <w:spacing w:before="200" w:after="80"/>
      </w:pPr>
      <w:r>
        <w:rPr>
          <w:b/>
          <w:bCs/>
          <w:i/>
          <w:iCs/>
        </w:rPr>
        <w:t>8.2 Policy Implications</w:t>
      </w:r>
    </w:p>
    <w:p w:rsidR="00BA1C3C" w:rsidRDefault="00500341">
      <w:pPr>
        <w:spacing w:after="120"/>
        <w:ind w:firstLine="720"/>
        <w:jc w:val="both"/>
      </w:pPr>
      <w:r>
        <w:t>The evidence assembled in this paper points to a set of policy priorities that are necessary to convert India's current resilience into sustained, equitable, and structurally deep g</w:t>
      </w:r>
      <w:r>
        <w:t>rowth.</w:t>
      </w:r>
    </w:p>
    <w:p w:rsidR="00BA1C3C" w:rsidRDefault="00500341">
      <w:pPr>
        <w:spacing w:after="120"/>
        <w:ind w:firstLine="720"/>
        <w:jc w:val="both"/>
      </w:pPr>
      <w:r>
        <w:t>First, manufacturing deepening requires moving beyond assembly-stage production toward backward integration of domestic supply chains. This demands investment in supplier development ecosystems, vocational skills infrastructure, and technology trans</w:t>
      </w:r>
      <w:r>
        <w:t>fer mechanisms — areas where PLI incentives alone are insufficient. Second, trade diversification must be systematised: while the EFTA TEPA and the prospective US-India and EU-India agreements are positive, India's long-term trade resilience requires activ</w:t>
      </w:r>
      <w:r>
        <w:t>e engagement with fast-growing markets across Southeast Asia, Africa, and Latin America, reducing bilateral concentration risks.</w:t>
      </w:r>
    </w:p>
    <w:p w:rsidR="00BA1C3C" w:rsidRDefault="00500341">
      <w:pPr>
        <w:spacing w:after="120"/>
        <w:ind w:firstLine="720"/>
        <w:jc w:val="both"/>
      </w:pPr>
      <w:r>
        <w:t>Third, fiscal consolidation must accompany stimulus. The near-term demand benefits of tax cuts and consumption subsidies must b</w:t>
      </w:r>
      <w:r>
        <w:t xml:space="preserve">e balanced against the medium-term imperative of debt sustainability, particularly in a scenario where global interest rates remain elevated. A credible medium-term fiscal framework — with transparent consolidation milestones — would reduce sovereign risk </w:t>
      </w:r>
      <w:r>
        <w:t>premia and support the RBI's exchange rate management capacity. Fourth, labour market formalisation and agricultural transformation remain the deepest structural challenges; without progress on these fronts, India's domestic demand resilience risks being c</w:t>
      </w:r>
      <w:r>
        <w:t>oncentrated among a relatively affluent minority, limiting its macroeconomic breadth and political sustainability.</w:t>
      </w:r>
    </w:p>
    <w:p w:rsidR="00BA1C3C" w:rsidRDefault="00BA1C3C">
      <w:pPr>
        <w:spacing w:before="120"/>
      </w:pPr>
    </w:p>
    <w:p w:rsidR="00BA1C3C" w:rsidRDefault="00500341">
      <w:pPr>
        <w:pBdr>
          <w:bottom w:val="single" w:sz="2" w:space="0" w:color="000000"/>
        </w:pBdr>
        <w:spacing w:before="240" w:after="120"/>
      </w:pPr>
      <w:r>
        <w:rPr>
          <w:b/>
          <w:bCs/>
        </w:rPr>
        <w:t>9. CONCLUSION</w:t>
      </w:r>
    </w:p>
    <w:p w:rsidR="00BA1C3C" w:rsidRDefault="00500341">
      <w:pPr>
        <w:spacing w:after="120"/>
        <w:ind w:firstLine="720"/>
        <w:jc w:val="both"/>
      </w:pPr>
      <w:r>
        <w:t>This paper has argued that India'</w:t>
      </w:r>
      <w:r>
        <w:t>s macroeconomic resilience during the 2024–2026 geopolitical stress episode rests on three reinforcing foundations: robust domestic demand, structural manufacturing transformation, and strengthened external buffers. These foundations did not emerge spontan</w:t>
      </w:r>
      <w:r>
        <w:t>eously; they are the product of deliberate policy choices — liberalisation, infrastructure investment, digital public infrastructure construction, and financial sector strengthening — accumulated over more than three decades of reform.</w:t>
      </w:r>
    </w:p>
    <w:p w:rsidR="00BA1C3C" w:rsidRDefault="00500341">
      <w:pPr>
        <w:spacing w:after="120"/>
        <w:ind w:firstLine="720"/>
        <w:jc w:val="both"/>
      </w:pPr>
      <w:r>
        <w:t>The geopolitical env</w:t>
      </w:r>
      <w:r>
        <w:t>ironment of 2024–26 constituted a severe stress test, and India's performance — 7.6% GDP growth, record foreign reserves, rising FDI inflows, and sustained consumption momentum — represents a meaningful achievement. Yet the analysis also reveals the distan</w:t>
      </w:r>
      <w:r>
        <w:t>ce between current performance and India's potential, and between resilience and deep structural transformation. Manufacturing depth, global value chain integration, labour market formalisation, and fiscal consolidation remain areas of significant unfinish</w:t>
      </w:r>
      <w:r>
        <w:t>ed work.</w:t>
      </w:r>
    </w:p>
    <w:p w:rsidR="00BA1C3C" w:rsidRDefault="00500341">
      <w:pPr>
        <w:spacing w:after="120"/>
        <w:ind w:firstLine="720"/>
        <w:jc w:val="both"/>
      </w:pPr>
      <w:r>
        <w:t xml:space="preserve">For the broader development economics literature, India's experience offers several insights. It suggests that large economies with demographically driven domestic demand have a </w:t>
      </w:r>
      <w:r>
        <w:lastRenderedPageBreak/>
        <w:t>structural advantage in geopolitically fragmented environments compar</w:t>
      </w:r>
      <w:r>
        <w:t>ed to export-dependent models. It demonstrates the value of digital public infrastructure as a macroeconomic stabiliser and as strategic insurance against geopolitically induced financial exclusion. And it affirms that macroprudential conservatism — mainta</w:t>
      </w:r>
      <w:r>
        <w:t>ining foreign exchange buffers, managing external debt, and sustaining monetary policy credibility — creates fiscal and monetary space that is invaluable when global conditions deteriorate.</w:t>
      </w:r>
    </w:p>
    <w:p w:rsidR="00BA1C3C" w:rsidRDefault="00500341">
      <w:pPr>
        <w:spacing w:after="120"/>
        <w:ind w:firstLine="720"/>
        <w:jc w:val="both"/>
      </w:pPr>
      <w:r>
        <w:t>The challenge for India's policymakers is to ensure that the resil</w:t>
      </w:r>
      <w:r>
        <w:t>ience documented here is not merely cyclical — a function of favourable domestic conditions offsetting adverse external ones — but structurally rooted in a growing industrial base, deepening human capital, and an expanding middle class whose consumption ca</w:t>
      </w:r>
      <w:r>
        <w:t>n sustain growth even as geopolitical headwinds intensify. That transformation remains, in the language of Deloitte (2026), the defining task of India's economic decade.</w:t>
      </w:r>
    </w:p>
    <w:p w:rsidR="00BA1C3C" w:rsidRDefault="00BA1C3C">
      <w:pPr>
        <w:spacing w:before="120"/>
      </w:pPr>
    </w:p>
    <w:p w:rsidR="00BA1C3C" w:rsidRDefault="00500341">
      <w:pPr>
        <w:pBdr>
          <w:bottom w:val="single" w:sz="2" w:space="0" w:color="000000"/>
        </w:pBdr>
        <w:spacing w:before="240" w:after="120"/>
      </w:pPr>
      <w:r>
        <w:rPr>
          <w:b/>
          <w:bCs/>
        </w:rPr>
        <w:t>ACKNOWLEDGEMENTS</w:t>
      </w:r>
    </w:p>
    <w:p w:rsidR="00BA1C3C" w:rsidRDefault="00500341">
      <w:pPr>
        <w:spacing w:after="120"/>
        <w:jc w:val="both"/>
      </w:pPr>
      <w:r>
        <w:t>The authors gratefully acknowledge the research assistance of Ms. An</w:t>
      </w:r>
      <w:r>
        <w:t>oushka Banerjee (JNU) and Mr. Siddharth Rao (ICRIER). The authors declare no conflict of interest. This research received no specific grant from any funding agency in the public, commercial, or not-for-profit sectors. The views expressed are solely those o</w:t>
      </w:r>
      <w:r>
        <w:t>f the authors.</w:t>
      </w:r>
    </w:p>
    <w:p w:rsidR="00BA1C3C" w:rsidRDefault="00BA1C3C">
      <w:pPr>
        <w:spacing w:before="120"/>
      </w:pPr>
    </w:p>
    <w:p w:rsidR="00BA1C3C" w:rsidRDefault="00500341">
      <w:pPr>
        <w:pBdr>
          <w:bottom w:val="single" w:sz="2" w:space="0" w:color="000000"/>
        </w:pBdr>
        <w:spacing w:before="240" w:after="120"/>
      </w:pPr>
      <w:r>
        <w:rPr>
          <w:b/>
          <w:bCs/>
        </w:rPr>
        <w:t>REFERENCES</w:t>
      </w:r>
    </w:p>
    <w:p w:rsidR="00BA1C3C" w:rsidRDefault="00500341">
      <w:pPr>
        <w:spacing w:after="100"/>
        <w:ind w:left="720" w:hanging="720"/>
        <w:jc w:val="both"/>
      </w:pPr>
      <w:r>
        <w:rPr>
          <w:sz w:val="22"/>
          <w:szCs w:val="22"/>
        </w:rPr>
        <w:t>Acharya, V. V. (2016). Recovering from external shocks: India's macroprudential lessons. Reserve Bank of India Working Paper Series, WP/16/04.</w:t>
      </w:r>
    </w:p>
    <w:p w:rsidR="00BA1C3C" w:rsidRDefault="00500341">
      <w:pPr>
        <w:spacing w:after="100"/>
        <w:ind w:left="720" w:hanging="720"/>
        <w:jc w:val="both"/>
      </w:pPr>
      <w:r>
        <w:rPr>
          <w:sz w:val="22"/>
          <w:szCs w:val="22"/>
        </w:rPr>
        <w:t>Briguglio, L., Cordina, G., Farrugia, N., &amp; Vella, S. (2009). Economic vulnerability a</w:t>
      </w:r>
      <w:r>
        <w:rPr>
          <w:sz w:val="22"/>
          <w:szCs w:val="22"/>
        </w:rPr>
        <w:t>nd resilience: Concepts and measurements. Oxford Development Studies, 37(3), 229–247.</w:t>
      </w:r>
    </w:p>
    <w:p w:rsidR="00BA1C3C" w:rsidRDefault="00500341">
      <w:pPr>
        <w:spacing w:after="100"/>
        <w:ind w:left="720" w:hanging="720"/>
        <w:jc w:val="both"/>
      </w:pPr>
      <w:r>
        <w:rPr>
          <w:sz w:val="22"/>
          <w:szCs w:val="22"/>
        </w:rPr>
        <w:t>Bremmer, I. (2022). The power of crisis: How three threats — and our response — will change the world. Simon &amp; Schuster.</w:t>
      </w:r>
    </w:p>
    <w:p w:rsidR="00BA1C3C" w:rsidRDefault="00500341">
      <w:pPr>
        <w:spacing w:after="100"/>
        <w:ind w:left="720" w:hanging="720"/>
        <w:jc w:val="both"/>
      </w:pPr>
      <w:r>
        <w:rPr>
          <w:sz w:val="22"/>
          <w:szCs w:val="22"/>
        </w:rPr>
        <w:t>Channeliam Economic Monitor. (2026, April 10). In</w:t>
      </w:r>
      <w:r>
        <w:rPr>
          <w:sz w:val="22"/>
          <w:szCs w:val="22"/>
        </w:rPr>
        <w:t>dia growth amid global uncertainty. https://en.channeliam.com</w:t>
      </w:r>
    </w:p>
    <w:p w:rsidR="00BA1C3C" w:rsidRDefault="00500341">
      <w:pPr>
        <w:spacing w:after="100"/>
        <w:ind w:left="720" w:hanging="720"/>
        <w:jc w:val="both"/>
      </w:pPr>
      <w:r>
        <w:rPr>
          <w:sz w:val="22"/>
          <w:szCs w:val="22"/>
        </w:rPr>
        <w:t>Deloitte. (2026, January 19). India economic outlook. Deloitte Insights. https://www.deloitte.com</w:t>
      </w:r>
    </w:p>
    <w:p w:rsidR="00BA1C3C" w:rsidRDefault="00500341">
      <w:pPr>
        <w:spacing w:after="100"/>
        <w:ind w:left="720" w:hanging="720"/>
        <w:jc w:val="both"/>
      </w:pPr>
      <w:r>
        <w:rPr>
          <w:sz w:val="22"/>
          <w:szCs w:val="22"/>
        </w:rPr>
        <w:t>East Asia Forum. (2026, February 10). India's economy carries its momentum into 2026. https://ea</w:t>
      </w:r>
      <w:r>
        <w:rPr>
          <w:sz w:val="22"/>
          <w:szCs w:val="22"/>
        </w:rPr>
        <w:t>stasiaforum.org</w:t>
      </w:r>
    </w:p>
    <w:p w:rsidR="00BA1C3C" w:rsidRDefault="00500341">
      <w:pPr>
        <w:spacing w:after="100"/>
        <w:ind w:left="720" w:hanging="720"/>
        <w:jc w:val="both"/>
      </w:pPr>
      <w:r>
        <w:rPr>
          <w:sz w:val="22"/>
          <w:szCs w:val="22"/>
        </w:rPr>
        <w:t>Ghosh, J. (2020). A critique of the Indian government's response to COVID-19. Development and Change, 51(5), 1357–1375.</w:t>
      </w:r>
    </w:p>
    <w:p w:rsidR="00BA1C3C" w:rsidRDefault="00500341">
      <w:pPr>
        <w:spacing w:after="100"/>
        <w:ind w:left="720" w:hanging="720"/>
        <w:jc w:val="both"/>
      </w:pPr>
      <w:r>
        <w:rPr>
          <w:sz w:val="22"/>
          <w:szCs w:val="22"/>
        </w:rPr>
        <w:t>HDFC Fund. (2026, March 4). India's resilience amid evolving geopolitical scenario. HDFC AMC Tuesday Talking Point. http</w:t>
      </w:r>
      <w:r>
        <w:rPr>
          <w:sz w:val="22"/>
          <w:szCs w:val="22"/>
        </w:rPr>
        <w:t>s://www.hdfcfund.com</w:t>
      </w:r>
    </w:p>
    <w:p w:rsidR="00BA1C3C" w:rsidRDefault="00500341">
      <w:pPr>
        <w:spacing w:after="100"/>
        <w:ind w:left="720" w:hanging="720"/>
        <w:jc w:val="both"/>
      </w:pPr>
      <w:r>
        <w:rPr>
          <w:sz w:val="22"/>
          <w:szCs w:val="22"/>
        </w:rPr>
        <w:t>Huang, Y., &amp; Khanna, T. (2024). India's strategic moment: Geopolitical realignment and supply chain opportunity. Harvard Business Review, 102(3), 44–52.</w:t>
      </w:r>
    </w:p>
    <w:p w:rsidR="00BA1C3C" w:rsidRDefault="00500341">
      <w:pPr>
        <w:spacing w:after="100"/>
        <w:ind w:left="720" w:hanging="720"/>
        <w:jc w:val="both"/>
      </w:pPr>
      <w:r>
        <w:rPr>
          <w:sz w:val="22"/>
          <w:szCs w:val="22"/>
        </w:rPr>
        <w:t>IBEF. (2026). Foreign direct investment in India: FDI trends and insights. India B</w:t>
      </w:r>
      <w:r>
        <w:rPr>
          <w:sz w:val="22"/>
          <w:szCs w:val="22"/>
        </w:rPr>
        <w:t>rand Equity Foundation. https://www.ibef.org</w:t>
      </w:r>
    </w:p>
    <w:p w:rsidR="00BA1C3C" w:rsidRDefault="00500341">
      <w:pPr>
        <w:spacing w:after="100"/>
        <w:ind w:left="720" w:hanging="720"/>
        <w:jc w:val="both"/>
      </w:pPr>
      <w:r>
        <w:rPr>
          <w:sz w:val="22"/>
          <w:szCs w:val="22"/>
        </w:rPr>
        <w:t>IMF. (2025). World economic outlook: Navigating global divergences. International Monetary Fund.</w:t>
      </w:r>
    </w:p>
    <w:p w:rsidR="00BA1C3C" w:rsidRDefault="00500341">
      <w:pPr>
        <w:spacing w:after="100"/>
        <w:ind w:left="720" w:hanging="720"/>
        <w:jc w:val="both"/>
      </w:pPr>
      <w:r>
        <w:rPr>
          <w:sz w:val="22"/>
          <w:szCs w:val="22"/>
        </w:rPr>
        <w:lastRenderedPageBreak/>
        <w:t>Lowy Institute. (2025). India's economic reforms: Domestic resilience to reshape global standing. The Interpreter.</w:t>
      </w:r>
      <w:r>
        <w:rPr>
          <w:sz w:val="22"/>
          <w:szCs w:val="22"/>
        </w:rPr>
        <w:t xml:space="preserve"> https://www.lowyinstitute.org</w:t>
      </w:r>
    </w:p>
    <w:p w:rsidR="00BA1C3C" w:rsidRDefault="00500341">
      <w:pPr>
        <w:spacing w:after="100"/>
        <w:ind w:left="720" w:hanging="720"/>
        <w:jc w:val="both"/>
      </w:pPr>
      <w:r>
        <w:rPr>
          <w:sz w:val="22"/>
          <w:szCs w:val="22"/>
        </w:rPr>
        <w:t>Ministry of Finance. (2026). Economic Survey 2025–26. Government of India.</w:t>
      </w:r>
    </w:p>
    <w:p w:rsidR="00BA1C3C" w:rsidRDefault="00500341">
      <w:pPr>
        <w:spacing w:after="100"/>
        <w:ind w:left="720" w:hanging="720"/>
        <w:jc w:val="both"/>
      </w:pPr>
      <w:r>
        <w:rPr>
          <w:sz w:val="22"/>
          <w:szCs w:val="22"/>
        </w:rPr>
        <w:t>Panagariya, A. (2008). India: The emerging giant. Oxford University Press.</w:t>
      </w:r>
    </w:p>
    <w:p w:rsidR="00BA1C3C" w:rsidRDefault="00500341">
      <w:pPr>
        <w:spacing w:after="100"/>
        <w:ind w:left="720" w:hanging="720"/>
        <w:jc w:val="both"/>
      </w:pPr>
      <w:r>
        <w:rPr>
          <w:sz w:val="22"/>
          <w:szCs w:val="22"/>
        </w:rPr>
        <w:t>Policy Circle. (2025, October 27). India eyes UPI global expansion to complete fintech revolution. https://www.policycircle.org</w:t>
      </w:r>
    </w:p>
    <w:p w:rsidR="00BA1C3C" w:rsidRDefault="00500341">
      <w:pPr>
        <w:spacing w:after="100"/>
        <w:ind w:left="720" w:hanging="720"/>
        <w:jc w:val="both"/>
      </w:pPr>
      <w:r>
        <w:rPr>
          <w:sz w:val="22"/>
          <w:szCs w:val="22"/>
        </w:rPr>
        <w:t>Prahalad, C. K., &amp; Nandan, N. (2017). Digital public infrastructure and economic inclusion: The India stack model. Stanford Soci</w:t>
      </w:r>
      <w:r>
        <w:rPr>
          <w:sz w:val="22"/>
          <w:szCs w:val="22"/>
        </w:rPr>
        <w:t>al Innovation Review, 15(2), 22–29.</w:t>
      </w:r>
    </w:p>
    <w:p w:rsidR="00BA1C3C" w:rsidRDefault="00500341">
      <w:pPr>
        <w:spacing w:after="100"/>
        <w:ind w:left="720" w:hanging="720"/>
        <w:jc w:val="both"/>
      </w:pPr>
      <w:r>
        <w:rPr>
          <w:sz w:val="22"/>
          <w:szCs w:val="22"/>
        </w:rPr>
        <w:t>Rajan, R., &amp; Subramanian, A. (2011). Aid, Dutch disease, and manufacturing growth. Journal of Development Economics, 94(1), 106–118.</w:t>
      </w:r>
    </w:p>
    <w:p w:rsidR="00BA1C3C" w:rsidRDefault="00500341">
      <w:pPr>
        <w:spacing w:after="100"/>
        <w:ind w:left="720" w:hanging="720"/>
        <w:jc w:val="both"/>
      </w:pPr>
      <w:r>
        <w:rPr>
          <w:sz w:val="22"/>
          <w:szCs w:val="22"/>
        </w:rPr>
        <w:t>Reserve Bank of India. (2025, June). State of the economy. RBI Monthly Bulletin.</w:t>
      </w:r>
    </w:p>
    <w:p w:rsidR="00BA1C3C" w:rsidRDefault="00500341">
      <w:pPr>
        <w:spacing w:after="100"/>
        <w:ind w:left="720" w:hanging="720"/>
        <w:jc w:val="both"/>
      </w:pPr>
      <w:r>
        <w:rPr>
          <w:sz w:val="22"/>
          <w:szCs w:val="22"/>
        </w:rPr>
        <w:t>Reserve Bank of India. (2026). Annual report 2025–26. RBI Publications.</w:t>
      </w:r>
    </w:p>
    <w:p w:rsidR="00BA1C3C" w:rsidRDefault="00500341">
      <w:pPr>
        <w:spacing w:after="100"/>
        <w:ind w:left="720" w:hanging="720"/>
        <w:jc w:val="both"/>
      </w:pPr>
      <w:r>
        <w:rPr>
          <w:sz w:val="22"/>
          <w:szCs w:val="22"/>
        </w:rPr>
        <w:t>Rodrik, D. (2023). Geopolitics and industrial policy: The new logic of economic nationalism. Journal of Economic Perspectives, 37(1), 3–26.</w:t>
      </w:r>
    </w:p>
    <w:p w:rsidR="00BA1C3C" w:rsidRDefault="00500341">
      <w:pPr>
        <w:spacing w:after="100"/>
        <w:ind w:left="720" w:hanging="720"/>
        <w:jc w:val="both"/>
      </w:pPr>
      <w:r>
        <w:rPr>
          <w:sz w:val="22"/>
          <w:szCs w:val="22"/>
        </w:rPr>
        <w:t>S&amp;P Global. (2026, March 25). India's growth</w:t>
      </w:r>
      <w:r>
        <w:rPr>
          <w:sz w:val="22"/>
          <w:szCs w:val="22"/>
        </w:rPr>
        <w:t xml:space="preserve"> to remain resilient at 7.1% in FY27 despite geopolitical tensions. S&amp;P Global Economic Outlook.</w:t>
      </w:r>
    </w:p>
    <w:p w:rsidR="00BA1C3C" w:rsidRDefault="00500341">
      <w:pPr>
        <w:spacing w:after="100"/>
        <w:ind w:left="720" w:hanging="720"/>
        <w:jc w:val="both"/>
      </w:pPr>
      <w:r>
        <w:rPr>
          <w:sz w:val="22"/>
          <w:szCs w:val="22"/>
        </w:rPr>
        <w:t>United Nations. (2026). World economic situation and prospects 2026. UN DESA.</w:t>
      </w:r>
    </w:p>
    <w:sectPr w:rsidR="00BA1C3C" w:rsidSect="00BA1C3C">
      <w:footerReference w:type="default" r:id="rId7"/>
      <w:pgSz w:w="12240" w:h="15840"/>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341" w:rsidRDefault="00500341" w:rsidP="00BA1C3C">
      <w:r>
        <w:separator/>
      </w:r>
    </w:p>
  </w:endnote>
  <w:endnote w:type="continuationSeparator" w:id="1">
    <w:p w:rsidR="00500341" w:rsidRDefault="00500341" w:rsidP="00BA1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123BFD">
      <w:tc>
        <w:tcPr>
          <w:tcW w:w="918" w:type="dxa"/>
        </w:tcPr>
        <w:p w:rsidR="00123BFD" w:rsidRDefault="00123BFD">
          <w:pPr>
            <w:pStyle w:val="Footer"/>
            <w:jc w:val="right"/>
            <w:rPr>
              <w:b/>
              <w:color w:val="4F81BD" w:themeColor="accent1"/>
              <w:sz w:val="32"/>
              <w:szCs w:val="32"/>
            </w:rPr>
          </w:pPr>
          <w:fldSimple w:instr=" PAGE   \* MERGEFORMAT ">
            <w:r w:rsidRPr="00123BFD">
              <w:rPr>
                <w:b/>
                <w:noProof/>
                <w:color w:val="4F81BD" w:themeColor="accent1"/>
                <w:sz w:val="32"/>
                <w:szCs w:val="32"/>
              </w:rPr>
              <w:t>10</w:t>
            </w:r>
          </w:fldSimple>
        </w:p>
      </w:tc>
      <w:tc>
        <w:tcPr>
          <w:tcW w:w="7938" w:type="dxa"/>
        </w:tcPr>
        <w:p w:rsidR="00123BFD" w:rsidRDefault="00123BFD">
          <w:pPr>
            <w:pStyle w:val="Footer"/>
          </w:pPr>
        </w:p>
      </w:tc>
    </w:tr>
  </w:tbl>
  <w:p w:rsidR="00BA1C3C" w:rsidRDefault="00BA1C3C">
    <w:pPr>
      <w:pBdr>
        <w:top w:val="single" w:sz="1" w:space="0" w:color="AAAAAA"/>
      </w:pBdr>
      <w:tabs>
        <w:tab w:val="right" w:pos="9360"/>
      </w:tabs>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341" w:rsidRDefault="00500341" w:rsidP="00BA1C3C">
      <w:r>
        <w:separator/>
      </w:r>
    </w:p>
  </w:footnote>
  <w:footnote w:type="continuationSeparator" w:id="1">
    <w:p w:rsidR="00500341" w:rsidRDefault="00500341" w:rsidP="00BA1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44BAC"/>
    <w:multiLevelType w:val="hybridMultilevel"/>
    <w:tmpl w:val="7758FDA6"/>
    <w:lvl w:ilvl="0" w:tplc="7F30F94C">
      <w:start w:val="1"/>
      <w:numFmt w:val="bullet"/>
      <w:lvlText w:val="•"/>
      <w:lvlJc w:val="left"/>
      <w:pPr>
        <w:ind w:left="720" w:hanging="360"/>
      </w:pPr>
      <w:rPr>
        <w:rFonts w:ascii="Times New Roman" w:eastAsia="Times New Roman" w:hAnsi="Times New Roman" w:cs="Times New Roman"/>
        <w:sz w:val="24"/>
        <w:szCs w:val="24"/>
      </w:rPr>
    </w:lvl>
    <w:lvl w:ilvl="1" w:tplc="6464BFF2">
      <w:numFmt w:val="decimal"/>
      <w:lvlText w:val=""/>
      <w:lvlJc w:val="left"/>
    </w:lvl>
    <w:lvl w:ilvl="2" w:tplc="4C8E32B6">
      <w:numFmt w:val="decimal"/>
      <w:lvlText w:val=""/>
      <w:lvlJc w:val="left"/>
    </w:lvl>
    <w:lvl w:ilvl="3" w:tplc="D74CF96C">
      <w:numFmt w:val="decimal"/>
      <w:lvlText w:val=""/>
      <w:lvlJc w:val="left"/>
    </w:lvl>
    <w:lvl w:ilvl="4" w:tplc="5FC8FD1E">
      <w:numFmt w:val="decimal"/>
      <w:lvlText w:val=""/>
      <w:lvlJc w:val="left"/>
    </w:lvl>
    <w:lvl w:ilvl="5" w:tplc="F96E7BDA">
      <w:numFmt w:val="decimal"/>
      <w:lvlText w:val=""/>
      <w:lvlJc w:val="left"/>
    </w:lvl>
    <w:lvl w:ilvl="6" w:tplc="B740BC28">
      <w:numFmt w:val="decimal"/>
      <w:lvlText w:val=""/>
      <w:lvlJc w:val="left"/>
    </w:lvl>
    <w:lvl w:ilvl="7" w:tplc="02ACD40A">
      <w:numFmt w:val="decimal"/>
      <w:lvlText w:val=""/>
      <w:lvlJc w:val="left"/>
    </w:lvl>
    <w:lvl w:ilvl="8" w:tplc="0714F990">
      <w:numFmt w:val="decimal"/>
      <w:lvlText w:val=""/>
      <w:lvlJc w:val="left"/>
    </w:lvl>
  </w:abstractNum>
  <w:abstractNum w:abstractNumId="1">
    <w:nsid w:val="24657812"/>
    <w:multiLevelType w:val="hybridMultilevel"/>
    <w:tmpl w:val="FD0EC3AA"/>
    <w:lvl w:ilvl="0" w:tplc="EF60F768">
      <w:start w:val="1"/>
      <w:numFmt w:val="bullet"/>
      <w:lvlText w:val="●"/>
      <w:lvlJc w:val="left"/>
      <w:pPr>
        <w:ind w:left="720" w:hanging="360"/>
      </w:pPr>
    </w:lvl>
    <w:lvl w:ilvl="1" w:tplc="EF48370E">
      <w:start w:val="1"/>
      <w:numFmt w:val="bullet"/>
      <w:lvlText w:val="○"/>
      <w:lvlJc w:val="left"/>
      <w:pPr>
        <w:ind w:left="1440" w:hanging="360"/>
      </w:pPr>
    </w:lvl>
    <w:lvl w:ilvl="2" w:tplc="8EACC8EC">
      <w:start w:val="1"/>
      <w:numFmt w:val="bullet"/>
      <w:lvlText w:val="■"/>
      <w:lvlJc w:val="left"/>
      <w:pPr>
        <w:ind w:left="2160" w:hanging="360"/>
      </w:pPr>
    </w:lvl>
    <w:lvl w:ilvl="3" w:tplc="A0C29BFC">
      <w:start w:val="1"/>
      <w:numFmt w:val="bullet"/>
      <w:lvlText w:val="●"/>
      <w:lvlJc w:val="left"/>
      <w:pPr>
        <w:ind w:left="2880" w:hanging="360"/>
      </w:pPr>
    </w:lvl>
    <w:lvl w:ilvl="4" w:tplc="85F0A93E">
      <w:start w:val="1"/>
      <w:numFmt w:val="bullet"/>
      <w:lvlText w:val="○"/>
      <w:lvlJc w:val="left"/>
      <w:pPr>
        <w:ind w:left="3600" w:hanging="360"/>
      </w:pPr>
    </w:lvl>
    <w:lvl w:ilvl="5" w:tplc="1C58DD9A">
      <w:start w:val="1"/>
      <w:numFmt w:val="bullet"/>
      <w:lvlText w:val="■"/>
      <w:lvlJc w:val="left"/>
      <w:pPr>
        <w:ind w:left="4320" w:hanging="360"/>
      </w:pPr>
    </w:lvl>
    <w:lvl w:ilvl="6" w:tplc="F63278A8">
      <w:start w:val="1"/>
      <w:numFmt w:val="bullet"/>
      <w:lvlText w:val="●"/>
      <w:lvlJc w:val="left"/>
      <w:pPr>
        <w:ind w:left="5040" w:hanging="360"/>
      </w:pPr>
    </w:lvl>
    <w:lvl w:ilvl="7" w:tplc="31144F76">
      <w:start w:val="1"/>
      <w:numFmt w:val="bullet"/>
      <w:lvlText w:val="●"/>
      <w:lvlJc w:val="left"/>
      <w:pPr>
        <w:ind w:left="5760" w:hanging="360"/>
      </w:pPr>
    </w:lvl>
    <w:lvl w:ilvl="8" w:tplc="DB8AEDAA">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characterSpacingControl w:val="doNotCompress"/>
  <w:footnotePr>
    <w:footnote w:id="0"/>
    <w:footnote w:id="1"/>
  </w:footnotePr>
  <w:endnotePr>
    <w:endnote w:id="0"/>
    <w:endnote w:id="1"/>
  </w:endnotePr>
  <w:compat/>
  <w:rsids>
    <w:rsidRoot w:val="00BA1C3C"/>
    <w:rsid w:val="00123BFD"/>
    <w:rsid w:val="00500341"/>
    <w:rsid w:val="00BA1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BA1C3C"/>
    <w:pPr>
      <w:outlineLvl w:val="0"/>
    </w:pPr>
    <w:rPr>
      <w:color w:val="2E74B5"/>
      <w:sz w:val="32"/>
      <w:szCs w:val="32"/>
    </w:rPr>
  </w:style>
  <w:style w:type="paragraph" w:styleId="Heading2">
    <w:name w:val="heading 2"/>
    <w:qFormat/>
    <w:rsid w:val="00BA1C3C"/>
    <w:pPr>
      <w:outlineLvl w:val="1"/>
    </w:pPr>
    <w:rPr>
      <w:color w:val="2E74B5"/>
      <w:sz w:val="26"/>
      <w:szCs w:val="26"/>
    </w:rPr>
  </w:style>
  <w:style w:type="paragraph" w:styleId="Heading3">
    <w:name w:val="heading 3"/>
    <w:qFormat/>
    <w:rsid w:val="00BA1C3C"/>
    <w:pPr>
      <w:outlineLvl w:val="2"/>
    </w:pPr>
    <w:rPr>
      <w:color w:val="1F4D78"/>
    </w:rPr>
  </w:style>
  <w:style w:type="paragraph" w:styleId="Heading4">
    <w:name w:val="heading 4"/>
    <w:qFormat/>
    <w:rsid w:val="00BA1C3C"/>
    <w:pPr>
      <w:outlineLvl w:val="3"/>
    </w:pPr>
    <w:rPr>
      <w:i/>
      <w:iCs/>
      <w:color w:val="2E74B5"/>
    </w:rPr>
  </w:style>
  <w:style w:type="paragraph" w:styleId="Heading5">
    <w:name w:val="heading 5"/>
    <w:qFormat/>
    <w:rsid w:val="00BA1C3C"/>
    <w:pPr>
      <w:outlineLvl w:val="4"/>
    </w:pPr>
    <w:rPr>
      <w:color w:val="2E74B5"/>
    </w:rPr>
  </w:style>
  <w:style w:type="paragraph" w:styleId="Heading6">
    <w:name w:val="heading 6"/>
    <w:qFormat/>
    <w:rsid w:val="00BA1C3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A1C3C"/>
    <w:rPr>
      <w:sz w:val="56"/>
      <w:szCs w:val="56"/>
    </w:rPr>
  </w:style>
  <w:style w:type="paragraph" w:customStyle="1" w:styleId="Strong1">
    <w:name w:val="Strong1"/>
    <w:qFormat/>
    <w:rsid w:val="00BA1C3C"/>
    <w:rPr>
      <w:b/>
      <w:bCs/>
    </w:rPr>
  </w:style>
  <w:style w:type="paragraph" w:styleId="ListParagraph">
    <w:name w:val="List Paragraph"/>
    <w:qFormat/>
    <w:rsid w:val="00BA1C3C"/>
  </w:style>
  <w:style w:type="character" w:styleId="Hyperlink">
    <w:name w:val="Hyperlink"/>
    <w:uiPriority w:val="99"/>
    <w:unhideWhenUsed/>
    <w:rsid w:val="00BA1C3C"/>
    <w:rPr>
      <w:color w:val="0563C1"/>
      <w:u w:val="single"/>
    </w:rPr>
  </w:style>
  <w:style w:type="character" w:styleId="FootnoteReference">
    <w:name w:val="footnote reference"/>
    <w:uiPriority w:val="99"/>
    <w:semiHidden/>
    <w:unhideWhenUsed/>
    <w:rsid w:val="00BA1C3C"/>
    <w:rPr>
      <w:vertAlign w:val="superscript"/>
    </w:rPr>
  </w:style>
  <w:style w:type="paragraph" w:styleId="FootnoteText">
    <w:name w:val="footnote text"/>
    <w:link w:val="FootnoteTextChar"/>
    <w:uiPriority w:val="99"/>
    <w:semiHidden/>
    <w:unhideWhenUsed/>
    <w:rsid w:val="00BA1C3C"/>
    <w:rPr>
      <w:sz w:val="20"/>
      <w:szCs w:val="20"/>
    </w:rPr>
  </w:style>
  <w:style w:type="character" w:customStyle="1" w:styleId="FootnoteTextChar">
    <w:name w:val="Footnote Text Char"/>
    <w:link w:val="FootnoteText"/>
    <w:uiPriority w:val="99"/>
    <w:semiHidden/>
    <w:unhideWhenUsed/>
    <w:rsid w:val="00BA1C3C"/>
    <w:rPr>
      <w:sz w:val="20"/>
      <w:szCs w:val="20"/>
    </w:rPr>
  </w:style>
  <w:style w:type="character" w:styleId="EndnoteReference">
    <w:name w:val="endnote reference"/>
    <w:uiPriority w:val="99"/>
    <w:semiHidden/>
    <w:unhideWhenUsed/>
    <w:rsid w:val="00BA1C3C"/>
    <w:rPr>
      <w:vertAlign w:val="superscript"/>
    </w:rPr>
  </w:style>
  <w:style w:type="paragraph" w:styleId="EndnoteText">
    <w:name w:val="endnote text"/>
    <w:link w:val="EndnoteTextChar"/>
    <w:uiPriority w:val="99"/>
    <w:semiHidden/>
    <w:unhideWhenUsed/>
    <w:rsid w:val="00BA1C3C"/>
    <w:rPr>
      <w:sz w:val="20"/>
      <w:szCs w:val="20"/>
    </w:rPr>
  </w:style>
  <w:style w:type="character" w:customStyle="1" w:styleId="EndnoteTextChar">
    <w:name w:val="Endnote Text Char"/>
    <w:link w:val="EndnoteText"/>
    <w:uiPriority w:val="99"/>
    <w:semiHidden/>
    <w:unhideWhenUsed/>
    <w:rsid w:val="00BA1C3C"/>
    <w:rPr>
      <w:sz w:val="20"/>
      <w:szCs w:val="20"/>
    </w:rPr>
  </w:style>
  <w:style w:type="paragraph" w:styleId="Header">
    <w:name w:val="header"/>
    <w:basedOn w:val="Normal"/>
    <w:link w:val="HeaderChar"/>
    <w:uiPriority w:val="99"/>
    <w:semiHidden/>
    <w:unhideWhenUsed/>
    <w:rsid w:val="00123BFD"/>
    <w:pPr>
      <w:tabs>
        <w:tab w:val="center" w:pos="4680"/>
        <w:tab w:val="right" w:pos="9360"/>
      </w:tabs>
    </w:pPr>
  </w:style>
  <w:style w:type="character" w:customStyle="1" w:styleId="HeaderChar">
    <w:name w:val="Header Char"/>
    <w:basedOn w:val="DefaultParagraphFont"/>
    <w:link w:val="Header"/>
    <w:uiPriority w:val="99"/>
    <w:semiHidden/>
    <w:rsid w:val="00123BFD"/>
  </w:style>
  <w:style w:type="paragraph" w:styleId="Footer">
    <w:name w:val="footer"/>
    <w:basedOn w:val="Normal"/>
    <w:link w:val="FooterChar"/>
    <w:uiPriority w:val="99"/>
    <w:unhideWhenUsed/>
    <w:rsid w:val="00123BFD"/>
    <w:pPr>
      <w:tabs>
        <w:tab w:val="center" w:pos="4680"/>
        <w:tab w:val="right" w:pos="9360"/>
      </w:tabs>
    </w:pPr>
  </w:style>
  <w:style w:type="character" w:customStyle="1" w:styleId="FooterChar">
    <w:name w:val="Footer Char"/>
    <w:basedOn w:val="DefaultParagraphFont"/>
    <w:link w:val="Footer"/>
    <w:uiPriority w:val="99"/>
    <w:rsid w:val="00123B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4360</Words>
  <Characters>24855</Characters>
  <Application>Microsoft Office Word</Application>
  <DocSecurity>0</DocSecurity>
  <Lines>207</Lines>
  <Paragraphs>58</Paragraphs>
  <ScaleCrop>false</ScaleCrop>
  <Company/>
  <LinksUpToDate>false</LinksUpToDate>
  <CharactersWithSpaces>29157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asd</cp:lastModifiedBy>
  <cp:revision>2</cp:revision>
  <dcterms:created xsi:type="dcterms:W3CDTF">2026-05-31T19:03:00Z</dcterms:created>
  <dcterms:modified xsi:type="dcterms:W3CDTF">2026-05-31T19:08:00Z</dcterms:modified>
</cp:coreProperties>
</file>