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68A9">
      <w:pPr>
        <w:spacing w:before="0" w:beforeAutospacing="0" w:after="0" w:line="360" w:lineRule="auto"/>
        <w:jc w:val="center"/>
        <w:rPr>
          <w:rFonts w:ascii="Times New Roman" w:hAnsi="Times New Roman" w:eastAsia="Times New Roman" w:cs="Times New Roman"/>
          <w:b/>
          <w:bCs/>
          <w:kern w:val="0"/>
          <w:sz w:val="24"/>
          <w:szCs w:val="24"/>
          <w:lang w:val="zh-CN" w:eastAsia="zh-CN"/>
          <w14:ligatures w14:val="none"/>
        </w:rPr>
      </w:pPr>
      <w:r>
        <w:rPr>
          <w:rFonts w:hint="default" w:ascii="Times New Roman" w:hAnsi="Times New Roman" w:eastAsia="Times New Roman" w:cs="Times New Roman"/>
          <w:b/>
          <w:bCs/>
          <w:kern w:val="0"/>
          <w:sz w:val="24"/>
          <w:szCs w:val="24"/>
          <w:lang w:val="en-US" w:eastAsia="zh-CN"/>
          <w14:ligatures w14:val="none"/>
        </w:rPr>
        <w:t xml:space="preserve">Concentration </w:t>
      </w:r>
      <w:r>
        <w:rPr>
          <w:rFonts w:ascii="Times New Roman" w:hAnsi="Times New Roman" w:eastAsia="Times New Roman" w:cs="Times New Roman"/>
          <w:b/>
          <w:bCs/>
          <w:kern w:val="0"/>
          <w:sz w:val="24"/>
          <w:szCs w:val="24"/>
          <w:lang w:val="zh-CN" w:eastAsia="zh-CN"/>
          <w14:ligatures w14:val="none"/>
        </w:rPr>
        <w:t xml:space="preserve"> and Contamination Profile of Traffic-Related Heavy Metals in Road Dust</w:t>
      </w:r>
      <w:r>
        <w:rPr>
          <w:rFonts w:hint="default" w:ascii="Times New Roman" w:hAnsi="Times New Roman" w:eastAsia="Times New Roman" w:cs="Times New Roman"/>
          <w:b/>
          <w:bCs/>
          <w:kern w:val="0"/>
          <w:sz w:val="24"/>
          <w:szCs w:val="24"/>
          <w:lang w:val="en-US" w:eastAsia="zh-CN"/>
          <w14:ligatures w14:val="none"/>
        </w:rPr>
        <w:t xml:space="preserve"> of</w:t>
      </w:r>
      <w:r>
        <w:rPr>
          <w:rFonts w:ascii="Times New Roman" w:hAnsi="Times New Roman" w:eastAsia="Times New Roman" w:cs="Times New Roman"/>
          <w:b/>
          <w:bCs/>
          <w:kern w:val="0"/>
          <w:sz w:val="24"/>
          <w:szCs w:val="24"/>
          <w:lang w:val="zh-CN" w:eastAsia="zh-CN"/>
          <w14:ligatures w14:val="none"/>
        </w:rPr>
        <w:t xml:space="preserve">  Kano Metropolis, Nigeria</w:t>
      </w:r>
    </w:p>
    <w:p w14:paraId="1B5D6406">
      <w:pPr>
        <w:spacing w:before="0" w:beforeAutospacing="0" w:after="0" w:line="360" w:lineRule="auto"/>
        <w:jc w:val="center"/>
        <w:rPr>
          <w:rFonts w:hint="default" w:ascii="Times New Roman" w:hAnsi="Times New Roman"/>
          <w:kern w:val="0"/>
          <w:sz w:val="24"/>
          <w:szCs w:val="24"/>
          <w:lang w:val="en-US"/>
        </w:rPr>
      </w:pPr>
      <w:r>
        <w:rPr>
          <w:rFonts w:ascii="TimesNewRomanPS-BoldMT" w:hAnsi="TimesNewRomanPS-BoldMT"/>
          <w:b/>
          <w:bCs/>
          <w:color w:val="000000"/>
          <w:kern w:val="0"/>
          <w:sz w:val="24"/>
          <w:szCs w:val="24"/>
        </w:rPr>
        <w:t>Sani, H.T</w:t>
      </w:r>
      <w:r>
        <w:rPr>
          <w:rFonts w:ascii="TimesNewRomanPS-BoldMT" w:hAnsi="TimesNewRomanPS-BoldMT"/>
          <w:b/>
          <w:bCs/>
          <w:color w:val="000000"/>
          <w:kern w:val="0"/>
          <w:sz w:val="16"/>
          <w:szCs w:val="16"/>
        </w:rPr>
        <w:t>1</w:t>
      </w:r>
      <w:r>
        <w:rPr>
          <w:rFonts w:ascii="TimesNewRomanPS-BoldMT" w:hAnsi="TimesNewRomanPS-BoldMT"/>
          <w:b/>
          <w:bCs/>
          <w:color w:val="000000"/>
          <w:kern w:val="0"/>
          <w:sz w:val="24"/>
          <w:szCs w:val="24"/>
        </w:rPr>
        <w:t>, Afolabi, J. A</w:t>
      </w:r>
      <w:r>
        <w:rPr>
          <w:rFonts w:ascii="TimesNewRomanPS-BoldMT" w:hAnsi="TimesNewRomanPS-BoldMT"/>
          <w:b/>
          <w:bCs/>
          <w:color w:val="000000"/>
          <w:kern w:val="0"/>
          <w:sz w:val="16"/>
          <w:szCs w:val="16"/>
        </w:rPr>
        <w:t>2</w:t>
      </w:r>
      <w:r>
        <w:rPr>
          <w:rFonts w:ascii="TimesNewRomanPS-BoldMT" w:hAnsi="TimesNewRomanPS-BoldMT"/>
          <w:b/>
          <w:bCs/>
          <w:color w:val="000000"/>
          <w:kern w:val="0"/>
          <w:sz w:val="24"/>
          <w:szCs w:val="24"/>
        </w:rPr>
        <w:t xml:space="preserve">,  </w:t>
      </w:r>
      <w:r>
        <w:rPr>
          <w:rFonts w:hint="default" w:ascii="TimesNewRomanPS-BoldMT" w:hAnsi="TimesNewRomanPS-BoldMT"/>
          <w:b/>
          <w:bCs/>
          <w:color w:val="000000"/>
          <w:kern w:val="0"/>
          <w:sz w:val="24"/>
          <w:szCs w:val="24"/>
          <w:lang w:val="en-US"/>
        </w:rPr>
        <w:t>H.G. Usman</w:t>
      </w:r>
      <w:r>
        <w:rPr>
          <w:rFonts w:hint="default" w:ascii="TimesNewRomanPS-BoldMT" w:hAnsi="TimesNewRomanPS-BoldMT"/>
          <w:b/>
          <w:bCs/>
          <w:color w:val="000000"/>
          <w:kern w:val="0"/>
          <w:sz w:val="24"/>
          <w:szCs w:val="24"/>
          <w:vertAlign w:val="subscript"/>
          <w:lang w:val="en-US"/>
        </w:rPr>
        <w:t>3</w:t>
      </w:r>
      <w:r>
        <w:rPr>
          <w:rFonts w:hint="default" w:ascii="TimesNewRomanPS-BoldMT" w:hAnsi="TimesNewRomanPS-BoldMT"/>
          <w:b/>
          <w:bCs/>
          <w:color w:val="000000"/>
          <w:kern w:val="0"/>
          <w:sz w:val="16"/>
          <w:szCs w:val="16"/>
          <w:lang w:val="en-US"/>
        </w:rPr>
        <w:t>,</w:t>
      </w:r>
      <w:r>
        <w:rPr>
          <w:rFonts w:hint="default" w:ascii="TimesNewRomanPS-BoldMT" w:hAnsi="TimesNewRomanPS-BoldMT"/>
          <w:b/>
          <w:bCs/>
          <w:color w:val="000000"/>
          <w:kern w:val="0"/>
          <w:sz w:val="24"/>
          <w:szCs w:val="24"/>
          <w:lang w:val="en-US"/>
        </w:rPr>
        <w:t xml:space="preserve"> </w:t>
      </w:r>
    </w:p>
    <w:p w14:paraId="7CA99B4A">
      <w:pPr>
        <w:spacing w:before="0" w:beforeAutospacing="0" w:after="0" w:line="360" w:lineRule="auto"/>
        <w:jc w:val="center"/>
        <w:rPr>
          <w:rFonts w:hint="default" w:ascii="Times New Roman" w:hAnsi="Times New Roman"/>
          <w:kern w:val="0"/>
          <w:sz w:val="24"/>
          <w:szCs w:val="24"/>
          <w:lang w:val="en-US"/>
        </w:rPr>
      </w:pPr>
      <w:r>
        <w:rPr>
          <w:rFonts w:ascii="TimesNewRomanPS-BoldMT" w:hAnsi="TimesNewRomanPS-BoldMT"/>
          <w:b/>
          <w:bCs/>
          <w:color w:val="000000"/>
          <w:kern w:val="0"/>
          <w:sz w:val="24"/>
          <w:szCs w:val="24"/>
        </w:rPr>
        <w:t>Center for Geodesy and Geodynamics, Toro Bauchi State</w:t>
      </w:r>
      <w:r>
        <w:rPr>
          <w:rFonts w:hint="default" w:ascii="TimesNewRomanPS-BoldMT" w:hAnsi="TimesNewRomanPS-BoldMT"/>
          <w:b/>
          <w:bCs/>
          <w:color w:val="000000"/>
          <w:kern w:val="0"/>
          <w:sz w:val="24"/>
          <w:szCs w:val="24"/>
          <w:lang w:val="en-US"/>
        </w:rPr>
        <w:t>, Nigrria</w:t>
      </w:r>
      <w:r>
        <w:rPr>
          <w:rFonts w:hint="default" w:ascii="TimesNewRomanPS-BoldMT" w:hAnsi="TimesNewRomanPS-BoldMT"/>
          <w:b/>
          <w:bCs/>
          <w:color w:val="000000"/>
          <w:kern w:val="0"/>
          <w:sz w:val="24"/>
          <w:szCs w:val="24"/>
          <w:vertAlign w:val="superscript"/>
          <w:lang w:val="en-US"/>
        </w:rPr>
        <w:t>1</w:t>
      </w:r>
      <w:r>
        <w:rPr>
          <w:rFonts w:hint="default" w:ascii="TimesNewRomanPS-BoldMT" w:hAnsi="TimesNewRomanPS-BoldMT"/>
          <w:b/>
          <w:bCs/>
          <w:color w:val="000000"/>
          <w:kern w:val="0"/>
          <w:sz w:val="24"/>
          <w:szCs w:val="24"/>
          <w:lang w:val="en-US"/>
        </w:rPr>
        <w:t>.</w:t>
      </w:r>
    </w:p>
    <w:p w14:paraId="4AF9D43D">
      <w:pPr>
        <w:spacing w:before="0" w:beforeAutospacing="0" w:after="0" w:line="360" w:lineRule="auto"/>
        <w:jc w:val="center"/>
        <w:rPr>
          <w:rFonts w:hint="default" w:ascii="TimesNewRomanPS-BoldMT" w:hAnsi="TimesNewRomanPS-BoldMT"/>
          <w:b/>
          <w:bCs/>
          <w:color w:val="000000"/>
          <w:kern w:val="0"/>
          <w:sz w:val="24"/>
          <w:szCs w:val="24"/>
          <w:lang w:val="en-US"/>
        </w:rPr>
      </w:pPr>
      <w:r>
        <w:rPr>
          <w:rFonts w:ascii="TimesNewRomanPS-BoldMT" w:hAnsi="TimesNewRomanPS-BoldMT"/>
          <w:b/>
          <w:bCs/>
          <w:color w:val="000000"/>
          <w:kern w:val="0"/>
          <w:sz w:val="24"/>
          <w:szCs w:val="24"/>
        </w:rPr>
        <w:t>Geography Department, Northwest University Kano</w:t>
      </w:r>
      <w:r>
        <w:rPr>
          <w:rFonts w:hint="default" w:ascii="TimesNewRomanPS-BoldMT" w:hAnsi="TimesNewRomanPS-BoldMT"/>
          <w:b/>
          <w:bCs/>
          <w:color w:val="000000"/>
          <w:kern w:val="0"/>
          <w:sz w:val="24"/>
          <w:szCs w:val="24"/>
          <w:lang w:val="en-US"/>
        </w:rPr>
        <w:t>, Nigeria</w:t>
      </w:r>
      <w:r>
        <w:rPr>
          <w:rFonts w:hint="default" w:ascii="TimesNewRomanPS-BoldMT" w:hAnsi="TimesNewRomanPS-BoldMT"/>
          <w:b/>
          <w:bCs/>
          <w:color w:val="000000"/>
          <w:kern w:val="0"/>
          <w:sz w:val="24"/>
          <w:szCs w:val="24"/>
          <w:vertAlign w:val="superscript"/>
          <w:lang w:val="en-US"/>
        </w:rPr>
        <w:t>2</w:t>
      </w:r>
      <w:r>
        <w:rPr>
          <w:rFonts w:hint="default" w:ascii="TimesNewRomanPS-BoldMT" w:hAnsi="TimesNewRomanPS-BoldMT"/>
          <w:b/>
          <w:bCs/>
          <w:color w:val="000000"/>
          <w:kern w:val="0"/>
          <w:sz w:val="24"/>
          <w:szCs w:val="24"/>
          <w:lang w:val="en-US"/>
        </w:rPr>
        <w:t>.</w:t>
      </w:r>
    </w:p>
    <w:p w14:paraId="68EDDC35">
      <w:pPr>
        <w:spacing w:before="0" w:beforeAutospacing="0" w:after="0" w:line="360" w:lineRule="auto"/>
        <w:jc w:val="center"/>
        <w:rPr>
          <w:rFonts w:hint="default" w:ascii="TimesNewRomanPS-BoldMT" w:hAnsi="TimesNewRomanPS-BoldMT"/>
          <w:b/>
          <w:bCs/>
          <w:color w:val="000000"/>
          <w:kern w:val="0"/>
          <w:sz w:val="24"/>
          <w:szCs w:val="24"/>
          <w:lang w:val="en-US"/>
        </w:rPr>
      </w:pPr>
      <w:r>
        <w:rPr>
          <w:rFonts w:hint="default" w:ascii="TimesNewRomanPS-BoldMT" w:hAnsi="TimesNewRomanPS-BoldMT"/>
          <w:b/>
          <w:bCs/>
          <w:color w:val="000000"/>
          <w:kern w:val="0"/>
          <w:sz w:val="24"/>
          <w:szCs w:val="24"/>
          <w:lang w:val="en-US"/>
        </w:rPr>
        <w:t>National Biotechnology Development Agency, Nigeria</w:t>
      </w:r>
      <w:r>
        <w:rPr>
          <w:rFonts w:hint="default" w:ascii="TimesNewRomanPS-BoldMT" w:hAnsi="TimesNewRomanPS-BoldMT"/>
          <w:b/>
          <w:bCs/>
          <w:color w:val="000000"/>
          <w:kern w:val="0"/>
          <w:sz w:val="24"/>
          <w:szCs w:val="24"/>
          <w:vertAlign w:val="superscript"/>
          <w:lang w:val="en-US"/>
        </w:rPr>
        <w:t>3</w:t>
      </w:r>
    </w:p>
    <w:p w14:paraId="217FD5C5">
      <w:pPr>
        <w:spacing w:after="100" w:afterAutospacing="1" w:line="276" w:lineRule="auto"/>
        <w:jc w:val="center"/>
        <w:rPr>
          <w:rFonts w:ascii="Times New Roman" w:hAnsi="Times New Roman" w:eastAsia="Times New Roman" w:cs="Times New Roman"/>
          <w:b/>
          <w:bCs/>
          <w:kern w:val="0"/>
          <w:sz w:val="24"/>
          <w:szCs w:val="24"/>
          <w:lang w:val="zh-CN" w:eastAsia="zh-CN"/>
          <w14:ligatures w14:val="none"/>
        </w:rPr>
      </w:pPr>
    </w:p>
    <w:p w14:paraId="54CB2500">
      <w:pPr>
        <w:spacing w:after="100" w:afterAutospacing="1" w:line="276" w:lineRule="auto"/>
        <w:jc w:val="center"/>
        <w:rPr>
          <w:rFonts w:ascii="Times New Roman" w:hAnsi="Times New Roman" w:eastAsia="Times New Roman" w:cs="Times New Roman"/>
          <w:b/>
          <w:bCs/>
          <w:kern w:val="0"/>
          <w:sz w:val="24"/>
          <w:szCs w:val="24"/>
          <w:lang w:val="zh-CN" w:eastAsia="zh-CN"/>
          <w14:ligatures w14:val="none"/>
        </w:rPr>
      </w:pPr>
    </w:p>
    <w:p w14:paraId="05A381EA">
      <w:pPr>
        <w:spacing w:after="100" w:afterAutospacing="1" w:line="276" w:lineRule="auto"/>
        <w:jc w:val="center"/>
        <w:rPr>
          <w:rFonts w:ascii="Times New Roman" w:hAnsi="Times New Roman" w:eastAsia="Times New Roman" w:cs="Times New Roman"/>
          <w:kern w:val="0"/>
          <w:sz w:val="24"/>
          <w:szCs w:val="24"/>
          <w:lang w:val="zh-CN" w:eastAsia="zh-CN"/>
          <w14:ligatures w14:val="none"/>
        </w:rPr>
      </w:pPr>
    </w:p>
    <w:p w14:paraId="09A66095">
      <w:pPr>
        <w:pStyle w:val="3"/>
      </w:pPr>
      <w:r>
        <w:rPr>
          <w:rFonts w:eastAsiaTheme="majorEastAsia"/>
        </w:rPr>
        <w:t>Abstract</w:t>
      </w:r>
    </w:p>
    <w:p w14:paraId="0A656B66">
      <w:pPr>
        <w:spacing w:line="240" w:lineRule="auto"/>
        <w:jc w:val="both"/>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pP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This study evaluates the spatial concentration and contamination profile of heavy metals </w:t>
      </w:r>
      <w:r>
        <w:rPr>
          <w:rFonts w:ascii="Times New Roman" w:hAnsi="Times New Roman" w:cs="Times New Roman"/>
          <w:color w:val="000000" w:themeColor="text1"/>
          <w:sz w:val="24"/>
          <w:szCs w:val="24"/>
          <w14:textFill>
            <w14:solidFill>
              <w14:schemeClr w14:val="tx1"/>
            </w14:solidFill>
          </w14:textFill>
        </w:rPr>
        <w:t>deposited in road dust along major traffic corridors in Kano Metropolis, Nigeria</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cs="Times New Roman"/>
          <w:color w:val="000000" w:themeColor="text1"/>
          <w:sz w:val="24"/>
          <w:szCs w:val="24"/>
          <w14:textFill>
            <w14:solidFill>
              <w14:schemeClr w14:val="tx1"/>
            </w14:solidFill>
          </w14:textFill>
        </w:rPr>
        <w:t xml:space="preserve">Road dust samples were collected during the dry season from five major roads: Zaria Road, Katsina Road, Maiduguri Road, Hadejia Road, and Bayero University Kano Road.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Samples were analyzed for Al, As, Cd, Co, Cr, Cu, Fe, Hg, Mg, Mn, Ni, Pb, Sn, V, and Zn using standard analytical techniques. </w:t>
      </w:r>
      <w:r>
        <w:rPr>
          <w:rFonts w:ascii="Times New Roman" w:hAnsi="Times New Roman" w:cs="Times New Roman"/>
          <w:color w:val="000000" w:themeColor="text1"/>
          <w:sz w:val="24"/>
          <w:szCs w:val="24"/>
          <w14:textFill>
            <w14:solidFill>
              <w14:schemeClr w14:val="tx1"/>
            </w14:solidFill>
          </w14:textFill>
        </w:rPr>
        <w:t xml:space="preserve">Pollution indices, including contamination factor (CF), enrichment factor (EF), geo-accumulation index (Igeo), pollution load index (PLI), and multimetal pollution index (MPI), were applied.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Mean concentration ranges recorded include: </w:t>
      </w:r>
      <w:bookmarkStart w:id="0" w:name="_Hlk218070703"/>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Al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107.37±23.86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131.99±19.43</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mg/kg), Fe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222.37±60.71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310.01± 42.53</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mg/kg), Zn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203.37±47.11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267.72±54.98</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Pb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97.16±13.64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119.40±15.08</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Cu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132.80±28.95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173.56±15.31</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Mn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105.73±26.68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127.33±32.01</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Cr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91.08±13.77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109.01±11.89</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Ni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115.68±33.42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159.50±15.49</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Cd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31.72±5.21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43.92±8.40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mg/kg), As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119.85±29.73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161.65±41.55</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 and Hg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 xml:space="preserve">50.53±10.25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eastAsia="Times New Roman" w:cs="Times New Roman"/>
          <w:color w:val="000000" w:themeColor="text1"/>
          <w:kern w:val="144"/>
          <w:sz w:val="24"/>
          <w:szCs w:val="24"/>
          <w:lang w:val="zh-CN" w:eastAsia="zh-CN"/>
          <w14:textFill>
            <w14:solidFill>
              <w14:schemeClr w14:val="tx1"/>
            </w14:solidFill>
          </w14:textFill>
          <w14:ligatures w14:val="none"/>
        </w:rPr>
        <w:t>70.19±13.50</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mg/kg)</w:t>
      </w:r>
      <w:bookmarkEnd w:id="0"/>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Pollution indices (CF, EF, Igeo, PLI) indicated moderate to very high contamination across several sites, with Pb, Cd, As, and Zn exceeding baseline thresholds. The result revealed that </w:t>
      </w:r>
      <w:r>
        <w:rPr>
          <w:rStyle w:val="20"/>
          <w:rFonts w:ascii="Times New Roman" w:hAnsi="Times New Roman" w:cs="Times New Roman"/>
          <w:b w:val="0"/>
          <w:bCs w:val="0"/>
          <w:color w:val="000000" w:themeColor="text1"/>
          <w:sz w:val="24"/>
          <w:szCs w:val="24"/>
          <w14:textFill>
            <w14:solidFill>
              <w14:schemeClr w14:val="tx1"/>
            </w14:solidFill>
          </w14:textFill>
        </w:rPr>
        <w:t>Arsenic CF ranged between</w:t>
      </w:r>
      <w:r>
        <w:rPr>
          <w:rFonts w:ascii="Times New Roman" w:hAnsi="Times New Roman" w:cs="Times New Roman"/>
          <w:color w:val="000000" w:themeColor="text1"/>
          <w:sz w:val="24"/>
          <w:szCs w:val="24"/>
          <w14:textFill>
            <w14:solidFill>
              <w14:schemeClr w14:val="tx1"/>
            </w14:solidFill>
          </w14:textFill>
        </w:rPr>
        <w:t xml:space="preserve"> 190.24–256.58 (very high contamination), </w:t>
      </w:r>
      <w:r>
        <w:rPr>
          <w:rStyle w:val="20"/>
          <w:rFonts w:ascii="Times New Roman" w:hAnsi="Times New Roman" w:cs="Times New Roman"/>
          <w:b w:val="0"/>
          <w:bCs w:val="0"/>
          <w:color w:val="000000" w:themeColor="text1"/>
          <w:sz w:val="24"/>
          <w:szCs w:val="24"/>
          <w14:textFill>
            <w14:solidFill>
              <w14:schemeClr w14:val="tx1"/>
            </w14:solidFill>
          </w14:textFill>
        </w:rPr>
        <w:t>Igeo:</w:t>
      </w:r>
      <w:r>
        <w:rPr>
          <w:rFonts w:ascii="Times New Roman" w:hAnsi="Times New Roman" w:cs="Times New Roman"/>
          <w:color w:val="000000" w:themeColor="text1"/>
          <w:sz w:val="24"/>
          <w:szCs w:val="24"/>
          <w14:textFill>
            <w14:solidFill>
              <w14:schemeClr w14:val="tx1"/>
            </w14:solidFill>
          </w14:textFill>
        </w:rPr>
        <w:t xml:space="preserve"> 3.14–3.35 (heavily contaminated), </w:t>
      </w:r>
      <w:r>
        <w:rPr>
          <w:rStyle w:val="20"/>
          <w:rFonts w:ascii="Times New Roman" w:hAnsi="Times New Roman" w:cs="Times New Roman"/>
          <w:b w:val="0"/>
          <w:bCs w:val="0"/>
          <w:color w:val="000000" w:themeColor="text1"/>
          <w:sz w:val="24"/>
          <w:szCs w:val="24"/>
          <w14:textFill>
            <w14:solidFill>
              <w14:schemeClr w14:val="tx1"/>
            </w14:solidFill>
          </w14:textFill>
        </w:rPr>
        <w:t>EF(As):</w:t>
      </w:r>
      <w:r>
        <w:rPr>
          <w:rFonts w:ascii="Times New Roman" w:hAnsi="Times New Roman" w:cs="Times New Roman"/>
          <w:color w:val="000000" w:themeColor="text1"/>
          <w:sz w:val="24"/>
          <w:szCs w:val="24"/>
          <w14:textFill>
            <w14:solidFill>
              <w14:schemeClr w14:val="tx1"/>
            </w14:solidFill>
          </w14:textFill>
        </w:rPr>
        <w:t xml:space="preserve"> 17.26–32.69 (significant–very high enrichment) and </w:t>
      </w:r>
      <w:r>
        <w:rPr>
          <w:rStyle w:val="20"/>
          <w:rFonts w:ascii="Times New Roman" w:hAnsi="Times New Roman" w:cs="Times New Roman"/>
          <w:b w:val="0"/>
          <w:bCs w:val="0"/>
          <w:color w:val="000000" w:themeColor="text1"/>
          <w:sz w:val="24"/>
          <w:szCs w:val="24"/>
          <w14:textFill>
            <w14:solidFill>
              <w14:schemeClr w14:val="tx1"/>
            </w14:solidFill>
          </w14:textFill>
        </w:rPr>
        <w:t>MPI:</w:t>
      </w:r>
      <w:r>
        <w:rPr>
          <w:rFonts w:ascii="Times New Roman" w:hAnsi="Times New Roman" w:cs="Times New Roman"/>
          <w:color w:val="000000" w:themeColor="text1"/>
          <w:sz w:val="24"/>
          <w:szCs w:val="24"/>
          <w14:textFill>
            <w14:solidFill>
              <w14:schemeClr w14:val="tx1"/>
            </w14:solidFill>
          </w14:textFill>
        </w:rPr>
        <w:t xml:space="preserve"> 99.40–115.61 (highest at Zaria Road).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PLI values (</w:t>
      </w:r>
      <w:r>
        <w:rPr>
          <w:rFonts w:ascii="Times New Roman" w:hAnsi="Times New Roman" w:cs="Times New Roman"/>
          <w:color w:val="000000" w:themeColor="text1"/>
          <w:sz w:val="24"/>
          <w:szCs w:val="24"/>
          <w14:textFill>
            <w14:solidFill>
              <w14:schemeClr w14:val="tx1"/>
            </w14:solidFill>
          </w14:textFill>
        </w:rPr>
        <w:t>13.40–15.61</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and </w:t>
      </w:r>
      <w:r>
        <w:rPr>
          <w:rFonts w:ascii="Times New Roman" w:hAnsi="Times New Roman" w:cs="Times New Roman"/>
          <w:color w:val="000000" w:themeColor="text1"/>
          <w:sz w:val="24"/>
          <w:szCs w:val="24"/>
          <w14:textFill>
            <w14:solidFill>
              <w14:schemeClr w14:val="tx1"/>
            </w14:solidFill>
          </w14:textFill>
        </w:rPr>
        <w:t xml:space="preserve">all &gt;1 </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confirmed significant anthropogenic impact. Results identify Zaria and Katsina Roads as contamination hotspots due to persistent congestion and non-exhaust vehicular emissions. The study provides critical evidence of multimetal enrichment and emphasizes the need for strengthened regulatory controls on traffic emissions and roadside environmental quality management.</w:t>
      </w:r>
    </w:p>
    <w:p w14:paraId="347C45E3">
      <w:pPr>
        <w:spacing w:after="100" w:afterAutospacing="1" w:line="360" w:lineRule="auto"/>
        <w:jc w:val="both"/>
        <w:rPr>
          <w:rFonts w:ascii="Times New Roman" w:hAnsi="Times New Roman" w:cs="Times New Roman"/>
          <w:sz w:val="24"/>
          <w:szCs w:val="24"/>
        </w:rPr>
      </w:pPr>
      <w:r>
        <w:rPr>
          <w:rFonts w:ascii="Times New Roman" w:hAnsi="Times New Roman" w:eastAsia="Times New Roman" w:cs="Times New Roman"/>
          <w:b/>
          <w:bCs/>
          <w:i/>
          <w:iCs/>
          <w:kern w:val="0"/>
          <w:sz w:val="24"/>
          <w:szCs w:val="24"/>
          <w:lang w:val="zh-CN" w:eastAsia="zh-CN"/>
          <w14:ligatures w14:val="none"/>
        </w:rPr>
        <w:t>Keywords</w:t>
      </w:r>
      <w:r>
        <w:rPr>
          <w:rFonts w:ascii="Times New Roman" w:hAnsi="Times New Roman" w:eastAsia="Times New Roman" w:cs="Times New Roman"/>
          <w:kern w:val="0"/>
          <w:sz w:val="24"/>
          <w:szCs w:val="24"/>
          <w:lang w:val="zh-CN" w:eastAsia="zh-CN"/>
          <w14:ligatures w14:val="none"/>
        </w:rPr>
        <w:t xml:space="preserve">: </w:t>
      </w:r>
      <w:r>
        <w:rPr>
          <w:rFonts w:ascii="Times New Roman" w:hAnsi="Times New Roman" w:cs="Times New Roman"/>
          <w:sz w:val="24"/>
          <w:szCs w:val="24"/>
        </w:rPr>
        <w:t>Heavy metals, Road dust, Pollution, Contamination, Traffic, Kano</w:t>
      </w:r>
    </w:p>
    <w:p w14:paraId="33059B32">
      <w:pPr>
        <w:spacing w:after="100" w:afterAutospacing="1" w:line="360" w:lineRule="auto"/>
        <w:jc w:val="both"/>
        <w:rPr>
          <w:rFonts w:ascii="Times New Roman" w:hAnsi="Times New Roman" w:cs="Times New Roman"/>
          <w:sz w:val="24"/>
          <w:szCs w:val="24"/>
        </w:rPr>
      </w:pPr>
    </w:p>
    <w:p w14:paraId="0BA41F32">
      <w:pPr>
        <w:spacing w:after="100" w:afterAutospacing="1" w:line="360" w:lineRule="auto"/>
        <w:jc w:val="both"/>
        <w:rPr>
          <w:rFonts w:ascii="Times New Roman" w:hAnsi="Times New Roman" w:cs="Times New Roman"/>
          <w:sz w:val="24"/>
          <w:szCs w:val="24"/>
        </w:rPr>
      </w:pPr>
    </w:p>
    <w:p w14:paraId="425CEC97">
      <w:pPr>
        <w:pStyle w:val="3"/>
        <w:spacing w:line="360" w:lineRule="auto"/>
      </w:pPr>
      <w:r>
        <w:t xml:space="preserve">1. </w:t>
      </w:r>
      <w:r>
        <w:rPr>
          <w:rFonts w:hint="default"/>
          <w:lang w:val="en-US"/>
        </w:rPr>
        <w:t xml:space="preserve">1 </w:t>
      </w:r>
      <w:r>
        <w:t>Introduction</w:t>
      </w:r>
    </w:p>
    <w:p w14:paraId="62BF15A7">
      <w:pPr>
        <w:pStyle w:val="19"/>
        <w:spacing w:before="0" w:beforeAutospacing="0" w:line="480" w:lineRule="auto"/>
        <w:jc w:val="both"/>
      </w:pPr>
      <w:r>
        <w:t xml:space="preserve">Urbanization and rapid motorization in developing cities have increasingly intensified environmental contamination from heavy metals present in road dust. Road dust acts as both a sink and reservoir for toxic metals released from multiple anthropogenic sources, including vehicle exhaust emissions, brake and tyre wear, fuel combustion, lubricating oil leakage, industrial deposition, and resuspension of surrounding soil particles (Adamiec </w:t>
      </w:r>
      <w:r>
        <w:rPr>
          <w:i/>
          <w:iCs/>
        </w:rPr>
        <w:t>et al</w:t>
      </w:r>
      <w:r>
        <w:t xml:space="preserve">., 2021; Chen </w:t>
      </w:r>
      <w:r>
        <w:rPr>
          <w:i/>
          <w:iCs/>
        </w:rPr>
        <w:t>et al</w:t>
      </w:r>
      <w:r>
        <w:t xml:space="preserve">., 2025). Unlike gaseous pollutants, heavy metals are persistent, non-biodegradable, and bioaccumulative, posing long-term ecological risks and serious human health threats (WHO, 2022). Metals such as lead (Pb), cadmium (Cd), arsenic (As), zinc (Zn), copper (Cu), chromium (Cr), and nickel (Ni) are of particular concern due to their toxicity, carcinogenicity, and potential to disrupt organ function even at low concentrations (Alloway, 2013; Tchounwou </w:t>
      </w:r>
      <w:r>
        <w:rPr>
          <w:i/>
          <w:iCs/>
        </w:rPr>
        <w:t>et al</w:t>
      </w:r>
      <w:r>
        <w:t>., 2012).</w:t>
      </w:r>
    </w:p>
    <w:p w14:paraId="57AE8AA6">
      <w:pPr>
        <w:pStyle w:val="19"/>
        <w:spacing w:before="0" w:beforeAutospacing="0" w:line="480" w:lineRule="auto"/>
        <w:jc w:val="both"/>
      </w:pPr>
      <w:r>
        <w:t xml:space="preserve">Kano Metropolis, the commercial and industrial hub of Northern Nigeria, experiences daily high-volume vehicular traffic, creating an environment conducive to heavy metal accumulation in roadside dust. Factors such as aging vehicle fleets, poorly maintained roads, roadside markets, open mechanic workshops, and weak emission enforcement exacerbate deposition of metals along transport corridors. Previous studies indicate that urban roads in developing countries are hotspots for metal contamination due to such anthropogenic pressures (Li </w:t>
      </w:r>
      <w:r>
        <w:rPr>
          <w:i/>
          <w:iCs/>
        </w:rPr>
        <w:t>et al</w:t>
      </w:r>
      <w:r>
        <w:t xml:space="preserve">., 2020; Chacha </w:t>
      </w:r>
      <w:r>
        <w:rPr>
          <w:i/>
          <w:iCs/>
        </w:rPr>
        <w:t>et al</w:t>
      </w:r>
      <w:r>
        <w:t xml:space="preserve">., 2019). Comparable patterns have been reported in cities like Accra, Ghana (Mensah </w:t>
      </w:r>
      <w:r>
        <w:rPr>
          <w:i/>
          <w:iCs/>
        </w:rPr>
        <w:t>et al</w:t>
      </w:r>
      <w:r>
        <w:t xml:space="preserve">., 2020), Nairobi, Kenya (Chacha </w:t>
      </w:r>
      <w:r>
        <w:rPr>
          <w:i/>
          <w:iCs/>
        </w:rPr>
        <w:t>et al</w:t>
      </w:r>
      <w:r>
        <w:t xml:space="preserve">., 2019), Mumbai, India (Garg </w:t>
      </w:r>
      <w:r>
        <w:rPr>
          <w:i/>
          <w:iCs/>
        </w:rPr>
        <w:t>et al</w:t>
      </w:r>
      <w:r>
        <w:t xml:space="preserve">., 2023), and Cairo, Egypt (El-Sherbiny </w:t>
      </w:r>
      <w:r>
        <w:rPr>
          <w:i/>
          <w:iCs/>
        </w:rPr>
        <w:t>et al</w:t>
      </w:r>
      <w:r>
        <w:t>., 2024), revealing a consistent regional trend of traffic-related heavy metal pollution in developing urban centers.</w:t>
      </w:r>
    </w:p>
    <w:p w14:paraId="5E09DA1E">
      <w:pPr>
        <w:pStyle w:val="19"/>
        <w:spacing w:before="0" w:beforeAutospacing="0" w:line="480" w:lineRule="auto"/>
        <w:jc w:val="both"/>
      </w:pPr>
      <w:r>
        <w:t xml:space="preserve">In Nigeria, several studies have documented mounting concentrations of heavy metals in road dust, though often with methodological limitations. Sadiq (2022) reported hazardous enrichment of Pb, Cd, Zn, and Cu along heavily trafficked roads in Northern Nigeria, highlighting the significant exposure risk for urban residents. Similarly, Garba </w:t>
      </w:r>
      <w:r>
        <w:rPr>
          <w:i/>
          <w:iCs/>
        </w:rPr>
        <w:t>et al</w:t>
      </w:r>
      <w:r>
        <w:t xml:space="preserve">. (2020) found contamination factors exceeding 6 (CF &gt; 6) along major transport corridors in Kaduna, indicating considerable anthropogenic input. Despite these insights, many studies focus on a limited number of metals, lack spatially resolved sampling designs, or do not apply comprehensive pollution indices such as the enrichment factor (EF), geo-accumulation index (Igeo), pollution load index (PLI), or multi-metal pollution index (MPI), which are critical for evaluating the environmental quality and guiding regulatory interventions (Ihedioha </w:t>
      </w:r>
      <w:r>
        <w:rPr>
          <w:i/>
          <w:iCs/>
        </w:rPr>
        <w:t>et al</w:t>
      </w:r>
      <w:r>
        <w:t xml:space="preserve">., 2020; Osadebe </w:t>
      </w:r>
      <w:r>
        <w:rPr>
          <w:i/>
          <w:iCs/>
        </w:rPr>
        <w:t>et al</w:t>
      </w:r>
      <w:r>
        <w:t>., 2019).</w:t>
      </w:r>
    </w:p>
    <w:p w14:paraId="3B01AC9B">
      <w:pPr>
        <w:pStyle w:val="19"/>
        <w:spacing w:before="0" w:beforeAutospacing="0" w:line="480" w:lineRule="auto"/>
        <w:jc w:val="both"/>
      </w:pPr>
      <w:r>
        <w:t>Addressing these gaps, the present study assesses the concentration and spatial distribution of 15 heavy metals, Al, As, Cd, Co, Cr, Cu, Fe, Hg, Mg, Mn, Ni, Pb, Sn, V, and Zn, in road dust collected along five major traffic corridors in Kano Metropolis: Zaria Road, Katsina Road, Maiduguri Road, Hadejia Road, and Bayero University Kano Road. By integrating multiple contamination indices (CF, EF, Igeo, PLI, MPI), the study quantitatively characterizes pollution severity and identifies contamination hotspots. This holistic approach enables a better understanding of both the distributional patterns and potential sources of heavy metals, which is crucial for targeted environmental management.</w:t>
      </w:r>
    </w:p>
    <w:p w14:paraId="6C86B906">
      <w:pPr>
        <w:pStyle w:val="19"/>
        <w:spacing w:before="0" w:beforeAutospacing="0" w:line="480" w:lineRule="auto"/>
        <w:jc w:val="both"/>
      </w:pPr>
      <w:r>
        <w:t>This study focuses on three key questions: the levels and spatial patterns of heavy metals in Kano road dust, identification of pollution hotspots and their contributing factors, and how contamination indices (CF, EF, Igeo, PLI, MPI) reflect the extent of anthropogenic pollution. By addressing these questions, this research contributes critical empirical evidence to inform evidence-based urban environmental management strategies, traffic emission control, and public health protection policies in developing cities. Moreover, the study reveals the need for sustainable road design, stricter vehicular emission standards, and routine environmental monitoring to mitigate heavy metal pollution in urban centers.</w:t>
      </w:r>
    </w:p>
    <w:p w14:paraId="22CC1C6F">
      <w:pPr>
        <w:pStyle w:val="3"/>
        <w:spacing w:line="480" w:lineRule="auto"/>
      </w:pPr>
      <w:r>
        <w:rPr>
          <w:rFonts w:hint="default"/>
          <w:lang w:val="en-US"/>
        </w:rPr>
        <w:t>1</w:t>
      </w:r>
      <w:r>
        <w:t>.</w:t>
      </w:r>
      <w:r>
        <w:rPr>
          <w:rFonts w:hint="default"/>
          <w:lang w:val="en-US"/>
        </w:rPr>
        <w:t>2</w:t>
      </w:r>
      <w:r>
        <w:t xml:space="preserve"> Materials and Methods</w:t>
      </w:r>
    </w:p>
    <w:p w14:paraId="0B6B8F5E">
      <w:pPr>
        <w:pStyle w:val="3"/>
        <w:spacing w:line="480" w:lineRule="auto"/>
      </w:pPr>
      <w:r>
        <w:rPr>
          <w:rFonts w:hint="default"/>
          <w:lang w:val="en-US"/>
        </w:rPr>
        <w:t>1</w:t>
      </w:r>
      <w:r>
        <w:t>.</w:t>
      </w:r>
      <w:r>
        <w:rPr>
          <w:rFonts w:hint="default"/>
          <w:lang w:val="en-US"/>
        </w:rPr>
        <w:t>3</w:t>
      </w:r>
      <w:r>
        <w:t xml:space="preserve"> Study Area</w:t>
      </w:r>
    </w:p>
    <w:p w14:paraId="733393FA">
      <w:pPr>
        <w:pStyle w:val="19"/>
        <w:spacing w:before="0" w:beforeAutospacing="0" w:line="480" w:lineRule="auto"/>
        <w:jc w:val="both"/>
      </w:pPr>
      <w:r>
        <w:t xml:space="preserve">The study was conducted in Kano Metropolis, Northwestern Nigeria, a highly urbanized commercial hub characterized by dense vehicular activities, mixed land-use planning, and industrial clusters. Five major traffic corridors, </w:t>
      </w:r>
      <w:r>
        <w:rPr>
          <w:rStyle w:val="45"/>
          <w:rFonts w:ascii="Times New Roman" w:hAnsi="Times New Roman" w:eastAsia="等线 Light"/>
          <w:b w:val="0"/>
          <w:bCs w:val="0"/>
        </w:rPr>
        <w:t>Hadejia, BUK, Katsina, Maiduguri, and Zaria Roads</w:t>
      </w:r>
      <w:r>
        <w:t xml:space="preserve"> were purposively selected based on traffic intensity, commercial activities, and settlement proximity as in (figure 1). </w:t>
      </w:r>
    </w:p>
    <w:p w14:paraId="4B77E283">
      <w:pPr>
        <w:pStyle w:val="19"/>
        <w:spacing w:before="0" w:beforeAutospacing="0" w:line="480" w:lineRule="auto"/>
        <w:jc w:val="both"/>
      </w:pPr>
    </w:p>
    <w:p w14:paraId="0EADFAD4">
      <w:pPr>
        <w:pStyle w:val="19"/>
        <w:spacing w:before="0" w:beforeAutospacing="0" w:line="480" w:lineRule="auto"/>
        <w:jc w:val="both"/>
      </w:pPr>
    </w:p>
    <w:p w14:paraId="46E735C0">
      <w:pPr>
        <w:pStyle w:val="19"/>
        <w:spacing w:before="0" w:beforeAutospacing="0" w:line="480" w:lineRule="auto"/>
        <w:jc w:val="both"/>
      </w:pPr>
    </w:p>
    <w:p w14:paraId="1F77F8AC">
      <w:pPr>
        <w:pStyle w:val="19"/>
        <w:spacing w:before="0" w:beforeAutospacing="0" w:line="480" w:lineRule="auto"/>
        <w:jc w:val="both"/>
      </w:pPr>
    </w:p>
    <w:p w14:paraId="6AB151FF">
      <w:pPr>
        <w:pStyle w:val="19"/>
        <w:spacing w:before="0" w:beforeAutospacing="0" w:line="480" w:lineRule="auto"/>
        <w:jc w:val="both"/>
      </w:pPr>
    </w:p>
    <w:p w14:paraId="43E5592D">
      <w:pPr>
        <w:pStyle w:val="19"/>
        <w:spacing w:before="0" w:beforeAutospacing="0" w:line="480" w:lineRule="auto"/>
        <w:jc w:val="both"/>
      </w:pPr>
    </w:p>
    <w:p w14:paraId="6B4D0737">
      <w:pPr>
        <w:pStyle w:val="19"/>
        <w:spacing w:before="0" w:beforeAutospacing="0" w:line="480" w:lineRule="auto"/>
        <w:jc w:val="both"/>
      </w:pPr>
    </w:p>
    <w:p w14:paraId="162869CC">
      <w:pPr>
        <w:pStyle w:val="19"/>
        <w:spacing w:before="0" w:beforeAutospacing="0" w:line="480" w:lineRule="auto"/>
        <w:jc w:val="both"/>
      </w:pPr>
    </w:p>
    <w:p w14:paraId="08EB92C7">
      <w:pPr>
        <w:pStyle w:val="19"/>
        <w:spacing w:before="0" w:beforeAutospacing="0" w:line="360" w:lineRule="auto"/>
        <w:jc w:val="both"/>
      </w:pPr>
    </w:p>
    <w:p w14:paraId="75F246D5">
      <w:pPr>
        <w:pStyle w:val="19"/>
        <w:spacing w:before="0" w:beforeAutospacing="0" w:line="360" w:lineRule="auto"/>
        <w:jc w:val="center"/>
      </w:pPr>
    </w:p>
    <w:p w14:paraId="426478D0">
      <w:pPr>
        <w:pStyle w:val="19"/>
        <w:spacing w:before="0" w:beforeAutospacing="0" w:line="360" w:lineRule="auto"/>
        <w:jc w:val="center"/>
      </w:pPr>
      <w:r>
        <w:drawing>
          <wp:inline distT="0" distB="0" distL="0" distR="0">
            <wp:extent cx="6181090" cy="5329555"/>
            <wp:effectExtent l="0" t="0" r="3810" b="4445"/>
            <wp:docPr id="561" name="Picture 561" descr="D:\EDITED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561" descr="D:\EDITED MAP.jpg"/>
                    <pic:cNvPicPr>
                      <a:picLocks noChangeAspect="1" noChangeArrowheads="1"/>
                    </pic:cNvPicPr>
                  </pic:nvPicPr>
                  <pic:blipFill>
                    <a:blip r:embed="rId8"/>
                    <a:srcRect/>
                    <a:stretch>
                      <a:fillRect/>
                    </a:stretch>
                  </pic:blipFill>
                  <pic:spPr>
                    <a:xfrm>
                      <a:off x="0" y="0"/>
                      <a:ext cx="6181090" cy="5329555"/>
                    </a:xfrm>
                    <a:prstGeom prst="rect">
                      <a:avLst/>
                    </a:prstGeom>
                    <a:noFill/>
                    <a:ln w="9525">
                      <a:noFill/>
                      <a:miter lim="800000"/>
                      <a:headEnd/>
                      <a:tailEnd/>
                    </a:ln>
                  </pic:spPr>
                </pic:pic>
              </a:graphicData>
            </a:graphic>
          </wp:inline>
        </w:drawing>
      </w:r>
    </w:p>
    <w:p w14:paraId="3F020800">
      <w:pPr>
        <w:pStyle w:val="19"/>
        <w:spacing w:before="0" w:beforeAutospacing="0"/>
        <w:jc w:val="center"/>
      </w:pPr>
      <w:r>
        <w:t>Figure 1: Map of The Study Area</w:t>
      </w:r>
    </w:p>
    <w:p w14:paraId="2C9AC121">
      <w:pPr>
        <w:pStyle w:val="19"/>
        <w:spacing w:before="0" w:beforeAutospacing="0" w:line="480" w:lineRule="auto"/>
        <w:jc w:val="both"/>
      </w:pPr>
    </w:p>
    <w:p w14:paraId="6F9F80A4">
      <w:pPr>
        <w:pStyle w:val="19"/>
        <w:spacing w:before="0" w:beforeAutospacing="0" w:line="480" w:lineRule="auto"/>
        <w:jc w:val="both"/>
      </w:pPr>
    </w:p>
    <w:p w14:paraId="165CC746">
      <w:pPr>
        <w:pStyle w:val="19"/>
        <w:spacing w:before="0" w:beforeAutospacing="0" w:line="480" w:lineRule="auto"/>
        <w:jc w:val="both"/>
      </w:pPr>
      <w:r>
        <w:t>Each corridor represents a high-exposure zone where road dust resuspension and pollutant dispersion are likely to occur due to congestion and road surface abrasion. Geographical coordinates were collected using a handheld GPS (Garmin eTrex 10). The study area experiences a tropical Savanna climate with a dry season (October–April) and wet season (May–September), conditions known to influence dust mobilization and deposition.</w:t>
      </w:r>
    </w:p>
    <w:p w14:paraId="775D653C">
      <w:pPr>
        <w:pStyle w:val="3"/>
        <w:numPr>
          <w:numId w:val="0"/>
        </w:numPr>
        <w:tabs>
          <w:tab w:val="left" w:pos="743"/>
        </w:tabs>
        <w:spacing w:before="1" w:after="0" w:line="240" w:lineRule="auto"/>
        <w:ind w:left="23" w:leftChars="0" w:right="0" w:rightChars="0"/>
        <w:jc w:val="left"/>
      </w:pPr>
      <w:r>
        <w:rPr>
          <w:rFonts w:hint="default"/>
          <w:lang w:val="en-US"/>
        </w:rPr>
        <w:t xml:space="preserve">1.4 </w:t>
      </w:r>
      <w:r>
        <w:t>Traffic</w:t>
      </w:r>
      <w:r>
        <w:rPr>
          <w:spacing w:val="-4"/>
        </w:rPr>
        <w:t xml:space="preserve"> </w:t>
      </w:r>
      <w:r>
        <w:t>volume</w:t>
      </w:r>
      <w:r>
        <w:rPr>
          <w:spacing w:val="-4"/>
        </w:rPr>
        <w:t xml:space="preserve"> </w:t>
      </w:r>
      <w:r>
        <w:rPr>
          <w:spacing w:val="-2"/>
        </w:rPr>
        <w:t>estimation</w:t>
      </w:r>
    </w:p>
    <w:p w14:paraId="4BFD3AAD">
      <w:pPr>
        <w:widowControl/>
        <w:spacing w:line="480" w:lineRule="auto"/>
        <w:ind w:right="139" w:rightChars="63"/>
        <w:jc w:val="both"/>
        <w:rPr>
          <w:rFonts w:hint="default" w:ascii="Times New Roman" w:hAnsi="Times New Roman" w:cs="Times New Roman"/>
          <w:color w:val="000000"/>
          <w:sz w:val="24"/>
          <w:szCs w:val="24"/>
          <w:lang w:val="en-US" w:eastAsia="zh-CN" w:bidi="ar"/>
        </w:rPr>
      </w:pPr>
      <w:bookmarkStart w:id="1" w:name="_bookmark62"/>
      <w:bookmarkEnd w:id="1"/>
      <w:r>
        <w:rPr>
          <w:rFonts w:hint="default" w:ascii="Times New Roman" w:hAnsi="Times New Roman" w:cs="Times New Roman"/>
          <w:color w:val="000000"/>
          <w:sz w:val="24"/>
          <w:szCs w:val="24"/>
          <w:lang w:eastAsia="zh-CN" w:bidi="ar"/>
        </w:rPr>
        <w:t xml:space="preserve">According to Kano </w:t>
      </w:r>
      <w:r>
        <w:rPr>
          <w:rFonts w:hint="default" w:ascii="Times New Roman" w:hAnsi="Times New Roman" w:cs="Times New Roman"/>
          <w:color w:val="000000"/>
          <w:sz w:val="24"/>
          <w:szCs w:val="24"/>
          <w:lang w:val="en-US" w:eastAsia="zh-CN" w:bidi="ar"/>
        </w:rPr>
        <w:t>S</w:t>
      </w:r>
      <w:r>
        <w:rPr>
          <w:rFonts w:hint="default" w:ascii="Times New Roman" w:hAnsi="Times New Roman" w:cs="Times New Roman"/>
          <w:color w:val="000000"/>
          <w:sz w:val="24"/>
          <w:szCs w:val="24"/>
          <w:lang w:eastAsia="zh-CN" w:bidi="ar"/>
        </w:rPr>
        <w:t xml:space="preserve">tate </w:t>
      </w:r>
      <w:r>
        <w:rPr>
          <w:rFonts w:hint="default" w:ascii="Times New Roman" w:hAnsi="Times New Roman" w:cs="Times New Roman"/>
          <w:color w:val="000000"/>
          <w:sz w:val="24"/>
          <w:szCs w:val="24"/>
          <w:lang w:val="en-US" w:eastAsia="zh-CN" w:bidi="ar"/>
        </w:rPr>
        <w:t>M</w:t>
      </w:r>
      <w:r>
        <w:rPr>
          <w:rFonts w:hint="default" w:ascii="Times New Roman" w:hAnsi="Times New Roman" w:cs="Times New Roman"/>
          <w:color w:val="000000"/>
          <w:sz w:val="24"/>
          <w:szCs w:val="24"/>
          <w:lang w:eastAsia="zh-CN" w:bidi="ar"/>
        </w:rPr>
        <w:t xml:space="preserve">inistry of </w:t>
      </w:r>
      <w:r>
        <w:rPr>
          <w:rFonts w:hint="default" w:ascii="Times New Roman" w:hAnsi="Times New Roman" w:cs="Times New Roman"/>
          <w:color w:val="000000"/>
          <w:sz w:val="24"/>
          <w:szCs w:val="24"/>
          <w:lang w:val="en-US" w:eastAsia="zh-CN" w:bidi="ar"/>
        </w:rPr>
        <w:t>W</w:t>
      </w:r>
      <w:r>
        <w:rPr>
          <w:rFonts w:hint="default" w:ascii="Times New Roman" w:hAnsi="Times New Roman" w:cs="Times New Roman"/>
          <w:color w:val="000000"/>
          <w:sz w:val="24"/>
          <w:szCs w:val="24"/>
          <w:lang w:eastAsia="zh-CN" w:bidi="ar"/>
        </w:rPr>
        <w:t>orks</w:t>
      </w:r>
      <w:r>
        <w:rPr>
          <w:rFonts w:hint="default" w:ascii="Times New Roman" w:hAnsi="Times New Roman" w:cs="Times New Roman"/>
          <w:color w:val="000000"/>
          <w:sz w:val="24"/>
          <w:szCs w:val="24"/>
          <w:lang w:val="en-US" w:eastAsia="zh-CN" w:bidi="ar"/>
        </w:rPr>
        <w:t>,</w:t>
      </w:r>
      <w:r>
        <w:rPr>
          <w:rFonts w:hint="default" w:ascii="Times New Roman" w:hAnsi="Times New Roman" w:cs="Times New Roman"/>
          <w:color w:val="000000"/>
          <w:sz w:val="24"/>
          <w:szCs w:val="24"/>
          <w:lang w:eastAsia="zh-CN" w:bidi="ar"/>
        </w:rPr>
        <w:t xml:space="preserve"> Traffic volume was determined using tally sheets by manual counting motor vehicles passing the road on each side over 15 min</w:t>
      </w:r>
      <w:r>
        <w:rPr>
          <w:rFonts w:hint="default" w:ascii="Times New Roman" w:hAnsi="Times New Roman" w:cs="Times New Roman"/>
          <w:color w:val="000000"/>
          <w:sz w:val="24"/>
          <w:szCs w:val="24"/>
          <w:lang w:val="en-US" w:eastAsia="zh-CN" w:bidi="ar"/>
        </w:rPr>
        <w:t>utes</w:t>
      </w:r>
      <w:r>
        <w:rPr>
          <w:rFonts w:hint="default" w:ascii="Times New Roman" w:hAnsi="Times New Roman" w:cs="Times New Roman"/>
          <w:color w:val="000000"/>
          <w:sz w:val="24"/>
          <w:szCs w:val="24"/>
          <w:lang w:eastAsia="zh-CN" w:bidi="ar"/>
        </w:rPr>
        <w:t>-interval</w:t>
      </w:r>
      <w:r>
        <w:rPr>
          <w:rFonts w:hint="default" w:ascii="Times New Roman" w:hAnsi="Times New Roman" w:cs="Times New Roman"/>
          <w:color w:val="000000"/>
          <w:sz w:val="24"/>
          <w:szCs w:val="24"/>
          <w:lang w:val="en-US" w:eastAsia="zh-CN" w:bidi="ar"/>
        </w:rPr>
        <w:t xml:space="preserve"> for</w:t>
      </w:r>
      <w:r>
        <w:rPr>
          <w:rFonts w:hint="default" w:ascii="Times New Roman" w:hAnsi="Times New Roman" w:cs="Times New Roman"/>
          <w:color w:val="000000"/>
          <w:sz w:val="24"/>
          <w:szCs w:val="24"/>
          <w:lang w:eastAsia="zh-CN" w:bidi="ar"/>
        </w:rPr>
        <w:t xml:space="preserve"> e</w:t>
      </w:r>
      <w:r>
        <w:rPr>
          <w:rFonts w:hint="default" w:ascii="Times New Roman" w:hAnsi="Times New Roman" w:cs="Times New Roman"/>
          <w:color w:val="000000"/>
          <w:sz w:val="24"/>
          <w:szCs w:val="24"/>
          <w:lang w:val="en-US" w:eastAsia="zh-CN" w:bidi="ar"/>
        </w:rPr>
        <w:t>very</w:t>
      </w:r>
      <w:r>
        <w:rPr>
          <w:rFonts w:hint="default" w:ascii="Times New Roman" w:hAnsi="Times New Roman" w:cs="Times New Roman"/>
          <w:color w:val="000000"/>
          <w:sz w:val="24"/>
          <w:szCs w:val="24"/>
          <w:lang w:eastAsia="zh-CN" w:bidi="ar"/>
        </w:rPr>
        <w:t xml:space="preserve"> hour. Manual counting is one of the commonly and widely used methods for generating road traffic data (Leduc </w:t>
      </w:r>
      <w:r>
        <w:rPr>
          <w:rFonts w:hint="default" w:ascii="Times New Roman" w:hAnsi="Times New Roman" w:cs="Times New Roman"/>
          <w:color w:val="000080"/>
          <w:sz w:val="24"/>
          <w:szCs w:val="24"/>
          <w:lang w:eastAsia="zh-CN" w:bidi="ar"/>
        </w:rPr>
        <w:t>2008</w:t>
      </w:r>
      <w:r>
        <w:rPr>
          <w:rFonts w:hint="default" w:ascii="Times New Roman" w:hAnsi="Times New Roman" w:cs="Times New Roman"/>
          <w:color w:val="000000"/>
          <w:sz w:val="24"/>
          <w:szCs w:val="24"/>
          <w:lang w:eastAsia="zh-CN" w:bidi="ar"/>
        </w:rPr>
        <w:t xml:space="preserve">; Jensen </w:t>
      </w:r>
      <w:r>
        <w:rPr>
          <w:rFonts w:hint="default" w:ascii="Times New Roman" w:hAnsi="Times New Roman" w:cs="Times New Roman"/>
          <w:i/>
          <w:iCs/>
          <w:color w:val="000000"/>
          <w:sz w:val="24"/>
          <w:szCs w:val="24"/>
          <w:lang w:eastAsia="zh-CN" w:bidi="ar"/>
        </w:rPr>
        <w:t>et al.</w:t>
      </w:r>
      <w:r>
        <w:rPr>
          <w:rFonts w:hint="default" w:ascii="Times New Roman" w:hAnsi="Times New Roman" w:cs="Times New Roman"/>
          <w:color w:val="000000"/>
          <w:sz w:val="24"/>
          <w:szCs w:val="24"/>
          <w:lang w:eastAsia="zh-CN" w:bidi="ar"/>
        </w:rPr>
        <w:t xml:space="preserve"> </w:t>
      </w:r>
      <w:r>
        <w:rPr>
          <w:rFonts w:hint="default" w:ascii="Times New Roman" w:hAnsi="Times New Roman" w:cs="Times New Roman"/>
          <w:color w:val="000080"/>
          <w:sz w:val="24"/>
          <w:szCs w:val="24"/>
          <w:lang w:eastAsia="zh-CN" w:bidi="ar"/>
        </w:rPr>
        <w:t>2017</w:t>
      </w:r>
      <w:r>
        <w:rPr>
          <w:rFonts w:hint="default" w:ascii="Times New Roman" w:hAnsi="Times New Roman" w:cs="Times New Roman"/>
          <w:color w:val="000000"/>
          <w:sz w:val="24"/>
          <w:szCs w:val="24"/>
          <w:lang w:eastAsia="zh-CN" w:bidi="ar"/>
        </w:rPr>
        <w:t>). The</w:t>
      </w:r>
      <w:r>
        <w:rPr>
          <w:rFonts w:hint="default" w:ascii="Times New Roman" w:hAnsi="Times New Roman" w:cs="Times New Roman"/>
          <w:color w:val="000000"/>
          <w:sz w:val="24"/>
          <w:szCs w:val="24"/>
          <w:lang w:val="en-US" w:eastAsia="zh-CN" w:bidi="ar"/>
        </w:rPr>
        <w:t xml:space="preserve"> peak flow of the traffic on these roads is at 7am, 8am and 12pm, when workers and students are transiting to work places and schools and at 5-7pm when commuters are returning to their residences.The dominant mode of transportation on these roads are spelt in table 3.1</w:t>
      </w:r>
    </w:p>
    <w:p w14:paraId="59C456AF">
      <w:pPr>
        <w:widowControl/>
        <w:spacing w:line="360" w:lineRule="auto"/>
        <w:ind w:right="539" w:rightChars="245"/>
        <w:jc w:val="both"/>
        <w:rPr>
          <w:rFonts w:hint="default" w:ascii="Times New Roman" w:hAnsi="Times New Roman" w:cs="Times New Roman"/>
          <w:spacing w:val="-4"/>
        </w:rPr>
      </w:pPr>
      <w:r>
        <w:rPr>
          <w:rFonts w:hint="default" w:ascii="Times New Roman" w:hAnsi="Times New Roman" w:cs="Times New Roman"/>
        </w:rPr>
        <w:t>Table</w:t>
      </w:r>
      <w:r>
        <w:rPr>
          <w:rFonts w:hint="default" w:ascii="Times New Roman" w:hAnsi="Times New Roman" w:cs="Times New Roman"/>
          <w:spacing w:val="-1"/>
        </w:rPr>
        <w:t xml:space="preserve"> </w:t>
      </w:r>
      <w:r>
        <w:rPr>
          <w:rFonts w:hint="default" w:ascii="Times New Roman" w:hAnsi="Times New Roman" w:cs="Times New Roman"/>
          <w:spacing w:val="-1"/>
          <w:lang w:val="en-US"/>
        </w:rPr>
        <w:t>3.1</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spacing w:val="-1"/>
          <w:lang w:val="en-US"/>
        </w:rPr>
        <w:t>Road Characteristic /</w:t>
      </w:r>
      <w:r>
        <w:rPr>
          <w:rFonts w:hint="default" w:ascii="Times New Roman" w:hAnsi="Times New Roman" w:cs="Times New Roman"/>
        </w:rPr>
        <w:t>Mean</w:t>
      </w:r>
      <w:r>
        <w:rPr>
          <w:rFonts w:hint="default" w:ascii="Times New Roman" w:hAnsi="Times New Roman" w:cs="Times New Roman"/>
          <w:spacing w:val="-1"/>
        </w:rPr>
        <w:t xml:space="preserve"> </w:t>
      </w:r>
      <w:r>
        <w:rPr>
          <w:rFonts w:hint="default" w:ascii="Times New Roman" w:hAnsi="Times New Roman" w:cs="Times New Roman"/>
        </w:rPr>
        <w:t>Traffic Density/hour of</w:t>
      </w:r>
      <w:r>
        <w:rPr>
          <w:rFonts w:hint="default" w:ascii="Times New Roman" w:hAnsi="Times New Roman" w:cs="Times New Roman"/>
          <w:spacing w:val="-2"/>
        </w:rPr>
        <w:t xml:space="preserve"> </w:t>
      </w:r>
      <w:r>
        <w:rPr>
          <w:rFonts w:hint="default" w:ascii="Times New Roman" w:hAnsi="Times New Roman" w:cs="Times New Roman"/>
        </w:rPr>
        <w:t>The</w:t>
      </w:r>
      <w:r>
        <w:rPr>
          <w:rFonts w:hint="default" w:ascii="Times New Roman" w:hAnsi="Times New Roman" w:cs="Times New Roman"/>
          <w:spacing w:val="-3"/>
        </w:rPr>
        <w:t xml:space="preserve"> </w:t>
      </w:r>
      <w:r>
        <w:rPr>
          <w:rFonts w:hint="default" w:ascii="Times New Roman" w:hAnsi="Times New Roman" w:cs="Times New Roman"/>
        </w:rPr>
        <w:t xml:space="preserve">Study </w:t>
      </w:r>
      <w:r>
        <w:rPr>
          <w:rFonts w:hint="default" w:ascii="Times New Roman" w:hAnsi="Times New Roman" w:cs="Times New Roman"/>
          <w:spacing w:val="-4"/>
        </w:rPr>
        <w:t>Area</w:t>
      </w:r>
    </w:p>
    <w:tbl>
      <w:tblPr>
        <w:tblStyle w:val="22"/>
        <w:tblW w:w="9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81"/>
        <w:gridCol w:w="1850"/>
        <w:gridCol w:w="998"/>
        <w:gridCol w:w="1083"/>
        <w:gridCol w:w="1117"/>
        <w:gridCol w:w="1439"/>
        <w:gridCol w:w="1016"/>
        <w:gridCol w:w="889"/>
        <w:gridCol w:w="863"/>
      </w:tblGrid>
      <w:tr w14:paraId="2687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13" w:hRule="atLeast"/>
        </w:trPr>
        <w:tc>
          <w:tcPr>
            <w:tcW w:w="682" w:type="dxa"/>
            <w:vMerge w:val="restart"/>
            <w:tcBorders>
              <w:top w:val="single" w:color="auto" w:sz="4" w:space="0"/>
              <w:left w:val="nil"/>
              <w:bottom w:val="nil"/>
              <w:right w:val="nil"/>
            </w:tcBorders>
            <w:shd w:val="clear" w:color="auto" w:fill="auto"/>
            <w:vAlign w:val="top"/>
          </w:tcPr>
          <w:p w14:paraId="42BEFB9B">
            <w:pPr>
              <w:pStyle w:val="46"/>
              <w:widowControl/>
              <w:rPr>
                <w:rFonts w:hint="default" w:ascii="Times New Roman" w:hAnsi="Times New Roman" w:cs="Times New Roman"/>
                <w:sz w:val="22"/>
                <w:szCs w:val="22"/>
              </w:rPr>
            </w:pPr>
            <w:r>
              <w:rPr>
                <w:rFonts w:hint="default" w:ascii="Times New Roman" w:hAnsi="Times New Roman" w:cs="Times New Roman"/>
                <w:b/>
                <w:bCs/>
                <w:sz w:val="22"/>
                <w:szCs w:val="22"/>
              </w:rPr>
              <w:t xml:space="preserve">S/No </w:t>
            </w:r>
          </w:p>
        </w:tc>
        <w:tc>
          <w:tcPr>
            <w:tcW w:w="1891" w:type="dxa"/>
            <w:vMerge w:val="restart"/>
            <w:tcBorders>
              <w:top w:val="single" w:color="auto" w:sz="4" w:space="0"/>
              <w:left w:val="nil"/>
              <w:bottom w:val="nil"/>
              <w:right w:val="nil"/>
            </w:tcBorders>
            <w:shd w:val="clear" w:color="auto" w:fill="auto"/>
            <w:vAlign w:val="top"/>
          </w:tcPr>
          <w:p w14:paraId="201A4EF7">
            <w:pPr>
              <w:pStyle w:val="46"/>
              <w:widowControl/>
              <w:rPr>
                <w:rFonts w:hint="default" w:ascii="Times New Roman" w:hAnsi="Times New Roman" w:cs="Times New Roman"/>
                <w:sz w:val="22"/>
                <w:szCs w:val="22"/>
              </w:rPr>
            </w:pPr>
            <w:r>
              <w:rPr>
                <w:rFonts w:hint="default" w:ascii="Times New Roman" w:hAnsi="Times New Roman" w:cs="Times New Roman"/>
                <w:b/>
                <w:bCs/>
                <w:sz w:val="22"/>
                <w:szCs w:val="22"/>
              </w:rPr>
              <w:t xml:space="preserve">Road Name </w:t>
            </w:r>
          </w:p>
        </w:tc>
        <w:tc>
          <w:tcPr>
            <w:tcW w:w="991" w:type="dxa"/>
            <w:vMerge w:val="restart"/>
            <w:tcBorders>
              <w:top w:val="single" w:color="auto" w:sz="4" w:space="0"/>
              <w:left w:val="nil"/>
              <w:bottom w:val="nil"/>
              <w:right w:val="nil"/>
            </w:tcBorders>
            <w:shd w:val="clear" w:color="auto" w:fill="auto"/>
            <w:vAlign w:val="top"/>
          </w:tcPr>
          <w:p w14:paraId="2C4E9A73">
            <w:pPr>
              <w:pStyle w:val="46"/>
              <w:widowControl/>
              <w:rPr>
                <w:rFonts w:hint="default" w:ascii="Times New Roman" w:hAnsi="Times New Roman" w:cs="Times New Roman"/>
                <w:sz w:val="22"/>
                <w:szCs w:val="22"/>
              </w:rPr>
            </w:pPr>
            <w:r>
              <w:rPr>
                <w:rFonts w:hint="default" w:ascii="Times New Roman" w:hAnsi="Times New Roman" w:cs="Times New Roman"/>
                <w:b/>
                <w:bCs/>
                <w:sz w:val="22"/>
                <w:szCs w:val="22"/>
              </w:rPr>
              <w:t xml:space="preserve">Road Length (metres) </w:t>
            </w:r>
          </w:p>
        </w:tc>
        <w:tc>
          <w:tcPr>
            <w:tcW w:w="1085" w:type="dxa"/>
            <w:vMerge w:val="restart"/>
            <w:tcBorders>
              <w:top w:val="single" w:color="auto" w:sz="4" w:space="0"/>
              <w:left w:val="nil"/>
              <w:bottom w:val="nil"/>
              <w:right w:val="nil"/>
            </w:tcBorders>
            <w:shd w:val="clear" w:color="auto" w:fill="auto"/>
            <w:vAlign w:val="top"/>
          </w:tcPr>
          <w:p w14:paraId="3B00AD13">
            <w:pPr>
              <w:pStyle w:val="46"/>
              <w:widowControl/>
              <w:rPr>
                <w:rFonts w:hint="default" w:ascii="Times New Roman" w:hAnsi="Times New Roman" w:cs="Times New Roman"/>
                <w:sz w:val="22"/>
                <w:szCs w:val="22"/>
              </w:rPr>
            </w:pPr>
            <w:r>
              <w:rPr>
                <w:rFonts w:hint="default" w:ascii="Times New Roman" w:hAnsi="Times New Roman" w:cs="Times New Roman"/>
                <w:b/>
                <w:bCs/>
                <w:sz w:val="22"/>
                <w:szCs w:val="22"/>
              </w:rPr>
              <w:t xml:space="preserve">Nature of Carriage way </w:t>
            </w:r>
          </w:p>
        </w:tc>
        <w:tc>
          <w:tcPr>
            <w:tcW w:w="1121" w:type="dxa"/>
            <w:vMerge w:val="restart"/>
            <w:tcBorders>
              <w:top w:val="single" w:color="auto" w:sz="4" w:space="0"/>
              <w:left w:val="nil"/>
              <w:bottom w:val="nil"/>
              <w:right w:val="nil"/>
            </w:tcBorders>
            <w:shd w:val="clear" w:color="auto" w:fill="auto"/>
            <w:vAlign w:val="top"/>
          </w:tcPr>
          <w:p w14:paraId="6890D95F">
            <w:pPr>
              <w:pStyle w:val="46"/>
              <w:widowControl/>
              <w:rPr>
                <w:rFonts w:hint="default" w:ascii="Times New Roman" w:hAnsi="Times New Roman" w:cs="Times New Roman"/>
                <w:sz w:val="22"/>
                <w:szCs w:val="22"/>
              </w:rPr>
            </w:pPr>
            <w:r>
              <w:rPr>
                <w:rFonts w:hint="default" w:ascii="Times New Roman" w:hAnsi="Times New Roman" w:cs="Times New Roman"/>
                <w:b/>
                <w:bCs/>
                <w:sz w:val="22"/>
                <w:szCs w:val="22"/>
              </w:rPr>
              <w:t xml:space="preserve">Carriage way Width (metres) </w:t>
            </w:r>
          </w:p>
        </w:tc>
        <w:tc>
          <w:tcPr>
            <w:tcW w:w="1409" w:type="dxa"/>
            <w:tcBorders>
              <w:top w:val="single" w:color="auto" w:sz="4" w:space="0"/>
              <w:left w:val="nil"/>
              <w:bottom w:val="single" w:color="auto" w:sz="4" w:space="0"/>
              <w:right w:val="nil"/>
            </w:tcBorders>
            <w:shd w:val="clear" w:color="auto" w:fill="auto"/>
            <w:vAlign w:val="top"/>
          </w:tcPr>
          <w:p w14:paraId="29103B74">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Mean Traffic Density/ho</w:t>
            </w:r>
            <w:r>
              <w:rPr>
                <w:rFonts w:hint="default" w:ascii="Times New Roman" w:hAnsi="Times New Roman" w:cs="Times New Roman"/>
                <w:b/>
                <w:bCs w:val="0"/>
                <w:sz w:val="22"/>
                <w:szCs w:val="22"/>
                <w:lang w:val="en-US"/>
              </w:rPr>
              <w:t>u</w:t>
            </w:r>
            <w:r>
              <w:rPr>
                <w:rFonts w:hint="default" w:ascii="Times New Roman" w:hAnsi="Times New Roman" w:cs="Times New Roman"/>
                <w:b/>
                <w:bCs w:val="0"/>
                <w:sz w:val="22"/>
                <w:szCs w:val="22"/>
              </w:rPr>
              <w:t>r</w:t>
            </w:r>
          </w:p>
        </w:tc>
        <w:tc>
          <w:tcPr>
            <w:tcW w:w="2757" w:type="dxa"/>
            <w:gridSpan w:val="3"/>
            <w:tcBorders>
              <w:top w:val="single" w:color="auto" w:sz="4" w:space="0"/>
              <w:left w:val="nil"/>
              <w:bottom w:val="single" w:color="auto" w:sz="4" w:space="0"/>
              <w:right w:val="nil"/>
            </w:tcBorders>
            <w:shd w:val="clear" w:color="auto" w:fill="auto"/>
            <w:vAlign w:val="top"/>
          </w:tcPr>
          <w:p w14:paraId="30A0941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p>
        </w:tc>
      </w:tr>
      <w:tr w14:paraId="78CC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9" w:hRule="atLeast"/>
        </w:trPr>
        <w:tc>
          <w:tcPr>
            <w:tcW w:w="682" w:type="dxa"/>
            <w:vMerge w:val="continue"/>
            <w:tcBorders>
              <w:top w:val="nil"/>
              <w:left w:val="nil"/>
              <w:bottom w:val="single" w:color="auto" w:sz="4" w:space="0"/>
              <w:right w:val="nil"/>
            </w:tcBorders>
            <w:shd w:val="clear" w:color="auto" w:fill="auto"/>
            <w:vAlign w:val="top"/>
          </w:tcPr>
          <w:p w14:paraId="0B465DD1">
            <w:pPr>
              <w:keepNext w:val="0"/>
              <w:keepLines w:val="0"/>
              <w:suppressLineNumbers w:val="0"/>
              <w:spacing w:before="0" w:beforeAutospacing="0" w:after="160" w:afterAutospacing="0" w:line="256" w:lineRule="auto"/>
              <w:ind w:left="0" w:right="0"/>
              <w:rPr>
                <w:rFonts w:hint="default" w:ascii="Times New Roman" w:hAnsi="Times New Roman" w:cs="Times New Roman"/>
                <w:sz w:val="22"/>
                <w:szCs w:val="22"/>
              </w:rPr>
            </w:pPr>
          </w:p>
        </w:tc>
        <w:tc>
          <w:tcPr>
            <w:tcW w:w="1891" w:type="dxa"/>
            <w:vMerge w:val="continue"/>
            <w:tcBorders>
              <w:top w:val="nil"/>
              <w:left w:val="nil"/>
              <w:bottom w:val="single" w:color="auto" w:sz="4" w:space="0"/>
              <w:right w:val="nil"/>
            </w:tcBorders>
            <w:shd w:val="clear" w:color="auto" w:fill="auto"/>
            <w:vAlign w:val="top"/>
          </w:tcPr>
          <w:p w14:paraId="69FFA9BA">
            <w:pPr>
              <w:keepNext w:val="0"/>
              <w:keepLines w:val="0"/>
              <w:suppressLineNumbers w:val="0"/>
              <w:spacing w:before="0" w:beforeAutospacing="0" w:after="160" w:afterAutospacing="0" w:line="256" w:lineRule="auto"/>
              <w:ind w:left="0" w:right="0"/>
              <w:rPr>
                <w:rFonts w:hint="default" w:ascii="Times New Roman" w:hAnsi="Times New Roman" w:cs="Times New Roman"/>
                <w:sz w:val="22"/>
                <w:szCs w:val="22"/>
              </w:rPr>
            </w:pPr>
          </w:p>
        </w:tc>
        <w:tc>
          <w:tcPr>
            <w:tcW w:w="991" w:type="dxa"/>
            <w:vMerge w:val="continue"/>
            <w:tcBorders>
              <w:top w:val="nil"/>
              <w:left w:val="nil"/>
              <w:bottom w:val="single" w:color="auto" w:sz="4" w:space="0"/>
              <w:right w:val="nil"/>
            </w:tcBorders>
            <w:shd w:val="clear" w:color="auto" w:fill="auto"/>
            <w:vAlign w:val="top"/>
          </w:tcPr>
          <w:p w14:paraId="0945F1D2">
            <w:pPr>
              <w:keepNext w:val="0"/>
              <w:keepLines w:val="0"/>
              <w:suppressLineNumbers w:val="0"/>
              <w:spacing w:before="0" w:beforeAutospacing="0" w:after="160" w:afterAutospacing="0" w:line="256" w:lineRule="auto"/>
              <w:ind w:left="0" w:right="0"/>
              <w:rPr>
                <w:rFonts w:hint="default" w:ascii="Times New Roman" w:hAnsi="Times New Roman" w:cs="Times New Roman"/>
                <w:sz w:val="22"/>
                <w:szCs w:val="22"/>
              </w:rPr>
            </w:pPr>
          </w:p>
        </w:tc>
        <w:tc>
          <w:tcPr>
            <w:tcW w:w="1085" w:type="dxa"/>
            <w:vMerge w:val="continue"/>
            <w:tcBorders>
              <w:top w:val="nil"/>
              <w:left w:val="nil"/>
              <w:bottom w:val="single" w:color="auto" w:sz="4" w:space="0"/>
              <w:right w:val="nil"/>
            </w:tcBorders>
            <w:shd w:val="clear" w:color="auto" w:fill="auto"/>
            <w:vAlign w:val="top"/>
          </w:tcPr>
          <w:p w14:paraId="251BB626">
            <w:pPr>
              <w:keepNext w:val="0"/>
              <w:keepLines w:val="0"/>
              <w:suppressLineNumbers w:val="0"/>
              <w:spacing w:before="0" w:beforeAutospacing="0" w:after="160" w:afterAutospacing="0" w:line="256" w:lineRule="auto"/>
              <w:ind w:left="0" w:right="0"/>
              <w:rPr>
                <w:rFonts w:hint="default" w:ascii="Times New Roman" w:hAnsi="Times New Roman" w:cs="Times New Roman"/>
                <w:sz w:val="22"/>
                <w:szCs w:val="22"/>
              </w:rPr>
            </w:pPr>
          </w:p>
        </w:tc>
        <w:tc>
          <w:tcPr>
            <w:tcW w:w="1121" w:type="dxa"/>
            <w:vMerge w:val="continue"/>
            <w:tcBorders>
              <w:top w:val="nil"/>
              <w:left w:val="nil"/>
              <w:bottom w:val="single" w:color="auto" w:sz="4" w:space="0"/>
              <w:right w:val="nil"/>
            </w:tcBorders>
            <w:shd w:val="clear" w:color="auto" w:fill="auto"/>
            <w:vAlign w:val="top"/>
          </w:tcPr>
          <w:p w14:paraId="3CEFF63D">
            <w:pPr>
              <w:keepNext w:val="0"/>
              <w:keepLines w:val="0"/>
              <w:suppressLineNumbers w:val="0"/>
              <w:spacing w:before="0" w:beforeAutospacing="0" w:after="160" w:afterAutospacing="0" w:line="256" w:lineRule="auto"/>
              <w:ind w:left="0" w:right="0"/>
              <w:rPr>
                <w:rFonts w:hint="default" w:ascii="Times New Roman" w:hAnsi="Times New Roman" w:cs="Times New Roman"/>
                <w:sz w:val="22"/>
                <w:szCs w:val="22"/>
              </w:rPr>
            </w:pPr>
          </w:p>
        </w:tc>
        <w:tc>
          <w:tcPr>
            <w:tcW w:w="1409" w:type="dxa"/>
            <w:tcBorders>
              <w:top w:val="single" w:color="auto" w:sz="4" w:space="0"/>
              <w:left w:val="nil"/>
              <w:bottom w:val="single" w:color="auto" w:sz="4" w:space="0"/>
              <w:right w:val="nil"/>
            </w:tcBorders>
            <w:shd w:val="clear" w:color="auto" w:fill="auto"/>
            <w:vAlign w:val="top"/>
          </w:tcPr>
          <w:p w14:paraId="62FEF9DF">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No. of Motorcycle</w:t>
            </w:r>
          </w:p>
        </w:tc>
        <w:tc>
          <w:tcPr>
            <w:tcW w:w="1023" w:type="dxa"/>
            <w:tcBorders>
              <w:top w:val="single" w:color="auto" w:sz="4" w:space="0"/>
              <w:left w:val="nil"/>
              <w:bottom w:val="single" w:color="auto" w:sz="4" w:space="0"/>
              <w:right w:val="nil"/>
            </w:tcBorders>
            <w:shd w:val="clear" w:color="auto" w:fill="auto"/>
            <w:vAlign w:val="top"/>
          </w:tcPr>
          <w:p w14:paraId="692A033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No. of Vehicle</w:t>
            </w:r>
          </w:p>
        </w:tc>
        <w:tc>
          <w:tcPr>
            <w:tcW w:w="865" w:type="dxa"/>
            <w:tcBorders>
              <w:top w:val="single" w:color="auto" w:sz="4" w:space="0"/>
              <w:left w:val="nil"/>
              <w:bottom w:val="single" w:color="auto" w:sz="4" w:space="0"/>
              <w:right w:val="nil"/>
            </w:tcBorders>
            <w:shd w:val="clear" w:color="auto" w:fill="auto"/>
            <w:vAlign w:val="top"/>
          </w:tcPr>
          <w:p w14:paraId="7F84292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No. of Trucks</w:t>
            </w:r>
          </w:p>
        </w:tc>
        <w:tc>
          <w:tcPr>
            <w:tcW w:w="869" w:type="dxa"/>
            <w:tcBorders>
              <w:top w:val="single" w:color="auto" w:sz="4" w:space="0"/>
              <w:left w:val="nil"/>
              <w:bottom w:val="single" w:color="auto" w:sz="4" w:space="0"/>
              <w:right w:val="nil"/>
            </w:tcBorders>
            <w:shd w:val="clear" w:color="auto" w:fill="auto"/>
            <w:vAlign w:val="top"/>
          </w:tcPr>
          <w:p w14:paraId="072B6E8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Total</w:t>
            </w:r>
          </w:p>
        </w:tc>
      </w:tr>
      <w:tr w14:paraId="203E8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9" w:hRule="atLeast"/>
        </w:trPr>
        <w:tc>
          <w:tcPr>
            <w:tcW w:w="682" w:type="dxa"/>
            <w:tcBorders>
              <w:top w:val="single" w:color="auto" w:sz="4" w:space="0"/>
              <w:left w:val="nil"/>
              <w:bottom w:val="nil"/>
              <w:right w:val="nil"/>
            </w:tcBorders>
            <w:shd w:val="clear" w:color="auto" w:fill="auto"/>
            <w:vAlign w:val="top"/>
          </w:tcPr>
          <w:p w14:paraId="095B5DC8">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 </w:t>
            </w:r>
          </w:p>
        </w:tc>
        <w:tc>
          <w:tcPr>
            <w:tcW w:w="1891" w:type="dxa"/>
            <w:tcBorders>
              <w:top w:val="single" w:color="auto" w:sz="4" w:space="0"/>
              <w:left w:val="nil"/>
              <w:bottom w:val="nil"/>
              <w:right w:val="nil"/>
            </w:tcBorders>
            <w:shd w:val="clear" w:color="auto" w:fill="auto"/>
            <w:vAlign w:val="top"/>
          </w:tcPr>
          <w:p w14:paraId="47BB7108">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Katsina Road</w:t>
            </w:r>
          </w:p>
        </w:tc>
        <w:tc>
          <w:tcPr>
            <w:tcW w:w="991" w:type="dxa"/>
            <w:tcBorders>
              <w:top w:val="single" w:color="auto" w:sz="4" w:space="0"/>
              <w:left w:val="nil"/>
              <w:bottom w:val="nil"/>
              <w:right w:val="nil"/>
            </w:tcBorders>
            <w:shd w:val="clear" w:color="auto" w:fill="auto"/>
            <w:vAlign w:val="top"/>
          </w:tcPr>
          <w:p w14:paraId="3DCF3688">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4365 </w:t>
            </w:r>
          </w:p>
        </w:tc>
        <w:tc>
          <w:tcPr>
            <w:tcW w:w="1085" w:type="dxa"/>
            <w:tcBorders>
              <w:top w:val="single" w:color="auto" w:sz="4" w:space="0"/>
              <w:left w:val="nil"/>
              <w:bottom w:val="nil"/>
              <w:right w:val="nil"/>
            </w:tcBorders>
            <w:shd w:val="clear" w:color="auto" w:fill="auto"/>
            <w:vAlign w:val="top"/>
          </w:tcPr>
          <w:p w14:paraId="0DB6B5C3">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Dual </w:t>
            </w:r>
          </w:p>
        </w:tc>
        <w:tc>
          <w:tcPr>
            <w:tcW w:w="1121" w:type="dxa"/>
            <w:tcBorders>
              <w:top w:val="single" w:color="auto" w:sz="4" w:space="0"/>
              <w:left w:val="nil"/>
              <w:bottom w:val="nil"/>
              <w:right w:val="nil"/>
            </w:tcBorders>
            <w:shd w:val="clear" w:color="auto" w:fill="auto"/>
            <w:vAlign w:val="top"/>
          </w:tcPr>
          <w:p w14:paraId="1C53A381">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9.5 </w:t>
            </w:r>
          </w:p>
        </w:tc>
        <w:tc>
          <w:tcPr>
            <w:tcW w:w="1409" w:type="dxa"/>
            <w:tcBorders>
              <w:top w:val="single" w:color="auto" w:sz="4" w:space="0"/>
              <w:left w:val="nil"/>
              <w:bottom w:val="nil"/>
              <w:right w:val="nil"/>
            </w:tcBorders>
            <w:shd w:val="clear" w:color="auto" w:fill="auto"/>
            <w:vAlign w:val="top"/>
          </w:tcPr>
          <w:p w14:paraId="09F2284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5370±4</w:t>
            </w:r>
          </w:p>
        </w:tc>
        <w:tc>
          <w:tcPr>
            <w:tcW w:w="1023" w:type="dxa"/>
            <w:tcBorders>
              <w:top w:val="single" w:color="auto" w:sz="4" w:space="0"/>
              <w:left w:val="nil"/>
              <w:bottom w:val="nil"/>
              <w:right w:val="nil"/>
            </w:tcBorders>
            <w:shd w:val="clear" w:color="auto" w:fill="auto"/>
            <w:vAlign w:val="top"/>
          </w:tcPr>
          <w:p w14:paraId="19EC360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5635±3</w:t>
            </w:r>
          </w:p>
        </w:tc>
        <w:tc>
          <w:tcPr>
            <w:tcW w:w="865" w:type="dxa"/>
            <w:tcBorders>
              <w:top w:val="single" w:color="auto" w:sz="4" w:space="0"/>
              <w:left w:val="nil"/>
              <w:bottom w:val="nil"/>
              <w:right w:val="nil"/>
            </w:tcBorders>
            <w:shd w:val="clear" w:color="auto" w:fill="auto"/>
            <w:vAlign w:val="top"/>
          </w:tcPr>
          <w:p w14:paraId="52EA3E2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658±4</w:t>
            </w:r>
          </w:p>
        </w:tc>
        <w:tc>
          <w:tcPr>
            <w:tcW w:w="869" w:type="dxa"/>
            <w:tcBorders>
              <w:top w:val="single" w:color="auto" w:sz="4" w:space="0"/>
              <w:left w:val="nil"/>
              <w:bottom w:val="nil"/>
              <w:right w:val="nil"/>
            </w:tcBorders>
            <w:shd w:val="clear" w:color="auto" w:fill="auto"/>
            <w:vAlign w:val="top"/>
          </w:tcPr>
          <w:p w14:paraId="0212C1E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11663</w:t>
            </w:r>
          </w:p>
        </w:tc>
      </w:tr>
      <w:tr w14:paraId="7470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7D5E5669">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2 </w:t>
            </w:r>
          </w:p>
        </w:tc>
        <w:tc>
          <w:tcPr>
            <w:tcW w:w="1891" w:type="dxa"/>
            <w:tcBorders>
              <w:top w:val="nil"/>
              <w:left w:val="nil"/>
              <w:bottom w:val="nil"/>
              <w:right w:val="nil"/>
            </w:tcBorders>
            <w:shd w:val="clear" w:color="auto" w:fill="auto"/>
            <w:vAlign w:val="top"/>
          </w:tcPr>
          <w:p w14:paraId="648FDB25">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Hospital road </w:t>
            </w:r>
          </w:p>
        </w:tc>
        <w:tc>
          <w:tcPr>
            <w:tcW w:w="991" w:type="dxa"/>
            <w:tcBorders>
              <w:top w:val="nil"/>
              <w:left w:val="nil"/>
              <w:bottom w:val="nil"/>
              <w:right w:val="nil"/>
            </w:tcBorders>
            <w:shd w:val="clear" w:color="auto" w:fill="auto"/>
            <w:vAlign w:val="top"/>
          </w:tcPr>
          <w:p w14:paraId="163EEDE3">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2003 </w:t>
            </w:r>
          </w:p>
        </w:tc>
        <w:tc>
          <w:tcPr>
            <w:tcW w:w="1085" w:type="dxa"/>
            <w:tcBorders>
              <w:top w:val="nil"/>
              <w:left w:val="nil"/>
              <w:bottom w:val="nil"/>
              <w:right w:val="nil"/>
            </w:tcBorders>
            <w:shd w:val="clear" w:color="auto" w:fill="auto"/>
            <w:vAlign w:val="top"/>
          </w:tcPr>
          <w:p w14:paraId="3A3612E5">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69D82CFA">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6.5 </w:t>
            </w:r>
          </w:p>
        </w:tc>
        <w:tc>
          <w:tcPr>
            <w:tcW w:w="1409" w:type="dxa"/>
            <w:tcBorders>
              <w:top w:val="nil"/>
              <w:left w:val="nil"/>
              <w:bottom w:val="nil"/>
              <w:right w:val="nil"/>
            </w:tcBorders>
            <w:shd w:val="clear" w:color="auto" w:fill="auto"/>
            <w:vAlign w:val="top"/>
          </w:tcPr>
          <w:p w14:paraId="0B74DC8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1104±2</w:t>
            </w:r>
          </w:p>
        </w:tc>
        <w:tc>
          <w:tcPr>
            <w:tcW w:w="1023" w:type="dxa"/>
            <w:tcBorders>
              <w:top w:val="nil"/>
              <w:left w:val="nil"/>
              <w:bottom w:val="nil"/>
              <w:right w:val="nil"/>
            </w:tcBorders>
            <w:shd w:val="clear" w:color="auto" w:fill="auto"/>
            <w:vAlign w:val="top"/>
          </w:tcPr>
          <w:p w14:paraId="7F619BB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4250±6</w:t>
            </w:r>
          </w:p>
        </w:tc>
        <w:tc>
          <w:tcPr>
            <w:tcW w:w="865" w:type="dxa"/>
            <w:tcBorders>
              <w:top w:val="nil"/>
              <w:left w:val="nil"/>
              <w:bottom w:val="nil"/>
              <w:right w:val="nil"/>
            </w:tcBorders>
            <w:shd w:val="clear" w:color="auto" w:fill="auto"/>
            <w:vAlign w:val="top"/>
          </w:tcPr>
          <w:p w14:paraId="2F9A4B6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201±3</w:t>
            </w:r>
          </w:p>
        </w:tc>
        <w:tc>
          <w:tcPr>
            <w:tcW w:w="869" w:type="dxa"/>
            <w:tcBorders>
              <w:top w:val="nil"/>
              <w:left w:val="nil"/>
              <w:bottom w:val="nil"/>
              <w:right w:val="nil"/>
            </w:tcBorders>
            <w:shd w:val="clear" w:color="auto" w:fill="auto"/>
            <w:vAlign w:val="top"/>
          </w:tcPr>
          <w:p w14:paraId="601915E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7370</w:t>
            </w:r>
          </w:p>
        </w:tc>
      </w:tr>
      <w:tr w14:paraId="623F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697095B8">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3 </w:t>
            </w:r>
          </w:p>
        </w:tc>
        <w:tc>
          <w:tcPr>
            <w:tcW w:w="1891" w:type="dxa"/>
            <w:tcBorders>
              <w:top w:val="nil"/>
              <w:left w:val="nil"/>
              <w:bottom w:val="nil"/>
              <w:right w:val="nil"/>
            </w:tcBorders>
            <w:shd w:val="clear" w:color="auto" w:fill="auto"/>
            <w:vAlign w:val="top"/>
          </w:tcPr>
          <w:p w14:paraId="42D49913">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BATA </w:t>
            </w:r>
          </w:p>
        </w:tc>
        <w:tc>
          <w:tcPr>
            <w:tcW w:w="991" w:type="dxa"/>
            <w:tcBorders>
              <w:top w:val="nil"/>
              <w:left w:val="nil"/>
              <w:bottom w:val="nil"/>
              <w:right w:val="nil"/>
            </w:tcBorders>
            <w:shd w:val="clear" w:color="auto" w:fill="auto"/>
            <w:vAlign w:val="top"/>
          </w:tcPr>
          <w:p w14:paraId="15D5DD29">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2180 </w:t>
            </w:r>
          </w:p>
        </w:tc>
        <w:tc>
          <w:tcPr>
            <w:tcW w:w="1085" w:type="dxa"/>
            <w:tcBorders>
              <w:top w:val="nil"/>
              <w:left w:val="nil"/>
              <w:bottom w:val="nil"/>
              <w:right w:val="nil"/>
            </w:tcBorders>
            <w:shd w:val="clear" w:color="auto" w:fill="auto"/>
            <w:vAlign w:val="top"/>
          </w:tcPr>
          <w:p w14:paraId="69A83A50">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06F378A8">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6.75 </w:t>
            </w:r>
          </w:p>
        </w:tc>
        <w:tc>
          <w:tcPr>
            <w:tcW w:w="1409" w:type="dxa"/>
            <w:tcBorders>
              <w:top w:val="nil"/>
              <w:left w:val="nil"/>
              <w:bottom w:val="nil"/>
              <w:right w:val="nil"/>
            </w:tcBorders>
            <w:shd w:val="clear" w:color="auto" w:fill="auto"/>
            <w:vAlign w:val="top"/>
          </w:tcPr>
          <w:p w14:paraId="21C56CE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1008±3</w:t>
            </w:r>
          </w:p>
        </w:tc>
        <w:tc>
          <w:tcPr>
            <w:tcW w:w="1023" w:type="dxa"/>
            <w:tcBorders>
              <w:top w:val="nil"/>
              <w:left w:val="nil"/>
              <w:bottom w:val="nil"/>
              <w:right w:val="nil"/>
            </w:tcBorders>
            <w:shd w:val="clear" w:color="auto" w:fill="auto"/>
            <w:vAlign w:val="top"/>
          </w:tcPr>
          <w:p w14:paraId="7929B32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1101±2</w:t>
            </w:r>
          </w:p>
        </w:tc>
        <w:tc>
          <w:tcPr>
            <w:tcW w:w="865" w:type="dxa"/>
            <w:tcBorders>
              <w:top w:val="nil"/>
              <w:left w:val="nil"/>
              <w:bottom w:val="nil"/>
              <w:right w:val="nil"/>
            </w:tcBorders>
            <w:shd w:val="clear" w:color="auto" w:fill="auto"/>
            <w:vAlign w:val="top"/>
          </w:tcPr>
          <w:p w14:paraId="54AEB10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105±4</w:t>
            </w:r>
          </w:p>
        </w:tc>
        <w:tc>
          <w:tcPr>
            <w:tcW w:w="869" w:type="dxa"/>
            <w:tcBorders>
              <w:top w:val="nil"/>
              <w:left w:val="nil"/>
              <w:bottom w:val="nil"/>
              <w:right w:val="nil"/>
            </w:tcBorders>
            <w:shd w:val="clear" w:color="auto" w:fill="auto"/>
            <w:vAlign w:val="top"/>
          </w:tcPr>
          <w:p w14:paraId="51BE3B7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3114</w:t>
            </w:r>
          </w:p>
        </w:tc>
      </w:tr>
      <w:tr w14:paraId="77F2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0EC0D67D">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4 </w:t>
            </w:r>
          </w:p>
        </w:tc>
        <w:tc>
          <w:tcPr>
            <w:tcW w:w="1891" w:type="dxa"/>
            <w:tcBorders>
              <w:top w:val="nil"/>
              <w:left w:val="nil"/>
              <w:bottom w:val="nil"/>
              <w:right w:val="nil"/>
            </w:tcBorders>
            <w:shd w:val="clear" w:color="auto" w:fill="auto"/>
            <w:vAlign w:val="top"/>
          </w:tcPr>
          <w:p w14:paraId="45413C66">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France road </w:t>
            </w:r>
          </w:p>
        </w:tc>
        <w:tc>
          <w:tcPr>
            <w:tcW w:w="991" w:type="dxa"/>
            <w:tcBorders>
              <w:top w:val="nil"/>
              <w:left w:val="nil"/>
              <w:bottom w:val="nil"/>
              <w:right w:val="nil"/>
            </w:tcBorders>
            <w:shd w:val="clear" w:color="auto" w:fill="auto"/>
            <w:vAlign w:val="top"/>
          </w:tcPr>
          <w:p w14:paraId="538CB4AB">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1942 </w:t>
            </w:r>
          </w:p>
        </w:tc>
        <w:tc>
          <w:tcPr>
            <w:tcW w:w="1085" w:type="dxa"/>
            <w:tcBorders>
              <w:top w:val="nil"/>
              <w:left w:val="nil"/>
              <w:bottom w:val="nil"/>
              <w:right w:val="nil"/>
            </w:tcBorders>
            <w:shd w:val="clear" w:color="auto" w:fill="auto"/>
            <w:vAlign w:val="top"/>
          </w:tcPr>
          <w:p w14:paraId="5F759440">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451C194E">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9.50 </w:t>
            </w:r>
          </w:p>
        </w:tc>
        <w:tc>
          <w:tcPr>
            <w:tcW w:w="1409" w:type="dxa"/>
            <w:tcBorders>
              <w:top w:val="nil"/>
              <w:left w:val="nil"/>
              <w:bottom w:val="nil"/>
              <w:right w:val="nil"/>
            </w:tcBorders>
            <w:shd w:val="clear" w:color="auto" w:fill="auto"/>
            <w:vAlign w:val="top"/>
          </w:tcPr>
          <w:p w14:paraId="29AF90F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6047±2</w:t>
            </w:r>
          </w:p>
        </w:tc>
        <w:tc>
          <w:tcPr>
            <w:tcW w:w="1023" w:type="dxa"/>
            <w:tcBorders>
              <w:top w:val="nil"/>
              <w:left w:val="nil"/>
              <w:bottom w:val="nil"/>
              <w:right w:val="nil"/>
            </w:tcBorders>
            <w:shd w:val="clear" w:color="auto" w:fill="auto"/>
            <w:vAlign w:val="top"/>
          </w:tcPr>
          <w:p w14:paraId="6EF48E8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4140±4</w:t>
            </w:r>
          </w:p>
        </w:tc>
        <w:tc>
          <w:tcPr>
            <w:tcW w:w="865" w:type="dxa"/>
            <w:tcBorders>
              <w:top w:val="nil"/>
              <w:left w:val="nil"/>
              <w:bottom w:val="nil"/>
              <w:right w:val="nil"/>
            </w:tcBorders>
            <w:shd w:val="clear" w:color="auto" w:fill="auto"/>
            <w:vAlign w:val="top"/>
          </w:tcPr>
          <w:p w14:paraId="60BD207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104±2</w:t>
            </w:r>
          </w:p>
        </w:tc>
        <w:tc>
          <w:tcPr>
            <w:tcW w:w="869" w:type="dxa"/>
            <w:tcBorders>
              <w:top w:val="nil"/>
              <w:left w:val="nil"/>
              <w:bottom w:val="nil"/>
              <w:right w:val="nil"/>
            </w:tcBorders>
            <w:shd w:val="clear" w:color="auto" w:fill="auto"/>
            <w:vAlign w:val="top"/>
          </w:tcPr>
          <w:p w14:paraId="75417C6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10291</w:t>
            </w:r>
          </w:p>
        </w:tc>
      </w:tr>
      <w:tr w14:paraId="5FBF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49F84D5D">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5 </w:t>
            </w:r>
          </w:p>
        </w:tc>
        <w:tc>
          <w:tcPr>
            <w:tcW w:w="1891" w:type="dxa"/>
            <w:tcBorders>
              <w:top w:val="nil"/>
              <w:left w:val="nil"/>
              <w:bottom w:val="nil"/>
              <w:right w:val="nil"/>
            </w:tcBorders>
            <w:shd w:val="clear" w:color="auto" w:fill="auto"/>
            <w:vAlign w:val="top"/>
          </w:tcPr>
          <w:p w14:paraId="6CB73FD3">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Kabuga road </w:t>
            </w:r>
          </w:p>
        </w:tc>
        <w:tc>
          <w:tcPr>
            <w:tcW w:w="991" w:type="dxa"/>
            <w:tcBorders>
              <w:top w:val="nil"/>
              <w:left w:val="nil"/>
              <w:bottom w:val="nil"/>
              <w:right w:val="nil"/>
            </w:tcBorders>
            <w:shd w:val="clear" w:color="auto" w:fill="auto"/>
            <w:vAlign w:val="top"/>
          </w:tcPr>
          <w:p w14:paraId="7DF4D5FF">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1740 </w:t>
            </w:r>
          </w:p>
        </w:tc>
        <w:tc>
          <w:tcPr>
            <w:tcW w:w="1085" w:type="dxa"/>
            <w:tcBorders>
              <w:top w:val="nil"/>
              <w:left w:val="nil"/>
              <w:bottom w:val="nil"/>
              <w:right w:val="nil"/>
            </w:tcBorders>
            <w:shd w:val="clear" w:color="auto" w:fill="auto"/>
            <w:vAlign w:val="top"/>
          </w:tcPr>
          <w:p w14:paraId="760633CF">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646B19D5">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10 </w:t>
            </w:r>
          </w:p>
        </w:tc>
        <w:tc>
          <w:tcPr>
            <w:tcW w:w="1409" w:type="dxa"/>
            <w:tcBorders>
              <w:top w:val="nil"/>
              <w:left w:val="nil"/>
              <w:bottom w:val="nil"/>
              <w:right w:val="nil"/>
            </w:tcBorders>
            <w:shd w:val="clear" w:color="auto" w:fill="auto"/>
            <w:vAlign w:val="top"/>
          </w:tcPr>
          <w:p w14:paraId="1FA302C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4030±4</w:t>
            </w:r>
          </w:p>
        </w:tc>
        <w:tc>
          <w:tcPr>
            <w:tcW w:w="1023" w:type="dxa"/>
            <w:tcBorders>
              <w:top w:val="nil"/>
              <w:left w:val="nil"/>
              <w:bottom w:val="nil"/>
              <w:right w:val="nil"/>
            </w:tcBorders>
            <w:shd w:val="clear" w:color="auto" w:fill="auto"/>
            <w:vAlign w:val="top"/>
          </w:tcPr>
          <w:p w14:paraId="0B7757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3278±2</w:t>
            </w:r>
          </w:p>
        </w:tc>
        <w:tc>
          <w:tcPr>
            <w:tcW w:w="865" w:type="dxa"/>
            <w:tcBorders>
              <w:top w:val="nil"/>
              <w:left w:val="nil"/>
              <w:bottom w:val="nil"/>
              <w:right w:val="nil"/>
            </w:tcBorders>
            <w:shd w:val="clear" w:color="auto" w:fill="auto"/>
            <w:vAlign w:val="top"/>
          </w:tcPr>
          <w:p w14:paraId="0D26F0F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114±4</w:t>
            </w:r>
          </w:p>
        </w:tc>
        <w:tc>
          <w:tcPr>
            <w:tcW w:w="869" w:type="dxa"/>
            <w:tcBorders>
              <w:top w:val="nil"/>
              <w:left w:val="nil"/>
              <w:bottom w:val="nil"/>
              <w:right w:val="nil"/>
            </w:tcBorders>
            <w:shd w:val="clear" w:color="auto" w:fill="auto"/>
            <w:vAlign w:val="top"/>
          </w:tcPr>
          <w:p w14:paraId="7A19E76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7422</w:t>
            </w:r>
          </w:p>
        </w:tc>
      </w:tr>
      <w:tr w14:paraId="45EBE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5149C644">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6 </w:t>
            </w:r>
          </w:p>
        </w:tc>
        <w:tc>
          <w:tcPr>
            <w:tcW w:w="1891" w:type="dxa"/>
            <w:tcBorders>
              <w:top w:val="nil"/>
              <w:left w:val="nil"/>
              <w:bottom w:val="nil"/>
              <w:right w:val="nil"/>
            </w:tcBorders>
            <w:shd w:val="clear" w:color="auto" w:fill="auto"/>
            <w:vAlign w:val="top"/>
          </w:tcPr>
          <w:p w14:paraId="1E8BBFFD">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Gwarzo road </w:t>
            </w:r>
          </w:p>
        </w:tc>
        <w:tc>
          <w:tcPr>
            <w:tcW w:w="991" w:type="dxa"/>
            <w:tcBorders>
              <w:top w:val="nil"/>
              <w:left w:val="nil"/>
              <w:bottom w:val="nil"/>
              <w:right w:val="nil"/>
            </w:tcBorders>
            <w:shd w:val="clear" w:color="auto" w:fill="auto"/>
            <w:vAlign w:val="top"/>
          </w:tcPr>
          <w:p w14:paraId="11890827">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3992 </w:t>
            </w:r>
          </w:p>
        </w:tc>
        <w:tc>
          <w:tcPr>
            <w:tcW w:w="1085" w:type="dxa"/>
            <w:tcBorders>
              <w:top w:val="nil"/>
              <w:left w:val="nil"/>
              <w:bottom w:val="nil"/>
              <w:right w:val="nil"/>
            </w:tcBorders>
            <w:shd w:val="clear" w:color="auto" w:fill="auto"/>
            <w:vAlign w:val="top"/>
          </w:tcPr>
          <w:p w14:paraId="22F65216">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3E0AEE32">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10 </w:t>
            </w:r>
          </w:p>
        </w:tc>
        <w:tc>
          <w:tcPr>
            <w:tcW w:w="1409" w:type="dxa"/>
            <w:tcBorders>
              <w:top w:val="nil"/>
              <w:left w:val="nil"/>
              <w:bottom w:val="nil"/>
              <w:right w:val="nil"/>
            </w:tcBorders>
            <w:shd w:val="clear" w:color="auto" w:fill="auto"/>
            <w:vAlign w:val="top"/>
          </w:tcPr>
          <w:p w14:paraId="3E03D6A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1001±3</w:t>
            </w:r>
          </w:p>
        </w:tc>
        <w:tc>
          <w:tcPr>
            <w:tcW w:w="1023" w:type="dxa"/>
            <w:tcBorders>
              <w:top w:val="nil"/>
              <w:left w:val="nil"/>
              <w:bottom w:val="nil"/>
              <w:right w:val="nil"/>
            </w:tcBorders>
            <w:shd w:val="clear" w:color="auto" w:fill="auto"/>
            <w:vAlign w:val="top"/>
          </w:tcPr>
          <w:p w14:paraId="44B517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1021±2</w:t>
            </w:r>
          </w:p>
        </w:tc>
        <w:tc>
          <w:tcPr>
            <w:tcW w:w="865" w:type="dxa"/>
            <w:tcBorders>
              <w:top w:val="nil"/>
              <w:left w:val="nil"/>
              <w:bottom w:val="nil"/>
              <w:right w:val="nil"/>
            </w:tcBorders>
            <w:shd w:val="clear" w:color="auto" w:fill="auto"/>
            <w:vAlign w:val="top"/>
          </w:tcPr>
          <w:p w14:paraId="60EC787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125±3</w:t>
            </w:r>
          </w:p>
        </w:tc>
        <w:tc>
          <w:tcPr>
            <w:tcW w:w="869" w:type="dxa"/>
            <w:tcBorders>
              <w:top w:val="nil"/>
              <w:left w:val="nil"/>
              <w:bottom w:val="nil"/>
              <w:right w:val="nil"/>
            </w:tcBorders>
            <w:shd w:val="clear" w:color="auto" w:fill="auto"/>
            <w:vAlign w:val="top"/>
          </w:tcPr>
          <w:p w14:paraId="7BBDE2C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2147</w:t>
            </w:r>
          </w:p>
        </w:tc>
      </w:tr>
      <w:tr w14:paraId="2BE37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7AE49DE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7 </w:t>
            </w:r>
          </w:p>
        </w:tc>
        <w:tc>
          <w:tcPr>
            <w:tcW w:w="1891" w:type="dxa"/>
            <w:tcBorders>
              <w:top w:val="nil"/>
              <w:left w:val="nil"/>
              <w:bottom w:val="nil"/>
              <w:right w:val="nil"/>
            </w:tcBorders>
            <w:shd w:val="clear" w:color="auto" w:fill="auto"/>
            <w:vAlign w:val="top"/>
          </w:tcPr>
          <w:p w14:paraId="219B4389">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Kanar Ungogo </w:t>
            </w:r>
          </w:p>
        </w:tc>
        <w:tc>
          <w:tcPr>
            <w:tcW w:w="991" w:type="dxa"/>
            <w:tcBorders>
              <w:top w:val="nil"/>
              <w:left w:val="nil"/>
              <w:bottom w:val="nil"/>
              <w:right w:val="nil"/>
            </w:tcBorders>
            <w:shd w:val="clear" w:color="auto" w:fill="auto"/>
            <w:vAlign w:val="top"/>
          </w:tcPr>
          <w:p w14:paraId="6824C5C4">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4955 </w:t>
            </w:r>
          </w:p>
        </w:tc>
        <w:tc>
          <w:tcPr>
            <w:tcW w:w="1085" w:type="dxa"/>
            <w:tcBorders>
              <w:top w:val="nil"/>
              <w:left w:val="nil"/>
              <w:bottom w:val="nil"/>
              <w:right w:val="nil"/>
            </w:tcBorders>
            <w:shd w:val="clear" w:color="auto" w:fill="auto"/>
            <w:vAlign w:val="top"/>
          </w:tcPr>
          <w:p w14:paraId="697D8A79">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384C9081">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7.5 </w:t>
            </w:r>
          </w:p>
        </w:tc>
        <w:tc>
          <w:tcPr>
            <w:tcW w:w="1409" w:type="dxa"/>
            <w:tcBorders>
              <w:top w:val="nil"/>
              <w:left w:val="nil"/>
              <w:bottom w:val="nil"/>
              <w:right w:val="nil"/>
            </w:tcBorders>
            <w:shd w:val="clear" w:color="auto" w:fill="auto"/>
            <w:vAlign w:val="top"/>
          </w:tcPr>
          <w:p w14:paraId="250EC1D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4674±4</w:t>
            </w:r>
          </w:p>
        </w:tc>
        <w:tc>
          <w:tcPr>
            <w:tcW w:w="1023" w:type="dxa"/>
            <w:tcBorders>
              <w:top w:val="nil"/>
              <w:left w:val="nil"/>
              <w:bottom w:val="nil"/>
              <w:right w:val="nil"/>
            </w:tcBorders>
            <w:shd w:val="clear" w:color="auto" w:fill="auto"/>
            <w:vAlign w:val="top"/>
          </w:tcPr>
          <w:p w14:paraId="2334D7C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2658±3</w:t>
            </w:r>
          </w:p>
        </w:tc>
        <w:tc>
          <w:tcPr>
            <w:tcW w:w="865" w:type="dxa"/>
            <w:tcBorders>
              <w:top w:val="nil"/>
              <w:left w:val="nil"/>
              <w:bottom w:val="nil"/>
              <w:right w:val="nil"/>
            </w:tcBorders>
            <w:shd w:val="clear" w:color="auto" w:fill="auto"/>
            <w:vAlign w:val="top"/>
          </w:tcPr>
          <w:p w14:paraId="112C9B4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1075±2</w:t>
            </w:r>
          </w:p>
        </w:tc>
        <w:tc>
          <w:tcPr>
            <w:tcW w:w="869" w:type="dxa"/>
            <w:tcBorders>
              <w:top w:val="nil"/>
              <w:left w:val="nil"/>
              <w:bottom w:val="nil"/>
              <w:right w:val="nil"/>
            </w:tcBorders>
            <w:shd w:val="clear" w:color="auto" w:fill="auto"/>
            <w:vAlign w:val="top"/>
          </w:tcPr>
          <w:p w14:paraId="272BF1C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8407</w:t>
            </w:r>
          </w:p>
        </w:tc>
      </w:tr>
      <w:tr w14:paraId="15E63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1246AC8F">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8 </w:t>
            </w:r>
          </w:p>
        </w:tc>
        <w:tc>
          <w:tcPr>
            <w:tcW w:w="1891" w:type="dxa"/>
            <w:tcBorders>
              <w:top w:val="nil"/>
              <w:left w:val="nil"/>
              <w:bottom w:val="nil"/>
              <w:right w:val="nil"/>
            </w:tcBorders>
            <w:shd w:val="clear" w:color="auto" w:fill="auto"/>
            <w:vAlign w:val="top"/>
          </w:tcPr>
          <w:p w14:paraId="49F26E2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Kurna Babban Layi</w:t>
            </w:r>
          </w:p>
        </w:tc>
        <w:tc>
          <w:tcPr>
            <w:tcW w:w="991" w:type="dxa"/>
            <w:tcBorders>
              <w:top w:val="nil"/>
              <w:left w:val="nil"/>
              <w:bottom w:val="nil"/>
              <w:right w:val="nil"/>
            </w:tcBorders>
            <w:shd w:val="clear" w:color="auto" w:fill="auto"/>
            <w:vAlign w:val="top"/>
          </w:tcPr>
          <w:p w14:paraId="2726BE53">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4365</w:t>
            </w:r>
          </w:p>
        </w:tc>
        <w:tc>
          <w:tcPr>
            <w:tcW w:w="1085" w:type="dxa"/>
            <w:tcBorders>
              <w:top w:val="nil"/>
              <w:left w:val="nil"/>
              <w:bottom w:val="nil"/>
              <w:right w:val="nil"/>
            </w:tcBorders>
            <w:shd w:val="clear" w:color="auto" w:fill="auto"/>
            <w:vAlign w:val="top"/>
          </w:tcPr>
          <w:p w14:paraId="4FF30D76">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Dual</w:t>
            </w:r>
          </w:p>
        </w:tc>
        <w:tc>
          <w:tcPr>
            <w:tcW w:w="1121" w:type="dxa"/>
            <w:tcBorders>
              <w:top w:val="nil"/>
              <w:left w:val="nil"/>
              <w:bottom w:val="nil"/>
              <w:right w:val="nil"/>
            </w:tcBorders>
            <w:shd w:val="clear" w:color="auto" w:fill="auto"/>
            <w:vAlign w:val="top"/>
          </w:tcPr>
          <w:p w14:paraId="7A21508B">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9.0</w:t>
            </w:r>
          </w:p>
        </w:tc>
        <w:tc>
          <w:tcPr>
            <w:tcW w:w="1409" w:type="dxa"/>
            <w:tcBorders>
              <w:top w:val="nil"/>
              <w:left w:val="nil"/>
              <w:bottom w:val="nil"/>
              <w:right w:val="nil"/>
            </w:tcBorders>
            <w:shd w:val="clear" w:color="auto" w:fill="auto"/>
            <w:vAlign w:val="top"/>
          </w:tcPr>
          <w:p w14:paraId="65D4567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1041±2</w:t>
            </w:r>
          </w:p>
        </w:tc>
        <w:tc>
          <w:tcPr>
            <w:tcW w:w="1023" w:type="dxa"/>
            <w:tcBorders>
              <w:top w:val="nil"/>
              <w:left w:val="nil"/>
              <w:bottom w:val="nil"/>
              <w:right w:val="nil"/>
            </w:tcBorders>
            <w:shd w:val="clear" w:color="auto" w:fill="auto"/>
            <w:vAlign w:val="top"/>
          </w:tcPr>
          <w:p w14:paraId="0B21CCC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1014±2</w:t>
            </w:r>
          </w:p>
        </w:tc>
        <w:tc>
          <w:tcPr>
            <w:tcW w:w="865" w:type="dxa"/>
            <w:tcBorders>
              <w:top w:val="nil"/>
              <w:left w:val="nil"/>
              <w:bottom w:val="nil"/>
              <w:right w:val="nil"/>
            </w:tcBorders>
            <w:shd w:val="clear" w:color="auto" w:fill="auto"/>
            <w:vAlign w:val="top"/>
          </w:tcPr>
          <w:p w14:paraId="0A981B8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107±3</w:t>
            </w:r>
          </w:p>
        </w:tc>
        <w:tc>
          <w:tcPr>
            <w:tcW w:w="869" w:type="dxa"/>
            <w:tcBorders>
              <w:top w:val="nil"/>
              <w:left w:val="nil"/>
              <w:bottom w:val="nil"/>
              <w:right w:val="nil"/>
            </w:tcBorders>
            <w:shd w:val="clear" w:color="auto" w:fill="auto"/>
            <w:vAlign w:val="top"/>
          </w:tcPr>
          <w:p w14:paraId="2A9A240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2162</w:t>
            </w:r>
          </w:p>
        </w:tc>
      </w:tr>
      <w:tr w14:paraId="4524D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7" w:hRule="atLeast"/>
        </w:trPr>
        <w:tc>
          <w:tcPr>
            <w:tcW w:w="682" w:type="dxa"/>
            <w:tcBorders>
              <w:top w:val="nil"/>
              <w:left w:val="nil"/>
              <w:bottom w:val="nil"/>
              <w:right w:val="nil"/>
            </w:tcBorders>
            <w:shd w:val="clear" w:color="auto" w:fill="auto"/>
            <w:vAlign w:val="top"/>
          </w:tcPr>
          <w:p w14:paraId="39FE71A7">
            <w:pPr>
              <w:pStyle w:val="46"/>
              <w:widowControl/>
              <w:rPr>
                <w:rFonts w:hint="default" w:ascii="Times New Roman" w:hAnsi="Times New Roman" w:cs="Times New Roman"/>
                <w:b/>
                <w:bCs w:val="0"/>
                <w:sz w:val="22"/>
                <w:szCs w:val="22"/>
              </w:rPr>
            </w:pPr>
            <w:r>
              <w:rPr>
                <w:rFonts w:hint="default" w:ascii="Times New Roman" w:hAnsi="Times New Roman" w:cs="Times New Roman"/>
                <w:b w:val="0"/>
                <w:bCs/>
                <w:sz w:val="22"/>
                <w:szCs w:val="22"/>
              </w:rPr>
              <w:t xml:space="preserve">9 </w:t>
            </w:r>
          </w:p>
        </w:tc>
        <w:tc>
          <w:tcPr>
            <w:tcW w:w="1891" w:type="dxa"/>
            <w:tcBorders>
              <w:top w:val="nil"/>
              <w:left w:val="nil"/>
              <w:bottom w:val="nil"/>
              <w:right w:val="nil"/>
            </w:tcBorders>
            <w:shd w:val="clear" w:color="auto" w:fill="auto"/>
            <w:vAlign w:val="top"/>
          </w:tcPr>
          <w:p w14:paraId="19C8974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Ibrahim Bello Road </w:t>
            </w:r>
          </w:p>
        </w:tc>
        <w:tc>
          <w:tcPr>
            <w:tcW w:w="991" w:type="dxa"/>
            <w:tcBorders>
              <w:top w:val="nil"/>
              <w:left w:val="nil"/>
              <w:bottom w:val="nil"/>
              <w:right w:val="nil"/>
            </w:tcBorders>
            <w:shd w:val="clear" w:color="auto" w:fill="auto"/>
            <w:vAlign w:val="top"/>
          </w:tcPr>
          <w:p w14:paraId="1F98DB21">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1425 </w:t>
            </w:r>
          </w:p>
        </w:tc>
        <w:tc>
          <w:tcPr>
            <w:tcW w:w="1085" w:type="dxa"/>
            <w:tcBorders>
              <w:top w:val="nil"/>
              <w:left w:val="nil"/>
              <w:bottom w:val="nil"/>
              <w:right w:val="nil"/>
            </w:tcBorders>
            <w:shd w:val="clear" w:color="auto" w:fill="auto"/>
            <w:vAlign w:val="top"/>
          </w:tcPr>
          <w:p w14:paraId="0B243C1E">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3D6E1F25">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8.85 </w:t>
            </w:r>
          </w:p>
        </w:tc>
        <w:tc>
          <w:tcPr>
            <w:tcW w:w="1409" w:type="dxa"/>
            <w:tcBorders>
              <w:top w:val="nil"/>
              <w:left w:val="nil"/>
              <w:bottom w:val="nil"/>
              <w:right w:val="nil"/>
            </w:tcBorders>
            <w:shd w:val="clear" w:color="auto" w:fill="auto"/>
            <w:vAlign w:val="top"/>
          </w:tcPr>
          <w:p w14:paraId="1DB04CB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1018±6</w:t>
            </w:r>
          </w:p>
        </w:tc>
        <w:tc>
          <w:tcPr>
            <w:tcW w:w="1023" w:type="dxa"/>
            <w:tcBorders>
              <w:top w:val="nil"/>
              <w:left w:val="nil"/>
              <w:bottom w:val="nil"/>
              <w:right w:val="nil"/>
            </w:tcBorders>
            <w:shd w:val="clear" w:color="auto" w:fill="auto"/>
            <w:vAlign w:val="top"/>
          </w:tcPr>
          <w:p w14:paraId="12733CA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2410±3</w:t>
            </w:r>
          </w:p>
        </w:tc>
        <w:tc>
          <w:tcPr>
            <w:tcW w:w="865" w:type="dxa"/>
            <w:tcBorders>
              <w:top w:val="nil"/>
              <w:left w:val="nil"/>
              <w:bottom w:val="nil"/>
              <w:right w:val="nil"/>
            </w:tcBorders>
            <w:shd w:val="clear" w:color="auto" w:fill="auto"/>
            <w:vAlign w:val="top"/>
          </w:tcPr>
          <w:p w14:paraId="1E3FBFB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103±2</w:t>
            </w:r>
          </w:p>
        </w:tc>
        <w:tc>
          <w:tcPr>
            <w:tcW w:w="869" w:type="dxa"/>
            <w:tcBorders>
              <w:top w:val="nil"/>
              <w:left w:val="nil"/>
              <w:bottom w:val="nil"/>
              <w:right w:val="nil"/>
            </w:tcBorders>
            <w:shd w:val="clear" w:color="auto" w:fill="auto"/>
            <w:vAlign w:val="top"/>
          </w:tcPr>
          <w:p w14:paraId="3B4384C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3531</w:t>
            </w:r>
          </w:p>
        </w:tc>
      </w:tr>
      <w:tr w14:paraId="31AB9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2A357B5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10 </w:t>
            </w:r>
          </w:p>
        </w:tc>
        <w:tc>
          <w:tcPr>
            <w:tcW w:w="1891" w:type="dxa"/>
            <w:tcBorders>
              <w:top w:val="nil"/>
              <w:left w:val="nil"/>
              <w:bottom w:val="nil"/>
              <w:right w:val="nil"/>
            </w:tcBorders>
            <w:shd w:val="clear" w:color="auto" w:fill="auto"/>
            <w:vAlign w:val="top"/>
          </w:tcPr>
          <w:p w14:paraId="43492B00">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Zoo Road </w:t>
            </w:r>
          </w:p>
        </w:tc>
        <w:tc>
          <w:tcPr>
            <w:tcW w:w="991" w:type="dxa"/>
            <w:tcBorders>
              <w:top w:val="nil"/>
              <w:left w:val="nil"/>
              <w:bottom w:val="nil"/>
              <w:right w:val="nil"/>
            </w:tcBorders>
            <w:shd w:val="clear" w:color="auto" w:fill="auto"/>
            <w:vAlign w:val="top"/>
          </w:tcPr>
          <w:p w14:paraId="6F9A24E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2380 </w:t>
            </w:r>
          </w:p>
        </w:tc>
        <w:tc>
          <w:tcPr>
            <w:tcW w:w="1085" w:type="dxa"/>
            <w:tcBorders>
              <w:top w:val="nil"/>
              <w:left w:val="nil"/>
              <w:bottom w:val="nil"/>
              <w:right w:val="nil"/>
            </w:tcBorders>
            <w:shd w:val="clear" w:color="auto" w:fill="auto"/>
            <w:vAlign w:val="top"/>
          </w:tcPr>
          <w:p w14:paraId="461CCD62">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7BC4E6FE">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9.0 </w:t>
            </w:r>
          </w:p>
        </w:tc>
        <w:tc>
          <w:tcPr>
            <w:tcW w:w="1409" w:type="dxa"/>
            <w:tcBorders>
              <w:top w:val="nil"/>
              <w:left w:val="nil"/>
              <w:bottom w:val="nil"/>
              <w:right w:val="nil"/>
            </w:tcBorders>
            <w:shd w:val="clear" w:color="auto" w:fill="auto"/>
            <w:vAlign w:val="top"/>
          </w:tcPr>
          <w:p w14:paraId="1BD608F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1087±2</w:t>
            </w:r>
          </w:p>
        </w:tc>
        <w:tc>
          <w:tcPr>
            <w:tcW w:w="1023" w:type="dxa"/>
            <w:tcBorders>
              <w:top w:val="nil"/>
              <w:left w:val="nil"/>
              <w:bottom w:val="nil"/>
              <w:right w:val="nil"/>
            </w:tcBorders>
            <w:shd w:val="clear" w:color="auto" w:fill="auto"/>
            <w:vAlign w:val="top"/>
          </w:tcPr>
          <w:p w14:paraId="0A42C2D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6082±4</w:t>
            </w:r>
          </w:p>
        </w:tc>
        <w:tc>
          <w:tcPr>
            <w:tcW w:w="865" w:type="dxa"/>
            <w:tcBorders>
              <w:top w:val="nil"/>
              <w:left w:val="nil"/>
              <w:bottom w:val="nil"/>
              <w:right w:val="nil"/>
            </w:tcBorders>
            <w:shd w:val="clear" w:color="auto" w:fill="auto"/>
            <w:vAlign w:val="top"/>
          </w:tcPr>
          <w:p w14:paraId="4743674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503±4</w:t>
            </w:r>
          </w:p>
        </w:tc>
        <w:tc>
          <w:tcPr>
            <w:tcW w:w="869" w:type="dxa"/>
            <w:tcBorders>
              <w:top w:val="nil"/>
              <w:left w:val="nil"/>
              <w:bottom w:val="nil"/>
              <w:right w:val="nil"/>
            </w:tcBorders>
            <w:shd w:val="clear" w:color="auto" w:fill="auto"/>
            <w:vAlign w:val="top"/>
          </w:tcPr>
          <w:p w14:paraId="67AAFD2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7672</w:t>
            </w:r>
          </w:p>
        </w:tc>
      </w:tr>
      <w:tr w14:paraId="0957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4708E4A0">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11 </w:t>
            </w:r>
          </w:p>
        </w:tc>
        <w:tc>
          <w:tcPr>
            <w:tcW w:w="1891" w:type="dxa"/>
            <w:tcBorders>
              <w:top w:val="nil"/>
              <w:left w:val="nil"/>
              <w:bottom w:val="nil"/>
              <w:right w:val="nil"/>
            </w:tcBorders>
            <w:shd w:val="clear" w:color="auto" w:fill="auto"/>
            <w:vAlign w:val="top"/>
          </w:tcPr>
          <w:p w14:paraId="27D3A2F4">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BUK Road </w:t>
            </w:r>
          </w:p>
        </w:tc>
        <w:tc>
          <w:tcPr>
            <w:tcW w:w="991" w:type="dxa"/>
            <w:tcBorders>
              <w:top w:val="nil"/>
              <w:left w:val="nil"/>
              <w:bottom w:val="nil"/>
              <w:right w:val="nil"/>
            </w:tcBorders>
            <w:shd w:val="clear" w:color="auto" w:fill="auto"/>
            <w:vAlign w:val="top"/>
          </w:tcPr>
          <w:p w14:paraId="0BE146E8">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1575 </w:t>
            </w:r>
          </w:p>
        </w:tc>
        <w:tc>
          <w:tcPr>
            <w:tcW w:w="1085" w:type="dxa"/>
            <w:tcBorders>
              <w:top w:val="nil"/>
              <w:left w:val="nil"/>
              <w:bottom w:val="nil"/>
              <w:right w:val="nil"/>
            </w:tcBorders>
            <w:shd w:val="clear" w:color="auto" w:fill="auto"/>
            <w:vAlign w:val="top"/>
          </w:tcPr>
          <w:p w14:paraId="2AE9B461">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Dual </w:t>
            </w:r>
          </w:p>
        </w:tc>
        <w:tc>
          <w:tcPr>
            <w:tcW w:w="1121" w:type="dxa"/>
            <w:tcBorders>
              <w:top w:val="nil"/>
              <w:left w:val="nil"/>
              <w:bottom w:val="nil"/>
              <w:right w:val="nil"/>
            </w:tcBorders>
            <w:shd w:val="clear" w:color="auto" w:fill="auto"/>
            <w:vAlign w:val="top"/>
          </w:tcPr>
          <w:p w14:paraId="75FBAA77">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10.0 </w:t>
            </w:r>
          </w:p>
        </w:tc>
        <w:tc>
          <w:tcPr>
            <w:tcW w:w="1409" w:type="dxa"/>
            <w:tcBorders>
              <w:top w:val="nil"/>
              <w:left w:val="nil"/>
              <w:bottom w:val="nil"/>
              <w:right w:val="nil"/>
            </w:tcBorders>
            <w:shd w:val="clear" w:color="auto" w:fill="auto"/>
            <w:vAlign w:val="top"/>
          </w:tcPr>
          <w:p w14:paraId="520E30E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10347±5</w:t>
            </w:r>
          </w:p>
        </w:tc>
        <w:tc>
          <w:tcPr>
            <w:tcW w:w="1023" w:type="dxa"/>
            <w:tcBorders>
              <w:top w:val="nil"/>
              <w:left w:val="nil"/>
              <w:bottom w:val="nil"/>
              <w:right w:val="nil"/>
            </w:tcBorders>
            <w:shd w:val="clear" w:color="auto" w:fill="auto"/>
            <w:vAlign w:val="top"/>
          </w:tcPr>
          <w:p w14:paraId="5F89F72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7182±2</w:t>
            </w:r>
          </w:p>
        </w:tc>
        <w:tc>
          <w:tcPr>
            <w:tcW w:w="865" w:type="dxa"/>
            <w:tcBorders>
              <w:top w:val="nil"/>
              <w:left w:val="nil"/>
              <w:bottom w:val="nil"/>
              <w:right w:val="nil"/>
            </w:tcBorders>
            <w:shd w:val="clear" w:color="auto" w:fill="auto"/>
            <w:vAlign w:val="top"/>
          </w:tcPr>
          <w:p w14:paraId="640E95C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343±6</w:t>
            </w:r>
          </w:p>
        </w:tc>
        <w:tc>
          <w:tcPr>
            <w:tcW w:w="869" w:type="dxa"/>
            <w:tcBorders>
              <w:top w:val="nil"/>
              <w:left w:val="nil"/>
              <w:bottom w:val="nil"/>
              <w:right w:val="nil"/>
            </w:tcBorders>
            <w:shd w:val="clear" w:color="auto" w:fill="auto"/>
            <w:vAlign w:val="top"/>
          </w:tcPr>
          <w:p w14:paraId="117285B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17872</w:t>
            </w:r>
          </w:p>
        </w:tc>
      </w:tr>
      <w:tr w14:paraId="1466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42365C06">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12 </w:t>
            </w:r>
          </w:p>
        </w:tc>
        <w:tc>
          <w:tcPr>
            <w:tcW w:w="1891" w:type="dxa"/>
            <w:tcBorders>
              <w:top w:val="nil"/>
              <w:left w:val="nil"/>
              <w:bottom w:val="nil"/>
              <w:right w:val="nil"/>
            </w:tcBorders>
            <w:shd w:val="clear" w:color="auto" w:fill="auto"/>
            <w:vAlign w:val="top"/>
          </w:tcPr>
          <w:p w14:paraId="2E33594A">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Post office Road </w:t>
            </w:r>
          </w:p>
        </w:tc>
        <w:tc>
          <w:tcPr>
            <w:tcW w:w="991" w:type="dxa"/>
            <w:tcBorders>
              <w:top w:val="nil"/>
              <w:left w:val="nil"/>
              <w:bottom w:val="nil"/>
              <w:right w:val="nil"/>
            </w:tcBorders>
            <w:shd w:val="clear" w:color="auto" w:fill="auto"/>
            <w:vAlign w:val="top"/>
          </w:tcPr>
          <w:p w14:paraId="14C468E8">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792 </w:t>
            </w:r>
          </w:p>
        </w:tc>
        <w:tc>
          <w:tcPr>
            <w:tcW w:w="1085" w:type="dxa"/>
            <w:tcBorders>
              <w:top w:val="nil"/>
              <w:left w:val="nil"/>
              <w:bottom w:val="nil"/>
              <w:right w:val="nil"/>
            </w:tcBorders>
            <w:shd w:val="clear" w:color="auto" w:fill="auto"/>
            <w:vAlign w:val="top"/>
          </w:tcPr>
          <w:p w14:paraId="5D1F93F8">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631B37CC">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7.0 </w:t>
            </w:r>
          </w:p>
        </w:tc>
        <w:tc>
          <w:tcPr>
            <w:tcW w:w="1409" w:type="dxa"/>
            <w:tcBorders>
              <w:top w:val="nil"/>
              <w:left w:val="nil"/>
              <w:bottom w:val="nil"/>
              <w:right w:val="nil"/>
            </w:tcBorders>
            <w:shd w:val="clear" w:color="auto" w:fill="auto"/>
            <w:vAlign w:val="top"/>
          </w:tcPr>
          <w:p w14:paraId="42C2532A">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4150±2</w:t>
            </w:r>
          </w:p>
        </w:tc>
        <w:tc>
          <w:tcPr>
            <w:tcW w:w="1023" w:type="dxa"/>
            <w:tcBorders>
              <w:top w:val="nil"/>
              <w:left w:val="nil"/>
              <w:bottom w:val="nil"/>
              <w:right w:val="nil"/>
            </w:tcBorders>
            <w:shd w:val="clear" w:color="auto" w:fill="auto"/>
            <w:vAlign w:val="top"/>
          </w:tcPr>
          <w:p w14:paraId="05C664A4">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3540±5</w:t>
            </w:r>
          </w:p>
        </w:tc>
        <w:tc>
          <w:tcPr>
            <w:tcW w:w="865" w:type="dxa"/>
            <w:tcBorders>
              <w:top w:val="nil"/>
              <w:left w:val="nil"/>
              <w:bottom w:val="nil"/>
              <w:right w:val="nil"/>
            </w:tcBorders>
            <w:shd w:val="clear" w:color="auto" w:fill="auto"/>
            <w:vAlign w:val="top"/>
          </w:tcPr>
          <w:p w14:paraId="0E4C14E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1125±2</w:t>
            </w:r>
          </w:p>
        </w:tc>
        <w:tc>
          <w:tcPr>
            <w:tcW w:w="869" w:type="dxa"/>
            <w:tcBorders>
              <w:top w:val="nil"/>
              <w:left w:val="nil"/>
              <w:bottom w:val="nil"/>
              <w:right w:val="nil"/>
            </w:tcBorders>
            <w:shd w:val="clear" w:color="auto" w:fill="auto"/>
            <w:vAlign w:val="top"/>
          </w:tcPr>
          <w:p w14:paraId="4FC78DB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8815</w:t>
            </w:r>
          </w:p>
        </w:tc>
      </w:tr>
      <w:tr w14:paraId="68E6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3615FA6B">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13 </w:t>
            </w:r>
          </w:p>
        </w:tc>
        <w:tc>
          <w:tcPr>
            <w:tcW w:w="1891" w:type="dxa"/>
            <w:tcBorders>
              <w:top w:val="nil"/>
              <w:left w:val="nil"/>
              <w:bottom w:val="nil"/>
              <w:right w:val="nil"/>
            </w:tcBorders>
            <w:shd w:val="clear" w:color="auto" w:fill="auto"/>
            <w:vAlign w:val="top"/>
          </w:tcPr>
          <w:p w14:paraId="0E700AB7">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Hadejia Road</w:t>
            </w:r>
          </w:p>
        </w:tc>
        <w:tc>
          <w:tcPr>
            <w:tcW w:w="991" w:type="dxa"/>
            <w:tcBorders>
              <w:top w:val="nil"/>
              <w:left w:val="nil"/>
              <w:bottom w:val="nil"/>
              <w:right w:val="nil"/>
            </w:tcBorders>
            <w:shd w:val="clear" w:color="auto" w:fill="auto"/>
            <w:vAlign w:val="top"/>
          </w:tcPr>
          <w:p w14:paraId="4106FEDF">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2890 </w:t>
            </w:r>
          </w:p>
        </w:tc>
        <w:tc>
          <w:tcPr>
            <w:tcW w:w="1085" w:type="dxa"/>
            <w:tcBorders>
              <w:top w:val="nil"/>
              <w:left w:val="nil"/>
              <w:bottom w:val="nil"/>
              <w:right w:val="nil"/>
            </w:tcBorders>
            <w:shd w:val="clear" w:color="auto" w:fill="auto"/>
            <w:vAlign w:val="top"/>
          </w:tcPr>
          <w:p w14:paraId="3DD75FF3">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Dual </w:t>
            </w:r>
          </w:p>
        </w:tc>
        <w:tc>
          <w:tcPr>
            <w:tcW w:w="1121" w:type="dxa"/>
            <w:tcBorders>
              <w:top w:val="nil"/>
              <w:left w:val="nil"/>
              <w:bottom w:val="nil"/>
              <w:right w:val="nil"/>
            </w:tcBorders>
            <w:shd w:val="clear" w:color="auto" w:fill="auto"/>
            <w:vAlign w:val="top"/>
          </w:tcPr>
          <w:p w14:paraId="418677C0">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11.0 </w:t>
            </w:r>
          </w:p>
        </w:tc>
        <w:tc>
          <w:tcPr>
            <w:tcW w:w="1409" w:type="dxa"/>
            <w:tcBorders>
              <w:top w:val="nil"/>
              <w:left w:val="nil"/>
              <w:bottom w:val="nil"/>
              <w:right w:val="nil"/>
            </w:tcBorders>
            <w:shd w:val="clear" w:color="auto" w:fill="auto"/>
            <w:vAlign w:val="top"/>
          </w:tcPr>
          <w:p w14:paraId="2DEFCD8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6870±2</w:t>
            </w:r>
          </w:p>
        </w:tc>
        <w:tc>
          <w:tcPr>
            <w:tcW w:w="1023" w:type="dxa"/>
            <w:tcBorders>
              <w:top w:val="nil"/>
              <w:left w:val="nil"/>
              <w:bottom w:val="nil"/>
              <w:right w:val="nil"/>
            </w:tcBorders>
            <w:shd w:val="clear" w:color="auto" w:fill="auto"/>
            <w:vAlign w:val="top"/>
          </w:tcPr>
          <w:p w14:paraId="5A0A166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6782±4</w:t>
            </w:r>
          </w:p>
        </w:tc>
        <w:tc>
          <w:tcPr>
            <w:tcW w:w="865" w:type="dxa"/>
            <w:tcBorders>
              <w:top w:val="nil"/>
              <w:left w:val="nil"/>
              <w:bottom w:val="nil"/>
              <w:right w:val="nil"/>
            </w:tcBorders>
            <w:shd w:val="clear" w:color="auto" w:fill="auto"/>
            <w:vAlign w:val="top"/>
          </w:tcPr>
          <w:p w14:paraId="099C6FE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561±4</w:t>
            </w:r>
          </w:p>
        </w:tc>
        <w:tc>
          <w:tcPr>
            <w:tcW w:w="869" w:type="dxa"/>
            <w:tcBorders>
              <w:top w:val="nil"/>
              <w:left w:val="nil"/>
              <w:bottom w:val="nil"/>
              <w:right w:val="nil"/>
            </w:tcBorders>
            <w:shd w:val="clear" w:color="auto" w:fill="auto"/>
            <w:vAlign w:val="top"/>
          </w:tcPr>
          <w:p w14:paraId="543C7BA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14213</w:t>
            </w:r>
          </w:p>
        </w:tc>
      </w:tr>
      <w:tr w14:paraId="27FB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01F4C96E">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14 </w:t>
            </w:r>
          </w:p>
        </w:tc>
        <w:tc>
          <w:tcPr>
            <w:tcW w:w="1891" w:type="dxa"/>
            <w:tcBorders>
              <w:top w:val="nil"/>
              <w:left w:val="nil"/>
              <w:bottom w:val="nil"/>
              <w:right w:val="nil"/>
            </w:tcBorders>
            <w:shd w:val="clear" w:color="auto" w:fill="auto"/>
            <w:vAlign w:val="top"/>
          </w:tcPr>
          <w:p w14:paraId="09F8F4EB">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Club Road </w:t>
            </w:r>
          </w:p>
        </w:tc>
        <w:tc>
          <w:tcPr>
            <w:tcW w:w="991" w:type="dxa"/>
            <w:tcBorders>
              <w:top w:val="nil"/>
              <w:left w:val="nil"/>
              <w:bottom w:val="nil"/>
              <w:right w:val="nil"/>
            </w:tcBorders>
            <w:shd w:val="clear" w:color="auto" w:fill="auto"/>
            <w:vAlign w:val="top"/>
          </w:tcPr>
          <w:p w14:paraId="1D9A666F">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850 </w:t>
            </w:r>
          </w:p>
        </w:tc>
        <w:tc>
          <w:tcPr>
            <w:tcW w:w="1085" w:type="dxa"/>
            <w:tcBorders>
              <w:top w:val="nil"/>
              <w:left w:val="nil"/>
              <w:bottom w:val="nil"/>
              <w:right w:val="nil"/>
            </w:tcBorders>
            <w:shd w:val="clear" w:color="auto" w:fill="auto"/>
            <w:vAlign w:val="top"/>
          </w:tcPr>
          <w:p w14:paraId="72F1CE63">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Dual </w:t>
            </w:r>
          </w:p>
        </w:tc>
        <w:tc>
          <w:tcPr>
            <w:tcW w:w="1121" w:type="dxa"/>
            <w:tcBorders>
              <w:top w:val="nil"/>
              <w:left w:val="nil"/>
              <w:bottom w:val="nil"/>
              <w:right w:val="nil"/>
            </w:tcBorders>
            <w:shd w:val="clear" w:color="auto" w:fill="auto"/>
            <w:vAlign w:val="top"/>
          </w:tcPr>
          <w:p w14:paraId="71747A8E">
            <w:pPr>
              <w:pStyle w:val="46"/>
              <w:widowControl/>
              <w:rPr>
                <w:rFonts w:hint="default" w:ascii="Times New Roman" w:hAnsi="Times New Roman" w:cs="Times New Roman"/>
                <w:sz w:val="22"/>
                <w:szCs w:val="22"/>
              </w:rPr>
            </w:pPr>
            <w:r>
              <w:rPr>
                <w:rFonts w:hint="default" w:ascii="Times New Roman" w:hAnsi="Times New Roman" w:cs="Times New Roman"/>
                <w:sz w:val="22"/>
                <w:szCs w:val="22"/>
              </w:rPr>
              <w:t xml:space="preserve">13.0 </w:t>
            </w:r>
          </w:p>
        </w:tc>
        <w:tc>
          <w:tcPr>
            <w:tcW w:w="1409" w:type="dxa"/>
            <w:tcBorders>
              <w:top w:val="nil"/>
              <w:left w:val="nil"/>
              <w:bottom w:val="nil"/>
              <w:right w:val="nil"/>
            </w:tcBorders>
            <w:shd w:val="clear" w:color="auto" w:fill="auto"/>
            <w:vAlign w:val="top"/>
          </w:tcPr>
          <w:p w14:paraId="400B008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2262±4</w:t>
            </w:r>
          </w:p>
        </w:tc>
        <w:tc>
          <w:tcPr>
            <w:tcW w:w="1023" w:type="dxa"/>
            <w:tcBorders>
              <w:top w:val="nil"/>
              <w:left w:val="nil"/>
              <w:bottom w:val="nil"/>
              <w:right w:val="nil"/>
            </w:tcBorders>
            <w:shd w:val="clear" w:color="auto" w:fill="auto"/>
            <w:vAlign w:val="top"/>
          </w:tcPr>
          <w:p w14:paraId="7A7EFF1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1221±3</w:t>
            </w:r>
          </w:p>
        </w:tc>
        <w:tc>
          <w:tcPr>
            <w:tcW w:w="865" w:type="dxa"/>
            <w:tcBorders>
              <w:top w:val="nil"/>
              <w:left w:val="nil"/>
              <w:bottom w:val="nil"/>
              <w:right w:val="nil"/>
            </w:tcBorders>
            <w:shd w:val="clear" w:color="auto" w:fill="auto"/>
            <w:vAlign w:val="top"/>
          </w:tcPr>
          <w:p w14:paraId="0DDE8EC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1040±2</w:t>
            </w:r>
          </w:p>
        </w:tc>
        <w:tc>
          <w:tcPr>
            <w:tcW w:w="869" w:type="dxa"/>
            <w:tcBorders>
              <w:top w:val="nil"/>
              <w:left w:val="nil"/>
              <w:bottom w:val="nil"/>
              <w:right w:val="nil"/>
            </w:tcBorders>
            <w:shd w:val="clear" w:color="auto" w:fill="auto"/>
            <w:vAlign w:val="top"/>
          </w:tcPr>
          <w:p w14:paraId="5F3B6B97">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rPr>
            </w:pPr>
            <w:r>
              <w:rPr>
                <w:rFonts w:hint="default" w:ascii="Times New Roman" w:hAnsi="Times New Roman" w:eastAsia="Calibri" w:cs="Times New Roman"/>
                <w:kern w:val="0"/>
                <w:sz w:val="22"/>
                <w:szCs w:val="22"/>
                <w:lang w:val="en-US" w:eastAsia="zh-CN" w:bidi="ar"/>
              </w:rPr>
              <w:t>4523</w:t>
            </w:r>
          </w:p>
        </w:tc>
      </w:tr>
      <w:tr w14:paraId="4A0C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 w:hRule="atLeast"/>
        </w:trPr>
        <w:tc>
          <w:tcPr>
            <w:tcW w:w="682" w:type="dxa"/>
            <w:tcBorders>
              <w:top w:val="nil"/>
              <w:left w:val="nil"/>
              <w:bottom w:val="nil"/>
              <w:right w:val="nil"/>
            </w:tcBorders>
            <w:shd w:val="clear" w:color="auto" w:fill="auto"/>
            <w:vAlign w:val="top"/>
          </w:tcPr>
          <w:p w14:paraId="3BE2197E">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15 </w:t>
            </w:r>
          </w:p>
        </w:tc>
        <w:tc>
          <w:tcPr>
            <w:tcW w:w="1891" w:type="dxa"/>
            <w:tcBorders>
              <w:top w:val="nil"/>
              <w:left w:val="nil"/>
              <w:bottom w:val="nil"/>
              <w:right w:val="nil"/>
            </w:tcBorders>
            <w:shd w:val="clear" w:color="auto" w:fill="auto"/>
            <w:vAlign w:val="top"/>
          </w:tcPr>
          <w:p w14:paraId="781F12E7">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Maiduguri Road </w:t>
            </w:r>
          </w:p>
        </w:tc>
        <w:tc>
          <w:tcPr>
            <w:tcW w:w="991" w:type="dxa"/>
            <w:tcBorders>
              <w:top w:val="nil"/>
              <w:left w:val="nil"/>
              <w:bottom w:val="nil"/>
              <w:right w:val="nil"/>
            </w:tcBorders>
            <w:shd w:val="clear" w:color="auto" w:fill="auto"/>
            <w:vAlign w:val="top"/>
          </w:tcPr>
          <w:p w14:paraId="3437D18C">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3435 </w:t>
            </w:r>
          </w:p>
        </w:tc>
        <w:tc>
          <w:tcPr>
            <w:tcW w:w="1085" w:type="dxa"/>
            <w:tcBorders>
              <w:top w:val="nil"/>
              <w:left w:val="nil"/>
              <w:bottom w:val="nil"/>
              <w:right w:val="nil"/>
            </w:tcBorders>
            <w:shd w:val="clear" w:color="auto" w:fill="auto"/>
            <w:vAlign w:val="top"/>
          </w:tcPr>
          <w:p w14:paraId="4B864460">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Dual </w:t>
            </w:r>
          </w:p>
        </w:tc>
        <w:tc>
          <w:tcPr>
            <w:tcW w:w="1121" w:type="dxa"/>
            <w:tcBorders>
              <w:top w:val="nil"/>
              <w:left w:val="nil"/>
              <w:bottom w:val="nil"/>
              <w:right w:val="nil"/>
            </w:tcBorders>
            <w:shd w:val="clear" w:color="auto" w:fill="auto"/>
            <w:vAlign w:val="top"/>
          </w:tcPr>
          <w:p w14:paraId="24535995">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7.5 </w:t>
            </w:r>
          </w:p>
        </w:tc>
        <w:tc>
          <w:tcPr>
            <w:tcW w:w="1409" w:type="dxa"/>
            <w:tcBorders>
              <w:top w:val="nil"/>
              <w:left w:val="nil"/>
              <w:bottom w:val="nil"/>
              <w:right w:val="nil"/>
            </w:tcBorders>
            <w:shd w:val="clear" w:color="auto" w:fill="auto"/>
            <w:vAlign w:val="top"/>
          </w:tcPr>
          <w:p w14:paraId="2D6F9AA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8130±2</w:t>
            </w:r>
          </w:p>
        </w:tc>
        <w:tc>
          <w:tcPr>
            <w:tcW w:w="1023" w:type="dxa"/>
            <w:tcBorders>
              <w:top w:val="nil"/>
              <w:left w:val="nil"/>
              <w:bottom w:val="nil"/>
              <w:right w:val="nil"/>
            </w:tcBorders>
            <w:shd w:val="clear" w:color="auto" w:fill="auto"/>
            <w:vAlign w:val="top"/>
          </w:tcPr>
          <w:p w14:paraId="1571D09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9453±7</w:t>
            </w:r>
          </w:p>
        </w:tc>
        <w:tc>
          <w:tcPr>
            <w:tcW w:w="865" w:type="dxa"/>
            <w:tcBorders>
              <w:top w:val="nil"/>
              <w:left w:val="nil"/>
              <w:bottom w:val="nil"/>
              <w:right w:val="nil"/>
            </w:tcBorders>
            <w:shd w:val="clear" w:color="auto" w:fill="auto"/>
            <w:vAlign w:val="top"/>
          </w:tcPr>
          <w:p w14:paraId="5B4EE72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1244±9</w:t>
            </w:r>
          </w:p>
        </w:tc>
        <w:tc>
          <w:tcPr>
            <w:tcW w:w="869" w:type="dxa"/>
            <w:tcBorders>
              <w:top w:val="nil"/>
              <w:left w:val="nil"/>
              <w:bottom w:val="nil"/>
              <w:right w:val="nil"/>
            </w:tcBorders>
            <w:shd w:val="clear" w:color="auto" w:fill="auto"/>
            <w:vAlign w:val="top"/>
          </w:tcPr>
          <w:p w14:paraId="3115316B">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18827</w:t>
            </w:r>
          </w:p>
        </w:tc>
      </w:tr>
      <w:tr w14:paraId="38CE9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9" w:hRule="atLeast"/>
        </w:trPr>
        <w:tc>
          <w:tcPr>
            <w:tcW w:w="682" w:type="dxa"/>
            <w:tcBorders>
              <w:top w:val="nil"/>
              <w:left w:val="nil"/>
              <w:bottom w:val="single" w:color="auto" w:sz="4" w:space="0"/>
              <w:right w:val="nil"/>
            </w:tcBorders>
            <w:shd w:val="clear" w:color="auto" w:fill="auto"/>
            <w:vAlign w:val="top"/>
          </w:tcPr>
          <w:p w14:paraId="08945C89">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16 </w:t>
            </w:r>
          </w:p>
        </w:tc>
        <w:tc>
          <w:tcPr>
            <w:tcW w:w="1891" w:type="dxa"/>
            <w:tcBorders>
              <w:top w:val="nil"/>
              <w:left w:val="nil"/>
              <w:bottom w:val="single" w:color="auto" w:sz="4" w:space="0"/>
              <w:right w:val="nil"/>
            </w:tcBorders>
            <w:shd w:val="clear" w:color="auto" w:fill="auto"/>
            <w:vAlign w:val="top"/>
          </w:tcPr>
          <w:p w14:paraId="35368ED6">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Zaria Road </w:t>
            </w:r>
          </w:p>
        </w:tc>
        <w:tc>
          <w:tcPr>
            <w:tcW w:w="991" w:type="dxa"/>
            <w:tcBorders>
              <w:top w:val="nil"/>
              <w:left w:val="nil"/>
              <w:bottom w:val="single" w:color="auto" w:sz="4" w:space="0"/>
              <w:right w:val="nil"/>
            </w:tcBorders>
            <w:shd w:val="clear" w:color="auto" w:fill="auto"/>
            <w:vAlign w:val="top"/>
          </w:tcPr>
          <w:p w14:paraId="074F2B76">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3290 </w:t>
            </w:r>
          </w:p>
        </w:tc>
        <w:tc>
          <w:tcPr>
            <w:tcW w:w="1085" w:type="dxa"/>
            <w:tcBorders>
              <w:top w:val="nil"/>
              <w:left w:val="nil"/>
              <w:bottom w:val="single" w:color="auto" w:sz="4" w:space="0"/>
              <w:right w:val="nil"/>
            </w:tcBorders>
            <w:shd w:val="clear" w:color="auto" w:fill="auto"/>
            <w:vAlign w:val="top"/>
          </w:tcPr>
          <w:p w14:paraId="1B1B4898">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Dual </w:t>
            </w:r>
          </w:p>
        </w:tc>
        <w:tc>
          <w:tcPr>
            <w:tcW w:w="1121" w:type="dxa"/>
            <w:tcBorders>
              <w:top w:val="nil"/>
              <w:left w:val="nil"/>
              <w:bottom w:val="single" w:color="auto" w:sz="4" w:space="0"/>
              <w:right w:val="nil"/>
            </w:tcBorders>
            <w:shd w:val="clear" w:color="auto" w:fill="auto"/>
            <w:vAlign w:val="top"/>
          </w:tcPr>
          <w:p w14:paraId="315D76C3">
            <w:pPr>
              <w:pStyle w:val="46"/>
              <w:widowControl/>
              <w:rPr>
                <w:rFonts w:hint="default" w:ascii="Times New Roman" w:hAnsi="Times New Roman" w:cs="Times New Roman"/>
                <w:b/>
                <w:bCs w:val="0"/>
                <w:sz w:val="22"/>
                <w:szCs w:val="22"/>
              </w:rPr>
            </w:pPr>
            <w:r>
              <w:rPr>
                <w:rFonts w:hint="default" w:ascii="Times New Roman" w:hAnsi="Times New Roman" w:cs="Times New Roman"/>
                <w:b/>
                <w:bCs w:val="0"/>
                <w:sz w:val="22"/>
                <w:szCs w:val="22"/>
              </w:rPr>
              <w:t xml:space="preserve">9.5 </w:t>
            </w:r>
          </w:p>
        </w:tc>
        <w:tc>
          <w:tcPr>
            <w:tcW w:w="1409" w:type="dxa"/>
            <w:tcBorders>
              <w:top w:val="nil"/>
              <w:left w:val="nil"/>
              <w:bottom w:val="single" w:color="auto" w:sz="4" w:space="0"/>
              <w:right w:val="nil"/>
            </w:tcBorders>
            <w:shd w:val="clear" w:color="auto" w:fill="auto"/>
            <w:vAlign w:val="top"/>
          </w:tcPr>
          <w:p w14:paraId="4951897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13918±6</w:t>
            </w:r>
          </w:p>
        </w:tc>
        <w:tc>
          <w:tcPr>
            <w:tcW w:w="1023" w:type="dxa"/>
            <w:tcBorders>
              <w:top w:val="nil"/>
              <w:left w:val="nil"/>
              <w:bottom w:val="single" w:color="auto" w:sz="4" w:space="0"/>
              <w:right w:val="nil"/>
            </w:tcBorders>
            <w:shd w:val="clear" w:color="auto" w:fill="auto"/>
            <w:vAlign w:val="top"/>
          </w:tcPr>
          <w:p w14:paraId="655B3DF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8710±3</w:t>
            </w:r>
          </w:p>
        </w:tc>
        <w:tc>
          <w:tcPr>
            <w:tcW w:w="865" w:type="dxa"/>
            <w:tcBorders>
              <w:top w:val="nil"/>
              <w:left w:val="nil"/>
              <w:bottom w:val="single" w:color="auto" w:sz="4" w:space="0"/>
              <w:right w:val="nil"/>
            </w:tcBorders>
            <w:shd w:val="clear" w:color="auto" w:fill="auto"/>
            <w:vAlign w:val="top"/>
          </w:tcPr>
          <w:p w14:paraId="0EBC5C6F">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513±2</w:t>
            </w:r>
          </w:p>
        </w:tc>
        <w:tc>
          <w:tcPr>
            <w:tcW w:w="869" w:type="dxa"/>
            <w:tcBorders>
              <w:top w:val="nil"/>
              <w:left w:val="nil"/>
              <w:bottom w:val="single" w:color="auto" w:sz="4" w:space="0"/>
              <w:right w:val="nil"/>
            </w:tcBorders>
            <w:shd w:val="clear" w:color="auto" w:fill="auto"/>
            <w:vAlign w:val="top"/>
          </w:tcPr>
          <w:p w14:paraId="7B863C4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b/>
                <w:bCs w:val="0"/>
              </w:rPr>
            </w:pPr>
            <w:r>
              <w:rPr>
                <w:rFonts w:hint="default" w:ascii="Times New Roman" w:hAnsi="Times New Roman" w:eastAsia="Calibri" w:cs="Times New Roman"/>
                <w:b/>
                <w:bCs w:val="0"/>
                <w:kern w:val="0"/>
                <w:sz w:val="22"/>
                <w:szCs w:val="22"/>
                <w:lang w:val="en-US" w:eastAsia="zh-CN" w:bidi="ar"/>
              </w:rPr>
              <w:t>23141</w:t>
            </w:r>
          </w:p>
        </w:tc>
      </w:tr>
    </w:tbl>
    <w:p w14:paraId="0E873A2C">
      <w:pPr>
        <w:spacing w:before="1"/>
        <w:ind w:left="0" w:right="0" w:firstLine="0"/>
        <w:jc w:val="center"/>
        <w:rPr>
          <w:rFonts w:hint="default" w:ascii="Times New Roman" w:hAnsi="Times New Roman" w:cs="Times New Roman"/>
          <w:i/>
          <w:color w:val="231F20"/>
          <w:spacing w:val="-4"/>
          <w:sz w:val="22"/>
        </w:rPr>
      </w:pPr>
      <w:r>
        <w:rPr>
          <w:rFonts w:hint="default" w:ascii="Times New Roman" w:hAnsi="Times New Roman" w:cs="Times New Roman"/>
          <w:b/>
          <w:i/>
          <w:color w:val="231F20"/>
          <w:sz w:val="22"/>
        </w:rPr>
        <w:t>Source:</w:t>
      </w:r>
      <w:r>
        <w:rPr>
          <w:rFonts w:hint="default" w:ascii="Times New Roman" w:hAnsi="Times New Roman" w:cs="Times New Roman"/>
          <w:b/>
          <w:i/>
          <w:color w:val="231F20"/>
          <w:spacing w:val="-5"/>
          <w:sz w:val="22"/>
        </w:rPr>
        <w:t xml:space="preserve"> </w:t>
      </w:r>
      <w:r>
        <w:rPr>
          <w:rFonts w:hint="default" w:ascii="Times New Roman" w:hAnsi="Times New Roman" w:cs="Times New Roman"/>
          <w:i/>
          <w:color w:val="231F20"/>
          <w:sz w:val="22"/>
        </w:rPr>
        <w:t>Highways</w:t>
      </w:r>
      <w:r>
        <w:rPr>
          <w:rFonts w:hint="default" w:ascii="Times New Roman" w:hAnsi="Times New Roman" w:cs="Times New Roman"/>
          <w:i/>
          <w:color w:val="231F20"/>
          <w:spacing w:val="-6"/>
          <w:sz w:val="22"/>
        </w:rPr>
        <w:t xml:space="preserve"> </w:t>
      </w:r>
      <w:r>
        <w:rPr>
          <w:rFonts w:hint="default" w:ascii="Times New Roman" w:hAnsi="Times New Roman" w:cs="Times New Roman"/>
          <w:i/>
          <w:color w:val="231F20"/>
          <w:sz w:val="22"/>
        </w:rPr>
        <w:t>Department.</w:t>
      </w:r>
      <w:r>
        <w:rPr>
          <w:rFonts w:hint="default" w:ascii="Times New Roman" w:hAnsi="Times New Roman" w:cs="Times New Roman"/>
          <w:i/>
          <w:color w:val="231F20"/>
          <w:spacing w:val="-5"/>
          <w:sz w:val="22"/>
        </w:rPr>
        <w:t xml:space="preserve"> </w:t>
      </w:r>
      <w:r>
        <w:rPr>
          <w:rFonts w:hint="default" w:ascii="Times New Roman" w:hAnsi="Times New Roman" w:cs="Times New Roman"/>
          <w:i/>
          <w:color w:val="231F20"/>
          <w:sz w:val="22"/>
        </w:rPr>
        <w:t>KSMW,</w:t>
      </w:r>
      <w:r>
        <w:rPr>
          <w:rFonts w:hint="default" w:ascii="Times New Roman" w:hAnsi="Times New Roman" w:cs="Times New Roman"/>
          <w:i/>
          <w:color w:val="231F20"/>
          <w:spacing w:val="-8"/>
          <w:sz w:val="22"/>
        </w:rPr>
        <w:t xml:space="preserve"> </w:t>
      </w:r>
      <w:r>
        <w:rPr>
          <w:rFonts w:hint="default" w:ascii="Times New Roman" w:hAnsi="Times New Roman" w:cs="Times New Roman"/>
          <w:i/>
          <w:color w:val="231F20"/>
          <w:spacing w:val="-4"/>
          <w:sz w:val="22"/>
        </w:rPr>
        <w:t>2023</w:t>
      </w:r>
    </w:p>
    <w:p w14:paraId="65D4F201">
      <w:pPr>
        <w:pStyle w:val="3"/>
        <w:numPr>
          <w:numId w:val="0"/>
        </w:numPr>
        <w:tabs>
          <w:tab w:val="left" w:pos="743"/>
        </w:tabs>
        <w:spacing w:before="0" w:after="0" w:line="240" w:lineRule="auto"/>
        <w:ind w:left="23" w:leftChars="0" w:right="0" w:rightChars="0"/>
        <w:jc w:val="left"/>
        <w:rPr>
          <w:rFonts w:hint="default" w:ascii="Times New Roman" w:hAnsi="Times New Roman" w:cs="Times New Roman"/>
        </w:rPr>
      </w:pPr>
      <w:bookmarkStart w:id="2" w:name="_bookmark63"/>
      <w:bookmarkEnd w:id="2"/>
      <w:r>
        <w:rPr>
          <w:rFonts w:hint="default" w:cs="Times New Roman"/>
          <w:lang w:val="en-US"/>
        </w:rPr>
        <w:t xml:space="preserve">1.5 </w:t>
      </w:r>
      <w:r>
        <w:rPr>
          <w:rFonts w:hint="default" w:ascii="Times New Roman" w:hAnsi="Times New Roman" w:cs="Times New Roman"/>
        </w:rPr>
        <w:t>Sampling</w:t>
      </w:r>
      <w:r>
        <w:rPr>
          <w:rFonts w:hint="default" w:ascii="Times New Roman" w:hAnsi="Times New Roman" w:cs="Times New Roman"/>
          <w:spacing w:val="-2"/>
        </w:rPr>
        <w:t xml:space="preserve"> </w:t>
      </w:r>
      <w:r>
        <w:rPr>
          <w:rFonts w:hint="default" w:ascii="Times New Roman" w:hAnsi="Times New Roman" w:cs="Times New Roman"/>
        </w:rPr>
        <w:t>Frame</w:t>
      </w:r>
      <w:r>
        <w:rPr>
          <w:rFonts w:hint="default" w:ascii="Times New Roman" w:hAnsi="Times New Roman" w:cs="Times New Roman"/>
          <w:spacing w:val="-3"/>
        </w:rPr>
        <w:t xml:space="preserve"> </w:t>
      </w:r>
      <w:r>
        <w:rPr>
          <w:rFonts w:hint="default" w:ascii="Times New Roman" w:hAnsi="Times New Roman" w:cs="Times New Roman"/>
        </w:rPr>
        <w:t>and</w:t>
      </w:r>
      <w:r>
        <w:rPr>
          <w:rFonts w:hint="default" w:ascii="Times New Roman" w:hAnsi="Times New Roman" w:cs="Times New Roman"/>
          <w:spacing w:val="-1"/>
        </w:rPr>
        <w:t xml:space="preserve"> </w:t>
      </w:r>
      <w:r>
        <w:rPr>
          <w:rFonts w:hint="default" w:ascii="Times New Roman" w:hAnsi="Times New Roman" w:cs="Times New Roman"/>
          <w:spacing w:val="-2"/>
        </w:rPr>
        <w:t>Technique</w:t>
      </w:r>
    </w:p>
    <w:p w14:paraId="1FA0E243">
      <w:pPr>
        <w:widowControl/>
        <w:spacing w:line="480" w:lineRule="auto"/>
        <w:ind w:right="539" w:rightChars="245"/>
        <w:jc w:val="both"/>
        <w:rPr>
          <w:rFonts w:hint="default" w:ascii="Times New Roman" w:hAnsi="Times New Roman" w:cs="Times New Roman"/>
          <w:color w:val="242021"/>
          <w:sz w:val="24"/>
          <w:szCs w:val="24"/>
        </w:rPr>
      </w:pPr>
      <w:bookmarkStart w:id="3" w:name="_bookmark64"/>
      <w:bookmarkEnd w:id="3"/>
      <w:r>
        <w:rPr>
          <w:rFonts w:hint="default" w:ascii="Times New Roman" w:hAnsi="Times New Roman" w:cs="Times New Roman"/>
          <w:color w:val="000000"/>
          <w:sz w:val="24"/>
          <w:szCs w:val="24"/>
        </w:rPr>
        <w:t xml:space="preserve">The study areas are five selected major roads in Kano metropolis </w:t>
      </w:r>
      <w:r>
        <w:rPr>
          <w:rFonts w:hint="default" w:ascii="Times New Roman" w:hAnsi="Times New Roman" w:cs="Times New Roman"/>
          <w:color w:val="000000"/>
          <w:sz w:val="24"/>
          <w:szCs w:val="24"/>
          <w:lang w:val="en-US"/>
        </w:rPr>
        <w:t>made up of</w:t>
      </w:r>
      <w:r>
        <w:rPr>
          <w:rFonts w:hint="default" w:ascii="Times New Roman" w:hAnsi="Times New Roman" w:cs="Times New Roman"/>
          <w:color w:val="000000"/>
          <w:sz w:val="24"/>
          <w:szCs w:val="24"/>
        </w:rPr>
        <w:t xml:space="preserve">; Zaria Road, Katsina Road, Maiduguri Road, BUK Road and Hadejia Road these made up the frame from which samples were drawn. </w:t>
      </w:r>
      <w:r>
        <w:rPr>
          <w:rFonts w:hint="default" w:ascii="Times New Roman" w:hAnsi="Times New Roman" w:cs="Times New Roman"/>
          <w:color w:val="242021"/>
          <w:sz w:val="24"/>
          <w:szCs w:val="24"/>
        </w:rPr>
        <w:t>The criteria for selections of these roads were based on</w:t>
      </w:r>
      <w:r>
        <w:rPr>
          <w:rFonts w:hint="default" w:ascii="Times New Roman" w:hAnsi="Times New Roman" w:cs="Times New Roman"/>
          <w:color w:val="242021"/>
          <w:sz w:val="24"/>
          <w:szCs w:val="24"/>
          <w:highlight w:val="none"/>
        </w:rPr>
        <w:t xml:space="preserve"> the relative traffic density </w:t>
      </w:r>
      <w:r>
        <w:rPr>
          <w:rFonts w:hint="default" w:ascii="Times New Roman" w:hAnsi="Times New Roman" w:cs="Times New Roman"/>
          <w:color w:val="242021"/>
          <w:sz w:val="24"/>
          <w:szCs w:val="24"/>
        </w:rPr>
        <w:t xml:space="preserve">on each road and the desire to have each category of traffic density in different parts of the Metropolis and as such </w:t>
      </w:r>
      <w:r>
        <w:rPr>
          <w:rFonts w:hint="default" w:ascii="Times New Roman" w:hAnsi="Times New Roman" w:cs="Times New Roman"/>
          <w:color w:val="242021"/>
          <w:sz w:val="24"/>
          <w:szCs w:val="24"/>
          <w:lang w:val="en-US"/>
        </w:rPr>
        <w:t xml:space="preserve">purposive (non-probability) sampling technique </w:t>
      </w:r>
      <w:r>
        <w:rPr>
          <w:rFonts w:hint="default" w:ascii="Times New Roman" w:hAnsi="Times New Roman" w:cs="Times New Roman"/>
          <w:color w:val="242021"/>
          <w:sz w:val="24"/>
          <w:szCs w:val="24"/>
        </w:rPr>
        <w:t xml:space="preserve"> method was employed.</w:t>
      </w:r>
    </w:p>
    <w:p w14:paraId="06059A16">
      <w:pPr>
        <w:pStyle w:val="3"/>
        <w:spacing w:line="360" w:lineRule="auto"/>
        <w:rPr>
          <w:rFonts w:hint="default" w:ascii="Times New Roman" w:hAnsi="Times New Roman" w:cs="Times New Roman"/>
          <w:sz w:val="27"/>
          <w:szCs w:val="27"/>
        </w:rPr>
      </w:pPr>
      <w:r>
        <w:rPr>
          <w:rFonts w:hint="default" w:cs="Times New Roman"/>
          <w:b/>
          <w:color w:val="000000"/>
          <w:sz w:val="24"/>
          <w:szCs w:val="24"/>
          <w:lang w:val="en-US" w:eastAsia="zh-CN" w:bidi="ar"/>
        </w:rPr>
        <w:t xml:space="preserve">1.6 </w:t>
      </w:r>
      <w:r>
        <w:rPr>
          <w:rFonts w:hint="default" w:ascii="Times New Roman" w:hAnsi="Times New Roman" w:cs="Times New Roman"/>
          <w:b/>
          <w:color w:val="000000"/>
          <w:sz w:val="24"/>
          <w:szCs w:val="24"/>
          <w:lang w:eastAsia="zh-CN" w:bidi="ar"/>
        </w:rPr>
        <w:t xml:space="preserve"> </w:t>
      </w:r>
      <w:r>
        <w:rPr>
          <w:rFonts w:hint="default" w:ascii="Times New Roman" w:hAnsi="Times New Roman" w:cs="Times New Roman"/>
        </w:rPr>
        <w:t>Sampling Strategy and Sample Collection</w:t>
      </w:r>
    </w:p>
    <w:p w14:paraId="041FC22E">
      <w:pPr>
        <w:pStyle w:val="19"/>
        <w:spacing w:before="0" w:beforeAutospacing="0" w:line="480" w:lineRule="auto"/>
        <w:jc w:val="both"/>
        <w:rPr>
          <w:rFonts w:hint="default" w:ascii="Times New Roman" w:hAnsi="Times New Roman" w:cs="Times New Roman"/>
        </w:rPr>
      </w:pPr>
      <w:r>
        <w:rPr>
          <w:rFonts w:hint="default" w:ascii="Times New Roman" w:hAnsi="Times New Roman" w:cs="Times New Roman"/>
        </w:rPr>
        <w:t xml:space="preserve">A systematic </w:t>
      </w:r>
      <w:r>
        <w:rPr>
          <w:rFonts w:hint="default" w:ascii="Times New Roman" w:hAnsi="Times New Roman" w:cs="Times New Roman"/>
          <w:lang w:val="en-US"/>
        </w:rPr>
        <w:t>purposive</w:t>
      </w:r>
      <w:r>
        <w:rPr>
          <w:rFonts w:hint="default" w:ascii="Times New Roman" w:hAnsi="Times New Roman" w:cs="Times New Roman"/>
        </w:rPr>
        <w:t xml:space="preserve"> sampling technique was adopted. </w:t>
      </w:r>
      <w:r>
        <w:rPr>
          <w:rStyle w:val="20"/>
          <w:rFonts w:hint="default" w:ascii="Times New Roman" w:hAnsi="Times New Roman" w:cs="Times New Roman" w:eastAsiaTheme="majorEastAsia"/>
          <w:b w:val="0"/>
          <w:bCs w:val="0"/>
        </w:rPr>
        <w:t>Ten (10) sampling points per road</w:t>
      </w:r>
      <w:r>
        <w:rPr>
          <w:rFonts w:hint="default" w:ascii="Times New Roman" w:hAnsi="Times New Roman" w:cs="Times New Roman"/>
        </w:rPr>
        <w:t xml:space="preserve"> were selected at </w:t>
      </w:r>
      <w:r>
        <w:rPr>
          <w:rStyle w:val="20"/>
          <w:rFonts w:hint="default" w:ascii="Times New Roman" w:hAnsi="Times New Roman" w:cs="Times New Roman" w:eastAsiaTheme="majorEastAsia"/>
          <w:b w:val="0"/>
          <w:bCs w:val="0"/>
        </w:rPr>
        <w:t>100–150 m intervals</w:t>
      </w:r>
      <w:r>
        <w:rPr>
          <w:rFonts w:hint="default" w:ascii="Times New Roman" w:hAnsi="Times New Roman" w:cs="Times New Roman"/>
        </w:rPr>
        <w:t xml:space="preserve">, resulting in a total of </w:t>
      </w:r>
      <w:r>
        <w:rPr>
          <w:rStyle w:val="20"/>
          <w:rFonts w:hint="default" w:ascii="Times New Roman" w:hAnsi="Times New Roman" w:cs="Times New Roman" w:eastAsiaTheme="majorEastAsia"/>
          <w:b w:val="0"/>
          <w:bCs w:val="0"/>
        </w:rPr>
        <w:t>50 samples</w:t>
      </w:r>
      <w:r>
        <w:rPr>
          <w:rFonts w:hint="default" w:ascii="Times New Roman" w:hAnsi="Times New Roman" w:cs="Times New Roman"/>
        </w:rPr>
        <w:t>. Road dust samples were collected during the dry season to minimize rainfall interference. A soft plastic brush and stainless-steel dustpan were used to sweep dust from the road shoulder (within 1m from pavement edge).</w:t>
      </w:r>
      <w:r>
        <w:rPr>
          <w:rFonts w:hint="default" w:ascii="Times New Roman" w:hAnsi="Times New Roman" w:cs="Times New Roman"/>
          <w:lang w:val="en-US"/>
        </w:rPr>
        <w:t xml:space="preserve"> </w:t>
      </w:r>
      <w:r>
        <w:rPr>
          <w:rStyle w:val="20"/>
          <w:rFonts w:hint="default" w:ascii="Times New Roman" w:hAnsi="Times New Roman" w:cs="Times New Roman" w:eastAsiaTheme="majorEastAsia"/>
          <w:b w:val="0"/>
          <w:bCs w:val="0"/>
        </w:rPr>
        <w:t>200–250g</w:t>
      </w:r>
      <w:r>
        <w:rPr>
          <w:rFonts w:hint="default" w:ascii="Times New Roman" w:hAnsi="Times New Roman" w:cs="Times New Roman"/>
        </w:rPr>
        <w:t xml:space="preserve"> of surface dust (≤ 2 mm particle size) was collected from each location. Samples were transferred into pre-labelled polyethylene bags, sealed, and transported to the laboratory under ice-box conditions at 4°C to minimize contamination and chemical alteration. Samples were sieved at &lt;75 µm, the respirable fraction most relevant for human exposure (USEPA, 2020).</w:t>
      </w:r>
    </w:p>
    <w:p w14:paraId="4D154076">
      <w:pPr>
        <w:pStyle w:val="19"/>
        <w:spacing w:before="0" w:beforeAutospacing="0" w:line="480" w:lineRule="auto"/>
        <w:jc w:val="both"/>
        <w:rPr>
          <w:rFonts w:hint="default" w:ascii="Times New Roman" w:hAnsi="Times New Roman" w:cs="Times New Roman"/>
        </w:rPr>
      </w:pPr>
    </w:p>
    <w:p w14:paraId="39BFBAF0">
      <w:pPr>
        <w:widowControl/>
        <w:spacing w:line="360" w:lineRule="auto"/>
        <w:ind w:right="539" w:rightChars="245"/>
        <w:jc w:val="both"/>
        <w:rPr>
          <w:rFonts w:hint="default" w:ascii="Times New Roman" w:hAnsi="Times New Roman" w:cs="Times New Roman"/>
          <w:color w:val="000000"/>
          <w:sz w:val="24"/>
          <w:szCs w:val="24"/>
          <w:lang w:eastAsia="zh-CN" w:bidi="ar"/>
        </w:rPr>
      </w:pPr>
      <w:r>
        <w:rPr>
          <w:rFonts w:hint="default" w:ascii="Times New Roman" w:hAnsi="Times New Roman" w:cs="Times New Roman"/>
          <w:b/>
          <w:bCs/>
          <w:color w:val="000000"/>
          <w:sz w:val="24"/>
          <w:szCs w:val="24"/>
          <w:lang w:val="en-US" w:eastAsia="zh-CN" w:bidi="ar"/>
        </w:rPr>
        <w:t xml:space="preserve">1.7 </w:t>
      </w:r>
      <w:r>
        <w:rPr>
          <w:rFonts w:hint="default" w:ascii="Times New Roman" w:hAnsi="Times New Roman" w:cs="Times New Roman"/>
          <w:b/>
          <w:bCs/>
          <w:color w:val="000000"/>
          <w:sz w:val="24"/>
          <w:szCs w:val="24"/>
          <w:lang w:eastAsia="zh-CN" w:bidi="ar"/>
        </w:rPr>
        <w:t xml:space="preserve"> Sample Preparation</w:t>
      </w:r>
    </w:p>
    <w:p w14:paraId="4099C970">
      <w:pPr>
        <w:widowControl/>
        <w:spacing w:line="480" w:lineRule="auto"/>
        <w:ind w:right="539" w:rightChars="245"/>
        <w:jc w:val="both"/>
        <w:rPr>
          <w:rFonts w:hint="default" w:ascii="Times New Roman" w:hAnsi="Times New Roman" w:cs="Times New Roman"/>
          <w:color w:val="000000"/>
          <w:sz w:val="24"/>
          <w:szCs w:val="24"/>
          <w:lang w:eastAsia="zh-CN" w:bidi="ar"/>
        </w:rPr>
      </w:pPr>
      <w:r>
        <w:rPr>
          <w:rFonts w:hint="default" w:ascii="Times New Roman" w:hAnsi="Times New Roman" w:cs="Times New Roman"/>
          <w:color w:val="000000"/>
          <w:sz w:val="24"/>
          <w:szCs w:val="24"/>
          <w:lang w:eastAsia="zh-CN" w:bidi="ar"/>
        </w:rPr>
        <w:t xml:space="preserve">In the laboratory, the collected samples were air-dried and sieved through a 1.0mm nylon mesh to remove debris. The sieved samples were placed in a 50ml of washed plastic container to homogenize. After the samples were carefully homogenized and passed through a 100µm sieve, the sieved samples were stored at 4 </w:t>
      </w:r>
      <w:r>
        <w:rPr>
          <w:rFonts w:hint="default" w:ascii="Times New Roman" w:hAnsi="Times New Roman" w:cs="Times New Roman"/>
          <w:i/>
          <w:iCs/>
          <w:color w:val="000000"/>
          <w:sz w:val="24"/>
          <w:szCs w:val="24"/>
          <w:lang w:eastAsia="zh-CN" w:bidi="ar"/>
        </w:rPr>
        <w:t>◦</w:t>
      </w:r>
      <w:r>
        <w:rPr>
          <w:rFonts w:hint="default" w:ascii="Times New Roman" w:hAnsi="Times New Roman" w:cs="Times New Roman"/>
          <w:color w:val="000000"/>
          <w:sz w:val="24"/>
          <w:szCs w:val="24"/>
          <w:lang w:eastAsia="zh-CN" w:bidi="ar"/>
        </w:rPr>
        <w:t>C before analysis.</w:t>
      </w:r>
    </w:p>
    <w:p w14:paraId="3BC8946D">
      <w:pPr>
        <w:spacing w:line="360" w:lineRule="auto"/>
        <w:ind w:left="80" w:leftChars="-132" w:right="540" w:hanging="370" w:hangingChars="154"/>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rPr>
        <w:t xml:space="preserve">1.8 </w:t>
      </w:r>
      <w:r>
        <w:rPr>
          <w:rFonts w:hint="default" w:ascii="Times New Roman" w:hAnsi="Times New Roman" w:cs="Times New Roman"/>
          <w:b/>
          <w:sz w:val="24"/>
          <w:szCs w:val="24"/>
        </w:rPr>
        <w:t xml:space="preserve"> Sample</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Digestion</w:t>
      </w:r>
    </w:p>
    <w:p w14:paraId="27FCD4AF">
      <w:pPr>
        <w:widowControl/>
        <w:spacing w:line="480" w:lineRule="auto"/>
        <w:ind w:right="539" w:rightChars="245"/>
        <w:jc w:val="both"/>
        <w:rPr>
          <w:rFonts w:hint="default" w:ascii="Times New Roman" w:hAnsi="Times New Roman" w:cs="Times New Roman"/>
          <w:color w:val="000000"/>
          <w:sz w:val="24"/>
          <w:szCs w:val="24"/>
        </w:rPr>
      </w:pPr>
      <w:bookmarkStart w:id="4" w:name="_bookmark67"/>
      <w:bookmarkEnd w:id="4"/>
      <w:r>
        <w:rPr>
          <w:rFonts w:hint="default" w:ascii="Times New Roman" w:hAnsi="Times New Roman" w:cs="Times New Roman"/>
          <w:color w:val="000000"/>
          <w:sz w:val="24"/>
          <w:szCs w:val="24"/>
          <w:lang w:eastAsia="zh-CN" w:bidi="ar"/>
        </w:rPr>
        <w:t>Digestion of the samples was carried out using the Environmental Protection Agency method. 0.1g of each dust sample was weigh</w:t>
      </w:r>
      <w:r>
        <w:rPr>
          <w:rFonts w:hint="default" w:ascii="Times New Roman" w:hAnsi="Times New Roman" w:cs="Times New Roman"/>
          <w:color w:val="000000"/>
          <w:sz w:val="24"/>
          <w:szCs w:val="24"/>
          <w:lang w:val="en-US" w:eastAsia="zh-CN" w:bidi="ar"/>
        </w:rPr>
        <w:t>ed</w:t>
      </w:r>
      <w:r>
        <w:rPr>
          <w:rFonts w:hint="default" w:ascii="Times New Roman" w:hAnsi="Times New Roman" w:cs="Times New Roman"/>
          <w:color w:val="000000"/>
          <w:sz w:val="24"/>
          <w:szCs w:val="24"/>
          <w:lang w:eastAsia="zh-CN" w:bidi="ar"/>
        </w:rPr>
        <w:t xml:space="preserve"> using an analytical balance, and transferred to 100ml glass beaker to which 15ml of concentrated nitric acid (HNO3) was added for digestion. The digestion beakers were kept on a hot plate (C-MAG HP 10, IKA, Germany) for 20 to 30 minutes at 300°C under an operated fume-hood until the digested stopped producing brown fumes, indicating complete digestion. After cooling down to room temperature, the samples were diluted with 100ml deionized water and filtered through filter papers (What’s man number 41, ashless grade, Diameter 150 mm, UK). The concentrations of the heavy metals in the final solutions were analyzed using inductively coupled plasma optical emission spectroscopy (ICP-OES).  </w:t>
      </w:r>
    </w:p>
    <w:p w14:paraId="183C840C">
      <w:pPr>
        <w:pStyle w:val="3"/>
        <w:numPr>
          <w:ilvl w:val="0"/>
          <w:numId w:val="0"/>
        </w:numPr>
        <w:tabs>
          <w:tab w:val="left" w:pos="742"/>
        </w:tabs>
        <w:spacing w:before="79" w:after="0" w:line="240" w:lineRule="auto"/>
        <w:ind w:left="23" w:leftChars="0" w:right="0" w:rightChars="0"/>
        <w:jc w:val="both"/>
        <w:rPr>
          <w:rFonts w:hint="default" w:ascii="Times New Roman" w:hAnsi="Times New Roman" w:cs="Times New Roman"/>
        </w:rPr>
      </w:pPr>
      <w:r>
        <w:rPr>
          <w:rFonts w:hint="default" w:cs="Times New Roman"/>
          <w:lang w:val="en-US"/>
        </w:rPr>
        <w:t>1.9</w:t>
      </w:r>
      <w:r>
        <w:rPr>
          <w:rFonts w:hint="default" w:ascii="Times New Roman" w:hAnsi="Times New Roman" w:cs="Times New Roman"/>
          <w:lang w:val="en-US"/>
        </w:rPr>
        <w:t xml:space="preserve"> </w:t>
      </w:r>
      <w:r>
        <w:rPr>
          <w:rFonts w:hint="default" w:ascii="Times New Roman" w:hAnsi="Times New Roman" w:cs="Times New Roman"/>
        </w:rPr>
        <w:t xml:space="preserve">Quality </w:t>
      </w:r>
      <w:r>
        <w:rPr>
          <w:rFonts w:hint="default" w:ascii="Times New Roman" w:hAnsi="Times New Roman" w:cs="Times New Roman"/>
          <w:spacing w:val="-2"/>
        </w:rPr>
        <w:t>Assurance</w:t>
      </w:r>
    </w:p>
    <w:p w14:paraId="66EBC3F9">
      <w:pPr>
        <w:spacing w:line="480" w:lineRule="auto"/>
        <w:ind w:right="540"/>
        <w:jc w:val="both"/>
        <w:rPr>
          <w:rFonts w:hint="default" w:ascii="Times New Roman" w:hAnsi="Times New Roman" w:cs="Times New Roman"/>
          <w:sz w:val="24"/>
          <w:szCs w:val="24"/>
        </w:rPr>
      </w:pPr>
      <w:r>
        <w:rPr>
          <w:rFonts w:hint="default" w:ascii="Times New Roman" w:hAnsi="Times New Roman" w:cs="Times New Roman"/>
          <w:color w:val="000000"/>
          <w:sz w:val="24"/>
          <w:szCs w:val="24"/>
        </w:rPr>
        <w:t>Steps were taken to improve the quality control and assurance</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the use of multi elemental control which was added with most of the ICP-OES analysis to evaluate the machines performance and to further improve the instrumental progress, also internal standards and replicates were used for both instruments. Multiple samples were also prepared to minimize human error. For equipment and chemicals, glassware was avoided</w:t>
      </w:r>
      <w:r>
        <w:rPr>
          <w:rFonts w:hint="default" w:ascii="Times New Roman" w:hAnsi="Times New Roman" w:cs="Times New Roman"/>
          <w:color w:val="000000"/>
          <w:sz w:val="24"/>
          <w:szCs w:val="24"/>
          <w:lang w:val="en-US"/>
        </w:rPr>
        <w:t xml:space="preserve"> in order</w:t>
      </w:r>
      <w:r>
        <w:rPr>
          <w:rFonts w:hint="default" w:ascii="Times New Roman" w:hAnsi="Times New Roman" w:cs="Times New Roman"/>
          <w:color w:val="000000"/>
          <w:sz w:val="24"/>
          <w:szCs w:val="24"/>
        </w:rPr>
        <w:t xml:space="preserve"> to avoid the adsorption of metals that occurs in glassware and the samples were only kept in polypropylene-tubes. Care was taken to sufficiently clean the chemicals and other equipment's as indicated by Yap </w:t>
      </w:r>
      <w:r>
        <w:rPr>
          <w:rFonts w:hint="default" w:ascii="Times New Roman" w:hAnsi="Times New Roman" w:cs="Times New Roman"/>
          <w:i/>
          <w:color w:val="000000"/>
          <w:sz w:val="24"/>
          <w:szCs w:val="24"/>
        </w:rPr>
        <w:t>et al</w:t>
      </w:r>
      <w:r>
        <w:rPr>
          <w:rFonts w:hint="default" w:ascii="Times New Roman" w:hAnsi="Times New Roman" w:cs="Times New Roman"/>
          <w:color w:val="000000"/>
          <w:sz w:val="24"/>
          <w:szCs w:val="24"/>
        </w:rPr>
        <w:t xml:space="preserve"> (2017). </w:t>
      </w:r>
    </w:p>
    <w:p w14:paraId="6A502F41">
      <w:pPr>
        <w:pStyle w:val="2"/>
        <w:tabs>
          <w:tab w:val="left" w:pos="1021"/>
        </w:tabs>
        <w:spacing w:line="360" w:lineRule="auto"/>
        <w:ind w:left="199" w:leftChars="-22" w:right="540" w:hanging="247" w:hangingChars="103"/>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rPr>
        <w:t xml:space="preserve">1.10 </w:t>
      </w:r>
      <w:r>
        <w:rPr>
          <w:rFonts w:hint="default" w:ascii="Times New Roman" w:hAnsi="Times New Roman" w:cs="Times New Roman"/>
          <w:b/>
          <w:bCs/>
          <w:color w:val="auto"/>
          <w:sz w:val="24"/>
          <w:szCs w:val="24"/>
        </w:rPr>
        <w:t xml:space="preserve"> Laboratory Analysis of Chemical Parameters</w:t>
      </w:r>
    </w:p>
    <w:p w14:paraId="0007D562">
      <w:pPr>
        <w:pStyle w:val="13"/>
        <w:spacing w:line="480" w:lineRule="auto"/>
        <w:ind w:right="540"/>
        <w:jc w:val="both"/>
        <w:rPr>
          <w:rFonts w:hint="default" w:ascii="Times New Roman" w:hAnsi="Times New Roman" w:cs="Times New Roman"/>
        </w:rPr>
      </w:pPr>
      <w:bookmarkStart w:id="5" w:name="_bookmark68"/>
      <w:bookmarkEnd w:id="5"/>
      <w:r>
        <w:rPr>
          <w:rFonts w:hint="default" w:ascii="Times New Roman" w:hAnsi="Times New Roman" w:cs="Times New Roman"/>
        </w:rPr>
        <w:t xml:space="preserve">The filtrates were analyzed for the following heavy metals; Al, As, Cd, Co, Cr, Cu, Fe, Hg, Mg, Mn, Ni, Pb, Sn, V and Zn </w:t>
      </w:r>
      <w:r>
        <w:rPr>
          <w:rFonts w:hint="default" w:ascii="Times New Roman" w:hAnsi="Times New Roman" w:cs="Times New Roman"/>
          <w:color w:val="000000"/>
          <w:lang w:eastAsia="zh-CN" w:bidi="ar"/>
        </w:rPr>
        <w:t>using inductively coupled plasma optical emission spectroscopy (ICP-OES).</w:t>
      </w:r>
      <w:r>
        <w:rPr>
          <w:rFonts w:hint="default" w:ascii="Times New Roman" w:hAnsi="Times New Roman" w:cs="Times New Roman"/>
        </w:rPr>
        <w:t xml:space="preserve"> The instrument setting and operational conditions were carried out in accordance with the manufacturer’s specifications.</w:t>
      </w:r>
    </w:p>
    <w:p w14:paraId="7CCDAE0A">
      <w:pPr>
        <w:pStyle w:val="3"/>
        <w:spacing w:line="480" w:lineRule="auto"/>
        <w:rPr>
          <w:rFonts w:hint="default" w:ascii="Times New Roman" w:hAnsi="Times New Roman" w:cs="Times New Roman"/>
          <w:sz w:val="27"/>
          <w:szCs w:val="27"/>
        </w:rPr>
      </w:pPr>
      <w:r>
        <w:rPr>
          <w:rFonts w:hint="default" w:cs="Times New Roman"/>
          <w:lang w:val="en-US"/>
        </w:rPr>
        <w:t>1.11</w:t>
      </w:r>
      <w:r>
        <w:rPr>
          <w:rFonts w:hint="default" w:ascii="Times New Roman" w:hAnsi="Times New Roman" w:cs="Times New Roman"/>
        </w:rPr>
        <w:t xml:space="preserve"> Sampling Strategy and Sample Collection</w:t>
      </w:r>
    </w:p>
    <w:p w14:paraId="799AA14D">
      <w:pPr>
        <w:pStyle w:val="19"/>
        <w:spacing w:before="0" w:beforeAutospacing="0" w:line="480" w:lineRule="auto"/>
        <w:jc w:val="both"/>
        <w:rPr>
          <w:rFonts w:hint="default" w:ascii="Times New Roman" w:hAnsi="Times New Roman" w:cs="Times New Roman"/>
        </w:rPr>
      </w:pPr>
      <w:r>
        <w:rPr>
          <w:rFonts w:hint="default" w:ascii="Times New Roman" w:hAnsi="Times New Roman" w:cs="Times New Roman"/>
        </w:rPr>
        <w:t xml:space="preserve">A systematic transect sampling technique was adopted. </w:t>
      </w:r>
      <w:r>
        <w:rPr>
          <w:rStyle w:val="20"/>
          <w:rFonts w:hint="default" w:ascii="Times New Roman" w:hAnsi="Times New Roman" w:cs="Times New Roman" w:eastAsiaTheme="majorEastAsia"/>
          <w:b w:val="0"/>
          <w:bCs w:val="0"/>
        </w:rPr>
        <w:t>Ten (10) sampling points per road</w:t>
      </w:r>
      <w:r>
        <w:rPr>
          <w:rFonts w:hint="default" w:ascii="Times New Roman" w:hAnsi="Times New Roman" w:cs="Times New Roman"/>
        </w:rPr>
        <w:t xml:space="preserve"> were selected at </w:t>
      </w:r>
      <w:r>
        <w:rPr>
          <w:rStyle w:val="20"/>
          <w:rFonts w:hint="default" w:ascii="Times New Roman" w:hAnsi="Times New Roman" w:cs="Times New Roman" w:eastAsiaTheme="majorEastAsia"/>
          <w:b w:val="0"/>
          <w:bCs w:val="0"/>
        </w:rPr>
        <w:t>100–150 m intervals</w:t>
      </w:r>
      <w:r>
        <w:rPr>
          <w:rFonts w:hint="default" w:ascii="Times New Roman" w:hAnsi="Times New Roman" w:cs="Times New Roman"/>
        </w:rPr>
        <w:t xml:space="preserve">, resulting in a total of </w:t>
      </w:r>
      <w:r>
        <w:rPr>
          <w:rStyle w:val="20"/>
          <w:rFonts w:hint="default" w:ascii="Times New Roman" w:hAnsi="Times New Roman" w:cs="Times New Roman" w:eastAsiaTheme="majorEastAsia"/>
          <w:b w:val="0"/>
          <w:bCs w:val="0"/>
        </w:rPr>
        <w:t>50 samples</w:t>
      </w:r>
      <w:r>
        <w:rPr>
          <w:rFonts w:hint="default" w:ascii="Times New Roman" w:hAnsi="Times New Roman" w:cs="Times New Roman"/>
        </w:rPr>
        <w:t xml:space="preserve">. Road dust samples were collected during the dry season to minimize rainfall interference. A soft plastic brush and stainless-steel dustpan were used to sweep dust from the road shoulder (within 1 m from pavement edge). Approximately </w:t>
      </w:r>
      <w:r>
        <w:rPr>
          <w:rStyle w:val="20"/>
          <w:rFonts w:hint="default" w:ascii="Times New Roman" w:hAnsi="Times New Roman" w:cs="Times New Roman" w:eastAsiaTheme="majorEastAsia"/>
          <w:b w:val="0"/>
          <w:bCs w:val="0"/>
        </w:rPr>
        <w:t>200–250 g</w:t>
      </w:r>
      <w:r>
        <w:rPr>
          <w:rFonts w:hint="default" w:ascii="Times New Roman" w:hAnsi="Times New Roman" w:cs="Times New Roman"/>
        </w:rPr>
        <w:t xml:space="preserve"> of surface dust (≤ 2 mm particle size) was collected from each location. Samples were transferred into pre-labelled polyethylene bags, sealed, and transported to the laboratory under ice-box conditions at 4°C to minimize contamination and chemical alteration. Samples were sieved at &lt;75 µm, the respirable fraction most relevant for human exposure (USEPA, 2020).</w:t>
      </w:r>
    </w:p>
    <w:p w14:paraId="5AD751B7">
      <w:pPr>
        <w:pStyle w:val="3"/>
        <w:spacing w:line="480" w:lineRule="auto"/>
        <w:rPr>
          <w:rFonts w:hint="default" w:ascii="Times New Roman" w:hAnsi="Times New Roman" w:cs="Times New Roman"/>
        </w:rPr>
      </w:pPr>
      <w:r>
        <w:rPr>
          <w:rStyle w:val="20"/>
          <w:rFonts w:hint="default" w:cs="Times New Roman" w:eastAsiaTheme="majorEastAsia"/>
          <w:b/>
          <w:bCs/>
          <w:lang w:val="en-US"/>
        </w:rPr>
        <w:t>1.12</w:t>
      </w:r>
      <w:r>
        <w:rPr>
          <w:rStyle w:val="20"/>
          <w:rFonts w:hint="default" w:ascii="Times New Roman" w:hAnsi="Times New Roman" w:cs="Times New Roman" w:eastAsiaTheme="majorEastAsia"/>
          <w:b/>
          <w:bCs/>
        </w:rPr>
        <w:t xml:space="preserve"> Sample Preparation and Digestion</w:t>
      </w:r>
    </w:p>
    <w:p w14:paraId="01EAB2B6">
      <w:pPr>
        <w:pStyle w:val="19"/>
        <w:spacing w:before="0" w:beforeAutospacing="0" w:line="480" w:lineRule="auto"/>
        <w:jc w:val="both"/>
        <w:rPr>
          <w:rFonts w:hint="default" w:ascii="Times New Roman" w:hAnsi="Times New Roman" w:cs="Times New Roman"/>
        </w:rPr>
      </w:pPr>
      <w:r>
        <w:rPr>
          <w:rFonts w:hint="default" w:ascii="Times New Roman" w:hAnsi="Times New Roman" w:cs="Times New Roman"/>
        </w:rPr>
        <w:t xml:space="preserve">Samples were air-dried at room temperature for 48 hours to remove moisture; oven drying was done at </w:t>
      </w:r>
      <w:r>
        <w:rPr>
          <w:rStyle w:val="20"/>
          <w:rFonts w:hint="default" w:ascii="Times New Roman" w:hAnsi="Times New Roman" w:cs="Times New Roman" w:eastAsiaTheme="majorEastAsia"/>
          <w:b w:val="0"/>
          <w:bCs w:val="0"/>
        </w:rPr>
        <w:t>105°C for 2 hours</w:t>
      </w:r>
      <w:r>
        <w:rPr>
          <w:rFonts w:hint="default" w:ascii="Times New Roman" w:hAnsi="Times New Roman" w:cs="Times New Roman"/>
        </w:rPr>
        <w:t xml:space="preserve">. The dried samples were sieved using a </w:t>
      </w:r>
      <w:r>
        <w:rPr>
          <w:rStyle w:val="20"/>
          <w:rFonts w:hint="default" w:ascii="Times New Roman" w:hAnsi="Times New Roman" w:cs="Times New Roman" w:eastAsiaTheme="majorEastAsia"/>
          <w:b w:val="0"/>
          <w:bCs w:val="0"/>
        </w:rPr>
        <w:t>250 µm stainless-steel mesh</w:t>
      </w:r>
      <w:r>
        <w:rPr>
          <w:rFonts w:hint="default" w:ascii="Times New Roman" w:hAnsi="Times New Roman" w:cs="Times New Roman"/>
        </w:rPr>
        <w:t xml:space="preserve">, targeting respirable fractions most associated with human exposure. </w:t>
      </w:r>
      <w:r>
        <w:rPr>
          <w:rStyle w:val="20"/>
          <w:rFonts w:hint="default" w:ascii="Times New Roman" w:hAnsi="Times New Roman" w:cs="Times New Roman" w:eastAsiaTheme="majorEastAsia"/>
          <w:b w:val="0"/>
          <w:bCs w:val="0"/>
        </w:rPr>
        <w:t>Acid Digestion Procedure (EPA 3050B) was adopted a</w:t>
      </w:r>
      <w:r>
        <w:rPr>
          <w:rStyle w:val="20"/>
          <w:rFonts w:hint="default" w:ascii="Times New Roman" w:hAnsi="Times New Roman" w:cs="Times New Roman" w:eastAsiaTheme="majorEastAsia"/>
        </w:rPr>
        <w:t xml:space="preserve">s </w:t>
      </w:r>
      <w:r>
        <w:rPr>
          <w:rFonts w:hint="default" w:ascii="Times New Roman" w:hAnsi="Times New Roman" w:cs="Times New Roman"/>
        </w:rPr>
        <w:t>1.0 g of sieved dust was weighed into a digestion vessel. About 10 mL of HNO</w:t>
      </w:r>
      <w:r>
        <w:rPr>
          <w:rFonts w:hint="default" w:ascii="Times New Roman" w:hAnsi="Times New Roman" w:cs="Times New Roman"/>
          <w:vertAlign w:val="subscript"/>
        </w:rPr>
        <w:t>3</w:t>
      </w:r>
      <w:r>
        <w:rPr>
          <w:rFonts w:hint="default" w:ascii="Times New Roman" w:hAnsi="Times New Roman" w:cs="Times New Roman"/>
        </w:rPr>
        <w:t xml:space="preserve"> (65%) was added and heated at </w:t>
      </w:r>
      <w:r>
        <w:rPr>
          <w:rStyle w:val="20"/>
          <w:rFonts w:hint="default" w:ascii="Times New Roman" w:hAnsi="Times New Roman" w:cs="Times New Roman" w:eastAsiaTheme="majorEastAsia"/>
          <w:b w:val="0"/>
          <w:bCs w:val="0"/>
        </w:rPr>
        <w:t>95°C for 1 hour</w:t>
      </w:r>
      <w:r>
        <w:rPr>
          <w:rFonts w:hint="default" w:ascii="Times New Roman" w:hAnsi="Times New Roman" w:cs="Times New Roman"/>
        </w:rPr>
        <w:t>, while 5 mL of HClO</w:t>
      </w:r>
      <w:r>
        <w:rPr>
          <w:rFonts w:hint="default" w:ascii="Times New Roman" w:hAnsi="Times New Roman" w:cs="Times New Roman"/>
          <w:vertAlign w:val="subscript"/>
        </w:rPr>
        <w:t>4</w:t>
      </w:r>
      <w:r>
        <w:rPr>
          <w:rFonts w:hint="default" w:ascii="Times New Roman" w:hAnsi="Times New Roman" w:cs="Times New Roman"/>
        </w:rPr>
        <w:t xml:space="preserve"> and 2 mL of H₂SO</w:t>
      </w:r>
      <w:r>
        <w:rPr>
          <w:rFonts w:hint="default" w:ascii="Times New Roman" w:hAnsi="Times New Roman" w:cs="Times New Roman"/>
          <w:vertAlign w:val="subscript"/>
        </w:rPr>
        <w:t>4</w:t>
      </w:r>
      <w:r>
        <w:rPr>
          <w:rFonts w:hint="default" w:ascii="Times New Roman" w:hAnsi="Times New Roman" w:cs="Times New Roman"/>
        </w:rPr>
        <w:t xml:space="preserve"> were added sequentially. After evaporation to near dryness, residues were diluted with deionized water to 50 mL. A procedural blank and duplicate were included after every batch of ten samples.</w:t>
      </w:r>
    </w:p>
    <w:p w14:paraId="3C2B07ED">
      <w:pPr>
        <w:pStyle w:val="3"/>
        <w:spacing w:line="480" w:lineRule="auto"/>
      </w:pPr>
      <w:r>
        <w:rPr>
          <w:rFonts w:hint="default"/>
          <w:lang w:val="en-US"/>
        </w:rPr>
        <w:t xml:space="preserve">2.1 </w:t>
      </w:r>
      <w:r>
        <w:t xml:space="preserve"> Metal Analysis</w:t>
      </w:r>
    </w:p>
    <w:p w14:paraId="33A73394">
      <w:pPr>
        <w:spacing w:after="100" w:afterAutospacing="1" w:line="480" w:lineRule="auto"/>
        <w:jc w:val="both"/>
        <w:rPr>
          <w:rFonts w:ascii="Times New Roman" w:hAnsi="Times New Roman" w:cs="Times New Roman"/>
          <w:sz w:val="24"/>
          <w:szCs w:val="24"/>
        </w:rPr>
      </w:pPr>
      <w:r>
        <w:rPr>
          <w:rFonts w:ascii="Times New Roman" w:hAnsi="Times New Roman" w:eastAsia="Times New Roman" w:cs="Times New Roman"/>
          <w:kern w:val="0"/>
          <w:sz w:val="24"/>
          <w:szCs w:val="24"/>
          <w:lang w:val="zh-CN" w:eastAsia="zh-CN"/>
          <w14:ligatures w14:val="none"/>
        </w:rPr>
        <w:t>Samples were digested using aqua regia (HCl:HNO</w:t>
      </w:r>
      <w:r>
        <w:rPr>
          <w:rFonts w:ascii="Times New Roman" w:hAnsi="Times New Roman" w:eastAsia="Times New Roman" w:cs="Times New Roman"/>
          <w:kern w:val="0"/>
          <w:sz w:val="24"/>
          <w:szCs w:val="24"/>
          <w:vertAlign w:val="subscript"/>
          <w:lang w:val="zh-CN" w:eastAsia="zh-CN"/>
          <w14:ligatures w14:val="none"/>
        </w:rPr>
        <w:t>3</w:t>
      </w:r>
      <w:r>
        <w:rPr>
          <w:rFonts w:ascii="Times New Roman" w:hAnsi="Times New Roman" w:eastAsia="Times New Roman" w:cs="Times New Roman"/>
          <w:kern w:val="0"/>
          <w:sz w:val="24"/>
          <w:szCs w:val="24"/>
          <w:lang w:val="zh-CN" w:eastAsia="zh-CN"/>
          <w14:ligatures w14:val="none"/>
        </w:rPr>
        <w:t xml:space="preserve">, 3:1) and analyzed by Atomic Absorption Spectrophotometer (AAS) </w:t>
      </w:r>
      <w:r>
        <w:rPr>
          <w:rFonts w:ascii="Times New Roman" w:hAnsi="Times New Roman" w:cs="Times New Roman"/>
          <w:sz w:val="24"/>
          <w:szCs w:val="24"/>
        </w:rPr>
        <w:t>(Model: Buck Scientific 210 VGP)</w:t>
      </w:r>
      <w:r>
        <w:rPr>
          <w:rFonts w:ascii="Times New Roman" w:hAnsi="Times New Roman" w:eastAsia="Times New Roman" w:cs="Times New Roman"/>
          <w:kern w:val="0"/>
          <w:sz w:val="24"/>
          <w:szCs w:val="24"/>
          <w:lang w:val="zh-CN" w:eastAsia="zh-CN"/>
          <w14:ligatures w14:val="none"/>
        </w:rPr>
        <w:t xml:space="preserve"> for 15 metals: Al, As, Cd, Co, Cr, Cu, Fe, Hg, Mg, Mn, Ni, Pb, Sn, V, Zn. </w:t>
      </w:r>
      <w:r>
        <w:rPr>
          <w:rFonts w:ascii="Times New Roman" w:hAnsi="Times New Roman" w:cs="Times New Roman"/>
          <w:sz w:val="24"/>
          <w:szCs w:val="24"/>
        </w:rPr>
        <w:t xml:space="preserve">Calibration curves (R² ≥ 0.995) were prepared using certified metal standards (Sigma-Aldrich, USA). </w:t>
      </w:r>
      <w:r>
        <w:rPr>
          <w:rFonts w:ascii="Times New Roman" w:hAnsi="Times New Roman" w:eastAsia="Times New Roman" w:cs="Times New Roman"/>
          <w:kern w:val="0"/>
          <w:sz w:val="24"/>
          <w:szCs w:val="24"/>
          <w:lang w:val="zh-CN" w:eastAsia="zh-CN"/>
          <w14:ligatures w14:val="none"/>
        </w:rPr>
        <w:t>Quality assurance included reagent blanks, calibration curves, duplicates, and certified reference material checks.</w:t>
      </w:r>
      <w:r>
        <w:rPr>
          <w:rFonts w:ascii="Times New Roman" w:hAnsi="Times New Roman" w:cs="Times New Roman"/>
          <w:sz w:val="24"/>
          <w:szCs w:val="24"/>
        </w:rPr>
        <w:t xml:space="preserve"> Instrument drift correction was performed every 10 samples while glassware were acid-washed (10%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to prevent contamination. Recovery range for QA/QC acceptance was between </w:t>
      </w:r>
      <w:r>
        <w:rPr>
          <w:rStyle w:val="20"/>
          <w:rFonts w:ascii="Times New Roman" w:hAnsi="Times New Roman" w:cs="Times New Roman"/>
          <w:b w:val="0"/>
          <w:bCs w:val="0"/>
          <w:sz w:val="24"/>
          <w:szCs w:val="24"/>
        </w:rPr>
        <w:t>80–120%</w:t>
      </w:r>
      <w:r>
        <w:rPr>
          <w:rFonts w:ascii="Times New Roman" w:hAnsi="Times New Roman" w:cs="Times New Roman"/>
          <w:sz w:val="24"/>
          <w:szCs w:val="24"/>
        </w:rPr>
        <w:t>.</w:t>
      </w:r>
    </w:p>
    <w:p w14:paraId="623F6AFB">
      <w:pPr>
        <w:pStyle w:val="3"/>
        <w:spacing w:line="480" w:lineRule="auto"/>
      </w:pPr>
      <w:r>
        <w:t>2</w:t>
      </w:r>
      <w:r>
        <w:rPr>
          <w:rFonts w:hint="default"/>
          <w:lang w:val="en-US"/>
        </w:rPr>
        <w:t xml:space="preserve">.2 </w:t>
      </w:r>
      <w:r>
        <w:t>Contamination Indices</w:t>
      </w:r>
    </w:p>
    <w:p w14:paraId="121E9FF0">
      <w:pPr>
        <w:pStyle w:val="19"/>
        <w:spacing w:before="0" w:beforeAutospacing="0" w:line="480" w:lineRule="auto"/>
        <w:jc w:val="both"/>
      </w:pPr>
      <w:r>
        <w:t xml:space="preserve">To evaluate the extent of heavy metal pollution in road dust across the study area, quantitative contamination indices were applied. These indices enabled the assessment of metal enrichment levels, spatial pollution gradients, and the contribution of anthropogenic activities. Five major indices were computed: </w:t>
      </w:r>
      <w:r>
        <w:rPr>
          <w:rStyle w:val="20"/>
          <w:rFonts w:eastAsiaTheme="majorEastAsia"/>
          <w:b w:val="0"/>
          <w:bCs w:val="0"/>
        </w:rPr>
        <w:t>Contamination Factor (CF), Geo-accumulation Index (Igeo), Enrichment Factor (EF), Pollution Load Index (PLI), and Metal Pollution Index (MPI).</w:t>
      </w:r>
      <w:r>
        <w:rPr>
          <w:b/>
          <w:bCs/>
        </w:rPr>
        <w:t xml:space="preserve"> </w:t>
      </w:r>
      <w:r>
        <w:t xml:space="preserve">All calculations were performed using Microsoft Excel 2019 and SPSS v26. Background reference values were obtained from </w:t>
      </w:r>
      <w:r>
        <w:rPr>
          <w:rStyle w:val="20"/>
          <w:rFonts w:eastAsiaTheme="majorEastAsia"/>
          <w:b w:val="0"/>
          <w:bCs w:val="0"/>
        </w:rPr>
        <w:t>NESREA (2016)</w:t>
      </w:r>
      <w:r>
        <w:t xml:space="preserve"> regulatory soil thresholds and verified using control samples collected from non-traffic reference sites located ≥500 m away from road corridors.</w:t>
      </w:r>
    </w:p>
    <w:p w14:paraId="4F977C4D">
      <w:pPr>
        <w:pStyle w:val="3"/>
        <w:spacing w:line="360" w:lineRule="auto"/>
      </w:pPr>
      <w:r>
        <w:rPr>
          <w:rStyle w:val="20"/>
          <w:rFonts w:eastAsiaTheme="majorEastAsia"/>
          <w:b/>
          <w:bCs/>
        </w:rPr>
        <w:t>2.</w:t>
      </w:r>
      <w:r>
        <w:rPr>
          <w:rStyle w:val="20"/>
          <w:rFonts w:hint="default" w:eastAsiaTheme="majorEastAsia"/>
          <w:b/>
          <w:bCs/>
          <w:lang w:val="en-US"/>
        </w:rPr>
        <w:t>3</w:t>
      </w:r>
      <w:r>
        <w:rPr>
          <w:rStyle w:val="20"/>
          <w:rFonts w:eastAsiaTheme="majorEastAsia"/>
          <w:b/>
          <w:bCs/>
        </w:rPr>
        <w:t xml:space="preserve"> Contamination Factor (CF)</w:t>
      </w:r>
    </w:p>
    <w:p w14:paraId="01888339">
      <w:pPr>
        <w:pStyle w:val="19"/>
        <w:spacing w:before="0" w:beforeAutospacing="0" w:line="480" w:lineRule="auto"/>
        <w:jc w:val="both"/>
      </w:pPr>
      <w:r>
        <w:t>The contamination factor measured the degree of metal accumulation relative to baseline levels and quantified the level of anthropogenic impact.</w:t>
      </w:r>
    </w:p>
    <w:p w14:paraId="53FF9E0E">
      <w:pPr>
        <w:spacing w:after="0" w:line="480" w:lineRule="auto"/>
        <w:jc w:val="both"/>
        <w:rPr>
          <w:rFonts w:ascii="Times New Roman" w:hAnsi="Times New Roman" w:cs="Times New Roman"/>
          <w:sz w:val="24"/>
          <w:szCs w:val="24"/>
        </w:rPr>
      </w:pPr>
      <m:oMathPara>
        <m:oMath>
          <m:r>
            <m:rPr/>
            <w:rPr>
              <w:rFonts w:ascii="Cambria Math" w:hAnsi="Cambria Math"/>
            </w:rPr>
            <m:t>CF=</m:t>
          </m:r>
          <m:f>
            <m:fPr>
              <m:ctrlPr>
                <w:rPr>
                  <w:rFonts w:ascii="Cambria Math" w:hAnsi="Cambria Math"/>
                </w:rPr>
              </m:ctrlPr>
            </m:fPr>
            <m:num>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metal</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background</m:t>
                  </m:r>
                  <m:ctrlPr>
                    <w:rPr>
                      <w:rFonts w:ascii="Cambria Math" w:hAnsi="Cambria Math"/>
                    </w:rPr>
                  </m:ctrlPr>
                </m:sub>
              </m:sSub>
              <m:ctrlPr>
                <w:rPr>
                  <w:rFonts w:ascii="Cambria Math" w:hAnsi="Cambria Math"/>
                </w:rPr>
              </m:ctrlPr>
            </m:den>
          </m:f>
          <m:r>
            <m:rPr>
              <m:sty m:val="p"/>
            </m:rPr>
            <w:rPr>
              <w:rFonts w:ascii="Cambria Math" w:hAnsi="Cambria Math"/>
            </w:rPr>
            <w:br w:type="textWrapping"/>
          </m:r>
        </m:oMath>
      </m:oMathPara>
      <w:r>
        <w:rPr>
          <w:rFonts w:ascii="Times New Roman" w:hAnsi="Times New Roman" w:cs="Times New Roman"/>
          <w:sz w:val="24"/>
          <w:szCs w:val="24"/>
        </w:rPr>
        <w:t>Where:</w:t>
      </w:r>
      <w:r>
        <w:rPr>
          <w:rFonts w:ascii="Times New Roman" w:hAnsi="Times New Roman" w:cs="Times New Roman"/>
          <w:sz w:val="24"/>
          <w:szCs w:val="24"/>
        </w:rPr>
        <w:br w:type="textWrapping"/>
      </w:r>
      <w:r>
        <w:rPr>
          <w:rStyle w:val="15"/>
          <w:rFonts w:ascii="Times New Roman" w:hAnsi="Times New Roman" w:cs="Times New Roman"/>
          <w:sz w:val="24"/>
          <w:szCs w:val="24"/>
        </w:rPr>
        <w:t>CF</w:t>
      </w:r>
      <w:r>
        <w:rPr>
          <w:rFonts w:ascii="Times New Roman" w:hAnsi="Times New Roman" w:cs="Times New Roman"/>
          <w:sz w:val="24"/>
          <w:szCs w:val="24"/>
        </w:rPr>
        <w:t xml:space="preserve"> = Contamination Factor</w:t>
      </w:r>
    </w:p>
    <w:p w14:paraId="0CE71C93">
      <w:pPr>
        <w:spacing w:after="0" w:line="480" w:lineRule="auto"/>
        <w:jc w:val="both"/>
        <w:rPr>
          <w:rFonts w:ascii="Times New Roman" w:hAnsi="Times New Roman" w:cs="Times New Roman"/>
          <w:sz w:val="24"/>
          <w:szCs w:val="24"/>
        </w:rPr>
      </w:pPr>
      <w:r>
        <w:rPr>
          <w:rStyle w:val="15"/>
          <w:rFonts w:ascii="Times New Roman" w:hAnsi="Times New Roman" w:cs="Times New Roman"/>
          <w:sz w:val="24"/>
          <w:szCs w:val="24"/>
        </w:rPr>
        <w:t>C</w:t>
      </w:r>
      <w:r>
        <w:rPr>
          <w:rStyle w:val="15"/>
          <w:rFonts w:ascii="Times New Roman" w:hAnsi="Times New Roman" w:cs="Times New Roman"/>
          <w:sz w:val="24"/>
          <w:szCs w:val="24"/>
          <w:vertAlign w:val="subscript"/>
        </w:rPr>
        <w:t>metal</w:t>
      </w:r>
      <w:r>
        <w:rPr>
          <w:rFonts w:ascii="Times New Roman" w:hAnsi="Times New Roman" w:cs="Times New Roman"/>
          <w:sz w:val="24"/>
          <w:szCs w:val="24"/>
        </w:rPr>
        <w:t xml:space="preserve"> = Metal concentration in sampled road dust (mg/kg)</w:t>
      </w:r>
    </w:p>
    <w:p w14:paraId="51EE08DE">
      <w:pPr>
        <w:spacing w:line="480" w:lineRule="auto"/>
        <w:jc w:val="both"/>
        <w:rPr>
          <w:rFonts w:ascii="Times New Roman" w:hAnsi="Times New Roman" w:cs="Times New Roman"/>
          <w:sz w:val="24"/>
          <w:szCs w:val="24"/>
        </w:rPr>
      </w:pPr>
      <w:r>
        <w:rPr>
          <w:rStyle w:val="15"/>
          <w:rFonts w:ascii="Times New Roman" w:hAnsi="Times New Roman" w:cs="Times New Roman"/>
          <w:sz w:val="24"/>
          <w:szCs w:val="24"/>
        </w:rPr>
        <w:t>C</w:t>
      </w:r>
      <w:r>
        <w:rPr>
          <w:rStyle w:val="15"/>
          <w:rFonts w:ascii="Times New Roman" w:hAnsi="Times New Roman" w:cs="Times New Roman"/>
          <w:sz w:val="24"/>
          <w:szCs w:val="24"/>
          <w:vertAlign w:val="subscript"/>
        </w:rPr>
        <w:t>background</w:t>
      </w:r>
      <w:r>
        <w:rPr>
          <w:rFonts w:ascii="Times New Roman" w:hAnsi="Times New Roman" w:cs="Times New Roman"/>
          <w:sz w:val="24"/>
          <w:szCs w:val="24"/>
        </w:rPr>
        <w:t xml:space="preserve"> = Background/control concentration or NESREA reference value</w:t>
      </w:r>
    </w:p>
    <w:p w14:paraId="7300D23F">
      <w:pPr>
        <w:pStyle w:val="19"/>
        <w:spacing w:before="0" w:beforeAutospacing="0" w:line="480" w:lineRule="auto"/>
        <w:jc w:val="both"/>
      </w:pPr>
      <w:r>
        <w:t>According to Hakanson (1980), Contamination Factor (CF) values are classified as follows: CF &lt; 1 indicates low contamination, 1 ≤ CF &lt; 3 indicates moderate contamination, 3 ≤ CF &lt; 6 indicates considerable contamination, a</w:t>
      </w:r>
    </w:p>
    <w:p w14:paraId="575CCE48">
      <w:pPr>
        <w:pStyle w:val="19"/>
        <w:spacing w:before="0" w:beforeAutospacing="0" w:line="480" w:lineRule="auto"/>
        <w:jc w:val="both"/>
      </w:pPr>
      <w:r>
        <w:rPr>
          <w:rFonts w:hint="default"/>
          <w:lang w:val="en-US"/>
        </w:rPr>
        <w:t>a</w:t>
      </w:r>
      <w:r>
        <w:t>nd CF ≥ 6 signifies very high contamination.</w:t>
      </w:r>
    </w:p>
    <w:p w14:paraId="1E6271C1">
      <w:pPr>
        <w:pStyle w:val="3"/>
        <w:spacing w:line="360" w:lineRule="auto"/>
      </w:pPr>
      <w:r>
        <w:rPr>
          <w:rStyle w:val="20"/>
          <w:rFonts w:eastAsiaTheme="majorEastAsia"/>
          <w:b/>
          <w:bCs/>
        </w:rPr>
        <w:t>2.</w:t>
      </w:r>
      <w:r>
        <w:rPr>
          <w:rStyle w:val="20"/>
          <w:rFonts w:hint="default" w:eastAsiaTheme="majorEastAsia"/>
          <w:b/>
          <w:bCs/>
          <w:lang w:val="en-US"/>
        </w:rPr>
        <w:t>4</w:t>
      </w:r>
      <w:r>
        <w:rPr>
          <w:rStyle w:val="20"/>
          <w:rFonts w:eastAsiaTheme="majorEastAsia"/>
          <w:b/>
          <w:bCs/>
        </w:rPr>
        <w:t xml:space="preserve"> Geo-Accumulation Index (Igeo)</w:t>
      </w:r>
    </w:p>
    <w:p w14:paraId="41B2CB89">
      <w:pPr>
        <w:pStyle w:val="19"/>
        <w:spacing w:before="0" w:beforeAutospacing="0" w:line="480" w:lineRule="auto"/>
        <w:jc w:val="both"/>
      </w:pPr>
      <w:r>
        <w:t>The Igeo was used to determine the level of contamination and classify pollution severity based on background normalization following Müller (1969).</w:t>
      </w:r>
    </w:p>
    <w:p w14:paraId="70175725">
      <w:pPr>
        <w:spacing w:after="0" w:line="480" w:lineRule="auto"/>
        <w:jc w:val="both"/>
        <w:rPr>
          <w:rFonts w:ascii="Times New Roman" w:hAnsi="Times New Roman" w:cs="Times New Roman"/>
          <w:color w:val="000000" w:themeColor="text1"/>
          <w:sz w:val="24"/>
          <w:szCs w:val="24"/>
          <w14:textFill>
            <w14:solidFill>
              <w14:schemeClr w14:val="tx1"/>
            </w14:solidFill>
          </w14:textFill>
        </w:rPr>
      </w:pPr>
      <m:oMathPara>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geo</m:t>
              </m:r>
              <m:ctrlPr>
                <w:rPr>
                  <w:rFonts w:ascii="Cambria Math" w:hAnsi="Cambria Math"/>
                </w:rPr>
              </m:ctrlPr>
            </m:sub>
          </m:sSub>
          <m:r>
            <m:rPr/>
            <w:rPr>
              <w:rFonts w:ascii="Cambria Math" w:hAnsi="Cambria Math"/>
            </w:rPr>
            <m:t>=</m:t>
          </m:r>
          <m:sSub>
            <m:sSubPr>
              <m:ctrlPr>
                <w:rPr>
                  <w:rFonts w:ascii="Cambria Math" w:hAnsi="Cambria Math"/>
                </w:rPr>
              </m:ctrlPr>
            </m:sSubPr>
            <m:e>
              <m:r>
                <m:rPr>
                  <m:sty m:val="p"/>
                </m:rPr>
                <w:rPr>
                  <w:rFonts w:ascii="Cambria Math" w:hAnsi="Cambria Math"/>
                </w:rPr>
                <m:t>log</m:t>
              </m:r>
              <m:r>
                <m:rPr/>
                <w:rPr>
                  <w:rFonts w:ascii="Cambria Math" w:hAnsi="Cambria Math"/>
                </w:rPr>
                <m:t>⁡</m:t>
              </m:r>
              <m:ctrlPr>
                <w:rPr>
                  <w:rFonts w:ascii="Cambria Math" w:hAnsi="Cambria Math"/>
                </w:rPr>
              </m:ctrlPr>
            </m:e>
            <m:sub>
              <m:r>
                <m:rPr/>
                <w:rPr>
                  <w:rFonts w:ascii="Cambria Math" w:hAnsi="Cambria Math"/>
                </w:rPr>
                <m:t>2</m:t>
              </m:r>
              <m:ctrlPr>
                <w:rPr>
                  <w:rFonts w:ascii="Cambria Math" w:hAnsi="Cambria Math"/>
                </w:rPr>
              </m:ctrlP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n</m:t>
                      </m:r>
                      <m:ctrlPr>
                        <w:rPr>
                          <w:rFonts w:ascii="Cambria Math" w:hAnsi="Cambria Math"/>
                        </w:rPr>
                      </m:ctrlPr>
                    </m:sub>
                  </m:sSub>
                  <m:ctrlPr>
                    <w:rPr>
                      <w:rFonts w:ascii="Cambria Math" w:hAnsi="Cambria Math"/>
                    </w:rPr>
                  </m:ctrlPr>
                </m:num>
                <m:den>
                  <m:r>
                    <m:rPr/>
                    <w:rPr>
                      <w:rFonts w:ascii="Cambria Math" w:hAnsi="Cambria Math"/>
                    </w:rPr>
                    <m:t>1.5</m:t>
                  </m:r>
                  <m:sSub>
                    <m:sSubPr>
                      <m:ctrlPr>
                        <w:rPr>
                          <w:rFonts w:ascii="Cambria Math" w:hAnsi="Cambria Math"/>
                        </w:rPr>
                      </m:ctrlPr>
                    </m:sSubPr>
                    <m:e>
                      <m:r>
                        <m:rPr/>
                        <w:rPr>
                          <w:rFonts w:ascii="Cambria Math" w:hAnsi="Cambria Math"/>
                        </w:rPr>
                        <m:t>B</m:t>
                      </m:r>
                      <m:ctrlPr>
                        <w:rPr>
                          <w:rFonts w:ascii="Cambria Math" w:hAnsi="Cambria Math"/>
                        </w:rPr>
                      </m:ctrlPr>
                    </m:e>
                    <m:sub>
                      <m:r>
                        <m:rPr/>
                        <w:rPr>
                          <w:rFonts w:ascii="Cambria Math" w:hAnsi="Cambria Math"/>
                        </w:rPr>
                        <m:t>n</m:t>
                      </m:r>
                      <m:ctrlPr>
                        <w:rPr>
                          <w:rFonts w:ascii="Cambria Math" w:hAnsi="Cambria Math"/>
                        </w:rPr>
                      </m:ctrlPr>
                    </m:sub>
                  </m:sSub>
                  <m:ctrlPr>
                    <w:rPr>
                      <w:rFonts w:ascii="Cambria Math" w:hAnsi="Cambria Math"/>
                    </w:rPr>
                  </m:ctrlPr>
                </m:den>
              </m:f>
              <m:ctrlPr>
                <w:rPr>
                  <w:rFonts w:ascii="Cambria Math" w:hAnsi="Cambria Math"/>
                </w:rPr>
              </m:ctrlPr>
            </m:e>
          </m:d>
          <m:r>
            <m:rPr>
              <m:sty m:val="p"/>
            </m:rPr>
            <w:rPr>
              <w:rFonts w:ascii="Cambria Math" w:hAnsi="Cambria Math"/>
            </w:rPr>
            <w:br w:type="textWrapping"/>
          </m:r>
        </m:oMath>
      </m:oMathPara>
      <w:r>
        <w:rPr>
          <w:rFonts w:ascii="Times New Roman" w:hAnsi="Times New Roman" w:cs="Times New Roman"/>
          <w:color w:val="000000" w:themeColor="text1"/>
          <w:sz w:val="24"/>
          <w:szCs w:val="24"/>
          <w14:textFill>
            <w14:solidFill>
              <w14:schemeClr w14:val="tx1"/>
            </w14:solidFill>
          </w14:textFill>
        </w:rPr>
        <w:t>Where:</w:t>
      </w:r>
      <w:r>
        <w:rPr>
          <w:rFonts w:ascii="Times New Roman" w:hAnsi="Times New Roman" w:cs="Times New Roman"/>
          <w:color w:val="000000" w:themeColor="text1"/>
          <w:sz w:val="24"/>
          <w:szCs w:val="24"/>
          <w14:textFill>
            <w14:solidFill>
              <w14:schemeClr w14:val="tx1"/>
            </w14:solidFill>
          </w14:textFill>
        </w:rPr>
        <w:br w:type="textWrapping"/>
      </w:r>
      <w:r>
        <w:rPr>
          <w:rStyle w:val="15"/>
          <w:rFonts w:ascii="Times New Roman" w:hAnsi="Times New Roman" w:cs="Times New Roman"/>
          <w:color w:val="000000" w:themeColor="text1"/>
          <w:sz w:val="24"/>
          <w:szCs w:val="24"/>
          <w14:textFill>
            <w14:solidFill>
              <w14:schemeClr w14:val="tx1"/>
            </w14:solidFill>
          </w14:textFill>
        </w:rPr>
        <w:t>Cₙ</w:t>
      </w:r>
      <w:r>
        <w:rPr>
          <w:rFonts w:ascii="Times New Roman" w:hAnsi="Times New Roman" w:cs="Times New Roman"/>
          <w:color w:val="000000" w:themeColor="text1"/>
          <w:sz w:val="24"/>
          <w:szCs w:val="24"/>
          <w14:textFill>
            <w14:solidFill>
              <w14:schemeClr w14:val="tx1"/>
            </w14:solidFill>
          </w14:textFill>
        </w:rPr>
        <w:t xml:space="preserve"> = Measured concentration of element n</w:t>
      </w:r>
    </w:p>
    <w:p w14:paraId="43F271C3">
      <w:pPr>
        <w:spacing w:after="0" w:line="480" w:lineRule="auto"/>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Bₙ</w:t>
      </w:r>
      <w:r>
        <w:rPr>
          <w:rFonts w:ascii="Times New Roman" w:hAnsi="Times New Roman" w:cs="Times New Roman"/>
          <w:color w:val="000000" w:themeColor="text1"/>
          <w:sz w:val="24"/>
          <w:szCs w:val="24"/>
          <w14:textFill>
            <w14:solidFill>
              <w14:schemeClr w14:val="tx1"/>
            </w14:solidFill>
          </w14:textFill>
        </w:rPr>
        <w:t xml:space="preserve"> = Background/reference value (control or NESREA standard)</w:t>
      </w:r>
    </w:p>
    <w:p w14:paraId="73CB5F46">
      <w:pPr>
        <w:spacing w:line="480" w:lineRule="auto"/>
        <w:jc w:val="both"/>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t xml:space="preserve"> = Background correction factor accounting for natural variability</w:t>
      </w:r>
    </w:p>
    <w:p w14:paraId="003B0C0E">
      <w:pPr>
        <w:pStyle w:val="19"/>
        <w:spacing w:before="0" w:before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According to Müller (1969), the Igeo classification scale interprets pollution levels as follows: Igeo ≤ 0 denotes unpolluted, 0–1 unpolluted to moderately polluted, 1–2 moderately polluted, 2–3 moderately to strongly polluted, 3–4 strongly polluted, 4–5 strongly to extremely polluted, and &gt;5 indicates extremely polluted conditions.</w:t>
      </w:r>
    </w:p>
    <w:p w14:paraId="744A1873">
      <w:pPr>
        <w:pStyle w:val="3"/>
        <w:spacing w:line="480" w:lineRule="auto"/>
        <w:rPr>
          <w:color w:val="000000" w:themeColor="text1"/>
          <w14:textFill>
            <w14:solidFill>
              <w14:schemeClr w14:val="tx1"/>
            </w14:solidFill>
          </w14:textFill>
        </w:rPr>
      </w:pPr>
      <w:r>
        <w:rPr>
          <w:rStyle w:val="20"/>
          <w:rFonts w:eastAsiaTheme="majorEastAsia"/>
          <w:b/>
          <w:bCs/>
          <w:color w:val="000000" w:themeColor="text1"/>
          <w14:textFill>
            <w14:solidFill>
              <w14:schemeClr w14:val="tx1"/>
            </w14:solidFill>
          </w14:textFill>
        </w:rPr>
        <w:t>2.5 Enrichment Factor (EF)</w:t>
      </w:r>
    </w:p>
    <w:p w14:paraId="5998E9CA">
      <w:pPr>
        <w:pStyle w:val="19"/>
        <w:spacing w:before="0" w:before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EF assessed the degree of anthropogenic enrichment compared to natural crustal sources. Fe was selected as the reference element due to its crustal stability and minimal anthropogenic variation.</w:t>
      </w:r>
    </w:p>
    <w:p w14:paraId="5A4DD5E7">
      <w:pPr>
        <w:spacing w:line="480" w:lineRule="auto"/>
      </w:pPr>
      <m:oMathPara>
        <m:oMath>
          <m:r>
            <m:rPr/>
            <w:rPr>
              <w:rFonts w:ascii="Cambria Math" w:hAnsi="Cambria Math"/>
            </w:rPr>
            <m:t>EF=</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metal</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Fe</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sub>
                  <m:r>
                    <m:rPr/>
                    <w:rPr>
                      <w:rFonts w:ascii="Cambria Math" w:hAnsi="Cambria Math"/>
                    </w:rPr>
                    <m:t>sample</m:t>
                  </m:r>
                  <m:ctrlPr>
                    <w:rPr>
                      <w:rFonts w:ascii="Cambria Math" w:hAnsi="Cambria Math"/>
                    </w:rPr>
                  </m:ctrlPr>
                </m:sub>
              </m:sSub>
              <m:ctrlPr>
                <w:rPr>
                  <w:rFonts w:ascii="Cambria Math" w:hAnsi="Cambria Math"/>
                </w:rPr>
              </m:ctrlPr>
            </m:num>
            <m:den>
              <m:sSub>
                <m:sSubPr>
                  <m:ctrlPr>
                    <w:rPr>
                      <w:rFonts w:ascii="Cambria Math" w:hAnsi="Cambria Math"/>
                    </w:rPr>
                  </m:ctrlPr>
                </m:sSub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metal</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Fe</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sub>
                  <m:r>
                    <m:rPr/>
                    <w:rPr>
                      <w:rFonts w:ascii="Cambria Math" w:hAnsi="Cambria Math"/>
                    </w:rPr>
                    <m:t>background</m:t>
                  </m:r>
                  <m:ctrlPr>
                    <w:rPr>
                      <w:rFonts w:ascii="Cambria Math" w:hAnsi="Cambria Math"/>
                    </w:rPr>
                  </m:ctrlPr>
                </m:sub>
              </m:sSub>
              <m:ctrlPr>
                <w:rPr>
                  <w:rFonts w:ascii="Cambria Math" w:hAnsi="Cambria Math"/>
                </w:rPr>
              </m:ctrlPr>
            </m:den>
          </m:f>
          <m:r>
            <m:rPr>
              <m:sty m:val="p"/>
            </m:rPr>
            <w:rPr>
              <w:rFonts w:ascii="Cambria Math" w:hAnsi="Cambria Math"/>
            </w:rPr>
            <w:br w:type="textWrapping"/>
          </m:r>
        </m:oMath>
      </m:oMathPara>
    </w:p>
    <w:p w14:paraId="7713F1DB">
      <w:pPr>
        <w:pStyle w:val="19"/>
        <w:spacing w:before="0" w:beforeAutospacing="0" w:line="480" w:lineRule="auto"/>
        <w:jc w:val="both"/>
      </w:pPr>
      <w:r>
        <w:t>Where Fe serves as the normalizing denominator.</w:t>
      </w:r>
    </w:p>
    <w:p w14:paraId="7E700675">
      <w:pPr>
        <w:pStyle w:val="19"/>
        <w:spacing w:before="0" w:beforeAutospacing="0" w:line="480" w:lineRule="auto"/>
        <w:jc w:val="both"/>
      </w:pPr>
      <w:r>
        <w:t>According to Sutherland (2000), EF values are interpreted as follows: EF &lt; 2 indicates deficiency to minimal enrichment from natural/geogenic sources, 2–5 reflects moderate enrichment from mixed inputs, 5–20 signifies significant anthropogenic enrichment, 20–40 denotes very high enrichment from strong anthropogenic activity, and EF &gt; 40 represents extremely high enrichment typically linked to intensive industrial or traffic-related sources.</w:t>
      </w:r>
    </w:p>
    <w:p w14:paraId="6AED8ACB">
      <w:pPr>
        <w:pStyle w:val="19"/>
        <w:spacing w:before="0" w:beforeAutospacing="0" w:line="480" w:lineRule="auto"/>
        <w:jc w:val="both"/>
      </w:pPr>
    </w:p>
    <w:p w14:paraId="2AB4ACBE">
      <w:pPr>
        <w:pStyle w:val="3"/>
        <w:spacing w:line="480" w:lineRule="auto"/>
      </w:pPr>
      <w:r>
        <w:rPr>
          <w:rStyle w:val="20"/>
          <w:rFonts w:eastAsiaTheme="majorEastAsia"/>
          <w:b/>
          <w:bCs/>
        </w:rPr>
        <w:t>2.</w:t>
      </w:r>
      <w:r>
        <w:rPr>
          <w:rStyle w:val="20"/>
          <w:rFonts w:hint="default" w:eastAsiaTheme="majorEastAsia"/>
          <w:b/>
          <w:bCs/>
          <w:lang w:val="en-US"/>
        </w:rPr>
        <w:t>6</w:t>
      </w:r>
      <w:r>
        <w:rPr>
          <w:rStyle w:val="20"/>
          <w:rFonts w:eastAsiaTheme="majorEastAsia"/>
          <w:b/>
          <w:bCs/>
        </w:rPr>
        <w:t xml:space="preserve"> Pollution Load Index (PLI)</w:t>
      </w:r>
    </w:p>
    <w:p w14:paraId="7053C0C6">
      <w:pPr>
        <w:pStyle w:val="19"/>
        <w:spacing w:before="0" w:beforeAutospacing="0" w:line="480" w:lineRule="auto"/>
        <w:jc w:val="both"/>
      </w:pPr>
      <w:r>
        <w:t>PLI provided an integrated measure of overall pollution status across all measured metals.</w:t>
      </w:r>
    </w:p>
    <w:p w14:paraId="232C595F">
      <w:pPr>
        <w:spacing w:line="480" w:lineRule="auto"/>
        <w:rPr>
          <w:rFonts w:hint="default" w:ascii="Times New Roman" w:hAnsi="Times New Roman" w:cs="Times New Roman"/>
          <w:sz w:val="24"/>
          <w:szCs w:val="24"/>
        </w:rPr>
      </w:pPr>
      <m:oMathPara>
        <m:oMath>
          <m:r>
            <m:rPr/>
            <w:rPr>
              <w:rFonts w:ascii="Cambria Math" w:hAnsi="Cambria Math"/>
            </w:rPr>
            <m:t>PLI=(C</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⋅C</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⋅C</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3</m:t>
              </m:r>
              <m:ctrlPr>
                <w:rPr>
                  <w:rFonts w:ascii="Cambria Math" w:hAnsi="Cambria Math"/>
                </w:rPr>
              </m:ctrlPr>
            </m:sub>
          </m:sSub>
          <m:r>
            <m:rPr>
              <m:sty m:val="p"/>
            </m:rPr>
            <w:rPr>
              <w:rFonts w:ascii="Cambria Math" w:hAnsi="Cambria Math"/>
            </w:rPr>
            <m:t>...</m:t>
          </m:r>
          <m:r>
            <m:rPr/>
            <w:rPr>
              <w:rFonts w:ascii="Cambria Math" w:hAnsi="Cambria Math"/>
            </w:rPr>
            <m:t>⋅C</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n</m:t>
              </m:r>
              <m:ctrlPr>
                <w:rPr>
                  <w:rFonts w:ascii="Cambria Math" w:hAnsi="Cambria Math"/>
                </w:rPr>
              </m:ctrlPr>
            </m:sub>
          </m:sSub>
          <m:sSup>
            <m:sSupPr>
              <m:ctrlPr>
                <w:rPr>
                  <w:rFonts w:ascii="Cambria Math" w:hAnsi="Cambria Math"/>
                </w:rPr>
              </m:ctrlPr>
            </m:sSupPr>
            <m:e>
              <m:r>
                <m:rPr/>
                <w:rPr>
                  <w:rFonts w:ascii="Cambria Math" w:hAnsi="Cambria Math"/>
                </w:rPr>
                <m:t>)</m:t>
              </m:r>
              <m:ctrlPr>
                <w:rPr>
                  <w:rFonts w:ascii="Cambria Math" w:hAnsi="Cambria Math"/>
                </w:rPr>
              </m:ctrlPr>
            </m:e>
            <m:sup>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n</m:t>
                  </m:r>
                  <m:ctrlPr>
                    <w:rPr>
                      <w:rFonts w:ascii="Cambria Math" w:hAnsi="Cambria Math"/>
                    </w:rPr>
                  </m:ctrlPr>
                </m:den>
              </m:f>
              <m:ctrlPr>
                <w:rPr>
                  <w:rFonts w:ascii="Cambria Math" w:hAnsi="Cambria Math"/>
                </w:rPr>
              </m:ctrlPr>
            </m:sup>
          </m:sSup>
          <m:r>
            <m:rPr>
              <m:sty m:val="p"/>
            </m:rPr>
            <w:rPr>
              <w:rFonts w:ascii="Cambria Math" w:hAnsi="Cambria Math"/>
            </w:rPr>
            <w:br w:type="textWrapping"/>
          </m:r>
        </m:oMath>
      </m:oMathPara>
      <w:r>
        <w:rPr>
          <w:rFonts w:hint="default" w:ascii="Times New Roman" w:hAnsi="Times New Roman" w:cs="Times New Roman"/>
          <w:sz w:val="24"/>
          <w:szCs w:val="24"/>
        </w:rPr>
        <w:t>Where:</w:t>
      </w:r>
      <w:r>
        <w:rPr>
          <w:rFonts w:hint="default" w:ascii="Times New Roman" w:hAnsi="Times New Roman" w:cs="Times New Roman"/>
          <w:sz w:val="24"/>
          <w:szCs w:val="24"/>
        </w:rPr>
        <w:br w:type="textWrapping"/>
      </w:r>
      <w:r>
        <w:rPr>
          <w:rStyle w:val="15"/>
          <w:rFonts w:hint="default" w:ascii="Times New Roman" w:hAnsi="Times New Roman" w:cs="Times New Roman"/>
          <w:sz w:val="24"/>
          <w:szCs w:val="24"/>
        </w:rPr>
        <w:t>CF₁…CFₙ</w:t>
      </w:r>
      <w:r>
        <w:rPr>
          <w:rFonts w:hint="default" w:ascii="Times New Roman" w:hAnsi="Times New Roman" w:cs="Times New Roman"/>
          <w:sz w:val="24"/>
          <w:szCs w:val="24"/>
        </w:rPr>
        <w:t xml:space="preserve"> = contamination factors of each metal</w:t>
      </w:r>
    </w:p>
    <w:p w14:paraId="45A323C9">
      <w:pPr>
        <w:pStyle w:val="19"/>
        <w:spacing w:before="0" w:beforeAutospacing="0" w:after="0" w:afterAutospacing="0" w:line="480" w:lineRule="auto"/>
        <w:jc w:val="both"/>
      </w:pPr>
      <w:r>
        <w:rPr>
          <w:rStyle w:val="15"/>
        </w:rPr>
        <w:t>n</w:t>
      </w:r>
      <w:r>
        <w:t xml:space="preserve"> = number of metals analyzed</w:t>
      </w:r>
    </w:p>
    <w:p w14:paraId="6A6B598D">
      <w:pPr>
        <w:pStyle w:val="19"/>
        <w:spacing w:before="0" w:beforeAutospacing="0" w:line="480" w:lineRule="auto"/>
        <w:jc w:val="both"/>
      </w:pPr>
      <w:r>
        <w:t>PLI values indicate environmental quality: 1 = baseline, &lt;1 = no pollution, &gt;1 = polluted.</w:t>
      </w:r>
    </w:p>
    <w:p w14:paraId="33577108">
      <w:pPr>
        <w:pStyle w:val="3"/>
        <w:spacing w:line="480" w:lineRule="auto"/>
      </w:pPr>
      <w:r>
        <w:rPr>
          <w:rStyle w:val="20"/>
          <w:rFonts w:eastAsiaTheme="majorEastAsia"/>
          <w:b/>
          <w:bCs/>
        </w:rPr>
        <w:t>2.</w:t>
      </w:r>
      <w:r>
        <w:rPr>
          <w:rStyle w:val="20"/>
          <w:rFonts w:hint="default" w:eastAsiaTheme="majorEastAsia"/>
          <w:b/>
          <w:bCs/>
          <w:lang w:val="en-US"/>
        </w:rPr>
        <w:t>7</w:t>
      </w:r>
      <w:r>
        <w:rPr>
          <w:rStyle w:val="20"/>
          <w:rFonts w:eastAsiaTheme="majorEastAsia"/>
          <w:b/>
          <w:bCs/>
        </w:rPr>
        <w:t xml:space="preserve"> Metal Pollution Index (MPI)</w:t>
      </w:r>
    </w:p>
    <w:p w14:paraId="3C980E95">
      <w:pPr>
        <w:pStyle w:val="19"/>
        <w:spacing w:line="480" w:lineRule="auto"/>
        <w:jc w:val="both"/>
      </w:pPr>
      <w:r>
        <w:t>MPI quantified the cumulative metal burden across each sampling location and enabled ranking of road corridors according to pollution intensity.</w:t>
      </w:r>
    </w:p>
    <w:p w14:paraId="30743954">
      <w:pPr>
        <w:spacing w:line="480" w:lineRule="auto"/>
      </w:pPr>
      <m:oMathPara>
        <m:oMath>
          <m:r>
            <m:rPr/>
            <w:rPr>
              <w:rFonts w:ascii="Cambria Math" w:hAnsi="Cambria Math"/>
            </w:rPr>
            <m:t>MPI=</m:t>
          </m:r>
          <m:sSup>
            <m:sSupPr>
              <m:ctrlPr>
                <w:rPr>
                  <w:rFonts w:ascii="Cambria Math" w:hAnsi="Cambria Math"/>
                </w:rPr>
              </m:ctrlPr>
            </m:sSupPr>
            <m:e>
              <m:d>
                <m:dPr>
                  <m:sepChr m:val="⋅"/>
                  <m:ctrlPr>
                    <w:rPr>
                      <w:rFonts w:ascii="Cambria Math" w:hAnsi="Cambria Math"/>
                    </w:rPr>
                  </m:ctrlPr>
                </m:dPr>
                <m:e>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2</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3</m:t>
                      </m:r>
                      <m:ctrlPr>
                        <w:rPr>
                          <w:rFonts w:ascii="Cambria Math" w:hAnsi="Cambria Math"/>
                        </w:rPr>
                      </m:ctrlPr>
                    </m:sub>
                  </m:sSub>
                  <m:r>
                    <m:rPr>
                      <m:sty m:val="p"/>
                    </m:rPr>
                    <w:rPr>
                      <w:rFonts w:ascii="Cambria Math" w:hAnsi="Cambria Math"/>
                    </w:rPr>
                    <m:t>...</m:t>
                  </m:r>
                  <m:ctrlPr>
                    <w:rPr>
                      <w:rFonts w:ascii="Cambria Math" w:hAnsi="Cambria Math"/>
                    </w:rPr>
                  </m:ctrlPr>
                </m:e>
                <m:e>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n</m:t>
                      </m:r>
                      <m:ctrlPr>
                        <w:rPr>
                          <w:rFonts w:ascii="Cambria Math" w:hAnsi="Cambria Math"/>
                        </w:rPr>
                      </m:ctrlPr>
                    </m:sub>
                  </m:sSub>
                  <m:ctrlPr>
                    <w:rPr>
                      <w:rFonts w:ascii="Cambria Math" w:hAnsi="Cambria Math"/>
                    </w:rPr>
                  </m:ctrlPr>
                </m:e>
              </m:d>
              <m:ctrlPr>
                <w:rPr>
                  <w:rFonts w:ascii="Cambria Math" w:hAnsi="Cambria Math"/>
                </w:rPr>
              </m:ctrlPr>
            </m:e>
            <m:sup>
              <m:f>
                <m:fPr>
                  <m:ctrlPr>
                    <w:rPr>
                      <w:rFonts w:ascii="Cambria Math" w:hAnsi="Cambria Math"/>
                    </w:rPr>
                  </m:ctrlPr>
                </m:fPr>
                <m:num>
                  <m:r>
                    <m:rPr/>
                    <w:rPr>
                      <w:rFonts w:ascii="Cambria Math" w:hAnsi="Cambria Math"/>
                    </w:rPr>
                    <m:t>1</m:t>
                  </m:r>
                  <m:ctrlPr>
                    <w:rPr>
                      <w:rFonts w:ascii="Cambria Math" w:hAnsi="Cambria Math"/>
                    </w:rPr>
                  </m:ctrlPr>
                </m:num>
                <m:den>
                  <m:r>
                    <m:rPr/>
                    <w:rPr>
                      <w:rFonts w:ascii="Cambria Math" w:hAnsi="Cambria Math"/>
                    </w:rPr>
                    <m:t>n</m:t>
                  </m:r>
                  <m:ctrlPr>
                    <w:rPr>
                      <w:rFonts w:ascii="Cambria Math" w:hAnsi="Cambria Math"/>
                    </w:rPr>
                  </m:ctrlPr>
                </m:den>
              </m:f>
              <m:ctrlPr>
                <w:rPr>
                  <w:rFonts w:ascii="Cambria Math" w:hAnsi="Cambria Math"/>
                </w:rPr>
              </m:ctrlPr>
            </m:sup>
          </m:sSup>
          <m:r>
            <m:rPr>
              <m:sty m:val="p"/>
            </m:rPr>
            <w:rPr>
              <w:rFonts w:ascii="Cambria Math" w:hAnsi="Cambria Math"/>
            </w:rPr>
            <w:br w:type="textWrapping"/>
          </m:r>
        </m:oMath>
      </m:oMathPara>
    </w:p>
    <w:p w14:paraId="75C82520">
      <w:pPr>
        <w:pStyle w:val="19"/>
        <w:spacing w:before="0" w:beforeAutospacing="0" w:line="480" w:lineRule="auto"/>
        <w:jc w:val="both"/>
      </w:pPr>
      <w:r>
        <w:t xml:space="preserve">Where </w:t>
      </w:r>
      <w:r>
        <w:rPr>
          <w:rStyle w:val="15"/>
        </w:rPr>
        <w:t>C₁…Cₙ</w:t>
      </w:r>
      <w:r>
        <w:t xml:space="preserve"> represent concentrations of each metal in a sample.</w:t>
      </w:r>
    </w:p>
    <w:p w14:paraId="7683ADBA">
      <w:pPr>
        <w:pStyle w:val="19"/>
        <w:spacing w:before="0" w:beforeAutospacing="0" w:line="480" w:lineRule="auto"/>
        <w:jc w:val="both"/>
      </w:pPr>
      <w:r>
        <w:t xml:space="preserve">Two categories of background/reference values were adopted. </w:t>
      </w:r>
      <w:r>
        <w:rPr>
          <w:rStyle w:val="20"/>
          <w:rFonts w:eastAsiaTheme="majorEastAsia"/>
          <w:b w:val="0"/>
          <w:bCs w:val="0"/>
        </w:rPr>
        <w:t>NESREA Soil Quality Guidelines (2016) and Control Soil Samples</w:t>
      </w:r>
      <w:r>
        <w:t xml:space="preserve"> (≥500 m away from traffic and industrial activities). These reference values served as the baseline for CF, Igeo, and EF calculations, ensuring accuracy in distinguishing natural versus anthropogenic contributions.</w:t>
      </w:r>
    </w:p>
    <w:p w14:paraId="510D0039">
      <w:pPr>
        <w:pStyle w:val="19"/>
        <w:spacing w:before="0" w:beforeAutospacing="0" w:line="480" w:lineRule="auto"/>
        <w:jc w:val="both"/>
      </w:pPr>
    </w:p>
    <w:p w14:paraId="0CFCFFC6">
      <w:pPr>
        <w:pStyle w:val="19"/>
        <w:spacing w:before="0" w:beforeAutospacing="0" w:line="480" w:lineRule="auto"/>
        <w:jc w:val="both"/>
      </w:pPr>
    </w:p>
    <w:p w14:paraId="5EDDB0D5">
      <w:pPr>
        <w:pStyle w:val="3"/>
        <w:spacing w:line="480" w:lineRule="auto"/>
      </w:pPr>
      <w:r>
        <w:t>2.</w:t>
      </w:r>
      <w:r>
        <w:rPr>
          <w:rFonts w:hint="default"/>
          <w:lang w:val="en-US"/>
        </w:rPr>
        <w:t>8</w:t>
      </w:r>
      <w:r>
        <w:t xml:space="preserve"> Data Analysis</w:t>
      </w:r>
    </w:p>
    <w:p w14:paraId="5799CA2C">
      <w:pPr>
        <w:spacing w:after="100" w:afterAutospacing="1"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Descriptive statistics (mean ± SD, max–min range) were computed using </w:t>
      </w:r>
      <w:r>
        <w:rPr>
          <w:rStyle w:val="20"/>
          <w:rFonts w:ascii="Times New Roman" w:hAnsi="Times New Roman" w:cs="Times New Roman"/>
          <w:b w:val="0"/>
          <w:bCs w:val="0"/>
          <w:color w:val="000000" w:themeColor="text1"/>
          <w:sz w:val="24"/>
          <w:szCs w:val="24"/>
          <w14:textFill>
            <w14:solidFill>
              <w14:schemeClr w14:val="tx1"/>
            </w14:solidFill>
          </w14:textFill>
        </w:rPr>
        <w:t>SPSS v26</w:t>
      </w:r>
      <w:r>
        <w:rPr>
          <w:rFonts w:ascii="Times New Roman" w:hAnsi="Times New Roman" w:cs="Times New Roman"/>
          <w:color w:val="000000" w:themeColor="text1"/>
          <w:sz w:val="24"/>
          <w:szCs w:val="24"/>
          <w14:textFill>
            <w14:solidFill>
              <w14:schemeClr w14:val="tx1"/>
            </w14:solidFill>
          </w14:textFill>
        </w:rPr>
        <w:t xml:space="preserve">. One-way ANOVA </w:t>
      </w:r>
      <w:r>
        <w:rPr>
          <w:rFonts w:hint="default" w:ascii="Times New Roman" w:hAnsi="Times New Roman" w:cs="Times New Roman"/>
          <w:color w:val="000000" w:themeColor="text1"/>
          <w:sz w:val="24"/>
          <w:szCs w:val="24"/>
          <w:lang w:val="en-US"/>
          <w14:textFill>
            <w14:solidFill>
              <w14:schemeClr w14:val="tx1"/>
            </w14:solidFill>
          </w14:textFill>
        </w:rPr>
        <w:t>and</w:t>
      </w:r>
      <w:r>
        <w:rPr>
          <w:rFonts w:ascii="Times New Roman" w:hAnsi="Times New Roman" w:cs="Times New Roman"/>
          <w:color w:val="000000" w:themeColor="text1"/>
          <w:sz w:val="24"/>
          <w:szCs w:val="24"/>
          <w14:textFill>
            <w14:solidFill>
              <w14:schemeClr w14:val="tx1"/>
            </w14:solidFill>
          </w14:textFill>
        </w:rPr>
        <w:t xml:space="preserve"> Tukey HSD identified significant pairw</w:t>
      </w:r>
      <w:r>
        <w:rPr>
          <w:rFonts w:hint="default" w:ascii="Times New Roman" w:hAnsi="Times New Roman" w:cs="Times New Roman"/>
          <w:color w:val="000000" w:themeColor="text1"/>
          <w:sz w:val="24"/>
          <w:szCs w:val="24"/>
          <w:lang w:val="en-US"/>
          <w14:textFill>
            <w14:solidFill>
              <w14:schemeClr w14:val="tx1"/>
            </w14:solidFill>
          </w14:textFill>
        </w:rPr>
        <w:t>ise differences.</w:t>
      </w:r>
      <w:r>
        <w:rPr>
          <w:rFonts w:ascii="Times New Roman" w:hAnsi="Times New Roman" w:eastAsia="Times New Roman" w:cs="Times New Roman"/>
          <w:color w:val="000000" w:themeColor="text1"/>
          <w:kern w:val="0"/>
          <w:sz w:val="24"/>
          <w:szCs w:val="24"/>
          <w:lang w:val="zh-CN" w:eastAsia="zh-CN"/>
          <w14:textFill>
            <w14:solidFill>
              <w14:schemeClr w14:val="tx1"/>
            </w14:solidFill>
          </w14:textFill>
          <w14:ligatures w14:val="none"/>
        </w:rPr>
        <w:t xml:space="preserve"> </w:t>
      </w:r>
      <w:r>
        <w:rPr>
          <w:rFonts w:ascii="Times New Roman" w:hAnsi="Times New Roman" w:cs="Times New Roman"/>
          <w:color w:val="000000" w:themeColor="text1"/>
          <w:sz w:val="24"/>
          <w:szCs w:val="24"/>
          <w14:textFill>
            <w14:solidFill>
              <w14:schemeClr w14:val="tx1"/>
            </w14:solidFill>
          </w14:textFill>
        </w:rPr>
        <w:t xml:space="preserve">The mean concentrations (mg/kg) of heavy metals across roads were compared with </w:t>
      </w:r>
      <w:r>
        <w:rPr>
          <w:rStyle w:val="20"/>
          <w:rFonts w:ascii="Times New Roman" w:hAnsi="Times New Roman" w:cs="Times New Roman"/>
          <w:b w:val="0"/>
          <w:bCs w:val="0"/>
          <w:color w:val="000000" w:themeColor="text1"/>
          <w:sz w:val="24"/>
          <w:szCs w:val="24"/>
          <w14:textFill>
            <w14:solidFill>
              <w14:schemeClr w14:val="tx1"/>
            </w14:solidFill>
          </w14:textFill>
        </w:rPr>
        <w:t>NESREA (2011) Soil Contamination Guidelines</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and</w:t>
      </w:r>
      <w:r>
        <w:rPr>
          <w:rFonts w:ascii="Times New Roman" w:hAnsi="Times New Roman" w:cs="Times New Roman"/>
          <w:b/>
          <w:bCs/>
          <w:color w:val="000000" w:themeColor="text1"/>
          <w:sz w:val="24"/>
          <w:szCs w:val="24"/>
          <w14:textFill>
            <w14:solidFill>
              <w14:schemeClr w14:val="tx1"/>
            </w14:solidFill>
          </w14:textFill>
        </w:rPr>
        <w:t xml:space="preserve"> </w:t>
      </w:r>
      <w:r>
        <w:rPr>
          <w:rStyle w:val="20"/>
          <w:rFonts w:ascii="Times New Roman" w:hAnsi="Times New Roman" w:cs="Times New Roman"/>
          <w:b w:val="0"/>
          <w:bCs w:val="0"/>
          <w:color w:val="000000" w:themeColor="text1"/>
          <w:sz w:val="24"/>
          <w:szCs w:val="24"/>
          <w14:textFill>
            <w14:solidFill>
              <w14:schemeClr w14:val="tx1"/>
            </w14:solidFill>
          </w14:textFill>
        </w:rPr>
        <w:t>WHO (2022) Toxic Metal Exposure Framework.</w:t>
      </w:r>
    </w:p>
    <w:p w14:paraId="7CEA1D32">
      <w:pPr>
        <w:pStyle w:val="3"/>
        <w:spacing w:line="480" w:lineRule="auto"/>
      </w:pPr>
      <w:r>
        <w:t xml:space="preserve">3. </w:t>
      </w:r>
      <w:r>
        <w:rPr>
          <w:rFonts w:hint="default"/>
          <w:lang w:val="en-US"/>
        </w:rPr>
        <w:t xml:space="preserve">1 </w:t>
      </w:r>
      <w:r>
        <w:t xml:space="preserve">Results </w:t>
      </w:r>
    </w:p>
    <w:p w14:paraId="39D69B54">
      <w:pPr>
        <w:pStyle w:val="3"/>
        <w:spacing w:line="480" w:lineRule="auto"/>
      </w:pPr>
      <w:r>
        <w:t>3.1</w:t>
      </w:r>
      <w:r>
        <w:rPr>
          <w:rFonts w:hint="default"/>
          <w:lang w:val="en-US"/>
        </w:rPr>
        <w:t xml:space="preserve">.1 </w:t>
      </w:r>
      <w:r>
        <w:t>Mean Concentrations (mg/kg) of Heavy Metals across Roads</w:t>
      </w:r>
    </w:p>
    <w:p w14:paraId="0853DD93">
      <w:pPr>
        <w:spacing w:line="480" w:lineRule="auto"/>
        <w:jc w:val="both"/>
        <w:rPr>
          <w:rFonts w:ascii="Times New Roman" w:hAnsi="Times New Roman" w:cs="Times New Roman"/>
          <w:sz w:val="24"/>
          <w:szCs w:val="24"/>
        </w:rPr>
      </w:pPr>
      <w:r>
        <w:rPr>
          <w:rFonts w:ascii="Times New Roman" w:hAnsi="Times New Roman" w:cs="Times New Roman"/>
          <w:sz w:val="24"/>
          <w:szCs w:val="24"/>
        </w:rPr>
        <w:t>The mean concentrations of heavy metals across the five major roads in Kano Metropolis indicate widespread contamination, with several metals exceeding both NESREA and WHO permissible limits (Table 1). Arsenic (As) recorded notably high values on BUK (161.65 mg/kg) and Maiduguri Roads (156.43 mg/kg), far above the NESREA (20 mg/kg) and WHO (10–20 mg/kg) limits, while Cadmium (Cd) ranged between 31.72–43.92 mg/kg, significantly surpassing the 3.0 mg/kg threshold. Cobalt (Co), Nickel (Ni), and Lead (Pb) also exceeded regulatory standards, particularly along Hadejia, Katsina, and Zaria Roads, indicating influence from heavy traffic and anthropogenic activities. Although Zinc (Zn) and Iron (Fe) remained within regulatory margins, their elevated values reflect cumulative deposition from vehicular emissions and mechanical wear. Statistically significant variations (p &lt; 0.05) were observed for As, Cd, Co, Cr, Cu, Hg, Ni, Pb, Sn, and Zn, confirming pollution hotspots along BUK, Maiduguri, and Zaria Roads that require urgent regulatory intervention.</w:t>
      </w:r>
    </w:p>
    <w:p w14:paraId="53C8FB65">
      <w:pPr>
        <w:spacing w:line="480" w:lineRule="auto"/>
        <w:jc w:val="both"/>
        <w:rPr>
          <w:rFonts w:ascii="Times New Roman" w:hAnsi="Times New Roman" w:cs="Times New Roman"/>
          <w:sz w:val="24"/>
          <w:szCs w:val="24"/>
        </w:rPr>
      </w:pPr>
    </w:p>
    <w:p w14:paraId="0D2E56CB">
      <w:pPr>
        <w:spacing w:line="480" w:lineRule="auto"/>
        <w:jc w:val="both"/>
        <w:rPr>
          <w:rFonts w:ascii="Times New Roman" w:hAnsi="Times New Roman" w:cs="Times New Roman"/>
          <w:kern w:val="144"/>
          <w:sz w:val="24"/>
          <w:szCs w:val="24"/>
        </w:rPr>
      </w:pPr>
    </w:p>
    <w:p w14:paraId="24933072">
      <w:pPr>
        <w:pStyle w:val="14"/>
        <w:spacing w:line="480" w:lineRule="auto"/>
        <w:sectPr>
          <w:footerReference r:id="rId5" w:type="default"/>
          <w:pgSz w:w="12240" w:h="15840"/>
          <w:pgMar w:top="1440" w:right="1440" w:bottom="1440" w:left="1440" w:header="708" w:footer="708" w:gutter="0"/>
          <w:cols w:space="708" w:num="1"/>
          <w:docGrid w:linePitch="360" w:charSpace="0"/>
        </w:sectPr>
      </w:pPr>
      <w:bookmarkStart w:id="6" w:name="_Toc216950563"/>
    </w:p>
    <w:p w14:paraId="37EFE412">
      <w:pPr>
        <w:pStyle w:val="14"/>
        <w:rPr>
          <w:kern w:val="144"/>
        </w:rPr>
      </w:pPr>
      <w:r>
        <w:t>Table 1</w:t>
      </w:r>
      <w:r>
        <w:rPr>
          <w:kern w:val="144"/>
        </w:rPr>
        <w:t>: Mean Concentrations (mg/kg) of Heavy Metals across Road</w:t>
      </w:r>
      <w:bookmarkEnd w:id="6"/>
      <w:r>
        <w:rPr>
          <w:kern w:val="144"/>
        </w:rPr>
        <w:t>s</w:t>
      </w:r>
    </w:p>
    <w:tbl>
      <w:tblPr>
        <w:tblStyle w:val="22"/>
        <w:tblW w:w="14427" w:type="dxa"/>
        <w:tblInd w:w="-28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617"/>
        <w:gridCol w:w="1701"/>
        <w:gridCol w:w="1664"/>
        <w:gridCol w:w="1628"/>
        <w:gridCol w:w="1843"/>
        <w:gridCol w:w="1190"/>
        <w:gridCol w:w="978"/>
        <w:gridCol w:w="1004"/>
        <w:gridCol w:w="1016"/>
      </w:tblGrid>
      <w:tr w14:paraId="1FFFB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1786" w:type="dxa"/>
            <w:vMerge w:val="restart"/>
            <w:tcBorders>
              <w:top w:val="single" w:color="auto" w:sz="4" w:space="0"/>
              <w:bottom w:val="nil"/>
            </w:tcBorders>
            <w:vAlign w:val="center"/>
          </w:tcPr>
          <w:p w14:paraId="090D48EE">
            <w:pPr>
              <w:spacing w:after="0" w:line="240" w:lineRule="auto"/>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Metal</w:t>
            </w:r>
          </w:p>
        </w:tc>
        <w:tc>
          <w:tcPr>
            <w:tcW w:w="8451" w:type="dxa"/>
            <w:gridSpan w:val="5"/>
            <w:tcBorders>
              <w:top w:val="single" w:color="auto" w:sz="4" w:space="0"/>
              <w:bottom w:val="nil"/>
            </w:tcBorders>
            <w:vAlign w:val="center"/>
          </w:tcPr>
          <w:p w14:paraId="5DB38363">
            <w:pPr>
              <w:spacing w:after="0" w:line="240"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Study Locations</w:t>
            </w:r>
          </w:p>
        </w:tc>
        <w:tc>
          <w:tcPr>
            <w:tcW w:w="2168" w:type="dxa"/>
            <w:gridSpan w:val="2"/>
            <w:tcBorders>
              <w:top w:val="single" w:color="auto" w:sz="4" w:space="0"/>
              <w:bottom w:val="nil"/>
            </w:tcBorders>
            <w:vAlign w:val="center"/>
          </w:tcPr>
          <w:p w14:paraId="616D44D7">
            <w:pPr>
              <w:spacing w:after="0" w:line="240"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sz w:val="24"/>
                <w:szCs w:val="24"/>
              </w:rPr>
              <w:t>Standards</w:t>
            </w:r>
          </w:p>
        </w:tc>
        <w:tc>
          <w:tcPr>
            <w:tcW w:w="1004" w:type="dxa"/>
            <w:tcBorders>
              <w:top w:val="single" w:color="auto" w:sz="4" w:space="0"/>
              <w:bottom w:val="nil"/>
            </w:tcBorders>
            <w:vAlign w:val="center"/>
          </w:tcPr>
          <w:p w14:paraId="4AC45E42">
            <w:pPr>
              <w:spacing w:after="0" w:line="240"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F- Value</w:t>
            </w:r>
          </w:p>
        </w:tc>
        <w:tc>
          <w:tcPr>
            <w:tcW w:w="1016" w:type="dxa"/>
            <w:tcBorders>
              <w:top w:val="single" w:color="auto" w:sz="4" w:space="0"/>
              <w:bottom w:val="nil"/>
            </w:tcBorders>
            <w:vAlign w:val="center"/>
          </w:tcPr>
          <w:p w14:paraId="6A60D607">
            <w:pPr>
              <w:spacing w:after="0" w:line="240"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p- Value</w:t>
            </w:r>
          </w:p>
        </w:tc>
      </w:tr>
      <w:tr w14:paraId="396182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 w:hRule="atLeast"/>
        </w:trPr>
        <w:tc>
          <w:tcPr>
            <w:tcW w:w="1786" w:type="dxa"/>
            <w:vMerge w:val="continue"/>
            <w:tcBorders>
              <w:top w:val="nil"/>
              <w:bottom w:val="single" w:color="auto" w:sz="4" w:space="0"/>
            </w:tcBorders>
            <w:vAlign w:val="center"/>
          </w:tcPr>
          <w:p w14:paraId="614E20E4">
            <w:pPr>
              <w:spacing w:after="0" w:line="276" w:lineRule="auto"/>
              <w:rPr>
                <w:rStyle w:val="20"/>
                <w:rFonts w:ascii="Times New Roman" w:hAnsi="Times New Roman" w:cs="Times New Roman"/>
                <w:sz w:val="24"/>
                <w:szCs w:val="24"/>
              </w:rPr>
            </w:pPr>
          </w:p>
        </w:tc>
        <w:tc>
          <w:tcPr>
            <w:tcW w:w="1617" w:type="dxa"/>
            <w:tcBorders>
              <w:top w:val="nil"/>
              <w:bottom w:val="single" w:color="auto" w:sz="4" w:space="0"/>
            </w:tcBorders>
            <w:vAlign w:val="center"/>
          </w:tcPr>
          <w:p w14:paraId="0D50C2A4">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Hadejia</w:t>
            </w:r>
          </w:p>
        </w:tc>
        <w:tc>
          <w:tcPr>
            <w:tcW w:w="1701" w:type="dxa"/>
            <w:tcBorders>
              <w:top w:val="nil"/>
              <w:bottom w:val="single" w:color="auto" w:sz="4" w:space="0"/>
            </w:tcBorders>
            <w:vAlign w:val="center"/>
          </w:tcPr>
          <w:p w14:paraId="6E47D20F">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BUK</w:t>
            </w:r>
          </w:p>
        </w:tc>
        <w:tc>
          <w:tcPr>
            <w:tcW w:w="1664" w:type="dxa"/>
            <w:tcBorders>
              <w:top w:val="nil"/>
              <w:bottom w:val="single" w:color="auto" w:sz="4" w:space="0"/>
            </w:tcBorders>
            <w:vAlign w:val="center"/>
          </w:tcPr>
          <w:p w14:paraId="54528A66">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Katsina</w:t>
            </w:r>
          </w:p>
        </w:tc>
        <w:tc>
          <w:tcPr>
            <w:tcW w:w="1628" w:type="dxa"/>
            <w:tcBorders>
              <w:top w:val="nil"/>
              <w:bottom w:val="single" w:color="auto" w:sz="4" w:space="0"/>
            </w:tcBorders>
            <w:vAlign w:val="center"/>
          </w:tcPr>
          <w:p w14:paraId="7D945C1E">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Maiduguri</w:t>
            </w:r>
          </w:p>
        </w:tc>
        <w:tc>
          <w:tcPr>
            <w:tcW w:w="1843" w:type="dxa"/>
            <w:tcBorders>
              <w:top w:val="nil"/>
              <w:bottom w:val="single" w:color="auto" w:sz="4" w:space="0"/>
            </w:tcBorders>
            <w:vAlign w:val="center"/>
          </w:tcPr>
          <w:p w14:paraId="3F9EEEC6">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Zaria</w:t>
            </w:r>
          </w:p>
        </w:tc>
        <w:tc>
          <w:tcPr>
            <w:tcW w:w="1190" w:type="dxa"/>
            <w:tcBorders>
              <w:top w:val="nil"/>
              <w:bottom w:val="single" w:color="auto" w:sz="4" w:space="0"/>
            </w:tcBorders>
            <w:vAlign w:val="center"/>
          </w:tcPr>
          <w:p w14:paraId="4F3AEFC8">
            <w:pPr>
              <w:spacing w:after="0" w:line="276" w:lineRule="auto"/>
              <w:jc w:val="center"/>
              <w:rPr>
                <w:rFonts w:ascii="Times New Roman" w:hAnsi="Times New Roman" w:cs="Times New Roman"/>
                <w:sz w:val="24"/>
                <w:szCs w:val="24"/>
              </w:rPr>
            </w:pPr>
            <w:r>
              <w:rPr>
                <w:rFonts w:ascii="Times New Roman" w:hAnsi="Times New Roman" w:eastAsia="Times New Roman" w:cs="Times New Roman"/>
                <w:b/>
                <w:bCs/>
                <w:kern w:val="144"/>
                <w:sz w:val="24"/>
                <w:szCs w:val="24"/>
              </w:rPr>
              <w:t>NESREA</w:t>
            </w:r>
          </w:p>
        </w:tc>
        <w:tc>
          <w:tcPr>
            <w:tcW w:w="978" w:type="dxa"/>
            <w:tcBorders>
              <w:top w:val="nil"/>
              <w:bottom w:val="single" w:color="auto" w:sz="4" w:space="0"/>
            </w:tcBorders>
            <w:vAlign w:val="center"/>
          </w:tcPr>
          <w:p w14:paraId="230D9AEF">
            <w:pPr>
              <w:spacing w:after="0" w:line="276" w:lineRule="auto"/>
              <w:jc w:val="center"/>
              <w:rPr>
                <w:rFonts w:ascii="Times New Roman" w:hAnsi="Times New Roman" w:cs="Times New Roman"/>
                <w:sz w:val="24"/>
                <w:szCs w:val="24"/>
              </w:rPr>
            </w:pPr>
            <w:r>
              <w:rPr>
                <w:rFonts w:ascii="Times New Roman" w:hAnsi="Times New Roman" w:eastAsia="Times New Roman" w:cs="Times New Roman"/>
                <w:b/>
                <w:bCs/>
                <w:kern w:val="144"/>
                <w:sz w:val="24"/>
                <w:szCs w:val="24"/>
                <w:lang w:val="zh-CN" w:eastAsia="zh-CN"/>
                <w14:ligatures w14:val="none"/>
              </w:rPr>
              <w:t>WHO</w:t>
            </w:r>
          </w:p>
        </w:tc>
        <w:tc>
          <w:tcPr>
            <w:tcW w:w="1004" w:type="dxa"/>
            <w:tcBorders>
              <w:top w:val="nil"/>
              <w:bottom w:val="single" w:color="auto" w:sz="4" w:space="0"/>
            </w:tcBorders>
            <w:vAlign w:val="center"/>
          </w:tcPr>
          <w:p w14:paraId="5BFD7D0B">
            <w:pPr>
              <w:spacing w:after="0" w:line="276" w:lineRule="auto"/>
              <w:jc w:val="center"/>
              <w:rPr>
                <w:rFonts w:ascii="Times New Roman" w:hAnsi="Times New Roman" w:cs="Times New Roman"/>
                <w:color w:val="000000"/>
                <w:kern w:val="144"/>
                <w:sz w:val="24"/>
                <w:szCs w:val="24"/>
                <w:lang w:val="zh-CN"/>
              </w:rPr>
            </w:pPr>
          </w:p>
        </w:tc>
        <w:tc>
          <w:tcPr>
            <w:tcW w:w="1016" w:type="dxa"/>
            <w:tcBorders>
              <w:top w:val="nil"/>
              <w:bottom w:val="single" w:color="auto" w:sz="4" w:space="0"/>
            </w:tcBorders>
            <w:vAlign w:val="center"/>
          </w:tcPr>
          <w:p w14:paraId="26B2EE02">
            <w:pPr>
              <w:spacing w:after="0" w:line="276" w:lineRule="auto"/>
              <w:jc w:val="center"/>
              <w:rPr>
                <w:rFonts w:ascii="Times New Roman" w:hAnsi="Times New Roman" w:cs="Times New Roman"/>
                <w:color w:val="000000"/>
                <w:kern w:val="144"/>
                <w:sz w:val="24"/>
                <w:szCs w:val="24"/>
                <w:lang w:val="zh-CN"/>
              </w:rPr>
            </w:pPr>
          </w:p>
        </w:tc>
      </w:tr>
      <w:tr w14:paraId="31A210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op w:val="single" w:color="auto" w:sz="4" w:space="0"/>
            </w:tcBorders>
            <w:vAlign w:val="center"/>
          </w:tcPr>
          <w:p w14:paraId="7038C12D">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Aluminium (Al)</w:t>
            </w:r>
          </w:p>
        </w:tc>
        <w:tc>
          <w:tcPr>
            <w:tcW w:w="1617" w:type="dxa"/>
            <w:tcBorders>
              <w:top w:val="single" w:color="auto" w:sz="4" w:space="0"/>
            </w:tcBorders>
            <w:vAlign w:val="center"/>
          </w:tcPr>
          <w:p w14:paraId="4C57E1D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131.99 ± 19.43ᵃ</w:t>
            </w:r>
          </w:p>
        </w:tc>
        <w:tc>
          <w:tcPr>
            <w:tcW w:w="1701" w:type="dxa"/>
            <w:tcBorders>
              <w:top w:val="single" w:color="auto" w:sz="4" w:space="0"/>
            </w:tcBorders>
            <w:vAlign w:val="center"/>
          </w:tcPr>
          <w:p w14:paraId="627FF71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114.98 ± 28.16ᵃᵇ</w:t>
            </w:r>
          </w:p>
        </w:tc>
        <w:tc>
          <w:tcPr>
            <w:tcW w:w="1664" w:type="dxa"/>
            <w:tcBorders>
              <w:top w:val="single" w:color="auto" w:sz="4" w:space="0"/>
            </w:tcBorders>
            <w:vAlign w:val="center"/>
          </w:tcPr>
          <w:p w14:paraId="6237A644">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107.37 ± 23.86ᵇ</w:t>
            </w:r>
          </w:p>
        </w:tc>
        <w:tc>
          <w:tcPr>
            <w:tcW w:w="1628" w:type="dxa"/>
            <w:tcBorders>
              <w:top w:val="single" w:color="auto" w:sz="4" w:space="0"/>
            </w:tcBorders>
            <w:vAlign w:val="center"/>
          </w:tcPr>
          <w:p w14:paraId="0BF2684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116.86 ± 37.18ᵃᵇ</w:t>
            </w:r>
          </w:p>
        </w:tc>
        <w:tc>
          <w:tcPr>
            <w:tcW w:w="1843" w:type="dxa"/>
            <w:tcBorders>
              <w:top w:val="single" w:color="auto" w:sz="4" w:space="0"/>
            </w:tcBorders>
            <w:vAlign w:val="center"/>
          </w:tcPr>
          <w:p w14:paraId="6D974302">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118.52 ± 39.08ᵃᵇ</w:t>
            </w:r>
          </w:p>
        </w:tc>
        <w:tc>
          <w:tcPr>
            <w:tcW w:w="1190" w:type="dxa"/>
            <w:tcBorders>
              <w:top w:val="single" w:color="auto" w:sz="4" w:space="0"/>
            </w:tcBorders>
            <w:vAlign w:val="center"/>
          </w:tcPr>
          <w:p w14:paraId="5F65A24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120</w:t>
            </w:r>
          </w:p>
        </w:tc>
        <w:tc>
          <w:tcPr>
            <w:tcW w:w="978" w:type="dxa"/>
            <w:tcBorders>
              <w:top w:val="single" w:color="auto" w:sz="4" w:space="0"/>
            </w:tcBorders>
            <w:vAlign w:val="center"/>
          </w:tcPr>
          <w:p w14:paraId="5F22EB01">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100</w:t>
            </w:r>
          </w:p>
        </w:tc>
        <w:tc>
          <w:tcPr>
            <w:tcW w:w="1004" w:type="dxa"/>
            <w:tcBorders>
              <w:top w:val="single" w:color="auto" w:sz="4" w:space="0"/>
            </w:tcBorders>
            <w:vAlign w:val="center"/>
          </w:tcPr>
          <w:p w14:paraId="5EF28E0C">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0.859</w:t>
            </w:r>
          </w:p>
        </w:tc>
        <w:tc>
          <w:tcPr>
            <w:tcW w:w="1016" w:type="dxa"/>
            <w:tcBorders>
              <w:top w:val="single" w:color="auto" w:sz="4" w:space="0"/>
            </w:tcBorders>
            <w:vAlign w:val="center"/>
          </w:tcPr>
          <w:p w14:paraId="1A4058F9">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0.496</w:t>
            </w:r>
          </w:p>
        </w:tc>
      </w:tr>
      <w:tr w14:paraId="511A93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31614DEF">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 xml:space="preserve">Arsenic </w:t>
            </w:r>
            <w:r>
              <w:rPr>
                <w:rStyle w:val="20"/>
                <w:b w:val="0"/>
                <w:bCs w:val="0"/>
              </w:rPr>
              <w:t>(</w:t>
            </w:r>
            <w:r>
              <w:rPr>
                <w:rStyle w:val="20"/>
                <w:rFonts w:ascii="Times New Roman" w:hAnsi="Times New Roman" w:cs="Times New Roman"/>
                <w:b w:val="0"/>
                <w:bCs w:val="0"/>
                <w:sz w:val="24"/>
                <w:szCs w:val="24"/>
              </w:rPr>
              <w:t>As)</w:t>
            </w:r>
          </w:p>
        </w:tc>
        <w:tc>
          <w:tcPr>
            <w:tcW w:w="1617" w:type="dxa"/>
            <w:vAlign w:val="center"/>
          </w:tcPr>
          <w:p w14:paraId="7CF78E75">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129.88 ± 28.30ᵇ</w:t>
            </w:r>
          </w:p>
        </w:tc>
        <w:tc>
          <w:tcPr>
            <w:tcW w:w="1701" w:type="dxa"/>
            <w:vAlign w:val="center"/>
          </w:tcPr>
          <w:p w14:paraId="4021070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161.65 ± 41.55ᵃ</w:t>
            </w:r>
          </w:p>
        </w:tc>
        <w:tc>
          <w:tcPr>
            <w:tcW w:w="1664" w:type="dxa"/>
            <w:vAlign w:val="center"/>
          </w:tcPr>
          <w:p w14:paraId="4E17805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119.85 ± 29.73ᵇ</w:t>
            </w:r>
          </w:p>
        </w:tc>
        <w:tc>
          <w:tcPr>
            <w:tcW w:w="1628" w:type="dxa"/>
            <w:vAlign w:val="center"/>
          </w:tcPr>
          <w:p w14:paraId="76A4746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156.43 ± 10.30ᵃ</w:t>
            </w:r>
          </w:p>
        </w:tc>
        <w:tc>
          <w:tcPr>
            <w:tcW w:w="1843" w:type="dxa"/>
            <w:vAlign w:val="center"/>
          </w:tcPr>
          <w:p w14:paraId="1E12A6F4">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135.70 ± 29.16ᵇ</w:t>
            </w:r>
          </w:p>
        </w:tc>
        <w:tc>
          <w:tcPr>
            <w:tcW w:w="1190" w:type="dxa"/>
            <w:vAlign w:val="center"/>
          </w:tcPr>
          <w:p w14:paraId="15663764">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w:t>
            </w:r>
          </w:p>
        </w:tc>
        <w:tc>
          <w:tcPr>
            <w:tcW w:w="978" w:type="dxa"/>
            <w:vAlign w:val="center"/>
          </w:tcPr>
          <w:p w14:paraId="2C88F62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10–20</w:t>
            </w:r>
          </w:p>
        </w:tc>
        <w:tc>
          <w:tcPr>
            <w:tcW w:w="1004" w:type="dxa"/>
            <w:vAlign w:val="center"/>
          </w:tcPr>
          <w:p w14:paraId="4C9BAB24">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3.615</w:t>
            </w:r>
          </w:p>
        </w:tc>
        <w:tc>
          <w:tcPr>
            <w:tcW w:w="1016" w:type="dxa"/>
            <w:vAlign w:val="center"/>
          </w:tcPr>
          <w:p w14:paraId="0B016F61">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0.012*</w:t>
            </w:r>
          </w:p>
        </w:tc>
      </w:tr>
      <w:tr w14:paraId="12D07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03A929EA">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 xml:space="preserve">Cadmium </w:t>
            </w:r>
            <w:r>
              <w:rPr>
                <w:rStyle w:val="20"/>
                <w:b w:val="0"/>
                <w:bCs w:val="0"/>
              </w:rPr>
              <w:t>(</w:t>
            </w:r>
            <w:r>
              <w:rPr>
                <w:rStyle w:val="20"/>
                <w:rFonts w:ascii="Times New Roman" w:hAnsi="Times New Roman" w:cs="Times New Roman"/>
                <w:b w:val="0"/>
                <w:bCs w:val="0"/>
                <w:sz w:val="24"/>
                <w:szCs w:val="24"/>
              </w:rPr>
              <w:t>Cd)</w:t>
            </w:r>
          </w:p>
        </w:tc>
        <w:tc>
          <w:tcPr>
            <w:tcW w:w="1617" w:type="dxa"/>
            <w:vAlign w:val="center"/>
          </w:tcPr>
          <w:p w14:paraId="0BB9A87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43.92 ± 8.40ᵃ</w:t>
            </w:r>
          </w:p>
        </w:tc>
        <w:tc>
          <w:tcPr>
            <w:tcW w:w="1701" w:type="dxa"/>
            <w:vAlign w:val="center"/>
          </w:tcPr>
          <w:p w14:paraId="6C7F8D8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31.72 ± 5.21ᶜ</w:t>
            </w:r>
          </w:p>
        </w:tc>
        <w:tc>
          <w:tcPr>
            <w:tcW w:w="1664" w:type="dxa"/>
            <w:vAlign w:val="center"/>
          </w:tcPr>
          <w:p w14:paraId="746560C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34.70 ± 6.57ᵇᶜ</w:t>
            </w:r>
          </w:p>
        </w:tc>
        <w:tc>
          <w:tcPr>
            <w:tcW w:w="1628" w:type="dxa"/>
            <w:vAlign w:val="center"/>
          </w:tcPr>
          <w:p w14:paraId="703E0841">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37.60 ± 10.09ᵇᶜ</w:t>
            </w:r>
          </w:p>
        </w:tc>
        <w:tc>
          <w:tcPr>
            <w:tcW w:w="1843" w:type="dxa"/>
            <w:vAlign w:val="center"/>
          </w:tcPr>
          <w:p w14:paraId="16CFA9B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41.75 ± 9.25ᵃᵇ</w:t>
            </w:r>
          </w:p>
        </w:tc>
        <w:tc>
          <w:tcPr>
            <w:tcW w:w="1190" w:type="dxa"/>
            <w:vAlign w:val="center"/>
          </w:tcPr>
          <w:p w14:paraId="5EE7DD4C">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3.0</w:t>
            </w:r>
          </w:p>
        </w:tc>
        <w:tc>
          <w:tcPr>
            <w:tcW w:w="978" w:type="dxa"/>
            <w:vAlign w:val="center"/>
          </w:tcPr>
          <w:p w14:paraId="2944966B">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3.0</w:t>
            </w:r>
          </w:p>
        </w:tc>
        <w:tc>
          <w:tcPr>
            <w:tcW w:w="1004" w:type="dxa"/>
            <w:vAlign w:val="center"/>
          </w:tcPr>
          <w:p w14:paraId="37AE8DF3">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3.793</w:t>
            </w:r>
          </w:p>
        </w:tc>
        <w:tc>
          <w:tcPr>
            <w:tcW w:w="1016" w:type="dxa"/>
            <w:vAlign w:val="center"/>
          </w:tcPr>
          <w:p w14:paraId="3E886D28">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0.010*</w:t>
            </w:r>
          </w:p>
        </w:tc>
      </w:tr>
      <w:tr w14:paraId="40458D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6229D4B7">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 xml:space="preserve">Cobalt </w:t>
            </w:r>
            <w:r>
              <w:rPr>
                <w:rStyle w:val="20"/>
                <w:b w:val="0"/>
                <w:bCs w:val="0"/>
              </w:rPr>
              <w:t>(</w:t>
            </w:r>
            <w:r>
              <w:rPr>
                <w:rStyle w:val="20"/>
                <w:rFonts w:ascii="Times New Roman" w:hAnsi="Times New Roman" w:cs="Times New Roman"/>
                <w:b w:val="0"/>
                <w:bCs w:val="0"/>
                <w:sz w:val="24"/>
                <w:szCs w:val="24"/>
              </w:rPr>
              <w:t>Co)</w:t>
            </w:r>
          </w:p>
        </w:tc>
        <w:tc>
          <w:tcPr>
            <w:tcW w:w="1617" w:type="dxa"/>
            <w:vAlign w:val="center"/>
          </w:tcPr>
          <w:p w14:paraId="79D261F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127.33 ± 32.01ᵃ</w:t>
            </w:r>
          </w:p>
        </w:tc>
        <w:tc>
          <w:tcPr>
            <w:tcW w:w="1701" w:type="dxa"/>
            <w:vAlign w:val="center"/>
          </w:tcPr>
          <w:p w14:paraId="17065499">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100.08 ± 10.78ᵇ</w:t>
            </w:r>
          </w:p>
        </w:tc>
        <w:tc>
          <w:tcPr>
            <w:tcW w:w="1664" w:type="dxa"/>
            <w:vAlign w:val="center"/>
          </w:tcPr>
          <w:p w14:paraId="68E826D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68.69 ± 17.10ᶜ</w:t>
            </w:r>
          </w:p>
        </w:tc>
        <w:tc>
          <w:tcPr>
            <w:tcW w:w="1628" w:type="dxa"/>
            <w:vAlign w:val="center"/>
          </w:tcPr>
          <w:p w14:paraId="2D277F05">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103.73 ± 15.06ᵇ</w:t>
            </w:r>
          </w:p>
        </w:tc>
        <w:tc>
          <w:tcPr>
            <w:tcW w:w="1843" w:type="dxa"/>
            <w:vAlign w:val="center"/>
          </w:tcPr>
          <w:p w14:paraId="5F40A60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109.78 ± 29.69ᵃᵇ</w:t>
            </w:r>
          </w:p>
        </w:tc>
        <w:tc>
          <w:tcPr>
            <w:tcW w:w="1190" w:type="dxa"/>
            <w:vAlign w:val="center"/>
          </w:tcPr>
          <w:p w14:paraId="2351E2E1">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50</w:t>
            </w:r>
          </w:p>
        </w:tc>
        <w:tc>
          <w:tcPr>
            <w:tcW w:w="978" w:type="dxa"/>
            <w:vAlign w:val="center"/>
          </w:tcPr>
          <w:p w14:paraId="31655C51">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50</w:t>
            </w:r>
          </w:p>
        </w:tc>
        <w:tc>
          <w:tcPr>
            <w:tcW w:w="1004" w:type="dxa"/>
            <w:vAlign w:val="center"/>
          </w:tcPr>
          <w:p w14:paraId="4E2E31C2">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8.944</w:t>
            </w:r>
          </w:p>
        </w:tc>
        <w:tc>
          <w:tcPr>
            <w:tcW w:w="1016" w:type="dxa"/>
            <w:vAlign w:val="center"/>
          </w:tcPr>
          <w:p w14:paraId="5D37C9CC">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0.000*</w:t>
            </w:r>
          </w:p>
        </w:tc>
      </w:tr>
      <w:tr w14:paraId="1C9EAD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4757DA6B">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Chromium (Cr)</w:t>
            </w:r>
          </w:p>
        </w:tc>
        <w:tc>
          <w:tcPr>
            <w:tcW w:w="1617" w:type="dxa"/>
            <w:vAlign w:val="center"/>
          </w:tcPr>
          <w:p w14:paraId="10630EC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91.57 ± 8.31ᵇ</w:t>
            </w:r>
          </w:p>
        </w:tc>
        <w:tc>
          <w:tcPr>
            <w:tcW w:w="1701" w:type="dxa"/>
            <w:vAlign w:val="center"/>
          </w:tcPr>
          <w:p w14:paraId="433B4602">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96.51 ± 8.24ᵇ</w:t>
            </w:r>
          </w:p>
        </w:tc>
        <w:tc>
          <w:tcPr>
            <w:tcW w:w="1664" w:type="dxa"/>
            <w:vAlign w:val="center"/>
          </w:tcPr>
          <w:p w14:paraId="53F98069">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91.08 ± 13.77ᵇ</w:t>
            </w:r>
          </w:p>
        </w:tc>
        <w:tc>
          <w:tcPr>
            <w:tcW w:w="1628" w:type="dxa"/>
            <w:vAlign w:val="center"/>
          </w:tcPr>
          <w:p w14:paraId="25C0132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107.92 ± 26.79ᵃ</w:t>
            </w:r>
          </w:p>
        </w:tc>
        <w:tc>
          <w:tcPr>
            <w:tcW w:w="1843" w:type="dxa"/>
            <w:vAlign w:val="center"/>
          </w:tcPr>
          <w:p w14:paraId="54AAFB22">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109.01 ± 11.89ᵃ</w:t>
            </w:r>
          </w:p>
        </w:tc>
        <w:tc>
          <w:tcPr>
            <w:tcW w:w="1190" w:type="dxa"/>
            <w:vAlign w:val="center"/>
          </w:tcPr>
          <w:p w14:paraId="2F4B48C2">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100</w:t>
            </w:r>
          </w:p>
        </w:tc>
        <w:tc>
          <w:tcPr>
            <w:tcW w:w="978" w:type="dxa"/>
            <w:vAlign w:val="center"/>
          </w:tcPr>
          <w:p w14:paraId="68C7580E">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100</w:t>
            </w:r>
          </w:p>
        </w:tc>
        <w:tc>
          <w:tcPr>
            <w:tcW w:w="1004" w:type="dxa"/>
            <w:vAlign w:val="center"/>
          </w:tcPr>
          <w:p w14:paraId="3E7123E3">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3.202</w:t>
            </w:r>
          </w:p>
        </w:tc>
        <w:tc>
          <w:tcPr>
            <w:tcW w:w="1016" w:type="dxa"/>
            <w:vAlign w:val="center"/>
          </w:tcPr>
          <w:p w14:paraId="157AA1D2">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0.021*</w:t>
            </w:r>
          </w:p>
        </w:tc>
      </w:tr>
      <w:tr w14:paraId="091379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0E6F70DC">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 xml:space="preserve">Copper </w:t>
            </w:r>
            <w:r>
              <w:rPr>
                <w:rStyle w:val="20"/>
                <w:b w:val="0"/>
                <w:bCs w:val="0"/>
              </w:rPr>
              <w:t>(</w:t>
            </w:r>
            <w:r>
              <w:rPr>
                <w:rStyle w:val="20"/>
                <w:rFonts w:ascii="Times New Roman" w:hAnsi="Times New Roman" w:cs="Times New Roman"/>
                <w:b w:val="0"/>
                <w:bCs w:val="0"/>
                <w:sz w:val="24"/>
                <w:szCs w:val="24"/>
              </w:rPr>
              <w:t>Cu)</w:t>
            </w:r>
          </w:p>
        </w:tc>
        <w:tc>
          <w:tcPr>
            <w:tcW w:w="1617" w:type="dxa"/>
            <w:vAlign w:val="center"/>
          </w:tcPr>
          <w:p w14:paraId="644967FC">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138.74 ± 20.34ᵇ</w:t>
            </w:r>
          </w:p>
        </w:tc>
        <w:tc>
          <w:tcPr>
            <w:tcW w:w="1701" w:type="dxa"/>
            <w:vAlign w:val="center"/>
          </w:tcPr>
          <w:p w14:paraId="6F2713FF">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169.85 ± 40.87ᵃᵇ</w:t>
            </w:r>
          </w:p>
        </w:tc>
        <w:tc>
          <w:tcPr>
            <w:tcW w:w="1664" w:type="dxa"/>
            <w:vAlign w:val="center"/>
          </w:tcPr>
          <w:p w14:paraId="49371B9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132.80 ± 28.95ᵇ</w:t>
            </w:r>
          </w:p>
        </w:tc>
        <w:tc>
          <w:tcPr>
            <w:tcW w:w="1628" w:type="dxa"/>
            <w:vAlign w:val="center"/>
          </w:tcPr>
          <w:p w14:paraId="622A56B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143.28 ± 39.20ᵇ</w:t>
            </w:r>
          </w:p>
        </w:tc>
        <w:tc>
          <w:tcPr>
            <w:tcW w:w="1843" w:type="dxa"/>
            <w:vAlign w:val="center"/>
          </w:tcPr>
          <w:p w14:paraId="0D4E2CD6">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173.56 ± 15.31ᵃ</w:t>
            </w:r>
          </w:p>
        </w:tc>
        <w:tc>
          <w:tcPr>
            <w:tcW w:w="1190" w:type="dxa"/>
            <w:vAlign w:val="center"/>
          </w:tcPr>
          <w:p w14:paraId="2100F4B4">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70</w:t>
            </w:r>
          </w:p>
        </w:tc>
        <w:tc>
          <w:tcPr>
            <w:tcW w:w="978" w:type="dxa"/>
            <w:vAlign w:val="center"/>
          </w:tcPr>
          <w:p w14:paraId="44E2FFC5">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70</w:t>
            </w:r>
          </w:p>
        </w:tc>
        <w:tc>
          <w:tcPr>
            <w:tcW w:w="1004" w:type="dxa"/>
            <w:vAlign w:val="center"/>
          </w:tcPr>
          <w:p w14:paraId="0B1ACC9C">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3.737</w:t>
            </w:r>
          </w:p>
        </w:tc>
        <w:tc>
          <w:tcPr>
            <w:tcW w:w="1016" w:type="dxa"/>
            <w:vAlign w:val="center"/>
          </w:tcPr>
          <w:p w14:paraId="1E283F5C">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0.010*</w:t>
            </w:r>
          </w:p>
        </w:tc>
      </w:tr>
      <w:tr w14:paraId="371AB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4B1E6084">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 xml:space="preserve">Iron </w:t>
            </w:r>
            <w:r>
              <w:rPr>
                <w:rStyle w:val="20"/>
                <w:b w:val="0"/>
                <w:bCs w:val="0"/>
              </w:rPr>
              <w:t>(</w:t>
            </w:r>
            <w:r>
              <w:rPr>
                <w:rStyle w:val="20"/>
                <w:rFonts w:ascii="Times New Roman" w:hAnsi="Times New Roman" w:cs="Times New Roman"/>
                <w:b w:val="0"/>
                <w:bCs w:val="0"/>
                <w:sz w:val="24"/>
                <w:szCs w:val="24"/>
              </w:rPr>
              <w:t>Fe)</w:t>
            </w:r>
          </w:p>
        </w:tc>
        <w:tc>
          <w:tcPr>
            <w:tcW w:w="1617" w:type="dxa"/>
            <w:vAlign w:val="center"/>
          </w:tcPr>
          <w:p w14:paraId="6769758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222.37 ± 60.71ᵇ</w:t>
            </w:r>
          </w:p>
        </w:tc>
        <w:tc>
          <w:tcPr>
            <w:tcW w:w="1701" w:type="dxa"/>
            <w:vAlign w:val="center"/>
          </w:tcPr>
          <w:p w14:paraId="53CDAFA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228.98 ± 44.15ᵇ</w:t>
            </w:r>
          </w:p>
        </w:tc>
        <w:tc>
          <w:tcPr>
            <w:tcW w:w="1664" w:type="dxa"/>
            <w:vAlign w:val="center"/>
          </w:tcPr>
          <w:p w14:paraId="14D77E32">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310.01 ± 42.53ᵃ</w:t>
            </w:r>
          </w:p>
        </w:tc>
        <w:tc>
          <w:tcPr>
            <w:tcW w:w="1628" w:type="dxa"/>
            <w:vAlign w:val="center"/>
          </w:tcPr>
          <w:p w14:paraId="2A10FB5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253.43 ± 60.32ᵃᵇ</w:t>
            </w:r>
          </w:p>
        </w:tc>
        <w:tc>
          <w:tcPr>
            <w:tcW w:w="1843" w:type="dxa"/>
            <w:vAlign w:val="center"/>
          </w:tcPr>
          <w:p w14:paraId="6885F9E9">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283.02 ± 71.97ᵃᵇ</w:t>
            </w:r>
          </w:p>
        </w:tc>
        <w:tc>
          <w:tcPr>
            <w:tcW w:w="1190" w:type="dxa"/>
            <w:vAlign w:val="center"/>
          </w:tcPr>
          <w:p w14:paraId="07F19014">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350</w:t>
            </w:r>
          </w:p>
        </w:tc>
        <w:tc>
          <w:tcPr>
            <w:tcW w:w="978" w:type="dxa"/>
            <w:vAlign w:val="center"/>
          </w:tcPr>
          <w:p w14:paraId="33D2A207">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500</w:t>
            </w:r>
          </w:p>
        </w:tc>
        <w:tc>
          <w:tcPr>
            <w:tcW w:w="1004" w:type="dxa"/>
            <w:vAlign w:val="center"/>
          </w:tcPr>
          <w:p w14:paraId="76D15547">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4.190</w:t>
            </w:r>
          </w:p>
        </w:tc>
        <w:tc>
          <w:tcPr>
            <w:tcW w:w="1016" w:type="dxa"/>
            <w:vAlign w:val="center"/>
          </w:tcPr>
          <w:p w14:paraId="57C18BBD">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0.006*</w:t>
            </w:r>
          </w:p>
        </w:tc>
      </w:tr>
      <w:tr w14:paraId="3130CA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15FB561F">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Mercury (Hg)</w:t>
            </w:r>
          </w:p>
        </w:tc>
        <w:tc>
          <w:tcPr>
            <w:tcW w:w="1617" w:type="dxa"/>
            <w:vAlign w:val="center"/>
          </w:tcPr>
          <w:p w14:paraId="6623A8B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60.25 ± 15.30ᵇ</w:t>
            </w:r>
          </w:p>
        </w:tc>
        <w:tc>
          <w:tcPr>
            <w:tcW w:w="1701" w:type="dxa"/>
            <w:vAlign w:val="center"/>
          </w:tcPr>
          <w:p w14:paraId="010C834C">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62.35 ± 15.10ᵇ</w:t>
            </w:r>
          </w:p>
        </w:tc>
        <w:tc>
          <w:tcPr>
            <w:tcW w:w="1664" w:type="dxa"/>
            <w:vAlign w:val="center"/>
          </w:tcPr>
          <w:p w14:paraId="5815B60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50.53 ± 10.25ᶜ</w:t>
            </w:r>
          </w:p>
        </w:tc>
        <w:tc>
          <w:tcPr>
            <w:tcW w:w="1628" w:type="dxa"/>
            <w:vAlign w:val="center"/>
          </w:tcPr>
          <w:p w14:paraId="53F505F5">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68.17 ± 19.65ᵃᵇ</w:t>
            </w:r>
          </w:p>
        </w:tc>
        <w:tc>
          <w:tcPr>
            <w:tcW w:w="1843" w:type="dxa"/>
            <w:vAlign w:val="center"/>
          </w:tcPr>
          <w:p w14:paraId="79F25E05">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70.19 ± 13.50ᵃ</w:t>
            </w:r>
          </w:p>
        </w:tc>
        <w:tc>
          <w:tcPr>
            <w:tcW w:w="1190" w:type="dxa"/>
            <w:vAlign w:val="center"/>
          </w:tcPr>
          <w:p w14:paraId="4B3422D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w:t>
            </w:r>
          </w:p>
        </w:tc>
        <w:tc>
          <w:tcPr>
            <w:tcW w:w="978" w:type="dxa"/>
            <w:vAlign w:val="center"/>
          </w:tcPr>
          <w:p w14:paraId="0E9DA8E8">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w:t>
            </w:r>
          </w:p>
        </w:tc>
        <w:tc>
          <w:tcPr>
            <w:tcW w:w="1004" w:type="dxa"/>
            <w:vAlign w:val="center"/>
          </w:tcPr>
          <w:p w14:paraId="620DD3BC">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2.636</w:t>
            </w:r>
          </w:p>
        </w:tc>
        <w:tc>
          <w:tcPr>
            <w:tcW w:w="1016" w:type="dxa"/>
            <w:vAlign w:val="center"/>
          </w:tcPr>
          <w:p w14:paraId="4780BF1E">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0.046*</w:t>
            </w:r>
          </w:p>
        </w:tc>
      </w:tr>
      <w:tr w14:paraId="658541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37CF9A1D">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Magnesium (Mg)</w:t>
            </w:r>
          </w:p>
        </w:tc>
        <w:tc>
          <w:tcPr>
            <w:tcW w:w="1617" w:type="dxa"/>
            <w:vAlign w:val="center"/>
          </w:tcPr>
          <w:p w14:paraId="325825F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61.89 ± 14.55ᵇ</w:t>
            </w:r>
          </w:p>
        </w:tc>
        <w:tc>
          <w:tcPr>
            <w:tcW w:w="1701" w:type="dxa"/>
            <w:vAlign w:val="center"/>
          </w:tcPr>
          <w:p w14:paraId="7AB4A5D4">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64.67 ± 16.57ᵇ</w:t>
            </w:r>
          </w:p>
        </w:tc>
        <w:tc>
          <w:tcPr>
            <w:tcW w:w="1664" w:type="dxa"/>
            <w:vAlign w:val="center"/>
          </w:tcPr>
          <w:p w14:paraId="7F4AABF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50.20 ± 12.90ᶜ</w:t>
            </w:r>
          </w:p>
        </w:tc>
        <w:tc>
          <w:tcPr>
            <w:tcW w:w="1628" w:type="dxa"/>
            <w:vAlign w:val="center"/>
          </w:tcPr>
          <w:p w14:paraId="6EB385E1">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71.83 ± 12.94ᵃ</w:t>
            </w:r>
          </w:p>
        </w:tc>
        <w:tc>
          <w:tcPr>
            <w:tcW w:w="1843" w:type="dxa"/>
            <w:vAlign w:val="center"/>
          </w:tcPr>
          <w:p w14:paraId="78240BA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71.88 ± 14.00ᵃ</w:t>
            </w:r>
          </w:p>
        </w:tc>
        <w:tc>
          <w:tcPr>
            <w:tcW w:w="1190" w:type="dxa"/>
            <w:vAlign w:val="center"/>
          </w:tcPr>
          <w:p w14:paraId="68FACE6F">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200</w:t>
            </w:r>
          </w:p>
        </w:tc>
        <w:tc>
          <w:tcPr>
            <w:tcW w:w="978" w:type="dxa"/>
            <w:vAlign w:val="center"/>
          </w:tcPr>
          <w:p w14:paraId="3FC3118D">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150</w:t>
            </w:r>
          </w:p>
        </w:tc>
        <w:tc>
          <w:tcPr>
            <w:tcW w:w="1004" w:type="dxa"/>
            <w:vAlign w:val="center"/>
          </w:tcPr>
          <w:p w14:paraId="19DF52A5">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3.920</w:t>
            </w:r>
          </w:p>
        </w:tc>
        <w:tc>
          <w:tcPr>
            <w:tcW w:w="1016" w:type="dxa"/>
            <w:vAlign w:val="center"/>
          </w:tcPr>
          <w:p w14:paraId="2772431C">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0.008*</w:t>
            </w:r>
          </w:p>
        </w:tc>
      </w:tr>
      <w:tr w14:paraId="4A2D62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442995D4">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Manganese (Mn)</w:t>
            </w:r>
          </w:p>
        </w:tc>
        <w:tc>
          <w:tcPr>
            <w:tcW w:w="1617" w:type="dxa"/>
            <w:vAlign w:val="center"/>
          </w:tcPr>
          <w:p w14:paraId="0A65C85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105.73 ± 26.68ᵇ</w:t>
            </w:r>
          </w:p>
        </w:tc>
        <w:tc>
          <w:tcPr>
            <w:tcW w:w="1701" w:type="dxa"/>
            <w:vAlign w:val="center"/>
          </w:tcPr>
          <w:p w14:paraId="7DC2D79D">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127.33 ± 32.01ᵃ</w:t>
            </w:r>
          </w:p>
        </w:tc>
        <w:tc>
          <w:tcPr>
            <w:tcW w:w="1664" w:type="dxa"/>
            <w:vAlign w:val="center"/>
          </w:tcPr>
          <w:p w14:paraId="36D69C7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122.76 ± 43.46ᵃᵇ</w:t>
            </w:r>
          </w:p>
        </w:tc>
        <w:tc>
          <w:tcPr>
            <w:tcW w:w="1628" w:type="dxa"/>
            <w:vAlign w:val="center"/>
          </w:tcPr>
          <w:p w14:paraId="623D79F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110.88 ± 24.62ᵇ</w:t>
            </w:r>
          </w:p>
        </w:tc>
        <w:tc>
          <w:tcPr>
            <w:tcW w:w="1843" w:type="dxa"/>
            <w:vAlign w:val="center"/>
          </w:tcPr>
          <w:p w14:paraId="6B7BDDED">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114.08 ± 28.87ᵇ</w:t>
            </w:r>
          </w:p>
        </w:tc>
        <w:tc>
          <w:tcPr>
            <w:tcW w:w="1190" w:type="dxa"/>
            <w:vAlign w:val="center"/>
          </w:tcPr>
          <w:p w14:paraId="218B8065">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200</w:t>
            </w:r>
          </w:p>
        </w:tc>
        <w:tc>
          <w:tcPr>
            <w:tcW w:w="978" w:type="dxa"/>
            <w:vAlign w:val="center"/>
          </w:tcPr>
          <w:p w14:paraId="44A69C4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200</w:t>
            </w:r>
          </w:p>
        </w:tc>
        <w:tc>
          <w:tcPr>
            <w:tcW w:w="1004" w:type="dxa"/>
            <w:vAlign w:val="center"/>
          </w:tcPr>
          <w:p w14:paraId="09FDC2F7">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0.763</w:t>
            </w:r>
          </w:p>
        </w:tc>
        <w:tc>
          <w:tcPr>
            <w:tcW w:w="1016" w:type="dxa"/>
            <w:vAlign w:val="center"/>
          </w:tcPr>
          <w:p w14:paraId="672D2690">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0.555</w:t>
            </w:r>
          </w:p>
        </w:tc>
      </w:tr>
      <w:tr w14:paraId="4C6B3D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4A209403">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Nickel (Ni)</w:t>
            </w:r>
          </w:p>
        </w:tc>
        <w:tc>
          <w:tcPr>
            <w:tcW w:w="1617" w:type="dxa"/>
            <w:vAlign w:val="center"/>
          </w:tcPr>
          <w:p w14:paraId="5EDB1CD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159.50 ± 15.49ᵃ</w:t>
            </w:r>
          </w:p>
        </w:tc>
        <w:tc>
          <w:tcPr>
            <w:tcW w:w="1701" w:type="dxa"/>
            <w:vAlign w:val="center"/>
          </w:tcPr>
          <w:p w14:paraId="16EE5793">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115.68 ± 33.42ᶜ</w:t>
            </w:r>
          </w:p>
        </w:tc>
        <w:tc>
          <w:tcPr>
            <w:tcW w:w="1664" w:type="dxa"/>
            <w:vAlign w:val="center"/>
          </w:tcPr>
          <w:p w14:paraId="50A2525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158.14 ± 7.70ᵃ</w:t>
            </w:r>
          </w:p>
        </w:tc>
        <w:tc>
          <w:tcPr>
            <w:tcW w:w="1628" w:type="dxa"/>
            <w:vAlign w:val="center"/>
          </w:tcPr>
          <w:p w14:paraId="7E3E507C">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120.35±25.92ᵇᶜ</w:t>
            </w:r>
          </w:p>
        </w:tc>
        <w:tc>
          <w:tcPr>
            <w:tcW w:w="1843" w:type="dxa"/>
            <w:vAlign w:val="center"/>
          </w:tcPr>
          <w:p w14:paraId="37A2A6AC">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157.45 ± 37.92ᵃ</w:t>
            </w:r>
          </w:p>
        </w:tc>
        <w:tc>
          <w:tcPr>
            <w:tcW w:w="1190" w:type="dxa"/>
            <w:vAlign w:val="center"/>
          </w:tcPr>
          <w:p w14:paraId="69D902D8">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75</w:t>
            </w:r>
          </w:p>
        </w:tc>
        <w:tc>
          <w:tcPr>
            <w:tcW w:w="978" w:type="dxa"/>
            <w:vAlign w:val="center"/>
          </w:tcPr>
          <w:p w14:paraId="14B758FC">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70</w:t>
            </w:r>
          </w:p>
        </w:tc>
        <w:tc>
          <w:tcPr>
            <w:tcW w:w="1004" w:type="dxa"/>
            <w:vAlign w:val="center"/>
          </w:tcPr>
          <w:p w14:paraId="75E0F79D">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6.970</w:t>
            </w:r>
          </w:p>
        </w:tc>
        <w:tc>
          <w:tcPr>
            <w:tcW w:w="1016" w:type="dxa"/>
            <w:vAlign w:val="center"/>
          </w:tcPr>
          <w:p w14:paraId="528827C9">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0.000*</w:t>
            </w:r>
          </w:p>
        </w:tc>
      </w:tr>
      <w:tr w14:paraId="36883A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4928541B">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Lead (Pb)</w:t>
            </w:r>
          </w:p>
        </w:tc>
        <w:tc>
          <w:tcPr>
            <w:tcW w:w="1617" w:type="dxa"/>
            <w:vAlign w:val="center"/>
          </w:tcPr>
          <w:p w14:paraId="2B2F6AFF">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97.16 ± 13.64ᵇ</w:t>
            </w:r>
          </w:p>
        </w:tc>
        <w:tc>
          <w:tcPr>
            <w:tcW w:w="1701" w:type="dxa"/>
            <w:vAlign w:val="center"/>
          </w:tcPr>
          <w:p w14:paraId="552894A6">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98.00 ± 20.44ᵇ</w:t>
            </w:r>
          </w:p>
        </w:tc>
        <w:tc>
          <w:tcPr>
            <w:tcW w:w="1664" w:type="dxa"/>
            <w:vAlign w:val="center"/>
          </w:tcPr>
          <w:p w14:paraId="10DB803F">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119.40 ± 15.08ᵃ</w:t>
            </w:r>
          </w:p>
        </w:tc>
        <w:tc>
          <w:tcPr>
            <w:tcW w:w="1628" w:type="dxa"/>
            <w:vAlign w:val="center"/>
          </w:tcPr>
          <w:p w14:paraId="4FD39F7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113.20±16.97ᵃ</w:t>
            </w:r>
          </w:p>
        </w:tc>
        <w:tc>
          <w:tcPr>
            <w:tcW w:w="1843" w:type="dxa"/>
            <w:vAlign w:val="center"/>
          </w:tcPr>
          <w:p w14:paraId="049A7DD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114.41 ± 21.28ᵃ</w:t>
            </w:r>
          </w:p>
        </w:tc>
        <w:tc>
          <w:tcPr>
            <w:tcW w:w="1190" w:type="dxa"/>
            <w:vAlign w:val="center"/>
          </w:tcPr>
          <w:p w14:paraId="02507FC1">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70</w:t>
            </w:r>
          </w:p>
        </w:tc>
        <w:tc>
          <w:tcPr>
            <w:tcW w:w="978" w:type="dxa"/>
            <w:vAlign w:val="center"/>
          </w:tcPr>
          <w:p w14:paraId="43EA547A">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50–70</w:t>
            </w:r>
          </w:p>
        </w:tc>
        <w:tc>
          <w:tcPr>
            <w:tcW w:w="1004" w:type="dxa"/>
            <w:vAlign w:val="center"/>
          </w:tcPr>
          <w:p w14:paraId="35DB6000">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3.297</w:t>
            </w:r>
          </w:p>
        </w:tc>
        <w:tc>
          <w:tcPr>
            <w:tcW w:w="1016" w:type="dxa"/>
            <w:vAlign w:val="center"/>
          </w:tcPr>
          <w:p w14:paraId="3BFEBC3D">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0.019*</w:t>
            </w:r>
          </w:p>
        </w:tc>
      </w:tr>
      <w:tr w14:paraId="34E409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233E6E30">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Tin (Sn)</w:t>
            </w:r>
          </w:p>
        </w:tc>
        <w:tc>
          <w:tcPr>
            <w:tcW w:w="1617" w:type="dxa"/>
            <w:vAlign w:val="center"/>
          </w:tcPr>
          <w:p w14:paraId="2D15DB4A">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65.38 ± 14.95ᶜ</w:t>
            </w:r>
          </w:p>
        </w:tc>
        <w:tc>
          <w:tcPr>
            <w:tcW w:w="1701" w:type="dxa"/>
            <w:vAlign w:val="center"/>
          </w:tcPr>
          <w:p w14:paraId="3A8A7409">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77.89 ± 10.06ᵇ</w:t>
            </w:r>
          </w:p>
        </w:tc>
        <w:tc>
          <w:tcPr>
            <w:tcW w:w="1664" w:type="dxa"/>
            <w:vAlign w:val="center"/>
          </w:tcPr>
          <w:p w14:paraId="6C92420D">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61.87 ± 16.69ᶜ</w:t>
            </w:r>
          </w:p>
        </w:tc>
        <w:tc>
          <w:tcPr>
            <w:tcW w:w="1628" w:type="dxa"/>
            <w:vAlign w:val="center"/>
          </w:tcPr>
          <w:p w14:paraId="41FCE32F">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81.97 ± 12.23ᵇ</w:t>
            </w:r>
          </w:p>
        </w:tc>
        <w:tc>
          <w:tcPr>
            <w:tcW w:w="1843" w:type="dxa"/>
            <w:vAlign w:val="center"/>
          </w:tcPr>
          <w:p w14:paraId="1DA462A9">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95.40 ± 29.99ᵃ</w:t>
            </w:r>
          </w:p>
        </w:tc>
        <w:tc>
          <w:tcPr>
            <w:tcW w:w="1190" w:type="dxa"/>
            <w:vAlign w:val="center"/>
          </w:tcPr>
          <w:p w14:paraId="240FCC59">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100</w:t>
            </w:r>
          </w:p>
        </w:tc>
        <w:tc>
          <w:tcPr>
            <w:tcW w:w="978" w:type="dxa"/>
            <w:vAlign w:val="center"/>
          </w:tcPr>
          <w:p w14:paraId="15C149CC">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100</w:t>
            </w:r>
          </w:p>
        </w:tc>
        <w:tc>
          <w:tcPr>
            <w:tcW w:w="1004" w:type="dxa"/>
            <w:vAlign w:val="center"/>
          </w:tcPr>
          <w:p w14:paraId="4669A60A">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5.497</w:t>
            </w:r>
          </w:p>
        </w:tc>
        <w:tc>
          <w:tcPr>
            <w:tcW w:w="1016" w:type="dxa"/>
            <w:vAlign w:val="center"/>
          </w:tcPr>
          <w:p w14:paraId="5E13B3C2">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0.001*</w:t>
            </w:r>
          </w:p>
        </w:tc>
      </w:tr>
      <w:tr w14:paraId="2667DB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2B4A35F3">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Vanadium (V)</w:t>
            </w:r>
          </w:p>
        </w:tc>
        <w:tc>
          <w:tcPr>
            <w:tcW w:w="1617" w:type="dxa"/>
            <w:vAlign w:val="center"/>
          </w:tcPr>
          <w:p w14:paraId="59046A37">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60.82 ± 12.08ᵇ</w:t>
            </w:r>
          </w:p>
        </w:tc>
        <w:tc>
          <w:tcPr>
            <w:tcW w:w="1701" w:type="dxa"/>
            <w:vAlign w:val="center"/>
          </w:tcPr>
          <w:p w14:paraId="196BB000">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62.74 ± 10.30ᵇ</w:t>
            </w:r>
          </w:p>
        </w:tc>
        <w:tc>
          <w:tcPr>
            <w:tcW w:w="1664" w:type="dxa"/>
            <w:vAlign w:val="center"/>
          </w:tcPr>
          <w:p w14:paraId="534BB8A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56.46 ± 15.83ᵇ</w:t>
            </w:r>
          </w:p>
        </w:tc>
        <w:tc>
          <w:tcPr>
            <w:tcW w:w="1628" w:type="dxa"/>
            <w:vAlign w:val="center"/>
          </w:tcPr>
          <w:p w14:paraId="1AF8CC65">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66.19 ± 22.53ᵇ</w:t>
            </w:r>
          </w:p>
        </w:tc>
        <w:tc>
          <w:tcPr>
            <w:tcW w:w="1843" w:type="dxa"/>
            <w:vAlign w:val="center"/>
          </w:tcPr>
          <w:p w14:paraId="55C608B8">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76.40 ± 12.32ᵃ</w:t>
            </w:r>
          </w:p>
        </w:tc>
        <w:tc>
          <w:tcPr>
            <w:tcW w:w="1190" w:type="dxa"/>
            <w:vAlign w:val="center"/>
          </w:tcPr>
          <w:p w14:paraId="7F0E66F6">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150</w:t>
            </w:r>
          </w:p>
        </w:tc>
        <w:tc>
          <w:tcPr>
            <w:tcW w:w="978" w:type="dxa"/>
            <w:vAlign w:val="center"/>
          </w:tcPr>
          <w:p w14:paraId="29135C6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140</w:t>
            </w:r>
          </w:p>
        </w:tc>
        <w:tc>
          <w:tcPr>
            <w:tcW w:w="1004" w:type="dxa"/>
            <w:vAlign w:val="center"/>
          </w:tcPr>
          <w:p w14:paraId="2949665E">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2.428</w:t>
            </w:r>
          </w:p>
        </w:tc>
        <w:tc>
          <w:tcPr>
            <w:tcW w:w="1016" w:type="dxa"/>
            <w:vAlign w:val="center"/>
          </w:tcPr>
          <w:p w14:paraId="7FE8F0B9">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0.061</w:t>
            </w:r>
          </w:p>
        </w:tc>
      </w:tr>
      <w:tr w14:paraId="235EFA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vAlign w:val="center"/>
          </w:tcPr>
          <w:p w14:paraId="795B8AF1">
            <w:pPr>
              <w:spacing w:after="0" w:line="276" w:lineRule="auto"/>
              <w:rPr>
                <w:rFonts w:ascii="Times New Roman" w:hAnsi="Times New Roman" w:eastAsia="Times New Roman" w:cs="Times New Roman"/>
                <w:b/>
                <w:bCs/>
                <w:kern w:val="144"/>
                <w:sz w:val="24"/>
                <w:szCs w:val="24"/>
                <w:lang w:val="zh-CN" w:eastAsia="zh-CN"/>
                <w14:ligatures w14:val="none"/>
              </w:rPr>
            </w:pPr>
            <w:r>
              <w:rPr>
                <w:rStyle w:val="20"/>
                <w:rFonts w:ascii="Times New Roman" w:hAnsi="Times New Roman" w:cs="Times New Roman"/>
                <w:b w:val="0"/>
                <w:bCs w:val="0"/>
                <w:sz w:val="24"/>
                <w:szCs w:val="24"/>
              </w:rPr>
              <w:t>Zinc (Zn)</w:t>
            </w:r>
          </w:p>
        </w:tc>
        <w:tc>
          <w:tcPr>
            <w:tcW w:w="1617" w:type="dxa"/>
            <w:vAlign w:val="center"/>
          </w:tcPr>
          <w:p w14:paraId="47EE4586">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244.23 ± 24.01ᵇ</w:t>
            </w:r>
          </w:p>
        </w:tc>
        <w:tc>
          <w:tcPr>
            <w:tcW w:w="1701" w:type="dxa"/>
            <w:vAlign w:val="center"/>
          </w:tcPr>
          <w:p w14:paraId="1AEDF6D4">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253.10 ± 43.10ᵇ</w:t>
            </w:r>
          </w:p>
        </w:tc>
        <w:tc>
          <w:tcPr>
            <w:tcW w:w="1664" w:type="dxa"/>
            <w:vAlign w:val="center"/>
          </w:tcPr>
          <w:p w14:paraId="3622F1F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203.37 ± 47.11ᶜ</w:t>
            </w:r>
          </w:p>
        </w:tc>
        <w:tc>
          <w:tcPr>
            <w:tcW w:w="1628" w:type="dxa"/>
            <w:vAlign w:val="center"/>
          </w:tcPr>
          <w:p w14:paraId="75AA61FB">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255.34±61.19ᵇ</w:t>
            </w:r>
          </w:p>
        </w:tc>
        <w:tc>
          <w:tcPr>
            <w:tcW w:w="1843" w:type="dxa"/>
            <w:vAlign w:val="center"/>
          </w:tcPr>
          <w:p w14:paraId="247DC9AE">
            <w:pPr>
              <w:spacing w:after="0" w:line="276" w:lineRule="auto"/>
              <w:jc w:val="center"/>
              <w:rPr>
                <w:rFonts w:ascii="Times New Roman" w:hAnsi="Times New Roman" w:eastAsia="Times New Roman" w:cs="Times New Roman"/>
                <w:kern w:val="144"/>
                <w:lang w:val="zh-CN" w:eastAsia="zh-CN"/>
                <w14:ligatures w14:val="none"/>
              </w:rPr>
            </w:pPr>
            <w:r>
              <w:rPr>
                <w:rFonts w:ascii="Times New Roman" w:hAnsi="Times New Roman" w:eastAsia="Times New Roman" w:cs="Times New Roman"/>
                <w:kern w:val="144"/>
                <w:lang w:val="zh-CN" w:eastAsia="zh-CN"/>
                <w14:ligatures w14:val="none"/>
              </w:rPr>
              <w:t>267.72 ± 54.98ᵃ</w:t>
            </w:r>
          </w:p>
        </w:tc>
        <w:tc>
          <w:tcPr>
            <w:tcW w:w="1190" w:type="dxa"/>
            <w:vAlign w:val="center"/>
          </w:tcPr>
          <w:p w14:paraId="6205E210">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300</w:t>
            </w:r>
          </w:p>
        </w:tc>
        <w:tc>
          <w:tcPr>
            <w:tcW w:w="978" w:type="dxa"/>
            <w:vAlign w:val="center"/>
          </w:tcPr>
          <w:p w14:paraId="2BF4FE99">
            <w:pPr>
              <w:spacing w:after="0" w:line="276" w:lineRule="auto"/>
              <w:jc w:val="center"/>
              <w:rPr>
                <w:rFonts w:ascii="Times New Roman" w:hAnsi="Times New Roman" w:cs="Times New Roman"/>
                <w:color w:val="000000"/>
                <w:kern w:val="144"/>
                <w:sz w:val="24"/>
                <w:szCs w:val="24"/>
                <w:lang w:val="zh-CN"/>
              </w:rPr>
            </w:pPr>
            <w:r>
              <w:rPr>
                <w:rFonts w:ascii="Times New Roman" w:hAnsi="Times New Roman" w:cs="Times New Roman"/>
                <w:sz w:val="24"/>
                <w:szCs w:val="24"/>
              </w:rPr>
              <w:t>200–300</w:t>
            </w:r>
          </w:p>
        </w:tc>
        <w:tc>
          <w:tcPr>
            <w:tcW w:w="1004" w:type="dxa"/>
            <w:vAlign w:val="center"/>
          </w:tcPr>
          <w:p w14:paraId="08AED67B">
            <w:pPr>
              <w:spacing w:after="0" w:line="276"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cs="Times New Roman"/>
                <w:color w:val="000000"/>
                <w:kern w:val="144"/>
                <w:sz w:val="24"/>
                <w:szCs w:val="24"/>
                <w:lang w:val="zh-CN"/>
              </w:rPr>
              <w:t>2.651</w:t>
            </w:r>
          </w:p>
        </w:tc>
        <w:tc>
          <w:tcPr>
            <w:tcW w:w="1016" w:type="dxa"/>
            <w:vAlign w:val="center"/>
          </w:tcPr>
          <w:p w14:paraId="3666DDFD">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cs="Times New Roman"/>
                <w:b/>
                <w:bCs/>
                <w:color w:val="000000"/>
                <w:kern w:val="144"/>
                <w:sz w:val="24"/>
                <w:szCs w:val="24"/>
                <w:lang w:val="zh-CN"/>
              </w:rPr>
              <w:t>0.045*</w:t>
            </w:r>
          </w:p>
        </w:tc>
      </w:tr>
    </w:tbl>
    <w:p w14:paraId="3DB64840">
      <w:pPr>
        <w:spacing w:after="100" w:afterAutospacing="1" w:line="240" w:lineRule="auto"/>
        <w:jc w:val="both"/>
        <w:rPr>
          <w:rFonts w:ascii="Times New Roman" w:hAnsi="Times New Roman" w:cs="Times New Roman"/>
        </w:rPr>
        <w:sectPr>
          <w:pgSz w:w="15840" w:h="12240" w:orient="landscape"/>
          <w:pgMar w:top="1440" w:right="1440" w:bottom="1440" w:left="1440" w:header="709" w:footer="709" w:gutter="0"/>
          <w:cols w:space="708" w:num="1"/>
          <w:docGrid w:linePitch="360" w:charSpace="0"/>
        </w:sectPr>
      </w:pPr>
      <w:r>
        <w:rPr>
          <w:rFonts w:ascii="Times New Roman" w:hAnsi="Times New Roman" w:eastAsia="Times New Roman" w:cs="Times New Roman"/>
          <w:b/>
          <w:bCs/>
          <w:kern w:val="144"/>
          <w:lang w:val="zh-CN" w:eastAsia="zh-CN"/>
          <w14:ligatures w14:val="none"/>
        </w:rPr>
        <w:t>Note:</w:t>
      </w:r>
      <w:r>
        <w:rPr>
          <w:rFonts w:ascii="Times New Roman" w:hAnsi="Times New Roman" w:eastAsia="Times New Roman" w:cs="Times New Roman"/>
          <w:kern w:val="144"/>
          <w:lang w:val="zh-CN" w:eastAsia="zh-CN"/>
          <w14:ligatures w14:val="none"/>
        </w:rPr>
        <w:t xml:space="preserve"> Values represent mean ± standard deviation (mg/kg). Means followed by different superscript letters (</w:t>
      </w:r>
      <w:r>
        <w:rPr>
          <w:rFonts w:ascii="Times New Roman" w:hAnsi="Times New Roman" w:eastAsia="Times New Roman" w:cs="Times New Roman"/>
          <w:kern w:val="144"/>
          <w:vertAlign w:val="superscript"/>
          <w:lang w:val="zh-CN" w:eastAsia="zh-CN"/>
          <w14:ligatures w14:val="none"/>
        </w:rPr>
        <w:t>a</w:t>
      </w:r>
      <w:r>
        <w:rPr>
          <w:rFonts w:ascii="Times New Roman" w:hAnsi="Times New Roman" w:eastAsia="Times New Roman" w:cs="Times New Roman"/>
          <w:kern w:val="144"/>
          <w:lang w:val="zh-CN" w:eastAsia="zh-CN"/>
          <w14:ligatures w14:val="none"/>
        </w:rPr>
        <w:t xml:space="preserve">, </w:t>
      </w:r>
      <w:r>
        <w:rPr>
          <w:rFonts w:ascii="Times New Roman" w:hAnsi="Times New Roman" w:eastAsia="Times New Roman" w:cs="Times New Roman"/>
          <w:kern w:val="144"/>
          <w:vertAlign w:val="superscript"/>
          <w:lang w:val="zh-CN" w:eastAsia="zh-CN"/>
          <w14:ligatures w14:val="none"/>
        </w:rPr>
        <w:t>b</w:t>
      </w:r>
      <w:r>
        <w:rPr>
          <w:rFonts w:ascii="Times New Roman" w:hAnsi="Times New Roman" w:eastAsia="Times New Roman" w:cs="Times New Roman"/>
          <w:kern w:val="144"/>
          <w:lang w:val="zh-CN" w:eastAsia="zh-CN"/>
          <w14:ligatures w14:val="none"/>
        </w:rPr>
        <w:t xml:space="preserve">, </w:t>
      </w:r>
      <w:r>
        <w:rPr>
          <w:rFonts w:ascii="Times New Roman" w:hAnsi="Times New Roman" w:eastAsia="Times New Roman" w:cs="Times New Roman"/>
          <w:kern w:val="144"/>
          <w:vertAlign w:val="superscript"/>
          <w:lang w:val="zh-CN" w:eastAsia="zh-CN"/>
          <w14:ligatures w14:val="none"/>
        </w:rPr>
        <w:t>c</w:t>
      </w:r>
      <w:r>
        <w:rPr>
          <w:rFonts w:ascii="Times New Roman" w:hAnsi="Times New Roman" w:eastAsia="Times New Roman" w:cs="Times New Roman"/>
          <w:kern w:val="144"/>
          <w:lang w:val="zh-CN" w:eastAsia="zh-CN"/>
          <w14:ligatures w14:val="none"/>
        </w:rPr>
        <w:t xml:space="preserve">) within the same row differ significantly at </w:t>
      </w:r>
      <w:r>
        <w:rPr>
          <w:rFonts w:ascii="Times New Roman" w:hAnsi="Times New Roman" w:eastAsia="Times New Roman" w:cs="Times New Roman"/>
          <w:i/>
          <w:iCs/>
          <w:kern w:val="144"/>
          <w:lang w:val="zh-CN" w:eastAsia="zh-CN"/>
          <w14:ligatures w14:val="none"/>
        </w:rPr>
        <w:t>p &lt; 0.05</w:t>
      </w:r>
      <w:r>
        <w:rPr>
          <w:rFonts w:ascii="Times New Roman" w:hAnsi="Times New Roman" w:eastAsia="Times New Roman" w:cs="Times New Roman"/>
          <w:kern w:val="144"/>
          <w:lang w:val="zh-CN" w:eastAsia="zh-CN"/>
          <w14:ligatures w14:val="none"/>
        </w:rPr>
        <w:t xml:space="preserve"> (Tukey HSD test). </w:t>
      </w:r>
      <w:r>
        <w:rPr>
          <w:rFonts w:ascii="Times New Roman" w:hAnsi="Times New Roman" w:cs="Times New Roman"/>
        </w:rPr>
        <w:t>National Environmental Standards and Regulations Enforcement Agency (NESREA, 2011); World Health Organization (WHO, 2022).</w:t>
      </w:r>
    </w:p>
    <w:p w14:paraId="25CF3E75">
      <w:pPr>
        <w:pStyle w:val="3"/>
        <w:spacing w:line="480" w:lineRule="auto"/>
        <w:rPr>
          <w:rFonts w:ascii="Times New Roman" w:hAnsi="Times New Roman" w:cs="Times New Roman"/>
          <w:color w:val="auto"/>
          <w:sz w:val="24"/>
          <w:szCs w:val="24"/>
        </w:rPr>
      </w:pPr>
      <w:bookmarkStart w:id="7" w:name="_Toc216956395"/>
      <w:r>
        <w:rPr>
          <w:rFonts w:hint="default" w:ascii="Times New Roman" w:hAnsi="Times New Roman" w:cs="Times New Roman"/>
          <w:color w:val="auto"/>
          <w:sz w:val="24"/>
          <w:szCs w:val="24"/>
          <w:lang w:val="en-US"/>
        </w:rPr>
        <w:t xml:space="preserve">4.1 </w:t>
      </w:r>
      <w:r>
        <w:rPr>
          <w:rFonts w:ascii="Times New Roman" w:hAnsi="Times New Roman" w:cs="Times New Roman"/>
          <w:color w:val="auto"/>
          <w:sz w:val="24"/>
          <w:szCs w:val="24"/>
        </w:rPr>
        <w:t>Discussion</w:t>
      </w:r>
    </w:p>
    <w:p w14:paraId="16DD3879">
      <w:pPr>
        <w:spacing w:line="480" w:lineRule="auto"/>
        <w:jc w:val="both"/>
        <w:rPr>
          <w:rFonts w:ascii="Times New Roman" w:hAnsi="Times New Roman" w:eastAsia="Aptos"/>
          <w:b/>
          <w:bCs/>
          <w:sz w:val="24"/>
          <w:szCs w:val="24"/>
          <w:highlight w:val="none"/>
        </w:rPr>
      </w:pPr>
      <w:r>
        <w:rPr>
          <w:rFonts w:hint="default" w:ascii="Times New Roman" w:hAnsi="Times New Roman" w:eastAsia="Aptos" w:cs="Times New Roman"/>
          <w:b/>
          <w:bCs/>
          <w:sz w:val="24"/>
          <w:szCs w:val="24"/>
          <w:highlight w:val="none"/>
          <w:lang w:val="en-US"/>
        </w:rPr>
        <w:t xml:space="preserve">4.1.1 </w:t>
      </w:r>
      <w:r>
        <w:rPr>
          <w:rFonts w:ascii="Times New Roman" w:hAnsi="Times New Roman" w:eastAsia="Aptos"/>
          <w:b/>
          <w:bCs/>
          <w:sz w:val="24"/>
          <w:szCs w:val="24"/>
          <w:highlight w:val="none"/>
        </w:rPr>
        <w:t>Concentration Level of Heavy Metals in the Road Dust of the Study Area</w:t>
      </w:r>
    </w:p>
    <w:p w14:paraId="60481083">
      <w:pPr>
        <w:pStyle w:val="19"/>
        <w:spacing w:before="0" w:beforeAutospacing="0" w:line="480" w:lineRule="auto"/>
        <w:jc w:val="both"/>
        <w:rPr>
          <w:highlight w:val="none"/>
        </w:rPr>
      </w:pPr>
      <w:r>
        <w:rPr>
          <w:highlight w:val="none"/>
        </w:rPr>
        <w:t>The assessment of heavy metal concentrations in roadside dust across five major roads</w:t>
      </w:r>
      <w:r>
        <w:rPr>
          <w:rFonts w:hint="default"/>
          <w:highlight w:val="none"/>
          <w:lang w:val="en-US"/>
        </w:rPr>
        <w:t xml:space="preserve"> selected</w:t>
      </w:r>
      <w:r>
        <w:rPr>
          <w:highlight w:val="none"/>
        </w:rPr>
        <w:t xml:space="preserve"> in Kano Metropolis reveals a combination of lithogenic inputs from soil and crustal sources and anthropogenic contributions from traffic, industrial activities, construction, and urban infrastructure. </w:t>
      </w:r>
    </w:p>
    <w:p w14:paraId="1670117B">
      <w:pPr>
        <w:pStyle w:val="19"/>
        <w:spacing w:before="0" w:beforeAutospacing="0" w:line="480" w:lineRule="auto"/>
        <w:jc w:val="both"/>
        <w:rPr>
          <w:highlight w:val="none"/>
        </w:rPr>
      </w:pPr>
      <w:r>
        <w:rPr>
          <w:highlight w:val="none"/>
        </w:rPr>
        <w:t xml:space="preserve">Aluminium (Al), arsenic (As), cadmium (Cd), cobalt (Co), chromium (Cr), copper (Cu), iron (Fe), mercury (Hg), magnesium (Mg), manganese (Mn), nickel (Ni), lead (Pb), tin (Sn), vanadium (V), and zinc (Zn) were detected at varying levels, with most metals displaying enhanced concentrations along high-traffic corridors. These findings align with regional and global evidence that road dust in rapidly urbanizing cities becomes a sink for pollutants derived from vehicle emissions, tyre and brake wear, lubricating oils, metallic corrosion, and the resuspension of contaminated particles (Vlasov </w:t>
      </w:r>
      <w:r>
        <w:rPr>
          <w:i/>
          <w:iCs/>
          <w:highlight w:val="none"/>
        </w:rPr>
        <w:t>et al</w:t>
      </w:r>
      <w:r>
        <w:rPr>
          <w:highlight w:val="none"/>
        </w:rPr>
        <w:t xml:space="preserve">., 2022; Rybak </w:t>
      </w:r>
      <w:r>
        <w:rPr>
          <w:i/>
          <w:iCs/>
          <w:highlight w:val="none"/>
        </w:rPr>
        <w:t>et al</w:t>
      </w:r>
      <w:r>
        <w:rPr>
          <w:highlight w:val="none"/>
        </w:rPr>
        <w:t xml:space="preserve">., 2020; Lei </w:t>
      </w:r>
      <w:r>
        <w:rPr>
          <w:i/>
          <w:iCs/>
          <w:highlight w:val="none"/>
        </w:rPr>
        <w:t>et al</w:t>
      </w:r>
      <w:r>
        <w:rPr>
          <w:highlight w:val="none"/>
        </w:rPr>
        <w:t>., 2025).</w:t>
      </w:r>
    </w:p>
    <w:p w14:paraId="6C293FD1">
      <w:pPr>
        <w:pStyle w:val="19"/>
        <w:spacing w:before="0" w:beforeAutospacing="0" w:line="480" w:lineRule="auto"/>
        <w:jc w:val="both"/>
        <w:rPr>
          <w:b/>
          <w:bCs/>
          <w:i/>
          <w:iCs/>
        </w:rPr>
      </w:pPr>
      <w:r>
        <w:rPr>
          <w:b/>
          <w:bCs/>
          <w:i/>
          <w:iCs/>
        </w:rPr>
        <w:t>Aluminium (Al)</w:t>
      </w:r>
    </w:p>
    <w:p w14:paraId="21606DF1">
      <w:pPr>
        <w:pStyle w:val="19"/>
        <w:spacing w:before="0" w:beforeAutospacing="0" w:line="480" w:lineRule="auto"/>
        <w:jc w:val="both"/>
      </w:pPr>
      <w:r>
        <w:t xml:space="preserve">Aluminium (Al) exhibited mean concentrations from 107.37 to 131.99 mg/kg, with the highest values along Hadejia Road, slightly exceeding NESREA’s reference threshold (120 mg/kg; NESREA, 2016). The pattern reflects inputs from natural crustal deposits and anthropogenic activities such as vehicle abrasion and construction. Comparable concentrations have been reported in Lagos, Ibadan, and Abuja, indicating a wider national trend of elevated Al in metropolitan areas (Ojiodu </w:t>
      </w:r>
      <w:r>
        <w:rPr>
          <w:i/>
          <w:iCs/>
        </w:rPr>
        <w:t>et al</w:t>
      </w:r>
      <w:r>
        <w:t xml:space="preserve">., 2023; Kolawole </w:t>
      </w:r>
      <w:r>
        <w:rPr>
          <w:i/>
          <w:iCs/>
        </w:rPr>
        <w:t>et al</w:t>
      </w:r>
      <w:r>
        <w:t xml:space="preserve">., 2023; Aturamu </w:t>
      </w:r>
      <w:r>
        <w:rPr>
          <w:i/>
          <w:iCs/>
        </w:rPr>
        <w:t>et al</w:t>
      </w:r>
      <w:r>
        <w:t xml:space="preserve">., 2024). </w:t>
      </w:r>
    </w:p>
    <w:p w14:paraId="1F4812A6">
      <w:pPr>
        <w:pStyle w:val="19"/>
        <w:spacing w:before="0" w:beforeAutospacing="0" w:line="480" w:lineRule="auto"/>
        <w:jc w:val="both"/>
      </w:pPr>
    </w:p>
    <w:p w14:paraId="49031AD8">
      <w:pPr>
        <w:pStyle w:val="19"/>
        <w:spacing w:before="0" w:beforeAutospacing="0" w:line="480" w:lineRule="auto"/>
        <w:jc w:val="both"/>
      </w:pPr>
    </w:p>
    <w:p w14:paraId="345B86C3">
      <w:pPr>
        <w:pStyle w:val="19"/>
        <w:spacing w:before="0" w:beforeAutospacing="0" w:line="480" w:lineRule="auto"/>
        <w:jc w:val="both"/>
      </w:pPr>
      <w:r>
        <w:rPr>
          <w:b/>
          <w:bCs/>
          <w:i/>
          <w:iCs/>
        </w:rPr>
        <w:t>Arsenic (As)</w:t>
      </w:r>
    </w:p>
    <w:p w14:paraId="0944B2E7">
      <w:pPr>
        <w:pStyle w:val="19"/>
        <w:spacing w:before="0" w:beforeAutospacing="0" w:line="480" w:lineRule="auto"/>
        <w:jc w:val="both"/>
      </w:pPr>
      <w:r>
        <w:t xml:space="preserve">Arsenic (As) concentrations ranged from 119.85 to 161.65 mg/kg, with the highest levels along BUK and Maiduguri Roads, reflecting dense traffic, commercial activity, and fuel combustion. The results are consistent with studies in Lagos and Abuja that report arsenic enrichment near commercial hubs and congested roadways (Ojiodu </w:t>
      </w:r>
      <w:r>
        <w:rPr>
          <w:i/>
          <w:iCs/>
        </w:rPr>
        <w:t>et al</w:t>
      </w:r>
      <w:r>
        <w:t xml:space="preserve">., 2023; Kolawole </w:t>
      </w:r>
      <w:r>
        <w:rPr>
          <w:i/>
          <w:iCs/>
        </w:rPr>
        <w:t>et al</w:t>
      </w:r>
      <w:r>
        <w:t xml:space="preserve">., 2023; Aturamu </w:t>
      </w:r>
      <w:r>
        <w:rPr>
          <w:i/>
          <w:iCs/>
        </w:rPr>
        <w:t>et al</w:t>
      </w:r>
      <w:r>
        <w:t xml:space="preserve">., 2024). As a Group 1 carcinogen, arsenic exposure poses risks including neurological impairment, cardiovascular complications, skin lesions, and malignancies, particularly for children, vendors, and roadside workers (Skalny </w:t>
      </w:r>
      <w:r>
        <w:rPr>
          <w:i/>
          <w:iCs/>
        </w:rPr>
        <w:t>et al</w:t>
      </w:r>
      <w:r>
        <w:t xml:space="preserve">., 2021; Igbokwe </w:t>
      </w:r>
      <w:r>
        <w:rPr>
          <w:i/>
          <w:iCs/>
        </w:rPr>
        <w:t>et al</w:t>
      </w:r>
      <w:r>
        <w:t xml:space="preserve">., 2020). The hotspots observed indicate a need for targeted mitigation measures. </w:t>
      </w:r>
    </w:p>
    <w:p w14:paraId="05E34912">
      <w:pPr>
        <w:pStyle w:val="19"/>
        <w:spacing w:before="0" w:beforeAutospacing="0" w:line="480" w:lineRule="auto"/>
        <w:jc w:val="both"/>
        <w:rPr>
          <w:b/>
          <w:bCs/>
          <w:i/>
          <w:iCs/>
        </w:rPr>
      </w:pPr>
      <w:r>
        <w:rPr>
          <w:b/>
          <w:bCs/>
          <w:i/>
          <w:iCs/>
        </w:rPr>
        <w:t>Cadmium (Cd)</w:t>
      </w:r>
    </w:p>
    <w:p w14:paraId="6EC1DCE9">
      <w:pPr>
        <w:pStyle w:val="19"/>
        <w:spacing w:before="0" w:beforeAutospacing="0" w:line="480" w:lineRule="auto"/>
        <w:jc w:val="both"/>
      </w:pPr>
      <w:r>
        <w:t xml:space="preserve">Cadmium (Cd) occurred at 31.72–43.92 mg/kg, with notable enrichment at Hadejia and Zaria Roads, associated with tyre and brake wear, fuel combustion, and informal waste incineration. Similar concentrations from other Nigerian cities highlight the metal’s persistence in urban traffic corridors (Ojiodu </w:t>
      </w:r>
      <w:r>
        <w:rPr>
          <w:i/>
          <w:iCs/>
        </w:rPr>
        <w:t>et al</w:t>
      </w:r>
      <w:r>
        <w:t xml:space="preserve">., 2023; Kolawole </w:t>
      </w:r>
      <w:r>
        <w:rPr>
          <w:i/>
          <w:iCs/>
        </w:rPr>
        <w:t>et al</w:t>
      </w:r>
      <w:r>
        <w:t xml:space="preserve">., 2023). Cd is highly toxic, linked to kidney dysfunction, respiratory disorders, and bone demineralization in exposed populations (Skalny </w:t>
      </w:r>
      <w:r>
        <w:rPr>
          <w:i/>
          <w:iCs/>
        </w:rPr>
        <w:t>et al</w:t>
      </w:r>
      <w:r>
        <w:t xml:space="preserve">., 2021; Renke </w:t>
      </w:r>
      <w:r>
        <w:rPr>
          <w:i/>
          <w:iCs/>
        </w:rPr>
        <w:t>et al</w:t>
      </w:r>
      <w:r>
        <w:t>., 2023). These concentrations reveal the need for improved waste management and dust suppression practices.</w:t>
      </w:r>
    </w:p>
    <w:p w14:paraId="1BFD7310">
      <w:pPr>
        <w:pStyle w:val="19"/>
        <w:spacing w:before="0" w:beforeAutospacing="0" w:line="480" w:lineRule="auto"/>
        <w:jc w:val="both"/>
        <w:rPr>
          <w:b/>
          <w:bCs/>
          <w:i/>
          <w:iCs/>
        </w:rPr>
      </w:pPr>
      <w:r>
        <w:rPr>
          <w:b/>
          <w:bCs/>
          <w:i/>
          <w:iCs/>
        </w:rPr>
        <w:t>Cobalt (Co)</w:t>
      </w:r>
    </w:p>
    <w:p w14:paraId="1488FEB4">
      <w:pPr>
        <w:pStyle w:val="19"/>
        <w:spacing w:before="0" w:beforeAutospacing="0" w:line="480" w:lineRule="auto"/>
        <w:jc w:val="both"/>
      </w:pPr>
      <w:r>
        <w:t xml:space="preserve">Cobalt (Co) displayed concentrations between 68.69 and 127.33 mg/kg, with higher values near busy corridors, consistent with contributions from alloyed metal components, industrial emissions, and mechanical activities. Similar enrichment patterns </w:t>
      </w:r>
      <w:r>
        <w:rPr>
          <w:rFonts w:hint="default"/>
          <w:lang w:val="en-US"/>
        </w:rPr>
        <w:t>were</w:t>
      </w:r>
      <w:r>
        <w:t xml:space="preserve"> reported in Lagos and Abuja (Kolawole </w:t>
      </w:r>
      <w:r>
        <w:rPr>
          <w:i/>
          <w:iCs/>
        </w:rPr>
        <w:t>et al</w:t>
      </w:r>
      <w:r>
        <w:t xml:space="preserve">., 2023). Although an essential trace element, chronic exposure may lead to respiratory and cardiovascular complications, particularly in frequently exposed groups such as mechanics and vendors (Igbokwe </w:t>
      </w:r>
      <w:r>
        <w:rPr>
          <w:i/>
          <w:iCs/>
        </w:rPr>
        <w:t>et al</w:t>
      </w:r>
      <w:r>
        <w:t xml:space="preserve">., 2020; Renke </w:t>
      </w:r>
      <w:r>
        <w:rPr>
          <w:i/>
          <w:iCs/>
        </w:rPr>
        <w:t>et al</w:t>
      </w:r>
      <w:r>
        <w:t xml:space="preserve">., 2023). </w:t>
      </w:r>
    </w:p>
    <w:p w14:paraId="3DDD4072">
      <w:pPr>
        <w:pStyle w:val="19"/>
        <w:spacing w:before="0" w:beforeAutospacing="0" w:line="480" w:lineRule="auto"/>
        <w:jc w:val="both"/>
        <w:rPr>
          <w:b/>
          <w:bCs/>
          <w:i/>
          <w:iCs/>
        </w:rPr>
      </w:pPr>
      <w:r>
        <w:rPr>
          <w:b/>
          <w:bCs/>
          <w:i/>
          <w:iCs/>
        </w:rPr>
        <w:t>Chromium (Cr)</w:t>
      </w:r>
    </w:p>
    <w:p w14:paraId="11FBA60D">
      <w:pPr>
        <w:pStyle w:val="19"/>
        <w:spacing w:before="0" w:beforeAutospacing="0" w:line="480" w:lineRule="auto"/>
        <w:jc w:val="both"/>
      </w:pPr>
      <w:r>
        <w:t xml:space="preserve">Chromium (Cr) concentrations ranged from 91.08 to 109.01 mg/kg, peaking along Zaria and Maiduguri Roads. The enrichment reflects stainless-steel abrasion, vehicular emissions, and construction residues, supporting global findings that Cr in road dust is both vehicular and lithogenic in origin (Vlasov </w:t>
      </w:r>
      <w:r>
        <w:rPr>
          <w:i/>
          <w:iCs/>
        </w:rPr>
        <w:t>et al</w:t>
      </w:r>
      <w:r>
        <w:t xml:space="preserve">., 2022; Lei </w:t>
      </w:r>
      <w:r>
        <w:rPr>
          <w:i/>
          <w:iCs/>
        </w:rPr>
        <w:t>et al</w:t>
      </w:r>
      <w:r>
        <w:t xml:space="preserve">., 2025). Given that Cr(VI) is carcinogenic while Cr(III) is nutritionally essential, speciation monitoring is important to determine health risk, particularly in traffic-dense zones (Skalny </w:t>
      </w:r>
      <w:r>
        <w:rPr>
          <w:i/>
          <w:iCs/>
        </w:rPr>
        <w:t>et al</w:t>
      </w:r>
      <w:r>
        <w:t xml:space="preserve">., 2021; Igbokwe </w:t>
      </w:r>
      <w:r>
        <w:rPr>
          <w:i/>
          <w:iCs/>
        </w:rPr>
        <w:t>et al</w:t>
      </w:r>
      <w:r>
        <w:t>., 2020).</w:t>
      </w:r>
    </w:p>
    <w:p w14:paraId="213DF8EA">
      <w:pPr>
        <w:pStyle w:val="19"/>
        <w:spacing w:before="0" w:beforeAutospacing="0" w:line="480" w:lineRule="auto"/>
        <w:jc w:val="both"/>
        <w:rPr>
          <w:b/>
          <w:bCs/>
          <w:i/>
          <w:iCs/>
        </w:rPr>
      </w:pPr>
      <w:r>
        <w:rPr>
          <w:b/>
          <w:bCs/>
          <w:i/>
          <w:iCs/>
        </w:rPr>
        <w:t xml:space="preserve">Copper (Cu) </w:t>
      </w:r>
    </w:p>
    <w:p w14:paraId="49EC22EC">
      <w:pPr>
        <w:pStyle w:val="19"/>
        <w:spacing w:before="0" w:beforeAutospacing="0" w:line="480" w:lineRule="auto"/>
        <w:jc w:val="both"/>
      </w:pPr>
      <w:r>
        <w:t xml:space="preserve">Copper (Cu) registered 132.80–173.56 mg/kg, with hotspots along Zaria and BUK Roads due to brake wear, metallic corrosion, and electrical components. Similar patterns are reported in other African and global cities (Ojiodu </w:t>
      </w:r>
      <w:r>
        <w:rPr>
          <w:i/>
          <w:iCs/>
        </w:rPr>
        <w:t>et al</w:t>
      </w:r>
      <w:r>
        <w:t xml:space="preserve">., 2023; Lei </w:t>
      </w:r>
      <w:r>
        <w:rPr>
          <w:i/>
          <w:iCs/>
        </w:rPr>
        <w:t>et al</w:t>
      </w:r>
      <w:r>
        <w:t xml:space="preserve">., 2025). Though nutritionally relevant, long-term inhalation or ingestion may trigger hepatic and renal toxicity (Skalny </w:t>
      </w:r>
      <w:r>
        <w:rPr>
          <w:i/>
          <w:iCs/>
        </w:rPr>
        <w:t>et al</w:t>
      </w:r>
      <w:r>
        <w:t xml:space="preserve">., 2021; Renke </w:t>
      </w:r>
      <w:r>
        <w:rPr>
          <w:i/>
          <w:iCs/>
        </w:rPr>
        <w:t>et al</w:t>
      </w:r>
      <w:r>
        <w:t xml:space="preserve">., 2023). Mitigation strategies such as improved street cleaning are therefore warranted. </w:t>
      </w:r>
    </w:p>
    <w:p w14:paraId="7FADE474">
      <w:pPr>
        <w:pStyle w:val="19"/>
        <w:spacing w:before="0" w:beforeAutospacing="0" w:line="480" w:lineRule="auto"/>
        <w:jc w:val="both"/>
        <w:rPr>
          <w:b/>
          <w:bCs/>
          <w:i/>
          <w:iCs/>
        </w:rPr>
      </w:pPr>
      <w:r>
        <w:rPr>
          <w:b/>
          <w:bCs/>
          <w:i/>
          <w:iCs/>
        </w:rPr>
        <w:t>Iron (Fe)</w:t>
      </w:r>
    </w:p>
    <w:p w14:paraId="6569C0A8">
      <w:pPr>
        <w:pStyle w:val="19"/>
        <w:spacing w:before="0" w:beforeAutospacing="0" w:line="480" w:lineRule="auto"/>
        <w:jc w:val="both"/>
      </w:pPr>
      <w:r>
        <w:t xml:space="preserve">Iron (Fe), a dominant crustal element, recorded values between 222.37 and 310.01 mg/kg, with the highest levels at Katsina and Zaria Roads, reflecting mixed natural and human sources including vehicle corrosion and soil resuspension. Similar abundances have been documented in Lagos and Ibadan (Kolawole </w:t>
      </w:r>
      <w:r>
        <w:rPr>
          <w:i/>
          <w:iCs/>
        </w:rPr>
        <w:t>et al</w:t>
      </w:r>
      <w:r>
        <w:t xml:space="preserve">., 2023). Inhaling Fe-laden particulates may induce respiratory irritation and oxidative stress in frequently exposed populations (Skalny </w:t>
      </w:r>
      <w:r>
        <w:rPr>
          <w:i/>
          <w:iCs/>
        </w:rPr>
        <w:t>et al</w:t>
      </w:r>
      <w:r>
        <w:t xml:space="preserve">., 2021; Renke </w:t>
      </w:r>
      <w:r>
        <w:rPr>
          <w:i/>
          <w:iCs/>
        </w:rPr>
        <w:t>et al</w:t>
      </w:r>
      <w:r>
        <w:t>., 2023).</w:t>
      </w:r>
    </w:p>
    <w:p w14:paraId="0C78341F">
      <w:pPr>
        <w:pStyle w:val="19"/>
        <w:spacing w:before="0" w:beforeAutospacing="0" w:line="480" w:lineRule="auto"/>
        <w:jc w:val="both"/>
      </w:pPr>
      <w:r>
        <w:rPr>
          <w:b/>
          <w:bCs/>
          <w:i/>
          <w:iCs/>
        </w:rPr>
        <w:t>Mercury (Hg)</w:t>
      </w:r>
    </w:p>
    <w:p w14:paraId="4649F835">
      <w:pPr>
        <w:pStyle w:val="19"/>
        <w:spacing w:before="0" w:beforeAutospacing="0" w:line="480" w:lineRule="auto"/>
        <w:jc w:val="both"/>
      </w:pPr>
      <w:r>
        <w:t xml:space="preserve">Mercury (Hg) concentrations of 50.53–70.19 mg/kg highlight anthropogenic contributions from fuel combustion, battery disposal, and industrial materials, particularly along Zaria and Maiduguri Roads. The findings correspond with documented Hg burdens in urban dust from Lagos and Port Harcourt (Kolawole </w:t>
      </w:r>
      <w:r>
        <w:rPr>
          <w:i/>
          <w:iCs/>
        </w:rPr>
        <w:t>et al</w:t>
      </w:r>
      <w:r>
        <w:t xml:space="preserve">., 2023). Mercury is neurotoxic even at low concentrations, posing risks of cognitive impairment and renal damage (Skalny </w:t>
      </w:r>
      <w:r>
        <w:rPr>
          <w:i/>
          <w:iCs/>
        </w:rPr>
        <w:t>et al</w:t>
      </w:r>
      <w:r>
        <w:t xml:space="preserve">., 2021; Igbokwe </w:t>
      </w:r>
      <w:r>
        <w:rPr>
          <w:i/>
          <w:iCs/>
        </w:rPr>
        <w:t>et al</w:t>
      </w:r>
      <w:r>
        <w:t xml:space="preserve">., 2020). </w:t>
      </w:r>
    </w:p>
    <w:p w14:paraId="38844E0B">
      <w:pPr>
        <w:pStyle w:val="19"/>
        <w:spacing w:before="0" w:beforeAutospacing="0" w:line="480" w:lineRule="auto"/>
        <w:jc w:val="both"/>
        <w:rPr>
          <w:b/>
          <w:bCs/>
          <w:i/>
          <w:iCs/>
        </w:rPr>
      </w:pPr>
      <w:r>
        <w:rPr>
          <w:b/>
          <w:bCs/>
          <w:i/>
          <w:iCs/>
        </w:rPr>
        <w:t>Magnesium (Mg)</w:t>
      </w:r>
    </w:p>
    <w:p w14:paraId="4DB289B1">
      <w:pPr>
        <w:pStyle w:val="19"/>
        <w:spacing w:before="0" w:beforeAutospacing="0" w:line="480" w:lineRule="auto"/>
        <w:jc w:val="both"/>
      </w:pPr>
      <w:r>
        <w:t xml:space="preserve">Magnesium (Mg) ranged from 50.20 to 71.88 mg/kg and reflects crustal origins augmented by construction and pavement abrasion. Although not highly toxic, repeated inhalation of Mg-bearing particles may exacerbate respiratory symptoms in vulnerable groups (Skalny </w:t>
      </w:r>
      <w:r>
        <w:rPr>
          <w:i/>
          <w:iCs/>
        </w:rPr>
        <w:t>et al</w:t>
      </w:r>
      <w:r>
        <w:t xml:space="preserve">., 2021). </w:t>
      </w:r>
    </w:p>
    <w:p w14:paraId="70B273CE">
      <w:pPr>
        <w:pStyle w:val="19"/>
        <w:spacing w:before="0" w:beforeAutospacing="0" w:line="480" w:lineRule="auto"/>
        <w:jc w:val="both"/>
        <w:rPr>
          <w:b/>
          <w:bCs/>
          <w:i/>
          <w:iCs/>
        </w:rPr>
      </w:pPr>
      <w:r>
        <w:rPr>
          <w:b/>
          <w:bCs/>
          <w:i/>
          <w:iCs/>
        </w:rPr>
        <w:t>Manganese (Mn)</w:t>
      </w:r>
    </w:p>
    <w:p w14:paraId="2DC21CF1">
      <w:pPr>
        <w:pStyle w:val="19"/>
        <w:spacing w:before="0" w:beforeAutospacing="0" w:line="480" w:lineRule="auto"/>
        <w:jc w:val="both"/>
      </w:pPr>
      <w:r>
        <w:t xml:space="preserve">Manganese (Mn) appeared at 105.73–127.33 mg/kg, aligning with findings that tie Mn to brake wear and traffic emissions (Rybak </w:t>
      </w:r>
      <w:r>
        <w:rPr>
          <w:i/>
          <w:iCs/>
        </w:rPr>
        <w:t>et al</w:t>
      </w:r>
      <w:r>
        <w:t xml:space="preserve">., 2020). While essential in trace amounts, excessive inhalation may contribute to neurotoxicity and motor impairment, especially among workers exposed daily (Renke </w:t>
      </w:r>
      <w:r>
        <w:rPr>
          <w:i/>
          <w:iCs/>
        </w:rPr>
        <w:t>et al</w:t>
      </w:r>
      <w:r>
        <w:t xml:space="preserve">., 2023). </w:t>
      </w:r>
    </w:p>
    <w:p w14:paraId="2CD1A2DA">
      <w:pPr>
        <w:pStyle w:val="19"/>
        <w:spacing w:before="0" w:beforeAutospacing="0" w:line="480" w:lineRule="auto"/>
        <w:jc w:val="both"/>
        <w:rPr>
          <w:b/>
          <w:bCs/>
          <w:i/>
          <w:iCs/>
        </w:rPr>
      </w:pPr>
      <w:r>
        <w:rPr>
          <w:b/>
          <w:bCs/>
          <w:i/>
          <w:iCs/>
        </w:rPr>
        <w:t>Nickel (Ni)</w:t>
      </w:r>
    </w:p>
    <w:p w14:paraId="414454C8">
      <w:pPr>
        <w:pStyle w:val="19"/>
        <w:spacing w:before="0" w:beforeAutospacing="0" w:line="480" w:lineRule="auto"/>
        <w:jc w:val="both"/>
      </w:pPr>
      <w:r>
        <w:t xml:space="preserve">Nickel (Ni) concentrations of 115.68–159.50 mg/kg highlight the influence of corrosion, engine emissions, and alloyed components along high-traffic routes, consistent with national and international patterns (Ojiodu </w:t>
      </w:r>
      <w:r>
        <w:rPr>
          <w:i/>
          <w:iCs/>
        </w:rPr>
        <w:t>et al</w:t>
      </w:r>
      <w:r>
        <w:t xml:space="preserve">., 2023; Vlasov </w:t>
      </w:r>
      <w:r>
        <w:rPr>
          <w:i/>
          <w:iCs/>
        </w:rPr>
        <w:t>et al</w:t>
      </w:r>
      <w:r>
        <w:t xml:space="preserve">., 2022). Ni is a potential carcinogen and respiratory irritant, requiring continued monitoring in congested areas (Skalny </w:t>
      </w:r>
      <w:r>
        <w:rPr>
          <w:i/>
          <w:iCs/>
        </w:rPr>
        <w:t>et al</w:t>
      </w:r>
      <w:r>
        <w:t xml:space="preserve">., 2021; Renke </w:t>
      </w:r>
      <w:r>
        <w:rPr>
          <w:i/>
          <w:iCs/>
        </w:rPr>
        <w:t>et al</w:t>
      </w:r>
      <w:r>
        <w:t>., 2023).</w:t>
      </w:r>
    </w:p>
    <w:p w14:paraId="500F81CA">
      <w:pPr>
        <w:pStyle w:val="19"/>
        <w:spacing w:before="0" w:beforeAutospacing="0" w:line="480" w:lineRule="auto"/>
        <w:jc w:val="both"/>
        <w:rPr>
          <w:b/>
          <w:bCs/>
          <w:i/>
          <w:iCs/>
        </w:rPr>
      </w:pPr>
      <w:r>
        <w:rPr>
          <w:b/>
          <w:bCs/>
          <w:i/>
          <w:iCs/>
        </w:rPr>
        <w:t>Lead (Pb)</w:t>
      </w:r>
    </w:p>
    <w:p w14:paraId="266429FD">
      <w:pPr>
        <w:pStyle w:val="19"/>
        <w:spacing w:before="0" w:beforeAutospacing="0" w:line="480" w:lineRule="auto"/>
        <w:jc w:val="both"/>
      </w:pPr>
      <w:r>
        <w:t xml:space="preserve">Lead (Pb) values ranged from 97.16 to 119.40 mg/kg, with enriched levels along Katsina, Zaria, and Maiduguri Roads. Historical leaded gasoline legacy, tyre wear, and brake linings remain defining sources, consistent with research across Nigerian and global metropolitan areas (Kolawole </w:t>
      </w:r>
      <w:r>
        <w:rPr>
          <w:i/>
          <w:iCs/>
        </w:rPr>
        <w:t>et al</w:t>
      </w:r>
      <w:r>
        <w:t xml:space="preserve">., 2023; Lei </w:t>
      </w:r>
      <w:r>
        <w:rPr>
          <w:i/>
          <w:iCs/>
        </w:rPr>
        <w:t>et al</w:t>
      </w:r>
      <w:r>
        <w:t xml:space="preserve">., 2025). Pb is a major neurotoxin with no safe exposure threshold, particularly harmful to children (Igbokwe </w:t>
      </w:r>
      <w:r>
        <w:rPr>
          <w:i/>
          <w:iCs/>
        </w:rPr>
        <w:t>et al</w:t>
      </w:r>
      <w:r>
        <w:t xml:space="preserve">., 2020; Renke </w:t>
      </w:r>
      <w:r>
        <w:rPr>
          <w:i/>
          <w:iCs/>
        </w:rPr>
        <w:t>et al</w:t>
      </w:r>
      <w:r>
        <w:t xml:space="preserve">., 2023). </w:t>
      </w:r>
    </w:p>
    <w:p w14:paraId="4914D5D7">
      <w:pPr>
        <w:pStyle w:val="19"/>
        <w:spacing w:before="0" w:beforeAutospacing="0" w:line="480" w:lineRule="auto"/>
        <w:jc w:val="both"/>
        <w:rPr>
          <w:b/>
          <w:bCs/>
          <w:i/>
          <w:iCs/>
        </w:rPr>
      </w:pPr>
      <w:r>
        <w:rPr>
          <w:b/>
          <w:bCs/>
          <w:i/>
          <w:iCs/>
        </w:rPr>
        <w:t>Tin (Sn) and vanadium (V)</w:t>
      </w:r>
    </w:p>
    <w:p w14:paraId="0440305C">
      <w:pPr>
        <w:pStyle w:val="19"/>
        <w:spacing w:before="0" w:beforeAutospacing="0" w:line="480" w:lineRule="auto"/>
        <w:jc w:val="both"/>
      </w:pPr>
      <w:r>
        <w:t xml:space="preserve">Tin (Sn) and vanadium (V) displayed moderate enrichment, particularly near industrial and mechanical zones, corresponding with international observations linking these metals to soldering residues, fuel combustion, and mechanical repairs (Vlasov </w:t>
      </w:r>
      <w:r>
        <w:rPr>
          <w:i/>
          <w:iCs/>
        </w:rPr>
        <w:t>et al</w:t>
      </w:r>
      <w:r>
        <w:t xml:space="preserve">., 2022; Olumayede </w:t>
      </w:r>
      <w:r>
        <w:rPr>
          <w:i/>
          <w:iCs/>
        </w:rPr>
        <w:t>et al</w:t>
      </w:r>
      <w:r>
        <w:t xml:space="preserve">., 2024). While Sn is relatively less toxic, certain organotin compounds pose endocrine risks (Skalny </w:t>
      </w:r>
      <w:r>
        <w:rPr>
          <w:i/>
          <w:iCs/>
        </w:rPr>
        <w:t>et al</w:t>
      </w:r>
      <w:r>
        <w:t xml:space="preserve">., 2021). V inhalation may induce respiratory and oxidative stress responses, especially among traffic-exposed populations (Renke </w:t>
      </w:r>
      <w:r>
        <w:rPr>
          <w:i/>
          <w:iCs/>
        </w:rPr>
        <w:t>et al</w:t>
      </w:r>
      <w:r>
        <w:t>., 2023).</w:t>
      </w:r>
    </w:p>
    <w:p w14:paraId="4C336E3B">
      <w:pPr>
        <w:pStyle w:val="19"/>
        <w:spacing w:before="0" w:beforeAutospacing="0" w:line="480" w:lineRule="auto"/>
        <w:jc w:val="both"/>
      </w:pPr>
      <w:r>
        <w:rPr>
          <w:b/>
          <w:bCs/>
          <w:i/>
          <w:iCs/>
        </w:rPr>
        <w:t>Zinc (Zn)</w:t>
      </w:r>
    </w:p>
    <w:p w14:paraId="4DBA8933">
      <w:pPr>
        <w:pStyle w:val="19"/>
        <w:spacing w:before="0" w:beforeAutospacing="0" w:line="480" w:lineRule="auto"/>
        <w:jc w:val="both"/>
      </w:pPr>
      <w:r>
        <w:t xml:space="preserve">Zinc (Zn) concentrations of 203.37–267.72 mg/kg show clear enrichment near Zaria and Maiduguri Roads, attributed to tyre wear, lubricating oils, and construction residues. These values parallel elevated Zn reported in Lagos, Ibadan, and Abuja (Kolawole </w:t>
      </w:r>
      <w:r>
        <w:rPr>
          <w:i/>
          <w:iCs/>
        </w:rPr>
        <w:t>et al</w:t>
      </w:r>
      <w:r>
        <w:t xml:space="preserve">., 2023; Aturamu </w:t>
      </w:r>
      <w:r>
        <w:rPr>
          <w:i/>
          <w:iCs/>
        </w:rPr>
        <w:t>et al</w:t>
      </w:r>
      <w:r>
        <w:t xml:space="preserve">., 2024). Although nutritionally relevant, chronic exposure to Zn particulates may contribute to gastrointestinal and respiratory irritation (Skalny </w:t>
      </w:r>
      <w:r>
        <w:rPr>
          <w:i/>
          <w:iCs/>
        </w:rPr>
        <w:t>et al</w:t>
      </w:r>
      <w:r>
        <w:t xml:space="preserve">., 2021; Renke </w:t>
      </w:r>
      <w:r>
        <w:rPr>
          <w:i/>
          <w:iCs/>
        </w:rPr>
        <w:t>et al</w:t>
      </w:r>
      <w:r>
        <w:t>., 2023). The study confirms that Kano’s roadside dust exhibits contamination profiles typical of fast-growing African cities, with metals reflecting combined lithogenic and traffic-driven anthropogenic sources. While some metals remain within expected urban ranges, others, particularly As, Cd, Ni, Pb, Hg, and Zn, indicate potential public health concerns due to chronic exposure from inhalation and ingestion. Urban planning interventions, dust suppression, street cleaning, traffic regulation, and public awareness are recommended to mitigate environmental and health risks.</w:t>
      </w:r>
    </w:p>
    <w:p w14:paraId="56C47E88">
      <w:pPr>
        <w:pStyle w:val="13"/>
      </w:pPr>
    </w:p>
    <w:p w14:paraId="13F56D34">
      <w:pPr>
        <w:pStyle w:val="13"/>
      </w:pPr>
    </w:p>
    <w:p w14:paraId="04994F4E">
      <w:pPr>
        <w:pStyle w:val="13"/>
      </w:pPr>
    </w:p>
    <w:p w14:paraId="788BA0E7">
      <w:pPr>
        <w:pStyle w:val="13"/>
      </w:pPr>
    </w:p>
    <w:p w14:paraId="4540F883">
      <w:pPr>
        <w:pStyle w:val="13"/>
      </w:pPr>
    </w:p>
    <w:p w14:paraId="79E84662">
      <w:pPr>
        <w:pStyle w:val="13"/>
      </w:pPr>
    </w:p>
    <w:p w14:paraId="662DBA95">
      <w:pPr>
        <w:pStyle w:val="13"/>
      </w:pPr>
    </w:p>
    <w:p w14:paraId="65187700">
      <w:pPr>
        <w:pStyle w:val="13"/>
      </w:pPr>
    </w:p>
    <w:p w14:paraId="21318FF6">
      <w:pPr>
        <w:pStyle w:val="13"/>
      </w:pPr>
    </w:p>
    <w:p w14:paraId="4C18A6DC">
      <w:pPr>
        <w:pStyle w:val="13"/>
      </w:pPr>
    </w:p>
    <w:p w14:paraId="20FDC667">
      <w:pPr>
        <w:pStyle w:val="13"/>
      </w:pPr>
    </w:p>
    <w:p w14:paraId="589CE13F">
      <w:pPr>
        <w:pStyle w:val="13"/>
      </w:pPr>
    </w:p>
    <w:p w14:paraId="042D1459">
      <w:pPr>
        <w:pStyle w:val="13"/>
      </w:pPr>
    </w:p>
    <w:p w14:paraId="4BFAAC4B">
      <w:pPr>
        <w:pStyle w:val="13"/>
      </w:pPr>
    </w:p>
    <w:p w14:paraId="71D7D1E0">
      <w:pPr>
        <w:pStyle w:val="13"/>
      </w:pPr>
    </w:p>
    <w:p w14:paraId="51368BA9">
      <w:pPr>
        <w:pStyle w:val="13"/>
      </w:pPr>
    </w:p>
    <w:p w14:paraId="62466D3B">
      <w:pPr>
        <w:pStyle w:val="13"/>
      </w:pPr>
    </w:p>
    <w:p w14:paraId="10E26185">
      <w:pPr>
        <w:pStyle w:val="13"/>
      </w:pPr>
    </w:p>
    <w:p w14:paraId="61D7D554">
      <w:pPr>
        <w:pStyle w:val="13"/>
      </w:pPr>
    </w:p>
    <w:p w14:paraId="52196570">
      <w:pPr>
        <w:pStyle w:val="13"/>
      </w:pPr>
    </w:p>
    <w:p w14:paraId="0B81D66A">
      <w:pPr>
        <w:pStyle w:val="13"/>
      </w:pPr>
    </w:p>
    <w:p w14:paraId="2FFAD072">
      <w:pPr>
        <w:pStyle w:val="13"/>
      </w:pPr>
    </w:p>
    <w:p w14:paraId="5391EAB8">
      <w:pPr>
        <w:pStyle w:val="13"/>
      </w:pPr>
    </w:p>
    <w:p w14:paraId="3ACD67F6">
      <w:pPr>
        <w:pStyle w:val="13"/>
      </w:pPr>
    </w:p>
    <w:p w14:paraId="1FD66856">
      <w:pPr>
        <w:pStyle w:val="13"/>
      </w:pPr>
    </w:p>
    <w:p w14:paraId="418EAF98">
      <w:pPr>
        <w:pStyle w:val="3"/>
        <w:spacing w:line="360" w:lineRule="auto"/>
      </w:pPr>
      <w:r>
        <w:rPr>
          <w:rFonts w:hint="default"/>
          <w:lang w:val="en-US"/>
        </w:rPr>
        <w:t xml:space="preserve">4.2 </w:t>
      </w:r>
      <w:r>
        <w:t>Contamination Indices of the Heavy Metals</w:t>
      </w:r>
      <w:bookmarkEnd w:id="7"/>
    </w:p>
    <w:p w14:paraId="19F33CE7">
      <w:pPr>
        <w:pStyle w:val="19"/>
        <w:spacing w:before="0" w:beforeAutospacing="0" w:line="480" w:lineRule="auto"/>
        <w:jc w:val="both"/>
        <w:rPr>
          <w:kern w:val="144"/>
        </w:rPr>
      </w:pPr>
      <w:r>
        <w:rPr>
          <w:kern w:val="144"/>
        </w:rPr>
        <w:t xml:space="preserve">The contamination indices of heavy metals across the studied roads are presented in </w:t>
      </w:r>
      <w:r>
        <w:rPr>
          <w:rStyle w:val="20"/>
          <w:rFonts w:eastAsiaTheme="majorEastAsia"/>
          <w:b w:val="0"/>
          <w:bCs w:val="0"/>
          <w:kern w:val="144"/>
        </w:rPr>
        <w:t>Tables 2 and 3</w:t>
      </w:r>
      <w:r>
        <w:rPr>
          <w:kern w:val="144"/>
        </w:rPr>
        <w:t xml:space="preserve">. Based on </w:t>
      </w:r>
      <w:r>
        <w:rPr>
          <w:rStyle w:val="20"/>
          <w:rFonts w:eastAsiaTheme="majorEastAsia"/>
          <w:b w:val="0"/>
          <w:bCs w:val="0"/>
          <w:kern w:val="144"/>
        </w:rPr>
        <w:t>Table 2</w:t>
      </w:r>
      <w:r>
        <w:rPr>
          <w:kern w:val="144"/>
        </w:rPr>
        <w:t xml:space="preserve">, the contamination factor (CF) values indicate very high contamination across all roads for the assessed metals. Arsenic (As) recorded extremely high CF values at all locations, ranging from 190.24 along Katsina Road to 256.58 along BUK Road, signifying severe anthropogenic enrichment. Zinc (Zn) also showed high CF values across the roads, with the highest observed along Zaria Road (10.06) and Maiduguri Road (9.60). Iron (Fe) exhibited CF values between 8.03 and 11.19, indicating strong enrichment beyond background levels. Lead (Pb) and copper (Cu) similarly showed CF values exceeding the threshold for very high contamination (CF &gt; 6) across all roads. The Pollution Load Index (PLI) values were consistently greater than unity, ranging from 13.40 at Hadejia Road to 15.61 at Zaria Road, confirming that all sampled roads are polluted. Furthermore, the mean geo-accumulation index (Igeo) values varied between 3.14 and 3.35, indicating that the road dust across all locations is heavily contaminated. Consequently, all roads were classified under a </w:t>
      </w:r>
      <w:r>
        <w:rPr>
          <w:rStyle w:val="20"/>
          <w:rFonts w:eastAsiaTheme="majorEastAsia"/>
          <w:b w:val="0"/>
          <w:bCs w:val="0"/>
          <w:kern w:val="144"/>
        </w:rPr>
        <w:t>very high contamination status</w:t>
      </w:r>
      <w:r>
        <w:rPr>
          <w:kern w:val="144"/>
        </w:rPr>
        <w:t>.</w:t>
      </w:r>
    </w:p>
    <w:p w14:paraId="237425DD">
      <w:pPr>
        <w:pStyle w:val="19"/>
        <w:spacing w:before="0" w:beforeAutospacing="0" w:line="480" w:lineRule="auto"/>
        <w:jc w:val="both"/>
        <w:rPr>
          <w:kern w:val="144"/>
        </w:rPr>
      </w:pPr>
      <w:r>
        <w:rPr>
          <w:kern w:val="144"/>
        </w:rPr>
        <w:t xml:space="preserve">According to </w:t>
      </w:r>
      <w:r>
        <w:rPr>
          <w:rStyle w:val="20"/>
          <w:rFonts w:eastAsiaTheme="majorEastAsia"/>
          <w:b w:val="0"/>
          <w:bCs w:val="0"/>
          <w:kern w:val="144"/>
        </w:rPr>
        <w:t>Table 3</w:t>
      </w:r>
      <w:r>
        <w:rPr>
          <w:kern w:val="144"/>
        </w:rPr>
        <w:t>, the enrichment factor (EF) analysis reveals that arsenic (As) exhibited very high to significant enrichment across all roads. EF values for As ranged from 17.26 along Katsina Road, indicating significant enrichment, to 32.69 along BUK Road, reflecting very high enrichment. In contrast, Cu, Fe, Pb, and Zn generally showed EF values close to or below 1.5 across all locations, corresponding to minimal enrichment and suggesting a predominantly lithogenic origin for these metals. This pattern highlights arsenic as the dominant anthropogenically influenced metal in the study area.</w:t>
      </w:r>
    </w:p>
    <w:p w14:paraId="2A6CD3B2">
      <w:pPr>
        <w:pStyle w:val="19"/>
        <w:spacing w:before="0" w:beforeAutospacing="0" w:line="480" w:lineRule="auto"/>
        <w:jc w:val="both"/>
        <w:rPr>
          <w:kern w:val="144"/>
        </w:rPr>
      </w:pPr>
      <w:r>
        <w:rPr>
          <w:kern w:val="144"/>
        </w:rPr>
        <w:t>The multimetal pollution index (MPI) further supports the observed contamination trend, with high MPI values recorded across all roads (Figure 2). MPI values ranged from 99.40 at Katsina Road to 115.61 at Zaria Road, indicating substantial cumulative heavy metal pollution. Zaria Road recorded the highest MPI, followed by Maiduguri and BUK roads, while Katsina Road showed the lowest, though still considerably high, multimetal pollution burden.</w:t>
      </w:r>
    </w:p>
    <w:p w14:paraId="7A22EFD1">
      <w:pPr>
        <w:pStyle w:val="14"/>
        <w:rPr>
          <w:kern w:val="144"/>
        </w:rPr>
      </w:pPr>
      <w:bookmarkStart w:id="8" w:name="_Toc216950564"/>
      <w:r>
        <w:t>Table 2</w:t>
      </w:r>
      <w:r>
        <w:rPr>
          <w:kern w:val="144"/>
        </w:rPr>
        <w:t>: Contamination Factor (CF), Pollution Load Index (PLI), and Geo-accumulation Index (Igeo)</w:t>
      </w:r>
      <w:bookmarkEnd w:id="8"/>
    </w:p>
    <w:tbl>
      <w:tblPr>
        <w:tblStyle w:val="22"/>
        <w:tblW w:w="949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7"/>
        <w:gridCol w:w="982"/>
        <w:gridCol w:w="982"/>
        <w:gridCol w:w="982"/>
        <w:gridCol w:w="982"/>
        <w:gridCol w:w="982"/>
        <w:gridCol w:w="762"/>
        <w:gridCol w:w="803"/>
        <w:gridCol w:w="1769"/>
      </w:tblGrid>
      <w:tr w14:paraId="6D9D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47" w:type="dxa"/>
            <w:vMerge w:val="restart"/>
            <w:tcBorders>
              <w:top w:val="single" w:color="auto" w:sz="4" w:space="0"/>
              <w:bottom w:val="nil"/>
            </w:tcBorders>
            <w:noWrap/>
            <w:vAlign w:val="center"/>
          </w:tcPr>
          <w:p w14:paraId="29571D7D">
            <w:pPr>
              <w:spacing w:after="0" w:line="276" w:lineRule="auto"/>
              <w:rPr>
                <w:rFonts w:ascii="Times New Roman" w:hAnsi="Times New Roman" w:cs="Times New Roman"/>
                <w:b/>
                <w:bCs/>
                <w:kern w:val="144"/>
                <w:sz w:val="24"/>
                <w:szCs w:val="24"/>
              </w:rPr>
            </w:pPr>
            <w:r>
              <w:rPr>
                <w:rFonts w:ascii="Times New Roman" w:hAnsi="Times New Roman" w:cs="Times New Roman"/>
                <w:b/>
                <w:bCs/>
                <w:kern w:val="144"/>
                <w:sz w:val="24"/>
                <w:szCs w:val="24"/>
              </w:rPr>
              <w:t>Road</w:t>
            </w:r>
          </w:p>
        </w:tc>
        <w:tc>
          <w:tcPr>
            <w:tcW w:w="4910" w:type="dxa"/>
            <w:gridSpan w:val="5"/>
            <w:tcBorders>
              <w:top w:val="single" w:color="auto" w:sz="4" w:space="0"/>
              <w:bottom w:val="nil"/>
            </w:tcBorders>
            <w:noWrap/>
            <w:vAlign w:val="center"/>
          </w:tcPr>
          <w:p w14:paraId="0E1301EE">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cs="Times New Roman"/>
                <w:b/>
                <w:bCs/>
                <w:kern w:val="144"/>
                <w:sz w:val="24"/>
                <w:szCs w:val="24"/>
              </w:rPr>
              <w:t>Contamination Factor (CF)</w:t>
            </w:r>
          </w:p>
        </w:tc>
        <w:tc>
          <w:tcPr>
            <w:tcW w:w="784" w:type="dxa"/>
            <w:vMerge w:val="restart"/>
            <w:tcBorders>
              <w:top w:val="single" w:color="auto" w:sz="4" w:space="0"/>
              <w:bottom w:val="nil"/>
            </w:tcBorders>
            <w:vAlign w:val="center"/>
          </w:tcPr>
          <w:p w14:paraId="0A3DBFD0">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PLI</w:t>
            </w:r>
          </w:p>
        </w:tc>
        <w:tc>
          <w:tcPr>
            <w:tcW w:w="763" w:type="dxa"/>
            <w:vMerge w:val="restart"/>
            <w:tcBorders>
              <w:top w:val="single" w:color="auto" w:sz="4" w:space="0"/>
              <w:bottom w:val="nil"/>
            </w:tcBorders>
            <w:vAlign w:val="center"/>
          </w:tcPr>
          <w:p w14:paraId="7DF43273">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Mean Igeo</w:t>
            </w:r>
          </w:p>
        </w:tc>
        <w:tc>
          <w:tcPr>
            <w:tcW w:w="1787" w:type="dxa"/>
            <w:vMerge w:val="restart"/>
            <w:tcBorders>
              <w:top w:val="single" w:color="auto" w:sz="4" w:space="0"/>
              <w:bottom w:val="nil"/>
            </w:tcBorders>
            <w:vAlign w:val="center"/>
          </w:tcPr>
          <w:p w14:paraId="1C406635">
            <w:pPr>
              <w:spacing w:after="0" w:line="276" w:lineRule="auto"/>
              <w:jc w:val="center"/>
              <w:rPr>
                <w:rFonts w:ascii="Times New Roman" w:hAnsi="Times New Roman" w:cs="Times New Roman"/>
                <w:b/>
                <w:bCs/>
                <w:kern w:val="144"/>
                <w:sz w:val="24"/>
                <w:szCs w:val="24"/>
              </w:rPr>
            </w:pPr>
            <w:r>
              <w:rPr>
                <w:rFonts w:ascii="Times New Roman" w:hAnsi="Times New Roman" w:cs="Times New Roman"/>
                <w:b/>
                <w:bCs/>
                <w:kern w:val="144"/>
                <w:sz w:val="24"/>
                <w:szCs w:val="24"/>
              </w:rPr>
              <w:t>Contamination Status</w:t>
            </w:r>
          </w:p>
        </w:tc>
      </w:tr>
      <w:tr w14:paraId="0310E0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32" w:hRule="atLeast"/>
        </w:trPr>
        <w:tc>
          <w:tcPr>
            <w:tcW w:w="1247" w:type="dxa"/>
            <w:vMerge w:val="continue"/>
            <w:tcBorders>
              <w:top w:val="nil"/>
              <w:bottom w:val="single" w:color="auto" w:sz="4" w:space="0"/>
            </w:tcBorders>
            <w:noWrap/>
            <w:vAlign w:val="center"/>
          </w:tcPr>
          <w:p w14:paraId="57CCEB5C">
            <w:pPr>
              <w:spacing w:after="0" w:line="276" w:lineRule="auto"/>
              <w:rPr>
                <w:rFonts w:ascii="Times New Roman" w:hAnsi="Times New Roman" w:eastAsia="Times New Roman" w:cs="Times New Roman"/>
                <w:b/>
                <w:bCs/>
                <w:kern w:val="144"/>
                <w:sz w:val="24"/>
                <w:szCs w:val="24"/>
                <w:lang w:val="zh-CN" w:eastAsia="zh-CN"/>
                <w14:ligatures w14:val="none"/>
              </w:rPr>
            </w:pPr>
          </w:p>
        </w:tc>
        <w:tc>
          <w:tcPr>
            <w:tcW w:w="982" w:type="dxa"/>
            <w:tcBorders>
              <w:top w:val="nil"/>
              <w:bottom w:val="single" w:color="auto" w:sz="4" w:space="0"/>
            </w:tcBorders>
            <w:noWrap/>
            <w:vAlign w:val="center"/>
          </w:tcPr>
          <w:p w14:paraId="6B6E160A">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As</w:t>
            </w:r>
          </w:p>
        </w:tc>
        <w:tc>
          <w:tcPr>
            <w:tcW w:w="982" w:type="dxa"/>
            <w:tcBorders>
              <w:top w:val="nil"/>
              <w:bottom w:val="single" w:color="auto" w:sz="4" w:space="0"/>
            </w:tcBorders>
            <w:noWrap/>
            <w:vAlign w:val="center"/>
          </w:tcPr>
          <w:p w14:paraId="795073DE">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Cu</w:t>
            </w:r>
          </w:p>
        </w:tc>
        <w:tc>
          <w:tcPr>
            <w:tcW w:w="982" w:type="dxa"/>
            <w:tcBorders>
              <w:top w:val="nil"/>
              <w:bottom w:val="single" w:color="auto" w:sz="4" w:space="0"/>
            </w:tcBorders>
            <w:noWrap/>
            <w:vAlign w:val="center"/>
          </w:tcPr>
          <w:p w14:paraId="1E79FDC4">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Fe</w:t>
            </w:r>
          </w:p>
        </w:tc>
        <w:tc>
          <w:tcPr>
            <w:tcW w:w="982" w:type="dxa"/>
            <w:tcBorders>
              <w:top w:val="nil"/>
              <w:bottom w:val="single" w:color="auto" w:sz="4" w:space="0"/>
            </w:tcBorders>
            <w:noWrap/>
            <w:vAlign w:val="center"/>
          </w:tcPr>
          <w:p w14:paraId="49091441">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Pb</w:t>
            </w:r>
          </w:p>
        </w:tc>
        <w:tc>
          <w:tcPr>
            <w:tcW w:w="982" w:type="dxa"/>
            <w:tcBorders>
              <w:top w:val="nil"/>
              <w:bottom w:val="single" w:color="auto" w:sz="4" w:space="0"/>
            </w:tcBorders>
            <w:noWrap/>
            <w:vAlign w:val="center"/>
          </w:tcPr>
          <w:p w14:paraId="7C5AE976">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r>
              <w:rPr>
                <w:rFonts w:ascii="Times New Roman" w:hAnsi="Times New Roman" w:eastAsia="Times New Roman" w:cs="Times New Roman"/>
                <w:b/>
                <w:bCs/>
                <w:color w:val="000000"/>
                <w:kern w:val="144"/>
                <w:sz w:val="24"/>
                <w:szCs w:val="24"/>
                <w:lang w:val="zh-CN" w:eastAsia="zh-CN"/>
                <w14:ligatures w14:val="none"/>
              </w:rPr>
              <w:t>Zn</w:t>
            </w:r>
          </w:p>
        </w:tc>
        <w:tc>
          <w:tcPr>
            <w:tcW w:w="784" w:type="dxa"/>
            <w:vMerge w:val="continue"/>
            <w:tcBorders>
              <w:top w:val="nil"/>
              <w:bottom w:val="single" w:color="auto" w:sz="4" w:space="0"/>
            </w:tcBorders>
            <w:vAlign w:val="center"/>
          </w:tcPr>
          <w:p w14:paraId="46BB4AA1">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p>
        </w:tc>
        <w:tc>
          <w:tcPr>
            <w:tcW w:w="763" w:type="dxa"/>
            <w:vMerge w:val="continue"/>
            <w:tcBorders>
              <w:top w:val="nil"/>
              <w:bottom w:val="single" w:color="auto" w:sz="4" w:space="0"/>
            </w:tcBorders>
            <w:vAlign w:val="center"/>
          </w:tcPr>
          <w:p w14:paraId="1A2AD895">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p>
        </w:tc>
        <w:tc>
          <w:tcPr>
            <w:tcW w:w="1787" w:type="dxa"/>
            <w:vMerge w:val="continue"/>
            <w:tcBorders>
              <w:top w:val="nil"/>
              <w:bottom w:val="single" w:color="auto" w:sz="4" w:space="0"/>
            </w:tcBorders>
            <w:vAlign w:val="center"/>
          </w:tcPr>
          <w:p w14:paraId="78C39AA7">
            <w:pPr>
              <w:spacing w:after="0" w:line="276" w:lineRule="auto"/>
              <w:jc w:val="center"/>
              <w:rPr>
                <w:rFonts w:ascii="Times New Roman" w:hAnsi="Times New Roman" w:eastAsia="Times New Roman" w:cs="Times New Roman"/>
                <w:b/>
                <w:bCs/>
                <w:color w:val="000000"/>
                <w:kern w:val="144"/>
                <w:sz w:val="24"/>
                <w:szCs w:val="24"/>
                <w:lang w:val="zh-CN" w:eastAsia="zh-CN"/>
                <w14:ligatures w14:val="none"/>
              </w:rPr>
            </w:pPr>
          </w:p>
        </w:tc>
      </w:tr>
      <w:tr w14:paraId="286E97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32" w:hRule="atLeast"/>
        </w:trPr>
        <w:tc>
          <w:tcPr>
            <w:tcW w:w="1247" w:type="dxa"/>
            <w:tcBorders>
              <w:top w:val="single" w:color="auto" w:sz="4" w:space="0"/>
            </w:tcBorders>
            <w:noWrap/>
            <w:vAlign w:val="center"/>
          </w:tcPr>
          <w:p w14:paraId="39797F2E">
            <w:pPr>
              <w:spacing w:before="240" w:after="0" w:line="360" w:lineRule="auto"/>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Hadejia</w:t>
            </w:r>
          </w:p>
        </w:tc>
        <w:tc>
          <w:tcPr>
            <w:tcW w:w="982" w:type="dxa"/>
            <w:tcBorders>
              <w:top w:val="single" w:color="auto" w:sz="4" w:space="0"/>
            </w:tcBorders>
            <w:noWrap/>
            <w:vAlign w:val="center"/>
          </w:tcPr>
          <w:p w14:paraId="0510CAB4">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206.15</w:t>
            </w:r>
          </w:p>
        </w:tc>
        <w:tc>
          <w:tcPr>
            <w:tcW w:w="982" w:type="dxa"/>
            <w:tcBorders>
              <w:top w:val="single" w:color="auto" w:sz="4" w:space="0"/>
            </w:tcBorders>
            <w:noWrap/>
            <w:vAlign w:val="center"/>
          </w:tcPr>
          <w:p w14:paraId="703D0E57">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5.30</w:t>
            </w:r>
          </w:p>
        </w:tc>
        <w:tc>
          <w:tcPr>
            <w:tcW w:w="982" w:type="dxa"/>
            <w:tcBorders>
              <w:top w:val="single" w:color="auto" w:sz="4" w:space="0"/>
            </w:tcBorders>
            <w:noWrap/>
            <w:vAlign w:val="center"/>
          </w:tcPr>
          <w:p w14:paraId="715C0D39">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8.03</w:t>
            </w:r>
          </w:p>
        </w:tc>
        <w:tc>
          <w:tcPr>
            <w:tcW w:w="982" w:type="dxa"/>
            <w:tcBorders>
              <w:top w:val="single" w:color="auto" w:sz="4" w:space="0"/>
            </w:tcBorders>
            <w:noWrap/>
            <w:vAlign w:val="center"/>
          </w:tcPr>
          <w:p w14:paraId="73743A04">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5.37</w:t>
            </w:r>
          </w:p>
        </w:tc>
        <w:tc>
          <w:tcPr>
            <w:tcW w:w="982" w:type="dxa"/>
            <w:tcBorders>
              <w:top w:val="single" w:color="auto" w:sz="4" w:space="0"/>
            </w:tcBorders>
            <w:noWrap/>
            <w:vAlign w:val="center"/>
          </w:tcPr>
          <w:p w14:paraId="4CE2A476">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9.18</w:t>
            </w:r>
          </w:p>
        </w:tc>
        <w:tc>
          <w:tcPr>
            <w:tcW w:w="784" w:type="dxa"/>
            <w:tcBorders>
              <w:top w:val="single" w:color="auto" w:sz="4" w:space="0"/>
            </w:tcBorders>
            <w:vAlign w:val="center"/>
          </w:tcPr>
          <w:p w14:paraId="2DCC2A32">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13.40</w:t>
            </w:r>
          </w:p>
        </w:tc>
        <w:tc>
          <w:tcPr>
            <w:tcW w:w="763" w:type="dxa"/>
            <w:tcBorders>
              <w:top w:val="single" w:color="auto" w:sz="4" w:space="0"/>
            </w:tcBorders>
            <w:vAlign w:val="center"/>
          </w:tcPr>
          <w:p w14:paraId="0C7B8627">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3.14</w:t>
            </w:r>
          </w:p>
        </w:tc>
        <w:tc>
          <w:tcPr>
            <w:tcW w:w="1787" w:type="dxa"/>
            <w:tcBorders>
              <w:top w:val="single" w:color="auto" w:sz="4" w:space="0"/>
            </w:tcBorders>
            <w:vAlign w:val="center"/>
          </w:tcPr>
          <w:p w14:paraId="79D62C4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cs="Times New Roman"/>
                <w:kern w:val="144"/>
                <w:sz w:val="24"/>
                <w:szCs w:val="24"/>
                <w:lang w:val="zh-CN" w:eastAsia="zh-CN"/>
              </w:rPr>
              <w:t>Very High</w:t>
            </w:r>
          </w:p>
        </w:tc>
      </w:tr>
      <w:tr w14:paraId="68D425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47" w:type="dxa"/>
            <w:noWrap/>
            <w:vAlign w:val="center"/>
          </w:tcPr>
          <w:p w14:paraId="35BBFFE3">
            <w:pPr>
              <w:spacing w:before="240" w:after="0" w:line="360" w:lineRule="auto"/>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BUK</w:t>
            </w:r>
          </w:p>
        </w:tc>
        <w:tc>
          <w:tcPr>
            <w:tcW w:w="982" w:type="dxa"/>
            <w:noWrap/>
            <w:vAlign w:val="center"/>
          </w:tcPr>
          <w:p w14:paraId="08547FBC">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256.58</w:t>
            </w:r>
          </w:p>
        </w:tc>
        <w:tc>
          <w:tcPr>
            <w:tcW w:w="982" w:type="dxa"/>
            <w:noWrap/>
            <w:vAlign w:val="center"/>
          </w:tcPr>
          <w:p w14:paraId="2CB501BA">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6.48</w:t>
            </w:r>
          </w:p>
        </w:tc>
        <w:tc>
          <w:tcPr>
            <w:tcW w:w="982" w:type="dxa"/>
            <w:noWrap/>
            <w:vAlign w:val="center"/>
          </w:tcPr>
          <w:p w14:paraId="370FF96A">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8.27</w:t>
            </w:r>
          </w:p>
        </w:tc>
        <w:tc>
          <w:tcPr>
            <w:tcW w:w="982" w:type="dxa"/>
            <w:noWrap/>
            <w:vAlign w:val="center"/>
          </w:tcPr>
          <w:p w14:paraId="7AE01DDD">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5.41</w:t>
            </w:r>
          </w:p>
        </w:tc>
        <w:tc>
          <w:tcPr>
            <w:tcW w:w="982" w:type="dxa"/>
            <w:noWrap/>
            <w:vAlign w:val="center"/>
          </w:tcPr>
          <w:p w14:paraId="02E696A2">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9.52</w:t>
            </w:r>
          </w:p>
        </w:tc>
        <w:tc>
          <w:tcPr>
            <w:tcW w:w="784" w:type="dxa"/>
            <w:vAlign w:val="center"/>
          </w:tcPr>
          <w:p w14:paraId="632D7554">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14.79</w:t>
            </w:r>
          </w:p>
        </w:tc>
        <w:tc>
          <w:tcPr>
            <w:tcW w:w="763" w:type="dxa"/>
            <w:vAlign w:val="center"/>
          </w:tcPr>
          <w:p w14:paraId="61FB055C">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3.27</w:t>
            </w:r>
          </w:p>
        </w:tc>
        <w:tc>
          <w:tcPr>
            <w:tcW w:w="1787" w:type="dxa"/>
            <w:vAlign w:val="center"/>
          </w:tcPr>
          <w:p w14:paraId="76099633">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cs="Times New Roman"/>
                <w:kern w:val="144"/>
                <w:sz w:val="24"/>
                <w:szCs w:val="24"/>
                <w:lang w:val="zh-CN" w:eastAsia="zh-CN"/>
              </w:rPr>
              <w:t>Very High</w:t>
            </w:r>
          </w:p>
        </w:tc>
      </w:tr>
      <w:tr w14:paraId="209865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47" w:type="dxa"/>
            <w:noWrap/>
            <w:vAlign w:val="center"/>
          </w:tcPr>
          <w:p w14:paraId="2DACAD07">
            <w:pPr>
              <w:spacing w:before="240" w:after="0" w:line="360" w:lineRule="auto"/>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Katsina</w:t>
            </w:r>
          </w:p>
        </w:tc>
        <w:tc>
          <w:tcPr>
            <w:tcW w:w="982" w:type="dxa"/>
            <w:noWrap/>
            <w:vAlign w:val="center"/>
          </w:tcPr>
          <w:p w14:paraId="5476A4A2">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190.24</w:t>
            </w:r>
          </w:p>
        </w:tc>
        <w:tc>
          <w:tcPr>
            <w:tcW w:w="982" w:type="dxa"/>
            <w:noWrap/>
            <w:vAlign w:val="center"/>
          </w:tcPr>
          <w:p w14:paraId="6696B271">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5.07</w:t>
            </w:r>
          </w:p>
        </w:tc>
        <w:tc>
          <w:tcPr>
            <w:tcW w:w="982" w:type="dxa"/>
            <w:noWrap/>
            <w:vAlign w:val="center"/>
          </w:tcPr>
          <w:p w14:paraId="3E487FDA">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11.19</w:t>
            </w:r>
          </w:p>
        </w:tc>
        <w:tc>
          <w:tcPr>
            <w:tcW w:w="982" w:type="dxa"/>
            <w:noWrap/>
            <w:vAlign w:val="center"/>
          </w:tcPr>
          <w:p w14:paraId="7E5DB020">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6.60</w:t>
            </w:r>
          </w:p>
        </w:tc>
        <w:tc>
          <w:tcPr>
            <w:tcW w:w="982" w:type="dxa"/>
            <w:noWrap/>
            <w:vAlign w:val="center"/>
          </w:tcPr>
          <w:p w14:paraId="6B3AA4F9">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7.65</w:t>
            </w:r>
          </w:p>
        </w:tc>
        <w:tc>
          <w:tcPr>
            <w:tcW w:w="784" w:type="dxa"/>
            <w:vAlign w:val="center"/>
          </w:tcPr>
          <w:p w14:paraId="43D7CD48">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14.03</w:t>
            </w:r>
          </w:p>
        </w:tc>
        <w:tc>
          <w:tcPr>
            <w:tcW w:w="763" w:type="dxa"/>
            <w:vAlign w:val="center"/>
          </w:tcPr>
          <w:p w14:paraId="48EB217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3.20</w:t>
            </w:r>
          </w:p>
        </w:tc>
        <w:tc>
          <w:tcPr>
            <w:tcW w:w="1787" w:type="dxa"/>
            <w:vAlign w:val="center"/>
          </w:tcPr>
          <w:p w14:paraId="7F70AC8C">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cs="Times New Roman"/>
                <w:kern w:val="144"/>
                <w:sz w:val="24"/>
                <w:szCs w:val="24"/>
                <w:lang w:val="zh-CN" w:eastAsia="zh-CN"/>
              </w:rPr>
              <w:t>Very High</w:t>
            </w:r>
          </w:p>
        </w:tc>
      </w:tr>
      <w:tr w14:paraId="6B3D98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47" w:type="dxa"/>
            <w:noWrap/>
            <w:vAlign w:val="center"/>
          </w:tcPr>
          <w:p w14:paraId="117BD0D3">
            <w:pPr>
              <w:spacing w:before="240" w:after="0" w:line="360" w:lineRule="auto"/>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eastAsia="zh-CN"/>
                <w14:ligatures w14:val="none"/>
              </w:rPr>
              <w:t>Maiduguri</w:t>
            </w:r>
          </w:p>
        </w:tc>
        <w:tc>
          <w:tcPr>
            <w:tcW w:w="982" w:type="dxa"/>
            <w:noWrap/>
            <w:vAlign w:val="center"/>
          </w:tcPr>
          <w:p w14:paraId="5606EDE4">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248.29</w:t>
            </w:r>
          </w:p>
        </w:tc>
        <w:tc>
          <w:tcPr>
            <w:tcW w:w="982" w:type="dxa"/>
            <w:noWrap/>
            <w:vAlign w:val="center"/>
          </w:tcPr>
          <w:p w14:paraId="62E1295B">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5.47</w:t>
            </w:r>
          </w:p>
        </w:tc>
        <w:tc>
          <w:tcPr>
            <w:tcW w:w="982" w:type="dxa"/>
            <w:noWrap/>
            <w:vAlign w:val="center"/>
          </w:tcPr>
          <w:p w14:paraId="72FC669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9.15</w:t>
            </w:r>
          </w:p>
        </w:tc>
        <w:tc>
          <w:tcPr>
            <w:tcW w:w="982" w:type="dxa"/>
            <w:noWrap/>
            <w:vAlign w:val="center"/>
          </w:tcPr>
          <w:p w14:paraId="57F99E14">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6.25</w:t>
            </w:r>
          </w:p>
        </w:tc>
        <w:tc>
          <w:tcPr>
            <w:tcW w:w="982" w:type="dxa"/>
            <w:noWrap/>
            <w:vAlign w:val="center"/>
          </w:tcPr>
          <w:p w14:paraId="1E3247A6">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9.60</w:t>
            </w:r>
          </w:p>
        </w:tc>
        <w:tc>
          <w:tcPr>
            <w:tcW w:w="784" w:type="dxa"/>
            <w:vAlign w:val="center"/>
          </w:tcPr>
          <w:p w14:paraId="09F371B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14.95</w:t>
            </w:r>
          </w:p>
        </w:tc>
        <w:tc>
          <w:tcPr>
            <w:tcW w:w="763" w:type="dxa"/>
            <w:vAlign w:val="center"/>
          </w:tcPr>
          <w:p w14:paraId="5B5F2F9B">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3.29</w:t>
            </w:r>
          </w:p>
        </w:tc>
        <w:tc>
          <w:tcPr>
            <w:tcW w:w="1787" w:type="dxa"/>
            <w:vAlign w:val="center"/>
          </w:tcPr>
          <w:p w14:paraId="6DB2463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cs="Times New Roman"/>
                <w:kern w:val="144"/>
                <w:sz w:val="24"/>
                <w:szCs w:val="24"/>
                <w:lang w:val="zh-CN" w:eastAsia="zh-CN"/>
              </w:rPr>
              <w:t>Very High</w:t>
            </w:r>
          </w:p>
        </w:tc>
      </w:tr>
      <w:tr w14:paraId="148332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47" w:type="dxa"/>
            <w:noWrap/>
            <w:vAlign w:val="center"/>
          </w:tcPr>
          <w:p w14:paraId="351C0069">
            <w:pPr>
              <w:spacing w:before="240" w:after="0" w:line="360" w:lineRule="auto"/>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Zaria</w:t>
            </w:r>
          </w:p>
        </w:tc>
        <w:tc>
          <w:tcPr>
            <w:tcW w:w="982" w:type="dxa"/>
            <w:noWrap/>
            <w:vAlign w:val="center"/>
          </w:tcPr>
          <w:p w14:paraId="0E489370">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215.39</w:t>
            </w:r>
          </w:p>
        </w:tc>
        <w:tc>
          <w:tcPr>
            <w:tcW w:w="982" w:type="dxa"/>
            <w:noWrap/>
            <w:vAlign w:val="center"/>
          </w:tcPr>
          <w:p w14:paraId="114CFA9E">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6.62</w:t>
            </w:r>
          </w:p>
        </w:tc>
        <w:tc>
          <w:tcPr>
            <w:tcW w:w="982" w:type="dxa"/>
            <w:noWrap/>
            <w:vAlign w:val="center"/>
          </w:tcPr>
          <w:p w14:paraId="51374B73">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10.22</w:t>
            </w:r>
          </w:p>
        </w:tc>
        <w:tc>
          <w:tcPr>
            <w:tcW w:w="982" w:type="dxa"/>
            <w:noWrap/>
            <w:vAlign w:val="center"/>
          </w:tcPr>
          <w:p w14:paraId="515662A1">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6.32</w:t>
            </w:r>
          </w:p>
        </w:tc>
        <w:tc>
          <w:tcPr>
            <w:tcW w:w="982" w:type="dxa"/>
            <w:noWrap/>
            <w:vAlign w:val="center"/>
          </w:tcPr>
          <w:p w14:paraId="7A128AE2">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10.06</w:t>
            </w:r>
          </w:p>
        </w:tc>
        <w:tc>
          <w:tcPr>
            <w:tcW w:w="784" w:type="dxa"/>
            <w:vAlign w:val="center"/>
          </w:tcPr>
          <w:p w14:paraId="3466FC7C">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15.61</w:t>
            </w:r>
          </w:p>
        </w:tc>
        <w:tc>
          <w:tcPr>
            <w:tcW w:w="763" w:type="dxa"/>
            <w:vAlign w:val="center"/>
          </w:tcPr>
          <w:p w14:paraId="6DF0E89A">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eastAsia="Times New Roman" w:cs="Times New Roman"/>
                <w:color w:val="000000"/>
                <w:kern w:val="144"/>
                <w:sz w:val="24"/>
                <w:szCs w:val="24"/>
                <w:lang w:val="zh-CN" w:eastAsia="zh-CN"/>
                <w14:ligatures w14:val="none"/>
              </w:rPr>
              <w:t>3.35</w:t>
            </w:r>
          </w:p>
        </w:tc>
        <w:tc>
          <w:tcPr>
            <w:tcW w:w="1787" w:type="dxa"/>
            <w:vAlign w:val="center"/>
          </w:tcPr>
          <w:p w14:paraId="4E1847B1">
            <w:pPr>
              <w:spacing w:before="240" w:after="0" w:line="360" w:lineRule="auto"/>
              <w:jc w:val="center"/>
              <w:rPr>
                <w:rFonts w:ascii="Times New Roman" w:hAnsi="Times New Roman" w:eastAsia="Times New Roman" w:cs="Times New Roman"/>
                <w:color w:val="000000"/>
                <w:kern w:val="144"/>
                <w:sz w:val="24"/>
                <w:szCs w:val="24"/>
                <w:lang w:val="zh-CN" w:eastAsia="zh-CN"/>
                <w14:ligatures w14:val="none"/>
              </w:rPr>
            </w:pPr>
            <w:r>
              <w:rPr>
                <w:rFonts w:ascii="Times New Roman" w:hAnsi="Times New Roman" w:cs="Times New Roman"/>
                <w:kern w:val="144"/>
                <w:sz w:val="24"/>
                <w:szCs w:val="24"/>
                <w:lang w:val="zh-CN" w:eastAsia="zh-CN"/>
              </w:rPr>
              <w:t>Very High</w:t>
            </w:r>
          </w:p>
        </w:tc>
      </w:tr>
    </w:tbl>
    <w:p w14:paraId="0845C84E">
      <w:pPr>
        <w:pStyle w:val="19"/>
        <w:spacing w:before="0" w:beforeAutospacing="0" w:after="0" w:afterAutospacing="0"/>
        <w:rPr>
          <w:kern w:val="144"/>
        </w:rPr>
      </w:pPr>
      <w:r>
        <w:rPr>
          <w:rStyle w:val="20"/>
          <w:rFonts w:eastAsiaTheme="majorEastAsia"/>
          <w:kern w:val="144"/>
        </w:rPr>
        <w:t>Notes:</w:t>
      </w:r>
      <w:r>
        <w:rPr>
          <w:rStyle w:val="20"/>
          <w:kern w:val="144"/>
        </w:rPr>
        <w:t xml:space="preserve"> </w:t>
      </w:r>
      <w:r>
        <w:rPr>
          <w:rStyle w:val="20"/>
          <w:rFonts w:eastAsiaTheme="majorEastAsia"/>
          <w:b w:val="0"/>
          <w:bCs w:val="0"/>
          <w:kern w:val="144"/>
        </w:rPr>
        <w:t>CF (Contamination Factor)</w:t>
      </w:r>
      <w:r>
        <w:rPr>
          <w:kern w:val="144"/>
        </w:rPr>
        <w:t xml:space="preserve"> calculated using control as background (Ctrl). CF&gt;6 = Very High; PLI &gt; 1 → polluted; Igeo &gt; 2 → heavily contaminated.</w:t>
      </w:r>
    </w:p>
    <w:p w14:paraId="782204C4">
      <w:pPr>
        <w:rPr>
          <w:rFonts w:ascii="Times New Roman" w:hAnsi="Times New Roman" w:cs="Times New Roman"/>
          <w:kern w:val="144"/>
          <w:sz w:val="24"/>
          <w:szCs w:val="24"/>
        </w:rPr>
      </w:pPr>
    </w:p>
    <w:p w14:paraId="2D9D8177">
      <w:pPr>
        <w:pStyle w:val="14"/>
        <w:rPr>
          <w:rFonts w:eastAsia="Times New Roman"/>
          <w:kern w:val="144"/>
          <w:lang w:val="zh-CN" w:eastAsia="zh-CN"/>
        </w:rPr>
      </w:pPr>
      <w:bookmarkStart w:id="9" w:name="_Toc216950565"/>
      <w:r>
        <w:t>Table 3</w:t>
      </w:r>
      <w:r>
        <w:rPr>
          <w:rFonts w:eastAsia="Times New Roman"/>
          <w:kern w:val="144"/>
          <w:lang w:val="zh-CN" w:eastAsia="zh-CN"/>
        </w:rPr>
        <w:t>: Enrichment Factor (EF) and Contamination Level of Heavy Metals across Roads</w:t>
      </w:r>
      <w:bookmarkEnd w:id="9"/>
    </w:p>
    <w:tbl>
      <w:tblPr>
        <w:tblStyle w:val="22"/>
        <w:tblW w:w="936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6"/>
        <w:gridCol w:w="1472"/>
        <w:gridCol w:w="1534"/>
        <w:gridCol w:w="1450"/>
        <w:gridCol w:w="1492"/>
        <w:gridCol w:w="1515"/>
      </w:tblGrid>
      <w:tr w14:paraId="576113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0" w:type="auto"/>
            <w:vMerge w:val="restart"/>
            <w:tcBorders>
              <w:top w:val="single" w:color="auto" w:sz="4" w:space="0"/>
              <w:bottom w:val="nil"/>
            </w:tcBorders>
            <w:vAlign w:val="center"/>
          </w:tcPr>
          <w:p w14:paraId="0E7C839B">
            <w:pPr>
              <w:spacing w:after="0" w:line="276" w:lineRule="auto"/>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Road</w:t>
            </w:r>
          </w:p>
        </w:tc>
        <w:tc>
          <w:tcPr>
            <w:tcW w:w="0" w:type="auto"/>
            <w:gridSpan w:val="5"/>
            <w:tcBorders>
              <w:top w:val="single" w:color="auto" w:sz="4" w:space="0"/>
              <w:bottom w:val="nil"/>
            </w:tcBorders>
            <w:vAlign w:val="center"/>
          </w:tcPr>
          <w:p w14:paraId="59D18ED3">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Enrichment Factor (EF)</w:t>
            </w:r>
          </w:p>
        </w:tc>
      </w:tr>
      <w:tr w14:paraId="745A27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0" w:type="auto"/>
            <w:vMerge w:val="continue"/>
            <w:tcBorders>
              <w:top w:val="nil"/>
              <w:bottom w:val="single" w:color="auto" w:sz="4" w:space="0"/>
            </w:tcBorders>
            <w:vAlign w:val="center"/>
          </w:tcPr>
          <w:p w14:paraId="4230A10A">
            <w:pPr>
              <w:spacing w:after="0" w:line="276" w:lineRule="auto"/>
              <w:rPr>
                <w:rFonts w:ascii="Times New Roman" w:hAnsi="Times New Roman" w:eastAsia="Times New Roman" w:cs="Times New Roman"/>
                <w:b/>
                <w:bCs/>
                <w:kern w:val="144"/>
                <w:sz w:val="24"/>
                <w:szCs w:val="24"/>
                <w:lang w:val="zh-CN" w:eastAsia="zh-CN"/>
                <w14:ligatures w14:val="none"/>
              </w:rPr>
            </w:pPr>
          </w:p>
        </w:tc>
        <w:tc>
          <w:tcPr>
            <w:tcW w:w="0" w:type="auto"/>
            <w:tcBorders>
              <w:top w:val="nil"/>
              <w:bottom w:val="single" w:color="auto" w:sz="4" w:space="0"/>
            </w:tcBorders>
            <w:vAlign w:val="center"/>
          </w:tcPr>
          <w:p w14:paraId="5E9ED6B2">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EF(As)</w:t>
            </w:r>
          </w:p>
        </w:tc>
        <w:tc>
          <w:tcPr>
            <w:tcW w:w="0" w:type="auto"/>
            <w:tcBorders>
              <w:top w:val="nil"/>
              <w:bottom w:val="single" w:color="auto" w:sz="4" w:space="0"/>
            </w:tcBorders>
            <w:vAlign w:val="center"/>
          </w:tcPr>
          <w:p w14:paraId="0E9F513F">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EF(Cu)</w:t>
            </w:r>
          </w:p>
        </w:tc>
        <w:tc>
          <w:tcPr>
            <w:tcW w:w="0" w:type="auto"/>
            <w:tcBorders>
              <w:top w:val="nil"/>
              <w:bottom w:val="single" w:color="auto" w:sz="4" w:space="0"/>
            </w:tcBorders>
            <w:vAlign w:val="center"/>
          </w:tcPr>
          <w:p w14:paraId="10FC848E">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EF(Fe)</w:t>
            </w:r>
          </w:p>
        </w:tc>
        <w:tc>
          <w:tcPr>
            <w:tcW w:w="0" w:type="auto"/>
            <w:tcBorders>
              <w:top w:val="nil"/>
              <w:bottom w:val="single" w:color="auto" w:sz="4" w:space="0"/>
            </w:tcBorders>
            <w:vAlign w:val="center"/>
          </w:tcPr>
          <w:p w14:paraId="4275E492">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EF(Pb)</w:t>
            </w:r>
          </w:p>
        </w:tc>
        <w:tc>
          <w:tcPr>
            <w:tcW w:w="0" w:type="auto"/>
            <w:tcBorders>
              <w:top w:val="nil"/>
              <w:bottom w:val="single" w:color="auto" w:sz="4" w:space="0"/>
            </w:tcBorders>
            <w:vAlign w:val="center"/>
          </w:tcPr>
          <w:p w14:paraId="3FCE9C97">
            <w:pPr>
              <w:spacing w:after="0" w:line="276" w:lineRule="auto"/>
              <w:jc w:val="center"/>
              <w:rPr>
                <w:rFonts w:ascii="Times New Roman" w:hAnsi="Times New Roman" w:eastAsia="Times New Roman" w:cs="Times New Roman"/>
                <w:b/>
                <w:bCs/>
                <w:kern w:val="144"/>
                <w:sz w:val="24"/>
                <w:szCs w:val="24"/>
                <w:lang w:val="zh-CN" w:eastAsia="zh-CN"/>
                <w14:ligatures w14:val="none"/>
              </w:rPr>
            </w:pPr>
            <w:r>
              <w:rPr>
                <w:rFonts w:ascii="Times New Roman" w:hAnsi="Times New Roman" w:eastAsia="Times New Roman" w:cs="Times New Roman"/>
                <w:b/>
                <w:bCs/>
                <w:kern w:val="144"/>
                <w:sz w:val="24"/>
                <w:szCs w:val="24"/>
                <w:lang w:val="zh-CN" w:eastAsia="zh-CN"/>
                <w14:ligatures w14:val="none"/>
              </w:rPr>
              <w:t>EF(Zn)</w:t>
            </w:r>
          </w:p>
        </w:tc>
      </w:tr>
      <w:tr w14:paraId="1B6826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0" w:type="auto"/>
            <w:tcBorders>
              <w:top w:val="single" w:color="auto" w:sz="4" w:space="0"/>
            </w:tcBorders>
            <w:vAlign w:val="center"/>
          </w:tcPr>
          <w:p w14:paraId="41B38A87">
            <w:pPr>
              <w:spacing w:before="240" w:after="0" w:line="360" w:lineRule="auto"/>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Hadejia</w:t>
            </w:r>
          </w:p>
        </w:tc>
        <w:tc>
          <w:tcPr>
            <w:tcW w:w="0" w:type="auto"/>
            <w:tcBorders>
              <w:top w:val="single" w:color="auto" w:sz="4" w:space="0"/>
            </w:tcBorders>
            <w:vAlign w:val="center"/>
          </w:tcPr>
          <w:p w14:paraId="1FD6231A">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27.52</w:t>
            </w:r>
          </w:p>
        </w:tc>
        <w:tc>
          <w:tcPr>
            <w:tcW w:w="0" w:type="auto"/>
            <w:tcBorders>
              <w:top w:val="single" w:color="auto" w:sz="4" w:space="0"/>
            </w:tcBorders>
            <w:vAlign w:val="center"/>
          </w:tcPr>
          <w:p w14:paraId="750D6FEA">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0.71</w:t>
            </w:r>
          </w:p>
        </w:tc>
        <w:tc>
          <w:tcPr>
            <w:tcW w:w="0" w:type="auto"/>
            <w:tcBorders>
              <w:top w:val="single" w:color="auto" w:sz="4" w:space="0"/>
            </w:tcBorders>
            <w:vAlign w:val="center"/>
          </w:tcPr>
          <w:p w14:paraId="1F8B4B30">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1.00</w:t>
            </w:r>
          </w:p>
        </w:tc>
        <w:tc>
          <w:tcPr>
            <w:tcW w:w="0" w:type="auto"/>
            <w:tcBorders>
              <w:top w:val="single" w:color="auto" w:sz="4" w:space="0"/>
            </w:tcBorders>
            <w:vAlign w:val="center"/>
          </w:tcPr>
          <w:p w14:paraId="3DD0288F">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0.71</w:t>
            </w:r>
          </w:p>
        </w:tc>
        <w:tc>
          <w:tcPr>
            <w:tcW w:w="0" w:type="auto"/>
            <w:tcBorders>
              <w:top w:val="single" w:color="auto" w:sz="4" w:space="0"/>
            </w:tcBorders>
            <w:vAlign w:val="center"/>
          </w:tcPr>
          <w:p w14:paraId="75B0D1A9">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1.24</w:t>
            </w:r>
          </w:p>
        </w:tc>
      </w:tr>
      <w:tr w14:paraId="30F113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vAlign w:val="center"/>
          </w:tcPr>
          <w:p w14:paraId="05A62BD2">
            <w:pPr>
              <w:spacing w:before="240" w:after="0" w:line="360" w:lineRule="auto"/>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BUK</w:t>
            </w:r>
          </w:p>
        </w:tc>
        <w:tc>
          <w:tcPr>
            <w:tcW w:w="0" w:type="auto"/>
            <w:vAlign w:val="center"/>
          </w:tcPr>
          <w:p w14:paraId="52EBCF7C">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32.69</w:t>
            </w:r>
          </w:p>
        </w:tc>
        <w:tc>
          <w:tcPr>
            <w:tcW w:w="0" w:type="auto"/>
            <w:vAlign w:val="center"/>
          </w:tcPr>
          <w:p w14:paraId="3B83AABA">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0.82</w:t>
            </w:r>
          </w:p>
        </w:tc>
        <w:tc>
          <w:tcPr>
            <w:tcW w:w="0" w:type="auto"/>
            <w:vAlign w:val="center"/>
          </w:tcPr>
          <w:p w14:paraId="453983E0">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1.00</w:t>
            </w:r>
          </w:p>
        </w:tc>
        <w:tc>
          <w:tcPr>
            <w:tcW w:w="0" w:type="auto"/>
            <w:vAlign w:val="center"/>
          </w:tcPr>
          <w:p w14:paraId="4A850E34">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0.68</w:t>
            </w:r>
          </w:p>
        </w:tc>
        <w:tc>
          <w:tcPr>
            <w:tcW w:w="0" w:type="auto"/>
            <w:vAlign w:val="center"/>
          </w:tcPr>
          <w:p w14:paraId="6D7EB4F5">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1.20</w:t>
            </w:r>
          </w:p>
        </w:tc>
      </w:tr>
      <w:tr w14:paraId="6F757D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vAlign w:val="center"/>
          </w:tcPr>
          <w:p w14:paraId="2B885F32">
            <w:pPr>
              <w:spacing w:before="240" w:after="0" w:line="360" w:lineRule="auto"/>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Katsina</w:t>
            </w:r>
          </w:p>
        </w:tc>
        <w:tc>
          <w:tcPr>
            <w:tcW w:w="0" w:type="auto"/>
            <w:vAlign w:val="center"/>
          </w:tcPr>
          <w:p w14:paraId="29B8B983">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17.26</w:t>
            </w:r>
          </w:p>
        </w:tc>
        <w:tc>
          <w:tcPr>
            <w:tcW w:w="0" w:type="auto"/>
            <w:vAlign w:val="center"/>
          </w:tcPr>
          <w:p w14:paraId="2EB1A0D8">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0.46</w:t>
            </w:r>
          </w:p>
        </w:tc>
        <w:tc>
          <w:tcPr>
            <w:tcW w:w="0" w:type="auto"/>
            <w:vAlign w:val="center"/>
          </w:tcPr>
          <w:p w14:paraId="6F745888">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1.00</w:t>
            </w:r>
          </w:p>
        </w:tc>
        <w:tc>
          <w:tcPr>
            <w:tcW w:w="0" w:type="auto"/>
            <w:vAlign w:val="center"/>
          </w:tcPr>
          <w:p w14:paraId="5D753FFB">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0.60</w:t>
            </w:r>
          </w:p>
        </w:tc>
        <w:tc>
          <w:tcPr>
            <w:tcW w:w="0" w:type="auto"/>
            <w:vAlign w:val="center"/>
          </w:tcPr>
          <w:p w14:paraId="762473A5">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0.71</w:t>
            </w:r>
          </w:p>
        </w:tc>
      </w:tr>
      <w:tr w14:paraId="480C54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0" w:type="auto"/>
            <w:vAlign w:val="center"/>
          </w:tcPr>
          <w:p w14:paraId="09612032">
            <w:pPr>
              <w:spacing w:before="240" w:after="0" w:line="360" w:lineRule="auto"/>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Maiduguri</w:t>
            </w:r>
          </w:p>
        </w:tc>
        <w:tc>
          <w:tcPr>
            <w:tcW w:w="0" w:type="auto"/>
            <w:vAlign w:val="center"/>
          </w:tcPr>
          <w:p w14:paraId="6E1CD323">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28.45</w:t>
            </w:r>
          </w:p>
        </w:tc>
        <w:tc>
          <w:tcPr>
            <w:tcW w:w="0" w:type="auto"/>
            <w:vAlign w:val="center"/>
          </w:tcPr>
          <w:p w14:paraId="62DCCFA9">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0.63</w:t>
            </w:r>
          </w:p>
        </w:tc>
        <w:tc>
          <w:tcPr>
            <w:tcW w:w="0" w:type="auto"/>
            <w:vAlign w:val="center"/>
          </w:tcPr>
          <w:p w14:paraId="4C17809A">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1.00</w:t>
            </w:r>
          </w:p>
        </w:tc>
        <w:tc>
          <w:tcPr>
            <w:tcW w:w="0" w:type="auto"/>
            <w:vAlign w:val="center"/>
          </w:tcPr>
          <w:p w14:paraId="3CAD779A">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0.73</w:t>
            </w:r>
          </w:p>
        </w:tc>
        <w:tc>
          <w:tcPr>
            <w:tcW w:w="0" w:type="auto"/>
            <w:vAlign w:val="center"/>
          </w:tcPr>
          <w:p w14:paraId="65D218BF">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1.10</w:t>
            </w:r>
          </w:p>
        </w:tc>
      </w:tr>
      <w:tr w14:paraId="70D8EA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vAlign w:val="center"/>
          </w:tcPr>
          <w:p w14:paraId="1C0D7317">
            <w:pPr>
              <w:spacing w:before="240" w:after="0" w:line="360" w:lineRule="auto"/>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Zaria</w:t>
            </w:r>
          </w:p>
        </w:tc>
        <w:tc>
          <w:tcPr>
            <w:tcW w:w="0" w:type="auto"/>
            <w:vAlign w:val="center"/>
          </w:tcPr>
          <w:p w14:paraId="4B050422">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28.45</w:t>
            </w:r>
          </w:p>
        </w:tc>
        <w:tc>
          <w:tcPr>
            <w:tcW w:w="0" w:type="auto"/>
            <w:vAlign w:val="center"/>
          </w:tcPr>
          <w:p w14:paraId="1A7C70D5">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0.63</w:t>
            </w:r>
          </w:p>
        </w:tc>
        <w:tc>
          <w:tcPr>
            <w:tcW w:w="0" w:type="auto"/>
            <w:vAlign w:val="center"/>
          </w:tcPr>
          <w:p w14:paraId="3301651C">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1.00</w:t>
            </w:r>
          </w:p>
        </w:tc>
        <w:tc>
          <w:tcPr>
            <w:tcW w:w="0" w:type="auto"/>
            <w:vAlign w:val="center"/>
          </w:tcPr>
          <w:p w14:paraId="5790B2D2">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0.73</w:t>
            </w:r>
          </w:p>
        </w:tc>
        <w:tc>
          <w:tcPr>
            <w:tcW w:w="0" w:type="auto"/>
            <w:vAlign w:val="center"/>
          </w:tcPr>
          <w:p w14:paraId="6528FF59">
            <w:pPr>
              <w:spacing w:before="240" w:after="0" w:line="360" w:lineRule="auto"/>
              <w:jc w:val="center"/>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1.10</w:t>
            </w:r>
          </w:p>
        </w:tc>
      </w:tr>
    </w:tbl>
    <w:p w14:paraId="4C99A915">
      <w:pPr>
        <w:spacing w:after="100" w:afterAutospacing="1" w:line="240" w:lineRule="auto"/>
        <w:jc w:val="both"/>
        <w:rPr>
          <w:rFonts w:ascii="Times New Roman" w:hAnsi="Times New Roman" w:eastAsia="Times New Roman" w:cs="Times New Roman"/>
          <w:kern w:val="144"/>
          <w:sz w:val="24"/>
          <w:szCs w:val="24"/>
          <w:lang w:val="zh-CN" w:eastAsia="zh-CN"/>
          <w14:ligatures w14:val="none"/>
        </w:rPr>
      </w:pPr>
      <w:r>
        <w:rPr>
          <w:rFonts w:ascii="Times New Roman" w:hAnsi="Times New Roman" w:eastAsia="Times New Roman" w:cs="Times New Roman"/>
          <w:kern w:val="144"/>
          <w:sz w:val="24"/>
          <w:szCs w:val="24"/>
          <w:lang w:val="zh-CN" w:eastAsia="zh-CN"/>
          <w14:ligatures w14:val="none"/>
        </w:rPr>
        <w:t>EF = Enrichment Factor; As = Arsenic; Cu = Copper; Fe = Iron; Pb = Lead; Zn = Zinc</w:t>
      </w:r>
    </w:p>
    <w:p w14:paraId="289ED202">
      <w:pPr>
        <w:pStyle w:val="19"/>
        <w:spacing w:before="0" w:beforeAutospacing="0" w:line="480" w:lineRule="auto"/>
        <w:jc w:val="both"/>
        <w:rPr>
          <w:kern w:val="144"/>
        </w:rPr>
      </w:pPr>
    </w:p>
    <w:p w14:paraId="6FEB52AB">
      <w:pPr>
        <w:rPr>
          <w:kern w:val="144"/>
        </w:rPr>
      </w:pPr>
      <w:r>
        <w:rPr>
          <w:kern w:val="144"/>
        </w:rPr>
        <w:drawing>
          <wp:inline distT="0" distB="0" distL="0" distR="0">
            <wp:extent cx="5962650" cy="4229100"/>
            <wp:effectExtent l="0" t="0" r="0" b="0"/>
            <wp:docPr id="19847712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CF4FF3">
      <w:pPr>
        <w:pStyle w:val="14"/>
        <w:rPr>
          <w:kern w:val="144"/>
        </w:rPr>
      </w:pPr>
      <w:bookmarkStart w:id="10" w:name="_Toc216950343"/>
      <w:r>
        <w:t>Figure 2</w:t>
      </w:r>
      <w:r>
        <w:rPr>
          <w:kern w:val="144"/>
        </w:rPr>
        <w:t>: Multimetal Pollution Index (MPI) for Different Locations</w:t>
      </w:r>
      <w:bookmarkEnd w:id="10"/>
    </w:p>
    <w:p w14:paraId="41EFCD05">
      <w:pPr>
        <w:pStyle w:val="13"/>
        <w:spacing w:line="480" w:lineRule="auto"/>
        <w:ind w:left="23"/>
        <w:jc w:val="both"/>
        <w:rPr>
          <w:rFonts w:hint="default"/>
          <w:b/>
          <w:bCs/>
          <w:spacing w:val="-2"/>
          <w:sz w:val="24"/>
          <w:szCs w:val="24"/>
          <w:lang w:val="en-US"/>
        </w:rPr>
      </w:pPr>
    </w:p>
    <w:p w14:paraId="6B73B1C8">
      <w:pPr>
        <w:pStyle w:val="13"/>
        <w:spacing w:line="480" w:lineRule="auto"/>
        <w:ind w:left="23"/>
        <w:jc w:val="both"/>
        <w:rPr>
          <w:rFonts w:hint="default"/>
          <w:b/>
          <w:bCs/>
          <w:spacing w:val="-2"/>
          <w:sz w:val="24"/>
          <w:szCs w:val="24"/>
          <w:lang w:val="en-US"/>
        </w:rPr>
      </w:pPr>
    </w:p>
    <w:p w14:paraId="6DF6FF50">
      <w:pPr>
        <w:pStyle w:val="13"/>
        <w:spacing w:line="480" w:lineRule="auto"/>
        <w:ind w:left="23"/>
        <w:jc w:val="both"/>
        <w:rPr>
          <w:rFonts w:hint="default"/>
          <w:b/>
          <w:bCs/>
          <w:spacing w:val="-2"/>
          <w:sz w:val="24"/>
          <w:szCs w:val="24"/>
          <w:lang w:val="en-US"/>
        </w:rPr>
      </w:pPr>
    </w:p>
    <w:p w14:paraId="4D5A283C">
      <w:pPr>
        <w:pStyle w:val="13"/>
        <w:spacing w:line="480" w:lineRule="auto"/>
        <w:ind w:left="23"/>
        <w:jc w:val="both"/>
        <w:rPr>
          <w:rFonts w:hint="default"/>
          <w:b/>
          <w:bCs/>
          <w:spacing w:val="-2"/>
          <w:sz w:val="24"/>
          <w:szCs w:val="24"/>
          <w:lang w:val="en-US"/>
        </w:rPr>
      </w:pPr>
    </w:p>
    <w:p w14:paraId="0BE9C8F2">
      <w:pPr>
        <w:pStyle w:val="13"/>
        <w:spacing w:line="480" w:lineRule="auto"/>
        <w:ind w:left="23"/>
        <w:jc w:val="both"/>
        <w:rPr>
          <w:rFonts w:hint="default"/>
          <w:b/>
          <w:bCs/>
          <w:spacing w:val="-2"/>
          <w:sz w:val="24"/>
          <w:szCs w:val="24"/>
          <w:lang w:val="en-US"/>
        </w:rPr>
      </w:pPr>
    </w:p>
    <w:p w14:paraId="5065F24B">
      <w:pPr>
        <w:pStyle w:val="13"/>
        <w:spacing w:line="480" w:lineRule="auto"/>
        <w:ind w:left="23"/>
        <w:jc w:val="both"/>
        <w:rPr>
          <w:rFonts w:hint="default"/>
          <w:b/>
          <w:bCs/>
          <w:spacing w:val="-2"/>
          <w:sz w:val="24"/>
          <w:szCs w:val="24"/>
          <w:lang w:val="en-US"/>
        </w:rPr>
      </w:pPr>
    </w:p>
    <w:p w14:paraId="400DA86B">
      <w:pPr>
        <w:pStyle w:val="13"/>
        <w:spacing w:line="480" w:lineRule="auto"/>
        <w:ind w:left="23"/>
        <w:jc w:val="both"/>
        <w:rPr>
          <w:rFonts w:hint="default"/>
          <w:b/>
          <w:bCs/>
          <w:spacing w:val="-2"/>
          <w:sz w:val="24"/>
          <w:szCs w:val="24"/>
          <w:lang w:val="en-US"/>
        </w:rPr>
      </w:pPr>
    </w:p>
    <w:p w14:paraId="0CC234C5">
      <w:pPr>
        <w:pStyle w:val="13"/>
        <w:spacing w:line="480" w:lineRule="auto"/>
        <w:ind w:left="23"/>
        <w:jc w:val="both"/>
        <w:rPr>
          <w:rFonts w:hint="default"/>
          <w:b/>
          <w:bCs/>
          <w:spacing w:val="-2"/>
          <w:sz w:val="24"/>
          <w:szCs w:val="24"/>
          <w:lang w:val="en-US"/>
        </w:rPr>
      </w:pPr>
    </w:p>
    <w:p w14:paraId="368DAD48">
      <w:pPr>
        <w:pStyle w:val="13"/>
        <w:spacing w:line="480" w:lineRule="auto"/>
        <w:ind w:left="23"/>
        <w:jc w:val="both"/>
        <w:rPr>
          <w:rFonts w:hint="default"/>
          <w:b/>
          <w:bCs/>
          <w:spacing w:val="-2"/>
          <w:sz w:val="24"/>
          <w:szCs w:val="24"/>
          <w:lang w:val="en-US"/>
        </w:rPr>
      </w:pPr>
    </w:p>
    <w:p w14:paraId="77308F19">
      <w:pPr>
        <w:pStyle w:val="13"/>
        <w:spacing w:line="480" w:lineRule="auto"/>
        <w:ind w:left="23"/>
        <w:jc w:val="both"/>
        <w:rPr>
          <w:rFonts w:hint="default"/>
          <w:b/>
          <w:bCs/>
          <w:spacing w:val="-2"/>
          <w:sz w:val="24"/>
          <w:szCs w:val="24"/>
          <w:lang w:val="en-US"/>
        </w:rPr>
      </w:pPr>
      <w:r>
        <w:rPr>
          <w:rFonts w:hint="default"/>
          <w:b/>
          <w:bCs/>
          <w:spacing w:val="-2"/>
          <w:sz w:val="24"/>
          <w:szCs w:val="24"/>
          <w:lang w:val="en-US"/>
        </w:rPr>
        <w:t>4.3 Discussion</w:t>
      </w:r>
    </w:p>
    <w:p w14:paraId="74982A2A">
      <w:pPr>
        <w:pStyle w:val="3"/>
        <w:numPr>
          <w:ilvl w:val="0"/>
          <w:numId w:val="0"/>
        </w:numPr>
        <w:tabs>
          <w:tab w:val="left" w:pos="743"/>
        </w:tabs>
        <w:spacing w:before="0" w:after="0" w:line="480" w:lineRule="auto"/>
        <w:ind w:leftChars="0" w:right="0" w:rightChars="0"/>
        <w:jc w:val="left"/>
      </w:pPr>
      <w:r>
        <w:rPr>
          <w:rFonts w:hint="default"/>
          <w:lang w:val="en-US"/>
        </w:rPr>
        <w:t>4.3.1</w:t>
      </w:r>
      <w:bookmarkStart w:id="11" w:name="_GoBack"/>
      <w:bookmarkEnd w:id="11"/>
      <w:r>
        <w:rPr>
          <w:rFonts w:hint="default"/>
          <w:lang w:val="en-US"/>
        </w:rPr>
        <w:t xml:space="preserve"> </w:t>
      </w:r>
      <w:r>
        <w:t>Contamination</w:t>
      </w:r>
      <w:r>
        <w:rPr>
          <w:spacing w:val="-3"/>
        </w:rPr>
        <w:t xml:space="preserve"> </w:t>
      </w:r>
      <w:r>
        <w:rPr>
          <w:rFonts w:hint="default"/>
          <w:spacing w:val="-3"/>
          <w:lang w:val="en-US"/>
        </w:rPr>
        <w:t xml:space="preserve">Factor </w:t>
      </w:r>
      <w:r>
        <w:t>of</w:t>
      </w:r>
      <w:r>
        <w:rPr>
          <w:spacing w:val="-3"/>
        </w:rPr>
        <w:t xml:space="preserve"> </w:t>
      </w:r>
      <w:r>
        <w:t>Heavy</w:t>
      </w:r>
      <w:r>
        <w:rPr>
          <w:spacing w:val="-2"/>
        </w:rPr>
        <w:t xml:space="preserve"> Metals</w:t>
      </w:r>
    </w:p>
    <w:p w14:paraId="345ED01D">
      <w:pPr>
        <w:pStyle w:val="13"/>
        <w:spacing w:line="480" w:lineRule="auto"/>
        <w:ind w:left="23" w:right="442"/>
        <w:jc w:val="both"/>
      </w:pPr>
      <w:r>
        <w:t>The contamination indices calculated for heavy metals in road dust across Kano Metropolis, including Contamination Factor (CF), Pollution Load Index (PLI), Geo-accumulation Index (Igeo), Enrichment Factor (EF), and Multimetal Pollution Index (MPI), paint a clear and concerning picture of pervasive contamination, largely driven by anthropogenic activity. Across all major roads studied (Hadejia, BUK, Katsina, Maiduguri and Zaria), CF values exceeded the threshold</w:t>
      </w:r>
      <w:r>
        <w:rPr>
          <w:spacing w:val="-1"/>
        </w:rPr>
        <w:t xml:space="preserve"> </w:t>
      </w:r>
      <w:r>
        <w:t>for</w:t>
      </w:r>
      <w:r>
        <w:rPr>
          <w:spacing w:val="-2"/>
        </w:rPr>
        <w:t xml:space="preserve"> </w:t>
      </w:r>
      <w:r>
        <w:rPr>
          <w:i w:val="0"/>
          <w:iCs/>
        </w:rPr>
        <w:t>very</w:t>
      </w:r>
      <w:r>
        <w:rPr>
          <w:i w:val="0"/>
          <w:iCs/>
          <w:spacing w:val="-2"/>
        </w:rPr>
        <w:t xml:space="preserve"> </w:t>
      </w:r>
      <w:r>
        <w:rPr>
          <w:i w:val="0"/>
          <w:iCs/>
        </w:rPr>
        <w:t>high</w:t>
      </w:r>
      <w:r>
        <w:rPr>
          <w:i w:val="0"/>
          <w:iCs/>
          <w:spacing w:val="-1"/>
        </w:rPr>
        <w:t xml:space="preserve"> </w:t>
      </w:r>
      <w:r>
        <w:rPr>
          <w:i w:val="0"/>
          <w:iCs/>
        </w:rPr>
        <w:t>contamination</w:t>
      </w:r>
      <w:r>
        <w:rPr>
          <w:i/>
        </w:rPr>
        <w:t xml:space="preserve"> </w:t>
      </w:r>
      <w:r>
        <w:t>for</w:t>
      </w:r>
      <w:r>
        <w:rPr>
          <w:spacing w:val="-3"/>
        </w:rPr>
        <w:t xml:space="preserve"> </w:t>
      </w:r>
      <w:r>
        <w:t>key</w:t>
      </w:r>
      <w:r>
        <w:rPr>
          <w:spacing w:val="-1"/>
        </w:rPr>
        <w:t xml:space="preserve"> </w:t>
      </w:r>
      <w:r>
        <w:t>toxic</w:t>
      </w:r>
      <w:r>
        <w:rPr>
          <w:spacing w:val="-2"/>
        </w:rPr>
        <w:t xml:space="preserve"> </w:t>
      </w:r>
      <w:r>
        <w:t>elements</w:t>
      </w:r>
      <w:r>
        <w:rPr>
          <w:spacing w:val="-1"/>
        </w:rPr>
        <w:t xml:space="preserve"> </w:t>
      </w:r>
      <w:r>
        <w:t>such</w:t>
      </w:r>
      <w:r>
        <w:rPr>
          <w:spacing w:val="-1"/>
        </w:rPr>
        <w:t xml:space="preserve"> </w:t>
      </w:r>
      <w:r>
        <w:t>as</w:t>
      </w:r>
      <w:r>
        <w:rPr>
          <w:spacing w:val="-1"/>
        </w:rPr>
        <w:t xml:space="preserve"> </w:t>
      </w:r>
      <w:r>
        <w:t>arsenic</w:t>
      </w:r>
      <w:r>
        <w:rPr>
          <w:spacing w:val="-2"/>
        </w:rPr>
        <w:t xml:space="preserve"> </w:t>
      </w:r>
      <w:r>
        <w:t>(As),</w:t>
      </w:r>
      <w:r>
        <w:rPr>
          <w:spacing w:val="-2"/>
        </w:rPr>
        <w:t xml:space="preserve"> </w:t>
      </w:r>
      <w:r>
        <w:t>zinc</w:t>
      </w:r>
      <w:r>
        <w:rPr>
          <w:spacing w:val="-2"/>
        </w:rPr>
        <w:t xml:space="preserve"> </w:t>
      </w:r>
      <w:r>
        <w:t>(Zn),</w:t>
      </w:r>
      <w:r>
        <w:rPr>
          <w:spacing w:val="-2"/>
        </w:rPr>
        <w:t xml:space="preserve"> </w:t>
      </w:r>
      <w:r>
        <w:t>iron (Fe), copper (Cu) and lead (Pb). CF values for As were exceptionally elevated (190–256), far exceeding those of other metals (Table 4.7). Correspondingly, PLI values ranged from 13.40 to 15.61, consistently greater than 1, indicating that all locations are polluted beyond natural background</w:t>
      </w:r>
      <w:r>
        <w:rPr>
          <w:spacing w:val="24"/>
        </w:rPr>
        <w:t xml:space="preserve"> </w:t>
      </w:r>
      <w:r>
        <w:t>levels.</w:t>
      </w:r>
      <w:r>
        <w:rPr>
          <w:spacing w:val="26"/>
        </w:rPr>
        <w:t xml:space="preserve"> </w:t>
      </w:r>
      <w:r>
        <w:t>Mean</w:t>
      </w:r>
      <w:r>
        <w:rPr>
          <w:spacing w:val="27"/>
        </w:rPr>
        <w:t xml:space="preserve"> </w:t>
      </w:r>
      <w:r>
        <w:t>geo-accumulation</w:t>
      </w:r>
      <w:r>
        <w:rPr>
          <w:spacing w:val="26"/>
        </w:rPr>
        <w:t xml:space="preserve"> </w:t>
      </w:r>
      <w:r>
        <w:t>index</w:t>
      </w:r>
      <w:r>
        <w:rPr>
          <w:spacing w:val="26"/>
        </w:rPr>
        <w:t xml:space="preserve"> </w:t>
      </w:r>
      <w:r>
        <w:t>values</w:t>
      </w:r>
      <w:r>
        <w:rPr>
          <w:spacing w:val="27"/>
        </w:rPr>
        <w:t xml:space="preserve"> </w:t>
      </w:r>
      <w:r>
        <w:t>(Igeo)</w:t>
      </w:r>
      <w:r>
        <w:rPr>
          <w:spacing w:val="25"/>
        </w:rPr>
        <w:t xml:space="preserve"> </w:t>
      </w:r>
      <w:r>
        <w:t>between</w:t>
      </w:r>
      <w:r>
        <w:rPr>
          <w:spacing w:val="32"/>
        </w:rPr>
        <w:t xml:space="preserve"> </w:t>
      </w:r>
      <w:r>
        <w:t>3.14</w:t>
      </w:r>
      <w:r>
        <w:rPr>
          <w:spacing w:val="27"/>
        </w:rPr>
        <w:t xml:space="preserve"> </w:t>
      </w:r>
      <w:r>
        <w:t>and</w:t>
      </w:r>
      <w:r>
        <w:rPr>
          <w:spacing w:val="26"/>
        </w:rPr>
        <w:t xml:space="preserve"> </w:t>
      </w:r>
      <w:r>
        <w:t>3.35</w:t>
      </w:r>
      <w:r>
        <w:rPr>
          <w:spacing w:val="28"/>
        </w:rPr>
        <w:t xml:space="preserve"> </w:t>
      </w:r>
      <w:r>
        <w:rPr>
          <w:spacing w:val="-2"/>
        </w:rPr>
        <w:t>further</w:t>
      </w:r>
      <w:r>
        <w:rPr>
          <w:rFonts w:hint="default"/>
          <w:spacing w:val="-2"/>
          <w:lang w:val="en-US"/>
        </w:rPr>
        <w:t xml:space="preserve"> </w:t>
      </w:r>
      <w:r>
        <w:t>confirm</w:t>
      </w:r>
      <w:r>
        <w:rPr>
          <w:spacing w:val="-13"/>
        </w:rPr>
        <w:t xml:space="preserve"> </w:t>
      </w:r>
      <w:r>
        <w:t>that</w:t>
      </w:r>
      <w:r>
        <w:rPr>
          <w:spacing w:val="-13"/>
        </w:rPr>
        <w:t xml:space="preserve"> </w:t>
      </w:r>
      <w:r>
        <w:t>road</w:t>
      </w:r>
      <w:r>
        <w:rPr>
          <w:spacing w:val="-13"/>
        </w:rPr>
        <w:t xml:space="preserve"> </w:t>
      </w:r>
      <w:r>
        <w:t>dust</w:t>
      </w:r>
      <w:r>
        <w:rPr>
          <w:spacing w:val="-13"/>
        </w:rPr>
        <w:t xml:space="preserve"> </w:t>
      </w:r>
      <w:r>
        <w:t>is</w:t>
      </w:r>
      <w:r>
        <w:rPr>
          <w:spacing w:val="-14"/>
        </w:rPr>
        <w:t xml:space="preserve"> </w:t>
      </w:r>
      <w:r>
        <w:rPr>
          <w:i w:val="0"/>
          <w:iCs/>
        </w:rPr>
        <w:t>heavily</w:t>
      </w:r>
      <w:r>
        <w:rPr>
          <w:i w:val="0"/>
          <w:iCs/>
          <w:spacing w:val="-14"/>
        </w:rPr>
        <w:t xml:space="preserve"> </w:t>
      </w:r>
      <w:r>
        <w:rPr>
          <w:i w:val="0"/>
          <w:iCs/>
        </w:rPr>
        <w:t>contaminated</w:t>
      </w:r>
      <w:r>
        <w:rPr>
          <w:i/>
          <w:spacing w:val="-13"/>
        </w:rPr>
        <w:t xml:space="preserve"> </w:t>
      </w:r>
      <w:r>
        <w:t>(Igeo</w:t>
      </w:r>
      <w:r>
        <w:rPr>
          <w:spacing w:val="-13"/>
        </w:rPr>
        <w:t xml:space="preserve"> </w:t>
      </w:r>
      <w:r>
        <w:t>&gt;</w:t>
      </w:r>
      <w:r>
        <w:rPr>
          <w:spacing w:val="-14"/>
        </w:rPr>
        <w:t xml:space="preserve"> </w:t>
      </w:r>
      <w:r>
        <w:t>2).</w:t>
      </w:r>
      <w:r>
        <w:rPr>
          <w:spacing w:val="-14"/>
        </w:rPr>
        <w:t xml:space="preserve"> </w:t>
      </w:r>
      <w:r>
        <w:t>These</w:t>
      </w:r>
      <w:r>
        <w:rPr>
          <w:spacing w:val="-14"/>
        </w:rPr>
        <w:t xml:space="preserve"> </w:t>
      </w:r>
      <w:r>
        <w:t>results</w:t>
      </w:r>
      <w:r>
        <w:rPr>
          <w:spacing w:val="-13"/>
        </w:rPr>
        <w:t xml:space="preserve"> </w:t>
      </w:r>
      <w:r>
        <w:t>are</w:t>
      </w:r>
      <w:r>
        <w:rPr>
          <w:spacing w:val="-12"/>
        </w:rPr>
        <w:t xml:space="preserve"> </w:t>
      </w:r>
      <w:r>
        <w:t>broadly</w:t>
      </w:r>
      <w:r>
        <w:rPr>
          <w:spacing w:val="-13"/>
        </w:rPr>
        <w:t xml:space="preserve"> </w:t>
      </w:r>
      <w:r>
        <w:t>consistent</w:t>
      </w:r>
      <w:r>
        <w:rPr>
          <w:spacing w:val="-13"/>
        </w:rPr>
        <w:t xml:space="preserve"> </w:t>
      </w:r>
      <w:r>
        <w:t xml:space="preserve">with studies in other urban centres where heavy metals accumulate in roadside dust due to traffic emissions, wear and tear of vehicle components, and resuspension of contaminated particulates (Duong </w:t>
      </w:r>
      <w:r>
        <w:rPr>
          <w:i/>
        </w:rPr>
        <w:t>et al</w:t>
      </w:r>
      <w:r>
        <w:t xml:space="preserve">., 2011; Han </w:t>
      </w:r>
      <w:r>
        <w:rPr>
          <w:i/>
        </w:rPr>
        <w:t>et al</w:t>
      </w:r>
      <w:r>
        <w:t>., 2023).</w:t>
      </w:r>
    </w:p>
    <w:p w14:paraId="2A39B997">
      <w:pPr>
        <w:pStyle w:val="13"/>
        <w:spacing w:line="480" w:lineRule="auto"/>
        <w:ind w:left="23" w:right="443"/>
        <w:jc w:val="both"/>
      </w:pPr>
      <w:r>
        <w:t xml:space="preserve">The Enrichment Factor (EF) analysis reinforces this pattern but also adds nuance: </w:t>
      </w:r>
      <w:r>
        <w:rPr>
          <w:i/>
        </w:rPr>
        <w:t xml:space="preserve">arsenic </w:t>
      </w:r>
      <w:r>
        <w:t>shows very</w:t>
      </w:r>
      <w:r>
        <w:rPr>
          <w:spacing w:val="-11"/>
        </w:rPr>
        <w:t xml:space="preserve"> </w:t>
      </w:r>
      <w:r>
        <w:t>high</w:t>
      </w:r>
      <w:r>
        <w:rPr>
          <w:spacing w:val="-10"/>
        </w:rPr>
        <w:t xml:space="preserve"> </w:t>
      </w:r>
      <w:r>
        <w:t>enrichment</w:t>
      </w:r>
      <w:r>
        <w:rPr>
          <w:spacing w:val="-10"/>
        </w:rPr>
        <w:t xml:space="preserve"> </w:t>
      </w:r>
      <w:r>
        <w:t>(EF</w:t>
      </w:r>
      <w:r>
        <w:rPr>
          <w:spacing w:val="-10"/>
        </w:rPr>
        <w:t xml:space="preserve"> </w:t>
      </w:r>
      <w:r>
        <w:t>17–33),</w:t>
      </w:r>
      <w:r>
        <w:rPr>
          <w:spacing w:val="-11"/>
        </w:rPr>
        <w:t xml:space="preserve"> </w:t>
      </w:r>
      <w:r>
        <w:t>indicating</w:t>
      </w:r>
      <w:r>
        <w:rPr>
          <w:spacing w:val="-11"/>
        </w:rPr>
        <w:t xml:space="preserve"> </w:t>
      </w:r>
      <w:r>
        <w:t>a</w:t>
      </w:r>
      <w:r>
        <w:rPr>
          <w:spacing w:val="-11"/>
        </w:rPr>
        <w:t xml:space="preserve"> </w:t>
      </w:r>
      <w:r>
        <w:t>dominant</w:t>
      </w:r>
      <w:r>
        <w:rPr>
          <w:spacing w:val="-10"/>
        </w:rPr>
        <w:t xml:space="preserve"> </w:t>
      </w:r>
      <w:r>
        <w:t>anthropogenic</w:t>
      </w:r>
      <w:r>
        <w:rPr>
          <w:spacing w:val="-11"/>
        </w:rPr>
        <w:t xml:space="preserve"> </w:t>
      </w:r>
      <w:r>
        <w:t>source,</w:t>
      </w:r>
      <w:r>
        <w:rPr>
          <w:spacing w:val="-11"/>
        </w:rPr>
        <w:t xml:space="preserve"> </w:t>
      </w:r>
      <w:r>
        <w:t>while</w:t>
      </w:r>
      <w:r>
        <w:rPr>
          <w:spacing w:val="-11"/>
        </w:rPr>
        <w:t xml:space="preserve"> </w:t>
      </w:r>
      <w:r>
        <w:t>Cu,</w:t>
      </w:r>
      <w:r>
        <w:rPr>
          <w:spacing w:val="-11"/>
        </w:rPr>
        <w:t xml:space="preserve"> </w:t>
      </w:r>
      <w:r>
        <w:t>Fe,</w:t>
      </w:r>
      <w:r>
        <w:rPr>
          <w:spacing w:val="-11"/>
        </w:rPr>
        <w:t xml:space="preserve"> </w:t>
      </w:r>
      <w:r>
        <w:t>Pb and Zn generally exhibit minimal enrichment (EF &lt; 2). This suggests that, for most metals, background geological (lithogenic) contributions remain significant, but As is highly influenced by human activity, likely from traffic emissions, fuel combustion, brake and clutch wear, and industrial</w:t>
      </w:r>
      <w:r>
        <w:rPr>
          <w:spacing w:val="-6"/>
        </w:rPr>
        <w:t xml:space="preserve"> </w:t>
      </w:r>
      <w:r>
        <w:t>processes</w:t>
      </w:r>
      <w:r>
        <w:rPr>
          <w:spacing w:val="-6"/>
        </w:rPr>
        <w:t xml:space="preserve"> </w:t>
      </w:r>
      <w:r>
        <w:t>that</w:t>
      </w:r>
      <w:r>
        <w:rPr>
          <w:spacing w:val="-4"/>
        </w:rPr>
        <w:t xml:space="preserve"> </w:t>
      </w:r>
      <w:r>
        <w:t>emit</w:t>
      </w:r>
      <w:r>
        <w:rPr>
          <w:spacing w:val="-6"/>
        </w:rPr>
        <w:t xml:space="preserve"> </w:t>
      </w:r>
      <w:r>
        <w:t>arsenic-bearing</w:t>
      </w:r>
      <w:r>
        <w:rPr>
          <w:spacing w:val="-7"/>
        </w:rPr>
        <w:t xml:space="preserve"> </w:t>
      </w:r>
      <w:r>
        <w:t>particulates</w:t>
      </w:r>
      <w:r>
        <w:rPr>
          <w:spacing w:val="-7"/>
        </w:rPr>
        <w:t xml:space="preserve"> </w:t>
      </w:r>
      <w:r>
        <w:t>(Sutherland,</w:t>
      </w:r>
      <w:r>
        <w:rPr>
          <w:spacing w:val="-7"/>
        </w:rPr>
        <w:t xml:space="preserve"> </w:t>
      </w:r>
      <w:r>
        <w:t>2000</w:t>
      </w:r>
      <w:r>
        <w:rPr>
          <w:spacing w:val="-7"/>
        </w:rPr>
        <w:t xml:space="preserve"> </w:t>
      </w:r>
      <w:r>
        <w:t>classification).</w:t>
      </w:r>
      <w:r>
        <w:rPr>
          <w:spacing w:val="-5"/>
        </w:rPr>
        <w:t xml:space="preserve"> </w:t>
      </w:r>
      <w:r>
        <w:t xml:space="preserve">These contamination indices are comparable with previous urban dust studies both within Nigeria and internationally. For example, analyses of road dust in Ado-Ekiti, Lagos, and Akure also report elevated CF and PLI for heavy metals, implicating vehicle emissions and urban activities as dominant sources, though the specific ranking of metals varies by locale (Odukoya </w:t>
      </w:r>
      <w:r>
        <w:rPr>
          <w:i/>
        </w:rPr>
        <w:t>et al</w:t>
      </w:r>
      <w:r>
        <w:t xml:space="preserve">., 2021; Aturamu </w:t>
      </w:r>
      <w:r>
        <w:rPr>
          <w:i/>
        </w:rPr>
        <w:t>et al</w:t>
      </w:r>
      <w:r>
        <w:t>., 2024; Owolabi, 2025).</w:t>
      </w:r>
    </w:p>
    <w:p w14:paraId="3A71009B">
      <w:pPr>
        <w:pStyle w:val="13"/>
        <w:spacing w:line="480" w:lineRule="auto"/>
        <w:ind w:left="23" w:right="443"/>
        <w:jc w:val="both"/>
      </w:pPr>
      <w:r>
        <w:t>Among</w:t>
      </w:r>
      <w:r>
        <w:rPr>
          <w:spacing w:val="-13"/>
        </w:rPr>
        <w:t xml:space="preserve"> </w:t>
      </w:r>
      <w:r>
        <w:t>all</w:t>
      </w:r>
      <w:r>
        <w:rPr>
          <w:spacing w:val="-12"/>
        </w:rPr>
        <w:t xml:space="preserve"> </w:t>
      </w:r>
      <w:r>
        <w:t>metals</w:t>
      </w:r>
      <w:r>
        <w:rPr>
          <w:spacing w:val="-12"/>
        </w:rPr>
        <w:t xml:space="preserve"> </w:t>
      </w:r>
      <w:r>
        <w:t>analyzed,</w:t>
      </w:r>
      <w:r>
        <w:rPr>
          <w:spacing w:val="-12"/>
        </w:rPr>
        <w:t xml:space="preserve"> </w:t>
      </w:r>
      <w:r>
        <w:t>arsenic</w:t>
      </w:r>
      <w:r>
        <w:rPr>
          <w:spacing w:val="-14"/>
        </w:rPr>
        <w:t xml:space="preserve"> </w:t>
      </w:r>
      <w:r>
        <w:t>stands</w:t>
      </w:r>
      <w:r>
        <w:rPr>
          <w:spacing w:val="-13"/>
        </w:rPr>
        <w:t xml:space="preserve"> </w:t>
      </w:r>
      <w:r>
        <w:t>out</w:t>
      </w:r>
      <w:r>
        <w:rPr>
          <w:spacing w:val="-12"/>
        </w:rPr>
        <w:t xml:space="preserve"> </w:t>
      </w:r>
      <w:r>
        <w:t>with</w:t>
      </w:r>
      <w:r>
        <w:rPr>
          <w:spacing w:val="-13"/>
        </w:rPr>
        <w:t xml:space="preserve"> </w:t>
      </w:r>
      <w:r>
        <w:t>the</w:t>
      </w:r>
      <w:r>
        <w:rPr>
          <w:spacing w:val="-14"/>
        </w:rPr>
        <w:t xml:space="preserve"> </w:t>
      </w:r>
      <w:r>
        <w:t>highest</w:t>
      </w:r>
      <w:r>
        <w:rPr>
          <w:spacing w:val="-15"/>
        </w:rPr>
        <w:t xml:space="preserve"> </w:t>
      </w:r>
      <w:r>
        <w:t>CF</w:t>
      </w:r>
      <w:r>
        <w:rPr>
          <w:spacing w:val="-15"/>
        </w:rPr>
        <w:t xml:space="preserve"> </w:t>
      </w:r>
      <w:r>
        <w:t>and</w:t>
      </w:r>
      <w:r>
        <w:rPr>
          <w:spacing w:val="-13"/>
        </w:rPr>
        <w:t xml:space="preserve"> </w:t>
      </w:r>
      <w:r>
        <w:t>EF</w:t>
      </w:r>
      <w:r>
        <w:rPr>
          <w:spacing w:val="-15"/>
        </w:rPr>
        <w:t xml:space="preserve"> </w:t>
      </w:r>
      <w:r>
        <w:t>values.</w:t>
      </w:r>
      <w:r>
        <w:rPr>
          <w:spacing w:val="-13"/>
        </w:rPr>
        <w:t xml:space="preserve"> </w:t>
      </w:r>
      <w:r>
        <w:t>CF</w:t>
      </w:r>
      <w:r>
        <w:rPr>
          <w:spacing w:val="-15"/>
        </w:rPr>
        <w:t xml:space="preserve"> </w:t>
      </w:r>
      <w:r>
        <w:t>values</w:t>
      </w:r>
      <w:r>
        <w:rPr>
          <w:spacing w:val="-13"/>
        </w:rPr>
        <w:t xml:space="preserve"> </w:t>
      </w:r>
      <w:r>
        <w:t>above 190</w:t>
      </w:r>
      <w:r>
        <w:rPr>
          <w:spacing w:val="-5"/>
        </w:rPr>
        <w:t xml:space="preserve"> </w:t>
      </w:r>
      <w:r>
        <w:t>for</w:t>
      </w:r>
      <w:r>
        <w:rPr>
          <w:spacing w:val="-4"/>
        </w:rPr>
        <w:t xml:space="preserve"> </w:t>
      </w:r>
      <w:r>
        <w:t>all</w:t>
      </w:r>
      <w:r>
        <w:rPr>
          <w:spacing w:val="-4"/>
        </w:rPr>
        <w:t xml:space="preserve"> </w:t>
      </w:r>
      <w:r>
        <w:t>roads</w:t>
      </w:r>
      <w:r>
        <w:rPr>
          <w:spacing w:val="-5"/>
        </w:rPr>
        <w:t xml:space="preserve"> </w:t>
      </w:r>
      <w:r>
        <w:t>reflect</w:t>
      </w:r>
      <w:r>
        <w:rPr>
          <w:spacing w:val="-4"/>
        </w:rPr>
        <w:t xml:space="preserve"> </w:t>
      </w:r>
      <w:r>
        <w:t>extremely</w:t>
      </w:r>
      <w:r>
        <w:rPr>
          <w:spacing w:val="-5"/>
        </w:rPr>
        <w:t xml:space="preserve"> </w:t>
      </w:r>
      <w:r>
        <w:t>high</w:t>
      </w:r>
      <w:r>
        <w:rPr>
          <w:spacing w:val="-2"/>
        </w:rPr>
        <w:t xml:space="preserve"> </w:t>
      </w:r>
      <w:r>
        <w:t>contamination</w:t>
      </w:r>
      <w:r>
        <w:rPr>
          <w:spacing w:val="-5"/>
        </w:rPr>
        <w:t xml:space="preserve"> </w:t>
      </w:r>
      <w:r>
        <w:t>relative</w:t>
      </w:r>
      <w:r>
        <w:rPr>
          <w:spacing w:val="-5"/>
        </w:rPr>
        <w:t xml:space="preserve"> </w:t>
      </w:r>
      <w:r>
        <w:t>to</w:t>
      </w:r>
      <w:r>
        <w:rPr>
          <w:spacing w:val="-2"/>
        </w:rPr>
        <w:t xml:space="preserve"> </w:t>
      </w:r>
      <w:r>
        <w:t>background,</w:t>
      </w:r>
      <w:r>
        <w:rPr>
          <w:spacing w:val="-5"/>
        </w:rPr>
        <w:t xml:space="preserve"> </w:t>
      </w:r>
      <w:r>
        <w:t>far</w:t>
      </w:r>
      <w:r>
        <w:rPr>
          <w:spacing w:val="-3"/>
        </w:rPr>
        <w:t xml:space="preserve"> </w:t>
      </w:r>
      <w:r>
        <w:t>exceeding</w:t>
      </w:r>
      <w:r>
        <w:rPr>
          <w:spacing w:val="-2"/>
        </w:rPr>
        <w:t xml:space="preserve"> </w:t>
      </w:r>
      <w:r>
        <w:t>CF</w:t>
      </w:r>
      <w:r>
        <w:rPr>
          <w:spacing w:val="-4"/>
        </w:rPr>
        <w:t xml:space="preserve"> </w:t>
      </w:r>
      <w:r>
        <w:t>&gt; 6</w:t>
      </w:r>
      <w:r>
        <w:rPr>
          <w:spacing w:val="-1"/>
        </w:rPr>
        <w:t xml:space="preserve"> </w:t>
      </w:r>
      <w:r>
        <w:t>(very</w:t>
      </w:r>
      <w:r>
        <w:rPr>
          <w:spacing w:val="-1"/>
        </w:rPr>
        <w:t xml:space="preserve"> </w:t>
      </w:r>
      <w:r>
        <w:t>high)</w:t>
      </w:r>
      <w:r>
        <w:rPr>
          <w:spacing w:val="-1"/>
        </w:rPr>
        <w:t xml:space="preserve"> </w:t>
      </w:r>
      <w:r>
        <w:t>thresholds.</w:t>
      </w:r>
      <w:r>
        <w:rPr>
          <w:spacing w:val="-1"/>
        </w:rPr>
        <w:t xml:space="preserve"> </w:t>
      </w:r>
      <w:r>
        <w:t>EF</w:t>
      </w:r>
      <w:r>
        <w:rPr>
          <w:spacing w:val="-2"/>
        </w:rPr>
        <w:t xml:space="preserve"> </w:t>
      </w:r>
      <w:r>
        <w:t>values</w:t>
      </w:r>
      <w:r>
        <w:rPr>
          <w:spacing w:val="-1"/>
        </w:rPr>
        <w:t xml:space="preserve"> </w:t>
      </w:r>
      <w:r>
        <w:t>ranging</w:t>
      </w:r>
      <w:r>
        <w:rPr>
          <w:spacing w:val="-1"/>
        </w:rPr>
        <w:t xml:space="preserve"> </w:t>
      </w:r>
      <w:r>
        <w:t>from</w:t>
      </w:r>
      <w:r>
        <w:rPr>
          <w:spacing w:val="-1"/>
        </w:rPr>
        <w:t xml:space="preserve"> </w:t>
      </w:r>
      <w:r>
        <w:t>17</w:t>
      </w:r>
      <w:r>
        <w:rPr>
          <w:spacing w:val="-1"/>
        </w:rPr>
        <w:t xml:space="preserve"> </w:t>
      </w:r>
      <w:r>
        <w:t>(Katsina)</w:t>
      </w:r>
      <w:r>
        <w:rPr>
          <w:spacing w:val="-1"/>
        </w:rPr>
        <w:t xml:space="preserve"> </w:t>
      </w:r>
      <w:r>
        <w:t>to</w:t>
      </w:r>
      <w:r>
        <w:rPr>
          <w:spacing w:val="-1"/>
        </w:rPr>
        <w:t xml:space="preserve"> </w:t>
      </w:r>
      <w:r>
        <w:t>33</w:t>
      </w:r>
      <w:r>
        <w:rPr>
          <w:spacing w:val="-1"/>
        </w:rPr>
        <w:t xml:space="preserve"> </w:t>
      </w:r>
      <w:r>
        <w:t>(BUK)</w:t>
      </w:r>
      <w:r>
        <w:rPr>
          <w:spacing w:val="-1"/>
        </w:rPr>
        <w:t xml:space="preserve"> </w:t>
      </w:r>
      <w:r>
        <w:t>classify</w:t>
      </w:r>
      <w:r>
        <w:rPr>
          <w:spacing w:val="-1"/>
        </w:rPr>
        <w:t xml:space="preserve"> </w:t>
      </w:r>
      <w:r>
        <w:t>As</w:t>
      </w:r>
      <w:r>
        <w:rPr>
          <w:spacing w:val="-1"/>
        </w:rPr>
        <w:t xml:space="preserve"> </w:t>
      </w:r>
      <w:r>
        <w:t xml:space="preserve">as </w:t>
      </w:r>
      <w:r>
        <w:rPr>
          <w:i w:val="0"/>
          <w:iCs/>
        </w:rPr>
        <w:t>very highly</w:t>
      </w:r>
      <w:r>
        <w:rPr>
          <w:i w:val="0"/>
          <w:iCs/>
          <w:spacing w:val="-5"/>
        </w:rPr>
        <w:t xml:space="preserve"> </w:t>
      </w:r>
      <w:r>
        <w:rPr>
          <w:i w:val="0"/>
          <w:iCs/>
        </w:rPr>
        <w:t>enriched</w:t>
      </w:r>
      <w:r>
        <w:rPr>
          <w:i/>
          <w:spacing w:val="-5"/>
        </w:rPr>
        <w:t xml:space="preserve"> </w:t>
      </w:r>
      <w:r>
        <w:t>and</w:t>
      </w:r>
      <w:r>
        <w:rPr>
          <w:spacing w:val="-4"/>
        </w:rPr>
        <w:t xml:space="preserve"> </w:t>
      </w:r>
      <w:r>
        <w:t>strongly</w:t>
      </w:r>
      <w:r>
        <w:rPr>
          <w:spacing w:val="-4"/>
        </w:rPr>
        <w:t xml:space="preserve"> </w:t>
      </w:r>
      <w:r>
        <w:t>suggest</w:t>
      </w:r>
      <w:r>
        <w:rPr>
          <w:spacing w:val="-4"/>
        </w:rPr>
        <w:t xml:space="preserve"> </w:t>
      </w:r>
      <w:r>
        <w:t>anthropogenic</w:t>
      </w:r>
      <w:r>
        <w:rPr>
          <w:spacing w:val="-4"/>
        </w:rPr>
        <w:t xml:space="preserve"> </w:t>
      </w:r>
      <w:r>
        <w:t>inputs.</w:t>
      </w:r>
      <w:r>
        <w:rPr>
          <w:spacing w:val="-4"/>
        </w:rPr>
        <w:t xml:space="preserve"> </w:t>
      </w:r>
      <w:r>
        <w:t>In</w:t>
      </w:r>
      <w:r>
        <w:rPr>
          <w:spacing w:val="-4"/>
        </w:rPr>
        <w:t xml:space="preserve"> </w:t>
      </w:r>
      <w:r>
        <w:t>urban</w:t>
      </w:r>
      <w:r>
        <w:rPr>
          <w:spacing w:val="-4"/>
        </w:rPr>
        <w:t xml:space="preserve"> </w:t>
      </w:r>
      <w:r>
        <w:t>dust</w:t>
      </w:r>
      <w:r>
        <w:rPr>
          <w:spacing w:val="-4"/>
        </w:rPr>
        <w:t xml:space="preserve"> </w:t>
      </w:r>
      <w:r>
        <w:t>studies</w:t>
      </w:r>
      <w:r>
        <w:rPr>
          <w:spacing w:val="-5"/>
        </w:rPr>
        <w:t xml:space="preserve"> </w:t>
      </w:r>
      <w:r>
        <w:t>globally,</w:t>
      </w:r>
      <w:r>
        <w:rPr>
          <w:spacing w:val="-4"/>
        </w:rPr>
        <w:t xml:space="preserve"> </w:t>
      </w:r>
      <w:r>
        <w:t>arsenic is</w:t>
      </w:r>
      <w:r>
        <w:rPr>
          <w:spacing w:val="-15"/>
        </w:rPr>
        <w:t xml:space="preserve"> </w:t>
      </w:r>
      <w:r>
        <w:t>similarly</w:t>
      </w:r>
      <w:r>
        <w:rPr>
          <w:spacing w:val="-15"/>
        </w:rPr>
        <w:t xml:space="preserve"> </w:t>
      </w:r>
      <w:r>
        <w:t>associated</w:t>
      </w:r>
      <w:r>
        <w:rPr>
          <w:spacing w:val="-15"/>
        </w:rPr>
        <w:t xml:space="preserve"> </w:t>
      </w:r>
      <w:r>
        <w:t>with</w:t>
      </w:r>
      <w:r>
        <w:rPr>
          <w:spacing w:val="-15"/>
        </w:rPr>
        <w:t xml:space="preserve"> </w:t>
      </w:r>
      <w:r>
        <w:t>human</w:t>
      </w:r>
      <w:r>
        <w:rPr>
          <w:spacing w:val="-15"/>
        </w:rPr>
        <w:t xml:space="preserve"> </w:t>
      </w:r>
      <w:r>
        <w:t>activities</w:t>
      </w:r>
      <w:r>
        <w:rPr>
          <w:spacing w:val="-15"/>
        </w:rPr>
        <w:t xml:space="preserve"> </w:t>
      </w:r>
      <w:r>
        <w:t>such</w:t>
      </w:r>
      <w:r>
        <w:rPr>
          <w:spacing w:val="-15"/>
        </w:rPr>
        <w:t xml:space="preserve"> </w:t>
      </w:r>
      <w:r>
        <w:t>as</w:t>
      </w:r>
      <w:r>
        <w:rPr>
          <w:spacing w:val="-15"/>
        </w:rPr>
        <w:t xml:space="preserve"> </w:t>
      </w:r>
      <w:r>
        <w:t>diesel</w:t>
      </w:r>
      <w:r>
        <w:rPr>
          <w:spacing w:val="-15"/>
        </w:rPr>
        <w:t xml:space="preserve"> </w:t>
      </w:r>
      <w:r>
        <w:t>exhaust,</w:t>
      </w:r>
      <w:r>
        <w:rPr>
          <w:spacing w:val="-15"/>
        </w:rPr>
        <w:t xml:space="preserve"> </w:t>
      </w:r>
      <w:r>
        <w:t>brake</w:t>
      </w:r>
      <w:r>
        <w:rPr>
          <w:spacing w:val="-15"/>
        </w:rPr>
        <w:t xml:space="preserve"> </w:t>
      </w:r>
      <w:r>
        <w:t>linings,</w:t>
      </w:r>
      <w:r>
        <w:rPr>
          <w:spacing w:val="-15"/>
        </w:rPr>
        <w:t xml:space="preserve"> </w:t>
      </w:r>
      <w:r>
        <w:t>coal</w:t>
      </w:r>
      <w:r>
        <w:rPr>
          <w:spacing w:val="-15"/>
        </w:rPr>
        <w:t xml:space="preserve"> </w:t>
      </w:r>
      <w:r>
        <w:t xml:space="preserve">combustion, and industrial emissions (Rana </w:t>
      </w:r>
      <w:r>
        <w:rPr>
          <w:i/>
        </w:rPr>
        <w:t>et al</w:t>
      </w:r>
      <w:r>
        <w:t xml:space="preserve">., 2024; Duong </w:t>
      </w:r>
      <w:r>
        <w:rPr>
          <w:i/>
        </w:rPr>
        <w:t>et al</w:t>
      </w:r>
      <w:r>
        <w:t>., 2011). This dominant anthropogenic signature</w:t>
      </w:r>
      <w:r>
        <w:rPr>
          <w:spacing w:val="33"/>
        </w:rPr>
        <w:t xml:space="preserve"> </w:t>
      </w:r>
      <w:r>
        <w:t>contrasts</w:t>
      </w:r>
      <w:r>
        <w:rPr>
          <w:spacing w:val="37"/>
        </w:rPr>
        <w:t xml:space="preserve"> </w:t>
      </w:r>
      <w:r>
        <w:t>with</w:t>
      </w:r>
      <w:r>
        <w:rPr>
          <w:spacing w:val="37"/>
        </w:rPr>
        <w:t xml:space="preserve"> </w:t>
      </w:r>
      <w:r>
        <w:t>studies</w:t>
      </w:r>
      <w:r>
        <w:rPr>
          <w:spacing w:val="37"/>
        </w:rPr>
        <w:t xml:space="preserve"> </w:t>
      </w:r>
      <w:r>
        <w:t>where</w:t>
      </w:r>
      <w:r>
        <w:rPr>
          <w:spacing w:val="36"/>
        </w:rPr>
        <w:t xml:space="preserve"> </w:t>
      </w:r>
      <w:r>
        <w:t>most</w:t>
      </w:r>
      <w:r>
        <w:rPr>
          <w:spacing w:val="38"/>
        </w:rPr>
        <w:t xml:space="preserve"> </w:t>
      </w:r>
      <w:r>
        <w:t>metals</w:t>
      </w:r>
      <w:r>
        <w:rPr>
          <w:spacing w:val="37"/>
        </w:rPr>
        <w:t xml:space="preserve"> </w:t>
      </w:r>
      <w:r>
        <w:t>show</w:t>
      </w:r>
      <w:r>
        <w:rPr>
          <w:spacing w:val="36"/>
        </w:rPr>
        <w:t xml:space="preserve"> </w:t>
      </w:r>
      <w:r>
        <w:t>lithogenic</w:t>
      </w:r>
      <w:r>
        <w:rPr>
          <w:spacing w:val="36"/>
        </w:rPr>
        <w:t xml:space="preserve"> </w:t>
      </w:r>
      <w:r>
        <w:t>dominance,</w:t>
      </w:r>
      <w:r>
        <w:rPr>
          <w:spacing w:val="42"/>
        </w:rPr>
        <w:t xml:space="preserve"> </w:t>
      </w:r>
      <w:r>
        <w:t>revealing</w:t>
      </w:r>
      <w:r>
        <w:rPr>
          <w:spacing w:val="37"/>
        </w:rPr>
        <w:t xml:space="preserve"> </w:t>
      </w:r>
      <w:r>
        <w:rPr>
          <w:spacing w:val="-5"/>
        </w:rPr>
        <w:t>the</w:t>
      </w:r>
      <w:r>
        <w:rPr>
          <w:rFonts w:hint="default"/>
          <w:spacing w:val="-5"/>
          <w:lang w:val="en-US"/>
        </w:rPr>
        <w:t xml:space="preserve"> </w:t>
      </w:r>
      <w:r>
        <w:t>severity</w:t>
      </w:r>
      <w:r>
        <w:rPr>
          <w:spacing w:val="-1"/>
        </w:rPr>
        <w:t xml:space="preserve"> </w:t>
      </w:r>
      <w:r>
        <w:t>of</w:t>
      </w:r>
      <w:r>
        <w:rPr>
          <w:spacing w:val="-2"/>
        </w:rPr>
        <w:t xml:space="preserve"> </w:t>
      </w:r>
      <w:r>
        <w:t>As</w:t>
      </w:r>
      <w:r>
        <w:rPr>
          <w:spacing w:val="-2"/>
        </w:rPr>
        <w:t xml:space="preserve"> </w:t>
      </w:r>
      <w:r>
        <w:t>contamination</w:t>
      </w:r>
      <w:r>
        <w:rPr>
          <w:spacing w:val="-1"/>
        </w:rPr>
        <w:t xml:space="preserve"> </w:t>
      </w:r>
      <w:r>
        <w:t>in</w:t>
      </w:r>
      <w:r>
        <w:rPr>
          <w:spacing w:val="-1"/>
        </w:rPr>
        <w:t xml:space="preserve"> </w:t>
      </w:r>
      <w:r>
        <w:t>Kano’s</w:t>
      </w:r>
      <w:r>
        <w:rPr>
          <w:spacing w:val="-2"/>
        </w:rPr>
        <w:t xml:space="preserve"> </w:t>
      </w:r>
      <w:r>
        <w:t>road</w:t>
      </w:r>
      <w:r>
        <w:rPr>
          <w:spacing w:val="-1"/>
        </w:rPr>
        <w:t xml:space="preserve"> </w:t>
      </w:r>
      <w:r>
        <w:t>dust.</w:t>
      </w:r>
      <w:r>
        <w:rPr>
          <w:spacing w:val="-3"/>
        </w:rPr>
        <w:t xml:space="preserve"> </w:t>
      </w:r>
      <w:r>
        <w:t>Arsenic’s</w:t>
      </w:r>
      <w:r>
        <w:rPr>
          <w:spacing w:val="-1"/>
        </w:rPr>
        <w:t xml:space="preserve"> </w:t>
      </w:r>
      <w:r>
        <w:t>presence</w:t>
      </w:r>
      <w:r>
        <w:rPr>
          <w:spacing w:val="-2"/>
        </w:rPr>
        <w:t xml:space="preserve"> </w:t>
      </w:r>
      <w:r>
        <w:t>at</w:t>
      </w:r>
      <w:r>
        <w:rPr>
          <w:spacing w:val="-1"/>
        </w:rPr>
        <w:t xml:space="preserve"> </w:t>
      </w:r>
      <w:r>
        <w:t>such</w:t>
      </w:r>
      <w:r>
        <w:rPr>
          <w:spacing w:val="-1"/>
        </w:rPr>
        <w:t xml:space="preserve"> </w:t>
      </w:r>
      <w:r>
        <w:t>levels</w:t>
      </w:r>
      <w:r>
        <w:rPr>
          <w:spacing w:val="-1"/>
        </w:rPr>
        <w:t xml:space="preserve"> </w:t>
      </w:r>
      <w:r>
        <w:t xml:space="preserve">has profound implications for human health, as As is a well-documented carcinogen linked to skin, lung and bladder cancers, as well as cardiovascular and neurological effects following chronic exposure (World Health Organization, 2018; Chakraborti </w:t>
      </w:r>
      <w:r>
        <w:rPr>
          <w:i/>
        </w:rPr>
        <w:t>et al</w:t>
      </w:r>
      <w:r>
        <w:t xml:space="preserve">., 2018). Chronic exposure via ingestion, inhalation of dust, or dermal contact in roadside environments elevates risks for residents, especially children and roadside workers who have higher contact rates with fine particulates (Rana </w:t>
      </w:r>
      <w:r>
        <w:rPr>
          <w:i/>
        </w:rPr>
        <w:t>et al</w:t>
      </w:r>
      <w:r>
        <w:t xml:space="preserve">., 2024; Han </w:t>
      </w:r>
      <w:r>
        <w:rPr>
          <w:i/>
        </w:rPr>
        <w:t>et al</w:t>
      </w:r>
      <w:r>
        <w:t>., 2023).</w:t>
      </w:r>
    </w:p>
    <w:p w14:paraId="21A4B353">
      <w:pPr>
        <w:pStyle w:val="13"/>
        <w:spacing w:line="480" w:lineRule="auto"/>
        <w:ind w:left="23" w:right="444"/>
        <w:jc w:val="both"/>
        <w:rPr>
          <w:rFonts w:hint="default"/>
          <w:lang w:val="en-US"/>
        </w:rPr>
      </w:pPr>
      <w:r>
        <w:t>Zinc and iron also exhibited high contamination factors (Zn CF  7.6–10.1; Fe CF  8.0–11.2), and high MPI values, indicating a large cumulative load of heavy metals in the environment. However, the EF results show minimal enrichment (EF 1.0–1.24 for Zn; exactly 1.0 for Fe), suggesting that their high concentrations largely reflect natural background levels from crustal sources such as soil resuspension, geogenic soil mineralogy, and road surface wear (Sutherland, 2000). Nevertheless, the high absolute concentrations of Zn and Fe, consistent with other urban dust</w:t>
      </w:r>
      <w:r>
        <w:rPr>
          <w:spacing w:val="-14"/>
        </w:rPr>
        <w:t xml:space="preserve"> </w:t>
      </w:r>
      <w:r>
        <w:t>surveys</w:t>
      </w:r>
      <w:r>
        <w:rPr>
          <w:spacing w:val="-14"/>
        </w:rPr>
        <w:t xml:space="preserve"> </w:t>
      </w:r>
      <w:r>
        <w:t>in</w:t>
      </w:r>
      <w:r>
        <w:rPr>
          <w:spacing w:val="-14"/>
        </w:rPr>
        <w:t xml:space="preserve"> </w:t>
      </w:r>
      <w:r>
        <w:t>Nigeria</w:t>
      </w:r>
      <w:r>
        <w:rPr>
          <w:spacing w:val="-15"/>
        </w:rPr>
        <w:t xml:space="preserve"> </w:t>
      </w:r>
      <w:r>
        <w:t>and</w:t>
      </w:r>
      <w:r>
        <w:rPr>
          <w:spacing w:val="-14"/>
        </w:rPr>
        <w:t xml:space="preserve"> </w:t>
      </w:r>
      <w:r>
        <w:t>elsewhere,</w:t>
      </w:r>
      <w:r>
        <w:rPr>
          <w:spacing w:val="-14"/>
        </w:rPr>
        <w:t xml:space="preserve"> </w:t>
      </w:r>
      <w:r>
        <w:t>remain</w:t>
      </w:r>
      <w:r>
        <w:rPr>
          <w:spacing w:val="-14"/>
        </w:rPr>
        <w:t xml:space="preserve"> </w:t>
      </w:r>
      <w:r>
        <w:t>environmentally</w:t>
      </w:r>
      <w:r>
        <w:rPr>
          <w:spacing w:val="-14"/>
        </w:rPr>
        <w:t xml:space="preserve"> </w:t>
      </w:r>
      <w:r>
        <w:t>and</w:t>
      </w:r>
      <w:r>
        <w:rPr>
          <w:spacing w:val="-14"/>
        </w:rPr>
        <w:t xml:space="preserve"> </w:t>
      </w:r>
      <w:r>
        <w:t>biologically</w:t>
      </w:r>
      <w:r>
        <w:rPr>
          <w:spacing w:val="-14"/>
        </w:rPr>
        <w:t xml:space="preserve"> </w:t>
      </w:r>
      <w:r>
        <w:t>relevant.</w:t>
      </w:r>
      <w:r>
        <w:rPr>
          <w:spacing w:val="-14"/>
        </w:rPr>
        <w:t xml:space="preserve"> </w:t>
      </w:r>
      <w:r>
        <w:t>Elevated Zn,</w:t>
      </w:r>
      <w:r>
        <w:rPr>
          <w:spacing w:val="-10"/>
        </w:rPr>
        <w:t xml:space="preserve"> </w:t>
      </w:r>
      <w:r>
        <w:t>for</w:t>
      </w:r>
      <w:r>
        <w:rPr>
          <w:spacing w:val="-11"/>
        </w:rPr>
        <w:t xml:space="preserve"> </w:t>
      </w:r>
      <w:r>
        <w:t>instance,</w:t>
      </w:r>
      <w:r>
        <w:rPr>
          <w:spacing w:val="-10"/>
        </w:rPr>
        <w:t xml:space="preserve"> </w:t>
      </w:r>
      <w:r>
        <w:t>is</w:t>
      </w:r>
      <w:r>
        <w:rPr>
          <w:spacing w:val="-9"/>
        </w:rPr>
        <w:t xml:space="preserve"> </w:t>
      </w:r>
      <w:r>
        <w:t>often</w:t>
      </w:r>
      <w:r>
        <w:rPr>
          <w:spacing w:val="-7"/>
        </w:rPr>
        <w:t xml:space="preserve"> </w:t>
      </w:r>
      <w:r>
        <w:t>associated</w:t>
      </w:r>
      <w:r>
        <w:rPr>
          <w:spacing w:val="-10"/>
        </w:rPr>
        <w:t xml:space="preserve"> </w:t>
      </w:r>
      <w:r>
        <w:t>with</w:t>
      </w:r>
      <w:r>
        <w:rPr>
          <w:spacing w:val="-9"/>
        </w:rPr>
        <w:t xml:space="preserve"> </w:t>
      </w:r>
      <w:r>
        <w:t>tyre</w:t>
      </w:r>
      <w:r>
        <w:rPr>
          <w:spacing w:val="-11"/>
        </w:rPr>
        <w:t xml:space="preserve"> </w:t>
      </w:r>
      <w:r>
        <w:t>wear,</w:t>
      </w:r>
      <w:r>
        <w:rPr>
          <w:spacing w:val="-10"/>
        </w:rPr>
        <w:t xml:space="preserve"> </w:t>
      </w:r>
      <w:r>
        <w:t>lubricants</w:t>
      </w:r>
      <w:r>
        <w:rPr>
          <w:spacing w:val="-9"/>
        </w:rPr>
        <w:t xml:space="preserve"> </w:t>
      </w:r>
      <w:r>
        <w:t>and</w:t>
      </w:r>
      <w:r>
        <w:rPr>
          <w:spacing w:val="-10"/>
        </w:rPr>
        <w:t xml:space="preserve"> </w:t>
      </w:r>
      <w:r>
        <w:t>brake</w:t>
      </w:r>
      <w:r>
        <w:rPr>
          <w:spacing w:val="-11"/>
        </w:rPr>
        <w:t xml:space="preserve"> </w:t>
      </w:r>
      <w:r>
        <w:t>dust,</w:t>
      </w:r>
      <w:r>
        <w:rPr>
          <w:spacing w:val="-9"/>
        </w:rPr>
        <w:t xml:space="preserve"> </w:t>
      </w:r>
      <w:r>
        <w:t>while</w:t>
      </w:r>
      <w:r>
        <w:rPr>
          <w:spacing w:val="-10"/>
        </w:rPr>
        <w:t xml:space="preserve"> </w:t>
      </w:r>
      <w:r>
        <w:t>Fe</w:t>
      </w:r>
      <w:r>
        <w:rPr>
          <w:spacing w:val="-11"/>
        </w:rPr>
        <w:t xml:space="preserve"> </w:t>
      </w:r>
      <w:r>
        <w:t>is</w:t>
      </w:r>
      <w:r>
        <w:rPr>
          <w:spacing w:val="-9"/>
        </w:rPr>
        <w:t xml:space="preserve"> </w:t>
      </w:r>
      <w:r>
        <w:t xml:space="preserve">abundant in vehicular components and road materials. Prior studies confirm that although these elements may derive partly from lithogenic sources, traffic activity significantly enhances their deposition on road surfaces (Rana </w:t>
      </w:r>
      <w:r>
        <w:rPr>
          <w:i/>
        </w:rPr>
        <w:t>et al</w:t>
      </w:r>
      <w:r>
        <w:t xml:space="preserve">., 2024; Mafuyai </w:t>
      </w:r>
      <w:r>
        <w:rPr>
          <w:i/>
        </w:rPr>
        <w:t>et al</w:t>
      </w:r>
      <w:r>
        <w:t xml:space="preserve">., 2015). From a health perspective, Zn and Fe are essential micronutrients, but at elevated levels, Zn may contribute to gastrointestinal distress and interfere with other trace elements, while excess Fe can catalyze oxidative stress and inflammation when inhaled as fine particulates, particularly impacting those with pre-existing respiratory conditions (Gupta </w:t>
      </w:r>
      <w:r>
        <w:rPr>
          <w:i/>
        </w:rPr>
        <w:t>et al</w:t>
      </w:r>
      <w:r>
        <w:t xml:space="preserve">., 2020; Han </w:t>
      </w:r>
      <w:r>
        <w:rPr>
          <w:i/>
        </w:rPr>
        <w:t>et al</w:t>
      </w:r>
      <w:r>
        <w:t>., 2023).</w:t>
      </w:r>
      <w:r>
        <w:rPr>
          <w:rFonts w:hint="default"/>
          <w:lang w:val="en-US"/>
        </w:rPr>
        <w:t xml:space="preserve"> </w:t>
      </w:r>
    </w:p>
    <w:p w14:paraId="767ED10C">
      <w:pPr>
        <w:pStyle w:val="13"/>
        <w:spacing w:line="480" w:lineRule="auto"/>
        <w:ind w:left="23" w:right="444"/>
        <w:jc w:val="both"/>
      </w:pPr>
      <w:r>
        <w:t>Copper and lead presented CF values &gt; 5 across all roads, confirming very high contamination. Yet their EF values (&lt; 1.0–1.2) indicate minimal to only marginal anthropogenic enrichment relative to background. This pattern suggests a mix of natural soil inputs and traffic-related contributions (e.g., brake wear for Cu, legacy lead from historical fuel use and tyre wear for Pb), rather</w:t>
      </w:r>
      <w:r>
        <w:rPr>
          <w:spacing w:val="-15"/>
        </w:rPr>
        <w:t xml:space="preserve"> </w:t>
      </w:r>
      <w:r>
        <w:t>than</w:t>
      </w:r>
      <w:r>
        <w:rPr>
          <w:spacing w:val="-15"/>
        </w:rPr>
        <w:t xml:space="preserve"> </w:t>
      </w:r>
      <w:r>
        <w:t>overwhelmingly</w:t>
      </w:r>
      <w:r>
        <w:rPr>
          <w:spacing w:val="-15"/>
        </w:rPr>
        <w:t xml:space="preserve"> </w:t>
      </w:r>
      <w:r>
        <w:t>anthropogenic</w:t>
      </w:r>
      <w:r>
        <w:rPr>
          <w:spacing w:val="-15"/>
        </w:rPr>
        <w:t xml:space="preserve"> </w:t>
      </w:r>
      <w:r>
        <w:t>sources</w:t>
      </w:r>
      <w:r>
        <w:rPr>
          <w:spacing w:val="-15"/>
        </w:rPr>
        <w:t xml:space="preserve"> </w:t>
      </w:r>
      <w:r>
        <w:t>alone,</w:t>
      </w:r>
      <w:r>
        <w:rPr>
          <w:spacing w:val="-15"/>
        </w:rPr>
        <w:t xml:space="preserve"> </w:t>
      </w:r>
      <w:r>
        <w:t>at</w:t>
      </w:r>
      <w:r>
        <w:rPr>
          <w:spacing w:val="-15"/>
        </w:rPr>
        <w:t xml:space="preserve"> </w:t>
      </w:r>
      <w:r>
        <w:t>least</w:t>
      </w:r>
      <w:r>
        <w:rPr>
          <w:spacing w:val="-15"/>
        </w:rPr>
        <w:t xml:space="preserve"> </w:t>
      </w:r>
      <w:r>
        <w:t>when</w:t>
      </w:r>
      <w:r>
        <w:rPr>
          <w:spacing w:val="-15"/>
        </w:rPr>
        <w:t xml:space="preserve"> </w:t>
      </w:r>
      <w:r>
        <w:t>normalized</w:t>
      </w:r>
      <w:r>
        <w:rPr>
          <w:spacing w:val="-15"/>
        </w:rPr>
        <w:t xml:space="preserve"> </w:t>
      </w:r>
      <w:r>
        <w:t>to</w:t>
      </w:r>
      <w:r>
        <w:rPr>
          <w:spacing w:val="-15"/>
        </w:rPr>
        <w:t xml:space="preserve"> </w:t>
      </w:r>
      <w:r>
        <w:t>the</w:t>
      </w:r>
      <w:r>
        <w:rPr>
          <w:spacing w:val="-15"/>
        </w:rPr>
        <w:t xml:space="preserve"> </w:t>
      </w:r>
      <w:r>
        <w:t xml:space="preserve">reference element. Nevertheless, comparison with other Nigerian urban dust studies documents vehicle emissions, brake lining abrasion and industrial activities as common sources of Cu and Pb in roadside environments (Aturamu </w:t>
      </w:r>
      <w:r>
        <w:rPr>
          <w:i/>
        </w:rPr>
        <w:t>et al</w:t>
      </w:r>
      <w:r>
        <w:t xml:space="preserve">., 2024; Odukoya </w:t>
      </w:r>
      <w:r>
        <w:rPr>
          <w:i/>
        </w:rPr>
        <w:t>et al</w:t>
      </w:r>
      <w:r>
        <w:t xml:space="preserve">., 2021). From a public health standpoint, lead is a well-recognized neurotoxin, particularly harmful to developing children, causing cognitive deficits even at low exposures. Chronic Pb exposure is also linked to hypertension, renal dysfunction, and reproductive issues in adults (Bellinger, 2018; ATSDR, 2020). Although EF suggests minimal enrichment, the </w:t>
      </w:r>
      <w:r>
        <w:rPr>
          <w:i w:val="0"/>
          <w:iCs/>
        </w:rPr>
        <w:t xml:space="preserve">absolute high levels and CF data </w:t>
      </w:r>
      <w:r>
        <w:t>point to significant</w:t>
      </w:r>
      <w:r>
        <w:rPr>
          <w:spacing w:val="-10"/>
        </w:rPr>
        <w:t xml:space="preserve"> </w:t>
      </w:r>
      <w:r>
        <w:t>environmental</w:t>
      </w:r>
      <w:r>
        <w:rPr>
          <w:spacing w:val="-8"/>
        </w:rPr>
        <w:t xml:space="preserve"> </w:t>
      </w:r>
      <w:r>
        <w:t>buildup</w:t>
      </w:r>
      <w:r>
        <w:rPr>
          <w:spacing w:val="-11"/>
        </w:rPr>
        <w:t xml:space="preserve"> </w:t>
      </w:r>
      <w:r>
        <w:t>that</w:t>
      </w:r>
      <w:r>
        <w:rPr>
          <w:spacing w:val="-11"/>
        </w:rPr>
        <w:t xml:space="preserve"> </w:t>
      </w:r>
      <w:r>
        <w:t>could</w:t>
      </w:r>
      <w:r>
        <w:rPr>
          <w:spacing w:val="-10"/>
        </w:rPr>
        <w:t xml:space="preserve"> </w:t>
      </w:r>
      <w:r>
        <w:t>contribute</w:t>
      </w:r>
      <w:r>
        <w:rPr>
          <w:spacing w:val="-11"/>
        </w:rPr>
        <w:t xml:space="preserve"> </w:t>
      </w:r>
      <w:r>
        <w:t>to</w:t>
      </w:r>
      <w:r>
        <w:rPr>
          <w:spacing w:val="-10"/>
        </w:rPr>
        <w:t xml:space="preserve"> </w:t>
      </w:r>
      <w:r>
        <w:t>cumulative</w:t>
      </w:r>
      <w:r>
        <w:rPr>
          <w:spacing w:val="-9"/>
        </w:rPr>
        <w:t xml:space="preserve"> </w:t>
      </w:r>
      <w:r>
        <w:t>exposure</w:t>
      </w:r>
      <w:r>
        <w:rPr>
          <w:spacing w:val="-12"/>
        </w:rPr>
        <w:t xml:space="preserve"> </w:t>
      </w:r>
      <w:r>
        <w:t>through</w:t>
      </w:r>
      <w:r>
        <w:rPr>
          <w:spacing w:val="-11"/>
        </w:rPr>
        <w:t xml:space="preserve"> </w:t>
      </w:r>
      <w:r>
        <w:t>inhalation of re-suspended dust or ingestion (especially in children).</w:t>
      </w:r>
    </w:p>
    <w:p w14:paraId="2504FDFB">
      <w:pPr>
        <w:pStyle w:val="13"/>
        <w:spacing w:line="480" w:lineRule="auto"/>
        <w:ind w:left="23" w:right="442"/>
        <w:jc w:val="both"/>
      </w:pPr>
      <w:r>
        <w:t>The MPI values (99–116) reinforce that road dust in Kano is burdened with substantial cumulative</w:t>
      </w:r>
      <w:r>
        <w:rPr>
          <w:spacing w:val="-2"/>
        </w:rPr>
        <w:t xml:space="preserve"> </w:t>
      </w:r>
      <w:r>
        <w:t>heavy</w:t>
      </w:r>
      <w:r>
        <w:rPr>
          <w:spacing w:val="-1"/>
        </w:rPr>
        <w:t xml:space="preserve"> </w:t>
      </w:r>
      <w:r>
        <w:t>metal</w:t>
      </w:r>
      <w:r>
        <w:rPr>
          <w:spacing w:val="-1"/>
        </w:rPr>
        <w:t xml:space="preserve"> </w:t>
      </w:r>
      <w:r>
        <w:t>pollution.</w:t>
      </w:r>
      <w:r>
        <w:rPr>
          <w:spacing w:val="-1"/>
        </w:rPr>
        <w:t xml:space="preserve"> </w:t>
      </w:r>
      <w:r>
        <w:t>High</w:t>
      </w:r>
      <w:r>
        <w:rPr>
          <w:spacing w:val="-4"/>
        </w:rPr>
        <w:t xml:space="preserve"> </w:t>
      </w:r>
      <w:r>
        <w:t>MPI</w:t>
      </w:r>
      <w:r>
        <w:rPr>
          <w:spacing w:val="-4"/>
        </w:rPr>
        <w:t xml:space="preserve"> </w:t>
      </w:r>
      <w:r>
        <w:t>reflects</w:t>
      </w:r>
      <w:r>
        <w:rPr>
          <w:spacing w:val="-1"/>
        </w:rPr>
        <w:t xml:space="preserve"> </w:t>
      </w:r>
      <w:r>
        <w:t>combined</w:t>
      </w:r>
      <w:r>
        <w:rPr>
          <w:spacing w:val="-1"/>
        </w:rPr>
        <w:t xml:space="preserve"> </w:t>
      </w:r>
      <w:r>
        <w:t>impacts</w:t>
      </w:r>
      <w:r>
        <w:rPr>
          <w:spacing w:val="-1"/>
        </w:rPr>
        <w:t xml:space="preserve"> </w:t>
      </w:r>
      <w:r>
        <w:t>of</w:t>
      </w:r>
      <w:r>
        <w:rPr>
          <w:spacing w:val="-2"/>
        </w:rPr>
        <w:t xml:space="preserve"> </w:t>
      </w:r>
      <w:r>
        <w:t>multiple</w:t>
      </w:r>
      <w:r>
        <w:rPr>
          <w:spacing w:val="-2"/>
        </w:rPr>
        <w:t xml:space="preserve"> </w:t>
      </w:r>
      <w:r>
        <w:t>metals,</w:t>
      </w:r>
      <w:r>
        <w:rPr>
          <w:spacing w:val="-1"/>
        </w:rPr>
        <w:t xml:space="preserve"> </w:t>
      </w:r>
      <w:r>
        <w:t>many of which, particularly As and Pb, have documented human health consequences. Similar cumulative indices from other urban centers have been used as early warning signals to motivate policy</w:t>
      </w:r>
      <w:r>
        <w:rPr>
          <w:spacing w:val="-15"/>
        </w:rPr>
        <w:t xml:space="preserve"> </w:t>
      </w:r>
      <w:r>
        <w:t>responses</w:t>
      </w:r>
      <w:r>
        <w:rPr>
          <w:spacing w:val="-14"/>
        </w:rPr>
        <w:t xml:space="preserve"> </w:t>
      </w:r>
      <w:r>
        <w:t>such</w:t>
      </w:r>
      <w:r>
        <w:rPr>
          <w:spacing w:val="-13"/>
        </w:rPr>
        <w:t xml:space="preserve"> </w:t>
      </w:r>
      <w:r>
        <w:t>as</w:t>
      </w:r>
      <w:r>
        <w:rPr>
          <w:spacing w:val="-15"/>
        </w:rPr>
        <w:t xml:space="preserve"> </w:t>
      </w:r>
      <w:r>
        <w:t>traffic</w:t>
      </w:r>
      <w:r>
        <w:rPr>
          <w:spacing w:val="-14"/>
        </w:rPr>
        <w:t xml:space="preserve"> </w:t>
      </w:r>
      <w:r>
        <w:t>particulate</w:t>
      </w:r>
      <w:r>
        <w:rPr>
          <w:spacing w:val="-14"/>
        </w:rPr>
        <w:t xml:space="preserve"> </w:t>
      </w:r>
      <w:r>
        <w:t>control,</w:t>
      </w:r>
      <w:r>
        <w:rPr>
          <w:spacing w:val="-13"/>
        </w:rPr>
        <w:t xml:space="preserve"> </w:t>
      </w:r>
      <w:r>
        <w:t>emission</w:t>
      </w:r>
      <w:r>
        <w:rPr>
          <w:spacing w:val="-15"/>
        </w:rPr>
        <w:t xml:space="preserve"> </w:t>
      </w:r>
      <w:r>
        <w:t>reduction</w:t>
      </w:r>
      <w:r>
        <w:rPr>
          <w:spacing w:val="-15"/>
        </w:rPr>
        <w:t xml:space="preserve"> </w:t>
      </w:r>
      <w:r>
        <w:t>strategies,</w:t>
      </w:r>
      <w:r>
        <w:rPr>
          <w:spacing w:val="-15"/>
        </w:rPr>
        <w:t xml:space="preserve"> </w:t>
      </w:r>
      <w:r>
        <w:t>and</w:t>
      </w:r>
      <w:r>
        <w:rPr>
          <w:spacing w:val="-15"/>
        </w:rPr>
        <w:t xml:space="preserve"> </w:t>
      </w:r>
      <w:r>
        <w:t>public</w:t>
      </w:r>
      <w:r>
        <w:rPr>
          <w:spacing w:val="-14"/>
        </w:rPr>
        <w:t xml:space="preserve"> </w:t>
      </w:r>
      <w:r>
        <w:t xml:space="preserve">health risk communication (Rana </w:t>
      </w:r>
      <w:r>
        <w:rPr>
          <w:i/>
        </w:rPr>
        <w:t>et al</w:t>
      </w:r>
      <w:r>
        <w:t xml:space="preserve">., 2024; Han </w:t>
      </w:r>
      <w:r>
        <w:rPr>
          <w:i/>
        </w:rPr>
        <w:t>et al</w:t>
      </w:r>
      <w:r>
        <w:t>., 2023). The contamination indices confirm a serious</w:t>
      </w:r>
      <w:r>
        <w:rPr>
          <w:spacing w:val="-15"/>
        </w:rPr>
        <w:t xml:space="preserve"> </w:t>
      </w:r>
      <w:r>
        <w:t>contamination</w:t>
      </w:r>
      <w:r>
        <w:rPr>
          <w:spacing w:val="-15"/>
        </w:rPr>
        <w:t xml:space="preserve"> </w:t>
      </w:r>
      <w:r>
        <w:t>scenario</w:t>
      </w:r>
      <w:r>
        <w:rPr>
          <w:spacing w:val="-15"/>
        </w:rPr>
        <w:t xml:space="preserve"> </w:t>
      </w:r>
      <w:r>
        <w:t>in</w:t>
      </w:r>
      <w:r>
        <w:rPr>
          <w:spacing w:val="-15"/>
        </w:rPr>
        <w:t xml:space="preserve"> </w:t>
      </w:r>
      <w:r>
        <w:t>Kano’s</w:t>
      </w:r>
      <w:r>
        <w:rPr>
          <w:spacing w:val="-15"/>
        </w:rPr>
        <w:t xml:space="preserve"> </w:t>
      </w:r>
      <w:r>
        <w:t>road</w:t>
      </w:r>
      <w:r>
        <w:rPr>
          <w:spacing w:val="-15"/>
        </w:rPr>
        <w:t xml:space="preserve"> </w:t>
      </w:r>
      <w:r>
        <w:t>dust,</w:t>
      </w:r>
      <w:r>
        <w:rPr>
          <w:spacing w:val="-15"/>
        </w:rPr>
        <w:t xml:space="preserve"> </w:t>
      </w:r>
      <w:r>
        <w:t>especially</w:t>
      </w:r>
      <w:r>
        <w:rPr>
          <w:spacing w:val="-15"/>
        </w:rPr>
        <w:t xml:space="preserve"> </w:t>
      </w:r>
      <w:r>
        <w:t>for</w:t>
      </w:r>
      <w:r>
        <w:rPr>
          <w:spacing w:val="-15"/>
        </w:rPr>
        <w:t xml:space="preserve"> </w:t>
      </w:r>
      <w:r>
        <w:t>arsenic.</w:t>
      </w:r>
      <w:r>
        <w:rPr>
          <w:spacing w:val="-15"/>
        </w:rPr>
        <w:t xml:space="preserve"> </w:t>
      </w:r>
      <w:r>
        <w:t>This</w:t>
      </w:r>
      <w:r>
        <w:rPr>
          <w:spacing w:val="-15"/>
        </w:rPr>
        <w:t xml:space="preserve"> </w:t>
      </w:r>
      <w:r>
        <w:t>aligns</w:t>
      </w:r>
      <w:r>
        <w:rPr>
          <w:spacing w:val="-15"/>
        </w:rPr>
        <w:t xml:space="preserve"> </w:t>
      </w:r>
      <w:r>
        <w:t>with</w:t>
      </w:r>
      <w:r>
        <w:rPr>
          <w:spacing w:val="-15"/>
        </w:rPr>
        <w:t xml:space="preserve"> </w:t>
      </w:r>
      <w:r>
        <w:t>broader findings from urban road dust studies in Asia, Africa and elsewhere, where traffic intensity, industrial</w:t>
      </w:r>
      <w:r>
        <w:rPr>
          <w:spacing w:val="12"/>
        </w:rPr>
        <w:t xml:space="preserve"> </w:t>
      </w:r>
      <w:r>
        <w:t>emissions,</w:t>
      </w:r>
      <w:r>
        <w:rPr>
          <w:spacing w:val="12"/>
        </w:rPr>
        <w:t xml:space="preserve"> </w:t>
      </w:r>
      <w:r>
        <w:t>and</w:t>
      </w:r>
      <w:r>
        <w:rPr>
          <w:spacing w:val="14"/>
        </w:rPr>
        <w:t xml:space="preserve"> </w:t>
      </w:r>
      <w:r>
        <w:t>urban</w:t>
      </w:r>
      <w:r>
        <w:rPr>
          <w:spacing w:val="14"/>
        </w:rPr>
        <w:t xml:space="preserve"> </w:t>
      </w:r>
      <w:r>
        <w:t>growth</w:t>
      </w:r>
      <w:r>
        <w:rPr>
          <w:spacing w:val="14"/>
        </w:rPr>
        <w:t xml:space="preserve"> </w:t>
      </w:r>
      <w:r>
        <w:t>correlate</w:t>
      </w:r>
      <w:r>
        <w:rPr>
          <w:spacing w:val="15"/>
        </w:rPr>
        <w:t xml:space="preserve"> </w:t>
      </w:r>
      <w:r>
        <w:t>with</w:t>
      </w:r>
      <w:r>
        <w:rPr>
          <w:spacing w:val="12"/>
        </w:rPr>
        <w:t xml:space="preserve"> </w:t>
      </w:r>
      <w:r>
        <w:t>elevated</w:t>
      </w:r>
      <w:r>
        <w:rPr>
          <w:spacing w:val="13"/>
        </w:rPr>
        <w:t xml:space="preserve"> </w:t>
      </w:r>
      <w:r>
        <w:t>heavy</w:t>
      </w:r>
      <w:r>
        <w:rPr>
          <w:spacing w:val="12"/>
        </w:rPr>
        <w:t xml:space="preserve"> </w:t>
      </w:r>
      <w:r>
        <w:t>metal</w:t>
      </w:r>
      <w:r>
        <w:rPr>
          <w:spacing w:val="12"/>
        </w:rPr>
        <w:t xml:space="preserve"> </w:t>
      </w:r>
      <w:r>
        <w:t>loads</w:t>
      </w:r>
      <w:r>
        <w:rPr>
          <w:spacing w:val="14"/>
        </w:rPr>
        <w:t xml:space="preserve"> </w:t>
      </w:r>
      <w:r>
        <w:t>(Duong</w:t>
      </w:r>
      <w:r>
        <w:rPr>
          <w:spacing w:val="21"/>
        </w:rPr>
        <w:t xml:space="preserve"> </w:t>
      </w:r>
      <w:r>
        <w:rPr>
          <w:i/>
        </w:rPr>
        <w:t>et</w:t>
      </w:r>
      <w:r>
        <w:rPr>
          <w:i/>
          <w:spacing w:val="13"/>
        </w:rPr>
        <w:t xml:space="preserve"> </w:t>
      </w:r>
      <w:r>
        <w:rPr>
          <w:i/>
          <w:spacing w:val="-4"/>
        </w:rPr>
        <w:t>al</w:t>
      </w:r>
      <w:r>
        <w:rPr>
          <w:spacing w:val="-4"/>
        </w:rPr>
        <w:t>.,</w:t>
      </w:r>
      <w:r>
        <w:rPr>
          <w:rFonts w:hint="default"/>
          <w:spacing w:val="-4"/>
          <w:lang w:val="en-US"/>
        </w:rPr>
        <w:t xml:space="preserve"> </w:t>
      </w:r>
      <w:r>
        <w:t xml:space="preserve">2011; Han </w:t>
      </w:r>
      <w:r>
        <w:rPr>
          <w:i/>
        </w:rPr>
        <w:t>et al</w:t>
      </w:r>
      <w:r>
        <w:t xml:space="preserve">., 2023; Rana </w:t>
      </w:r>
      <w:r>
        <w:rPr>
          <w:i/>
        </w:rPr>
        <w:t>et al</w:t>
      </w:r>
      <w:r>
        <w:t>., 2024). Importantly, while some metals’ enrichment factors suggest significant geogenic contributions, the very high contamination factors and MPI scores indicate anthropogenic enhancement beyond natural background, likely linked to high traffic densities, frequent braking/acceleration cycles, vehicle component wear, and atmospheric deposition of combustion particles.</w:t>
      </w:r>
    </w:p>
    <w:p w14:paraId="0AB06C16">
      <w:pPr>
        <w:pStyle w:val="13"/>
        <w:spacing w:before="6"/>
      </w:pPr>
    </w:p>
    <w:p w14:paraId="62349756">
      <w:pPr>
        <w:pStyle w:val="13"/>
        <w:ind w:left="23"/>
        <w:jc w:val="center"/>
        <w:rPr>
          <w:rFonts w:hint="default"/>
          <w:spacing w:val="-2"/>
          <w:sz w:val="21"/>
          <w:szCs w:val="21"/>
          <w:lang w:val="en-US"/>
        </w:rPr>
      </w:pPr>
    </w:p>
    <w:p w14:paraId="647C45DC">
      <w:pPr>
        <w:pStyle w:val="13"/>
        <w:ind w:left="23"/>
        <w:jc w:val="center"/>
        <w:rPr>
          <w:rFonts w:hint="default"/>
          <w:spacing w:val="-2"/>
          <w:sz w:val="21"/>
          <w:szCs w:val="21"/>
          <w:lang w:val="en-US"/>
        </w:rPr>
        <w:sectPr>
          <w:footerReference r:id="rId6" w:type="default"/>
          <w:pgSz w:w="12240" w:h="15840"/>
          <w:pgMar w:top="1360" w:right="992" w:bottom="1200" w:left="1417" w:header="0" w:footer="1005" w:gutter="0"/>
          <w:pgNumType w:fmt="decimal"/>
          <w:cols w:space="720" w:num="1"/>
        </w:sectPr>
      </w:pPr>
    </w:p>
    <w:p w14:paraId="702B36D5">
      <w:pPr>
        <w:pStyle w:val="3"/>
      </w:pPr>
      <w:r>
        <w:rPr>
          <w:rStyle w:val="20"/>
          <w:rFonts w:eastAsiaTheme="majorEastAsia"/>
          <w:b/>
          <w:bCs/>
        </w:rPr>
        <w:t>5. Conclusion</w:t>
      </w:r>
    </w:p>
    <w:p w14:paraId="2139FC50">
      <w:pPr>
        <w:pStyle w:val="19"/>
        <w:spacing w:before="0" w:beforeAutospacing="0" w:line="480" w:lineRule="auto"/>
        <w:jc w:val="both"/>
      </w:pPr>
      <w:r>
        <w:t xml:space="preserve">This study demonstrates that road dust in </w:t>
      </w:r>
      <w:r>
        <w:rPr>
          <w:rFonts w:hint="default"/>
          <w:lang w:val="en-US"/>
        </w:rPr>
        <w:t>the study area</w:t>
      </w:r>
      <w:r>
        <w:t xml:space="preserve"> is significantly contaminated with multiple heavy metals, primarily driven by anthropogenic sources such as vehicular emissions, brake and tyre wear, fuel combustion, and resuspension of roadside particulates. Contamination indices (CF, Igeo, PLI, EF, and MPI) consistently classify the study area as highly polluted, with particularly severe contamination at Zaria and BUK Roads, confirming them as urban pollution hotspots. Arsenic emerged as the most critical pollutant due to its extreme enrichment and carcinogenic risk, while lead, zinc, copper, and iron also exceeded acceptable limits, indicating persistent environmental loading. The findings align with regional and international evidence of heavy metal accumulation in high-traffic corridors and reveal the need for urgent regulatory intervention, improved traffic and emission control, routine street cleaning, and public health risk mitigation to protect vulnerable populations and strengthen urban environmental management strategies.</w:t>
      </w:r>
    </w:p>
    <w:p w14:paraId="2A36FF78">
      <w:pPr>
        <w:pStyle w:val="3"/>
        <w:spacing w:line="480" w:lineRule="auto"/>
      </w:pPr>
      <w:r>
        <w:rPr>
          <w:rStyle w:val="20"/>
          <w:rFonts w:eastAsiaTheme="majorEastAsia"/>
          <w:b/>
          <w:bCs/>
        </w:rPr>
        <w:t>6. Recommendations</w:t>
      </w:r>
    </w:p>
    <w:p w14:paraId="7AEF612E">
      <w:pPr>
        <w:pStyle w:val="19"/>
        <w:spacing w:before="0" w:beforeAutospacing="0" w:line="480" w:lineRule="auto"/>
        <w:jc w:val="both"/>
      </w:pPr>
      <w:r>
        <w:t>Based on the findings, the following recommendations are proposed:</w:t>
      </w:r>
    </w:p>
    <w:p w14:paraId="4C70146D">
      <w:pPr>
        <w:pStyle w:val="19"/>
        <w:numPr>
          <w:ilvl w:val="0"/>
          <w:numId w:val="1"/>
        </w:numPr>
        <w:spacing w:before="0" w:beforeAutospacing="0" w:line="480" w:lineRule="auto"/>
        <w:jc w:val="both"/>
      </w:pPr>
      <w:r>
        <w:t>Establish routine surveillance of heavy metals in road dust and enforce NESREA/WHO air-quality and emission standards across high-traffic corridors.</w:t>
      </w:r>
    </w:p>
    <w:p w14:paraId="02CC770A">
      <w:pPr>
        <w:pStyle w:val="19"/>
        <w:numPr>
          <w:ilvl w:val="0"/>
          <w:numId w:val="1"/>
        </w:numPr>
        <w:spacing w:before="0" w:beforeAutospacing="0" w:line="480" w:lineRule="auto"/>
        <w:jc w:val="both"/>
      </w:pPr>
      <w:r>
        <w:t>Implement stricter vehicle inspection policies, promote low-emission transport options, and improve traffic flow to reduce particulate release.</w:t>
      </w:r>
    </w:p>
    <w:p w14:paraId="78FF5B26">
      <w:pPr>
        <w:pStyle w:val="19"/>
        <w:numPr>
          <w:ilvl w:val="0"/>
          <w:numId w:val="1"/>
        </w:numPr>
        <w:spacing w:before="0" w:beforeAutospacing="0" w:line="480" w:lineRule="auto"/>
        <w:jc w:val="both"/>
      </w:pPr>
      <w:r>
        <w:t>Upgrade road infrastructure, introduce vegetation buffers, and conduct scheduled street cleaning to minimize dust resuspension.</w:t>
      </w:r>
    </w:p>
    <w:p w14:paraId="7758BA90">
      <w:pPr>
        <w:pStyle w:val="19"/>
        <w:numPr>
          <w:ilvl w:val="0"/>
          <w:numId w:val="1"/>
        </w:numPr>
        <w:spacing w:before="0" w:beforeAutospacing="0" w:line="480" w:lineRule="auto"/>
        <w:jc w:val="both"/>
      </w:pPr>
      <w:r>
        <w:t>Educate roadside residents, vendors, and commuters on exposure risks and promote hygiene practices to reduce ingestion and inhalation pathways.</w:t>
      </w:r>
    </w:p>
    <w:p w14:paraId="5247A2D2">
      <w:pPr>
        <w:pStyle w:val="3"/>
        <w:rPr>
          <w:rStyle w:val="20"/>
          <w:rFonts w:eastAsiaTheme="majorEastAsia"/>
          <w:b/>
          <w:bCs/>
        </w:rPr>
      </w:pPr>
    </w:p>
    <w:p w14:paraId="38B765DE">
      <w:pPr>
        <w:pStyle w:val="3"/>
        <w:rPr>
          <w:rStyle w:val="20"/>
          <w:rFonts w:eastAsiaTheme="majorEastAsia"/>
          <w:b/>
          <w:bCs/>
        </w:rPr>
      </w:pPr>
    </w:p>
    <w:p w14:paraId="4319A415">
      <w:pPr>
        <w:pStyle w:val="3"/>
        <w:rPr>
          <w:rStyle w:val="20"/>
          <w:rFonts w:eastAsiaTheme="majorEastAsia"/>
          <w:b/>
          <w:bCs/>
        </w:rPr>
      </w:pPr>
    </w:p>
    <w:p w14:paraId="603379C3">
      <w:pPr>
        <w:pStyle w:val="3"/>
        <w:rPr>
          <w:rStyle w:val="20"/>
          <w:rFonts w:eastAsiaTheme="majorEastAsia"/>
          <w:b/>
          <w:bCs/>
        </w:rPr>
      </w:pPr>
    </w:p>
    <w:p w14:paraId="7B9ECF8A">
      <w:pPr>
        <w:pStyle w:val="3"/>
        <w:rPr>
          <w:rStyle w:val="20"/>
          <w:rFonts w:eastAsiaTheme="majorEastAsia"/>
          <w:b/>
          <w:bCs/>
        </w:rPr>
      </w:pPr>
    </w:p>
    <w:p w14:paraId="74A9AB30">
      <w:pPr>
        <w:pStyle w:val="3"/>
        <w:rPr>
          <w:rStyle w:val="20"/>
          <w:rFonts w:eastAsiaTheme="majorEastAsia"/>
          <w:b/>
          <w:bCs/>
        </w:rPr>
      </w:pPr>
    </w:p>
    <w:p w14:paraId="6BD0D17B">
      <w:pPr>
        <w:pStyle w:val="3"/>
        <w:rPr>
          <w:rStyle w:val="20"/>
          <w:rFonts w:eastAsiaTheme="majorEastAsia"/>
          <w:b/>
          <w:bCs/>
        </w:rPr>
      </w:pPr>
    </w:p>
    <w:p w14:paraId="750EC5F4">
      <w:pPr>
        <w:pStyle w:val="3"/>
        <w:rPr>
          <w:rStyle w:val="20"/>
          <w:rFonts w:eastAsiaTheme="majorEastAsia"/>
          <w:b/>
          <w:bCs/>
        </w:rPr>
      </w:pPr>
    </w:p>
    <w:p w14:paraId="594596AF">
      <w:pPr>
        <w:pStyle w:val="3"/>
        <w:rPr>
          <w:rStyle w:val="20"/>
          <w:rFonts w:eastAsiaTheme="majorEastAsia"/>
          <w:b/>
          <w:bCs/>
        </w:rPr>
      </w:pPr>
    </w:p>
    <w:p w14:paraId="5CB6C698">
      <w:pPr>
        <w:pStyle w:val="3"/>
        <w:rPr>
          <w:rStyle w:val="20"/>
          <w:rFonts w:eastAsiaTheme="majorEastAsia"/>
          <w:b/>
          <w:bCs/>
        </w:rPr>
      </w:pPr>
    </w:p>
    <w:p w14:paraId="0A29FEC7">
      <w:pPr>
        <w:pStyle w:val="3"/>
        <w:rPr>
          <w:rStyle w:val="20"/>
          <w:rFonts w:eastAsiaTheme="majorEastAsia"/>
          <w:b/>
          <w:bCs/>
        </w:rPr>
      </w:pPr>
    </w:p>
    <w:p w14:paraId="09F09574">
      <w:pPr>
        <w:pStyle w:val="3"/>
        <w:rPr>
          <w:rStyle w:val="20"/>
          <w:rFonts w:eastAsiaTheme="majorEastAsia"/>
          <w:b/>
          <w:bCs/>
        </w:rPr>
      </w:pPr>
    </w:p>
    <w:p w14:paraId="2BF788FF">
      <w:pPr>
        <w:pStyle w:val="3"/>
        <w:rPr>
          <w:rStyle w:val="20"/>
          <w:rFonts w:eastAsiaTheme="majorEastAsia"/>
          <w:b/>
          <w:bCs/>
        </w:rPr>
      </w:pPr>
    </w:p>
    <w:p w14:paraId="5F4A2367">
      <w:pPr>
        <w:pStyle w:val="3"/>
        <w:rPr>
          <w:rStyle w:val="20"/>
          <w:rFonts w:eastAsiaTheme="majorEastAsia"/>
          <w:b/>
          <w:bCs/>
        </w:rPr>
      </w:pPr>
    </w:p>
    <w:p w14:paraId="710C7CC9">
      <w:pPr>
        <w:pStyle w:val="3"/>
        <w:rPr>
          <w:rStyle w:val="20"/>
          <w:rFonts w:eastAsiaTheme="majorEastAsia"/>
          <w:b/>
          <w:bCs/>
        </w:rPr>
      </w:pPr>
    </w:p>
    <w:p w14:paraId="530C2DEC">
      <w:pPr>
        <w:pStyle w:val="3"/>
        <w:rPr>
          <w:rStyle w:val="20"/>
          <w:rFonts w:eastAsiaTheme="majorEastAsia"/>
          <w:b/>
          <w:bCs/>
        </w:rPr>
      </w:pPr>
    </w:p>
    <w:p w14:paraId="6D7008A2">
      <w:pPr>
        <w:pStyle w:val="3"/>
        <w:rPr>
          <w:rStyle w:val="20"/>
          <w:rFonts w:eastAsiaTheme="majorEastAsia"/>
          <w:b/>
          <w:bCs/>
        </w:rPr>
      </w:pPr>
    </w:p>
    <w:p w14:paraId="5BD56ED0">
      <w:pPr>
        <w:pStyle w:val="3"/>
        <w:rPr>
          <w:rStyle w:val="20"/>
          <w:rFonts w:eastAsiaTheme="majorEastAsia"/>
          <w:b/>
          <w:bCs/>
        </w:rPr>
      </w:pPr>
    </w:p>
    <w:p w14:paraId="4DD462AB">
      <w:pPr>
        <w:pStyle w:val="3"/>
        <w:rPr>
          <w:rStyle w:val="20"/>
          <w:rFonts w:eastAsiaTheme="majorEastAsia"/>
          <w:b/>
          <w:bCs/>
        </w:rPr>
      </w:pPr>
    </w:p>
    <w:p w14:paraId="7C52004C">
      <w:pPr>
        <w:pStyle w:val="3"/>
      </w:pPr>
      <w:r>
        <w:rPr>
          <w:rStyle w:val="20"/>
          <w:rFonts w:eastAsiaTheme="majorEastAsia"/>
          <w:b/>
          <w:bCs/>
        </w:rPr>
        <w:t>References</w:t>
      </w:r>
    </w:p>
    <w:p w14:paraId="6FB77046">
      <w:pPr>
        <w:pStyle w:val="19"/>
        <w:spacing w:before="0" w:beforeAutospacing="0"/>
        <w:jc w:val="both"/>
      </w:pPr>
      <w:r>
        <w:t xml:space="preserve">Adamiec, E., Modzelewska, M., &amp; Pastuszka, J. S. (2021). Road dust as an indicator of heavy metal pollution in urban environments: A review. </w:t>
      </w:r>
      <w:r>
        <w:rPr>
          <w:rStyle w:val="15"/>
          <w:rFonts w:eastAsiaTheme="majorEastAsia"/>
        </w:rPr>
        <w:t>Environmental Science and Pollution Research, 28</w:t>
      </w:r>
      <w:r>
        <w:t xml:space="preserve">(22), 28245–28261. </w:t>
      </w:r>
      <w:r>
        <w:fldChar w:fldCharType="begin"/>
      </w:r>
      <w:r>
        <w:instrText xml:space="preserve"> HYPERLINK "https://doi.org/10.1007/s11356-021-13447-3" </w:instrText>
      </w:r>
      <w:r>
        <w:fldChar w:fldCharType="separate"/>
      </w:r>
      <w:r>
        <w:rPr>
          <w:rStyle w:val="18"/>
        </w:rPr>
        <w:t>https://doi.org/10.1007/s11356-021-13447-3</w:t>
      </w:r>
      <w:r>
        <w:rPr>
          <w:rStyle w:val="18"/>
        </w:rPr>
        <w:fldChar w:fldCharType="end"/>
      </w:r>
    </w:p>
    <w:p w14:paraId="6B5B1E32">
      <w:pPr>
        <w:pStyle w:val="19"/>
        <w:spacing w:before="0" w:beforeAutospacing="0"/>
        <w:jc w:val="both"/>
      </w:pPr>
      <w:r>
        <w:t xml:space="preserve">Alloway, B. J. (2013). </w:t>
      </w:r>
      <w:r>
        <w:rPr>
          <w:rStyle w:val="15"/>
          <w:rFonts w:eastAsiaTheme="majorEastAsia"/>
        </w:rPr>
        <w:t>Heavy metals in soils: Trace metals and metalloids in soils and their bioavailability</w:t>
      </w:r>
      <w:r>
        <w:t xml:space="preserve"> (3rd ed.). Springer.</w:t>
      </w:r>
    </w:p>
    <w:p w14:paraId="21A257C8">
      <w:pPr>
        <w:pStyle w:val="19"/>
        <w:spacing w:before="0" w:beforeAutospacing="0"/>
        <w:jc w:val="both"/>
      </w:pPr>
      <w:r>
        <w:t xml:space="preserve">Chacha, M. O., Mutua, J. K., &amp; Omolo, N. (2019). Spatial distribution and risk assessment of heavy metals in road dust along major roads in Nairobi, Kenya. </w:t>
      </w:r>
      <w:r>
        <w:rPr>
          <w:rStyle w:val="15"/>
          <w:rFonts w:eastAsiaTheme="majorEastAsia"/>
        </w:rPr>
        <w:t>Environmental Monitoring and Assessment, 191</w:t>
      </w:r>
      <w:r>
        <w:t xml:space="preserve">(4), 245. </w:t>
      </w:r>
      <w:r>
        <w:fldChar w:fldCharType="begin"/>
      </w:r>
      <w:r>
        <w:instrText xml:space="preserve"> HYPERLINK "https://doi.org/10.1007/s10661-019-7431-9" </w:instrText>
      </w:r>
      <w:r>
        <w:fldChar w:fldCharType="separate"/>
      </w:r>
      <w:r>
        <w:rPr>
          <w:rStyle w:val="18"/>
        </w:rPr>
        <w:t>https://doi.org/10.1007/s10661-019-7431-9</w:t>
      </w:r>
      <w:r>
        <w:rPr>
          <w:rStyle w:val="18"/>
        </w:rPr>
        <w:fldChar w:fldCharType="end"/>
      </w:r>
    </w:p>
    <w:p w14:paraId="6C0E519F">
      <w:pPr>
        <w:pStyle w:val="19"/>
        <w:spacing w:before="0" w:beforeAutospacing="0"/>
        <w:jc w:val="both"/>
      </w:pPr>
      <w:r>
        <w:t xml:space="preserve">Chen, X., Zhang, Y., &amp; Liu, X. (2025). Heavy metal pollution in urban road dust: Sources, risks, and management. </w:t>
      </w:r>
      <w:r>
        <w:rPr>
          <w:rStyle w:val="15"/>
          <w:rFonts w:eastAsiaTheme="majorEastAsia"/>
        </w:rPr>
        <w:t>Science of the Total Environment, 882</w:t>
      </w:r>
      <w:r>
        <w:t xml:space="preserve">, 163376. </w:t>
      </w:r>
      <w:r>
        <w:fldChar w:fldCharType="begin"/>
      </w:r>
      <w:r>
        <w:instrText xml:space="preserve"> HYPERLINK "https://doi.org/10.1016/j.scitotenv.2025.163376" </w:instrText>
      </w:r>
      <w:r>
        <w:fldChar w:fldCharType="separate"/>
      </w:r>
      <w:r>
        <w:rPr>
          <w:rStyle w:val="18"/>
        </w:rPr>
        <w:t>https://doi.org/10.1016/j.scitotenv.2025.163376</w:t>
      </w:r>
      <w:r>
        <w:rPr>
          <w:rStyle w:val="18"/>
        </w:rPr>
        <w:fldChar w:fldCharType="end"/>
      </w:r>
    </w:p>
    <w:p w14:paraId="7C5E22EA">
      <w:pPr>
        <w:pStyle w:val="19"/>
        <w:spacing w:before="0" w:beforeAutospacing="0"/>
        <w:jc w:val="both"/>
      </w:pPr>
      <w:r>
        <w:t xml:space="preserve">El-Sherbiny, G., Hassan, A., &amp; El-Khateeb, M. (2024). Assessment of heavy metal contamination in urban road dust: A case study in Cairo, Egypt. </w:t>
      </w:r>
      <w:r>
        <w:rPr>
          <w:rStyle w:val="15"/>
          <w:rFonts w:eastAsiaTheme="majorEastAsia"/>
        </w:rPr>
        <w:t>Environmental Research, 231</w:t>
      </w:r>
      <w:r>
        <w:t xml:space="preserve">, 116132. </w:t>
      </w:r>
      <w:r>
        <w:fldChar w:fldCharType="begin"/>
      </w:r>
      <w:r>
        <w:instrText xml:space="preserve"> HYPERLINK "https://doi.org/10.1016/j.envres.2024.116132" </w:instrText>
      </w:r>
      <w:r>
        <w:fldChar w:fldCharType="separate"/>
      </w:r>
      <w:r>
        <w:rPr>
          <w:rStyle w:val="18"/>
        </w:rPr>
        <w:t>https://doi.org/10.1016/j.envres.2024.116132</w:t>
      </w:r>
      <w:r>
        <w:rPr>
          <w:rStyle w:val="18"/>
        </w:rPr>
        <w:fldChar w:fldCharType="end"/>
      </w:r>
    </w:p>
    <w:p w14:paraId="426E6969">
      <w:pPr>
        <w:pStyle w:val="19"/>
        <w:spacing w:before="0" w:beforeAutospacing="0"/>
        <w:jc w:val="both"/>
      </w:pPr>
      <w:r>
        <w:t xml:space="preserve">Garba, A., Bala, T., &amp; Ibrahim, M. (2020). Heavy metal contamination in road dust along major highways in Kaduna, Nigeria. </w:t>
      </w:r>
      <w:r>
        <w:rPr>
          <w:rStyle w:val="15"/>
          <w:rFonts w:eastAsiaTheme="majorEastAsia"/>
        </w:rPr>
        <w:t>Journal of Environmental Chemistry and Ecotoxicology, 12</w:t>
      </w:r>
      <w:r>
        <w:t xml:space="preserve">(3), 45–55. </w:t>
      </w:r>
      <w:r>
        <w:fldChar w:fldCharType="begin"/>
      </w:r>
      <w:r>
        <w:instrText xml:space="preserve"> HYPERLINK "https://doi.org/10.5897/JECE2020.0280" </w:instrText>
      </w:r>
      <w:r>
        <w:fldChar w:fldCharType="separate"/>
      </w:r>
      <w:r>
        <w:rPr>
          <w:rStyle w:val="18"/>
        </w:rPr>
        <w:t>https://doi.org/10.5897/JECE2020.0280</w:t>
      </w:r>
      <w:r>
        <w:rPr>
          <w:rStyle w:val="18"/>
        </w:rPr>
        <w:fldChar w:fldCharType="end"/>
      </w:r>
    </w:p>
    <w:p w14:paraId="20CECB78">
      <w:pPr>
        <w:pStyle w:val="19"/>
        <w:spacing w:before="0" w:beforeAutospacing="0"/>
        <w:jc w:val="both"/>
      </w:pPr>
      <w:r>
        <w:t xml:space="preserve">Garg, A., Singh, P., &amp; Sharma, R. (2023). Traffic-induced heavy metal accumulation in road dust of Mumbai, India: Implications for environmental health. </w:t>
      </w:r>
      <w:r>
        <w:rPr>
          <w:rStyle w:val="15"/>
          <w:rFonts w:eastAsiaTheme="majorEastAsia"/>
        </w:rPr>
        <w:t>Urban Climate, 45</w:t>
      </w:r>
      <w:r>
        <w:t xml:space="preserve">, 101261. </w:t>
      </w:r>
      <w:r>
        <w:fldChar w:fldCharType="begin"/>
      </w:r>
      <w:r>
        <w:instrText xml:space="preserve"> HYPERLINK "https://doi.org/10.1016/j.uclim.2023.101261" </w:instrText>
      </w:r>
      <w:r>
        <w:fldChar w:fldCharType="separate"/>
      </w:r>
      <w:r>
        <w:rPr>
          <w:rStyle w:val="18"/>
        </w:rPr>
        <w:t>https://doi.org/10.1016/j.uclim.2023.101261</w:t>
      </w:r>
      <w:r>
        <w:rPr>
          <w:rStyle w:val="18"/>
        </w:rPr>
        <w:fldChar w:fldCharType="end"/>
      </w:r>
    </w:p>
    <w:p w14:paraId="38608AC5">
      <w:pPr>
        <w:pStyle w:val="19"/>
        <w:spacing w:before="0" w:beforeAutospacing="0" w:after="240" w:afterAutospacing="0"/>
        <w:jc w:val="both"/>
      </w:pPr>
      <w:r>
        <w:t xml:space="preserve">Hakanson, L. (1980). An ecological risk index for aquatic pollution control: A sedimentological approach. </w:t>
      </w:r>
      <w:r>
        <w:rPr>
          <w:rStyle w:val="15"/>
          <w:rFonts w:eastAsiaTheme="majorEastAsia"/>
        </w:rPr>
        <w:t>Water Research, 14</w:t>
      </w:r>
      <w:r>
        <w:t>(8), 975–1001.</w:t>
      </w:r>
    </w:p>
    <w:p w14:paraId="6AB868AD">
      <w:pPr>
        <w:pStyle w:val="19"/>
        <w:spacing w:before="0" w:beforeAutospacing="0"/>
        <w:jc w:val="both"/>
      </w:pPr>
      <w:r>
        <w:t xml:space="preserve">Ihedioha, J. N., Okoye, C. O. B., &amp; Ezenwaji, N. (2020). Multi-metal contamination assessment of urban road dust: Pollution indices and human health risk evaluation. </w:t>
      </w:r>
      <w:r>
        <w:rPr>
          <w:rStyle w:val="15"/>
          <w:rFonts w:eastAsiaTheme="majorEastAsia"/>
        </w:rPr>
        <w:t>Environmental Monitoring and Assessment, 192</w:t>
      </w:r>
      <w:r>
        <w:t xml:space="preserve">(11), 698. </w:t>
      </w:r>
      <w:r>
        <w:fldChar w:fldCharType="begin"/>
      </w:r>
      <w:r>
        <w:instrText xml:space="preserve"> HYPERLINK "https://doi.org/10.1007/s10661-020-08566-3" </w:instrText>
      </w:r>
      <w:r>
        <w:fldChar w:fldCharType="separate"/>
      </w:r>
      <w:r>
        <w:rPr>
          <w:rStyle w:val="18"/>
        </w:rPr>
        <w:t>https://doi.org/10.1007/s10661-020-08566-3</w:t>
      </w:r>
      <w:r>
        <w:rPr>
          <w:rStyle w:val="18"/>
        </w:rPr>
        <w:fldChar w:fldCharType="end"/>
      </w:r>
    </w:p>
    <w:p w14:paraId="3F94AF22">
      <w:pPr>
        <w:pStyle w:val="19"/>
        <w:spacing w:before="0" w:beforeAutospacing="0"/>
        <w:jc w:val="both"/>
      </w:pPr>
      <w:r>
        <w:t xml:space="preserve">Li, Y., Zhang, Y., &amp; Wang, S. (2020). Sources and ecological risk assessment of heavy metals in urban road dust: A review. </w:t>
      </w:r>
      <w:r>
        <w:rPr>
          <w:rStyle w:val="15"/>
          <w:rFonts w:eastAsiaTheme="majorEastAsia"/>
        </w:rPr>
        <w:t>Environmental Pollution, 263</w:t>
      </w:r>
      <w:r>
        <w:t xml:space="preserve">, 114525. </w:t>
      </w:r>
      <w:r>
        <w:fldChar w:fldCharType="begin"/>
      </w:r>
      <w:r>
        <w:instrText xml:space="preserve"> HYPERLINK "https://doi.org/10.1016/j.envpol.2020.114525" </w:instrText>
      </w:r>
      <w:r>
        <w:fldChar w:fldCharType="separate"/>
      </w:r>
      <w:r>
        <w:rPr>
          <w:rStyle w:val="18"/>
        </w:rPr>
        <w:t>https://doi.org/10.1016/j.envpol.2020.114525</w:t>
      </w:r>
      <w:r>
        <w:rPr>
          <w:rStyle w:val="18"/>
        </w:rPr>
        <w:fldChar w:fldCharType="end"/>
      </w:r>
    </w:p>
    <w:p w14:paraId="460F6F9C">
      <w:pPr>
        <w:pStyle w:val="19"/>
        <w:spacing w:before="0" w:beforeAutospacing="0"/>
        <w:jc w:val="both"/>
      </w:pPr>
      <w:r>
        <w:t xml:space="preserve">Mensah, E., Aboh, I., &amp; Boateng, E. (2020). Heavy metal distribution in road dust and its potential health risk in Accra, Ghana. </w:t>
      </w:r>
      <w:r>
        <w:rPr>
          <w:rStyle w:val="15"/>
          <w:rFonts w:eastAsiaTheme="majorEastAsia"/>
        </w:rPr>
        <w:t>Environmental Nanotechnology, Monitoring &amp; Management, 14</w:t>
      </w:r>
      <w:r>
        <w:t xml:space="preserve">, 100371. </w:t>
      </w:r>
      <w:r>
        <w:fldChar w:fldCharType="begin"/>
      </w:r>
      <w:r>
        <w:instrText xml:space="preserve"> HYPERLINK "https://doi.org/10.1016/j.enmm.2020.100371" </w:instrText>
      </w:r>
      <w:r>
        <w:fldChar w:fldCharType="separate"/>
      </w:r>
      <w:r>
        <w:rPr>
          <w:rStyle w:val="18"/>
        </w:rPr>
        <w:t>https://doi.org/10.1016/j.enmm.2020.100371</w:t>
      </w:r>
      <w:r>
        <w:rPr>
          <w:rStyle w:val="18"/>
        </w:rPr>
        <w:fldChar w:fldCharType="end"/>
      </w:r>
    </w:p>
    <w:p w14:paraId="59399FB8">
      <w:pPr>
        <w:pStyle w:val="19"/>
        <w:spacing w:before="0" w:beforeAutospacing="0" w:after="240" w:afterAutospacing="0"/>
        <w:jc w:val="both"/>
      </w:pPr>
      <w:r>
        <w:t xml:space="preserve">Müller, G. (1969). Index of geoaccumulation in sediments of the Rhine River. </w:t>
      </w:r>
      <w:r>
        <w:rPr>
          <w:rStyle w:val="15"/>
          <w:rFonts w:eastAsiaTheme="majorEastAsia"/>
        </w:rPr>
        <w:t>GeoJournal, 2</w:t>
      </w:r>
      <w:r>
        <w:t>(3), 108–118.</w:t>
      </w:r>
    </w:p>
    <w:p w14:paraId="12B12CD7">
      <w:pPr>
        <w:pStyle w:val="19"/>
        <w:spacing w:before="0" w:beforeAutospacing="0" w:after="240" w:afterAutospacing="0"/>
        <w:jc w:val="both"/>
      </w:pPr>
      <w:r>
        <w:t xml:space="preserve">National Environmental Standards and Regulations Enforcement Agency (NESREA) (2016). </w:t>
      </w:r>
      <w:r>
        <w:rPr>
          <w:rStyle w:val="15"/>
          <w:rFonts w:eastAsiaTheme="majorEastAsia"/>
        </w:rPr>
        <w:t>National Environmental (Soil Quality) Regulations</w:t>
      </w:r>
      <w:r>
        <w:t>. Abuja: National Environmental Standards and Regulations Enforcement Agency.</w:t>
      </w:r>
    </w:p>
    <w:p w14:paraId="3211E329">
      <w:pPr>
        <w:pStyle w:val="19"/>
        <w:spacing w:before="0" w:beforeAutospacing="0" w:after="240" w:afterAutospacing="0"/>
        <w:jc w:val="both"/>
      </w:pPr>
      <w:r>
        <w:t xml:space="preserve">National Environmental Standards and Regulations Enforcement Agency (NESREA) (2011). </w:t>
      </w:r>
      <w:r>
        <w:rPr>
          <w:rStyle w:val="15"/>
          <w:rFonts w:eastAsiaTheme="majorEastAsia"/>
        </w:rPr>
        <w:t>National Environmental (Soil Quality) Regulations, S.I. No. 22</w:t>
      </w:r>
      <w:r>
        <w:t>. Federal Republic of Nigeria.</w:t>
      </w:r>
    </w:p>
    <w:p w14:paraId="7344786E">
      <w:pPr>
        <w:pStyle w:val="19"/>
        <w:spacing w:before="0" w:beforeAutospacing="0"/>
        <w:jc w:val="both"/>
      </w:pPr>
      <w:r>
        <w:t xml:space="preserve">Osadebe, C., Nwankwo, U., &amp; Chukwuma, A. (2019). Assessment of heavy metals in urban road dust and pollution indices in Nigerian cities. </w:t>
      </w:r>
      <w:r>
        <w:rPr>
          <w:rStyle w:val="15"/>
          <w:rFonts w:eastAsiaTheme="majorEastAsia"/>
        </w:rPr>
        <w:t>Heliyon, 5</w:t>
      </w:r>
      <w:r>
        <w:t xml:space="preserve">(12), e02978. </w:t>
      </w:r>
      <w:r>
        <w:fldChar w:fldCharType="begin"/>
      </w:r>
      <w:r>
        <w:instrText xml:space="preserve"> HYPERLINK "https://doi.org/10.1016/j.heliyon.2019.e02978" </w:instrText>
      </w:r>
      <w:r>
        <w:fldChar w:fldCharType="separate"/>
      </w:r>
      <w:r>
        <w:rPr>
          <w:rStyle w:val="18"/>
        </w:rPr>
        <w:t>https://doi.org/10.1016/j.heliyon.2019.e02978</w:t>
      </w:r>
      <w:r>
        <w:rPr>
          <w:rStyle w:val="18"/>
        </w:rPr>
        <w:fldChar w:fldCharType="end"/>
      </w:r>
    </w:p>
    <w:p w14:paraId="24CCFA51">
      <w:pPr>
        <w:pStyle w:val="19"/>
        <w:spacing w:before="0" w:beforeAutospacing="0"/>
        <w:jc w:val="both"/>
      </w:pPr>
      <w:r>
        <w:t xml:space="preserve">Sadiq, M. (2022). Road dust heavy metal contamination and health risk assessment in Northern Nigeria. </w:t>
      </w:r>
      <w:r>
        <w:rPr>
          <w:rStyle w:val="15"/>
          <w:rFonts w:eastAsiaTheme="majorEastAsia"/>
        </w:rPr>
        <w:t>Environmental Challenges, 8</w:t>
      </w:r>
      <w:r>
        <w:t xml:space="preserve">, 100684. </w:t>
      </w:r>
      <w:r>
        <w:fldChar w:fldCharType="begin"/>
      </w:r>
      <w:r>
        <w:instrText xml:space="preserve"> HYPERLINK "https://doi.org/10.1016/j.envc.2022.100684" </w:instrText>
      </w:r>
      <w:r>
        <w:fldChar w:fldCharType="separate"/>
      </w:r>
      <w:r>
        <w:rPr>
          <w:rStyle w:val="18"/>
        </w:rPr>
        <w:t>https://doi.org/10.1016/j.envc.2022.100684</w:t>
      </w:r>
      <w:r>
        <w:rPr>
          <w:rStyle w:val="18"/>
        </w:rPr>
        <w:fldChar w:fldCharType="end"/>
      </w:r>
    </w:p>
    <w:p w14:paraId="66ABADB2">
      <w:pPr>
        <w:pStyle w:val="19"/>
        <w:spacing w:before="0" w:beforeAutospacing="0" w:after="240" w:afterAutospacing="0"/>
        <w:jc w:val="both"/>
      </w:pPr>
      <w:r>
        <w:t xml:space="preserve">Sutherland, R. A. (2000). Bed sediment-associated trace metals in an urban stream, Oahu, Hawaii. </w:t>
      </w:r>
      <w:r>
        <w:rPr>
          <w:rStyle w:val="15"/>
          <w:rFonts w:eastAsiaTheme="majorEastAsia"/>
        </w:rPr>
        <w:t>Environmental Geology, 39</w:t>
      </w:r>
      <w:r>
        <w:t>(6), 611–627.</w:t>
      </w:r>
    </w:p>
    <w:p w14:paraId="63336F50">
      <w:pPr>
        <w:pStyle w:val="19"/>
        <w:spacing w:before="0" w:beforeAutospacing="0"/>
        <w:jc w:val="both"/>
      </w:pPr>
      <w:r>
        <w:t xml:space="preserve">Tchounwou, P. B., Yedjou, C. G., Patlolla, A. K., &amp; Sutton, D. J. (2012). Heavy metal toxicity and the environment. </w:t>
      </w:r>
      <w:r>
        <w:rPr>
          <w:rStyle w:val="15"/>
          <w:rFonts w:eastAsiaTheme="majorEastAsia"/>
        </w:rPr>
        <w:t>EXS, 101</w:t>
      </w:r>
      <w:r>
        <w:t xml:space="preserve">, 133–164. </w:t>
      </w:r>
      <w:r>
        <w:fldChar w:fldCharType="begin"/>
      </w:r>
      <w:r>
        <w:instrText xml:space="preserve"> HYPERLINK "https://doi.org/10.1007/978-3-7643-8340-4_6" \t "_new" </w:instrText>
      </w:r>
      <w:r>
        <w:fldChar w:fldCharType="separate"/>
      </w:r>
      <w:r>
        <w:rPr>
          <w:rStyle w:val="18"/>
          <w:rFonts w:eastAsiaTheme="majorEastAsia"/>
        </w:rPr>
        <w:t>https://doi.org/10.1007/978-3-7643-8340-4_6</w:t>
      </w:r>
      <w:r>
        <w:rPr>
          <w:rStyle w:val="18"/>
          <w:rFonts w:eastAsiaTheme="majorEastAsia"/>
        </w:rPr>
        <w:fldChar w:fldCharType="end"/>
      </w:r>
    </w:p>
    <w:p w14:paraId="3F5F18B5">
      <w:pPr>
        <w:pStyle w:val="19"/>
        <w:spacing w:before="0" w:beforeAutospacing="0"/>
        <w:jc w:val="both"/>
      </w:pPr>
      <w:r>
        <w:t xml:space="preserve">World Health Organization (WHO). (2022). </w:t>
      </w:r>
      <w:r>
        <w:rPr>
          <w:rStyle w:val="15"/>
          <w:rFonts w:eastAsiaTheme="majorEastAsia"/>
        </w:rPr>
        <w:t>Exposure to heavy metals: Health risks and management</w:t>
      </w:r>
      <w:r>
        <w:t xml:space="preserve">. WHO. </w:t>
      </w:r>
      <w:r>
        <w:fldChar w:fldCharType="begin"/>
      </w:r>
      <w:r>
        <w:instrText xml:space="preserve"> HYPERLINK "https://www.who.int/publications/i/item/9789240041373" </w:instrText>
      </w:r>
      <w:r>
        <w:fldChar w:fldCharType="separate"/>
      </w:r>
      <w:r>
        <w:rPr>
          <w:rStyle w:val="18"/>
        </w:rPr>
        <w:t>https://www.who.int/publications/i/item/9789240041373</w:t>
      </w:r>
      <w:r>
        <w:rPr>
          <w:rStyle w:val="18"/>
        </w:rPr>
        <w:fldChar w:fldCharType="end"/>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074810"/>
      <w:docPartObj>
        <w:docPartGallery w:val="autotext"/>
      </w:docPartObj>
    </w:sdtPr>
    <w:sdtContent>
      <w:p w14:paraId="2E7CD4BA">
        <w:pPr>
          <w:pStyle w:val="16"/>
          <w:jc w:val="center"/>
        </w:pPr>
        <w:r>
          <w:fldChar w:fldCharType="begin"/>
        </w:r>
        <w:r>
          <w:instrText xml:space="preserve"> PAGE   \* MERGEFORMAT </w:instrText>
        </w:r>
        <w:r>
          <w:fldChar w:fldCharType="separate"/>
        </w:r>
        <w:r>
          <w:t>2</w:t>
        </w:r>
        <w:r>
          <w:fldChar w:fldCharType="end"/>
        </w:r>
      </w:p>
    </w:sdtContent>
  </w:sdt>
  <w:p w14:paraId="5E3B3AE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EF69">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EB76C">
                          <w:pPr>
                            <w:pStyle w:val="16"/>
                            <w:tabs>
                              <w:tab w:val="center" w:pos="4153"/>
                              <w:tab w:val="right" w:pos="8306"/>
                              <w:tab w:val="clear" w:pos="4680"/>
                              <w:tab w:val="clear" w:pos="9360"/>
                            </w:tabs>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1E2EB76C">
                    <w:pPr>
                      <w:pStyle w:val="16"/>
                      <w:tabs>
                        <w:tab w:val="center" w:pos="4153"/>
                        <w:tab w:val="right" w:pos="8306"/>
                        <w:tab w:val="clear" w:pos="4680"/>
                        <w:tab w:val="clear" w:pos="9360"/>
                      </w:tabs>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04479"/>
    <w:multiLevelType w:val="multilevel"/>
    <w:tmpl w:val="04D044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60"/>
    <w:rsid w:val="00083B44"/>
    <w:rsid w:val="000C4440"/>
    <w:rsid w:val="00123EA5"/>
    <w:rsid w:val="00124150"/>
    <w:rsid w:val="00172DE4"/>
    <w:rsid w:val="00197873"/>
    <w:rsid w:val="001B40C6"/>
    <w:rsid w:val="00224834"/>
    <w:rsid w:val="002471B6"/>
    <w:rsid w:val="00251D87"/>
    <w:rsid w:val="00272FC4"/>
    <w:rsid w:val="00294F0C"/>
    <w:rsid w:val="002F2A60"/>
    <w:rsid w:val="003027F7"/>
    <w:rsid w:val="00342077"/>
    <w:rsid w:val="00346C88"/>
    <w:rsid w:val="00477020"/>
    <w:rsid w:val="004B34DC"/>
    <w:rsid w:val="004C3DAC"/>
    <w:rsid w:val="004F4F66"/>
    <w:rsid w:val="005111EF"/>
    <w:rsid w:val="005479E2"/>
    <w:rsid w:val="0058211F"/>
    <w:rsid w:val="005A204D"/>
    <w:rsid w:val="005A4887"/>
    <w:rsid w:val="00615A1B"/>
    <w:rsid w:val="006657D6"/>
    <w:rsid w:val="0067628F"/>
    <w:rsid w:val="00682297"/>
    <w:rsid w:val="00733D46"/>
    <w:rsid w:val="0076609A"/>
    <w:rsid w:val="00777607"/>
    <w:rsid w:val="00786DE8"/>
    <w:rsid w:val="007C255A"/>
    <w:rsid w:val="007F29DE"/>
    <w:rsid w:val="008303C2"/>
    <w:rsid w:val="00881EAD"/>
    <w:rsid w:val="00897BED"/>
    <w:rsid w:val="008C6331"/>
    <w:rsid w:val="009276E4"/>
    <w:rsid w:val="009402FA"/>
    <w:rsid w:val="009A0968"/>
    <w:rsid w:val="009E4506"/>
    <w:rsid w:val="009F1190"/>
    <w:rsid w:val="00AF40F9"/>
    <w:rsid w:val="00BC1150"/>
    <w:rsid w:val="00BC5EA6"/>
    <w:rsid w:val="00BD250A"/>
    <w:rsid w:val="00C17A46"/>
    <w:rsid w:val="00C23391"/>
    <w:rsid w:val="00C248C0"/>
    <w:rsid w:val="00C719F1"/>
    <w:rsid w:val="00C8138F"/>
    <w:rsid w:val="00D03D2A"/>
    <w:rsid w:val="00D0428C"/>
    <w:rsid w:val="00D45C5D"/>
    <w:rsid w:val="00D92830"/>
    <w:rsid w:val="00D94B47"/>
    <w:rsid w:val="00DB7157"/>
    <w:rsid w:val="00DC1668"/>
    <w:rsid w:val="00E22C22"/>
    <w:rsid w:val="00E764F7"/>
    <w:rsid w:val="00E86D93"/>
    <w:rsid w:val="00F50942"/>
    <w:rsid w:val="00F73989"/>
    <w:rsid w:val="00F94D52"/>
    <w:rsid w:val="00FA45FA"/>
    <w:rsid w:val="70CE1B4C"/>
    <w:rsid w:val="7848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link w:val="24"/>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25"/>
    <w:unhideWhenUsed/>
    <w:qFormat/>
    <w:uiPriority w:val="9"/>
    <w:pPr>
      <w:spacing w:after="100" w:afterAutospacing="1" w:line="276" w:lineRule="auto"/>
      <w:jc w:val="both"/>
      <w:outlineLvl w:val="1"/>
    </w:pPr>
    <w:rPr>
      <w:rFonts w:ascii="Times New Roman" w:hAnsi="Times New Roman" w:eastAsia="Times New Roman" w:cs="Times New Roman"/>
      <w:b/>
      <w:bCs/>
      <w:kern w:val="0"/>
      <w:sz w:val="24"/>
      <w:szCs w:val="24"/>
      <w:lang w:val="zh-CN" w:eastAsia="zh-CN"/>
      <w14:ligatures w14:val="none"/>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qFormat/>
    <w:uiPriority w:val="1"/>
    <w:rPr>
      <w:rFonts w:ascii="Times New Roman" w:hAnsi="Times New Roman" w:eastAsia="Times New Roman" w:cs="Times New Roman"/>
      <w:sz w:val="24"/>
      <w:szCs w:val="24"/>
      <w:lang w:val="en-US" w:eastAsia="en-US" w:bidi="ar-SA"/>
    </w:rPr>
  </w:style>
  <w:style w:type="paragraph" w:styleId="14">
    <w:name w:val="caption"/>
    <w:basedOn w:val="1"/>
    <w:next w:val="1"/>
    <w:unhideWhenUsed/>
    <w:qFormat/>
    <w:uiPriority w:val="35"/>
    <w:pPr>
      <w:spacing w:after="0" w:line="360" w:lineRule="auto"/>
      <w:jc w:val="both"/>
    </w:pPr>
    <w:rPr>
      <w:rFonts w:ascii="Times New Roman" w:hAnsi="Times New Roman" w:eastAsia="Calibri" w:cs="Times New Roman"/>
      <w:kern w:val="0"/>
      <w:sz w:val="24"/>
      <w:szCs w:val="24"/>
      <w14:ligatures w14:val="none"/>
    </w:rPr>
  </w:style>
  <w:style w:type="character" w:styleId="15">
    <w:name w:val="Emphasis"/>
    <w:basedOn w:val="11"/>
    <w:qFormat/>
    <w:uiPriority w:val="20"/>
    <w:rPr>
      <w:i/>
      <w:iCs/>
    </w:rPr>
  </w:style>
  <w:style w:type="paragraph" w:styleId="16">
    <w:name w:val="footer"/>
    <w:basedOn w:val="1"/>
    <w:link w:val="44"/>
    <w:unhideWhenUsed/>
    <w:uiPriority w:val="99"/>
    <w:pPr>
      <w:tabs>
        <w:tab w:val="center" w:pos="4680"/>
        <w:tab w:val="right" w:pos="9360"/>
      </w:tabs>
      <w:spacing w:after="0" w:line="240" w:lineRule="auto"/>
    </w:pPr>
  </w:style>
  <w:style w:type="paragraph" w:styleId="17">
    <w:name w:val="header"/>
    <w:basedOn w:val="1"/>
    <w:link w:val="43"/>
    <w:unhideWhenUsed/>
    <w:uiPriority w:val="99"/>
    <w:pPr>
      <w:tabs>
        <w:tab w:val="center" w:pos="4680"/>
        <w:tab w:val="right" w:pos="9360"/>
      </w:tabs>
      <w:spacing w:after="0" w:line="240" w:lineRule="auto"/>
    </w:pPr>
  </w:style>
  <w:style w:type="character" w:styleId="18">
    <w:name w:val="Hyperlink"/>
    <w:basedOn w:val="11"/>
    <w:unhideWhenUsed/>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zh-CN" w:eastAsia="zh-CN"/>
      <w14:ligatures w14:val="none"/>
    </w:rPr>
  </w:style>
  <w:style w:type="character" w:styleId="20">
    <w:name w:val="Strong"/>
    <w:basedOn w:val="11"/>
    <w:qFormat/>
    <w:uiPriority w:val="22"/>
    <w:rPr>
      <w:b/>
      <w:bCs/>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color w:val="2E75B6" w:themeColor="accent1" w:themeShade="BF"/>
      <w:sz w:val="40"/>
      <w:szCs w:val="40"/>
    </w:rPr>
  </w:style>
  <w:style w:type="character" w:customStyle="1" w:styleId="25">
    <w:name w:val="Heading 2 Char"/>
    <w:basedOn w:val="11"/>
    <w:link w:val="3"/>
    <w:uiPriority w:val="9"/>
    <w:rPr>
      <w:rFonts w:ascii="Times New Roman" w:hAnsi="Times New Roman" w:eastAsia="Times New Roman" w:cs="Times New Roman"/>
      <w:b/>
      <w:bCs/>
      <w:kern w:val="0"/>
      <w:sz w:val="24"/>
      <w:szCs w:val="24"/>
      <w:lang w:val="zh-CN" w:eastAsia="zh-CN"/>
      <w14:ligatures w14:val="none"/>
    </w:rPr>
  </w:style>
  <w:style w:type="character" w:customStyle="1" w:styleId="26">
    <w:name w:val="Heading 3 Char"/>
    <w:basedOn w:val="11"/>
    <w:link w:val="4"/>
    <w:uiPriority w:val="9"/>
    <w:rPr>
      <w:rFonts w:eastAsiaTheme="majorEastAsia" w:cstheme="majorBidi"/>
      <w:color w:val="2E75B6" w:themeColor="accent1" w:themeShade="BF"/>
      <w:sz w:val="28"/>
      <w:szCs w:val="28"/>
    </w:rPr>
  </w:style>
  <w:style w:type="character" w:customStyle="1" w:styleId="27">
    <w:name w:val="Heading 4 Char"/>
    <w:basedOn w:val="11"/>
    <w:link w:val="5"/>
    <w:semiHidden/>
    <w:uiPriority w:val="9"/>
    <w:rPr>
      <w:rFonts w:eastAsiaTheme="majorEastAsia" w:cstheme="majorBidi"/>
      <w:i/>
      <w:iCs/>
      <w:color w:val="2E75B6" w:themeColor="accent1" w:themeShade="BF"/>
    </w:rPr>
  </w:style>
  <w:style w:type="character" w:customStyle="1" w:styleId="28">
    <w:name w:val="Heading 5 Char"/>
    <w:basedOn w:val="11"/>
    <w:link w:val="6"/>
    <w:semiHidden/>
    <w:qFormat/>
    <w:uiPriority w:val="9"/>
    <w:rPr>
      <w:rFonts w:eastAsiaTheme="majorEastAsia" w:cstheme="majorBidi"/>
      <w:color w:val="2E75B6" w:themeColor="accent1" w:themeShade="BF"/>
    </w:rPr>
  </w:style>
  <w:style w:type="character" w:customStyle="1" w:styleId="29">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E75B6" w:themeColor="accent1" w:themeShade="BF"/>
    </w:rPr>
  </w:style>
  <w:style w:type="paragraph" w:styleId="39">
    <w:name w:val="Intense Quote"/>
    <w:basedOn w:val="1"/>
    <w:next w:val="1"/>
    <w:link w:val="40"/>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40">
    <w:name w:val="Intense Quote Char"/>
    <w:basedOn w:val="11"/>
    <w:link w:val="39"/>
    <w:qFormat/>
    <w:uiPriority w:val="30"/>
    <w:rPr>
      <w:i/>
      <w:iCs/>
      <w:color w:val="2E75B6" w:themeColor="accent1" w:themeShade="BF"/>
    </w:rPr>
  </w:style>
  <w:style w:type="character" w:customStyle="1" w:styleId="41">
    <w:name w:val="Intense Reference"/>
    <w:basedOn w:val="11"/>
    <w:qFormat/>
    <w:uiPriority w:val="32"/>
    <w:rPr>
      <w:b/>
      <w:bCs/>
      <w:smallCaps/>
      <w:color w:val="2E75B6" w:themeColor="accent1" w:themeShade="BF"/>
      <w:spacing w:val="5"/>
    </w:rPr>
  </w:style>
  <w:style w:type="character" w:customStyle="1" w:styleId="42">
    <w:name w:val="Unresolved Mention"/>
    <w:basedOn w:val="11"/>
    <w:semiHidden/>
    <w:unhideWhenUsed/>
    <w:qFormat/>
    <w:uiPriority w:val="99"/>
    <w:rPr>
      <w:color w:val="605E5C"/>
      <w:shd w:val="clear" w:color="auto" w:fill="E1DFDD"/>
    </w:rPr>
  </w:style>
  <w:style w:type="character" w:customStyle="1" w:styleId="43">
    <w:name w:val="Header Char"/>
    <w:basedOn w:val="11"/>
    <w:link w:val="17"/>
    <w:qFormat/>
    <w:uiPriority w:val="99"/>
  </w:style>
  <w:style w:type="character" w:customStyle="1" w:styleId="44">
    <w:name w:val="Footer Char"/>
    <w:basedOn w:val="11"/>
    <w:link w:val="16"/>
    <w:qFormat/>
    <w:uiPriority w:val="99"/>
  </w:style>
  <w:style w:type="character" w:customStyle="1" w:styleId="45">
    <w:name w:val="15"/>
    <w:basedOn w:val="11"/>
    <w:qFormat/>
    <w:uiPriority w:val="0"/>
    <w:rPr>
      <w:rFonts w:hint="default" w:ascii="Aptos" w:hAnsi="Aptos"/>
      <w:b/>
      <w:bCs/>
    </w:rPr>
  </w:style>
  <w:style w:type="paragraph" w:customStyle="1" w:styleId="46">
    <w:name w:val="Default"/>
    <w:qFormat/>
    <w:uiPriority w:val="0"/>
    <w:pPr>
      <w:keepNext w:val="0"/>
      <w:keepLines w:val="0"/>
      <w:widowControl/>
      <w:suppressLineNumbers w:val="0"/>
      <w:autoSpaceDE w:val="0"/>
      <w:autoSpaceDN w:val="0"/>
      <w:adjustRightInd w:val="0"/>
      <w:spacing w:before="0" w:beforeAutospacing="0" w:after="0" w:afterAutospacing="0" w:line="240" w:lineRule="auto"/>
      <w:ind w:left="0" w:right="0"/>
      <w:jc w:val="left"/>
    </w:pPr>
    <w:rPr>
      <w:rFonts w:hint="default" w:ascii="Arial" w:hAnsi="Arial" w:eastAsia="Calibri" w:cs="Arial"/>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miracle.livinus\Downloads\Haroon\Datas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9946500297686"/>
          <c:y val="0.0509259259259259"/>
          <c:w val="0.922619137464047"/>
          <c:h val="0.847069398583242"/>
        </c:manualLayout>
      </c:layout>
      <c:barChart>
        <c:barDir val="col"/>
        <c:grouping val="stacked"/>
        <c:varyColors val="0"/>
        <c:ser>
          <c:idx val="0"/>
          <c:order val="0"/>
          <c:tx>
            <c:strRef>
              <c:f>Sheet6!$J$2</c:f>
              <c:strCache>
                <c:ptCount val="1"/>
                <c:pt idx="0">
                  <c:v>MPI</c:v>
                </c:pt>
              </c:strCache>
            </c:strRef>
          </c:tx>
          <c:spPr>
            <a:no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lstStyle/>
              <a:p>
                <a:pPr>
                  <a:defRPr lang="en-US" sz="1050" b="0" i="0" u="none" strike="noStrike" kern="1200" baseline="0">
                    <a:solidFill>
                      <a:schemeClr val="tx1"/>
                    </a:solidFill>
                    <a:latin typeface="Cambria" panose="02040503050406030204" pitchFamily="1" charset="0"/>
                    <a:ea typeface="Cambria" panose="02040503050406030204" pitchFamily="1" charset="0"/>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Sheet6!$I$3:$I$7</c:f>
              <c:strCache>
                <c:ptCount val="5"/>
                <c:pt idx="0">
                  <c:v>Hadejia</c:v>
                </c:pt>
                <c:pt idx="1">
                  <c:v>BUK</c:v>
                </c:pt>
                <c:pt idx="2">
                  <c:v>Katsina</c:v>
                </c:pt>
                <c:pt idx="3">
                  <c:v>Maiduguri</c:v>
                </c:pt>
                <c:pt idx="4">
                  <c:v>Zaria</c:v>
                </c:pt>
              </c:strCache>
            </c:strRef>
          </c:cat>
          <c:val>
            <c:numRef>
              <c:f>Sheet6!$J$3:$J$7</c:f>
              <c:numCache>
                <c:formatCode>General</c:formatCode>
                <c:ptCount val="5"/>
                <c:pt idx="0">
                  <c:v>107.08</c:v>
                </c:pt>
                <c:pt idx="1">
                  <c:v>107.98</c:v>
                </c:pt>
                <c:pt idx="2">
                  <c:v>99.4</c:v>
                </c:pt>
                <c:pt idx="3">
                  <c:v>108.75</c:v>
                </c:pt>
                <c:pt idx="4">
                  <c:v>115.61</c:v>
                </c:pt>
              </c:numCache>
            </c:numRef>
          </c:val>
        </c:ser>
        <c:dLbls>
          <c:showLegendKey val="0"/>
          <c:showVal val="1"/>
          <c:showCatName val="0"/>
          <c:showSerName val="0"/>
          <c:showPercent val="0"/>
          <c:showBubbleSize val="0"/>
        </c:dLbls>
        <c:gapWidth val="50"/>
        <c:overlap val="100"/>
        <c:axId val="1272452015"/>
        <c:axId val="1272460655"/>
      </c:barChart>
      <c:catAx>
        <c:axId val="1272452015"/>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1"/>
                    </a:solidFill>
                    <a:latin typeface="Cambria" panose="02040503050406030204" pitchFamily="1" charset="0"/>
                    <a:ea typeface="Cambria" panose="02040503050406030204" pitchFamily="1" charset="0"/>
                    <a:cs typeface="+mn-cs"/>
                  </a:defRPr>
                </a:pPr>
                <a:r>
                  <a:rPr lang="en-GB"/>
                  <a:t>Road</a:t>
                </a:r>
                <a:endParaRPr lang="en-GB"/>
              </a:p>
            </c:rich>
          </c:tx>
          <c:layout>
            <c:manualLayout>
              <c:xMode val="edge"/>
              <c:yMode val="edge"/>
              <c:x val="0.458443132108486"/>
              <c:y val="0.92960629921259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Cambria" panose="02040503050406030204" pitchFamily="1" charset="0"/>
                <a:ea typeface="Cambria" panose="02040503050406030204" pitchFamily="1" charset="0"/>
                <a:cs typeface="+mn-cs"/>
              </a:defRPr>
            </a:pPr>
          </a:p>
        </c:txPr>
        <c:crossAx val="1272460655"/>
        <c:crosses val="autoZero"/>
        <c:auto val="1"/>
        <c:lblAlgn val="ctr"/>
        <c:lblOffset val="100"/>
        <c:noMultiLvlLbl val="0"/>
      </c:catAx>
      <c:valAx>
        <c:axId val="127246065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solidFill>
                    <a:latin typeface="Cambria" panose="02040503050406030204" pitchFamily="1" charset="0"/>
                    <a:ea typeface="Cambria" panose="02040503050406030204" pitchFamily="1" charset="0"/>
                    <a:cs typeface="+mn-cs"/>
                  </a:defRPr>
                </a:pPr>
                <a:r>
                  <a:rPr lang="en-GB" sz="1000"/>
                  <a:t>Multimetal Pollution Index (MPI)</a:t>
                </a:r>
                <a:endParaRPr lang="en-GB" sz="1000"/>
              </a:p>
            </c:rich>
          </c:tx>
          <c:layout>
            <c:manualLayout>
              <c:xMode val="edge"/>
              <c:yMode val="edge"/>
              <c:x val="0.0162052107703789"/>
              <c:y val="0.130846386137217"/>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050" b="0" i="0" u="none" strike="noStrike" kern="1200" baseline="0">
                <a:solidFill>
                  <a:schemeClr val="tx1"/>
                </a:solidFill>
                <a:latin typeface="Cambria" panose="02040503050406030204" pitchFamily="1" charset="0"/>
                <a:ea typeface="Cambria" panose="02040503050406030204" pitchFamily="1" charset="0"/>
                <a:cs typeface="+mn-cs"/>
              </a:defRPr>
            </a:pPr>
          </a:p>
        </c:txPr>
        <c:crossAx val="1272452015"/>
        <c:crosses val="autoZero"/>
        <c:crossBetween val="between"/>
      </c:valAx>
      <c:spPr>
        <a:noFill/>
        <a:ln>
          <a:noFill/>
        </a:ln>
        <a:effectLst/>
      </c:spPr>
    </c:plotArea>
    <c:plotVisOnly val="1"/>
    <c:dispBlanksAs val="gap"/>
    <c:showDLblsOverMax val="0"/>
    <c:extLst>
      <c:ext uri="{0b15fc19-7d7d-44ad-8c2d-2c3a37ce22c3}">
        <chartProps xmlns="https://web.wps.cn/et/2018/main" chartId="{c4973c97-24c4-4397-8a03-0b067b8ed854}"/>
      </c:ext>
    </c:extLst>
  </c:chart>
  <c:spPr>
    <a:solidFill>
      <a:schemeClr val="bg1"/>
    </a:solidFill>
    <a:ln w="9525" cap="flat" cmpd="sng" algn="ctr">
      <a:solidFill>
        <a:schemeClr val="tx2">
          <a:lumMod val="15000"/>
          <a:lumOff val="85000"/>
        </a:schemeClr>
      </a:solidFill>
      <a:round/>
    </a:ln>
    <a:effectLst/>
  </c:spPr>
  <c:txPr>
    <a:bodyPr/>
    <a:lstStyle/>
    <a:p>
      <a:pPr>
        <a:defRPr lang="en-US" sz="1050">
          <a:solidFill>
            <a:schemeClr val="tx1"/>
          </a:solidFill>
          <a:latin typeface="Cambria" panose="02040503050406030204" pitchFamily="1" charset="0"/>
          <a:ea typeface="Cambria" panose="02040503050406030204" pitchFamily="1"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6108</Words>
  <Characters>34822</Characters>
  <Lines>290</Lines>
  <Paragraphs>81</Paragraphs>
  <TotalTime>12</TotalTime>
  <ScaleCrop>false</ScaleCrop>
  <LinksUpToDate>false</LinksUpToDate>
  <CharactersWithSpaces>40849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2025-12-31T08:10:00Z</dcterms:created>
  <dc:creator>Mr. Miracle Uwa Llivinus</dc:creator>
  <cp:lastModifiedBy>hp</cp:lastModifiedBy>
  <dcterms:modified xsi:type="dcterms:W3CDTF">2026-02-19T14:45:27Z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0501DDD612C64FF59F060C35D60FE67A_12</vt:lpwstr>
  </property>
</Properties>
</file>