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31C8B" w14:textId="5CA2C3CC" w:rsidR="009E4760" w:rsidRPr="00E672ED" w:rsidRDefault="009E4760" w:rsidP="009E4760">
      <w:pPr>
        <w:spacing w:after="120" w:line="360" w:lineRule="auto"/>
        <w:jc w:val="center"/>
        <w:rPr>
          <w:rFonts w:cs="Times New Roman"/>
          <w:b/>
          <w:sz w:val="28"/>
          <w:szCs w:val="28"/>
        </w:rPr>
      </w:pPr>
      <w:r w:rsidRPr="00E672ED">
        <w:rPr>
          <w:rFonts w:cs="Times New Roman"/>
          <w:b/>
          <w:sz w:val="28"/>
          <w:szCs w:val="28"/>
        </w:rPr>
        <w:t>MOB VIOLENCE AND THE RULE OF LAW IN LIBERIA</w:t>
      </w:r>
      <w:r>
        <w:rPr>
          <w:rFonts w:cs="Times New Roman"/>
          <w:b/>
          <w:sz w:val="28"/>
          <w:szCs w:val="28"/>
        </w:rPr>
        <w:t>:</w:t>
      </w:r>
    </w:p>
    <w:p w14:paraId="370AD2C5" w14:textId="634668FD" w:rsidR="009E4760" w:rsidRDefault="009E4760" w:rsidP="009E4760">
      <w:pPr>
        <w:spacing w:after="120" w:line="360" w:lineRule="auto"/>
        <w:jc w:val="center"/>
        <w:rPr>
          <w:rFonts w:cs="Times New Roman"/>
          <w:b/>
          <w:sz w:val="28"/>
          <w:szCs w:val="28"/>
        </w:rPr>
      </w:pPr>
      <w:r w:rsidRPr="00E672ED">
        <w:rPr>
          <w:rFonts w:cs="Times New Roman"/>
          <w:b/>
          <w:sz w:val="28"/>
          <w:szCs w:val="28"/>
        </w:rPr>
        <w:t/>
      </w:r>
      <w:r>
        <w:rPr>
          <w:rFonts w:cs="Times New Roman"/>
          <w:b/>
          <w:sz w:val="28"/>
          <w:szCs w:val="28"/>
        </w:rPr>
        <w:t xml:space="preserve"/>
      </w:r>
    </w:p>
    <w:p w14:paraId="354493FA" w14:textId="77777777" w:rsidR="009E4760" w:rsidRPr="00E672ED" w:rsidRDefault="009E4760" w:rsidP="009E4760">
      <w:pPr>
        <w:pStyle w:val="NoSpacing"/>
        <w:jc w:val="right"/>
        <w:rPr>
          <w:rFonts w:ascii="Times New Roman" w:hAnsi="Times New Roman" w:cs="Times New Roman"/>
          <w:b/>
          <w:bCs/>
          <w:i/>
          <w:iCs/>
          <w:sz w:val="24"/>
          <w:szCs w:val="24"/>
        </w:rPr>
      </w:pPr>
      <w:r w:rsidRPr="00E672ED">
        <w:rPr>
          <w:rFonts w:ascii="Times New Roman" w:hAnsi="Times New Roman" w:cs="Times New Roman"/>
          <w:b/>
          <w:bCs/>
          <w:i/>
          <w:iCs/>
          <w:sz w:val="24"/>
          <w:szCs w:val="24"/>
        </w:rPr>
        <w:t/>
      </w:r>
    </w:p>
    <w:p w14:paraId="22EDB171" w14:textId="77777777" w:rsidR="009E4760" w:rsidRPr="00E672ED" w:rsidRDefault="009E4760" w:rsidP="009E4760">
      <w:pPr>
        <w:pStyle w:val="NoSpacing"/>
        <w:jc w:val="right"/>
        <w:rPr>
          <w:rFonts w:ascii="Times New Roman" w:hAnsi="Times New Roman" w:cs="Times New Roman"/>
          <w:b/>
          <w:bCs/>
          <w:i/>
          <w:iCs/>
          <w:sz w:val="24"/>
          <w:szCs w:val="24"/>
        </w:rPr>
      </w:pPr>
      <w:r w:rsidRPr="00E672ED">
        <w:rPr>
          <w:rFonts w:ascii="Times New Roman" w:hAnsi="Times New Roman" w:cs="Times New Roman"/>
          <w:b/>
          <w:bCs/>
          <w:i/>
          <w:iCs/>
          <w:sz w:val="24"/>
          <w:szCs w:val="24"/>
        </w:rPr>
        <w:t xml:space="preserve"/>
      </w:r>
    </w:p>
    <w:p w14:paraId="13BD0ACE" w14:textId="77777777" w:rsidR="009E4760" w:rsidRPr="00E672ED" w:rsidRDefault="009E4760" w:rsidP="009E4760">
      <w:pPr>
        <w:spacing w:after="120" w:line="360" w:lineRule="auto"/>
        <w:rPr>
          <w:rFonts w:cs="Times New Roman"/>
          <w:b/>
          <w:bCs/>
          <w:szCs w:val="24"/>
        </w:rPr>
      </w:pPr>
      <w:r w:rsidRPr="00E672ED">
        <w:rPr>
          <w:rFonts w:cs="Times New Roman"/>
          <w:b/>
          <w:bCs/>
          <w:szCs w:val="24"/>
        </w:rPr>
        <w:t>ABSTRACT</w:t>
      </w:r>
    </w:p>
    <w:p w14:paraId="565430A4"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Mob violence is a direct assault on the rule of law because it replaces public judgment with rage, rumor, and collective punishment. In Liberia, where post-conflict fragility, uneven police capacity, delayed justice, and public distrust continue to shape the experience of law, mob justice has remained a recurring symptom of a deeper institutional problem. This </w:t>
      </w:r>
      <w:r>
        <w:rPr>
          <w:rFonts w:cs="Times New Roman"/>
          <w:szCs w:val="24"/>
        </w:rPr>
        <w:t>st</w:t>
      </w:r>
      <w:bookmarkStart w:id="0" w:name="_GoBack"/>
      <w:bookmarkEnd w:id="0"/>
      <w:r>
        <w:rPr>
          <w:rFonts w:cs="Times New Roman"/>
          <w:szCs w:val="24"/>
        </w:rPr>
        <w:t>udy</w:t>
      </w:r>
      <w:r w:rsidRPr="00E672ED">
        <w:rPr>
          <w:rFonts w:cs="Times New Roman"/>
          <w:szCs w:val="24"/>
        </w:rPr>
        <w:t xml:space="preserve"> argues that combating mob violence requires more than ordinary criminal sanctions. It requires a credible judicial system, lawful policing, swift prosecution, victim-centered remedies, and civic confidence that the state can protect communities without surrendering its monopoly over force. The analysis is comparative and doctrinal. It examines Liberia’s constitutional and statutory framework, draws lessons from Indian constitutional jurisprudence on mob lynching and due process, and situates both within international human rights law. The Indian Supreme Court’s decision in </w:t>
      </w:r>
      <w:r w:rsidRPr="00FE70B3">
        <w:rPr>
          <w:rFonts w:cs="Times New Roman"/>
          <w:i/>
          <w:iCs/>
          <w:szCs w:val="24"/>
        </w:rPr>
        <w:t>Tehseen S. Poonawalla v. Union of India</w:t>
      </w:r>
      <w:r>
        <w:rPr>
          <w:rStyle w:val="FootnoteReference"/>
          <w:rFonts w:cs="Times New Roman"/>
          <w:i/>
          <w:iCs/>
          <w:szCs w:val="24"/>
        </w:rPr>
        <w:footnoteReference w:id="1"/>
      </w:r>
      <w:r w:rsidRPr="00E672ED">
        <w:rPr>
          <w:rFonts w:cs="Times New Roman"/>
          <w:szCs w:val="24"/>
        </w:rPr>
        <w:t xml:space="preserve"> is especially significant because it treats lynching as a rule-of-law crisis and responds with preventive, punitive, and remedial obligations for the state. By contrast, Liberia’s legal response remains largely embedded in general criminal law and constitutional guarantees, which are necessary but not sufficient. The </w:t>
      </w:r>
      <w:r>
        <w:rPr>
          <w:rFonts w:cs="Times New Roman"/>
          <w:szCs w:val="24"/>
        </w:rPr>
        <w:t>study</w:t>
      </w:r>
      <w:r w:rsidRPr="00E672ED">
        <w:rPr>
          <w:rFonts w:cs="Times New Roman"/>
          <w:szCs w:val="24"/>
        </w:rPr>
        <w:t xml:space="preserve"> concludes that Liberia should adopt a clearer anti-mob violence framework, strengthen police accountability, accelerate trials, protect witnesses, and invest in public trust as an institutional asset rather than a political slogan.</w:t>
      </w:r>
    </w:p>
    <w:p w14:paraId="76DAD911" w14:textId="77777777" w:rsidR="009E4760" w:rsidRDefault="009E4760" w:rsidP="009E4760">
      <w:pPr>
        <w:spacing w:after="120" w:line="360" w:lineRule="auto"/>
        <w:jc w:val="both"/>
        <w:rPr>
          <w:rFonts w:cs="Times New Roman"/>
          <w:b/>
          <w:szCs w:val="24"/>
        </w:rPr>
      </w:pPr>
      <w:r w:rsidRPr="00E672ED">
        <w:rPr>
          <w:rFonts w:cs="Times New Roman"/>
          <w:b/>
          <w:szCs w:val="24"/>
        </w:rPr>
        <w:t>KEYWORDS</w:t>
      </w:r>
    </w:p>
    <w:p w14:paraId="44C66B0B" w14:textId="77777777" w:rsidR="009E4760" w:rsidRDefault="009E4760" w:rsidP="009E4760">
      <w:pPr>
        <w:spacing w:after="120" w:line="360" w:lineRule="auto"/>
        <w:jc w:val="both"/>
        <w:rPr>
          <w:rFonts w:cs="Times New Roman"/>
          <w:szCs w:val="24"/>
        </w:rPr>
      </w:pPr>
      <w:r>
        <w:rPr>
          <w:rFonts w:cs="Times New Roman"/>
          <w:szCs w:val="24"/>
        </w:rPr>
        <w:t>M</w:t>
      </w:r>
      <w:r w:rsidRPr="00E672ED">
        <w:rPr>
          <w:rFonts w:cs="Times New Roman"/>
          <w:szCs w:val="24"/>
        </w:rPr>
        <w:t xml:space="preserve">ob violence, </w:t>
      </w:r>
      <w:r>
        <w:rPr>
          <w:rFonts w:cs="Times New Roman"/>
          <w:szCs w:val="24"/>
        </w:rPr>
        <w:t>M</w:t>
      </w:r>
      <w:r w:rsidRPr="00E672ED">
        <w:rPr>
          <w:rFonts w:cs="Times New Roman"/>
          <w:szCs w:val="24"/>
        </w:rPr>
        <w:t xml:space="preserve">ob justice, </w:t>
      </w:r>
      <w:r>
        <w:rPr>
          <w:rFonts w:cs="Times New Roman"/>
          <w:szCs w:val="24"/>
        </w:rPr>
        <w:t>R</w:t>
      </w:r>
      <w:r w:rsidRPr="00E672ED">
        <w:rPr>
          <w:rFonts w:cs="Times New Roman"/>
          <w:szCs w:val="24"/>
        </w:rPr>
        <w:t xml:space="preserve">ule of </w:t>
      </w:r>
      <w:r>
        <w:rPr>
          <w:rFonts w:cs="Times New Roman"/>
          <w:szCs w:val="24"/>
        </w:rPr>
        <w:t>L</w:t>
      </w:r>
      <w:r w:rsidRPr="00E672ED">
        <w:rPr>
          <w:rFonts w:cs="Times New Roman"/>
          <w:szCs w:val="24"/>
        </w:rPr>
        <w:t xml:space="preserve">aw, Liberia, India, </w:t>
      </w:r>
      <w:r>
        <w:rPr>
          <w:rFonts w:cs="Times New Roman"/>
          <w:szCs w:val="24"/>
        </w:rPr>
        <w:t>D</w:t>
      </w:r>
      <w:r w:rsidRPr="00E672ED">
        <w:rPr>
          <w:rFonts w:cs="Times New Roman"/>
          <w:szCs w:val="24"/>
        </w:rPr>
        <w:t xml:space="preserve">ue </w:t>
      </w:r>
      <w:r>
        <w:rPr>
          <w:rFonts w:cs="Times New Roman"/>
          <w:szCs w:val="24"/>
        </w:rPr>
        <w:t>P</w:t>
      </w:r>
      <w:r w:rsidRPr="00E672ED">
        <w:rPr>
          <w:rFonts w:cs="Times New Roman"/>
          <w:szCs w:val="24"/>
        </w:rPr>
        <w:t xml:space="preserve">rocess, </w:t>
      </w:r>
      <w:r>
        <w:rPr>
          <w:rFonts w:cs="Times New Roman"/>
          <w:szCs w:val="24"/>
        </w:rPr>
        <w:t>P</w:t>
      </w:r>
      <w:r w:rsidRPr="00E672ED">
        <w:rPr>
          <w:rFonts w:cs="Times New Roman"/>
          <w:szCs w:val="24"/>
        </w:rPr>
        <w:t xml:space="preserve">ublic trust, </w:t>
      </w:r>
      <w:r>
        <w:rPr>
          <w:rFonts w:cs="Times New Roman"/>
          <w:szCs w:val="24"/>
        </w:rPr>
        <w:t>J</w:t>
      </w:r>
      <w:r w:rsidRPr="00E672ED">
        <w:rPr>
          <w:rFonts w:cs="Times New Roman"/>
          <w:szCs w:val="24"/>
        </w:rPr>
        <w:t xml:space="preserve">udicial reform, </w:t>
      </w:r>
      <w:r>
        <w:rPr>
          <w:rFonts w:cs="Times New Roman"/>
          <w:szCs w:val="24"/>
        </w:rPr>
        <w:t>V</w:t>
      </w:r>
      <w:r w:rsidRPr="00E672ED">
        <w:rPr>
          <w:rFonts w:cs="Times New Roman"/>
          <w:szCs w:val="24"/>
        </w:rPr>
        <w:t xml:space="preserve">igilantism, </w:t>
      </w:r>
      <w:r>
        <w:rPr>
          <w:rFonts w:cs="Times New Roman"/>
          <w:szCs w:val="24"/>
        </w:rPr>
        <w:t>C</w:t>
      </w:r>
      <w:r w:rsidRPr="00E672ED">
        <w:rPr>
          <w:rFonts w:cs="Times New Roman"/>
          <w:szCs w:val="24"/>
        </w:rPr>
        <w:t>onstitutionalism</w:t>
      </w:r>
    </w:p>
    <w:p w14:paraId="0B05673B" w14:textId="77777777" w:rsidR="009E4760" w:rsidRPr="00E672ED" w:rsidRDefault="009E4760" w:rsidP="009E4760">
      <w:pPr>
        <w:spacing w:after="120" w:line="360" w:lineRule="auto"/>
        <w:jc w:val="both"/>
        <w:rPr>
          <w:rFonts w:cs="Times New Roman"/>
          <w:b/>
          <w:bCs/>
          <w:szCs w:val="24"/>
        </w:rPr>
      </w:pPr>
      <w:r w:rsidRPr="00E672ED">
        <w:rPr>
          <w:rFonts w:cs="Times New Roman"/>
          <w:b/>
          <w:bCs/>
          <w:szCs w:val="24"/>
        </w:rPr>
        <w:t>INTRODUCTION</w:t>
      </w:r>
    </w:p>
    <w:p w14:paraId="6955FAED"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Mob violence describes collective acts of punishment carried out by a crowd against a suspected offender, often before the state has investigated, charged, or adjudicated the matter. It is a familiar </w:t>
      </w:r>
      <w:r w:rsidRPr="00E672ED">
        <w:rPr>
          <w:rFonts w:cs="Times New Roman"/>
          <w:szCs w:val="24"/>
        </w:rPr>
        <w:lastRenderedPageBreak/>
        <w:t>phenomenon in societies where fear travels faster than law, and where rumors are allowed to stand in for proof. In such settings, the crowd presents itself as a substitute court, a substitute police force, and sometimes a substitute executioner. The result is not social order but legal collapse. The victim is denied the presumption of innocence, the accused is denied a hearing, and the public is left with the dangerous illusion that violence can cure insecurity.</w:t>
      </w:r>
    </w:p>
    <w:p w14:paraId="228854A7" w14:textId="77777777" w:rsidR="009E4760" w:rsidRDefault="009E4760" w:rsidP="009E4760">
      <w:pPr>
        <w:spacing w:after="120" w:line="360" w:lineRule="auto"/>
        <w:jc w:val="both"/>
        <w:rPr>
          <w:rFonts w:cs="Times New Roman"/>
          <w:szCs w:val="24"/>
        </w:rPr>
      </w:pPr>
      <w:r w:rsidRPr="00E672ED">
        <w:rPr>
          <w:rFonts w:cs="Times New Roman"/>
          <w:szCs w:val="24"/>
        </w:rPr>
        <w:t>Liberia’s experience makes this issue particularly urgent. The country emerged from civil conflict with institutional scars that continue to affect the credibility of the formal justice system. Even where constitutional rights are well drafted, they lose force when communities expect delay, corruption, or indifference from the police and courts. Mob violence then appears to ordinary citizens as a practical shortcut, especially in cases involving theft, sexual violence, ritual accusation, drug offenses, child harm, or neighborhood disputes. Yet that shortcut is destructive. It normalizes cruelty, encourages retaliation, and weakens the very institutions that are needed to protect the public in the long run.</w:t>
      </w:r>
    </w:p>
    <w:p w14:paraId="63245C7D" w14:textId="77777777" w:rsidR="009E4760" w:rsidRPr="00C63029" w:rsidRDefault="009E4760" w:rsidP="009E4760">
      <w:pPr>
        <w:spacing w:after="120" w:line="360" w:lineRule="auto"/>
        <w:jc w:val="both"/>
        <w:rPr>
          <w:rFonts w:cs="Times New Roman"/>
          <w:b/>
          <w:bCs/>
          <w:szCs w:val="24"/>
        </w:rPr>
      </w:pPr>
      <w:r w:rsidRPr="00C63029">
        <w:rPr>
          <w:rFonts w:cs="Times New Roman"/>
          <w:b/>
          <w:bCs/>
          <w:szCs w:val="24"/>
        </w:rPr>
        <w:t xml:space="preserve">RESEARCH QUERIES </w:t>
      </w:r>
    </w:p>
    <w:p w14:paraId="04FD0EBD" w14:textId="2B357705" w:rsidR="009E4760" w:rsidRDefault="009E4760" w:rsidP="009E4760">
      <w:pPr>
        <w:spacing w:after="120" w:line="360" w:lineRule="auto"/>
        <w:jc w:val="both"/>
        <w:rPr>
          <w:rFonts w:cs="Times New Roman"/>
          <w:szCs w:val="24"/>
        </w:rPr>
      </w:pPr>
      <w:r>
        <w:rPr>
          <w:rFonts w:cs="Times New Roman"/>
          <w:szCs w:val="24"/>
        </w:rPr>
        <w:t>To understand the subject matter, t</w:t>
      </w:r>
      <w:r w:rsidRPr="00E672ED">
        <w:rPr>
          <w:rFonts w:cs="Times New Roman"/>
          <w:szCs w:val="24"/>
        </w:rPr>
        <w:t>h</w:t>
      </w:r>
      <w:r>
        <w:rPr>
          <w:rFonts w:cs="Times New Roman"/>
          <w:szCs w:val="24"/>
        </w:rPr>
        <w:t>e</w:t>
      </w:r>
      <w:r w:rsidRPr="00E672ED">
        <w:rPr>
          <w:rFonts w:cs="Times New Roman"/>
          <w:szCs w:val="24"/>
        </w:rPr>
        <w:t xml:space="preserve"> </w:t>
      </w:r>
      <w:r>
        <w:rPr>
          <w:rFonts w:cs="Times New Roman"/>
          <w:szCs w:val="24"/>
        </w:rPr>
        <w:t>study</w:t>
      </w:r>
      <w:r w:rsidRPr="00E672ED">
        <w:rPr>
          <w:rFonts w:cs="Times New Roman"/>
          <w:szCs w:val="24"/>
        </w:rPr>
        <w:t xml:space="preserve"> therefore asks </w:t>
      </w:r>
      <w:r>
        <w:rPr>
          <w:rFonts w:cs="Times New Roman"/>
          <w:szCs w:val="24"/>
        </w:rPr>
        <w:t>these</w:t>
      </w:r>
      <w:r w:rsidRPr="00E672ED">
        <w:rPr>
          <w:rFonts w:cs="Times New Roman"/>
          <w:szCs w:val="24"/>
        </w:rPr>
        <w:t xml:space="preserve"> practical question</w:t>
      </w:r>
      <w:r>
        <w:rPr>
          <w:rFonts w:cs="Times New Roman"/>
          <w:szCs w:val="24"/>
        </w:rPr>
        <w:t>s</w:t>
      </w:r>
      <w:r w:rsidRPr="00E672ED">
        <w:rPr>
          <w:rFonts w:cs="Times New Roman"/>
          <w:szCs w:val="24"/>
        </w:rPr>
        <w:t xml:space="preserve">: </w:t>
      </w:r>
    </w:p>
    <w:p w14:paraId="7B2B2EA4" w14:textId="77777777" w:rsidR="009E4760" w:rsidRDefault="009E4760" w:rsidP="009E4760">
      <w:pPr>
        <w:pStyle w:val="ListParagraph"/>
        <w:numPr>
          <w:ilvl w:val="0"/>
          <w:numId w:val="1"/>
        </w:numPr>
        <w:spacing w:after="120" w:line="360" w:lineRule="auto"/>
        <w:jc w:val="both"/>
        <w:rPr>
          <w:rFonts w:cs="Times New Roman"/>
          <w:szCs w:val="24"/>
        </w:rPr>
      </w:pPr>
      <w:r>
        <w:rPr>
          <w:rFonts w:cs="Times New Roman"/>
          <w:szCs w:val="24"/>
        </w:rPr>
        <w:t>H</w:t>
      </w:r>
      <w:r w:rsidRPr="005C224C">
        <w:rPr>
          <w:rFonts w:cs="Times New Roman"/>
          <w:szCs w:val="24"/>
        </w:rPr>
        <w:t xml:space="preserve">ow can Liberia combat mob justice while rebuilding public trust in formal adjudication? </w:t>
      </w:r>
    </w:p>
    <w:p w14:paraId="42A93C72" w14:textId="77777777" w:rsidR="009E4760" w:rsidRDefault="009E4760" w:rsidP="009E4760">
      <w:pPr>
        <w:pStyle w:val="ListParagraph"/>
        <w:numPr>
          <w:ilvl w:val="0"/>
          <w:numId w:val="1"/>
        </w:numPr>
        <w:spacing w:after="120" w:line="360" w:lineRule="auto"/>
        <w:jc w:val="both"/>
        <w:rPr>
          <w:rFonts w:cs="Times New Roman"/>
          <w:szCs w:val="24"/>
        </w:rPr>
      </w:pPr>
      <w:r w:rsidRPr="005C224C">
        <w:rPr>
          <w:rFonts w:cs="Times New Roman"/>
          <w:szCs w:val="24"/>
        </w:rPr>
        <w:t>What are the greatest logistical or political obstacles preventing the swift prosecution of those who participate in mob violence?</w:t>
      </w:r>
    </w:p>
    <w:p w14:paraId="7180A66C" w14:textId="77777777" w:rsidR="009E4760" w:rsidRDefault="009E4760" w:rsidP="009E4760">
      <w:pPr>
        <w:pStyle w:val="ListParagraph"/>
        <w:numPr>
          <w:ilvl w:val="0"/>
          <w:numId w:val="1"/>
        </w:numPr>
        <w:spacing w:after="120" w:line="360" w:lineRule="auto"/>
        <w:jc w:val="both"/>
        <w:rPr>
          <w:rFonts w:cs="Times New Roman"/>
          <w:szCs w:val="24"/>
        </w:rPr>
      </w:pPr>
      <w:r w:rsidRPr="005C224C">
        <w:rPr>
          <w:rFonts w:cs="Times New Roman"/>
          <w:szCs w:val="24"/>
        </w:rPr>
        <w:t>How does the public’s mistrust in the formal system impact the daily administration of justice in your jurisdiction?</w:t>
      </w:r>
    </w:p>
    <w:p w14:paraId="6F7D623C" w14:textId="77777777" w:rsidR="009E4760" w:rsidRDefault="009E4760" w:rsidP="009E4760">
      <w:pPr>
        <w:pStyle w:val="ListParagraph"/>
        <w:numPr>
          <w:ilvl w:val="0"/>
          <w:numId w:val="1"/>
        </w:numPr>
        <w:spacing w:after="120" w:line="360" w:lineRule="auto"/>
        <w:jc w:val="both"/>
        <w:rPr>
          <w:rFonts w:cs="Times New Roman"/>
          <w:szCs w:val="24"/>
        </w:rPr>
      </w:pPr>
      <w:r w:rsidRPr="005C224C">
        <w:rPr>
          <w:rFonts w:cs="Times New Roman"/>
          <w:szCs w:val="24"/>
        </w:rPr>
        <w:t>To what extent does interference (political or financial) compromise the independence of the courts and fuel public skepticism?</w:t>
      </w:r>
    </w:p>
    <w:p w14:paraId="382E924E" w14:textId="77777777" w:rsidR="009E4760" w:rsidRDefault="009E4760" w:rsidP="009E4760">
      <w:pPr>
        <w:pStyle w:val="ListParagraph"/>
        <w:numPr>
          <w:ilvl w:val="0"/>
          <w:numId w:val="1"/>
        </w:numPr>
        <w:spacing w:after="120" w:line="360" w:lineRule="auto"/>
        <w:jc w:val="both"/>
        <w:rPr>
          <w:rFonts w:cs="Times New Roman"/>
          <w:szCs w:val="24"/>
        </w:rPr>
      </w:pPr>
      <w:r w:rsidRPr="005C224C">
        <w:rPr>
          <w:rFonts w:cs="Times New Roman"/>
          <w:szCs w:val="24"/>
        </w:rPr>
        <w:t>What mechanisms are currently in place to protect civil rights and ensure the accused receive a fair trial, and how can they be improved?</w:t>
      </w:r>
    </w:p>
    <w:p w14:paraId="6DAF9393" w14:textId="77777777" w:rsidR="009E4760" w:rsidRDefault="009E4760" w:rsidP="009E4760">
      <w:pPr>
        <w:pStyle w:val="ListParagraph"/>
        <w:numPr>
          <w:ilvl w:val="0"/>
          <w:numId w:val="1"/>
        </w:numPr>
        <w:spacing w:after="120" w:line="360" w:lineRule="auto"/>
        <w:jc w:val="both"/>
        <w:rPr>
          <w:rFonts w:cs="Times New Roman"/>
          <w:szCs w:val="24"/>
        </w:rPr>
      </w:pPr>
      <w:r w:rsidRPr="005C224C">
        <w:rPr>
          <w:rFonts w:cs="Times New Roman"/>
          <w:szCs w:val="24"/>
        </w:rPr>
        <w:t>How effectively do formal courts coordinate with local customary leaders to resolve disputes before they escalate to violence?</w:t>
      </w:r>
    </w:p>
    <w:p w14:paraId="03BD550F" w14:textId="77777777" w:rsidR="009E4760" w:rsidRDefault="009E4760" w:rsidP="009E4760">
      <w:pPr>
        <w:pStyle w:val="ListParagraph"/>
        <w:numPr>
          <w:ilvl w:val="0"/>
          <w:numId w:val="1"/>
        </w:numPr>
        <w:spacing w:after="120" w:line="360" w:lineRule="auto"/>
        <w:jc w:val="both"/>
        <w:rPr>
          <w:rFonts w:cs="Times New Roman"/>
          <w:szCs w:val="24"/>
        </w:rPr>
      </w:pPr>
      <w:r w:rsidRPr="00FE70B3">
        <w:rPr>
          <w:rFonts w:cs="Times New Roman"/>
          <w:szCs w:val="24"/>
        </w:rPr>
        <w:t>In what ways do extrajudicial mob killings violate both the 1986 Constitution of Liberia and international human rights frameworks?</w:t>
      </w:r>
    </w:p>
    <w:p w14:paraId="1174CE3C" w14:textId="77777777" w:rsidR="009E4760" w:rsidRDefault="009E4760" w:rsidP="009E4760">
      <w:pPr>
        <w:pStyle w:val="ListParagraph"/>
        <w:numPr>
          <w:ilvl w:val="0"/>
          <w:numId w:val="1"/>
        </w:numPr>
        <w:spacing w:after="120" w:line="360" w:lineRule="auto"/>
        <w:jc w:val="both"/>
        <w:rPr>
          <w:rFonts w:cs="Times New Roman"/>
          <w:szCs w:val="24"/>
        </w:rPr>
      </w:pPr>
      <w:r w:rsidRPr="00FE70B3">
        <w:rPr>
          <w:rFonts w:cs="Times New Roman"/>
          <w:szCs w:val="24"/>
        </w:rPr>
        <w:t>How can the government address the socio-economic drivers (such as extreme poverty and unemployment) that fuel both petty crime and community vigilantism?</w:t>
      </w:r>
    </w:p>
    <w:p w14:paraId="49188699" w14:textId="77777777" w:rsidR="009E4760" w:rsidRPr="005C224C" w:rsidRDefault="009E4760" w:rsidP="009E4760">
      <w:pPr>
        <w:pStyle w:val="ListParagraph"/>
        <w:numPr>
          <w:ilvl w:val="0"/>
          <w:numId w:val="1"/>
        </w:numPr>
        <w:spacing w:after="120" w:line="360" w:lineRule="auto"/>
        <w:jc w:val="both"/>
        <w:rPr>
          <w:rFonts w:cs="Times New Roman"/>
          <w:szCs w:val="24"/>
        </w:rPr>
      </w:pPr>
      <w:r w:rsidRPr="00FE70B3">
        <w:rPr>
          <w:rFonts w:cs="Times New Roman"/>
          <w:szCs w:val="24"/>
        </w:rPr>
        <w:lastRenderedPageBreak/>
        <w:t>What has been the measurable impact of past rule-of-law or community-policing interventions in reducing mob violence in specific Liberian counties?</w:t>
      </w:r>
    </w:p>
    <w:p w14:paraId="4CF07B44" w14:textId="77777777" w:rsidR="009E4760" w:rsidRPr="00C63029" w:rsidRDefault="009E4760" w:rsidP="009E4760">
      <w:pPr>
        <w:spacing w:after="120" w:line="360" w:lineRule="auto"/>
        <w:jc w:val="both"/>
        <w:rPr>
          <w:rFonts w:cs="Times New Roman"/>
          <w:b/>
          <w:bCs/>
          <w:szCs w:val="24"/>
        </w:rPr>
      </w:pPr>
      <w:r w:rsidRPr="00C63029">
        <w:rPr>
          <w:rFonts w:cs="Times New Roman"/>
          <w:b/>
          <w:bCs/>
          <w:szCs w:val="24"/>
        </w:rPr>
        <w:t xml:space="preserve">METHODOLOGY </w:t>
      </w:r>
    </w:p>
    <w:p w14:paraId="04A2B880" w14:textId="1083BE7C" w:rsidR="009E4760" w:rsidRDefault="009E4760" w:rsidP="009E4760">
      <w:pPr>
        <w:spacing w:after="120" w:line="360" w:lineRule="auto"/>
        <w:jc w:val="both"/>
        <w:rPr>
          <w:rFonts w:cs="Times New Roman"/>
          <w:szCs w:val="24"/>
        </w:rPr>
      </w:pPr>
      <w:r w:rsidRPr="00E672ED">
        <w:rPr>
          <w:rFonts w:cs="Times New Roman"/>
          <w:szCs w:val="24"/>
        </w:rPr>
        <w:t xml:space="preserve">The </w:t>
      </w:r>
      <w:r>
        <w:rPr>
          <w:rFonts w:cs="Times New Roman"/>
          <w:szCs w:val="24"/>
        </w:rPr>
        <w:t>study</w:t>
      </w:r>
      <w:r w:rsidRPr="00E672ED">
        <w:rPr>
          <w:rFonts w:cs="Times New Roman"/>
          <w:szCs w:val="24"/>
        </w:rPr>
        <w:t xml:space="preserve"> uses a doctrinal and comparative method. It examines constitutional texts, key judicial decisions, international human rights instruments, and policy lessons drawn from the Indian response to mob lynching. It also treats public trust as a legal variable: trust is not an optional moral preference; it is part of the infrastructure of justice. Where citizens believe that the law will not protect them, they may take the law into their own hands. In that sense, mob violence is both a symptom and a cause of rule-of-law failure.</w:t>
      </w:r>
      <w:r>
        <w:rPr>
          <w:rFonts w:cs="Times New Roman"/>
          <w:szCs w:val="24"/>
        </w:rPr>
        <w:t xml:space="preserve"> </w:t>
      </w:r>
      <w:r w:rsidRPr="009E4760">
        <w:rPr>
          <w:rFonts w:cs="Times New Roman"/>
          <w:szCs w:val="24"/>
        </w:rPr>
        <w:t>Similarly, constitutional texts, key judicial decisions, and international human rights instruments serve as primary sources. In contrast, analyses, policy reviews, scholarly texts, and internet resources are employed as secondary sources</w:t>
      </w:r>
      <w:r>
        <w:rPr>
          <w:rFonts w:cs="Times New Roman"/>
          <w:szCs w:val="24"/>
        </w:rPr>
        <w:t xml:space="preserve">. </w:t>
      </w:r>
    </w:p>
    <w:p w14:paraId="1659BE25" w14:textId="630CFF15" w:rsidR="009E4760" w:rsidRPr="00E672ED" w:rsidRDefault="009E4760" w:rsidP="009E4760">
      <w:pPr>
        <w:spacing w:after="120" w:line="360" w:lineRule="auto"/>
        <w:jc w:val="both"/>
        <w:rPr>
          <w:rFonts w:cs="Times New Roman"/>
          <w:b/>
          <w:bCs/>
          <w:szCs w:val="24"/>
        </w:rPr>
      </w:pPr>
      <w:r w:rsidRPr="00E672ED">
        <w:rPr>
          <w:rFonts w:cs="Times New Roman"/>
          <w:b/>
          <w:bCs/>
          <w:szCs w:val="24"/>
        </w:rPr>
        <w:t>MOB VIOLENCE AS A RULE-OF-LAW CRISIS</w:t>
      </w:r>
    </w:p>
    <w:p w14:paraId="0BE05687" w14:textId="77777777" w:rsidR="009E4760" w:rsidRPr="00E672ED" w:rsidRDefault="009E4760" w:rsidP="009E4760">
      <w:pPr>
        <w:spacing w:after="120" w:line="360" w:lineRule="auto"/>
        <w:jc w:val="both"/>
        <w:rPr>
          <w:rFonts w:cs="Times New Roman"/>
          <w:szCs w:val="24"/>
        </w:rPr>
      </w:pPr>
      <w:r w:rsidRPr="00E672ED">
        <w:rPr>
          <w:rFonts w:cs="Times New Roman"/>
          <w:szCs w:val="24"/>
        </w:rPr>
        <w:t>Mob violence is often described as criminal disorder, but that description is too narrow. It is more accurately understood as a breakdown in legal authority. In a functioning legal order, the state claims the exclusive right to investigate, arrest, prosecute, and punish, subject to constitutional restraints. The crowd, by contrast, acts without accountability, without records, and without neutral fact-finding. Its judgment is immediate and irreversible. In many cases, the crowd acts on mistaken identity, rumor, religious or ethnic prejudice, or the emotional contagion that grows when people believe an offense has affronted the whole community. Once the group begins to act as judge and jury, every safeguard of legality is at risk.</w:t>
      </w:r>
    </w:p>
    <w:p w14:paraId="38643EA7" w14:textId="77777777" w:rsidR="009E4760" w:rsidRPr="00E672ED" w:rsidRDefault="009E4760" w:rsidP="009E4760">
      <w:pPr>
        <w:spacing w:after="120" w:line="360" w:lineRule="auto"/>
        <w:jc w:val="both"/>
        <w:rPr>
          <w:rFonts w:cs="Times New Roman"/>
          <w:szCs w:val="24"/>
        </w:rPr>
      </w:pPr>
      <w:r w:rsidRPr="00E672ED">
        <w:rPr>
          <w:rFonts w:cs="Times New Roman"/>
          <w:szCs w:val="24"/>
        </w:rPr>
        <w:t>The harms caused by mob violence are not limited to the immediate physical injury or death of the victim. The practice also damages the legal culture of the society. It teaches witnesses that violence is more effective than complaint. It teaches perpetrators that size, anger, and numbers can outrun accountability. It teaches the state that failure to act can be politically convenient, especially when officers fear backlash or want to avoid the labor of investigation. Over time, a pattern emerges in which formal justice is seen as slow, while violent self-help is seen as decisive. That perception is corrosive even when it is inaccurate, because law relies not only on power but also on legitimacy.</w:t>
      </w:r>
    </w:p>
    <w:p w14:paraId="78C45CB0"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The rule of law requires that legal outcomes be produced through public rules, impartial institutions, and regular procedure. This means, at minimum, notice, hearing, evidence, a neutral </w:t>
      </w:r>
      <w:r w:rsidRPr="00E672ED">
        <w:rPr>
          <w:rFonts w:cs="Times New Roman"/>
          <w:szCs w:val="24"/>
        </w:rPr>
        <w:lastRenderedPageBreak/>
        <w:t>decision-maker, and an opportunity to appeal. Mob violence destroys every one of these elements. It also erases the distinction between suspicion and proof. A man accused of theft may be beaten to death before any recovery of the stolen item is tested. A woman accused of witchcraft may be publicly humiliated because the crowd is more comfortable with superstition than with investigation. A youth suspected of gang activity may be punished for appearance rather than conduct. In each case, the crowd substitutes certainty for process, and certainty becomes a form of violence.</w:t>
      </w:r>
    </w:p>
    <w:p w14:paraId="2024CBD8" w14:textId="77777777" w:rsidR="009E4760" w:rsidRPr="00A33AA6" w:rsidRDefault="009E4760" w:rsidP="009E4760">
      <w:pPr>
        <w:spacing w:after="120" w:line="360" w:lineRule="auto"/>
        <w:jc w:val="both"/>
        <w:rPr>
          <w:rFonts w:cs="Times New Roman"/>
          <w:szCs w:val="24"/>
        </w:rPr>
      </w:pPr>
      <w:r w:rsidRPr="00E672ED">
        <w:rPr>
          <w:rFonts w:cs="Times New Roman"/>
          <w:szCs w:val="24"/>
        </w:rPr>
        <w:t>For that reason, any serious anti-mob strategy must be preventive rather than purely punitive. Arresting a few participants after a lynching is necessary but insufficient. The deeper task is to make lawful intervention more trustworthy than spontaneous violence. That requires police presence, rapid response, accessible complaint mechanisms, reliable prosecution, and civic education. It also requires leaders to stop speaking of alleged offenders as if they are already guilty. Public language matters because mob violence often begins with official carelessness, sensational media reporting, or political speech that licenses suspicion.</w:t>
      </w:r>
      <w:r>
        <w:rPr>
          <w:rFonts w:cs="Times New Roman"/>
          <w:szCs w:val="24"/>
        </w:rPr>
        <w:t xml:space="preserve"> </w:t>
      </w:r>
      <w:r w:rsidRPr="00A33AA6">
        <w:rPr>
          <w:rFonts w:cs="Times New Roman"/>
          <w:iCs/>
          <w:szCs w:val="24"/>
        </w:rPr>
        <w:t>The constitutional foundations for this approach are reflected in Liberia’s due process guarantees and in international norms that prohibit arbitrary deprivation of life and liberty</w:t>
      </w:r>
      <w:r w:rsidRPr="00E672ED">
        <w:rPr>
          <w:rFonts w:cs="Times New Roman"/>
          <w:i/>
          <w:szCs w:val="24"/>
        </w:rPr>
        <w:t>.</w:t>
      </w:r>
      <w:r>
        <w:rPr>
          <w:rStyle w:val="FootnoteReference"/>
          <w:rFonts w:cs="Times New Roman"/>
          <w:i/>
          <w:szCs w:val="24"/>
        </w:rPr>
        <w:footnoteReference w:id="2"/>
      </w:r>
    </w:p>
    <w:p w14:paraId="3EACD358" w14:textId="77777777" w:rsidR="009E4760" w:rsidRPr="00E672ED" w:rsidRDefault="009E4760" w:rsidP="009E4760">
      <w:pPr>
        <w:spacing w:after="120" w:line="360" w:lineRule="auto"/>
        <w:jc w:val="both"/>
        <w:rPr>
          <w:rFonts w:cs="Times New Roman"/>
          <w:b/>
          <w:bCs/>
          <w:szCs w:val="24"/>
        </w:rPr>
      </w:pPr>
      <w:r>
        <w:rPr>
          <w:rFonts w:cs="Times New Roman"/>
          <w:b/>
          <w:bCs/>
          <w:szCs w:val="24"/>
        </w:rPr>
        <w:t>UNCOVERING THE ROOT OF</w:t>
      </w:r>
      <w:r w:rsidRPr="00E672ED">
        <w:rPr>
          <w:rFonts w:cs="Times New Roman"/>
          <w:b/>
          <w:bCs/>
          <w:szCs w:val="24"/>
        </w:rPr>
        <w:t xml:space="preserve"> MOB JUSTICE IN LIBERIA</w:t>
      </w:r>
    </w:p>
    <w:p w14:paraId="0734A174" w14:textId="77777777" w:rsidR="009E4760" w:rsidRPr="00E672ED" w:rsidRDefault="009E4760" w:rsidP="009E4760">
      <w:pPr>
        <w:spacing w:after="120" w:line="360" w:lineRule="auto"/>
        <w:jc w:val="both"/>
        <w:rPr>
          <w:rFonts w:cs="Times New Roman"/>
          <w:szCs w:val="24"/>
        </w:rPr>
      </w:pPr>
      <w:r w:rsidRPr="00E672ED">
        <w:rPr>
          <w:rFonts w:cs="Times New Roman"/>
          <w:szCs w:val="24"/>
        </w:rPr>
        <w:t>Liberia’s vulnerability to mob justice cannot be reduced to a single cause. It is the product of institutional fragility, social memory, and everyday insecurity. Years of civil conflict left a difficult inheritance: public confidence in state institutions is uneven, and many communities still view authority through the lens of survival rather than rights. When the formal system is thought to be slow, inaccessible, or captured by elites, informal punishment appears attractive. The crowd feels immediate; the courtroom feels distant. For a family that believes a thief, rapist, or violent neighbor will be released because of bribery or delay, the temptation to exact instant punishment can be powerful.</w:t>
      </w:r>
    </w:p>
    <w:p w14:paraId="09228163"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This is compounded by uneven policing. Where police lack transport, fuel, forensic capacity, or clear command structures, they may arrive too late to prevent a crowd from taking control. Even when they arrive, a weak investigative culture can encourage compromise rather than firmness. </w:t>
      </w:r>
      <w:r w:rsidRPr="00E672ED">
        <w:rPr>
          <w:rFonts w:cs="Times New Roman"/>
          <w:szCs w:val="24"/>
        </w:rPr>
        <w:lastRenderedPageBreak/>
        <w:t>The result is a dangerous feedback loop: poor policing encourages mob action, and mob action further undermines the authority of police officers who are already overstretched. In some places, the public does not see the police as an impartial guardian but as one more actor in a political or social contest. Once that perception hardens, law enforcement loses the moral capital needed to persuade people to stand down.</w:t>
      </w:r>
    </w:p>
    <w:p w14:paraId="0BCA66D2" w14:textId="77777777" w:rsidR="009E4760" w:rsidRPr="00E672ED" w:rsidRDefault="009E4760" w:rsidP="009E4760">
      <w:pPr>
        <w:spacing w:after="120" w:line="360" w:lineRule="auto"/>
        <w:jc w:val="both"/>
        <w:rPr>
          <w:rFonts w:cs="Times New Roman"/>
          <w:szCs w:val="24"/>
        </w:rPr>
      </w:pPr>
      <w:r w:rsidRPr="00E672ED">
        <w:rPr>
          <w:rFonts w:cs="Times New Roman"/>
          <w:szCs w:val="24"/>
        </w:rPr>
        <w:t>Another source of vulnerability is the social spread of rumor. In communities where social media messages, neighborhood gossip, or oral accusation move faster than fact-checking, a single allegation can trigger collective rage. This is especially true in cases involving child abuse, ritual suspicion, land conflict, sexual violence, or theft, where emotion is already high. The danger is not merely that people believe falsehoods; it is that they think speed is a virtue and that hesitation is weakness. Yet hesitation is precisely what the rule of law requires when human life is at stake. Every system of justice must be willing to pause long enough to test claims, because the cost of error in mob justice is often death.</w:t>
      </w:r>
    </w:p>
    <w:p w14:paraId="6ED72E13" w14:textId="77777777" w:rsidR="009E4760" w:rsidRDefault="009E4760" w:rsidP="009E4760">
      <w:pPr>
        <w:spacing w:after="120" w:line="360" w:lineRule="auto"/>
        <w:jc w:val="both"/>
        <w:rPr>
          <w:rFonts w:cs="Times New Roman"/>
          <w:iCs/>
          <w:szCs w:val="24"/>
        </w:rPr>
      </w:pPr>
      <w:r w:rsidRPr="00E672ED">
        <w:rPr>
          <w:rFonts w:cs="Times New Roman"/>
          <w:szCs w:val="24"/>
        </w:rPr>
        <w:t>There is also a symbolic dimension. Mob violence frequently appears where citizens believe that formal justice has failed to defend ordinary dignity. That sense of exclusion may be especially strong in poor, urban, or peri-urban communities where state presence is thin. The crowd may not be consciously anti-state; rather, it may be impatient with a state that arrives late, speaks in legalistic language, and does not visibly punish wrongdoers. In that sense, mob justice is a political message. It says that public order is available only through self-help. The state must answer that message not only through punishment but through performance. If justice is to be believed, it must be seen.</w:t>
      </w:r>
      <w:r>
        <w:rPr>
          <w:rFonts w:cs="Times New Roman"/>
          <w:szCs w:val="24"/>
        </w:rPr>
        <w:t xml:space="preserve"> </w:t>
      </w:r>
      <w:r w:rsidRPr="0087384D">
        <w:rPr>
          <w:rFonts w:cs="Times New Roman"/>
          <w:iCs/>
          <w:szCs w:val="24"/>
        </w:rPr>
        <w:t>The persistence of this problem also exposes a shortage of reliable complaint mechanisms and victim support, which means that law-abiding people sometimes experience no practical difference between reporting violence and remaining silent.</w:t>
      </w:r>
      <w:r>
        <w:rPr>
          <w:rStyle w:val="FootnoteReference"/>
          <w:rFonts w:cs="Times New Roman"/>
          <w:iCs/>
          <w:szCs w:val="24"/>
        </w:rPr>
        <w:footnoteReference w:id="3"/>
      </w:r>
    </w:p>
    <w:p w14:paraId="500F7A0D" w14:textId="77777777" w:rsidR="009E4760" w:rsidRPr="0042086D" w:rsidRDefault="009E4760" w:rsidP="009E4760">
      <w:pPr>
        <w:spacing w:after="120" w:line="360" w:lineRule="auto"/>
        <w:jc w:val="both"/>
        <w:rPr>
          <w:rFonts w:cs="Times New Roman"/>
          <w:b/>
          <w:bCs/>
          <w:iCs/>
          <w:szCs w:val="24"/>
        </w:rPr>
      </w:pPr>
      <w:r w:rsidRPr="0042086D">
        <w:rPr>
          <w:rFonts w:cs="Times New Roman"/>
          <w:b/>
          <w:bCs/>
          <w:iCs/>
          <w:szCs w:val="24"/>
        </w:rPr>
        <w:t xml:space="preserve">LOGISTICAL AND EVIDENTIARY HINDRANCES </w:t>
      </w:r>
    </w:p>
    <w:p w14:paraId="7CCA14F8" w14:textId="77777777" w:rsidR="009E4760" w:rsidRPr="001B1B1D" w:rsidRDefault="009E4760" w:rsidP="009E4760">
      <w:pPr>
        <w:spacing w:after="120" w:line="360" w:lineRule="auto"/>
        <w:jc w:val="both"/>
        <w:rPr>
          <w:rFonts w:cs="Times New Roman"/>
          <w:szCs w:val="24"/>
        </w:rPr>
      </w:pPr>
      <w:r w:rsidRPr="001B1B1D">
        <w:rPr>
          <w:rFonts w:cs="Times New Roman"/>
          <w:szCs w:val="24"/>
        </w:rPr>
        <w:t xml:space="preserve">The greatest obstacles preventing the swift prosecution of mob violence are the difficulty of assigning individual liability within large crowds, the systemic reluctance or political complicity </w:t>
      </w:r>
      <w:r w:rsidRPr="001B1B1D">
        <w:rPr>
          <w:rFonts w:cs="Times New Roman"/>
          <w:szCs w:val="24"/>
        </w:rPr>
        <w:lastRenderedPageBreak/>
        <w:t xml:space="preserve">of local authorities, the weaponization of social media misinformation, and the general lack of targeted, uniform anti-mob legislation. </w:t>
      </w:r>
    </w:p>
    <w:p w14:paraId="6F935C89" w14:textId="77777777" w:rsidR="009E4760" w:rsidRPr="001B1B1D" w:rsidRDefault="009E4760" w:rsidP="009E4760">
      <w:pPr>
        <w:spacing w:after="120" w:line="360" w:lineRule="auto"/>
        <w:jc w:val="both"/>
        <w:rPr>
          <w:rFonts w:cs="Times New Roman"/>
          <w:szCs w:val="24"/>
        </w:rPr>
      </w:pPr>
      <w:r w:rsidRPr="001B1B1D">
        <w:rPr>
          <w:rFonts w:cs="Times New Roman"/>
          <w:szCs w:val="24"/>
        </w:rPr>
        <w:t>Key logistical and political barriers include:</w:t>
      </w:r>
    </w:p>
    <w:p w14:paraId="0351EA16" w14:textId="77777777" w:rsidR="009E4760" w:rsidRPr="001B1B1D" w:rsidRDefault="009E4760" w:rsidP="009E4760">
      <w:pPr>
        <w:spacing w:after="120" w:line="360" w:lineRule="auto"/>
        <w:jc w:val="both"/>
        <w:rPr>
          <w:rFonts w:cs="Times New Roman"/>
          <w:b/>
          <w:bCs/>
          <w:szCs w:val="24"/>
        </w:rPr>
      </w:pPr>
      <w:r w:rsidRPr="001B1B1D">
        <w:rPr>
          <w:rFonts w:cs="Times New Roman"/>
          <w:b/>
          <w:bCs/>
          <w:szCs w:val="24"/>
        </w:rPr>
        <w:t>1. Logistical and Evidentiary Obstacles</w:t>
      </w:r>
    </w:p>
    <w:p w14:paraId="788DFA46" w14:textId="77777777" w:rsidR="009E4760" w:rsidRPr="001B1B1D" w:rsidRDefault="009E4760" w:rsidP="009E4760">
      <w:pPr>
        <w:numPr>
          <w:ilvl w:val="0"/>
          <w:numId w:val="2"/>
        </w:numPr>
        <w:spacing w:after="120" w:line="360" w:lineRule="auto"/>
        <w:jc w:val="both"/>
        <w:rPr>
          <w:rFonts w:cs="Times New Roman"/>
          <w:szCs w:val="24"/>
        </w:rPr>
      </w:pPr>
      <w:r w:rsidRPr="0042086D">
        <w:rPr>
          <w:rFonts w:cs="Times New Roman"/>
          <w:szCs w:val="24"/>
        </w:rPr>
        <w:t>A major logistical challenge is to e</w:t>
      </w:r>
      <w:r w:rsidRPr="001B1B1D">
        <w:rPr>
          <w:rFonts w:cs="Times New Roman"/>
          <w:szCs w:val="24"/>
        </w:rPr>
        <w:t xml:space="preserve">stablish Individual Liability: Large crowds cause severe “emotional contagion,” making it logistically difficult to identify specific actors, collect independent witness testimonies, and prove individual culpability beyond a reasonable doubt. </w:t>
      </w:r>
      <w:r>
        <w:rPr>
          <w:rFonts w:cs="Times New Roman"/>
          <w:szCs w:val="24"/>
        </w:rPr>
        <w:t xml:space="preserve">Secondly, </w:t>
      </w:r>
      <w:r w:rsidRPr="0042086D">
        <w:rPr>
          <w:rFonts w:cs="Times New Roman"/>
          <w:szCs w:val="24"/>
        </w:rPr>
        <w:t>w</w:t>
      </w:r>
      <w:r w:rsidRPr="001B1B1D">
        <w:rPr>
          <w:rFonts w:cs="Times New Roman"/>
          <w:szCs w:val="24"/>
        </w:rPr>
        <w:t xml:space="preserve">itness </w:t>
      </w:r>
      <w:r w:rsidRPr="0042086D">
        <w:rPr>
          <w:rFonts w:cs="Times New Roman"/>
          <w:szCs w:val="24"/>
        </w:rPr>
        <w:t>i</w:t>
      </w:r>
      <w:r w:rsidRPr="001B1B1D">
        <w:rPr>
          <w:rFonts w:cs="Times New Roman"/>
          <w:szCs w:val="24"/>
        </w:rPr>
        <w:t>ntimidation</w:t>
      </w:r>
      <w:r w:rsidRPr="0042086D">
        <w:rPr>
          <w:rFonts w:cs="Times New Roman"/>
          <w:szCs w:val="24"/>
        </w:rPr>
        <w:t xml:space="preserve"> is another significant hurdle wherein</w:t>
      </w:r>
      <w:r w:rsidRPr="001B1B1D">
        <w:rPr>
          <w:rFonts w:cs="Times New Roman"/>
          <w:szCs w:val="24"/>
        </w:rPr>
        <w:t xml:space="preserve"> </w:t>
      </w:r>
      <w:r w:rsidRPr="0042086D">
        <w:rPr>
          <w:rFonts w:cs="Times New Roman"/>
          <w:szCs w:val="24"/>
        </w:rPr>
        <w:t>w</w:t>
      </w:r>
      <w:r w:rsidRPr="001B1B1D">
        <w:rPr>
          <w:rFonts w:cs="Times New Roman"/>
          <w:szCs w:val="24"/>
        </w:rPr>
        <w:t>itnesses frequently face severe threats of retaliation, forcing them to turn hostile during trials. The rapid circulation of unverified videos and misinformation on encrypted messaging platforms makes tracing the initial instigators of a mob difficult. Local police forces are often under-resourced and lack modern forensic or digital training to handle the scale and complexity of mass-violence investigations.</w:t>
      </w:r>
    </w:p>
    <w:p w14:paraId="79C736AE" w14:textId="77777777" w:rsidR="009E4760" w:rsidRPr="001B1B1D" w:rsidRDefault="009E4760" w:rsidP="009E4760">
      <w:pPr>
        <w:spacing w:after="120" w:line="360" w:lineRule="auto"/>
        <w:jc w:val="both"/>
        <w:rPr>
          <w:rFonts w:cs="Times New Roman"/>
          <w:b/>
          <w:bCs/>
          <w:szCs w:val="24"/>
        </w:rPr>
      </w:pPr>
      <w:r w:rsidRPr="001B1B1D">
        <w:rPr>
          <w:rFonts w:cs="Times New Roman"/>
          <w:b/>
          <w:bCs/>
          <w:szCs w:val="24"/>
        </w:rPr>
        <w:t>2. Political and Structural Obstacles</w:t>
      </w:r>
    </w:p>
    <w:p w14:paraId="6A89ADAA" w14:textId="77777777" w:rsidR="009E4760" w:rsidRPr="0042086D" w:rsidRDefault="009E4760" w:rsidP="009E4760">
      <w:pPr>
        <w:numPr>
          <w:ilvl w:val="0"/>
          <w:numId w:val="3"/>
        </w:numPr>
        <w:spacing w:after="120" w:line="360" w:lineRule="auto"/>
        <w:jc w:val="both"/>
        <w:rPr>
          <w:rFonts w:cs="Times New Roman"/>
          <w:szCs w:val="24"/>
        </w:rPr>
      </w:pPr>
      <w:r w:rsidRPr="001B1B1D">
        <w:rPr>
          <w:rFonts w:cs="Times New Roman"/>
          <w:b/>
          <w:bCs/>
          <w:szCs w:val="24"/>
        </w:rPr>
        <w:t>Political Complicity:</w:t>
      </w:r>
      <w:r w:rsidRPr="001B1B1D">
        <w:rPr>
          <w:rFonts w:cs="Times New Roman"/>
          <w:szCs w:val="24"/>
        </w:rPr>
        <w:t xml:space="preserve"> Mobs are sometimes politically manipulated, backed, or protected by local factions, leading to a culture of impunity. </w:t>
      </w:r>
      <w:r>
        <w:rPr>
          <w:rFonts w:cs="Times New Roman"/>
          <w:szCs w:val="24"/>
        </w:rPr>
        <w:t>“</w:t>
      </w:r>
      <w:r w:rsidRPr="001B1B1D">
        <w:rPr>
          <w:rFonts w:cs="Times New Roman"/>
          <w:szCs w:val="24"/>
        </w:rPr>
        <w:t>Legislative Gaps</w:t>
      </w:r>
      <w:r>
        <w:rPr>
          <w:rFonts w:cs="Times New Roman"/>
          <w:szCs w:val="24"/>
        </w:rPr>
        <w:t>”</w:t>
      </w:r>
      <w:r w:rsidRPr="0042086D">
        <w:rPr>
          <w:rFonts w:cs="Times New Roman"/>
          <w:szCs w:val="24"/>
        </w:rPr>
        <w:t xml:space="preserve"> becomes a major impediment wherein</w:t>
      </w:r>
      <w:r w:rsidRPr="001B1B1D">
        <w:rPr>
          <w:rFonts w:cs="Times New Roman"/>
          <w:szCs w:val="24"/>
        </w:rPr>
        <w:t xml:space="preserve"> </w:t>
      </w:r>
      <w:r w:rsidRPr="0042086D">
        <w:rPr>
          <w:rFonts w:cs="Times New Roman"/>
          <w:szCs w:val="24"/>
        </w:rPr>
        <w:t>t</w:t>
      </w:r>
      <w:r w:rsidRPr="001B1B1D">
        <w:rPr>
          <w:rFonts w:cs="Times New Roman"/>
          <w:szCs w:val="24"/>
        </w:rPr>
        <w:t>he absence of dedicated anti-mob or anti-lynching legislation in many jurisdictions results in forced reliance on broader, general statutes for rioting and unlawful assembly, which carry lower penalties. Prolonged bureaucratic procedures and delayed trial processes cause evidence to degrade, significantly lowering conviction rates</w:t>
      </w:r>
    </w:p>
    <w:p w14:paraId="3ED847B9" w14:textId="77777777" w:rsidR="009E4760" w:rsidRPr="00FE70B3" w:rsidRDefault="009E4760" w:rsidP="009E4760">
      <w:pPr>
        <w:spacing w:after="120" w:line="360" w:lineRule="auto"/>
        <w:jc w:val="both"/>
        <w:rPr>
          <w:rFonts w:cs="Times New Roman"/>
          <w:b/>
          <w:bCs/>
          <w:szCs w:val="24"/>
        </w:rPr>
      </w:pPr>
      <w:r w:rsidRPr="00FE70B3">
        <w:rPr>
          <w:rFonts w:cs="Times New Roman"/>
          <w:b/>
          <w:bCs/>
          <w:szCs w:val="24"/>
        </w:rPr>
        <w:t>LIBERIA’S CONSTITUTIONAL AND STATUTORY FRAMEWORK</w:t>
      </w:r>
    </w:p>
    <w:p w14:paraId="0A444C71" w14:textId="77777777" w:rsidR="009E4760" w:rsidRPr="00E672ED" w:rsidRDefault="009E4760" w:rsidP="009E4760">
      <w:pPr>
        <w:spacing w:after="120" w:line="360" w:lineRule="auto"/>
        <w:jc w:val="both"/>
        <w:rPr>
          <w:rFonts w:cs="Times New Roman"/>
          <w:szCs w:val="24"/>
        </w:rPr>
      </w:pPr>
      <w:r w:rsidRPr="00E672ED">
        <w:rPr>
          <w:rFonts w:cs="Times New Roman"/>
          <w:szCs w:val="24"/>
        </w:rPr>
        <w:t>Liberia already possesses the basic legal vocabulary needed to reject mob justice. The Constitution of the Republic of Liberia protects due process, the security of the person, equality before the law, and the independence of the judiciary. Those guarantees matter because mob punishment is the very opposite of due process. It deprives the accused of lawful hearing, and it deprives society of a neutral answer to a disputed claim. Even where the Constitution does not speak in the language of mob violence, its protection of liberty and dignity leaves no room for public punishment outside the court system.</w:t>
      </w:r>
    </w:p>
    <w:p w14:paraId="7935426B" w14:textId="77777777" w:rsidR="009E4760" w:rsidRPr="00E672ED" w:rsidRDefault="009E4760" w:rsidP="009E4760">
      <w:pPr>
        <w:spacing w:after="120" w:line="360" w:lineRule="auto"/>
        <w:jc w:val="both"/>
        <w:rPr>
          <w:rFonts w:cs="Times New Roman"/>
          <w:szCs w:val="24"/>
        </w:rPr>
      </w:pPr>
      <w:r w:rsidRPr="00E672ED">
        <w:rPr>
          <w:rFonts w:cs="Times New Roman"/>
          <w:szCs w:val="24"/>
        </w:rPr>
        <w:lastRenderedPageBreak/>
        <w:t>The deeper problem is not the absence of constitutional language but the weakness of translation from text to practice. A constitution is not self-executing in societies where courts are under-resourced or police officers lack confidence that magistrates will back lawful action. Liberia’s statutory framework criminalizes homicide, assault, conspiracy, riot, unlawful assembly, and related offenses, all of which can be used against mob participants. Yet general criminal law is often too blunt for prevention. It punishes after the fact but rarely creates the operational discipline needed to stop a crowd before it turns deadly. For that reason, a specific anti-mob violence framework would improve clarity, training, and accountability.</w:t>
      </w:r>
    </w:p>
    <w:p w14:paraId="0B420BFE"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Liberia’s post-conflict legal development also shows why procedure matters. In Williams v. </w:t>
      </w:r>
      <w:proofErr w:type="spellStart"/>
      <w:r w:rsidRPr="00E672ED">
        <w:rPr>
          <w:rFonts w:cs="Times New Roman"/>
          <w:szCs w:val="24"/>
        </w:rPr>
        <w:t>Tah</w:t>
      </w:r>
      <w:proofErr w:type="spellEnd"/>
      <w:r w:rsidRPr="00E672ED">
        <w:rPr>
          <w:rFonts w:cs="Times New Roman"/>
          <w:szCs w:val="24"/>
        </w:rPr>
        <w:t>, the Supreme Court of Liberia treated procedural due process as a substantive constitutional requirement and rejected efforts to impose political disability through extra-judicial means. The point of the decision is broader than the immediate dispute. It reflects a legal culture in which punishment cannot be imposed merely because it is popularly desired. That insight is directly relevant to mob justice. If a government cannot bypass procedure to punish political opponents, neither can a crowd bypass procedure to punish a suspect. Law must be lawful even when the public is angry.</w:t>
      </w:r>
    </w:p>
    <w:p w14:paraId="7FD2D255" w14:textId="77777777" w:rsidR="009E4760" w:rsidRPr="00E672ED" w:rsidRDefault="009E4760" w:rsidP="009E4760">
      <w:pPr>
        <w:spacing w:after="120" w:line="360" w:lineRule="auto"/>
        <w:jc w:val="both"/>
        <w:rPr>
          <w:rFonts w:cs="Times New Roman"/>
          <w:szCs w:val="24"/>
        </w:rPr>
      </w:pPr>
      <w:r w:rsidRPr="00E672ED">
        <w:rPr>
          <w:rFonts w:cs="Times New Roman"/>
          <w:szCs w:val="24"/>
        </w:rPr>
        <w:t>The Children’s Law of Liberia is also instructive because it protects bodily integrity and confirms that state protection should extend to vulnerable persons rather than stopping at formal legal categories. Although children are not the only victims of mob violence, the statute is important because it shows that Liberian law already recognizes the idea that physical harm, humiliation, and coercive practices can violate a person’s dignity even when they are defended as cultural or community responses. That principle should be generalized across the criminal justice system. The state must make clear that no social grievance justifies bodily punishment outside court.</w:t>
      </w:r>
    </w:p>
    <w:p w14:paraId="55DBF685" w14:textId="77777777" w:rsidR="009E4760" w:rsidRPr="00E672ED" w:rsidRDefault="009E4760" w:rsidP="009E4760">
      <w:pPr>
        <w:spacing w:after="120" w:line="360" w:lineRule="auto"/>
        <w:jc w:val="both"/>
        <w:rPr>
          <w:rFonts w:cs="Times New Roman"/>
          <w:szCs w:val="24"/>
        </w:rPr>
      </w:pPr>
      <w:r w:rsidRPr="00E672ED">
        <w:rPr>
          <w:rFonts w:cs="Times New Roman"/>
          <w:szCs w:val="24"/>
        </w:rPr>
        <w:t>What Liberia needs, therefore, is not a wholesale reinvention of its legal order but a more decisive alignment between constitutional promise and administrative practice. Police officers should be trained to intervene early, preserve scenes, and separate witnesses. Prosecutors should be required to bring swift and accurate charges. Judges should be empowered to manage urgent criminal matters without sacrificing fairness. Public defenders and legal aid providers should be strengthened so that the community does not associate formal justice with delay and absence. A legal order gains authority when ordinary people believe that it can act before the crowd does.</w:t>
      </w:r>
    </w:p>
    <w:p w14:paraId="728D3F07" w14:textId="77777777" w:rsidR="009E4760" w:rsidRPr="0087384D" w:rsidRDefault="009E4760" w:rsidP="009E4760">
      <w:pPr>
        <w:spacing w:after="120" w:line="360" w:lineRule="auto"/>
        <w:jc w:val="both"/>
        <w:rPr>
          <w:rFonts w:cs="Times New Roman"/>
          <w:iCs/>
          <w:szCs w:val="24"/>
          <w:vertAlign w:val="superscript"/>
        </w:rPr>
      </w:pPr>
      <w:r w:rsidRPr="0087384D">
        <w:rPr>
          <w:rFonts w:cs="Times New Roman"/>
          <w:iCs/>
          <w:szCs w:val="24"/>
        </w:rPr>
        <w:lastRenderedPageBreak/>
        <w:t>These reforms draw strength from the Constitution of Liberia and from the ordinary criminal law already in force, but they would be clearer and more effective if Parliament enacted a direct prohibition on mob violence, mob assault, and extrajudicial punishment.</w:t>
      </w:r>
      <w:r>
        <w:rPr>
          <w:rStyle w:val="FootnoteReference"/>
          <w:rFonts w:cs="Times New Roman"/>
          <w:iCs/>
          <w:szCs w:val="24"/>
        </w:rPr>
        <w:footnoteReference w:id="4"/>
      </w:r>
    </w:p>
    <w:p w14:paraId="2FB7F345" w14:textId="77777777" w:rsidR="009E4760" w:rsidRPr="0037390C" w:rsidRDefault="009E4760" w:rsidP="009E4760">
      <w:pPr>
        <w:spacing w:after="120" w:line="360" w:lineRule="auto"/>
        <w:jc w:val="both"/>
        <w:rPr>
          <w:rFonts w:cs="Times New Roman"/>
          <w:b/>
          <w:bCs/>
          <w:szCs w:val="24"/>
        </w:rPr>
      </w:pPr>
      <w:r w:rsidRPr="0037390C">
        <w:rPr>
          <w:rFonts w:cs="Times New Roman"/>
          <w:b/>
          <w:bCs/>
          <w:szCs w:val="24"/>
        </w:rPr>
        <w:t xml:space="preserve">MOB VIOLENCE: A CONSTITUTIONAL AND LEGAL VIOLATION OF THE LIBERIAN LAW </w:t>
      </w:r>
    </w:p>
    <w:p w14:paraId="3EFC5E21" w14:textId="77777777" w:rsidR="009E4760" w:rsidRPr="0037390C" w:rsidRDefault="009E4760" w:rsidP="009E4760">
      <w:pPr>
        <w:spacing w:after="120" w:line="360" w:lineRule="auto"/>
        <w:jc w:val="both"/>
        <w:rPr>
          <w:rFonts w:cs="Times New Roman"/>
          <w:szCs w:val="24"/>
        </w:rPr>
      </w:pPr>
      <w:r w:rsidRPr="0037390C">
        <w:rPr>
          <w:rFonts w:cs="Times New Roman"/>
          <w:szCs w:val="24"/>
        </w:rPr>
        <w:t xml:space="preserve">Extrajudicial mob killings violate the </w:t>
      </w:r>
      <w:r>
        <w:rPr>
          <w:rFonts w:cs="Times New Roman"/>
          <w:szCs w:val="24"/>
        </w:rPr>
        <w:t xml:space="preserve">1986 Constitution of Liberia </w:t>
      </w:r>
      <w:r w:rsidRPr="0037390C">
        <w:rPr>
          <w:rFonts w:cs="Times New Roman"/>
          <w:szCs w:val="24"/>
        </w:rPr>
        <w:t xml:space="preserve">and international law by completely stripping individuals of their civil rights. These acts circumvent formal legal procedures, violating the constitutional right to </w:t>
      </w:r>
      <w:r w:rsidRPr="0037390C">
        <w:rPr>
          <w:rFonts w:cs="Times New Roman"/>
          <w:b/>
          <w:bCs/>
          <w:szCs w:val="24"/>
        </w:rPr>
        <w:t>due process</w:t>
      </w:r>
      <w:r w:rsidRPr="0037390C">
        <w:rPr>
          <w:rFonts w:cs="Times New Roman"/>
          <w:szCs w:val="24"/>
        </w:rPr>
        <w:t xml:space="preserve"> and universal protections against arbitrary deprivation of life. </w:t>
      </w:r>
    </w:p>
    <w:p w14:paraId="72B3FD70" w14:textId="77777777" w:rsidR="009E4760" w:rsidRPr="0037390C" w:rsidRDefault="009E4760" w:rsidP="009E4760">
      <w:pPr>
        <w:spacing w:after="120" w:line="360" w:lineRule="auto"/>
        <w:jc w:val="both"/>
        <w:rPr>
          <w:rFonts w:cs="Times New Roman"/>
          <w:b/>
          <w:bCs/>
          <w:szCs w:val="24"/>
        </w:rPr>
      </w:pPr>
      <w:r w:rsidRPr="0037390C">
        <w:rPr>
          <w:rFonts w:cs="Times New Roman"/>
          <w:b/>
          <w:bCs/>
          <w:szCs w:val="24"/>
        </w:rPr>
        <w:t>Violations of the 1986 Constitution of Liberia</w:t>
      </w:r>
    </w:p>
    <w:p w14:paraId="7E0EAFA3" w14:textId="77777777" w:rsidR="009E4760" w:rsidRPr="0037390C" w:rsidRDefault="009E4760" w:rsidP="009E4760">
      <w:pPr>
        <w:numPr>
          <w:ilvl w:val="0"/>
          <w:numId w:val="4"/>
        </w:numPr>
        <w:spacing w:after="120" w:line="360" w:lineRule="auto"/>
        <w:jc w:val="both"/>
        <w:rPr>
          <w:rFonts w:cs="Times New Roman"/>
          <w:szCs w:val="24"/>
        </w:rPr>
      </w:pPr>
      <w:r w:rsidRPr="0037390C">
        <w:rPr>
          <w:rFonts w:cs="Times New Roman"/>
          <w:b/>
          <w:bCs/>
          <w:szCs w:val="24"/>
        </w:rPr>
        <w:t>Guarantee of Due Process (Article 20):</w:t>
      </w:r>
      <w:r w:rsidRPr="0037390C">
        <w:rPr>
          <w:rFonts w:cs="Times New Roman"/>
          <w:szCs w:val="24"/>
        </w:rPr>
        <w:t xml:space="preserve"> Mob justice explicitly violates this article, which dictates that no person shall be deprived of life or liberty except as the outcome of a hearing and judgment consistent with the constitution. </w:t>
      </w:r>
    </w:p>
    <w:p w14:paraId="14750D75" w14:textId="77777777" w:rsidR="009E4760" w:rsidRPr="0037390C" w:rsidRDefault="009E4760" w:rsidP="009E4760">
      <w:pPr>
        <w:numPr>
          <w:ilvl w:val="0"/>
          <w:numId w:val="4"/>
        </w:numPr>
        <w:spacing w:after="120" w:line="360" w:lineRule="auto"/>
        <w:jc w:val="both"/>
        <w:rPr>
          <w:rFonts w:cs="Times New Roman"/>
          <w:szCs w:val="24"/>
        </w:rPr>
      </w:pPr>
      <w:r w:rsidRPr="0037390C">
        <w:rPr>
          <w:rFonts w:cs="Times New Roman"/>
          <w:b/>
          <w:bCs/>
          <w:szCs w:val="24"/>
        </w:rPr>
        <w:t>Right to Equal Protection (Article 11c):</w:t>
      </w:r>
      <w:r w:rsidRPr="0037390C">
        <w:rPr>
          <w:rFonts w:cs="Times New Roman"/>
          <w:szCs w:val="24"/>
        </w:rPr>
        <w:t xml:space="preserve"> Mob killings deny individuals the equal protection of the law and the right to be presumed innocent until proven guilty in a court of competent jurisdiction. </w:t>
      </w:r>
    </w:p>
    <w:p w14:paraId="6992041D" w14:textId="77777777" w:rsidR="009E4760" w:rsidRPr="0037390C" w:rsidRDefault="009E4760" w:rsidP="009E4760">
      <w:pPr>
        <w:numPr>
          <w:ilvl w:val="0"/>
          <w:numId w:val="4"/>
        </w:numPr>
        <w:spacing w:after="120" w:line="360" w:lineRule="auto"/>
        <w:jc w:val="both"/>
        <w:rPr>
          <w:rFonts w:cs="Times New Roman"/>
          <w:szCs w:val="24"/>
        </w:rPr>
      </w:pPr>
      <w:r w:rsidRPr="0037390C">
        <w:rPr>
          <w:rFonts w:cs="Times New Roman"/>
          <w:b/>
          <w:bCs/>
          <w:szCs w:val="24"/>
        </w:rPr>
        <w:t>Right to be Informed of Charges (Article 21a):</w:t>
      </w:r>
      <w:r w:rsidRPr="0037390C">
        <w:rPr>
          <w:rFonts w:cs="Times New Roman"/>
          <w:szCs w:val="24"/>
        </w:rPr>
        <w:t xml:space="preserve"> Victims of mob justice are denied the constitutional right to be informed of the nature of the accusation against them, and denied access to legal counsel. </w:t>
      </w:r>
    </w:p>
    <w:p w14:paraId="21B4B8BC" w14:textId="77777777" w:rsidR="009E4760" w:rsidRPr="0037390C" w:rsidRDefault="009E4760" w:rsidP="009E4760">
      <w:pPr>
        <w:spacing w:after="120" w:line="360" w:lineRule="auto"/>
        <w:jc w:val="both"/>
        <w:rPr>
          <w:rFonts w:cs="Times New Roman"/>
          <w:b/>
          <w:bCs/>
          <w:szCs w:val="24"/>
        </w:rPr>
      </w:pPr>
      <w:r w:rsidRPr="0037390C">
        <w:rPr>
          <w:rFonts w:cs="Times New Roman"/>
          <w:b/>
          <w:bCs/>
          <w:szCs w:val="24"/>
        </w:rPr>
        <w:t>Violations of International Human Rights Frameworks</w:t>
      </w:r>
    </w:p>
    <w:p w14:paraId="2D1FC2DD" w14:textId="77777777" w:rsidR="009E4760" w:rsidRPr="0037390C" w:rsidRDefault="009E4760" w:rsidP="009E4760">
      <w:pPr>
        <w:numPr>
          <w:ilvl w:val="0"/>
          <w:numId w:val="5"/>
        </w:numPr>
        <w:spacing w:after="120" w:line="360" w:lineRule="auto"/>
        <w:jc w:val="both"/>
        <w:rPr>
          <w:rFonts w:cs="Times New Roman"/>
          <w:szCs w:val="24"/>
        </w:rPr>
      </w:pPr>
      <w:r w:rsidRPr="0037390C">
        <w:rPr>
          <w:rFonts w:cs="Times New Roman"/>
          <w:b/>
          <w:bCs/>
          <w:szCs w:val="24"/>
        </w:rPr>
        <w:t>The Right to Life:</w:t>
      </w:r>
      <w:r w:rsidRPr="0037390C">
        <w:rPr>
          <w:rFonts w:cs="Times New Roman"/>
          <w:szCs w:val="24"/>
        </w:rPr>
        <w:t xml:space="preserve"> Article 6 of the International Covenant on Civil and Political Rights (ICCPR) establishes that every human being has the inherent right to life, and no one shall be arbitrarily deprived of it.</w:t>
      </w:r>
    </w:p>
    <w:p w14:paraId="36836576" w14:textId="77777777" w:rsidR="009E4760" w:rsidRPr="0037390C" w:rsidRDefault="009E4760" w:rsidP="009E4760">
      <w:pPr>
        <w:numPr>
          <w:ilvl w:val="0"/>
          <w:numId w:val="5"/>
        </w:numPr>
        <w:spacing w:after="120" w:line="360" w:lineRule="auto"/>
        <w:jc w:val="both"/>
        <w:rPr>
          <w:rFonts w:cs="Times New Roman"/>
          <w:szCs w:val="24"/>
        </w:rPr>
      </w:pPr>
      <w:r w:rsidRPr="0037390C">
        <w:rPr>
          <w:rFonts w:cs="Times New Roman"/>
          <w:b/>
          <w:bCs/>
          <w:szCs w:val="24"/>
        </w:rPr>
        <w:t>Prohibition of Torture:</w:t>
      </w:r>
      <w:r w:rsidRPr="0037390C">
        <w:rPr>
          <w:rFonts w:cs="Times New Roman"/>
          <w:szCs w:val="24"/>
        </w:rPr>
        <w:t xml:space="preserve"> Article 7 of the ICCPR and the Universal Declaration of Human Rights (UDHR) prohibit cruel, inhuman, or degrading treatment. Mob killings frequently involve brutal, torturous acts preceding death. </w:t>
      </w:r>
    </w:p>
    <w:p w14:paraId="69D83D27" w14:textId="77777777" w:rsidR="009E4760" w:rsidRPr="0037390C" w:rsidRDefault="009E4760" w:rsidP="009E4760">
      <w:pPr>
        <w:numPr>
          <w:ilvl w:val="0"/>
          <w:numId w:val="5"/>
        </w:numPr>
        <w:spacing w:after="120" w:line="360" w:lineRule="auto"/>
        <w:jc w:val="both"/>
        <w:rPr>
          <w:rFonts w:cs="Times New Roman"/>
          <w:szCs w:val="24"/>
        </w:rPr>
      </w:pPr>
      <w:r w:rsidRPr="0037390C">
        <w:rPr>
          <w:rFonts w:cs="Times New Roman"/>
          <w:b/>
          <w:bCs/>
          <w:szCs w:val="24"/>
        </w:rPr>
        <w:lastRenderedPageBreak/>
        <w:t>Right to a Fair Trial:</w:t>
      </w:r>
      <w:r w:rsidRPr="0037390C">
        <w:rPr>
          <w:rFonts w:cs="Times New Roman"/>
          <w:szCs w:val="24"/>
        </w:rPr>
        <w:t xml:space="preserve"> Article 14 of the ICCPR guarantees the right to a fair and public hearing by a competent, independent, and impartial tribunal. Mob violence denies all judicial guarantees</w:t>
      </w:r>
    </w:p>
    <w:p w14:paraId="27AEE07B" w14:textId="77777777" w:rsidR="009E4760" w:rsidRPr="00FE70B3" w:rsidRDefault="009E4760" w:rsidP="009E4760">
      <w:pPr>
        <w:spacing w:after="120" w:line="360" w:lineRule="auto"/>
        <w:jc w:val="both"/>
        <w:rPr>
          <w:rFonts w:cs="Times New Roman"/>
          <w:b/>
          <w:bCs/>
          <w:szCs w:val="24"/>
        </w:rPr>
      </w:pPr>
      <w:r w:rsidRPr="00FE70B3">
        <w:rPr>
          <w:rFonts w:cs="Times New Roman"/>
          <w:b/>
          <w:bCs/>
          <w:szCs w:val="24"/>
        </w:rPr>
        <w:t>THE INDIAN EXPERIENCE: CONSTITUTIONALISM AGAINST LYNCHING AND VIGILANTISM</w:t>
      </w:r>
    </w:p>
    <w:p w14:paraId="7AE683F4" w14:textId="77777777" w:rsidR="009E4760" w:rsidRPr="00E672ED" w:rsidRDefault="009E4760" w:rsidP="009E4760">
      <w:pPr>
        <w:spacing w:after="120" w:line="360" w:lineRule="auto"/>
        <w:jc w:val="both"/>
        <w:rPr>
          <w:rFonts w:cs="Times New Roman"/>
          <w:szCs w:val="24"/>
        </w:rPr>
      </w:pPr>
      <w:r w:rsidRPr="00E672ED">
        <w:rPr>
          <w:rFonts w:cs="Times New Roman"/>
          <w:szCs w:val="24"/>
        </w:rPr>
        <w:t>India provides one of the most useful comparative models because its constitutional courts have treated mob lynching as a serious failure of public law rather than a sequence of isolated crimes. In Tehseen S. Poonawalla v. Union of India, the Supreme Court described lynching as an affront to the rule of law and directed state governments to take preventive, remedial, and punitive measures. The judgment is important not only for its condemnation of the violence itself but also for its recognition that the state cannot remain passive until bodies fall. It must create a framework of anticipation: intelligence gathering, district-level monitoring, prompt registration of complaints, fast-track trials, compensation, and disciplinary action against negligent officers.</w:t>
      </w:r>
    </w:p>
    <w:p w14:paraId="78612D76" w14:textId="77777777" w:rsidR="009E4760" w:rsidRPr="00E672ED" w:rsidRDefault="009E4760" w:rsidP="009E4760">
      <w:pPr>
        <w:spacing w:after="120" w:line="360" w:lineRule="auto"/>
        <w:jc w:val="both"/>
        <w:rPr>
          <w:rFonts w:cs="Times New Roman"/>
          <w:szCs w:val="24"/>
        </w:rPr>
      </w:pPr>
      <w:r w:rsidRPr="00E672ED">
        <w:rPr>
          <w:rFonts w:cs="Times New Roman"/>
          <w:szCs w:val="24"/>
        </w:rPr>
        <w:t>The value of Tehseen lies in its understanding that mob violence is not cured by after-the-fact moral outrage. The Court required nodal officers, interdepartmental coordination, and public awareness measures because it understood that lynching thrives in administrative silence. In practical terms, the decision shifts the state from a reactive posture to a preventive one. That shift should be central to Liberian reform as well. When a legal system waits until the funeral before responding, it has already conceded too much ground to rumor and violence.</w:t>
      </w:r>
    </w:p>
    <w:p w14:paraId="4319F197"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Other Indian cases reinforce the same general principle. </w:t>
      </w:r>
      <w:r w:rsidRPr="003174F1">
        <w:rPr>
          <w:rFonts w:cs="Times New Roman"/>
          <w:i/>
          <w:iCs/>
          <w:szCs w:val="24"/>
        </w:rPr>
        <w:t>Lalita Kumari v. Government of Uttar Pradesh</w:t>
      </w:r>
      <w:r>
        <w:rPr>
          <w:rStyle w:val="FootnoteReference"/>
          <w:rFonts w:cs="Times New Roman"/>
          <w:i/>
          <w:iCs/>
          <w:szCs w:val="24"/>
        </w:rPr>
        <w:footnoteReference w:id="5"/>
      </w:r>
      <w:r w:rsidRPr="00E672ED">
        <w:rPr>
          <w:rFonts w:cs="Times New Roman"/>
          <w:szCs w:val="24"/>
        </w:rPr>
        <w:t xml:space="preserve"> held that the police must register a first information report when the information discloses a cognizable offense. That rule matters for mob violence because delay in registration often allows evidence to disappear and blame to be distorted. </w:t>
      </w:r>
      <w:r w:rsidRPr="003174F1">
        <w:rPr>
          <w:rFonts w:cs="Times New Roman"/>
          <w:i/>
          <w:iCs/>
          <w:szCs w:val="24"/>
        </w:rPr>
        <w:t xml:space="preserve">D.K. </w:t>
      </w:r>
      <w:proofErr w:type="spellStart"/>
      <w:r w:rsidRPr="003174F1">
        <w:rPr>
          <w:rFonts w:cs="Times New Roman"/>
          <w:i/>
          <w:iCs/>
          <w:szCs w:val="24"/>
        </w:rPr>
        <w:t>Basu</w:t>
      </w:r>
      <w:proofErr w:type="spellEnd"/>
      <w:r w:rsidRPr="003174F1">
        <w:rPr>
          <w:rFonts w:cs="Times New Roman"/>
          <w:i/>
          <w:iCs/>
          <w:szCs w:val="24"/>
        </w:rPr>
        <w:t xml:space="preserve"> v. State of West Bengal</w:t>
      </w:r>
      <w:r>
        <w:rPr>
          <w:rStyle w:val="FootnoteReference"/>
          <w:rFonts w:cs="Times New Roman"/>
          <w:i/>
          <w:iCs/>
          <w:szCs w:val="24"/>
        </w:rPr>
        <w:footnoteReference w:id="6"/>
      </w:r>
      <w:r w:rsidRPr="00E672ED">
        <w:rPr>
          <w:rFonts w:cs="Times New Roman"/>
          <w:szCs w:val="24"/>
        </w:rPr>
        <w:t xml:space="preserve"> insisted on procedural safeguards to prevent abuse in arrest and detention, reminding the state that criminal process must not become a site of further victimization. </w:t>
      </w:r>
      <w:r w:rsidRPr="003174F1">
        <w:rPr>
          <w:rFonts w:cs="Times New Roman"/>
          <w:i/>
          <w:iCs/>
          <w:szCs w:val="24"/>
        </w:rPr>
        <w:t>Maneka Gandhi v. Union of India</w:t>
      </w:r>
      <w:r>
        <w:rPr>
          <w:rStyle w:val="FootnoteReference"/>
          <w:rFonts w:cs="Times New Roman"/>
          <w:i/>
          <w:iCs/>
          <w:szCs w:val="24"/>
        </w:rPr>
        <w:footnoteReference w:id="7"/>
      </w:r>
      <w:r w:rsidRPr="00E672ED">
        <w:rPr>
          <w:rFonts w:cs="Times New Roman"/>
          <w:szCs w:val="24"/>
        </w:rPr>
        <w:t xml:space="preserve"> expanded the idea of procedure itself by requiring that law affecting liberty be fair, just, and </w:t>
      </w:r>
      <w:r w:rsidRPr="00E672ED">
        <w:rPr>
          <w:rFonts w:cs="Times New Roman"/>
          <w:szCs w:val="24"/>
        </w:rPr>
        <w:lastRenderedPageBreak/>
        <w:t>reasonable. Together, these cases supply a legal culture of restraint: the state must not be arbitrary, even when society is afraid.</w:t>
      </w:r>
    </w:p>
    <w:p w14:paraId="55561315"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The Indian Supreme Court has also refused to tolerate the outsourcing of state force to private actors. In </w:t>
      </w:r>
      <w:r w:rsidRPr="00AB2912">
        <w:rPr>
          <w:rFonts w:cs="Times New Roman"/>
          <w:i/>
          <w:iCs/>
          <w:szCs w:val="24"/>
        </w:rPr>
        <w:t>Prakash Singh v. Union of India</w:t>
      </w:r>
      <w:r>
        <w:rPr>
          <w:rStyle w:val="FootnoteReference"/>
          <w:rFonts w:cs="Times New Roman"/>
          <w:i/>
          <w:iCs/>
          <w:szCs w:val="24"/>
        </w:rPr>
        <w:footnoteReference w:id="8"/>
      </w:r>
      <w:r w:rsidRPr="00E672ED">
        <w:rPr>
          <w:rFonts w:cs="Times New Roman"/>
          <w:szCs w:val="24"/>
        </w:rPr>
        <w:t xml:space="preserve">, it pressed for police reform and insulation from political interference. In </w:t>
      </w:r>
      <w:r w:rsidRPr="00AB2912">
        <w:rPr>
          <w:rFonts w:cs="Times New Roman"/>
          <w:i/>
          <w:iCs/>
          <w:szCs w:val="24"/>
        </w:rPr>
        <w:t>Nandini Sundar v. State of Chhattisgarh</w:t>
      </w:r>
      <w:r>
        <w:rPr>
          <w:rStyle w:val="FootnoteReference"/>
          <w:rFonts w:cs="Times New Roman"/>
          <w:i/>
          <w:iCs/>
          <w:szCs w:val="24"/>
        </w:rPr>
        <w:footnoteReference w:id="9"/>
      </w:r>
      <w:r w:rsidRPr="00E672ED">
        <w:rPr>
          <w:rFonts w:cs="Times New Roman"/>
          <w:szCs w:val="24"/>
        </w:rPr>
        <w:t>, it condemned the use of civilian groups as a substitute for professional policing and emphasized that the state cannot delegate coercive power to vigilantes. This is especially relevant to anti-mob policy because mob justice often grows where the line between public authority and informal force becomes blurred. The court’s message is simple: a constitutional state may use force, but it may not surrender force to the crowd.</w:t>
      </w:r>
    </w:p>
    <w:p w14:paraId="6226F5AD"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Finally, </w:t>
      </w:r>
      <w:r w:rsidRPr="00AB2912">
        <w:rPr>
          <w:rFonts w:cs="Times New Roman"/>
          <w:i/>
          <w:iCs/>
          <w:szCs w:val="24"/>
        </w:rPr>
        <w:t>K.S. Puttaswamy v. Union of India</w:t>
      </w:r>
      <w:r>
        <w:rPr>
          <w:rStyle w:val="FootnoteReference"/>
          <w:rFonts w:cs="Times New Roman"/>
          <w:i/>
          <w:iCs/>
          <w:szCs w:val="24"/>
        </w:rPr>
        <w:footnoteReference w:id="10"/>
      </w:r>
      <w:r w:rsidRPr="00E672ED">
        <w:rPr>
          <w:rFonts w:cs="Times New Roman"/>
          <w:szCs w:val="24"/>
        </w:rPr>
        <w:t xml:space="preserve"> adds a deeper theoretical layer. The right to privacy, dignity, and bodily autonomy is not a luxury right reserved for elite disputes; it is the constitutional language through which the body itself is protected from domination. That insight matters in mob violence because every lynching is also an assault on personhood. The victim is stripped of individuality and transformed into a target. Constitutional law must therefore protect not only life in the abstract but human body and identity in concrete terms.</w:t>
      </w:r>
    </w:p>
    <w:p w14:paraId="0BABE104" w14:textId="77777777" w:rsidR="009E4760" w:rsidRPr="00741CDE" w:rsidRDefault="009E4760" w:rsidP="009E4760">
      <w:pPr>
        <w:spacing w:after="120" w:line="360" w:lineRule="auto"/>
        <w:jc w:val="both"/>
        <w:rPr>
          <w:rFonts w:cs="Times New Roman"/>
          <w:iCs/>
          <w:szCs w:val="24"/>
          <w:vertAlign w:val="superscript"/>
        </w:rPr>
      </w:pPr>
      <w:r w:rsidRPr="00741CDE">
        <w:rPr>
          <w:rFonts w:cs="Times New Roman"/>
          <w:iCs/>
          <w:szCs w:val="24"/>
        </w:rPr>
        <w:t>India’s jurisprudence shows that public trust is rebuilt when courts speak clearly, police duties are made mandatory, and governments are judged by measurable compliance rather than by statements of concern</w:t>
      </w:r>
      <w:r>
        <w:rPr>
          <w:rFonts w:cs="Times New Roman"/>
          <w:iCs/>
          <w:szCs w:val="24"/>
        </w:rPr>
        <w:t>.</w:t>
      </w:r>
      <w:r>
        <w:rPr>
          <w:rStyle w:val="FootnoteReference"/>
          <w:rFonts w:cs="Times New Roman"/>
          <w:iCs/>
          <w:szCs w:val="24"/>
        </w:rPr>
        <w:footnoteReference w:id="11"/>
      </w:r>
    </w:p>
    <w:p w14:paraId="5BE410E5" w14:textId="77777777" w:rsidR="009E4760" w:rsidRPr="00E672ED" w:rsidRDefault="009E4760" w:rsidP="009E4760">
      <w:pPr>
        <w:spacing w:after="120" w:line="360" w:lineRule="auto"/>
        <w:jc w:val="both"/>
        <w:rPr>
          <w:rFonts w:cs="Times New Roman"/>
          <w:b/>
          <w:bCs/>
          <w:szCs w:val="24"/>
        </w:rPr>
      </w:pPr>
      <w:r>
        <w:rPr>
          <w:rFonts w:cs="Times New Roman"/>
          <w:b/>
          <w:bCs/>
          <w:szCs w:val="24"/>
        </w:rPr>
        <w:t xml:space="preserve">CROSS-BOARDER MANDATE: </w:t>
      </w:r>
      <w:r w:rsidRPr="00E672ED">
        <w:rPr>
          <w:rFonts w:cs="Times New Roman"/>
          <w:b/>
          <w:bCs/>
          <w:szCs w:val="24"/>
        </w:rPr>
        <w:t>INTERNATIONAL HUMAN RIGHTS STANDARDS</w:t>
      </w:r>
    </w:p>
    <w:p w14:paraId="5769151B"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International law reinforces the conclusion that mob violence cannot be treated as a merely local nuisance. The Universal Declaration of Human Rights protects life, liberty, and security of person; condemns torture and cruel, inhuman, or degrading treatment; and guarantees effective remedy and a fair hearing. The International Covenant on Civil and Political Rights goes further by binding states to respect the right to life, prohibit torture, guard against arbitrary arrest and detention, and </w:t>
      </w:r>
      <w:r w:rsidRPr="00E672ED">
        <w:rPr>
          <w:rFonts w:cs="Times New Roman"/>
          <w:szCs w:val="24"/>
        </w:rPr>
        <w:lastRenderedPageBreak/>
        <w:t>ensure trial by a competent, independent, and impartial tribunal. The African Charter on Human and Peoples’ Rights similarly protects life, dignity, and the right to have one’s cause heard. These are not abstract ideals. They are direct instructions to governments facing public violence: do not permit people to be killed, humiliated, or punished without law.</w:t>
      </w:r>
    </w:p>
    <w:p w14:paraId="755B8692"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The </w:t>
      </w:r>
      <w:r w:rsidRPr="00AB2912">
        <w:rPr>
          <w:rFonts w:cs="Times New Roman"/>
          <w:i/>
          <w:iCs/>
          <w:szCs w:val="24"/>
        </w:rPr>
        <w:t>Maputo Protocol</w:t>
      </w:r>
      <w:r w:rsidRPr="00E672ED">
        <w:rPr>
          <w:rFonts w:cs="Times New Roman"/>
          <w:szCs w:val="24"/>
        </w:rPr>
        <w:t xml:space="preserve"> is especially relevant where mob violence intersects with gendered harm. Women and girls are often targeted by crowds because of accusations of sexual misconduct, witchcraft, adultery, or moral offense. The Protocol’s protection of dignity, health, and bodily integrity helps establish that the state’s duty is not merely to punish violence after it occurs but to create conditions under which women can live free from coercion and public humiliation. This is important in Liberia, where the social cost of reputational violence can be as damaging as physical assault. A legal order that tolerates public degradation will struggle to prevent physical attack.</w:t>
      </w:r>
    </w:p>
    <w:p w14:paraId="5346801B" w14:textId="77777777" w:rsidR="009E4760" w:rsidRPr="00741CDE" w:rsidRDefault="009E4760" w:rsidP="009E4760">
      <w:pPr>
        <w:spacing w:after="120" w:line="360" w:lineRule="auto"/>
        <w:jc w:val="both"/>
        <w:rPr>
          <w:rFonts w:cs="Times New Roman"/>
          <w:szCs w:val="24"/>
        </w:rPr>
      </w:pPr>
      <w:r w:rsidRPr="00E672ED">
        <w:rPr>
          <w:rFonts w:cs="Times New Roman"/>
          <w:szCs w:val="24"/>
        </w:rPr>
        <w:t xml:space="preserve">The </w:t>
      </w:r>
      <w:r w:rsidRPr="00AB2912">
        <w:rPr>
          <w:rFonts w:cs="Times New Roman"/>
          <w:i/>
          <w:iCs/>
          <w:szCs w:val="24"/>
        </w:rPr>
        <w:t>UN Basic Principles on the Use of Force and Firearms</w:t>
      </w:r>
      <w:r w:rsidRPr="00E672ED">
        <w:rPr>
          <w:rFonts w:cs="Times New Roman"/>
          <w:szCs w:val="24"/>
        </w:rPr>
        <w:t xml:space="preserve"> are also useful because they remind law enforcement officials that force must be necessary, proportionate, and controlled. That standard can guide crowd-control responses in mob situations. Police must not panic into excessive violence, but they must also not stand by while a crowd kill. The state’s legitimacy depends on disciplined intervention. The answer to mob violence is not state brutality; it is lawful, trained, accountable protection. That distinction is vital if anti-mob policy is to preserve, rather than damage, public trust.</w:t>
      </w:r>
      <w:r>
        <w:rPr>
          <w:rFonts w:cs="Times New Roman"/>
          <w:szCs w:val="24"/>
        </w:rPr>
        <w:t xml:space="preserve"> </w:t>
      </w:r>
      <w:r w:rsidRPr="00741CDE">
        <w:rPr>
          <w:rFonts w:cs="Times New Roman"/>
          <w:iCs/>
          <w:szCs w:val="24"/>
        </w:rPr>
        <w:t>These instruments support a simple proposition: no community has a legal right to execute suspicion, and no government may preserve peace by tolerating the crowd’s punishment of the vulnerable</w:t>
      </w:r>
      <w:r>
        <w:rPr>
          <w:rFonts w:cs="Times New Roman"/>
          <w:iCs/>
          <w:szCs w:val="24"/>
        </w:rPr>
        <w:t>.</w:t>
      </w:r>
      <w:r>
        <w:rPr>
          <w:rStyle w:val="FootnoteReference"/>
          <w:rFonts w:cs="Times New Roman"/>
          <w:iCs/>
          <w:szCs w:val="24"/>
        </w:rPr>
        <w:footnoteReference w:id="12"/>
      </w:r>
    </w:p>
    <w:p w14:paraId="52AD6965" w14:textId="77777777" w:rsidR="009E4760" w:rsidRPr="00E672ED" w:rsidRDefault="009E4760" w:rsidP="009E4760">
      <w:pPr>
        <w:spacing w:after="120" w:line="360" w:lineRule="auto"/>
        <w:jc w:val="both"/>
        <w:rPr>
          <w:rFonts w:cs="Times New Roman"/>
          <w:b/>
          <w:bCs/>
          <w:szCs w:val="24"/>
        </w:rPr>
      </w:pPr>
      <w:r>
        <w:rPr>
          <w:rFonts w:cs="Times New Roman"/>
          <w:b/>
          <w:bCs/>
          <w:szCs w:val="24"/>
        </w:rPr>
        <w:t xml:space="preserve">PRACTICAL COMPARATIVE LESSONS FROM THE INDIAN JURISPRUDENCE </w:t>
      </w:r>
    </w:p>
    <w:p w14:paraId="61B11C82"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The Indian experience offers Liberia a practical set of lessons. First, the law should name the problem directly. Where mob violence remains hidden inside ordinary assault or murder provisions, the state loses the chance to produce a coherent policy response. Naming the offense as mob violence, vigilantism, or lynching allows the criminal justice system to track patterns, collect data, and assign responsibility across individuals and institutions. Second, prevention must </w:t>
      </w:r>
      <w:r w:rsidRPr="00E672ED">
        <w:rPr>
          <w:rFonts w:cs="Times New Roman"/>
          <w:szCs w:val="24"/>
        </w:rPr>
        <w:lastRenderedPageBreak/>
        <w:t>be built into administration. India’s Tehseen judgment understood that local officials should not wait passively for violence to spread. Liberia could adopt the same instinct through district-level risk monitoring, early-warning systems, and mandatory coordination between police, local authorities, and prosecutors when tensions rise.</w:t>
      </w:r>
    </w:p>
    <w:p w14:paraId="629F98BE" w14:textId="77777777" w:rsidR="009E4760" w:rsidRPr="00E672ED" w:rsidRDefault="009E4760" w:rsidP="009E4760">
      <w:pPr>
        <w:spacing w:after="120" w:line="360" w:lineRule="auto"/>
        <w:jc w:val="both"/>
        <w:rPr>
          <w:rFonts w:cs="Times New Roman"/>
          <w:szCs w:val="24"/>
        </w:rPr>
      </w:pPr>
      <w:r w:rsidRPr="00E672ED">
        <w:rPr>
          <w:rFonts w:cs="Times New Roman"/>
          <w:szCs w:val="24"/>
        </w:rPr>
        <w:t>Third, accountability should reach beyond the direct attackers. Mob violence usually succeeds because someone fails earlier: a police officer ignores a report, a local official spreads rumor, a journalist inflames suspicion, a politician uses angry language, or a prosecutor delays the case until public attention fades. The Indian cases make clear that state responsibility includes training, supervision, and discipline. A legal system that punishes only the final blow but ignores the institutional failures that made the blow possible will repeat the cycle. For Liberia, that means internal police discipline, judicial monitoring, and public reporting on case progress.</w:t>
      </w:r>
    </w:p>
    <w:p w14:paraId="1FB391FC" w14:textId="77777777" w:rsidR="009E4760" w:rsidRPr="00E672ED" w:rsidRDefault="009E4760" w:rsidP="009E4760">
      <w:pPr>
        <w:spacing w:after="120" w:line="360" w:lineRule="auto"/>
        <w:jc w:val="both"/>
        <w:rPr>
          <w:rFonts w:cs="Times New Roman"/>
          <w:szCs w:val="24"/>
        </w:rPr>
      </w:pPr>
      <w:r w:rsidRPr="00E672ED">
        <w:rPr>
          <w:rFonts w:cs="Times New Roman"/>
          <w:szCs w:val="24"/>
        </w:rPr>
        <w:t>Fourth, the remedy should be victim-centered. Compensation matters, but so do medical care, witness protection, psychological support, legal aid, and safe reporting channels. Victims and families often withdraw from the process because they fear retaliation or cannot afford the cost of participation. A trust-building justice system must therefore make itself accessible before, during, and after trial. In India, the Supreme Court’s lynching guidelines emphasized compensation and speedy trial because justice delayed in mob cases can feel like justice denied twice. Liberia should be equally serious.</w:t>
      </w:r>
    </w:p>
    <w:p w14:paraId="46F425AC" w14:textId="77777777" w:rsidR="009E4760" w:rsidRPr="00741CDE" w:rsidRDefault="009E4760" w:rsidP="009E4760">
      <w:pPr>
        <w:spacing w:after="120" w:line="360" w:lineRule="auto"/>
        <w:jc w:val="both"/>
        <w:rPr>
          <w:rFonts w:cs="Times New Roman"/>
          <w:szCs w:val="24"/>
        </w:rPr>
      </w:pPr>
      <w:r w:rsidRPr="00E672ED">
        <w:rPr>
          <w:rFonts w:cs="Times New Roman"/>
          <w:szCs w:val="24"/>
        </w:rPr>
        <w:t>Fifth, the state must not depend on popularity to enforce legality. Crowd anger may be politically useful in the short term, especially where leaders wish to appear tough. But lawful governance cannot depend on emotional approval. The most durable lesson from India is not just that courts can intervene after the fact; it is that courts can shape state behavior in advance. Liberia’s judiciary, legislature, and executive should embrace that preventive vision. A rule-of-law state is not one that merely punishes violence. It is one that makes violence harder to imagine as a public duty.</w:t>
      </w:r>
      <w:r>
        <w:rPr>
          <w:rFonts w:cs="Times New Roman"/>
          <w:szCs w:val="24"/>
        </w:rPr>
        <w:t xml:space="preserve"> </w:t>
      </w:r>
      <w:r w:rsidRPr="00741CDE">
        <w:rPr>
          <w:rFonts w:cs="Times New Roman"/>
          <w:iCs/>
          <w:szCs w:val="24"/>
        </w:rPr>
        <w:t>The comparative point is not that Liberia should copy India word for word, but that it should adapt the logic of preventive constitutional governance to its own legal and social realities</w:t>
      </w:r>
      <w:r>
        <w:rPr>
          <w:rFonts w:cs="Times New Roman"/>
          <w:iCs/>
          <w:szCs w:val="24"/>
        </w:rPr>
        <w:t xml:space="preserve">. </w:t>
      </w:r>
    </w:p>
    <w:p w14:paraId="1F560902" w14:textId="77777777" w:rsidR="009E4760" w:rsidRPr="00E672ED" w:rsidRDefault="009E4760" w:rsidP="009E4760">
      <w:pPr>
        <w:spacing w:after="120" w:line="360" w:lineRule="auto"/>
        <w:jc w:val="both"/>
        <w:rPr>
          <w:rFonts w:cs="Times New Roman"/>
          <w:b/>
          <w:bCs/>
          <w:szCs w:val="24"/>
        </w:rPr>
      </w:pPr>
      <w:r w:rsidRPr="00E672ED">
        <w:rPr>
          <w:rFonts w:cs="Times New Roman"/>
          <w:b/>
          <w:bCs/>
          <w:szCs w:val="24"/>
        </w:rPr>
        <w:t>A PRACTICAL AGENDA FOR COMBATTING MOB VIOLENCE IN LIBERIA</w:t>
      </w:r>
    </w:p>
    <w:p w14:paraId="42A45D2E"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If Liberia is serious about combating mob justice, the response must be multi-layered. A constitutional promise by itself will not stop a crowd in the street. The first reform should be legislative. Parliament should consider a targeted offense of mob violence or extrajudicial </w:t>
      </w:r>
      <w:r w:rsidRPr="00E672ED">
        <w:rPr>
          <w:rFonts w:cs="Times New Roman"/>
          <w:szCs w:val="24"/>
        </w:rPr>
        <w:lastRenderedPageBreak/>
        <w:t>collective punishment, with enhanced penalties where the conduct results in death, grievous bodily harm, or the destruction of property. The statute should also impose duties on law enforcement and prosecutors to respond promptly to imminent crowd violence. Clear statutory language would help police officers, magistrates, and community leaders understand that delay is itself a legal failure when a mob is forming.</w:t>
      </w:r>
    </w:p>
    <w:p w14:paraId="3697842E" w14:textId="77777777" w:rsidR="009E4760" w:rsidRPr="00E672ED" w:rsidRDefault="009E4760" w:rsidP="009E4760">
      <w:pPr>
        <w:spacing w:after="120" w:line="360" w:lineRule="auto"/>
        <w:jc w:val="both"/>
        <w:rPr>
          <w:rFonts w:cs="Times New Roman"/>
          <w:szCs w:val="24"/>
        </w:rPr>
      </w:pPr>
      <w:r w:rsidRPr="00E672ED">
        <w:rPr>
          <w:rFonts w:cs="Times New Roman"/>
          <w:szCs w:val="24"/>
        </w:rPr>
        <w:t>The second reform should be procedural. Every cognizable incident involving serious assault, homicide, abduction, or public beating should be documented immediately, and the police should be required to preserve video, witness statements, and scene evidence before it disappears. Rapid registration matters because mob cases are notorious for confusion, false identification, and witness intimidation. Prosecutors should be mandated to move such cases quickly through pretrial review and to request expedited trial dates where the evidence supports it. Delay should not become a refuge for either the perpetrators or the state.</w:t>
      </w:r>
    </w:p>
    <w:p w14:paraId="6DB6A3B6" w14:textId="77777777" w:rsidR="009E4760" w:rsidRPr="00E672ED" w:rsidRDefault="009E4760" w:rsidP="009E4760">
      <w:pPr>
        <w:spacing w:after="120" w:line="360" w:lineRule="auto"/>
        <w:jc w:val="both"/>
        <w:rPr>
          <w:rFonts w:cs="Times New Roman"/>
          <w:szCs w:val="24"/>
        </w:rPr>
      </w:pPr>
      <w:r w:rsidRPr="00E672ED">
        <w:rPr>
          <w:rFonts w:cs="Times New Roman"/>
          <w:szCs w:val="24"/>
        </w:rPr>
        <w:t>The third reform should be institutional independence. Police reform in Liberia should emphasize professionalism, internal discipline, and a clear separation from partisan influence. Officers who stand by while a mob attacks should face disciplinary review, and in serious cases criminal liability. At the same time, officers who intervene lawfully should be supported rather than abandoned. It is unfair and ineffective to demand courage from the police while providing no legal protection, no equipment, and no command clarity. The state must therefore invest in training, transport, communications, and crowd-management protocols that privilege restraint without surrender.</w:t>
      </w:r>
    </w:p>
    <w:p w14:paraId="12B37681" w14:textId="77777777" w:rsidR="009E4760" w:rsidRPr="00E672ED" w:rsidRDefault="009E4760" w:rsidP="009E4760">
      <w:pPr>
        <w:spacing w:after="120" w:line="360" w:lineRule="auto"/>
        <w:jc w:val="both"/>
        <w:rPr>
          <w:rFonts w:cs="Times New Roman"/>
          <w:szCs w:val="24"/>
        </w:rPr>
      </w:pPr>
      <w:r w:rsidRPr="00E672ED">
        <w:rPr>
          <w:rFonts w:cs="Times New Roman"/>
          <w:szCs w:val="24"/>
        </w:rPr>
        <w:t>The fourth reform should be judicial. Special sessions or fast-track procedures may be necessary in the most serious mob cases, especially where death has occurred or the crowd acted in an organized way. Speed should not come at the expense of fairness; instead, the goal should be to reduce the gap between offense and adjudication. A prolonged trial allows rumors to mutate and public pressure to harden. A visible, respectful, and efficient process communicates that law is still working. Courts should also issue clear reasons in such cases so that communities can see that criminal accountability is evidence-based, not arbitrary.</w:t>
      </w:r>
    </w:p>
    <w:p w14:paraId="09D5F03C" w14:textId="77777777" w:rsidR="009E4760" w:rsidRDefault="009E4760" w:rsidP="009E4760">
      <w:pPr>
        <w:spacing w:after="120" w:line="360" w:lineRule="auto"/>
        <w:jc w:val="both"/>
        <w:rPr>
          <w:rFonts w:cs="Times New Roman"/>
          <w:szCs w:val="24"/>
        </w:rPr>
      </w:pPr>
      <w:r w:rsidRPr="00E672ED">
        <w:rPr>
          <w:rFonts w:cs="Times New Roman"/>
          <w:szCs w:val="24"/>
        </w:rPr>
        <w:t xml:space="preserve">The fifth reform should be civic and educational. Public trust will not return if citizens encounter only police slogans and courtroom formalities. Schools, churches, mosques, traditional authorities, market associations, transport unions, and local media should be engaged in a sustained public </w:t>
      </w:r>
      <w:r w:rsidRPr="00E672ED">
        <w:rPr>
          <w:rFonts w:cs="Times New Roman"/>
          <w:szCs w:val="24"/>
        </w:rPr>
        <w:lastRenderedPageBreak/>
        <w:t>campaign against mob punishment. The message should be plain: suspicion is not proof, anger is not verdict, and the body of a suspected offender is not public property. Such civic work may sound soft, but it is essential. Mob violence is powered by social consent; it can only be defeated if social consent is withdrawn.</w:t>
      </w:r>
    </w:p>
    <w:p w14:paraId="6F6DD834" w14:textId="77777777" w:rsidR="009E4760" w:rsidRPr="00741CDE" w:rsidRDefault="009E4760" w:rsidP="009E4760">
      <w:pPr>
        <w:spacing w:after="120" w:line="360" w:lineRule="auto"/>
        <w:jc w:val="both"/>
        <w:rPr>
          <w:rFonts w:cs="Times New Roman"/>
          <w:iCs/>
          <w:szCs w:val="24"/>
        </w:rPr>
      </w:pPr>
      <w:r w:rsidRPr="00741CDE">
        <w:rPr>
          <w:rFonts w:cs="Times New Roman"/>
          <w:iCs/>
          <w:szCs w:val="24"/>
        </w:rPr>
        <w:t>A stronger anti-mob framework should also include witness protection, legal aid, and a transparent compensation mechanism for victims and survivors, because people trust institutions that do not abandon them after the headlines fade</w:t>
      </w:r>
      <w:r>
        <w:rPr>
          <w:rFonts w:cs="Times New Roman"/>
          <w:i/>
          <w:szCs w:val="24"/>
        </w:rPr>
        <w:t>.</w:t>
      </w:r>
      <w:r>
        <w:rPr>
          <w:rStyle w:val="FootnoteReference"/>
          <w:rFonts w:cs="Times New Roman"/>
          <w:i/>
          <w:szCs w:val="24"/>
        </w:rPr>
        <w:footnoteReference w:id="13"/>
      </w:r>
    </w:p>
    <w:p w14:paraId="640C3BC0" w14:textId="77777777" w:rsidR="009E4760" w:rsidRPr="00E672ED" w:rsidRDefault="009E4760" w:rsidP="009E4760">
      <w:pPr>
        <w:spacing w:after="120" w:line="360" w:lineRule="auto"/>
        <w:jc w:val="both"/>
        <w:rPr>
          <w:rFonts w:cs="Times New Roman"/>
          <w:b/>
          <w:bCs/>
          <w:szCs w:val="24"/>
        </w:rPr>
      </w:pPr>
      <w:r w:rsidRPr="00E672ED">
        <w:rPr>
          <w:rFonts w:cs="Times New Roman"/>
          <w:b/>
          <w:bCs/>
          <w:szCs w:val="24"/>
        </w:rPr>
        <w:t>REBUILDING PUBLIC TRUST IN THE FORMAL JUDICIAL SYSTEM</w:t>
      </w:r>
    </w:p>
    <w:p w14:paraId="445D0E24" w14:textId="77777777" w:rsidR="009E4760" w:rsidRPr="00E672ED" w:rsidRDefault="009E4760" w:rsidP="009E4760">
      <w:pPr>
        <w:spacing w:after="120" w:line="360" w:lineRule="auto"/>
        <w:jc w:val="both"/>
        <w:rPr>
          <w:rFonts w:cs="Times New Roman"/>
          <w:szCs w:val="24"/>
        </w:rPr>
      </w:pPr>
      <w:r w:rsidRPr="00E672ED">
        <w:rPr>
          <w:rFonts w:cs="Times New Roman"/>
          <w:szCs w:val="24"/>
        </w:rPr>
        <w:t>Public trust is often discussed as if it were a public-relations achievement, but in justice administration it is better understood as a consequence of reliable conduct. People trust courts and police when they believe that cases will be taken seriously, procedures will be followed, and outcomes will not depend on the social status of the accused or the victim. In Liberia, rebuilding that trust requires visible fairness. A lawful arrest must be genuinely lawful. A trial must be timely but not hurried into error. Victims must be treated with respect. When citizens see that the formal system is consistent, they are less likely to seek immediate revenge.</w:t>
      </w:r>
    </w:p>
    <w:p w14:paraId="40F4494E" w14:textId="77777777" w:rsidR="009E4760" w:rsidRPr="00E672ED" w:rsidRDefault="009E4760" w:rsidP="009E4760">
      <w:pPr>
        <w:spacing w:after="120" w:line="360" w:lineRule="auto"/>
        <w:jc w:val="both"/>
        <w:rPr>
          <w:rFonts w:cs="Times New Roman"/>
          <w:szCs w:val="24"/>
        </w:rPr>
      </w:pPr>
      <w:r w:rsidRPr="00E672ED">
        <w:rPr>
          <w:rFonts w:cs="Times New Roman"/>
          <w:szCs w:val="24"/>
        </w:rPr>
        <w:t>Transparency is central to this effort. Courts and justice institutions should publish simple data on mob violence reports, arrests, charges, dismissals, convictions, and the average time taken to resolve such cases. Public reporting does not solve every problem, but it changes the atmosphere of impunity. It tells communities that the state is not blind and that its failures can be measured. It also exposes patterns of geographic neglect. If some counties or districts experience repeated mob incidents without response, the state can no longer claim ignorance. Data makes denial harder.</w:t>
      </w:r>
    </w:p>
    <w:p w14:paraId="76AD0116"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Trust also depends on how institutions speak. When officials minimize mob violence as mere disorder or blame victims for provoking a crowd, they undermine the authority they need to preserve. The public listens carefully to tone. A serious state speaks with measured condemnation of violence, respect for suspects’ rights, and empathy for victims. That balance is not weakness; it is the language of lawful power. India’s constitutional courts have repeatedly shown that even </w:t>
      </w:r>
      <w:r w:rsidRPr="00E672ED">
        <w:rPr>
          <w:rFonts w:cs="Times New Roman"/>
          <w:szCs w:val="24"/>
        </w:rPr>
        <w:lastRenderedPageBreak/>
        <w:t>where public anger is intense, the state must continue to sound like a constitutional state. Liberia should cultivate the same habit.</w:t>
      </w:r>
    </w:p>
    <w:p w14:paraId="660F9B55" w14:textId="77777777" w:rsidR="009E4760" w:rsidRPr="00E672ED" w:rsidRDefault="009E4760" w:rsidP="009E4760">
      <w:pPr>
        <w:spacing w:after="120" w:line="360" w:lineRule="auto"/>
        <w:jc w:val="both"/>
        <w:rPr>
          <w:rFonts w:cs="Times New Roman"/>
          <w:szCs w:val="24"/>
        </w:rPr>
      </w:pPr>
      <w:r w:rsidRPr="00E672ED">
        <w:rPr>
          <w:rFonts w:cs="Times New Roman"/>
          <w:szCs w:val="24"/>
        </w:rPr>
        <w:t>Finally, trust must be tied to local engagement. Communities do not rebuild confidence in justice from Monrovia alone. District judges, magistrates, county attorneys, police commanders, traditional leaders, women’s groups, youth groups, and civil society organizations must participate in the reform process. The formal system will be more credible when it no longer feels distant or elite. People are less likely to trust law if law never appears in their language, in their neighborhood, or in their moment of fear. Rebuilding trust is therefore a participatory project, not a memo from the capital.</w:t>
      </w:r>
    </w:p>
    <w:p w14:paraId="7FC6ECE8" w14:textId="77777777" w:rsidR="009E4760" w:rsidRPr="0087384D" w:rsidRDefault="009E4760" w:rsidP="009E4760">
      <w:pPr>
        <w:spacing w:after="120" w:line="360" w:lineRule="auto"/>
        <w:jc w:val="both"/>
        <w:rPr>
          <w:rFonts w:cs="Times New Roman"/>
          <w:iCs/>
          <w:szCs w:val="24"/>
          <w:vertAlign w:val="superscript"/>
        </w:rPr>
      </w:pPr>
      <w:r w:rsidRPr="0087384D">
        <w:rPr>
          <w:rFonts w:cs="Times New Roman"/>
          <w:iCs/>
          <w:szCs w:val="24"/>
        </w:rPr>
        <w:t>When justice becomes visible, predictable, and humane, the crowd loses one of its strongest arguments: that the state is too slow or too indifferent to protect ordinary people.</w:t>
      </w:r>
      <w:r>
        <w:rPr>
          <w:rStyle w:val="FootnoteReference"/>
          <w:rFonts w:cs="Times New Roman"/>
          <w:iCs/>
          <w:szCs w:val="24"/>
        </w:rPr>
        <w:footnoteReference w:id="14"/>
      </w:r>
    </w:p>
    <w:p w14:paraId="0D7B891B" w14:textId="77777777" w:rsidR="009E4760" w:rsidRPr="00E672ED" w:rsidRDefault="009E4760" w:rsidP="009E4760">
      <w:pPr>
        <w:spacing w:after="120" w:line="360" w:lineRule="auto"/>
        <w:jc w:val="both"/>
        <w:rPr>
          <w:rFonts w:cs="Times New Roman"/>
          <w:b/>
          <w:bCs/>
          <w:szCs w:val="24"/>
          <w:vertAlign w:val="superscript"/>
        </w:rPr>
      </w:pPr>
      <w:r w:rsidRPr="00E672ED">
        <w:rPr>
          <w:rFonts w:cs="Times New Roman"/>
          <w:b/>
          <w:bCs/>
          <w:szCs w:val="24"/>
        </w:rPr>
        <w:t>SUGGESTIONS AND CONCLUSION</w:t>
      </w:r>
    </w:p>
    <w:p w14:paraId="574777FF" w14:textId="77777777" w:rsidR="009E4760" w:rsidRPr="00E672ED" w:rsidRDefault="009E4760" w:rsidP="009E4760">
      <w:pPr>
        <w:spacing w:after="120" w:line="360" w:lineRule="auto"/>
        <w:jc w:val="both"/>
        <w:rPr>
          <w:rFonts w:cs="Times New Roman"/>
          <w:szCs w:val="24"/>
        </w:rPr>
      </w:pPr>
      <w:r w:rsidRPr="00E672ED">
        <w:rPr>
          <w:rFonts w:cs="Times New Roman"/>
          <w:szCs w:val="24"/>
        </w:rPr>
        <w:t>Mob violence is not simply an outbreak of public anger; it is a constitutional warning sign. It reveals that citizens no longer believe that law can respond with sufficient speed, integrity, or seriousness. In Liberia, that warning should be taken especially seriously because the social memory of conflict, the weakness of institutions, and the uneven reach of justice make mob punishment more likely to be rationalized as self-help. But self-help is precisely the logic the rule of law must displace. A state that allows the crowd to punish suspects without process is a state that has surrendered one of its core functions.</w:t>
      </w:r>
    </w:p>
    <w:p w14:paraId="6BD34B66" w14:textId="77777777" w:rsidR="009E4760" w:rsidRPr="00E672ED" w:rsidRDefault="009E4760" w:rsidP="009E4760">
      <w:pPr>
        <w:spacing w:after="120" w:line="360" w:lineRule="auto"/>
        <w:jc w:val="both"/>
        <w:rPr>
          <w:rFonts w:cs="Times New Roman"/>
          <w:szCs w:val="24"/>
        </w:rPr>
      </w:pPr>
      <w:r w:rsidRPr="00E672ED">
        <w:rPr>
          <w:rFonts w:cs="Times New Roman"/>
          <w:szCs w:val="24"/>
        </w:rPr>
        <w:t xml:space="preserve">The comparative evidence from India is useful because it demonstrates that constitutional courts can convert principle into administration. Tehseen Poonawalla, Lalita Kumari, D.K. </w:t>
      </w:r>
      <w:proofErr w:type="spellStart"/>
      <w:r w:rsidRPr="00E672ED">
        <w:rPr>
          <w:rFonts w:cs="Times New Roman"/>
          <w:szCs w:val="24"/>
        </w:rPr>
        <w:t>Basu</w:t>
      </w:r>
      <w:proofErr w:type="spellEnd"/>
      <w:r w:rsidRPr="00E672ED">
        <w:rPr>
          <w:rFonts w:cs="Times New Roman"/>
          <w:szCs w:val="24"/>
        </w:rPr>
        <w:t>, Maneka Gandhi, Prakash Singh, Nandini Sundar, and Puttaswamy collectively show that the law can insist on procedure, accountability, and dignity even in moments of public fear. Liberia does not need to copy these cases mechanically. It needs to learn the deeper lesson: law must be organized in advance so that the state can prevent violence, not simply describe it after the fact.</w:t>
      </w:r>
    </w:p>
    <w:p w14:paraId="24007920" w14:textId="77777777" w:rsidR="009E4760" w:rsidRDefault="009E4760" w:rsidP="009E4760">
      <w:pPr>
        <w:spacing w:after="120" w:line="360" w:lineRule="auto"/>
        <w:jc w:val="both"/>
        <w:rPr>
          <w:rFonts w:cs="Times New Roman"/>
          <w:szCs w:val="24"/>
        </w:rPr>
      </w:pPr>
      <w:r w:rsidRPr="00E672ED">
        <w:rPr>
          <w:rFonts w:cs="Times New Roman"/>
          <w:szCs w:val="24"/>
        </w:rPr>
        <w:t xml:space="preserve">A credible anti-mob strategy for Liberia will therefore require legislation, police reform, judicial speed, victim support, public education, and uncompromising political restraint. It will also require </w:t>
      </w:r>
      <w:r w:rsidRPr="00E672ED">
        <w:rPr>
          <w:rFonts w:cs="Times New Roman"/>
          <w:szCs w:val="24"/>
        </w:rPr>
        <w:lastRenderedPageBreak/>
        <w:t>a change in legal imagination. The aim is not only to punish mobs but to make the courtroom more persuasive than the street. That is how public trust is rebuilt. When communities learn that the formal system can hear them, protect them, and decide disputes without favoritism, the attraction of mob justice begins to fade. The rule of law then becomes more than a constitutional phrase. It becomes a social habit.</w:t>
      </w:r>
    </w:p>
    <w:p w14:paraId="413377D9" w14:textId="77777777" w:rsidR="009E4760" w:rsidRPr="00E672ED" w:rsidRDefault="009E4760" w:rsidP="009E4760">
      <w:pPr>
        <w:spacing w:after="120" w:line="360" w:lineRule="auto"/>
        <w:jc w:val="both"/>
        <w:rPr>
          <w:rFonts w:cs="Times New Roman"/>
          <w:b/>
          <w:bCs/>
          <w:szCs w:val="24"/>
        </w:rPr>
      </w:pPr>
      <w:r w:rsidRPr="00E672ED">
        <w:rPr>
          <w:rFonts w:cs="Times New Roman"/>
          <w:b/>
          <w:bCs/>
          <w:szCs w:val="24"/>
        </w:rPr>
        <w:t xml:space="preserve">REFERENCES </w:t>
      </w:r>
    </w:p>
    <w:p w14:paraId="6E8994A6" w14:textId="77777777" w:rsidR="009E4760" w:rsidRPr="00825B35" w:rsidRDefault="009E4760" w:rsidP="009E4760">
      <w:pPr>
        <w:pStyle w:val="ListParagraph"/>
        <w:numPr>
          <w:ilvl w:val="0"/>
          <w:numId w:val="6"/>
        </w:numPr>
        <w:spacing w:after="120" w:line="360" w:lineRule="auto"/>
        <w:jc w:val="both"/>
        <w:rPr>
          <w:rFonts w:cs="Times New Roman"/>
          <w:szCs w:val="24"/>
        </w:rPr>
      </w:pPr>
      <w:bookmarkStart w:id="1" w:name="_Hlk232031775"/>
      <w:r w:rsidRPr="00825B35">
        <w:rPr>
          <w:rFonts w:cs="Times New Roman"/>
          <w:szCs w:val="24"/>
        </w:rPr>
        <w:t>Constitution of the Republic of Liberia arts. 20(a), 21(a) (1986)</w:t>
      </w:r>
      <w:bookmarkEnd w:id="1"/>
      <w:r w:rsidRPr="00825B35">
        <w:rPr>
          <w:rFonts w:cs="Times New Roman"/>
          <w:szCs w:val="24"/>
        </w:rPr>
        <w:t>; International Covenant on Civil and Political Rights arts. 6, 9, 14, Dec. 16, 1966, 999 U.N.T.S. 171; Universal Declaration of Human Rights arts. 3, 5, 8, 10, Dec. 10, 1948; African Charter on Human and Peoples’ Rights arts. 4, 5, 7, June 27, 1981, 1520 U.N.T.S. 217.</w:t>
      </w:r>
    </w:p>
    <w:p w14:paraId="2F1895D3"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International Covenant on Civil and Political Rights arts. 9, 14, Dec. 16, 1966, 999 U.N.T.S. 171; Constitution of the Republic of Liberia art. 20(a) (1986).</w:t>
      </w:r>
    </w:p>
    <w:p w14:paraId="5D387A52"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 xml:space="preserve">Williams v. </w:t>
      </w:r>
      <w:proofErr w:type="spellStart"/>
      <w:r w:rsidRPr="00825B35">
        <w:rPr>
          <w:rFonts w:cs="Times New Roman"/>
          <w:szCs w:val="24"/>
        </w:rPr>
        <w:t>Tah</w:t>
      </w:r>
      <w:proofErr w:type="spellEnd"/>
      <w:r w:rsidRPr="00825B35">
        <w:rPr>
          <w:rFonts w:cs="Times New Roman"/>
          <w:szCs w:val="24"/>
        </w:rPr>
        <w:t>, (Sup. Ct. of Liberia Jan. 2011) (unreported); Constitution of the Republic of Liberia art. 20(a) (1986); Children’s Law of Liberia § 16.15 (2011).</w:t>
      </w:r>
    </w:p>
    <w:p w14:paraId="5AB97E3E"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 xml:space="preserve">Tehseen S. Poonawalla v. Union of India, (2018) 9 S.C.C. 501; Lalita Kumari v. Govt. of Uttar Pradesh, (2014) 2 S.C.C. 1; D.K. </w:t>
      </w:r>
      <w:proofErr w:type="spellStart"/>
      <w:r w:rsidRPr="00825B35">
        <w:rPr>
          <w:rFonts w:cs="Times New Roman"/>
          <w:szCs w:val="24"/>
        </w:rPr>
        <w:t>Basu</w:t>
      </w:r>
      <w:proofErr w:type="spellEnd"/>
      <w:r w:rsidRPr="00825B35">
        <w:rPr>
          <w:rFonts w:cs="Times New Roman"/>
          <w:szCs w:val="24"/>
        </w:rPr>
        <w:t xml:space="preserve"> v. State of W.B., (1997) 1 S.C.C. 416; Maneka Gandhi v. Union of India, (1978) 1 S.C.C. 248; Prakash Singh v. Union of India, (2006) 8 S.C.C. 1; Nandini Sundar v. State of Chhattisgarh, (2011) 7 S.C.C. 547; K.S. Puttaswamy v. Union of India, (2017) 10 S.C.C. 1.</w:t>
      </w:r>
    </w:p>
    <w:p w14:paraId="192D044A"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Universal Declaration of Human Rights arts. 3, 5, 8, 10, Dec. 10, 1948; International Covenant on Civil and Political Rights arts. 6, 7, 9, 14, Dec. 16, 1966, 999 U.N.T.S. 171; African Charter on Human and Peoples’ Rights arts. 4, 5, 7, June 27, 1981, 1520 U.N.T.S. 217; Protocol to the African Charter on Human and Peoples’ Rights on the Rights of Women in Africa arts. 4, 8, 11, July 11, 2003.</w:t>
      </w:r>
    </w:p>
    <w:p w14:paraId="6F0A56B5"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Tehseen S. Poonawalla, (2018) 9 S.C.C. 501; Prakash Singh, (2006) 8 S.C.C. 1; Nandini Sundar, (2011) 7 S.C.C. 547.</w:t>
      </w:r>
    </w:p>
    <w:p w14:paraId="7AAD570F"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 xml:space="preserve">United Nations Basic Principles on the Use of Force and Firearms by Law Enforcement Officials, G.A. Res. 45/166, annex, U.N. Doc. A/RES/45/166 (Dec. 18, 1990); D.K. </w:t>
      </w:r>
      <w:proofErr w:type="spellStart"/>
      <w:r w:rsidRPr="00825B35">
        <w:rPr>
          <w:rFonts w:cs="Times New Roman"/>
          <w:szCs w:val="24"/>
        </w:rPr>
        <w:t>Basu</w:t>
      </w:r>
      <w:proofErr w:type="spellEnd"/>
      <w:r w:rsidRPr="00825B35">
        <w:rPr>
          <w:rFonts w:cs="Times New Roman"/>
          <w:szCs w:val="24"/>
        </w:rPr>
        <w:t>, (1997) 1 S.C.C. 416.</w:t>
      </w:r>
    </w:p>
    <w:p w14:paraId="66F1DDA6" w14:textId="77777777" w:rsidR="009E4760" w:rsidRPr="00825B35" w:rsidRDefault="009E4760" w:rsidP="009E4760">
      <w:pPr>
        <w:pStyle w:val="ListParagraph"/>
        <w:numPr>
          <w:ilvl w:val="0"/>
          <w:numId w:val="6"/>
        </w:numPr>
        <w:spacing w:after="120" w:line="360" w:lineRule="auto"/>
        <w:jc w:val="both"/>
        <w:rPr>
          <w:rFonts w:cs="Times New Roman"/>
          <w:szCs w:val="24"/>
        </w:rPr>
      </w:pPr>
      <w:bookmarkStart w:id="2" w:name="_Hlk232035353"/>
      <w:r w:rsidRPr="00825B35">
        <w:rPr>
          <w:rFonts w:cs="Times New Roman"/>
          <w:szCs w:val="24"/>
        </w:rPr>
        <w:lastRenderedPageBreak/>
        <w:t>For the public trust discussion, see the constitutional logic of Maneka Gandhi, (1978) 1 S.C.C. 248, and the rule-of-law emphasis in Tehseen S. Poonawalla, (2018) 9 S.C.C. 501.</w:t>
      </w:r>
    </w:p>
    <w:bookmarkEnd w:id="2"/>
    <w:p w14:paraId="67D1053D"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African Charter on Human and Peoples’ Rights arts. 4, 5, 7, June 27, 1981, 1520 U.N.T.S. 217.</w:t>
      </w:r>
    </w:p>
    <w:p w14:paraId="58C2F07E"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Children’s Law of Liberia § 16.15 (2011).</w:t>
      </w:r>
    </w:p>
    <w:p w14:paraId="4990EADD"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Constitution of the Republic of Liberia arts. 20(a), 21(a) (1986).</w:t>
      </w:r>
    </w:p>
    <w:p w14:paraId="578EF900"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 xml:space="preserve">D.K. </w:t>
      </w:r>
      <w:proofErr w:type="spellStart"/>
      <w:r w:rsidRPr="00825B35">
        <w:rPr>
          <w:rFonts w:cs="Times New Roman"/>
          <w:szCs w:val="24"/>
        </w:rPr>
        <w:t>Basu</w:t>
      </w:r>
      <w:proofErr w:type="spellEnd"/>
      <w:r w:rsidRPr="00825B35">
        <w:rPr>
          <w:rFonts w:cs="Times New Roman"/>
          <w:szCs w:val="24"/>
        </w:rPr>
        <w:t xml:space="preserve"> v. State of W.B., (1997) 1 S.C.C. 416 (India).</w:t>
      </w:r>
    </w:p>
    <w:p w14:paraId="22F3513D"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International Covenant on Civil and Political Rights arts. 6, 7, 9, 14, Dec. 16, 1966, 999 U.N.T.S. 171.</w:t>
      </w:r>
    </w:p>
    <w:p w14:paraId="6B805BA3"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K.S. Puttaswamy v. Union of India, (2017) 10 S.C.C. 1 (India).</w:t>
      </w:r>
    </w:p>
    <w:p w14:paraId="36486B2F"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Lalita Kumari v. Govt. of Uttar Pradesh, (2014) 2 S.C.C. 1 (India).</w:t>
      </w:r>
    </w:p>
    <w:p w14:paraId="1344C45E"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Maneka Gandhi v. Union of India, (1978) 1 S.C.C. 248 (India).</w:t>
      </w:r>
    </w:p>
    <w:p w14:paraId="502DF8E7"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Nandini Sundar v. State of Chhattisgarh, (2011) 7 S.C.C. 547 (India).</w:t>
      </w:r>
    </w:p>
    <w:p w14:paraId="0EB29CF3"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Prakash Singh v. Union of India, (2006) 8 S.C.C. 1 (India).</w:t>
      </w:r>
    </w:p>
    <w:p w14:paraId="753BC062"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Protocol to the African Charter on Human and Peoples’ Rights on the Rights of Women in Africa arts. 4, 8, 11, July 11, 2003.</w:t>
      </w:r>
    </w:p>
    <w:p w14:paraId="105072F4"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Tehseen S. Poonawalla v. Union of India, (2018) 9 S.C.C. 501 (India).</w:t>
      </w:r>
    </w:p>
    <w:p w14:paraId="7956BE26"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Universal Declaration of Human Rights arts. 3, 5, 8, 10, Dec. 10, 1948.</w:t>
      </w:r>
    </w:p>
    <w:p w14:paraId="0FC9AAE6" w14:textId="77777777" w:rsidR="009E4760" w:rsidRPr="00825B35"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United Nations Basic Principles on the Use of Force and Firearms by Law Enforcement Officials, G.A. Res. 45/166, annex, U.N. Doc. A/RES/45/166 (Dec. 18, 1990).</w:t>
      </w:r>
    </w:p>
    <w:p w14:paraId="6EF435D2" w14:textId="564DF1FE" w:rsidR="009E4760" w:rsidRPr="009E4760" w:rsidRDefault="009E4760" w:rsidP="009E4760">
      <w:pPr>
        <w:pStyle w:val="ListParagraph"/>
        <w:numPr>
          <w:ilvl w:val="0"/>
          <w:numId w:val="6"/>
        </w:numPr>
        <w:spacing w:after="120" w:line="360" w:lineRule="auto"/>
        <w:jc w:val="both"/>
        <w:rPr>
          <w:rFonts w:cs="Times New Roman"/>
          <w:szCs w:val="24"/>
        </w:rPr>
      </w:pPr>
      <w:r w:rsidRPr="00825B35">
        <w:rPr>
          <w:rFonts w:cs="Times New Roman"/>
          <w:szCs w:val="24"/>
        </w:rPr>
        <w:t xml:space="preserve">Williams v. </w:t>
      </w:r>
      <w:proofErr w:type="spellStart"/>
      <w:r w:rsidRPr="00825B35">
        <w:rPr>
          <w:rFonts w:cs="Times New Roman"/>
          <w:szCs w:val="24"/>
        </w:rPr>
        <w:t>Tah</w:t>
      </w:r>
      <w:proofErr w:type="spellEnd"/>
      <w:r w:rsidRPr="00825B35">
        <w:rPr>
          <w:rFonts w:cs="Times New Roman"/>
          <w:szCs w:val="24"/>
        </w:rPr>
        <w:t>, (Sup. Ct. of Liberia Jan. 2011) (unreported).</w:t>
      </w:r>
    </w:p>
    <w:sectPr w:rsidR="009E4760" w:rsidRPr="009E4760"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7DEB5" w14:textId="77777777" w:rsidR="0040039A" w:rsidRDefault="0040039A" w:rsidP="009E4760">
      <w:pPr>
        <w:spacing w:after="0" w:line="240" w:lineRule="auto"/>
      </w:pPr>
      <w:r>
        <w:separator/>
      </w:r>
    </w:p>
  </w:endnote>
  <w:endnote w:type="continuationSeparator" w:id="0">
    <w:p w14:paraId="5CC89E29" w14:textId="77777777" w:rsidR="0040039A" w:rsidRDefault="0040039A" w:rsidP="009E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ADB2" w14:textId="77777777" w:rsidR="0040039A" w:rsidRDefault="0040039A" w:rsidP="009E4760">
      <w:pPr>
        <w:spacing w:after="0" w:line="240" w:lineRule="auto"/>
      </w:pPr>
      <w:r>
        <w:separator/>
      </w:r>
    </w:p>
  </w:footnote>
  <w:footnote w:type="continuationSeparator" w:id="0">
    <w:p w14:paraId="6D9D40DE" w14:textId="77777777" w:rsidR="0040039A" w:rsidRDefault="0040039A" w:rsidP="009E4760">
      <w:pPr>
        <w:spacing w:after="0" w:line="240" w:lineRule="auto"/>
      </w:pPr>
      <w:r>
        <w:continuationSeparator/>
      </w:r>
    </w:p>
  </w:footnote>
  <w:footnote w:id="1">
    <w:p w14:paraId="196B1D95" w14:textId="77777777" w:rsidR="009E4760" w:rsidRPr="00A33AA6" w:rsidRDefault="009E4760" w:rsidP="009E4760">
      <w:pPr>
        <w:pStyle w:val="FootnoteText"/>
      </w:pPr>
      <w:r w:rsidRPr="00A33AA6">
        <w:rPr>
          <w:rStyle w:val="FootnoteReference"/>
        </w:rPr>
        <w:footnoteRef/>
      </w:r>
      <w:r>
        <w:t xml:space="preserve"> </w:t>
      </w:r>
      <w:r w:rsidRPr="00A33AA6">
        <w:t>Tehseen S. Poonawalla v. Union of India</w:t>
      </w:r>
      <w:r>
        <w:t xml:space="preserve"> 2018 AIR 2018 SUPREME COURT 3354</w:t>
      </w:r>
    </w:p>
  </w:footnote>
  <w:footnote w:id="2">
    <w:p w14:paraId="3D5A9028" w14:textId="77777777" w:rsidR="009E4760" w:rsidRDefault="009E4760" w:rsidP="009E4760">
      <w:pPr>
        <w:pStyle w:val="FootnoteText"/>
      </w:pPr>
      <w:r>
        <w:rPr>
          <w:rStyle w:val="FootnoteReference"/>
        </w:rPr>
        <w:footnoteRef/>
      </w:r>
      <w:r>
        <w:t xml:space="preserve"> </w:t>
      </w:r>
      <w:r w:rsidRPr="00FE70B3">
        <w:t>Constitution of the Republic of Liberia arts. 20(a), 21(a) (1986)</w:t>
      </w:r>
    </w:p>
  </w:footnote>
  <w:footnote w:id="3">
    <w:p w14:paraId="56591CC1" w14:textId="77777777" w:rsidR="009E4760" w:rsidRDefault="009E4760" w:rsidP="009E4760">
      <w:pPr>
        <w:pStyle w:val="FootnoteText"/>
      </w:pPr>
      <w:r>
        <w:rPr>
          <w:rStyle w:val="FootnoteReference"/>
        </w:rPr>
        <w:footnoteRef/>
      </w:r>
      <w:r>
        <w:t xml:space="preserve"> </w:t>
      </w:r>
      <w:r w:rsidRPr="0087384D">
        <w:t xml:space="preserve">Williams v. </w:t>
      </w:r>
      <w:proofErr w:type="spellStart"/>
      <w:r w:rsidRPr="0087384D">
        <w:t>Tah</w:t>
      </w:r>
      <w:proofErr w:type="spellEnd"/>
      <w:r w:rsidRPr="0087384D">
        <w:t xml:space="preserve">, (Sup. Ct. of Liberia Jan. 2011) (unreported); </w:t>
      </w:r>
    </w:p>
    <w:p w14:paraId="33B10A3B" w14:textId="77777777" w:rsidR="009E4760" w:rsidRDefault="009E4760" w:rsidP="009E4760">
      <w:pPr>
        <w:pStyle w:val="FootnoteText"/>
      </w:pPr>
      <w:r w:rsidRPr="0087384D">
        <w:t xml:space="preserve">Constitution of the Republic of Liberia art. 20(a) (1986); </w:t>
      </w:r>
    </w:p>
    <w:p w14:paraId="29E2456A" w14:textId="77777777" w:rsidR="009E4760" w:rsidRDefault="009E4760" w:rsidP="009E4760">
      <w:pPr>
        <w:pStyle w:val="FootnoteText"/>
      </w:pPr>
      <w:r w:rsidRPr="0087384D">
        <w:t>Children’s Law of Liberia § 16.15 (2011).</w:t>
      </w:r>
    </w:p>
  </w:footnote>
  <w:footnote w:id="4">
    <w:p w14:paraId="688DAE06" w14:textId="77777777" w:rsidR="009E4760" w:rsidRDefault="009E4760" w:rsidP="009E4760">
      <w:pPr>
        <w:pStyle w:val="FootnoteText"/>
      </w:pPr>
      <w:r>
        <w:rPr>
          <w:rStyle w:val="FootnoteReference"/>
        </w:rPr>
        <w:footnoteRef/>
      </w:r>
      <w:r>
        <w:t xml:space="preserve"> </w:t>
      </w:r>
      <w:r w:rsidRPr="0087384D">
        <w:t xml:space="preserve">Williams v. </w:t>
      </w:r>
      <w:proofErr w:type="spellStart"/>
      <w:r w:rsidRPr="0087384D">
        <w:t>Tah</w:t>
      </w:r>
      <w:proofErr w:type="spellEnd"/>
      <w:r w:rsidRPr="0087384D">
        <w:t>, (Sup. Ct. of Liberia Jan. 2011) (unreported); Constitution of the Republic of Liberia art. 20(a) (1986); Children’s Law of Liberia § 16.15 (2011).</w:t>
      </w:r>
    </w:p>
  </w:footnote>
  <w:footnote w:id="5">
    <w:p w14:paraId="1E5A1711" w14:textId="77777777" w:rsidR="009E4760" w:rsidRPr="003174F1" w:rsidRDefault="009E4760" w:rsidP="009E4760">
      <w:pPr>
        <w:pStyle w:val="FootnoteText"/>
      </w:pPr>
      <w:r w:rsidRPr="003174F1">
        <w:rPr>
          <w:rStyle w:val="FootnoteReference"/>
        </w:rPr>
        <w:footnoteRef/>
      </w:r>
      <w:r w:rsidRPr="003174F1">
        <w:t xml:space="preserve"> Lalita Kumari v. Government of Uttar Pradesh</w:t>
      </w:r>
      <w:r>
        <w:t xml:space="preserve"> 2013 AIR SUPREME COURT 187</w:t>
      </w:r>
    </w:p>
  </w:footnote>
  <w:footnote w:id="6">
    <w:p w14:paraId="01339676" w14:textId="77777777" w:rsidR="009E4760" w:rsidRPr="003174F1" w:rsidRDefault="009E4760" w:rsidP="009E4760">
      <w:pPr>
        <w:pStyle w:val="FootnoteText"/>
      </w:pPr>
      <w:r w:rsidRPr="003174F1">
        <w:rPr>
          <w:rStyle w:val="FootnoteReference"/>
        </w:rPr>
        <w:footnoteRef/>
      </w:r>
      <w:r w:rsidRPr="003174F1">
        <w:t xml:space="preserve"> </w:t>
      </w:r>
      <w:r>
        <w:t xml:space="preserve">Shri </w:t>
      </w:r>
      <w:r w:rsidRPr="003174F1">
        <w:t xml:space="preserve">D.K. </w:t>
      </w:r>
      <w:proofErr w:type="spellStart"/>
      <w:r w:rsidRPr="003174F1">
        <w:t>Basu</w:t>
      </w:r>
      <w:proofErr w:type="spellEnd"/>
      <w:r>
        <w:t>, Ashok K. Johri</w:t>
      </w:r>
      <w:r w:rsidRPr="003174F1">
        <w:t xml:space="preserve"> v. State of West Bengal</w:t>
      </w:r>
      <w:r>
        <w:t>, State of U.P. 1996 AIR 1997 SUPREME COURT 610</w:t>
      </w:r>
    </w:p>
  </w:footnote>
  <w:footnote w:id="7">
    <w:p w14:paraId="331FD195" w14:textId="77777777" w:rsidR="009E4760" w:rsidRPr="003174F1" w:rsidRDefault="009E4760" w:rsidP="009E4760">
      <w:pPr>
        <w:pStyle w:val="FootnoteText"/>
      </w:pPr>
      <w:r w:rsidRPr="003174F1">
        <w:rPr>
          <w:rStyle w:val="FootnoteReference"/>
        </w:rPr>
        <w:footnoteRef/>
      </w:r>
      <w:r w:rsidRPr="003174F1">
        <w:t xml:space="preserve"> Maneka Gandhi v. Union of India</w:t>
      </w:r>
      <w:r>
        <w:t xml:space="preserve"> 1978 AIR 597</w:t>
      </w:r>
    </w:p>
  </w:footnote>
  <w:footnote w:id="8">
    <w:p w14:paraId="66B81B1E" w14:textId="77777777" w:rsidR="009E4760" w:rsidRDefault="009E4760" w:rsidP="009E4760">
      <w:pPr>
        <w:pStyle w:val="FootnoteText"/>
      </w:pPr>
      <w:r>
        <w:rPr>
          <w:rStyle w:val="FootnoteReference"/>
        </w:rPr>
        <w:footnoteRef/>
      </w:r>
      <w:r>
        <w:t xml:space="preserve"> </w:t>
      </w:r>
      <w:r w:rsidRPr="00741CDE">
        <w:t>Prakash Singh v. Union of India, (2006) 8 S.C.C. 1</w:t>
      </w:r>
    </w:p>
  </w:footnote>
  <w:footnote w:id="9">
    <w:p w14:paraId="3FF53902" w14:textId="77777777" w:rsidR="009E4760" w:rsidRDefault="009E4760" w:rsidP="009E4760">
      <w:pPr>
        <w:pStyle w:val="FootnoteText"/>
      </w:pPr>
      <w:r>
        <w:rPr>
          <w:rStyle w:val="FootnoteReference"/>
        </w:rPr>
        <w:footnoteRef/>
      </w:r>
      <w:r>
        <w:t xml:space="preserve"> </w:t>
      </w:r>
      <w:r w:rsidRPr="00741CDE">
        <w:t>Nandini Sundar v. State of Chhattisgarh, (2011) 7 S.C.C. 547</w:t>
      </w:r>
    </w:p>
  </w:footnote>
  <w:footnote w:id="10">
    <w:p w14:paraId="3D98E17C" w14:textId="77777777" w:rsidR="009E4760" w:rsidRDefault="009E4760" w:rsidP="009E4760">
      <w:pPr>
        <w:pStyle w:val="FootnoteText"/>
      </w:pPr>
      <w:r>
        <w:rPr>
          <w:rStyle w:val="FootnoteReference"/>
        </w:rPr>
        <w:footnoteRef/>
      </w:r>
      <w:r>
        <w:t xml:space="preserve"> </w:t>
      </w:r>
      <w:r w:rsidRPr="00741CDE">
        <w:t>K.S. Puttaswamy v. Union of India, (2017) 10 S.C.C. 1</w:t>
      </w:r>
    </w:p>
  </w:footnote>
  <w:footnote w:id="11">
    <w:p w14:paraId="2D0F3122" w14:textId="77777777" w:rsidR="009E4760" w:rsidRDefault="009E4760" w:rsidP="009E4760">
      <w:pPr>
        <w:pStyle w:val="FootnoteText"/>
      </w:pPr>
      <w:r>
        <w:rPr>
          <w:rStyle w:val="FootnoteReference"/>
        </w:rPr>
        <w:footnoteRef/>
      </w:r>
      <w:r>
        <w:t xml:space="preserve"> </w:t>
      </w:r>
      <w:r w:rsidRPr="00741CDE">
        <w:t xml:space="preserve">Tehseen S. Poonawalla v. Union of India, (2018) 9 S.C.C. 501; </w:t>
      </w:r>
    </w:p>
    <w:p w14:paraId="3ADCAC16" w14:textId="77777777" w:rsidR="009E4760" w:rsidRDefault="009E4760" w:rsidP="009E4760">
      <w:pPr>
        <w:pStyle w:val="FootnoteText"/>
      </w:pPr>
      <w:r w:rsidRPr="00741CDE">
        <w:t xml:space="preserve">Lalita Kumari v. Govt. of Uttar Pradesh, (2014) 2 S.C.C. 1; </w:t>
      </w:r>
    </w:p>
    <w:p w14:paraId="3EC28D73" w14:textId="77777777" w:rsidR="009E4760" w:rsidRDefault="009E4760" w:rsidP="009E4760">
      <w:pPr>
        <w:pStyle w:val="FootnoteText"/>
      </w:pPr>
      <w:r w:rsidRPr="00741CDE">
        <w:t xml:space="preserve">D.K. </w:t>
      </w:r>
      <w:proofErr w:type="spellStart"/>
      <w:r w:rsidRPr="00741CDE">
        <w:t>Basu</w:t>
      </w:r>
      <w:proofErr w:type="spellEnd"/>
      <w:r w:rsidRPr="00741CDE">
        <w:t xml:space="preserve"> v. State of W.B., (1997) 1 S.C.C. 416; </w:t>
      </w:r>
    </w:p>
    <w:p w14:paraId="48B95D3A" w14:textId="77777777" w:rsidR="009E4760" w:rsidRDefault="009E4760" w:rsidP="009E4760">
      <w:pPr>
        <w:pStyle w:val="FootnoteText"/>
      </w:pPr>
      <w:r w:rsidRPr="00741CDE">
        <w:t xml:space="preserve">Maneka Gandhi v. Union of India, (1978) 1 S.C.C. 248; </w:t>
      </w:r>
    </w:p>
  </w:footnote>
  <w:footnote w:id="12">
    <w:p w14:paraId="0A3A5BDB" w14:textId="77777777" w:rsidR="009E4760" w:rsidRDefault="009E4760" w:rsidP="009E4760">
      <w:pPr>
        <w:pStyle w:val="FootnoteText"/>
      </w:pPr>
      <w:r>
        <w:rPr>
          <w:rStyle w:val="FootnoteReference"/>
        </w:rPr>
        <w:footnoteRef/>
      </w:r>
      <w:r>
        <w:t xml:space="preserve"> </w:t>
      </w:r>
      <w:r w:rsidRPr="00741CDE">
        <w:t xml:space="preserve">Universal Declaration of Human Rights arts. 3, 5, 8, 10, Dec. 10, 1948; </w:t>
      </w:r>
    </w:p>
    <w:p w14:paraId="7BE2959B" w14:textId="77777777" w:rsidR="009E4760" w:rsidRDefault="009E4760" w:rsidP="009E4760">
      <w:pPr>
        <w:pStyle w:val="FootnoteText"/>
      </w:pPr>
      <w:r w:rsidRPr="00741CDE">
        <w:t xml:space="preserve">International Covenant on Civil and Political Rights arts. 6, 7, 9, 14, Dec. 16, 1966, 999 U.N.T.S. 171; </w:t>
      </w:r>
    </w:p>
    <w:p w14:paraId="3E924C3A" w14:textId="77777777" w:rsidR="009E4760" w:rsidRDefault="009E4760" w:rsidP="009E4760">
      <w:pPr>
        <w:pStyle w:val="FootnoteText"/>
      </w:pPr>
      <w:r w:rsidRPr="00741CDE">
        <w:t>African Charter on Human and Peoples’ Rights arts. 4, 5, 7, June 27, 1981, 1520 U.N.T.S. 217;</w:t>
      </w:r>
    </w:p>
    <w:p w14:paraId="0D831CB9" w14:textId="77777777" w:rsidR="009E4760" w:rsidRDefault="009E4760" w:rsidP="009E4760">
      <w:pPr>
        <w:pStyle w:val="FootnoteText"/>
      </w:pPr>
      <w:r w:rsidRPr="00741CDE">
        <w:t>Protocol to the African Charter on Human and Peoples’ Rights on the Rights of Women in Africa arts. 4, 8, 11, July 11, 2003.</w:t>
      </w:r>
    </w:p>
  </w:footnote>
  <w:footnote w:id="13">
    <w:p w14:paraId="79F19BE7" w14:textId="77777777" w:rsidR="009E4760" w:rsidRDefault="009E4760" w:rsidP="009E4760">
      <w:pPr>
        <w:pStyle w:val="FootnoteText"/>
      </w:pPr>
      <w:r>
        <w:rPr>
          <w:rStyle w:val="FootnoteReference"/>
        </w:rPr>
        <w:footnoteRef/>
      </w:r>
      <w:r>
        <w:t xml:space="preserve"> </w:t>
      </w:r>
      <w:r w:rsidRPr="00741CDE">
        <w:t xml:space="preserve">United Nations Basic Principles on the Use of Force and Firearms by Law Enforcement Officials, G.A. Res. 45/166, annex, U.N. Doc. A/RES/45/166 (Dec. 18, 1990); D.K. </w:t>
      </w:r>
      <w:proofErr w:type="spellStart"/>
      <w:r w:rsidRPr="00741CDE">
        <w:t>Basu</w:t>
      </w:r>
      <w:proofErr w:type="spellEnd"/>
      <w:r w:rsidRPr="00741CDE">
        <w:t>, (1997) 1 S.C.C. 416.</w:t>
      </w:r>
    </w:p>
  </w:footnote>
  <w:footnote w:id="14">
    <w:p w14:paraId="44F6DDAF" w14:textId="77777777" w:rsidR="009E4760" w:rsidRDefault="009E4760" w:rsidP="009E4760">
      <w:pPr>
        <w:pStyle w:val="FootnoteText"/>
      </w:pPr>
      <w:r>
        <w:rPr>
          <w:rStyle w:val="FootnoteReference"/>
        </w:rPr>
        <w:footnoteRef/>
      </w:r>
      <w:r>
        <w:t xml:space="preserve"> </w:t>
      </w:r>
      <w:r w:rsidRPr="0087384D">
        <w:t>For the public trust discussion, see the constitutional logic of Maneka Gandhi, (1978) 1 S.C.C. 248, and the rule-of-law emphasis in Tehseen S. Poonawalla, (2018) 9 S.C.C. 501.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7F92"/>
    <w:multiLevelType w:val="hybridMultilevel"/>
    <w:tmpl w:val="91AC0C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36C66"/>
    <w:multiLevelType w:val="multilevel"/>
    <w:tmpl w:val="AC8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36851"/>
    <w:multiLevelType w:val="multilevel"/>
    <w:tmpl w:val="58DC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E0B88"/>
    <w:multiLevelType w:val="multilevel"/>
    <w:tmpl w:val="494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733AF"/>
    <w:multiLevelType w:val="hybridMultilevel"/>
    <w:tmpl w:val="FDB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55F85"/>
    <w:multiLevelType w:val="multilevel"/>
    <w:tmpl w:val="86F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60"/>
    <w:rsid w:val="0040039A"/>
    <w:rsid w:val="009E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99CD"/>
  <w15:chartTrackingRefBased/>
  <w15:docId w15:val="{C7237BD3-3D8A-4CCE-8303-DF60C649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4760"/>
    <w:pPr>
      <w:spacing w:after="200" w:line="276" w:lineRule="auto"/>
    </w:pPr>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760"/>
    <w:pPr>
      <w:spacing w:after="0" w:line="240" w:lineRule="auto"/>
    </w:pPr>
    <w:rPr>
      <w:rFonts w:eastAsiaTheme="minorEastAsia"/>
    </w:rPr>
  </w:style>
  <w:style w:type="paragraph" w:styleId="ListParagraph">
    <w:name w:val="List Paragraph"/>
    <w:basedOn w:val="Normal"/>
    <w:uiPriority w:val="34"/>
    <w:qFormat/>
    <w:rsid w:val="009E4760"/>
    <w:pPr>
      <w:ind w:left="720"/>
      <w:contextualSpacing/>
    </w:pPr>
  </w:style>
  <w:style w:type="paragraph" w:styleId="FootnoteText">
    <w:name w:val="footnote text"/>
    <w:basedOn w:val="Normal"/>
    <w:link w:val="FootnoteTextChar"/>
    <w:uiPriority w:val="99"/>
    <w:semiHidden/>
    <w:unhideWhenUsed/>
    <w:rsid w:val="009E4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760"/>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9E4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5813</Words>
  <Characters>33136</Characters>
  <Application>Microsoft Office Word</Application>
  <DocSecurity>0</DocSecurity>
  <Lines>276</Lines>
  <Paragraphs>77</Paragraphs>
  <ScaleCrop>false</ScaleCrop>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Siryon</dc:creator>
  <cp:keywords/>
  <dc:description/>
  <cp:lastModifiedBy>Sam Siryon</cp:lastModifiedBy>
  <cp:revision>1</cp:revision>
  <dcterms:created xsi:type="dcterms:W3CDTF">2026-06-10T20:53:00Z</dcterms:created>
  <dcterms:modified xsi:type="dcterms:W3CDTF">2026-06-10T20:59:00Z</dcterms:modified>
</cp:coreProperties>
</file>