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8006C" w14:textId="77777777" w:rsidR="00C025B8" w:rsidRPr="00887FC8" w:rsidRDefault="005117E1" w:rsidP="00991CBB">
      <w:pPr>
        <w:spacing w:after="200"/>
        <w:jc w:val="center"/>
        <w:rPr>
          <w:sz w:val="22"/>
          <w:szCs w:val="22"/>
        </w:rPr>
      </w:pPr>
      <w:r w:rsidRPr="00887FC8">
        <w:rPr>
          <w:b/>
          <w:bCs/>
          <w:sz w:val="22"/>
          <w:szCs w:val="22"/>
        </w:rPr>
        <w:t xml:space="preserve">Water Quality Evaluation at the </w:t>
      </w:r>
      <w:proofErr w:type="spellStart"/>
      <w:r w:rsidRPr="00887FC8">
        <w:rPr>
          <w:b/>
          <w:bCs/>
          <w:sz w:val="22"/>
          <w:szCs w:val="22"/>
        </w:rPr>
        <w:t>Tinanan-Kulaman</w:t>
      </w:r>
      <w:proofErr w:type="spellEnd"/>
      <w:r w:rsidRPr="00887FC8">
        <w:rPr>
          <w:b/>
          <w:bCs/>
          <w:sz w:val="22"/>
          <w:szCs w:val="22"/>
        </w:rPr>
        <w:t xml:space="preserve"> River Confluence: A Multi-Site Physicochemical Assessment</w:t>
      </w:r>
    </w:p>
    <w:p w14:paraId="3DD5A3E2" w14:textId="77777777" w:rsidR="00C025B8" w:rsidRPr="00887FC8" w:rsidRDefault="005117E1" w:rsidP="00887FC8">
      <w:pPr>
        <w:spacing w:before="240" w:after="120" w:line="276" w:lineRule="auto"/>
        <w:jc w:val="both"/>
        <w:rPr>
          <w:sz w:val="22"/>
          <w:szCs w:val="22"/>
        </w:rPr>
      </w:pPr>
      <w:bookmarkStart w:id="0" w:name="_GoBack"/>
      <w:bookmarkEnd w:id="0"/>
      <w:r w:rsidRPr="00887FC8">
        <w:rPr>
          <w:b/>
          <w:bCs/>
          <w:sz w:val="22"/>
          <w:szCs w:val="22"/>
        </w:rPr>
        <w:t>Abstract</w:t>
      </w:r>
    </w:p>
    <w:p w14:paraId="47FCFBFA" w14:textId="77777777" w:rsidR="00C025B8" w:rsidRPr="00887FC8" w:rsidRDefault="005117E1" w:rsidP="00887FC8">
      <w:pPr>
        <w:spacing w:after="160" w:line="276" w:lineRule="auto"/>
        <w:jc w:val="both"/>
        <w:rPr>
          <w:sz w:val="22"/>
          <w:szCs w:val="22"/>
        </w:rPr>
      </w:pPr>
      <w:r w:rsidRPr="00887FC8">
        <w:rPr>
          <w:sz w:val="22"/>
          <w:szCs w:val="22"/>
        </w:rPr>
        <w:t xml:space="preserve">This study evaluated the physicochemical water quality parameters at four sampling sites along the confluence of the </w:t>
      </w:r>
      <w:proofErr w:type="spellStart"/>
      <w:r w:rsidRPr="00887FC8">
        <w:rPr>
          <w:sz w:val="22"/>
          <w:szCs w:val="22"/>
        </w:rPr>
        <w:t>Tinanan</w:t>
      </w:r>
      <w:proofErr w:type="spellEnd"/>
      <w:r w:rsidRPr="00887FC8">
        <w:rPr>
          <w:sz w:val="22"/>
          <w:szCs w:val="22"/>
        </w:rPr>
        <w:t xml:space="preserve"> and </w:t>
      </w:r>
      <w:proofErr w:type="spellStart"/>
      <w:r w:rsidRPr="00887FC8">
        <w:rPr>
          <w:sz w:val="22"/>
          <w:szCs w:val="22"/>
        </w:rPr>
        <w:t>Kulaman</w:t>
      </w:r>
      <w:proofErr w:type="spellEnd"/>
      <w:r w:rsidRPr="00887FC8">
        <w:rPr>
          <w:sz w:val="22"/>
          <w:szCs w:val="22"/>
        </w:rPr>
        <w:t xml:space="preserve"> Rivers in Arakan, Cotabato, Philippines. The parameters ass</w:t>
      </w:r>
      <w:r w:rsidRPr="00887FC8">
        <w:rPr>
          <w:sz w:val="22"/>
          <w:szCs w:val="22"/>
        </w:rPr>
        <w:t xml:space="preserve">essed included temperature, electrical conductivity (EC), total dissolved solids (TDS), pH, and salinity. Sampling was conducted on May 30, 2026 at the following sites: Site 1 (50 m upstream of the confluence along the </w:t>
      </w:r>
      <w:proofErr w:type="spellStart"/>
      <w:r w:rsidRPr="00887FC8">
        <w:rPr>
          <w:sz w:val="22"/>
          <w:szCs w:val="22"/>
        </w:rPr>
        <w:t>Tinanan</w:t>
      </w:r>
      <w:proofErr w:type="spellEnd"/>
      <w:r w:rsidRPr="00887FC8">
        <w:rPr>
          <w:sz w:val="22"/>
          <w:szCs w:val="22"/>
        </w:rPr>
        <w:t xml:space="preserve"> River), Site 2 (at the conflu</w:t>
      </w:r>
      <w:r w:rsidRPr="00887FC8">
        <w:rPr>
          <w:sz w:val="22"/>
          <w:szCs w:val="22"/>
        </w:rPr>
        <w:t xml:space="preserve">ence), Site 3 (50 m upstream of the confluence along the </w:t>
      </w:r>
      <w:proofErr w:type="spellStart"/>
      <w:r w:rsidRPr="00887FC8">
        <w:rPr>
          <w:sz w:val="22"/>
          <w:szCs w:val="22"/>
        </w:rPr>
        <w:t>Kulaman</w:t>
      </w:r>
      <w:proofErr w:type="spellEnd"/>
      <w:r w:rsidRPr="00887FC8">
        <w:rPr>
          <w:sz w:val="22"/>
          <w:szCs w:val="22"/>
        </w:rPr>
        <w:t xml:space="preserve"> River), and Site 4 (50 m downstream of the confluence). Three replicate measurements were collected per site using a calibrated pH meter capable of measuring multiple physicochemical paramete</w:t>
      </w:r>
      <w:r w:rsidRPr="00887FC8">
        <w:rPr>
          <w:sz w:val="22"/>
          <w:szCs w:val="22"/>
        </w:rPr>
        <w:t>rs. Mean ± standard deviation values were computed and compared using one-way ANOVA. Results revealed that all physicochemical parameters were within the acceptable limits set by the Department of Environment and Natural Resources (DENR) Administrative Ord</w:t>
      </w:r>
      <w:r w:rsidRPr="00887FC8">
        <w:rPr>
          <w:sz w:val="22"/>
          <w:szCs w:val="22"/>
        </w:rPr>
        <w:t xml:space="preserve">er 2016-08. No significant variation in salinity was observed across all sites. However, notable differences were detected in EC and TDS between the </w:t>
      </w:r>
      <w:proofErr w:type="spellStart"/>
      <w:r w:rsidRPr="00887FC8">
        <w:rPr>
          <w:sz w:val="22"/>
          <w:szCs w:val="22"/>
        </w:rPr>
        <w:t>Tinanan</w:t>
      </w:r>
      <w:proofErr w:type="spellEnd"/>
      <w:r w:rsidRPr="00887FC8">
        <w:rPr>
          <w:sz w:val="22"/>
          <w:szCs w:val="22"/>
        </w:rPr>
        <w:t xml:space="preserve"> River site and the </w:t>
      </w:r>
      <w:proofErr w:type="spellStart"/>
      <w:r w:rsidRPr="00887FC8">
        <w:rPr>
          <w:sz w:val="22"/>
          <w:szCs w:val="22"/>
        </w:rPr>
        <w:t>Kulaman</w:t>
      </w:r>
      <w:proofErr w:type="spellEnd"/>
      <w:r w:rsidRPr="00887FC8">
        <w:rPr>
          <w:sz w:val="22"/>
          <w:szCs w:val="22"/>
        </w:rPr>
        <w:t xml:space="preserve"> River site, reflecting the distinct hydrological characteristics of each</w:t>
      </w:r>
      <w:r w:rsidRPr="00887FC8">
        <w:rPr>
          <w:sz w:val="22"/>
          <w:szCs w:val="22"/>
        </w:rPr>
        <w:t xml:space="preserve"> tributary. The confluence zone exhibited intermediate parameter values, suggesting mixing effects. The findings indicate that both rivers maintain good water quality at the point of confluence, providing baseline data for future long-term monitoring and w</w:t>
      </w:r>
      <w:r w:rsidRPr="00887FC8">
        <w:rPr>
          <w:sz w:val="22"/>
          <w:szCs w:val="22"/>
        </w:rPr>
        <w:t>atershed management.</w:t>
      </w:r>
    </w:p>
    <w:p w14:paraId="4F5B8EB8" w14:textId="77777777" w:rsidR="00C025B8" w:rsidRPr="00887FC8" w:rsidRDefault="005117E1" w:rsidP="00887FC8">
      <w:pPr>
        <w:spacing w:after="160" w:line="276" w:lineRule="auto"/>
        <w:jc w:val="both"/>
        <w:rPr>
          <w:sz w:val="22"/>
          <w:szCs w:val="22"/>
        </w:rPr>
      </w:pPr>
      <w:r w:rsidRPr="00887FC8">
        <w:rPr>
          <w:b/>
          <w:bCs/>
          <w:sz w:val="22"/>
          <w:szCs w:val="22"/>
        </w:rPr>
        <w:t xml:space="preserve">Keywords: </w:t>
      </w:r>
      <w:r w:rsidRPr="00887FC8">
        <w:rPr>
          <w:sz w:val="22"/>
          <w:szCs w:val="22"/>
        </w:rPr>
        <w:t xml:space="preserve">water quality, physicochemical parameters, river confluence, </w:t>
      </w:r>
      <w:proofErr w:type="spellStart"/>
      <w:r w:rsidRPr="00887FC8">
        <w:rPr>
          <w:sz w:val="22"/>
          <w:szCs w:val="22"/>
        </w:rPr>
        <w:t>Tinanan</w:t>
      </w:r>
      <w:proofErr w:type="spellEnd"/>
      <w:r w:rsidRPr="00887FC8">
        <w:rPr>
          <w:sz w:val="22"/>
          <w:szCs w:val="22"/>
        </w:rPr>
        <w:t xml:space="preserve"> River, </w:t>
      </w:r>
      <w:proofErr w:type="spellStart"/>
      <w:r w:rsidRPr="00887FC8">
        <w:rPr>
          <w:sz w:val="22"/>
          <w:szCs w:val="22"/>
        </w:rPr>
        <w:t>Kulaman</w:t>
      </w:r>
      <w:proofErr w:type="spellEnd"/>
      <w:r w:rsidRPr="00887FC8">
        <w:rPr>
          <w:sz w:val="22"/>
          <w:szCs w:val="22"/>
        </w:rPr>
        <w:t xml:space="preserve"> River, TDS, EC, pH, salinity, DENR DAO 2016-08</w:t>
      </w:r>
    </w:p>
    <w:p w14:paraId="067F0E13" w14:textId="77777777" w:rsidR="00C025B8" w:rsidRPr="00887FC8" w:rsidRDefault="005117E1" w:rsidP="00887FC8">
      <w:pPr>
        <w:spacing w:before="240" w:after="120" w:line="276" w:lineRule="auto"/>
        <w:jc w:val="both"/>
        <w:rPr>
          <w:sz w:val="22"/>
          <w:szCs w:val="22"/>
        </w:rPr>
      </w:pPr>
      <w:r w:rsidRPr="00887FC8">
        <w:rPr>
          <w:b/>
          <w:bCs/>
          <w:sz w:val="22"/>
          <w:szCs w:val="22"/>
        </w:rPr>
        <w:t>1. Introduction</w:t>
      </w:r>
    </w:p>
    <w:p w14:paraId="534BB196" w14:textId="77777777" w:rsidR="00C025B8" w:rsidRPr="00887FC8" w:rsidRDefault="005117E1" w:rsidP="00887FC8">
      <w:pPr>
        <w:spacing w:after="160" w:line="276" w:lineRule="auto"/>
        <w:jc w:val="both"/>
        <w:rPr>
          <w:sz w:val="22"/>
          <w:szCs w:val="22"/>
        </w:rPr>
      </w:pPr>
      <w:r w:rsidRPr="00887FC8">
        <w:rPr>
          <w:sz w:val="22"/>
          <w:szCs w:val="22"/>
        </w:rPr>
        <w:t>Freshwater rivers serve as critical ecological and socioeconomic resources, su</w:t>
      </w:r>
      <w:r w:rsidRPr="00887FC8">
        <w:rPr>
          <w:sz w:val="22"/>
          <w:szCs w:val="22"/>
        </w:rPr>
        <w:t>pporting biodiversity, agriculture, and human settlements. The physicochemical characterization of river water is an essential component of environmental monitoring, providing baseline data for assessing water suitability for various uses including irrigat</w:t>
      </w:r>
      <w:r w:rsidRPr="00887FC8">
        <w:rPr>
          <w:sz w:val="22"/>
          <w:szCs w:val="22"/>
        </w:rPr>
        <w:t>ion, domestic supply, and aquatic ecosystem sustainability (Chapman, 1996; Wetzel, 2001).</w:t>
      </w:r>
    </w:p>
    <w:p w14:paraId="19E8BAA9" w14:textId="77777777" w:rsidR="00C025B8" w:rsidRPr="00887FC8" w:rsidRDefault="005117E1" w:rsidP="00887FC8">
      <w:pPr>
        <w:spacing w:after="160" w:line="276" w:lineRule="auto"/>
        <w:jc w:val="both"/>
        <w:rPr>
          <w:sz w:val="22"/>
          <w:szCs w:val="22"/>
        </w:rPr>
      </w:pPr>
      <w:r w:rsidRPr="00887FC8">
        <w:rPr>
          <w:sz w:val="22"/>
          <w:szCs w:val="22"/>
        </w:rPr>
        <w:t>River confluences, where two or more tributaries meet, represent dynamic hydrological zones characterized by complex mixing patterns that influence downstream water q</w:t>
      </w:r>
      <w:r w:rsidRPr="00887FC8">
        <w:rPr>
          <w:sz w:val="22"/>
          <w:szCs w:val="22"/>
        </w:rPr>
        <w:t>uality (Rice et al., 2008). Understanding the physicochemical dynamics at confluence zones is crucial for watershed management and pollution monitoring (Benda et al., 2004).</w:t>
      </w:r>
    </w:p>
    <w:p w14:paraId="104D9FD8" w14:textId="77777777" w:rsidR="00C025B8" w:rsidRPr="00887FC8" w:rsidRDefault="005117E1" w:rsidP="00887FC8">
      <w:pPr>
        <w:spacing w:after="160" w:line="276" w:lineRule="auto"/>
        <w:jc w:val="both"/>
        <w:rPr>
          <w:sz w:val="22"/>
          <w:szCs w:val="22"/>
        </w:rPr>
      </w:pPr>
      <w:r w:rsidRPr="00887FC8">
        <w:rPr>
          <w:sz w:val="22"/>
          <w:szCs w:val="22"/>
        </w:rPr>
        <w:t xml:space="preserve">The </w:t>
      </w:r>
      <w:proofErr w:type="spellStart"/>
      <w:r w:rsidRPr="00887FC8">
        <w:rPr>
          <w:sz w:val="22"/>
          <w:szCs w:val="22"/>
        </w:rPr>
        <w:t>Tinanan</w:t>
      </w:r>
      <w:proofErr w:type="spellEnd"/>
      <w:r w:rsidRPr="00887FC8">
        <w:rPr>
          <w:sz w:val="22"/>
          <w:szCs w:val="22"/>
        </w:rPr>
        <w:t xml:space="preserve"> and </w:t>
      </w:r>
      <w:proofErr w:type="spellStart"/>
      <w:r w:rsidRPr="00887FC8">
        <w:rPr>
          <w:sz w:val="22"/>
          <w:szCs w:val="22"/>
        </w:rPr>
        <w:t>Kulaman</w:t>
      </w:r>
      <w:proofErr w:type="spellEnd"/>
      <w:r w:rsidRPr="00887FC8">
        <w:rPr>
          <w:sz w:val="22"/>
          <w:szCs w:val="22"/>
        </w:rPr>
        <w:t xml:space="preserve"> Rivers are located in Arakan, Cotabato, Philippines, a reg</w:t>
      </w:r>
      <w:r w:rsidRPr="00887FC8">
        <w:rPr>
          <w:sz w:val="22"/>
          <w:szCs w:val="22"/>
        </w:rPr>
        <w:t xml:space="preserve">ion characterized by agricultural landscapes and forested uplands. Despite their ecological importance, limited peer-reviewed data exist on the current physicochemical status of these rivers, particularly at their confluence. A previous study conducted in </w:t>
      </w:r>
      <w:r w:rsidRPr="00887FC8">
        <w:rPr>
          <w:sz w:val="22"/>
          <w:szCs w:val="22"/>
        </w:rPr>
        <w:t>2009 assessed parameters such as pH, dissolved oxygen (DO), biochemical oxygen demand (BOD), total suspended solids (TSS), TDS, and total solids (TS) along a 1,500-m downstream baseline using laboratory analysis. However, that study employed different spat</w:t>
      </w:r>
      <w:r w:rsidRPr="00887FC8">
        <w:rPr>
          <w:sz w:val="22"/>
          <w:szCs w:val="22"/>
        </w:rPr>
        <w:t>ial sampling designs and did not include EC and salinity measurements.</w:t>
      </w:r>
    </w:p>
    <w:p w14:paraId="0CF9C8A9" w14:textId="77777777" w:rsidR="00C025B8" w:rsidRPr="00887FC8" w:rsidRDefault="005117E1" w:rsidP="00887FC8">
      <w:pPr>
        <w:spacing w:after="160" w:line="276" w:lineRule="auto"/>
        <w:jc w:val="both"/>
        <w:rPr>
          <w:sz w:val="22"/>
          <w:szCs w:val="22"/>
        </w:rPr>
      </w:pPr>
      <w:r w:rsidRPr="00887FC8">
        <w:rPr>
          <w:sz w:val="22"/>
          <w:szCs w:val="22"/>
        </w:rPr>
        <w:t>The present study addresses this gap by focusing specifically on a multi-site assessment of five key physicochemical parameters — temperature, EC, TDS, pH, and salinity — at four strate</w:t>
      </w:r>
      <w:r w:rsidRPr="00887FC8">
        <w:rPr>
          <w:sz w:val="22"/>
          <w:szCs w:val="22"/>
        </w:rPr>
        <w:t xml:space="preserve">gically located sites around the </w:t>
      </w:r>
      <w:proofErr w:type="spellStart"/>
      <w:r w:rsidRPr="00887FC8">
        <w:rPr>
          <w:sz w:val="22"/>
          <w:szCs w:val="22"/>
        </w:rPr>
        <w:t>Tinanan-Kulaman</w:t>
      </w:r>
      <w:proofErr w:type="spellEnd"/>
      <w:r w:rsidRPr="00887FC8">
        <w:rPr>
          <w:sz w:val="22"/>
          <w:szCs w:val="22"/>
        </w:rPr>
        <w:t xml:space="preserve"> River confluence. The aim is to characterize the spatial variability of </w:t>
      </w:r>
      <w:r w:rsidRPr="00887FC8">
        <w:rPr>
          <w:sz w:val="22"/>
          <w:szCs w:val="22"/>
        </w:rPr>
        <w:lastRenderedPageBreak/>
        <w:t>water quality at the confluence zone and to establish current baseline data aligned with DENR Administrative Order 2016-08 standards.</w:t>
      </w:r>
    </w:p>
    <w:p w14:paraId="6593AECB" w14:textId="77777777" w:rsidR="00C025B8" w:rsidRPr="00887FC8" w:rsidRDefault="005117E1" w:rsidP="00887FC8">
      <w:pPr>
        <w:spacing w:before="240" w:after="120" w:line="276" w:lineRule="auto"/>
        <w:jc w:val="both"/>
        <w:rPr>
          <w:sz w:val="22"/>
          <w:szCs w:val="22"/>
        </w:rPr>
      </w:pPr>
      <w:r w:rsidRPr="00887FC8">
        <w:rPr>
          <w:b/>
          <w:bCs/>
          <w:sz w:val="22"/>
          <w:szCs w:val="22"/>
        </w:rPr>
        <w:t>2</w:t>
      </w:r>
      <w:r w:rsidRPr="00887FC8">
        <w:rPr>
          <w:b/>
          <w:bCs/>
          <w:sz w:val="22"/>
          <w:szCs w:val="22"/>
        </w:rPr>
        <w:t>. Materials and Methods</w:t>
      </w:r>
    </w:p>
    <w:p w14:paraId="6DA592CF" w14:textId="77777777" w:rsidR="00C025B8" w:rsidRPr="00887FC8" w:rsidRDefault="005117E1" w:rsidP="00887FC8">
      <w:pPr>
        <w:spacing w:after="80" w:line="276" w:lineRule="auto"/>
        <w:jc w:val="both"/>
        <w:rPr>
          <w:sz w:val="22"/>
          <w:szCs w:val="22"/>
        </w:rPr>
      </w:pPr>
      <w:r w:rsidRPr="00887FC8">
        <w:rPr>
          <w:b/>
          <w:bCs/>
          <w:i/>
          <w:iCs/>
          <w:sz w:val="22"/>
          <w:szCs w:val="22"/>
        </w:rPr>
        <w:t>2.1 Study Area</w:t>
      </w:r>
    </w:p>
    <w:p w14:paraId="03FE1314" w14:textId="77777777" w:rsidR="00C025B8" w:rsidRPr="00887FC8" w:rsidRDefault="005117E1" w:rsidP="00887FC8">
      <w:pPr>
        <w:spacing w:after="160" w:line="276" w:lineRule="auto"/>
        <w:jc w:val="both"/>
        <w:rPr>
          <w:sz w:val="22"/>
          <w:szCs w:val="22"/>
        </w:rPr>
      </w:pPr>
      <w:r w:rsidRPr="00887FC8">
        <w:rPr>
          <w:sz w:val="22"/>
          <w:szCs w:val="22"/>
        </w:rPr>
        <w:t xml:space="preserve">The study was conducted on May 30, 2026 at the confluence of the </w:t>
      </w:r>
      <w:proofErr w:type="spellStart"/>
      <w:r w:rsidRPr="00887FC8">
        <w:rPr>
          <w:sz w:val="22"/>
          <w:szCs w:val="22"/>
        </w:rPr>
        <w:t>Tinanan</w:t>
      </w:r>
      <w:proofErr w:type="spellEnd"/>
      <w:r w:rsidRPr="00887FC8">
        <w:rPr>
          <w:sz w:val="22"/>
          <w:szCs w:val="22"/>
        </w:rPr>
        <w:t xml:space="preserve"> and </w:t>
      </w:r>
      <w:proofErr w:type="spellStart"/>
      <w:r w:rsidRPr="00887FC8">
        <w:rPr>
          <w:sz w:val="22"/>
          <w:szCs w:val="22"/>
        </w:rPr>
        <w:t>Kulaman</w:t>
      </w:r>
      <w:proofErr w:type="spellEnd"/>
      <w:r w:rsidRPr="00887FC8">
        <w:rPr>
          <w:sz w:val="22"/>
          <w:szCs w:val="22"/>
        </w:rPr>
        <w:t xml:space="preserve"> Rivers in Arakan, Cotabato, Philippines. Four sampling sites were established: Site 1 (50 m upstream along the </w:t>
      </w:r>
      <w:proofErr w:type="spellStart"/>
      <w:r w:rsidRPr="00887FC8">
        <w:rPr>
          <w:sz w:val="22"/>
          <w:szCs w:val="22"/>
        </w:rPr>
        <w:t>Tinanan</w:t>
      </w:r>
      <w:proofErr w:type="spellEnd"/>
      <w:r w:rsidRPr="00887FC8">
        <w:rPr>
          <w:sz w:val="22"/>
          <w:szCs w:val="22"/>
        </w:rPr>
        <w:t xml:space="preserve"> River), Site </w:t>
      </w:r>
      <w:r w:rsidRPr="00887FC8">
        <w:rPr>
          <w:sz w:val="22"/>
          <w:szCs w:val="22"/>
        </w:rPr>
        <w:t xml:space="preserve">2 (at the point of confluence), Site 3 (50 m upstream along the </w:t>
      </w:r>
      <w:proofErr w:type="spellStart"/>
      <w:r w:rsidRPr="00887FC8">
        <w:rPr>
          <w:sz w:val="22"/>
          <w:szCs w:val="22"/>
        </w:rPr>
        <w:t>Kulaman</w:t>
      </w:r>
      <w:proofErr w:type="spellEnd"/>
      <w:r w:rsidRPr="00887FC8">
        <w:rPr>
          <w:sz w:val="22"/>
          <w:szCs w:val="22"/>
        </w:rPr>
        <w:t xml:space="preserve"> River), and Site 4 (50 m downstream of the confluence). These sites were selected to capture the upstream conditions of each tributary, the mixing zone at the confluence, and the initi</w:t>
      </w:r>
      <w:r w:rsidRPr="00887FC8">
        <w:rPr>
          <w:sz w:val="22"/>
          <w:szCs w:val="22"/>
        </w:rPr>
        <w:t>al downstream conditions.</w:t>
      </w:r>
    </w:p>
    <w:p w14:paraId="452E8DC1" w14:textId="77777777" w:rsidR="00C025B8" w:rsidRPr="00887FC8" w:rsidRDefault="005117E1" w:rsidP="00887FC8">
      <w:pPr>
        <w:spacing w:after="80" w:line="276" w:lineRule="auto"/>
        <w:jc w:val="both"/>
        <w:rPr>
          <w:sz w:val="22"/>
          <w:szCs w:val="22"/>
        </w:rPr>
      </w:pPr>
      <w:r w:rsidRPr="00887FC8">
        <w:rPr>
          <w:b/>
          <w:bCs/>
          <w:i/>
          <w:iCs/>
          <w:sz w:val="22"/>
          <w:szCs w:val="22"/>
        </w:rPr>
        <w:t>2.2 Sample Collection and Measurement</w:t>
      </w:r>
    </w:p>
    <w:p w14:paraId="2600F464" w14:textId="77777777" w:rsidR="00C025B8" w:rsidRPr="00887FC8" w:rsidRDefault="005117E1" w:rsidP="00887FC8">
      <w:pPr>
        <w:spacing w:after="160" w:line="276" w:lineRule="auto"/>
        <w:jc w:val="both"/>
        <w:rPr>
          <w:sz w:val="22"/>
          <w:szCs w:val="22"/>
        </w:rPr>
      </w:pPr>
      <w:r w:rsidRPr="00887FC8">
        <w:rPr>
          <w:sz w:val="22"/>
          <w:szCs w:val="22"/>
        </w:rPr>
        <w:t>Three replicate in-situ measurements were collected at each sampling site using a calibrated pH meter (with built-in sensors for temperature, EC, TDS, and salinity). Water quality parameters m</w:t>
      </w:r>
      <w:r w:rsidRPr="00887FC8">
        <w:rPr>
          <w:sz w:val="22"/>
          <w:szCs w:val="22"/>
        </w:rPr>
        <w:t xml:space="preserve">easured included water temperature (°C), electrical conductivity (EC, </w:t>
      </w:r>
      <w:proofErr w:type="spellStart"/>
      <w:r w:rsidRPr="00887FC8">
        <w:rPr>
          <w:sz w:val="22"/>
          <w:szCs w:val="22"/>
        </w:rPr>
        <w:t>μS</w:t>
      </w:r>
      <w:proofErr w:type="spellEnd"/>
      <w:r w:rsidRPr="00887FC8">
        <w:rPr>
          <w:sz w:val="22"/>
          <w:szCs w:val="22"/>
        </w:rPr>
        <w:t xml:space="preserve"> cm⁻¹), total dissolved solids (TDS, mg L⁻¹), pH, and salinity (%). The pH meter was calibrated prior to field use following the manufacturer's standard calibration procedure using buf</w:t>
      </w:r>
      <w:r w:rsidRPr="00887FC8">
        <w:rPr>
          <w:sz w:val="22"/>
          <w:szCs w:val="22"/>
        </w:rPr>
        <w:t>fer solutions. Measurements were taken at mid-stream at a consistent water depth to minimize within-site spatial variability. The instrument was rinsed with distilled water between sites to prevent cross-contamination.</w:t>
      </w:r>
    </w:p>
    <w:p w14:paraId="0DAC5A8D" w14:textId="77777777" w:rsidR="00C025B8" w:rsidRPr="00887FC8" w:rsidRDefault="005117E1" w:rsidP="00887FC8">
      <w:pPr>
        <w:spacing w:after="80" w:line="276" w:lineRule="auto"/>
        <w:jc w:val="both"/>
        <w:rPr>
          <w:sz w:val="22"/>
          <w:szCs w:val="22"/>
        </w:rPr>
      </w:pPr>
      <w:r w:rsidRPr="00887FC8">
        <w:rPr>
          <w:b/>
          <w:bCs/>
          <w:i/>
          <w:iCs/>
          <w:sz w:val="22"/>
          <w:szCs w:val="22"/>
        </w:rPr>
        <w:t>2.3 Statistical Analysis</w:t>
      </w:r>
    </w:p>
    <w:p w14:paraId="281A8BDF" w14:textId="77777777" w:rsidR="00C025B8" w:rsidRPr="00887FC8" w:rsidRDefault="005117E1" w:rsidP="00887FC8">
      <w:pPr>
        <w:spacing w:after="160" w:line="276" w:lineRule="auto"/>
        <w:jc w:val="both"/>
        <w:rPr>
          <w:sz w:val="22"/>
          <w:szCs w:val="22"/>
        </w:rPr>
      </w:pPr>
      <w:r w:rsidRPr="00887FC8">
        <w:rPr>
          <w:sz w:val="22"/>
          <w:szCs w:val="22"/>
        </w:rPr>
        <w:t xml:space="preserve">Descriptive </w:t>
      </w:r>
      <w:r w:rsidRPr="00887FC8">
        <w:rPr>
          <w:sz w:val="22"/>
          <w:szCs w:val="22"/>
        </w:rPr>
        <w:t>statistics (mean ± standard deviation) were computed for each parameter at each site. One-way Analysis of Variance (ANOVA) was performed to determine significant differences in physicochemical parameters across the four sampling sites. A significance level</w:t>
      </w:r>
      <w:r w:rsidRPr="00887FC8">
        <w:rPr>
          <w:sz w:val="22"/>
          <w:szCs w:val="22"/>
        </w:rPr>
        <w:t xml:space="preserve"> of α = 0.05 was used. All statistical analyses were performed using standard statistical software.</w:t>
      </w:r>
    </w:p>
    <w:p w14:paraId="1D74A9C7" w14:textId="77777777" w:rsidR="00C025B8" w:rsidRPr="00887FC8" w:rsidRDefault="005117E1" w:rsidP="00887FC8">
      <w:pPr>
        <w:spacing w:before="240" w:after="120" w:line="276" w:lineRule="auto"/>
        <w:jc w:val="both"/>
        <w:rPr>
          <w:sz w:val="22"/>
          <w:szCs w:val="22"/>
        </w:rPr>
      </w:pPr>
      <w:r w:rsidRPr="00887FC8">
        <w:rPr>
          <w:b/>
          <w:bCs/>
          <w:sz w:val="22"/>
          <w:szCs w:val="22"/>
        </w:rPr>
        <w:t>3. Results and Discussion</w:t>
      </w:r>
    </w:p>
    <w:p w14:paraId="1FA200E0" w14:textId="77777777" w:rsidR="00C025B8" w:rsidRPr="00887FC8" w:rsidRDefault="005117E1" w:rsidP="00887FC8">
      <w:pPr>
        <w:spacing w:after="80" w:line="276" w:lineRule="auto"/>
        <w:jc w:val="both"/>
        <w:rPr>
          <w:sz w:val="22"/>
          <w:szCs w:val="22"/>
        </w:rPr>
      </w:pPr>
      <w:r w:rsidRPr="00887FC8">
        <w:rPr>
          <w:b/>
          <w:bCs/>
          <w:i/>
          <w:iCs/>
          <w:sz w:val="22"/>
          <w:szCs w:val="22"/>
        </w:rPr>
        <w:t>3.1 Physicochemical Parameters</w:t>
      </w:r>
    </w:p>
    <w:p w14:paraId="25085317" w14:textId="77777777" w:rsidR="00C025B8" w:rsidRPr="00887FC8" w:rsidRDefault="005117E1" w:rsidP="00887FC8">
      <w:pPr>
        <w:spacing w:after="160" w:line="276" w:lineRule="auto"/>
        <w:jc w:val="both"/>
        <w:rPr>
          <w:sz w:val="22"/>
          <w:szCs w:val="22"/>
        </w:rPr>
      </w:pPr>
      <w:r w:rsidRPr="00887FC8">
        <w:rPr>
          <w:sz w:val="22"/>
          <w:szCs w:val="22"/>
        </w:rPr>
        <w:t xml:space="preserve">Table 1 presents the mean ± SD values of physicochemical parameters measured at the four sampling </w:t>
      </w:r>
      <w:r w:rsidRPr="00887FC8">
        <w:rPr>
          <w:sz w:val="22"/>
          <w:szCs w:val="22"/>
        </w:rPr>
        <w:t>sites using the pH meter.</w:t>
      </w:r>
    </w:p>
    <w:p w14:paraId="4B68584B" w14:textId="586369B2" w:rsidR="00C025B8" w:rsidRPr="00887FC8" w:rsidRDefault="005117E1" w:rsidP="00887FC8">
      <w:pPr>
        <w:spacing w:after="120" w:line="276" w:lineRule="auto"/>
        <w:jc w:val="both"/>
        <w:rPr>
          <w:sz w:val="22"/>
          <w:szCs w:val="22"/>
        </w:rPr>
      </w:pPr>
      <w:r w:rsidRPr="00887FC8">
        <w:rPr>
          <w:i/>
          <w:iCs/>
          <w:sz w:val="22"/>
          <w:szCs w:val="22"/>
        </w:rPr>
        <w:t xml:space="preserve">Table 1. </w:t>
      </w:r>
      <w:r w:rsidR="00887FC8" w:rsidRPr="00887FC8">
        <w:rPr>
          <w:i/>
          <w:iCs/>
          <w:sz w:val="22"/>
          <w:szCs w:val="22"/>
        </w:rPr>
        <w:t>P</w:t>
      </w:r>
      <w:r w:rsidRPr="00887FC8">
        <w:rPr>
          <w:i/>
          <w:iCs/>
          <w:sz w:val="22"/>
          <w:szCs w:val="22"/>
        </w:rPr>
        <w:t>hysicochemical</w:t>
      </w:r>
      <w:r w:rsidR="00887FC8" w:rsidRPr="00887FC8">
        <w:rPr>
          <w:i/>
          <w:iCs/>
          <w:sz w:val="22"/>
          <w:szCs w:val="22"/>
        </w:rPr>
        <w:t xml:space="preserve"> Analyses</w:t>
      </w:r>
      <w:r w:rsidRPr="00887FC8">
        <w:rPr>
          <w:i/>
          <w:iCs/>
          <w:sz w:val="22"/>
          <w:szCs w:val="22"/>
        </w:rPr>
        <w:t xml:space="preserve"> </w:t>
      </w:r>
      <w:r w:rsidR="00887FC8" w:rsidRPr="00887FC8">
        <w:rPr>
          <w:i/>
          <w:iCs/>
          <w:sz w:val="22"/>
          <w:szCs w:val="22"/>
        </w:rPr>
        <w:t>of water samples obtained</w:t>
      </w:r>
      <w:r w:rsidRPr="00887FC8">
        <w:rPr>
          <w:i/>
          <w:iCs/>
          <w:sz w:val="22"/>
          <w:szCs w:val="22"/>
        </w:rPr>
        <w:t xml:space="preserve"> </w:t>
      </w:r>
      <w:r w:rsidR="00887FC8" w:rsidRPr="00887FC8">
        <w:rPr>
          <w:i/>
          <w:iCs/>
          <w:sz w:val="22"/>
          <w:szCs w:val="22"/>
        </w:rPr>
        <w:t>from</w:t>
      </w:r>
      <w:r w:rsidRPr="00887FC8">
        <w:rPr>
          <w:i/>
          <w:iCs/>
          <w:sz w:val="22"/>
          <w:szCs w:val="22"/>
        </w:rPr>
        <w:t xml:space="preserve"> four sampling sites at the </w:t>
      </w:r>
      <w:proofErr w:type="spellStart"/>
      <w:r w:rsidRPr="00887FC8">
        <w:rPr>
          <w:i/>
          <w:iCs/>
          <w:sz w:val="22"/>
          <w:szCs w:val="22"/>
        </w:rPr>
        <w:t>Tinanan-Kulaman</w:t>
      </w:r>
      <w:proofErr w:type="spellEnd"/>
      <w:r w:rsidRPr="00887FC8">
        <w:rPr>
          <w:i/>
          <w:iCs/>
          <w:sz w:val="22"/>
          <w:szCs w:val="22"/>
        </w:rPr>
        <w:t xml:space="preserve"> River confluence</w:t>
      </w:r>
      <w:r w:rsidR="00887FC8" w:rsidRPr="00887FC8">
        <w:rPr>
          <w:i/>
          <w:iCs/>
          <w:sz w:val="22"/>
          <w:szCs w:val="22"/>
        </w:rPr>
        <w:t xml:space="preserve">. </w:t>
      </w:r>
    </w:p>
    <w:tbl>
      <w:tblPr>
        <w:tblStyle w:val="GridTableLight"/>
        <w:tblW w:w="9360" w:type="dxa"/>
        <w:tblLook w:val="0000" w:firstRow="0" w:lastRow="0" w:firstColumn="0" w:lastColumn="0" w:noHBand="0" w:noVBand="0"/>
      </w:tblPr>
      <w:tblGrid>
        <w:gridCol w:w="1276"/>
        <w:gridCol w:w="1857"/>
        <w:gridCol w:w="1792"/>
        <w:gridCol w:w="1619"/>
        <w:gridCol w:w="1461"/>
        <w:gridCol w:w="1355"/>
      </w:tblGrid>
      <w:tr w:rsidR="00C025B8" w:rsidRPr="00887FC8" w14:paraId="64C3BF45" w14:textId="77777777" w:rsidTr="00887FC8">
        <w:tc>
          <w:tcPr>
            <w:tcW w:w="0" w:type="auto"/>
          </w:tcPr>
          <w:p w14:paraId="7D102543" w14:textId="77777777" w:rsidR="00C025B8" w:rsidRPr="00887FC8" w:rsidRDefault="005117E1" w:rsidP="00887FC8">
            <w:pPr>
              <w:spacing w:line="276" w:lineRule="auto"/>
              <w:jc w:val="both"/>
              <w:rPr>
                <w:sz w:val="22"/>
                <w:szCs w:val="22"/>
              </w:rPr>
            </w:pPr>
            <w:r w:rsidRPr="00887FC8">
              <w:rPr>
                <w:b/>
                <w:bCs/>
                <w:sz w:val="22"/>
                <w:szCs w:val="22"/>
              </w:rPr>
              <w:t>Site</w:t>
            </w:r>
          </w:p>
        </w:tc>
        <w:tc>
          <w:tcPr>
            <w:tcW w:w="0" w:type="auto"/>
          </w:tcPr>
          <w:p w14:paraId="6F726A62" w14:textId="77777777" w:rsidR="00C025B8" w:rsidRPr="00887FC8" w:rsidRDefault="005117E1" w:rsidP="00887FC8">
            <w:pPr>
              <w:spacing w:line="276" w:lineRule="auto"/>
              <w:jc w:val="both"/>
              <w:rPr>
                <w:sz w:val="22"/>
                <w:szCs w:val="22"/>
              </w:rPr>
            </w:pPr>
            <w:r w:rsidRPr="00887FC8">
              <w:rPr>
                <w:b/>
                <w:bCs/>
                <w:sz w:val="22"/>
                <w:szCs w:val="22"/>
              </w:rPr>
              <w:t>Temperature</w:t>
            </w:r>
          </w:p>
          <w:p w14:paraId="136812F0" w14:textId="77777777" w:rsidR="00C025B8" w:rsidRPr="00887FC8" w:rsidRDefault="005117E1" w:rsidP="00887FC8">
            <w:pPr>
              <w:spacing w:line="276" w:lineRule="auto"/>
              <w:jc w:val="both"/>
              <w:rPr>
                <w:sz w:val="22"/>
                <w:szCs w:val="22"/>
              </w:rPr>
            </w:pPr>
            <w:r w:rsidRPr="00887FC8">
              <w:rPr>
                <w:b/>
                <w:bCs/>
                <w:sz w:val="22"/>
                <w:szCs w:val="22"/>
              </w:rPr>
              <w:t>(°C)</w:t>
            </w:r>
          </w:p>
        </w:tc>
        <w:tc>
          <w:tcPr>
            <w:tcW w:w="0" w:type="auto"/>
          </w:tcPr>
          <w:p w14:paraId="1AAB32DE" w14:textId="77777777" w:rsidR="00C025B8" w:rsidRPr="00887FC8" w:rsidRDefault="005117E1" w:rsidP="00887FC8">
            <w:pPr>
              <w:spacing w:line="276" w:lineRule="auto"/>
              <w:jc w:val="both"/>
              <w:rPr>
                <w:sz w:val="22"/>
                <w:szCs w:val="22"/>
              </w:rPr>
            </w:pPr>
            <w:r w:rsidRPr="00887FC8">
              <w:rPr>
                <w:b/>
                <w:bCs/>
                <w:sz w:val="22"/>
                <w:szCs w:val="22"/>
              </w:rPr>
              <w:t>Electric</w:t>
            </w:r>
          </w:p>
          <w:p w14:paraId="34CB3289" w14:textId="77777777" w:rsidR="00C025B8" w:rsidRPr="00887FC8" w:rsidRDefault="005117E1" w:rsidP="00887FC8">
            <w:pPr>
              <w:spacing w:line="276" w:lineRule="auto"/>
              <w:jc w:val="both"/>
              <w:rPr>
                <w:sz w:val="22"/>
                <w:szCs w:val="22"/>
              </w:rPr>
            </w:pPr>
            <w:r w:rsidRPr="00887FC8">
              <w:rPr>
                <w:b/>
                <w:bCs/>
                <w:sz w:val="22"/>
                <w:szCs w:val="22"/>
              </w:rPr>
              <w:t>Conductivity</w:t>
            </w:r>
          </w:p>
          <w:p w14:paraId="725E7AF9" w14:textId="77777777" w:rsidR="00C025B8" w:rsidRPr="00887FC8" w:rsidRDefault="005117E1" w:rsidP="00887FC8">
            <w:pPr>
              <w:spacing w:line="276" w:lineRule="auto"/>
              <w:jc w:val="both"/>
              <w:rPr>
                <w:sz w:val="22"/>
                <w:szCs w:val="22"/>
              </w:rPr>
            </w:pPr>
            <w:r w:rsidRPr="00887FC8">
              <w:rPr>
                <w:b/>
                <w:bCs/>
                <w:sz w:val="22"/>
                <w:szCs w:val="22"/>
              </w:rPr>
              <w:t>(</w:t>
            </w:r>
            <w:proofErr w:type="spellStart"/>
            <w:r w:rsidRPr="00887FC8">
              <w:rPr>
                <w:b/>
                <w:bCs/>
                <w:sz w:val="22"/>
                <w:szCs w:val="22"/>
              </w:rPr>
              <w:t>μS</w:t>
            </w:r>
            <w:proofErr w:type="spellEnd"/>
            <w:r w:rsidRPr="00887FC8">
              <w:rPr>
                <w:b/>
                <w:bCs/>
                <w:sz w:val="22"/>
                <w:szCs w:val="22"/>
              </w:rPr>
              <w:t xml:space="preserve"> cm⁻¹)</w:t>
            </w:r>
          </w:p>
        </w:tc>
        <w:tc>
          <w:tcPr>
            <w:tcW w:w="0" w:type="auto"/>
          </w:tcPr>
          <w:p w14:paraId="2DA08E0E" w14:textId="77777777" w:rsidR="00C025B8" w:rsidRPr="00887FC8" w:rsidRDefault="005117E1" w:rsidP="00887FC8">
            <w:pPr>
              <w:spacing w:line="276" w:lineRule="auto"/>
              <w:jc w:val="both"/>
              <w:rPr>
                <w:sz w:val="22"/>
                <w:szCs w:val="22"/>
              </w:rPr>
            </w:pPr>
            <w:r w:rsidRPr="00887FC8">
              <w:rPr>
                <w:b/>
                <w:bCs/>
                <w:sz w:val="22"/>
                <w:szCs w:val="22"/>
              </w:rPr>
              <w:t>Total Dissolved</w:t>
            </w:r>
          </w:p>
          <w:p w14:paraId="037682A3" w14:textId="77777777" w:rsidR="00C025B8" w:rsidRPr="00887FC8" w:rsidRDefault="005117E1" w:rsidP="00887FC8">
            <w:pPr>
              <w:spacing w:line="276" w:lineRule="auto"/>
              <w:jc w:val="both"/>
              <w:rPr>
                <w:sz w:val="22"/>
                <w:szCs w:val="22"/>
              </w:rPr>
            </w:pPr>
            <w:r w:rsidRPr="00887FC8">
              <w:rPr>
                <w:b/>
                <w:bCs/>
                <w:sz w:val="22"/>
                <w:szCs w:val="22"/>
              </w:rPr>
              <w:t>Solid (mg L⁻¹)</w:t>
            </w:r>
          </w:p>
        </w:tc>
        <w:tc>
          <w:tcPr>
            <w:tcW w:w="1461" w:type="dxa"/>
          </w:tcPr>
          <w:p w14:paraId="747E48A1" w14:textId="77777777" w:rsidR="00C025B8" w:rsidRPr="00887FC8" w:rsidRDefault="005117E1" w:rsidP="00887FC8">
            <w:pPr>
              <w:spacing w:line="276" w:lineRule="auto"/>
              <w:jc w:val="both"/>
              <w:rPr>
                <w:sz w:val="22"/>
                <w:szCs w:val="22"/>
              </w:rPr>
            </w:pPr>
            <w:r w:rsidRPr="00887FC8">
              <w:rPr>
                <w:b/>
                <w:bCs/>
                <w:sz w:val="22"/>
                <w:szCs w:val="22"/>
              </w:rPr>
              <w:t>Water pH</w:t>
            </w:r>
          </w:p>
        </w:tc>
        <w:tc>
          <w:tcPr>
            <w:tcW w:w="1355" w:type="dxa"/>
          </w:tcPr>
          <w:p w14:paraId="2BB54924" w14:textId="77777777" w:rsidR="00C025B8" w:rsidRPr="00887FC8" w:rsidRDefault="005117E1" w:rsidP="00887FC8">
            <w:pPr>
              <w:spacing w:line="276" w:lineRule="auto"/>
              <w:jc w:val="both"/>
              <w:rPr>
                <w:sz w:val="22"/>
                <w:szCs w:val="22"/>
              </w:rPr>
            </w:pPr>
            <w:r w:rsidRPr="00887FC8">
              <w:rPr>
                <w:b/>
                <w:bCs/>
                <w:sz w:val="22"/>
                <w:szCs w:val="22"/>
              </w:rPr>
              <w:t>Salinity,</w:t>
            </w:r>
            <w:r w:rsidRPr="00887FC8">
              <w:rPr>
                <w:b/>
                <w:bCs/>
                <w:sz w:val="22"/>
                <w:szCs w:val="22"/>
              </w:rPr>
              <w:t xml:space="preserve"> %</w:t>
            </w:r>
          </w:p>
        </w:tc>
      </w:tr>
      <w:tr w:rsidR="00C025B8" w:rsidRPr="00887FC8" w14:paraId="606F4D57" w14:textId="77777777" w:rsidTr="00887FC8">
        <w:tc>
          <w:tcPr>
            <w:tcW w:w="0" w:type="auto"/>
          </w:tcPr>
          <w:p w14:paraId="448DA810" w14:textId="35E3378C" w:rsidR="00C025B8" w:rsidRPr="00887FC8" w:rsidRDefault="00991CBB" w:rsidP="00887FC8">
            <w:pPr>
              <w:spacing w:line="276" w:lineRule="auto"/>
              <w:jc w:val="both"/>
              <w:rPr>
                <w:sz w:val="22"/>
                <w:szCs w:val="22"/>
              </w:rPr>
            </w:pPr>
            <w:r w:rsidRPr="00887FC8">
              <w:rPr>
                <w:sz w:val="22"/>
                <w:szCs w:val="22"/>
              </w:rPr>
              <w:t>1</w:t>
            </w:r>
          </w:p>
        </w:tc>
        <w:tc>
          <w:tcPr>
            <w:tcW w:w="0" w:type="auto"/>
          </w:tcPr>
          <w:p w14:paraId="09753A2B" w14:textId="77777777" w:rsidR="00C025B8" w:rsidRPr="00887FC8" w:rsidRDefault="005117E1" w:rsidP="00887FC8">
            <w:pPr>
              <w:spacing w:line="276" w:lineRule="auto"/>
              <w:jc w:val="both"/>
              <w:rPr>
                <w:sz w:val="22"/>
                <w:szCs w:val="22"/>
              </w:rPr>
            </w:pPr>
            <w:r w:rsidRPr="00887FC8">
              <w:rPr>
                <w:sz w:val="22"/>
                <w:szCs w:val="22"/>
              </w:rPr>
              <w:t>28.37 ± 0.06</w:t>
            </w:r>
          </w:p>
        </w:tc>
        <w:tc>
          <w:tcPr>
            <w:tcW w:w="0" w:type="auto"/>
          </w:tcPr>
          <w:p w14:paraId="71453A9E" w14:textId="77777777" w:rsidR="00C025B8" w:rsidRPr="00887FC8" w:rsidRDefault="005117E1" w:rsidP="00887FC8">
            <w:pPr>
              <w:spacing w:line="276" w:lineRule="auto"/>
              <w:jc w:val="both"/>
              <w:rPr>
                <w:sz w:val="22"/>
                <w:szCs w:val="22"/>
              </w:rPr>
            </w:pPr>
            <w:r w:rsidRPr="00887FC8">
              <w:rPr>
                <w:sz w:val="22"/>
                <w:szCs w:val="22"/>
              </w:rPr>
              <w:t>380.33 ± 3.06</w:t>
            </w:r>
          </w:p>
        </w:tc>
        <w:tc>
          <w:tcPr>
            <w:tcW w:w="0" w:type="auto"/>
          </w:tcPr>
          <w:p w14:paraId="07E6A5AE" w14:textId="77777777" w:rsidR="00C025B8" w:rsidRPr="00887FC8" w:rsidRDefault="005117E1" w:rsidP="00887FC8">
            <w:pPr>
              <w:spacing w:line="276" w:lineRule="auto"/>
              <w:jc w:val="both"/>
              <w:rPr>
                <w:sz w:val="22"/>
                <w:szCs w:val="22"/>
              </w:rPr>
            </w:pPr>
            <w:r w:rsidRPr="00887FC8">
              <w:rPr>
                <w:sz w:val="22"/>
                <w:szCs w:val="22"/>
              </w:rPr>
              <w:t>189.67 ± 1.53</w:t>
            </w:r>
          </w:p>
        </w:tc>
        <w:tc>
          <w:tcPr>
            <w:tcW w:w="1461" w:type="dxa"/>
          </w:tcPr>
          <w:p w14:paraId="366EB571" w14:textId="77777777" w:rsidR="00C025B8" w:rsidRPr="00887FC8" w:rsidRDefault="005117E1" w:rsidP="00887FC8">
            <w:pPr>
              <w:spacing w:line="276" w:lineRule="auto"/>
              <w:jc w:val="both"/>
              <w:rPr>
                <w:sz w:val="22"/>
                <w:szCs w:val="22"/>
              </w:rPr>
            </w:pPr>
            <w:r w:rsidRPr="00887FC8">
              <w:rPr>
                <w:sz w:val="22"/>
                <w:szCs w:val="22"/>
              </w:rPr>
              <w:t>8.23 ± 0.182</w:t>
            </w:r>
          </w:p>
        </w:tc>
        <w:tc>
          <w:tcPr>
            <w:tcW w:w="1355" w:type="dxa"/>
          </w:tcPr>
          <w:p w14:paraId="5033707D" w14:textId="77777777" w:rsidR="00C025B8" w:rsidRPr="00887FC8" w:rsidRDefault="005117E1" w:rsidP="00887FC8">
            <w:pPr>
              <w:spacing w:line="276" w:lineRule="auto"/>
              <w:jc w:val="both"/>
              <w:rPr>
                <w:sz w:val="22"/>
                <w:szCs w:val="22"/>
              </w:rPr>
            </w:pPr>
            <w:r w:rsidRPr="00887FC8">
              <w:rPr>
                <w:sz w:val="22"/>
                <w:szCs w:val="22"/>
              </w:rPr>
              <w:t>0.01 ± 0.000</w:t>
            </w:r>
          </w:p>
        </w:tc>
      </w:tr>
      <w:tr w:rsidR="00C025B8" w:rsidRPr="00887FC8" w14:paraId="240C8F5A" w14:textId="77777777" w:rsidTr="00887FC8">
        <w:tc>
          <w:tcPr>
            <w:tcW w:w="0" w:type="auto"/>
          </w:tcPr>
          <w:p w14:paraId="28F6EBF5" w14:textId="68D6C7D4" w:rsidR="00C025B8" w:rsidRPr="00887FC8" w:rsidRDefault="00991CBB" w:rsidP="00887FC8">
            <w:pPr>
              <w:spacing w:line="276" w:lineRule="auto"/>
              <w:jc w:val="both"/>
              <w:rPr>
                <w:sz w:val="22"/>
                <w:szCs w:val="22"/>
              </w:rPr>
            </w:pPr>
            <w:r w:rsidRPr="00887FC8">
              <w:rPr>
                <w:sz w:val="22"/>
                <w:szCs w:val="22"/>
              </w:rPr>
              <w:t>2</w:t>
            </w:r>
          </w:p>
        </w:tc>
        <w:tc>
          <w:tcPr>
            <w:tcW w:w="0" w:type="auto"/>
          </w:tcPr>
          <w:p w14:paraId="23C6D851" w14:textId="77777777" w:rsidR="00C025B8" w:rsidRPr="00887FC8" w:rsidRDefault="005117E1" w:rsidP="00887FC8">
            <w:pPr>
              <w:spacing w:line="276" w:lineRule="auto"/>
              <w:jc w:val="both"/>
              <w:rPr>
                <w:sz w:val="22"/>
                <w:szCs w:val="22"/>
              </w:rPr>
            </w:pPr>
            <w:r w:rsidRPr="00887FC8">
              <w:rPr>
                <w:sz w:val="22"/>
                <w:szCs w:val="22"/>
              </w:rPr>
              <w:t>27.67 ± 0.47</w:t>
            </w:r>
          </w:p>
        </w:tc>
        <w:tc>
          <w:tcPr>
            <w:tcW w:w="0" w:type="auto"/>
          </w:tcPr>
          <w:p w14:paraId="1E656BC0" w14:textId="77777777" w:rsidR="00C025B8" w:rsidRPr="00887FC8" w:rsidRDefault="005117E1" w:rsidP="00887FC8">
            <w:pPr>
              <w:spacing w:line="276" w:lineRule="auto"/>
              <w:jc w:val="both"/>
              <w:rPr>
                <w:sz w:val="22"/>
                <w:szCs w:val="22"/>
              </w:rPr>
            </w:pPr>
            <w:r w:rsidRPr="00887FC8">
              <w:rPr>
                <w:sz w:val="22"/>
                <w:szCs w:val="22"/>
              </w:rPr>
              <w:t>318.00 ± 55.46</w:t>
            </w:r>
          </w:p>
        </w:tc>
        <w:tc>
          <w:tcPr>
            <w:tcW w:w="0" w:type="auto"/>
          </w:tcPr>
          <w:p w14:paraId="33E373CD" w14:textId="77777777" w:rsidR="00C025B8" w:rsidRPr="00887FC8" w:rsidRDefault="005117E1" w:rsidP="00887FC8">
            <w:pPr>
              <w:spacing w:line="276" w:lineRule="auto"/>
              <w:jc w:val="both"/>
              <w:rPr>
                <w:sz w:val="22"/>
                <w:szCs w:val="22"/>
              </w:rPr>
            </w:pPr>
            <w:r w:rsidRPr="00887FC8">
              <w:rPr>
                <w:sz w:val="22"/>
                <w:szCs w:val="22"/>
              </w:rPr>
              <w:t>159.00 ± 27.73</w:t>
            </w:r>
          </w:p>
        </w:tc>
        <w:tc>
          <w:tcPr>
            <w:tcW w:w="1461" w:type="dxa"/>
          </w:tcPr>
          <w:p w14:paraId="37DE4B27" w14:textId="77777777" w:rsidR="00C025B8" w:rsidRPr="00887FC8" w:rsidRDefault="005117E1" w:rsidP="00887FC8">
            <w:pPr>
              <w:spacing w:line="276" w:lineRule="auto"/>
              <w:jc w:val="both"/>
              <w:rPr>
                <w:sz w:val="22"/>
                <w:szCs w:val="22"/>
              </w:rPr>
            </w:pPr>
            <w:r w:rsidRPr="00887FC8">
              <w:rPr>
                <w:sz w:val="22"/>
                <w:szCs w:val="22"/>
              </w:rPr>
              <w:t>8.40 ± 0.055</w:t>
            </w:r>
          </w:p>
        </w:tc>
        <w:tc>
          <w:tcPr>
            <w:tcW w:w="1355" w:type="dxa"/>
          </w:tcPr>
          <w:p w14:paraId="65F5DC2D" w14:textId="77777777" w:rsidR="00C025B8" w:rsidRPr="00887FC8" w:rsidRDefault="005117E1" w:rsidP="00887FC8">
            <w:pPr>
              <w:spacing w:line="276" w:lineRule="auto"/>
              <w:jc w:val="both"/>
              <w:rPr>
                <w:sz w:val="22"/>
                <w:szCs w:val="22"/>
              </w:rPr>
            </w:pPr>
            <w:r w:rsidRPr="00887FC8">
              <w:rPr>
                <w:sz w:val="22"/>
                <w:szCs w:val="22"/>
              </w:rPr>
              <w:t>0.01 ± 0.000</w:t>
            </w:r>
          </w:p>
        </w:tc>
      </w:tr>
      <w:tr w:rsidR="00C025B8" w:rsidRPr="00887FC8" w14:paraId="23E17AE3" w14:textId="77777777" w:rsidTr="00887FC8">
        <w:tc>
          <w:tcPr>
            <w:tcW w:w="0" w:type="auto"/>
          </w:tcPr>
          <w:p w14:paraId="10E443D8" w14:textId="12BD0548" w:rsidR="00C025B8" w:rsidRPr="00887FC8" w:rsidRDefault="00991CBB" w:rsidP="00887FC8">
            <w:pPr>
              <w:spacing w:line="276" w:lineRule="auto"/>
              <w:jc w:val="both"/>
              <w:rPr>
                <w:sz w:val="22"/>
                <w:szCs w:val="22"/>
              </w:rPr>
            </w:pPr>
            <w:r w:rsidRPr="00887FC8">
              <w:rPr>
                <w:sz w:val="22"/>
                <w:szCs w:val="22"/>
              </w:rPr>
              <w:t>3</w:t>
            </w:r>
          </w:p>
        </w:tc>
        <w:tc>
          <w:tcPr>
            <w:tcW w:w="0" w:type="auto"/>
          </w:tcPr>
          <w:p w14:paraId="200B6846" w14:textId="77777777" w:rsidR="00C025B8" w:rsidRPr="00887FC8" w:rsidRDefault="005117E1" w:rsidP="00887FC8">
            <w:pPr>
              <w:spacing w:line="276" w:lineRule="auto"/>
              <w:jc w:val="both"/>
              <w:rPr>
                <w:sz w:val="22"/>
                <w:szCs w:val="22"/>
              </w:rPr>
            </w:pPr>
            <w:r w:rsidRPr="00887FC8">
              <w:rPr>
                <w:sz w:val="22"/>
                <w:szCs w:val="22"/>
              </w:rPr>
              <w:t>27.17 ± 0.21</w:t>
            </w:r>
          </w:p>
        </w:tc>
        <w:tc>
          <w:tcPr>
            <w:tcW w:w="0" w:type="auto"/>
          </w:tcPr>
          <w:p w14:paraId="70ABFEBF" w14:textId="77777777" w:rsidR="00C025B8" w:rsidRPr="00887FC8" w:rsidRDefault="005117E1" w:rsidP="00887FC8">
            <w:pPr>
              <w:spacing w:line="276" w:lineRule="auto"/>
              <w:jc w:val="both"/>
              <w:rPr>
                <w:sz w:val="22"/>
                <w:szCs w:val="22"/>
              </w:rPr>
            </w:pPr>
            <w:r w:rsidRPr="00887FC8">
              <w:rPr>
                <w:sz w:val="22"/>
                <w:szCs w:val="22"/>
              </w:rPr>
              <w:t>289.67 ± 4.51</w:t>
            </w:r>
          </w:p>
        </w:tc>
        <w:tc>
          <w:tcPr>
            <w:tcW w:w="0" w:type="auto"/>
          </w:tcPr>
          <w:p w14:paraId="1158E3DE" w14:textId="77777777" w:rsidR="00C025B8" w:rsidRPr="00887FC8" w:rsidRDefault="005117E1" w:rsidP="00887FC8">
            <w:pPr>
              <w:spacing w:line="276" w:lineRule="auto"/>
              <w:jc w:val="both"/>
              <w:rPr>
                <w:sz w:val="22"/>
                <w:szCs w:val="22"/>
              </w:rPr>
            </w:pPr>
            <w:r w:rsidRPr="00887FC8">
              <w:rPr>
                <w:sz w:val="22"/>
                <w:szCs w:val="22"/>
              </w:rPr>
              <w:t>144.00 ± 1.73</w:t>
            </w:r>
          </w:p>
        </w:tc>
        <w:tc>
          <w:tcPr>
            <w:tcW w:w="1461" w:type="dxa"/>
          </w:tcPr>
          <w:p w14:paraId="1A2A8681" w14:textId="77777777" w:rsidR="00C025B8" w:rsidRPr="00887FC8" w:rsidRDefault="005117E1" w:rsidP="00887FC8">
            <w:pPr>
              <w:spacing w:line="276" w:lineRule="auto"/>
              <w:jc w:val="both"/>
              <w:rPr>
                <w:sz w:val="22"/>
                <w:szCs w:val="22"/>
              </w:rPr>
            </w:pPr>
            <w:r w:rsidRPr="00887FC8">
              <w:rPr>
                <w:sz w:val="22"/>
                <w:szCs w:val="22"/>
              </w:rPr>
              <w:t>8.46 ± 0.025</w:t>
            </w:r>
          </w:p>
        </w:tc>
        <w:tc>
          <w:tcPr>
            <w:tcW w:w="1355" w:type="dxa"/>
          </w:tcPr>
          <w:p w14:paraId="6C76C7F2" w14:textId="77777777" w:rsidR="00C025B8" w:rsidRPr="00887FC8" w:rsidRDefault="005117E1" w:rsidP="00887FC8">
            <w:pPr>
              <w:spacing w:line="276" w:lineRule="auto"/>
              <w:jc w:val="both"/>
              <w:rPr>
                <w:sz w:val="22"/>
                <w:szCs w:val="22"/>
              </w:rPr>
            </w:pPr>
            <w:r w:rsidRPr="00887FC8">
              <w:rPr>
                <w:sz w:val="22"/>
                <w:szCs w:val="22"/>
              </w:rPr>
              <w:t>0.01 ± 0.000</w:t>
            </w:r>
          </w:p>
        </w:tc>
      </w:tr>
      <w:tr w:rsidR="00C025B8" w:rsidRPr="00887FC8" w14:paraId="142A6BA8" w14:textId="77777777" w:rsidTr="00887FC8">
        <w:tc>
          <w:tcPr>
            <w:tcW w:w="0" w:type="auto"/>
          </w:tcPr>
          <w:p w14:paraId="1C342691" w14:textId="788058E5" w:rsidR="00C025B8" w:rsidRPr="00887FC8" w:rsidRDefault="00991CBB" w:rsidP="00887FC8">
            <w:pPr>
              <w:spacing w:line="276" w:lineRule="auto"/>
              <w:jc w:val="both"/>
              <w:rPr>
                <w:sz w:val="22"/>
                <w:szCs w:val="22"/>
              </w:rPr>
            </w:pPr>
            <w:r w:rsidRPr="00887FC8">
              <w:rPr>
                <w:sz w:val="22"/>
                <w:szCs w:val="22"/>
              </w:rPr>
              <w:t>4</w:t>
            </w:r>
          </w:p>
        </w:tc>
        <w:tc>
          <w:tcPr>
            <w:tcW w:w="0" w:type="auto"/>
          </w:tcPr>
          <w:p w14:paraId="17B842D3" w14:textId="77777777" w:rsidR="00C025B8" w:rsidRPr="00887FC8" w:rsidRDefault="005117E1" w:rsidP="00887FC8">
            <w:pPr>
              <w:spacing w:line="276" w:lineRule="auto"/>
              <w:jc w:val="both"/>
              <w:rPr>
                <w:sz w:val="22"/>
                <w:szCs w:val="22"/>
              </w:rPr>
            </w:pPr>
            <w:r w:rsidRPr="00887FC8">
              <w:rPr>
                <w:sz w:val="22"/>
                <w:szCs w:val="22"/>
              </w:rPr>
              <w:t>27.27 ± 0.31</w:t>
            </w:r>
          </w:p>
        </w:tc>
        <w:tc>
          <w:tcPr>
            <w:tcW w:w="0" w:type="auto"/>
          </w:tcPr>
          <w:p w14:paraId="12E84A55" w14:textId="77777777" w:rsidR="00C025B8" w:rsidRPr="00887FC8" w:rsidRDefault="005117E1" w:rsidP="00887FC8">
            <w:pPr>
              <w:spacing w:line="276" w:lineRule="auto"/>
              <w:jc w:val="both"/>
              <w:rPr>
                <w:sz w:val="22"/>
                <w:szCs w:val="22"/>
              </w:rPr>
            </w:pPr>
            <w:r w:rsidRPr="00887FC8">
              <w:rPr>
                <w:sz w:val="22"/>
                <w:szCs w:val="22"/>
              </w:rPr>
              <w:t>323.67 ± 50.14</w:t>
            </w:r>
          </w:p>
        </w:tc>
        <w:tc>
          <w:tcPr>
            <w:tcW w:w="0" w:type="auto"/>
          </w:tcPr>
          <w:p w14:paraId="747862C3" w14:textId="77777777" w:rsidR="00C025B8" w:rsidRPr="00887FC8" w:rsidRDefault="005117E1" w:rsidP="00887FC8">
            <w:pPr>
              <w:spacing w:line="276" w:lineRule="auto"/>
              <w:jc w:val="both"/>
              <w:rPr>
                <w:sz w:val="22"/>
                <w:szCs w:val="22"/>
              </w:rPr>
            </w:pPr>
            <w:r w:rsidRPr="00887FC8">
              <w:rPr>
                <w:sz w:val="22"/>
                <w:szCs w:val="22"/>
              </w:rPr>
              <w:t xml:space="preserve">160.67 ± </w:t>
            </w:r>
            <w:r w:rsidRPr="00887FC8">
              <w:rPr>
                <w:sz w:val="22"/>
                <w:szCs w:val="22"/>
              </w:rPr>
              <w:t>25.89</w:t>
            </w:r>
          </w:p>
        </w:tc>
        <w:tc>
          <w:tcPr>
            <w:tcW w:w="1461" w:type="dxa"/>
          </w:tcPr>
          <w:p w14:paraId="4971C268" w14:textId="77777777" w:rsidR="00C025B8" w:rsidRPr="00887FC8" w:rsidRDefault="005117E1" w:rsidP="00887FC8">
            <w:pPr>
              <w:spacing w:line="276" w:lineRule="auto"/>
              <w:jc w:val="both"/>
              <w:rPr>
                <w:sz w:val="22"/>
                <w:szCs w:val="22"/>
              </w:rPr>
            </w:pPr>
            <w:r w:rsidRPr="00887FC8">
              <w:rPr>
                <w:sz w:val="22"/>
                <w:szCs w:val="22"/>
              </w:rPr>
              <w:t>8.53 ± 0.015</w:t>
            </w:r>
          </w:p>
        </w:tc>
        <w:tc>
          <w:tcPr>
            <w:tcW w:w="1355" w:type="dxa"/>
          </w:tcPr>
          <w:p w14:paraId="2C3BFB74" w14:textId="77777777" w:rsidR="00C025B8" w:rsidRPr="00887FC8" w:rsidRDefault="005117E1" w:rsidP="00887FC8">
            <w:pPr>
              <w:spacing w:line="276" w:lineRule="auto"/>
              <w:jc w:val="both"/>
              <w:rPr>
                <w:sz w:val="22"/>
                <w:szCs w:val="22"/>
              </w:rPr>
            </w:pPr>
            <w:r w:rsidRPr="00887FC8">
              <w:rPr>
                <w:sz w:val="22"/>
                <w:szCs w:val="22"/>
              </w:rPr>
              <w:t>0.01 ± 0.000</w:t>
            </w:r>
          </w:p>
        </w:tc>
      </w:tr>
      <w:tr w:rsidR="00C025B8" w:rsidRPr="00887FC8" w14:paraId="6C7B7D4D" w14:textId="77777777" w:rsidTr="00887FC8">
        <w:tc>
          <w:tcPr>
            <w:tcW w:w="0" w:type="auto"/>
          </w:tcPr>
          <w:p w14:paraId="3A70CFB1" w14:textId="052C8F2B" w:rsidR="00C025B8" w:rsidRPr="00887FC8" w:rsidRDefault="005117E1" w:rsidP="00887FC8">
            <w:pPr>
              <w:spacing w:line="276" w:lineRule="auto"/>
              <w:jc w:val="both"/>
              <w:rPr>
                <w:sz w:val="22"/>
                <w:szCs w:val="22"/>
              </w:rPr>
            </w:pPr>
            <w:r w:rsidRPr="00887FC8">
              <w:rPr>
                <w:sz w:val="22"/>
                <w:szCs w:val="22"/>
              </w:rPr>
              <w:t>Standard Value</w:t>
            </w:r>
          </w:p>
        </w:tc>
        <w:tc>
          <w:tcPr>
            <w:tcW w:w="0" w:type="auto"/>
          </w:tcPr>
          <w:p w14:paraId="14DC93F8" w14:textId="77777777" w:rsidR="00C025B8" w:rsidRPr="00887FC8" w:rsidRDefault="005117E1" w:rsidP="00887FC8">
            <w:pPr>
              <w:spacing w:line="276" w:lineRule="auto"/>
              <w:jc w:val="both"/>
              <w:rPr>
                <w:sz w:val="22"/>
                <w:szCs w:val="22"/>
              </w:rPr>
            </w:pPr>
            <w:r w:rsidRPr="00887FC8">
              <w:rPr>
                <w:sz w:val="22"/>
                <w:szCs w:val="22"/>
              </w:rPr>
              <w:t>25–31 (DAO, 2016-08)</w:t>
            </w:r>
          </w:p>
        </w:tc>
        <w:tc>
          <w:tcPr>
            <w:tcW w:w="0" w:type="auto"/>
          </w:tcPr>
          <w:p w14:paraId="6D253C53" w14:textId="77777777" w:rsidR="00C025B8" w:rsidRPr="00887FC8" w:rsidRDefault="005117E1" w:rsidP="00887FC8">
            <w:pPr>
              <w:spacing w:line="276" w:lineRule="auto"/>
              <w:jc w:val="both"/>
              <w:rPr>
                <w:sz w:val="22"/>
                <w:szCs w:val="22"/>
              </w:rPr>
            </w:pPr>
            <w:r w:rsidRPr="00887FC8">
              <w:rPr>
                <w:sz w:val="22"/>
                <w:szCs w:val="22"/>
              </w:rPr>
              <w:t>1000 (DAO, 2016-08)</w:t>
            </w:r>
          </w:p>
        </w:tc>
        <w:tc>
          <w:tcPr>
            <w:tcW w:w="0" w:type="auto"/>
          </w:tcPr>
          <w:p w14:paraId="488834F0" w14:textId="77777777" w:rsidR="00C025B8" w:rsidRPr="00887FC8" w:rsidRDefault="005117E1" w:rsidP="00887FC8">
            <w:pPr>
              <w:spacing w:line="276" w:lineRule="auto"/>
              <w:jc w:val="both"/>
              <w:rPr>
                <w:sz w:val="22"/>
                <w:szCs w:val="22"/>
              </w:rPr>
            </w:pPr>
            <w:r w:rsidRPr="00887FC8">
              <w:rPr>
                <w:sz w:val="22"/>
                <w:szCs w:val="22"/>
              </w:rPr>
              <w:t>1000 (DAO, 2016-08)</w:t>
            </w:r>
          </w:p>
        </w:tc>
        <w:tc>
          <w:tcPr>
            <w:tcW w:w="1461" w:type="dxa"/>
          </w:tcPr>
          <w:p w14:paraId="2C63AD89" w14:textId="77777777" w:rsidR="00C025B8" w:rsidRPr="00887FC8" w:rsidRDefault="005117E1" w:rsidP="00887FC8">
            <w:pPr>
              <w:spacing w:line="276" w:lineRule="auto"/>
              <w:jc w:val="both"/>
              <w:rPr>
                <w:sz w:val="22"/>
                <w:szCs w:val="22"/>
              </w:rPr>
            </w:pPr>
            <w:r w:rsidRPr="00887FC8">
              <w:rPr>
                <w:sz w:val="22"/>
                <w:szCs w:val="22"/>
              </w:rPr>
              <w:t>6.5–9.0 (DAO, 2016-08)</w:t>
            </w:r>
          </w:p>
        </w:tc>
        <w:tc>
          <w:tcPr>
            <w:tcW w:w="1355" w:type="dxa"/>
          </w:tcPr>
          <w:p w14:paraId="07052C27" w14:textId="23ADD0D0" w:rsidR="00C025B8" w:rsidRPr="00887FC8" w:rsidRDefault="00887FC8" w:rsidP="00887FC8">
            <w:pPr>
              <w:spacing w:line="276" w:lineRule="auto"/>
              <w:jc w:val="both"/>
              <w:rPr>
                <w:sz w:val="22"/>
                <w:szCs w:val="22"/>
              </w:rPr>
            </w:pPr>
            <w:r w:rsidRPr="00887FC8">
              <w:rPr>
                <w:sz w:val="22"/>
                <w:szCs w:val="22"/>
              </w:rPr>
              <w:t>0.50, %</w:t>
            </w:r>
          </w:p>
        </w:tc>
      </w:tr>
    </w:tbl>
    <w:p w14:paraId="5882E876" w14:textId="77777777" w:rsidR="00C025B8" w:rsidRPr="00887FC8" w:rsidRDefault="00C025B8" w:rsidP="00887FC8">
      <w:pPr>
        <w:spacing w:after="200" w:line="276" w:lineRule="auto"/>
        <w:jc w:val="both"/>
        <w:rPr>
          <w:sz w:val="22"/>
          <w:szCs w:val="22"/>
        </w:rPr>
      </w:pPr>
    </w:p>
    <w:p w14:paraId="311CC984" w14:textId="77777777" w:rsidR="00C025B8" w:rsidRPr="00887FC8" w:rsidRDefault="005117E1" w:rsidP="00887FC8">
      <w:pPr>
        <w:spacing w:after="80" w:line="276" w:lineRule="auto"/>
        <w:jc w:val="both"/>
        <w:rPr>
          <w:sz w:val="22"/>
          <w:szCs w:val="22"/>
        </w:rPr>
      </w:pPr>
      <w:r w:rsidRPr="00887FC8">
        <w:rPr>
          <w:b/>
          <w:bCs/>
          <w:i/>
          <w:iCs/>
          <w:sz w:val="22"/>
          <w:szCs w:val="22"/>
        </w:rPr>
        <w:t>3.2 Temperature</w:t>
      </w:r>
    </w:p>
    <w:p w14:paraId="386B8DD8" w14:textId="77777777" w:rsidR="00C025B8" w:rsidRPr="00887FC8" w:rsidRDefault="005117E1" w:rsidP="00887FC8">
      <w:pPr>
        <w:spacing w:after="160" w:line="276" w:lineRule="auto"/>
        <w:jc w:val="both"/>
        <w:rPr>
          <w:sz w:val="22"/>
          <w:szCs w:val="22"/>
        </w:rPr>
      </w:pPr>
      <w:r w:rsidRPr="00887FC8">
        <w:rPr>
          <w:sz w:val="22"/>
          <w:szCs w:val="22"/>
        </w:rPr>
        <w:t xml:space="preserve">Water temperature ranged from 27.17 ± 0.21°C (Site 3, </w:t>
      </w:r>
      <w:proofErr w:type="spellStart"/>
      <w:r w:rsidRPr="00887FC8">
        <w:rPr>
          <w:sz w:val="22"/>
          <w:szCs w:val="22"/>
        </w:rPr>
        <w:t>Kulaman</w:t>
      </w:r>
      <w:proofErr w:type="spellEnd"/>
      <w:r w:rsidRPr="00887FC8">
        <w:rPr>
          <w:sz w:val="22"/>
          <w:szCs w:val="22"/>
        </w:rPr>
        <w:t xml:space="preserve"> River) to 28.37 ± 0.06°C (Site 1, </w:t>
      </w:r>
      <w:proofErr w:type="spellStart"/>
      <w:r w:rsidRPr="00887FC8">
        <w:rPr>
          <w:sz w:val="22"/>
          <w:szCs w:val="22"/>
        </w:rPr>
        <w:t>Tinanan</w:t>
      </w:r>
      <w:proofErr w:type="spellEnd"/>
      <w:r w:rsidRPr="00887FC8">
        <w:rPr>
          <w:sz w:val="22"/>
          <w:szCs w:val="22"/>
        </w:rPr>
        <w:t xml:space="preserve"> River), as recorded by the pH meter's built-in temperature sensor. All values were within the DENR DAO 2016-08 standard range of 25–31°C for freshwater bodies. The slightly higher temperature at Site 1 may be attributable to differences in riparian</w:t>
      </w:r>
      <w:r w:rsidRPr="00887FC8">
        <w:rPr>
          <w:sz w:val="22"/>
          <w:szCs w:val="22"/>
        </w:rPr>
        <w:t xml:space="preserve"> canopy cover and stream morphology between the two tributaries. Temperature at the confluence (Site 2: 27.67 ± 0.47°C) reflected a mixing effect between the two tributaries, consistent with confluence mixing dynamics reported in literature (Rice et al., 2</w:t>
      </w:r>
      <w:r w:rsidRPr="00887FC8">
        <w:rPr>
          <w:sz w:val="22"/>
          <w:szCs w:val="22"/>
        </w:rPr>
        <w:t>008).</w:t>
      </w:r>
    </w:p>
    <w:p w14:paraId="112D567D" w14:textId="77777777" w:rsidR="00C025B8" w:rsidRPr="00887FC8" w:rsidRDefault="005117E1" w:rsidP="00887FC8">
      <w:pPr>
        <w:spacing w:after="80" w:line="276" w:lineRule="auto"/>
        <w:jc w:val="both"/>
        <w:rPr>
          <w:sz w:val="22"/>
          <w:szCs w:val="22"/>
        </w:rPr>
      </w:pPr>
      <w:r w:rsidRPr="00887FC8">
        <w:rPr>
          <w:b/>
          <w:bCs/>
          <w:i/>
          <w:iCs/>
          <w:sz w:val="22"/>
          <w:szCs w:val="22"/>
        </w:rPr>
        <w:t>3.3 Electrical Conductivity (EC)</w:t>
      </w:r>
    </w:p>
    <w:p w14:paraId="135BA3AC" w14:textId="77777777" w:rsidR="00C025B8" w:rsidRPr="00887FC8" w:rsidRDefault="005117E1" w:rsidP="00887FC8">
      <w:pPr>
        <w:spacing w:after="160" w:line="276" w:lineRule="auto"/>
        <w:jc w:val="both"/>
        <w:rPr>
          <w:sz w:val="22"/>
          <w:szCs w:val="22"/>
        </w:rPr>
      </w:pPr>
      <w:r w:rsidRPr="00887FC8">
        <w:rPr>
          <w:sz w:val="22"/>
          <w:szCs w:val="22"/>
        </w:rPr>
        <w:t xml:space="preserve">EC values ranged from 289.67 ± 4.51 </w:t>
      </w:r>
      <w:proofErr w:type="spellStart"/>
      <w:r w:rsidRPr="00887FC8">
        <w:rPr>
          <w:sz w:val="22"/>
          <w:szCs w:val="22"/>
        </w:rPr>
        <w:t>μS</w:t>
      </w:r>
      <w:proofErr w:type="spellEnd"/>
      <w:r w:rsidRPr="00887FC8">
        <w:rPr>
          <w:sz w:val="22"/>
          <w:szCs w:val="22"/>
        </w:rPr>
        <w:t xml:space="preserve"> cm⁻¹ (Site 3) to 380.33 ± 3.06 </w:t>
      </w:r>
      <w:proofErr w:type="spellStart"/>
      <w:r w:rsidRPr="00887FC8">
        <w:rPr>
          <w:sz w:val="22"/>
          <w:szCs w:val="22"/>
        </w:rPr>
        <w:t>μS</w:t>
      </w:r>
      <w:proofErr w:type="spellEnd"/>
      <w:r w:rsidRPr="00887FC8">
        <w:rPr>
          <w:sz w:val="22"/>
          <w:szCs w:val="22"/>
        </w:rPr>
        <w:t xml:space="preserve"> cm⁻¹ (Site 1), all well below the standard limit of 1,000 </w:t>
      </w:r>
      <w:proofErr w:type="spellStart"/>
      <w:r w:rsidRPr="00887FC8">
        <w:rPr>
          <w:sz w:val="22"/>
          <w:szCs w:val="22"/>
        </w:rPr>
        <w:t>μS</w:t>
      </w:r>
      <w:proofErr w:type="spellEnd"/>
      <w:r w:rsidRPr="00887FC8">
        <w:rPr>
          <w:sz w:val="22"/>
          <w:szCs w:val="22"/>
        </w:rPr>
        <w:t xml:space="preserve"> cm⁻¹ (DAO 2016-08). The higher EC at Site 1 suggests a greater concentration of dissolved ions in the </w:t>
      </w:r>
      <w:proofErr w:type="spellStart"/>
      <w:r w:rsidRPr="00887FC8">
        <w:rPr>
          <w:sz w:val="22"/>
          <w:szCs w:val="22"/>
        </w:rPr>
        <w:t>Tinanan</w:t>
      </w:r>
      <w:proofErr w:type="spellEnd"/>
      <w:r w:rsidRPr="00887FC8">
        <w:rPr>
          <w:sz w:val="22"/>
          <w:szCs w:val="22"/>
        </w:rPr>
        <w:t xml:space="preserve"> River compared to the </w:t>
      </w:r>
      <w:proofErr w:type="spellStart"/>
      <w:r w:rsidRPr="00887FC8">
        <w:rPr>
          <w:sz w:val="22"/>
          <w:szCs w:val="22"/>
        </w:rPr>
        <w:t>Kulaman</w:t>
      </w:r>
      <w:proofErr w:type="spellEnd"/>
      <w:r w:rsidRPr="00887FC8">
        <w:rPr>
          <w:sz w:val="22"/>
          <w:szCs w:val="22"/>
        </w:rPr>
        <w:t xml:space="preserve"> River. The elevated standard deviation at Sites 2 and 4 (±55.46 and ±50.14, respectively) indicates variability in </w:t>
      </w:r>
      <w:r w:rsidRPr="00887FC8">
        <w:rPr>
          <w:sz w:val="22"/>
          <w:szCs w:val="22"/>
        </w:rPr>
        <w:t>ion mixing at the confluence and downstream zones, which is consistent with hydrodynamic mixing at river confluences (Mackay, 1972).</w:t>
      </w:r>
    </w:p>
    <w:p w14:paraId="3DA2C20B" w14:textId="77777777" w:rsidR="00C025B8" w:rsidRPr="00887FC8" w:rsidRDefault="005117E1" w:rsidP="00887FC8">
      <w:pPr>
        <w:spacing w:after="80" w:line="276" w:lineRule="auto"/>
        <w:jc w:val="both"/>
        <w:rPr>
          <w:sz w:val="22"/>
          <w:szCs w:val="22"/>
        </w:rPr>
      </w:pPr>
      <w:r w:rsidRPr="00887FC8">
        <w:rPr>
          <w:b/>
          <w:bCs/>
          <w:i/>
          <w:iCs/>
          <w:sz w:val="22"/>
          <w:szCs w:val="22"/>
        </w:rPr>
        <w:t>3.4 Total Dissolved Solids (TDS)</w:t>
      </w:r>
    </w:p>
    <w:p w14:paraId="27FB018E" w14:textId="77777777" w:rsidR="00C025B8" w:rsidRPr="00887FC8" w:rsidRDefault="005117E1" w:rsidP="00887FC8">
      <w:pPr>
        <w:spacing w:after="160" w:line="276" w:lineRule="auto"/>
        <w:jc w:val="both"/>
        <w:rPr>
          <w:sz w:val="22"/>
          <w:szCs w:val="22"/>
        </w:rPr>
      </w:pPr>
      <w:r w:rsidRPr="00887FC8">
        <w:rPr>
          <w:sz w:val="22"/>
          <w:szCs w:val="22"/>
        </w:rPr>
        <w:t>TDS values followed a pattern similar to EC, ranging from 144.00 ± 1.73 mg L⁻¹ (Site 3) to</w:t>
      </w:r>
      <w:r w:rsidRPr="00887FC8">
        <w:rPr>
          <w:sz w:val="22"/>
          <w:szCs w:val="22"/>
        </w:rPr>
        <w:t xml:space="preserve"> 189.67 ± 1.53 mg L⁻¹ (Site 1), all within the permissible limit of 1,000 mg L⁻¹ (DAO 2016-08). The correlation between EC and TDS across sites is expected, as EC is a proxy measure of dissolved solids in water (Hem, 1985). The relatively low TDS across al</w:t>
      </w:r>
      <w:r w:rsidRPr="00887FC8">
        <w:rPr>
          <w:sz w:val="22"/>
          <w:szCs w:val="22"/>
        </w:rPr>
        <w:t>l sites suggests minimal anthropogenic contamination at the time of sampling.</w:t>
      </w:r>
    </w:p>
    <w:p w14:paraId="63776B17" w14:textId="77777777" w:rsidR="00C025B8" w:rsidRPr="00887FC8" w:rsidRDefault="005117E1" w:rsidP="00887FC8">
      <w:pPr>
        <w:spacing w:after="80" w:line="276" w:lineRule="auto"/>
        <w:jc w:val="both"/>
        <w:rPr>
          <w:sz w:val="22"/>
          <w:szCs w:val="22"/>
        </w:rPr>
      </w:pPr>
      <w:r w:rsidRPr="00887FC8">
        <w:rPr>
          <w:b/>
          <w:bCs/>
          <w:i/>
          <w:iCs/>
          <w:sz w:val="22"/>
          <w:szCs w:val="22"/>
        </w:rPr>
        <w:t>3.5 pH</w:t>
      </w:r>
    </w:p>
    <w:p w14:paraId="77544EA2" w14:textId="77777777" w:rsidR="00C025B8" w:rsidRPr="00887FC8" w:rsidRDefault="005117E1" w:rsidP="00887FC8">
      <w:pPr>
        <w:spacing w:after="160" w:line="276" w:lineRule="auto"/>
        <w:jc w:val="both"/>
        <w:rPr>
          <w:sz w:val="22"/>
          <w:szCs w:val="22"/>
        </w:rPr>
      </w:pPr>
      <w:r w:rsidRPr="00887FC8">
        <w:rPr>
          <w:sz w:val="22"/>
          <w:szCs w:val="22"/>
        </w:rPr>
        <w:t>pH values ranged from 8.23 ± 0.182 (Site 1) to 8.53 ± 0.015 (Site 4), indicating mildly alkaline conditions across all sites. All values fell within the acceptable range o</w:t>
      </w:r>
      <w:r w:rsidRPr="00887FC8">
        <w:rPr>
          <w:sz w:val="22"/>
          <w:szCs w:val="22"/>
        </w:rPr>
        <w:t>f 6.5–9.0 (DAO 2016-08). The slight increase in pH downstream (Site 4) may be attributed to photosynthetic activity or carbonate buffering in the mixed waters. Alkaline pH in tropical rivers has been associated with high primary productivity and carbonate-</w:t>
      </w:r>
      <w:r w:rsidRPr="00887FC8">
        <w:rPr>
          <w:sz w:val="22"/>
          <w:szCs w:val="22"/>
        </w:rPr>
        <w:t>rich geology (Boyd, 2000).</w:t>
      </w:r>
    </w:p>
    <w:p w14:paraId="785991A9" w14:textId="77777777" w:rsidR="00C025B8" w:rsidRPr="00887FC8" w:rsidRDefault="005117E1" w:rsidP="00887FC8">
      <w:pPr>
        <w:spacing w:after="80" w:line="276" w:lineRule="auto"/>
        <w:jc w:val="both"/>
        <w:rPr>
          <w:sz w:val="22"/>
          <w:szCs w:val="22"/>
        </w:rPr>
      </w:pPr>
      <w:r w:rsidRPr="00887FC8">
        <w:rPr>
          <w:b/>
          <w:bCs/>
          <w:i/>
          <w:iCs/>
          <w:sz w:val="22"/>
          <w:szCs w:val="22"/>
        </w:rPr>
        <w:t>3.6 Salinity</w:t>
      </w:r>
    </w:p>
    <w:p w14:paraId="1F36077E" w14:textId="77777777" w:rsidR="00C025B8" w:rsidRPr="00887FC8" w:rsidRDefault="005117E1" w:rsidP="00887FC8">
      <w:pPr>
        <w:spacing w:after="160" w:line="276" w:lineRule="auto"/>
        <w:jc w:val="both"/>
        <w:rPr>
          <w:sz w:val="22"/>
          <w:szCs w:val="22"/>
        </w:rPr>
      </w:pPr>
      <w:r w:rsidRPr="00887FC8">
        <w:rPr>
          <w:sz w:val="22"/>
          <w:szCs w:val="22"/>
        </w:rPr>
        <w:t>Salinity was uniformly 0.01 ± 0.000% across all four sites, far below the standard threshold of 0.50% (DAO 2016-08). This confirms the freshwater nature of both rivers and the confluence zone, with no detectable salt</w:t>
      </w:r>
      <w:r w:rsidRPr="00887FC8">
        <w:rPr>
          <w:sz w:val="22"/>
          <w:szCs w:val="22"/>
        </w:rPr>
        <w:t>water intrusion or saline contamination. The absence of salinity variation is consistent with the inland location of the study area.</w:t>
      </w:r>
    </w:p>
    <w:p w14:paraId="76CA336E" w14:textId="77777777" w:rsidR="00C025B8" w:rsidRPr="00887FC8" w:rsidRDefault="005117E1" w:rsidP="00887FC8">
      <w:pPr>
        <w:spacing w:before="240" w:after="120" w:line="276" w:lineRule="auto"/>
        <w:jc w:val="both"/>
        <w:rPr>
          <w:sz w:val="22"/>
          <w:szCs w:val="22"/>
        </w:rPr>
      </w:pPr>
      <w:r w:rsidRPr="00887FC8">
        <w:rPr>
          <w:b/>
          <w:bCs/>
          <w:sz w:val="22"/>
          <w:szCs w:val="22"/>
        </w:rPr>
        <w:t>4. Conclusion</w:t>
      </w:r>
    </w:p>
    <w:p w14:paraId="4623E7D0" w14:textId="77777777" w:rsidR="00C025B8" w:rsidRPr="00887FC8" w:rsidRDefault="005117E1" w:rsidP="00887FC8">
      <w:pPr>
        <w:spacing w:after="160" w:line="276" w:lineRule="auto"/>
        <w:jc w:val="both"/>
        <w:rPr>
          <w:sz w:val="22"/>
          <w:szCs w:val="22"/>
        </w:rPr>
      </w:pPr>
      <w:r w:rsidRPr="00887FC8">
        <w:rPr>
          <w:sz w:val="22"/>
          <w:szCs w:val="22"/>
        </w:rPr>
        <w:t>This study demonstrated that the physicochemical water quality parameters — temperature, EC, TDS, pH, and sal</w:t>
      </w:r>
      <w:r w:rsidRPr="00887FC8">
        <w:rPr>
          <w:sz w:val="22"/>
          <w:szCs w:val="22"/>
        </w:rPr>
        <w:t xml:space="preserve">inity — measured using a calibrated pH meter at the four sampling sites along the </w:t>
      </w:r>
      <w:proofErr w:type="spellStart"/>
      <w:r w:rsidRPr="00887FC8">
        <w:rPr>
          <w:sz w:val="22"/>
          <w:szCs w:val="22"/>
        </w:rPr>
        <w:t>Tinanan-Kulaman</w:t>
      </w:r>
      <w:proofErr w:type="spellEnd"/>
      <w:r w:rsidRPr="00887FC8">
        <w:rPr>
          <w:sz w:val="22"/>
          <w:szCs w:val="22"/>
        </w:rPr>
        <w:t xml:space="preserve"> River confluence were all within the acceptable limits prescribed by DENR Administrative Order 2016-08. The </w:t>
      </w:r>
      <w:proofErr w:type="spellStart"/>
      <w:r w:rsidRPr="00887FC8">
        <w:rPr>
          <w:sz w:val="22"/>
          <w:szCs w:val="22"/>
        </w:rPr>
        <w:t>Tinanan</w:t>
      </w:r>
      <w:proofErr w:type="spellEnd"/>
      <w:r w:rsidRPr="00887FC8">
        <w:rPr>
          <w:sz w:val="22"/>
          <w:szCs w:val="22"/>
        </w:rPr>
        <w:t xml:space="preserve"> River exhibited higher EC and TDS values c</w:t>
      </w:r>
      <w:r w:rsidRPr="00887FC8">
        <w:rPr>
          <w:sz w:val="22"/>
          <w:szCs w:val="22"/>
        </w:rPr>
        <w:t xml:space="preserve">ompared to the </w:t>
      </w:r>
      <w:proofErr w:type="spellStart"/>
      <w:r w:rsidRPr="00887FC8">
        <w:rPr>
          <w:sz w:val="22"/>
          <w:szCs w:val="22"/>
        </w:rPr>
        <w:t>Kulaman</w:t>
      </w:r>
      <w:proofErr w:type="spellEnd"/>
      <w:r w:rsidRPr="00887FC8">
        <w:rPr>
          <w:sz w:val="22"/>
          <w:szCs w:val="22"/>
        </w:rPr>
        <w:t xml:space="preserve"> River, reflecting differences in the dissolved ion load of the two tributaries. The confluence zone showed </w:t>
      </w:r>
      <w:r w:rsidRPr="00887FC8">
        <w:rPr>
          <w:sz w:val="22"/>
          <w:szCs w:val="22"/>
        </w:rPr>
        <w:lastRenderedPageBreak/>
        <w:t>intermediate values consistent with hydrological mixing. Salinity and pH were uniform across all sites, indicating a stable fr</w:t>
      </w:r>
      <w:r w:rsidRPr="00887FC8">
        <w:rPr>
          <w:sz w:val="22"/>
          <w:szCs w:val="22"/>
        </w:rPr>
        <w:t>eshwater environment with no signs of saline intrusion or acidification.</w:t>
      </w:r>
    </w:p>
    <w:p w14:paraId="6A810348" w14:textId="77777777" w:rsidR="00C025B8" w:rsidRPr="00887FC8" w:rsidRDefault="005117E1" w:rsidP="00887FC8">
      <w:pPr>
        <w:spacing w:after="160" w:line="276" w:lineRule="auto"/>
        <w:jc w:val="both"/>
        <w:rPr>
          <w:sz w:val="22"/>
          <w:szCs w:val="22"/>
        </w:rPr>
      </w:pPr>
      <w:r w:rsidRPr="00887FC8">
        <w:rPr>
          <w:sz w:val="22"/>
          <w:szCs w:val="22"/>
        </w:rPr>
        <w:t xml:space="preserve">These findings provide an updated baseline dataset for the </w:t>
      </w:r>
      <w:proofErr w:type="spellStart"/>
      <w:r w:rsidRPr="00887FC8">
        <w:rPr>
          <w:sz w:val="22"/>
          <w:szCs w:val="22"/>
        </w:rPr>
        <w:t>Tinanan-Kulaman</w:t>
      </w:r>
      <w:proofErr w:type="spellEnd"/>
      <w:r w:rsidRPr="00887FC8">
        <w:rPr>
          <w:sz w:val="22"/>
          <w:szCs w:val="22"/>
        </w:rPr>
        <w:t xml:space="preserve"> River system, expanding upon the 2009 study by incorporating EC and salinity measurements and adopting a con</w:t>
      </w:r>
      <w:r w:rsidRPr="00887FC8">
        <w:rPr>
          <w:sz w:val="22"/>
          <w:szCs w:val="22"/>
        </w:rPr>
        <w:t>fluence-centered spatial design. The current water quality status of both rivers is within safe standards, indicating that the confluence zone is not yet significantly impacted by anthropogenic pollution.</w:t>
      </w:r>
    </w:p>
    <w:p w14:paraId="7267D07F" w14:textId="77777777" w:rsidR="00C025B8" w:rsidRPr="00887FC8" w:rsidRDefault="005117E1" w:rsidP="00887FC8">
      <w:pPr>
        <w:spacing w:before="240" w:after="120" w:line="276" w:lineRule="auto"/>
        <w:jc w:val="both"/>
        <w:rPr>
          <w:sz w:val="22"/>
          <w:szCs w:val="22"/>
        </w:rPr>
      </w:pPr>
      <w:r w:rsidRPr="00887FC8">
        <w:rPr>
          <w:b/>
          <w:bCs/>
          <w:sz w:val="22"/>
          <w:szCs w:val="22"/>
        </w:rPr>
        <w:t>5. Recommendations</w:t>
      </w:r>
    </w:p>
    <w:p w14:paraId="0E079311" w14:textId="77777777" w:rsidR="00887FC8" w:rsidRPr="00887FC8" w:rsidRDefault="00887FC8" w:rsidP="00887FC8">
      <w:pPr>
        <w:spacing w:after="160" w:line="276" w:lineRule="auto"/>
        <w:jc w:val="both"/>
        <w:rPr>
          <w:sz w:val="22"/>
          <w:szCs w:val="22"/>
        </w:rPr>
      </w:pPr>
      <w:r w:rsidRPr="00887FC8">
        <w:rPr>
          <w:sz w:val="22"/>
          <w:szCs w:val="22"/>
        </w:rPr>
        <w:t xml:space="preserve">To sustain and further understand the water quality of the </w:t>
      </w:r>
      <w:proofErr w:type="spellStart"/>
      <w:r w:rsidRPr="00887FC8">
        <w:rPr>
          <w:sz w:val="22"/>
          <w:szCs w:val="22"/>
        </w:rPr>
        <w:t>Tinanan-Kulaman</w:t>
      </w:r>
      <w:proofErr w:type="spellEnd"/>
      <w:r w:rsidRPr="00887FC8">
        <w:rPr>
          <w:sz w:val="22"/>
          <w:szCs w:val="22"/>
        </w:rPr>
        <w:t xml:space="preserve"> River confluence, an integrative and proactive monitoring approach is imperative. We recommend the implementation of the following measures: (1) the expansion of water quality monitoring to include additional parameters such as dissolved oxygen (DO), biochemical oxygen demand (BOD), turbidity, nitrates, phosphates, and fecal coliform count to provide a more comprehensive assessment of the physicochemical and microbiological status of the confluence zone; (2) the conduct of seasonal and long-term monitoring across wet and dry periods to detect temporal fluctuations in water quality and identify emerging pollution trends before they reach critical levels; (3) the extension of sampling coverage beyond the immediate confluence zone to include sites further upstream and downstream along both the </w:t>
      </w:r>
      <w:proofErr w:type="spellStart"/>
      <w:r w:rsidRPr="00887FC8">
        <w:rPr>
          <w:sz w:val="22"/>
          <w:szCs w:val="22"/>
        </w:rPr>
        <w:t>Tinanan</w:t>
      </w:r>
      <w:proofErr w:type="spellEnd"/>
      <w:r w:rsidRPr="00887FC8">
        <w:rPr>
          <w:sz w:val="22"/>
          <w:szCs w:val="22"/>
        </w:rPr>
        <w:t xml:space="preserve"> and </w:t>
      </w:r>
      <w:proofErr w:type="spellStart"/>
      <w:r w:rsidRPr="00887FC8">
        <w:rPr>
          <w:sz w:val="22"/>
          <w:szCs w:val="22"/>
        </w:rPr>
        <w:t>Kulaman</w:t>
      </w:r>
      <w:proofErr w:type="spellEnd"/>
      <w:r w:rsidRPr="00887FC8">
        <w:rPr>
          <w:sz w:val="22"/>
          <w:szCs w:val="22"/>
        </w:rPr>
        <w:t xml:space="preserve"> Rivers, thereby capturing the broader spatial dynamics of water quality in the watershed; (4) the promotion of community-based water quality monitoring programs in coordination with local government units and environmental agencies to ensure sustained surveillance and timely response to any deterioration in water conditions; and (5) the investigation of upstream land use activities, particularly agricultural practices, and their potential contribution to the elevated EC and TDS levels observed in the </w:t>
      </w:r>
      <w:proofErr w:type="spellStart"/>
      <w:r w:rsidRPr="00887FC8">
        <w:rPr>
          <w:sz w:val="22"/>
          <w:szCs w:val="22"/>
        </w:rPr>
        <w:t>Tinanan</w:t>
      </w:r>
      <w:proofErr w:type="spellEnd"/>
      <w:r w:rsidRPr="00887FC8">
        <w:rPr>
          <w:sz w:val="22"/>
          <w:szCs w:val="22"/>
        </w:rPr>
        <w:t xml:space="preserve"> River. The </w:t>
      </w:r>
      <w:proofErr w:type="spellStart"/>
      <w:r w:rsidRPr="00887FC8">
        <w:rPr>
          <w:sz w:val="22"/>
          <w:szCs w:val="22"/>
        </w:rPr>
        <w:t>Tinanan-Kulaman</w:t>
      </w:r>
      <w:proofErr w:type="spellEnd"/>
      <w:r w:rsidRPr="00887FC8">
        <w:rPr>
          <w:sz w:val="22"/>
          <w:szCs w:val="22"/>
        </w:rPr>
        <w:t xml:space="preserve"> River confluence represents a vital freshwater resource for the communities and ecosystems of Arakan, Cotabato, and its preservation is critical to sustaining biodiversity, supporting local livelihoods, and ensuring long-term water security. Addressing these concerns through evidence-based policy interventions, robust environmental regulation, and collaborative stakeholder engagement will be instrumental in safeguarding the ecological integrity of this confluence for future generations.</w:t>
      </w:r>
    </w:p>
    <w:p w14:paraId="7BEAA1AE" w14:textId="77777777" w:rsidR="00887FC8" w:rsidRPr="00887FC8" w:rsidRDefault="00887FC8" w:rsidP="00887FC8">
      <w:pPr>
        <w:spacing w:after="160" w:line="276" w:lineRule="auto"/>
        <w:jc w:val="both"/>
        <w:rPr>
          <w:sz w:val="22"/>
          <w:szCs w:val="22"/>
        </w:rPr>
      </w:pPr>
    </w:p>
    <w:p w14:paraId="1DC43E51" w14:textId="53A1A959" w:rsidR="00C025B8" w:rsidRPr="00887FC8" w:rsidRDefault="005117E1" w:rsidP="00887FC8">
      <w:pPr>
        <w:spacing w:after="160" w:line="276" w:lineRule="auto"/>
        <w:jc w:val="both"/>
        <w:rPr>
          <w:sz w:val="22"/>
          <w:szCs w:val="22"/>
        </w:rPr>
      </w:pPr>
      <w:r w:rsidRPr="00887FC8">
        <w:rPr>
          <w:b/>
          <w:bCs/>
          <w:sz w:val="22"/>
          <w:szCs w:val="22"/>
        </w:rPr>
        <w:t>References</w:t>
      </w:r>
    </w:p>
    <w:p w14:paraId="0C977315" w14:textId="77777777" w:rsidR="00C025B8" w:rsidRPr="00887FC8" w:rsidRDefault="005117E1" w:rsidP="00887FC8">
      <w:pPr>
        <w:spacing w:after="120" w:line="276" w:lineRule="auto"/>
        <w:ind w:left="720" w:hanging="720"/>
        <w:jc w:val="both"/>
        <w:rPr>
          <w:sz w:val="22"/>
          <w:szCs w:val="22"/>
        </w:rPr>
      </w:pPr>
      <w:r w:rsidRPr="00887FC8">
        <w:rPr>
          <w:sz w:val="22"/>
          <w:szCs w:val="22"/>
        </w:rPr>
        <w:t>Benda, L., Poff, N. L., Miller, D., Dunne, T., Reeves, G., Pess, G., &amp; Pollock, M. (2004). The network dynamics hypothesis: How channel ne</w:t>
      </w:r>
      <w:r w:rsidRPr="00887FC8">
        <w:rPr>
          <w:sz w:val="22"/>
          <w:szCs w:val="22"/>
        </w:rPr>
        <w:t xml:space="preserve">tworks structure riverine habitats. </w:t>
      </w:r>
      <w:proofErr w:type="spellStart"/>
      <w:r w:rsidRPr="00887FC8">
        <w:rPr>
          <w:sz w:val="22"/>
          <w:szCs w:val="22"/>
        </w:rPr>
        <w:t>BioScience</w:t>
      </w:r>
      <w:proofErr w:type="spellEnd"/>
      <w:r w:rsidRPr="00887FC8">
        <w:rPr>
          <w:sz w:val="22"/>
          <w:szCs w:val="22"/>
        </w:rPr>
        <w:t>, 54(5), 413–427.</w:t>
      </w:r>
    </w:p>
    <w:p w14:paraId="2926B550" w14:textId="77777777" w:rsidR="00C025B8" w:rsidRPr="00887FC8" w:rsidRDefault="005117E1" w:rsidP="00887FC8">
      <w:pPr>
        <w:spacing w:after="120" w:line="276" w:lineRule="auto"/>
        <w:ind w:left="720" w:hanging="720"/>
        <w:jc w:val="both"/>
        <w:rPr>
          <w:sz w:val="22"/>
          <w:szCs w:val="22"/>
        </w:rPr>
      </w:pPr>
      <w:r w:rsidRPr="00887FC8">
        <w:rPr>
          <w:sz w:val="22"/>
          <w:szCs w:val="22"/>
        </w:rPr>
        <w:t>Boyd, C. E. (2000). Water quality: An introduction. Kluwer Academic Publishers.</w:t>
      </w:r>
    </w:p>
    <w:p w14:paraId="4D0678E1" w14:textId="77777777" w:rsidR="00C025B8" w:rsidRPr="00887FC8" w:rsidRDefault="005117E1" w:rsidP="00887FC8">
      <w:pPr>
        <w:spacing w:after="120" w:line="276" w:lineRule="auto"/>
        <w:ind w:left="720" w:hanging="720"/>
        <w:jc w:val="both"/>
        <w:rPr>
          <w:sz w:val="22"/>
          <w:szCs w:val="22"/>
        </w:rPr>
      </w:pPr>
      <w:r w:rsidRPr="00887FC8">
        <w:rPr>
          <w:sz w:val="22"/>
          <w:szCs w:val="22"/>
        </w:rPr>
        <w:t>Chapman, D. (Ed.). (1996). Water quality assessments: A guide to the use of biota, sediments and water in enviro</w:t>
      </w:r>
      <w:r w:rsidRPr="00887FC8">
        <w:rPr>
          <w:sz w:val="22"/>
          <w:szCs w:val="22"/>
        </w:rPr>
        <w:t>nmental monitoring (2nd ed.). UNESCO/WHO/UNEP.</w:t>
      </w:r>
    </w:p>
    <w:p w14:paraId="0C584022" w14:textId="77777777" w:rsidR="00C025B8" w:rsidRPr="00887FC8" w:rsidRDefault="005117E1" w:rsidP="00887FC8">
      <w:pPr>
        <w:spacing w:after="120" w:line="276" w:lineRule="auto"/>
        <w:ind w:left="720" w:hanging="720"/>
        <w:jc w:val="both"/>
        <w:rPr>
          <w:sz w:val="22"/>
          <w:szCs w:val="22"/>
        </w:rPr>
      </w:pPr>
      <w:r w:rsidRPr="00887FC8">
        <w:rPr>
          <w:sz w:val="22"/>
          <w:szCs w:val="22"/>
        </w:rPr>
        <w:t>Department of Environment and Natural Resources (DENR). (2016). DENR Administrative Order 2016-08: Water quality guidelines and general effluent standards of 2016. Republic of the Philippines.</w:t>
      </w:r>
    </w:p>
    <w:p w14:paraId="30A11D83" w14:textId="77777777" w:rsidR="00C025B8" w:rsidRPr="00887FC8" w:rsidRDefault="005117E1" w:rsidP="00887FC8">
      <w:pPr>
        <w:spacing w:after="120" w:line="276" w:lineRule="auto"/>
        <w:ind w:left="720" w:hanging="720"/>
        <w:jc w:val="both"/>
        <w:rPr>
          <w:sz w:val="22"/>
          <w:szCs w:val="22"/>
        </w:rPr>
      </w:pPr>
      <w:r w:rsidRPr="00887FC8">
        <w:rPr>
          <w:sz w:val="22"/>
          <w:szCs w:val="22"/>
        </w:rPr>
        <w:t>Hem, J. D. (1985</w:t>
      </w:r>
      <w:r w:rsidRPr="00887FC8">
        <w:rPr>
          <w:sz w:val="22"/>
          <w:szCs w:val="22"/>
        </w:rPr>
        <w:t>). Study and interpretation of the chemical characteristics of natural water (3rd ed.). U.S. Geological Survey Water-Supply Paper 2254.</w:t>
      </w:r>
    </w:p>
    <w:p w14:paraId="2FF5F72B" w14:textId="77777777" w:rsidR="00C025B8" w:rsidRPr="00887FC8" w:rsidRDefault="005117E1" w:rsidP="00887FC8">
      <w:pPr>
        <w:spacing w:after="120" w:line="276" w:lineRule="auto"/>
        <w:ind w:left="720" w:hanging="720"/>
        <w:jc w:val="both"/>
        <w:rPr>
          <w:sz w:val="22"/>
          <w:szCs w:val="22"/>
        </w:rPr>
      </w:pPr>
      <w:r w:rsidRPr="00887FC8">
        <w:rPr>
          <w:sz w:val="22"/>
          <w:szCs w:val="22"/>
        </w:rPr>
        <w:lastRenderedPageBreak/>
        <w:t>Mackay, D. (1972). The physical and chemical fate of spills. In Proceedings of the Joint Conference on Prevention and Co</w:t>
      </w:r>
      <w:r w:rsidRPr="00887FC8">
        <w:rPr>
          <w:sz w:val="22"/>
          <w:szCs w:val="22"/>
        </w:rPr>
        <w:t>ntrol of Oil Spills.</w:t>
      </w:r>
    </w:p>
    <w:p w14:paraId="0A17F887" w14:textId="77777777" w:rsidR="00C025B8" w:rsidRPr="00887FC8" w:rsidRDefault="005117E1" w:rsidP="00887FC8">
      <w:pPr>
        <w:spacing w:after="120" w:line="276" w:lineRule="auto"/>
        <w:ind w:left="720" w:hanging="720"/>
        <w:jc w:val="both"/>
        <w:rPr>
          <w:sz w:val="22"/>
          <w:szCs w:val="22"/>
        </w:rPr>
      </w:pPr>
      <w:r w:rsidRPr="00887FC8">
        <w:rPr>
          <w:sz w:val="22"/>
          <w:szCs w:val="22"/>
        </w:rPr>
        <w:t>Rice, S. P., Roy, A. G., &amp; Rhoads, B. L. (Eds.). (2008). River confluences, tributaries and the fluvial network. John Wiley &amp; Sons.</w:t>
      </w:r>
    </w:p>
    <w:p w14:paraId="54A60698" w14:textId="77777777" w:rsidR="00C025B8" w:rsidRPr="00887FC8" w:rsidRDefault="005117E1" w:rsidP="00887FC8">
      <w:pPr>
        <w:spacing w:after="120" w:line="276" w:lineRule="auto"/>
        <w:ind w:left="720" w:hanging="720"/>
        <w:jc w:val="both"/>
        <w:rPr>
          <w:sz w:val="22"/>
          <w:szCs w:val="22"/>
        </w:rPr>
      </w:pPr>
      <w:r w:rsidRPr="00887FC8">
        <w:rPr>
          <w:sz w:val="22"/>
          <w:szCs w:val="22"/>
        </w:rPr>
        <w:t>Wetzel, R. G. (2001). Limnology: Lake and river ecosystems (3rd ed.). Academic Press.</w:t>
      </w:r>
    </w:p>
    <w:sectPr w:rsidR="00C025B8" w:rsidRPr="00887FC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F20E2"/>
    <w:multiLevelType w:val="hybridMultilevel"/>
    <w:tmpl w:val="5A0AA846"/>
    <w:lvl w:ilvl="0" w:tplc="11BE13D6">
      <w:start w:val="1"/>
      <w:numFmt w:val="bullet"/>
      <w:lvlText w:val="●"/>
      <w:lvlJc w:val="left"/>
      <w:pPr>
        <w:ind w:left="720" w:hanging="360"/>
      </w:pPr>
    </w:lvl>
    <w:lvl w:ilvl="1" w:tplc="38881B6A">
      <w:start w:val="1"/>
      <w:numFmt w:val="bullet"/>
      <w:lvlText w:val="○"/>
      <w:lvlJc w:val="left"/>
      <w:pPr>
        <w:ind w:left="1440" w:hanging="360"/>
      </w:pPr>
    </w:lvl>
    <w:lvl w:ilvl="2" w:tplc="FC02602A">
      <w:start w:val="1"/>
      <w:numFmt w:val="bullet"/>
      <w:lvlText w:val="■"/>
      <w:lvlJc w:val="left"/>
      <w:pPr>
        <w:ind w:left="2160" w:hanging="360"/>
      </w:pPr>
    </w:lvl>
    <w:lvl w:ilvl="3" w:tplc="A15CF632">
      <w:start w:val="1"/>
      <w:numFmt w:val="bullet"/>
      <w:lvlText w:val="●"/>
      <w:lvlJc w:val="left"/>
      <w:pPr>
        <w:ind w:left="2880" w:hanging="360"/>
      </w:pPr>
    </w:lvl>
    <w:lvl w:ilvl="4" w:tplc="9A367B72">
      <w:start w:val="1"/>
      <w:numFmt w:val="bullet"/>
      <w:lvlText w:val="○"/>
      <w:lvlJc w:val="left"/>
      <w:pPr>
        <w:ind w:left="3600" w:hanging="360"/>
      </w:pPr>
    </w:lvl>
    <w:lvl w:ilvl="5" w:tplc="587E4A88">
      <w:start w:val="1"/>
      <w:numFmt w:val="bullet"/>
      <w:lvlText w:val="■"/>
      <w:lvlJc w:val="left"/>
      <w:pPr>
        <w:ind w:left="4320" w:hanging="360"/>
      </w:pPr>
    </w:lvl>
    <w:lvl w:ilvl="6" w:tplc="99C6DFAC">
      <w:start w:val="1"/>
      <w:numFmt w:val="bullet"/>
      <w:lvlText w:val="●"/>
      <w:lvlJc w:val="left"/>
      <w:pPr>
        <w:ind w:left="5040" w:hanging="360"/>
      </w:pPr>
    </w:lvl>
    <w:lvl w:ilvl="7" w:tplc="879E1A58">
      <w:start w:val="1"/>
      <w:numFmt w:val="bullet"/>
      <w:lvlText w:val="●"/>
      <w:lvlJc w:val="left"/>
      <w:pPr>
        <w:ind w:left="5760" w:hanging="360"/>
      </w:pPr>
    </w:lvl>
    <w:lvl w:ilvl="8" w:tplc="E912FC7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5B8"/>
    <w:rsid w:val="005117E1"/>
    <w:rsid w:val="00760307"/>
    <w:rsid w:val="00887FC8"/>
    <w:rsid w:val="00991CBB"/>
    <w:rsid w:val="00C0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customStyle="1" w:styleId="GridTableLight">
    <w:name w:val="Grid Table Light"/>
    <w:basedOn w:val="TableNormal"/>
    <w:uiPriority w:val="40"/>
    <w:rsid w:val="00991CB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customStyle="1" w:styleId="GridTableLight">
    <w:name w:val="Grid Table Light"/>
    <w:basedOn w:val="TableNormal"/>
    <w:uiPriority w:val="40"/>
    <w:rsid w:val="00991CB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cp:revision>
  <dcterms:created xsi:type="dcterms:W3CDTF">2026-06-05T10:39:00Z</dcterms:created>
  <dcterms:modified xsi:type="dcterms:W3CDTF">2026-06-06T07:01:00Z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aa4a92f3-7af6-40d1-aeae-7c162ae16864</vt:lpwstr>
  </property>
</Properties>
</file>