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57" w:lineRule="auto" w:before="64"/>
        <w:ind w:left="223" w:right="218" w:firstLine="0"/>
        <w:jc w:val="center"/>
        <w:rPr>
          <w:b/>
          <w:sz w:val="24"/>
        </w:rPr>
      </w:pPr>
      <w:r>
        <w:rPr>
          <w:b/>
          <w:sz w:val="24"/>
        </w:rPr>
        <w:t>Utilizing</w:t>
      </w:r>
      <w:r>
        <w:rPr>
          <w:b/>
          <w:spacing w:val="-4"/>
          <w:sz w:val="24"/>
        </w:rPr>
        <w:t> </w:t>
      </w:r>
      <w:r>
        <w:rPr>
          <w:b/>
          <w:sz w:val="24"/>
        </w:rPr>
        <w:t>ReadQuest</w:t>
      </w:r>
      <w:r>
        <w:rPr>
          <w:b/>
          <w:spacing w:val="-4"/>
          <w:sz w:val="24"/>
        </w:rPr>
        <w:t> </w:t>
      </w:r>
      <w:r>
        <w:rPr>
          <w:b/>
          <w:sz w:val="24"/>
        </w:rPr>
        <w:t>Approach</w:t>
      </w:r>
      <w:r>
        <w:rPr>
          <w:b/>
          <w:spacing w:val="-5"/>
          <w:sz w:val="24"/>
        </w:rPr>
        <w:t> </w:t>
      </w:r>
      <w:r>
        <w:rPr>
          <w:b/>
          <w:sz w:val="24"/>
        </w:rPr>
        <w:t>in</w:t>
      </w:r>
      <w:r>
        <w:rPr>
          <w:b/>
          <w:spacing w:val="-5"/>
          <w:sz w:val="24"/>
        </w:rPr>
        <w:t> </w:t>
      </w:r>
      <w:r>
        <w:rPr>
          <w:b/>
          <w:sz w:val="24"/>
        </w:rPr>
        <w:t>Developing</w:t>
      </w:r>
      <w:r>
        <w:rPr>
          <w:b/>
          <w:spacing w:val="-4"/>
          <w:sz w:val="24"/>
        </w:rPr>
        <w:t> </w:t>
      </w:r>
      <w:r>
        <w:rPr>
          <w:b/>
          <w:sz w:val="24"/>
        </w:rPr>
        <w:t>the</w:t>
      </w:r>
      <w:r>
        <w:rPr>
          <w:b/>
          <w:spacing w:val="-3"/>
          <w:sz w:val="24"/>
        </w:rPr>
        <w:t> </w:t>
      </w:r>
      <w:r>
        <w:rPr>
          <w:b/>
          <w:sz w:val="24"/>
        </w:rPr>
        <w:t>Oral</w:t>
      </w:r>
      <w:r>
        <w:rPr>
          <w:b/>
          <w:spacing w:val="-4"/>
          <w:sz w:val="24"/>
        </w:rPr>
        <w:t> </w:t>
      </w:r>
      <w:r>
        <w:rPr>
          <w:b/>
          <w:sz w:val="24"/>
        </w:rPr>
        <w:t>Reading</w:t>
      </w:r>
      <w:r>
        <w:rPr>
          <w:b/>
          <w:spacing w:val="-4"/>
          <w:sz w:val="24"/>
        </w:rPr>
        <w:t> </w:t>
      </w:r>
      <w:r>
        <w:rPr>
          <w:b/>
          <w:sz w:val="24"/>
        </w:rPr>
        <w:t>Fluency</w:t>
      </w:r>
      <w:r>
        <w:rPr>
          <w:b/>
          <w:spacing w:val="-4"/>
          <w:sz w:val="24"/>
        </w:rPr>
        <w:t> </w:t>
      </w:r>
      <w:r>
        <w:rPr>
          <w:b/>
          <w:sz w:val="24"/>
        </w:rPr>
        <w:t>of</w:t>
      </w:r>
      <w:r>
        <w:rPr>
          <w:b/>
          <w:spacing w:val="-4"/>
          <w:sz w:val="24"/>
        </w:rPr>
        <w:t> </w:t>
      </w:r>
      <w:r>
        <w:rPr>
          <w:b/>
          <w:sz w:val="24"/>
        </w:rPr>
        <w:t>Grade</w:t>
      </w:r>
      <w:r>
        <w:rPr>
          <w:b/>
          <w:spacing w:val="-3"/>
          <w:sz w:val="24"/>
        </w:rPr>
        <w:t> </w:t>
      </w:r>
      <w:r>
        <w:rPr>
          <w:b/>
          <w:sz w:val="24"/>
        </w:rPr>
        <w:t>7 </w:t>
      </w:r>
      <w:r>
        <w:rPr>
          <w:b/>
          <w:spacing w:val="-2"/>
          <w:sz w:val="24"/>
        </w:rPr>
        <w:t>Learners</w:t>
      </w:r>
    </w:p>
    <w:p>
      <w:pPr>
        <w:pStyle w:val="BodyText"/>
        <w:spacing w:before="141"/>
        <w:ind w:left="0"/>
        <w:jc w:val="left"/>
        <w:rPr>
          <w:b/>
        </w:rPr>
      </w:pPr>
    </w:p>
    <w:p>
      <w:pPr>
        <w:spacing w:line="360" w:lineRule="auto" w:before="1"/>
        <w:ind w:left="3332" w:right="3214" w:firstLine="264"/>
        <w:jc w:val="left"/>
        <w:rPr>
          <w:b/>
          <w:sz w:val="24"/>
        </w:rPr>
      </w:pPr>
      <w:r>
        <w:rPr>
          <w:b/>
          <w:sz w:val="24"/>
        </w:rPr>
        <w:t/>
      </w:r>
      <w:r>
        <w:rPr>
          <w:b/>
          <w:spacing w:val="-11"/>
          <w:sz w:val="24"/>
        </w:rPr>
        <w:t/>
      </w:r>
      <w:r>
        <w:rPr>
          <w:b/>
          <w:sz w:val="24"/>
        </w:rPr>
        <w:t/>
      </w:r>
      <w:r>
        <w:rPr>
          <w:b/>
          <w:spacing w:val="-10"/>
          <w:sz w:val="24"/>
        </w:rPr>
        <w:t/>
      </w:r>
      <w:r>
        <w:rPr>
          <w:b/>
          <w:sz w:val="24"/>
        </w:rPr>
        <w:t/>
      </w:r>
      <w:r>
        <w:rPr>
          <w:b/>
          <w:spacing w:val="-11"/>
          <w:sz w:val="24"/>
        </w:rPr>
        <w:t/>
      </w:r>
      <w:r>
        <w:rPr>
          <w:b/>
          <w:sz w:val="24"/>
        </w:rPr>
        <w:t/>
      </w:r>
      <w:r>
        <w:rPr>
          <w:b/>
          <w:spacing w:val="-1"/>
          <w:sz w:val="24"/>
        </w:rPr>
        <w:t/>
      </w:r>
      <w:r>
        <w:rPr>
          <w:b/>
          <w:sz w:val="24"/>
        </w:rPr>
        <w:t/>
      </w:r>
      <w:r>
        <w:rPr>
          <w:b/>
          <w:spacing w:val="-1"/>
          <w:sz w:val="24"/>
        </w:rPr>
        <w:t/>
      </w:r>
      <w:r>
        <w:rPr>
          <w:b/>
          <w:spacing w:val="-2"/>
          <w:sz w:val="24"/>
        </w:rPr>
        <w:t/>
      </w:r>
      <w:r>
        <w:rPr>
          <w:b/>
          <w:spacing w:val="-2"/>
          <w:sz w:val="24"/>
          <w:vertAlign w:val="superscript"/>
        </w:rPr>
        <w:t/>
      </w:r>
      <w:r>
        <w:rPr>
          <w:b/>
          <w:spacing w:val="-2"/>
          <w:sz w:val="24"/>
          <w:vertAlign w:val="baseline"/>
        </w:rPr>
        <w:t/>
      </w:r>
    </w:p>
    <w:p>
      <w:pPr>
        <w:spacing w:line="360" w:lineRule="auto" w:before="2"/>
        <w:ind w:left="3260" w:right="3133" w:firstLine="476"/>
        <w:jc w:val="left"/>
        <w:rPr>
          <w:b/>
          <w:sz w:val="24"/>
        </w:rPr>
      </w:pPr>
      <w:r>
        <w:rPr>
          <w:b/>
          <w:sz w:val="24"/>
        </w:rPr>
        <w:t/>
      </w:r>
      <w:r>
        <w:rPr>
          <w:b/>
          <w:sz w:val="24"/>
          <w:vertAlign w:val="superscript"/>
        </w:rPr>
        <w:t/>
      </w:r>
      <w:r>
        <w:rPr>
          <w:b/>
          <w:sz w:val="24"/>
          <w:vertAlign w:val="baseline"/>
        </w:rPr>
        <w:t/>
      </w:r>
      <w:r>
        <w:rPr>
          <w:b/>
          <w:sz w:val="24"/>
          <w:vertAlign w:val="superscript"/>
        </w:rPr>
        <w:t/>
      </w:r>
      <w:r>
        <w:rPr>
          <w:b/>
          <w:sz w:val="24"/>
          <w:vertAlign w:val="baseline"/>
        </w:rPr>
        <w:t/>
      </w:r>
      <w:r>
        <w:rPr>
          <w:b/>
          <w:spacing w:val="-14"/>
          <w:sz w:val="24"/>
          <w:vertAlign w:val="baseline"/>
        </w:rPr>
        <w:t/>
      </w:r>
      <w:r>
        <w:rPr>
          <w:b/>
          <w:sz w:val="24"/>
          <w:vertAlign w:val="baseline"/>
        </w:rPr>
        <w:t/>
      </w:r>
      <w:r>
        <w:rPr>
          <w:b/>
          <w:spacing w:val="-12"/>
          <w:sz w:val="24"/>
          <w:vertAlign w:val="baseline"/>
        </w:rPr>
        <w:t/>
      </w:r>
      <w:r>
        <w:rPr>
          <w:b/>
          <w:sz w:val="24"/>
          <w:vertAlign w:val="baseline"/>
        </w:rPr>
        <w:t/>
      </w:r>
      <w:r>
        <w:rPr>
          <w:b/>
          <w:spacing w:val="-12"/>
          <w:sz w:val="24"/>
          <w:vertAlign w:val="baseline"/>
        </w:rPr>
        <w:t/>
      </w:r>
      <w:r>
        <w:rPr>
          <w:b/>
          <w:sz w:val="24"/>
          <w:vertAlign w:val="baseline"/>
        </w:rPr>
        <w:t/>
      </w:r>
      <w:r>
        <w:rPr>
          <w:b/>
          <w:sz w:val="24"/>
          <w:vertAlign w:val="superscript"/>
        </w:rPr>
        <w:t/>
      </w:r>
      <w:r>
        <w:rPr>
          <w:b/>
          <w:sz w:val="24"/>
          <w:vertAlign w:val="baseline"/>
        </w:rPr>
        <w:t/>
      </w:r>
    </w:p>
    <w:p>
      <w:pPr>
        <w:spacing w:line="362" w:lineRule="auto" w:before="0"/>
        <w:ind w:left="2577" w:right="2579" w:firstLine="0"/>
        <w:jc w:val="center"/>
        <w:rPr>
          <w:b/>
          <w:sz w:val="24"/>
        </w:rPr>
      </w:pPr>
      <w:r>
        <w:rPr>
          <w:b/>
          <w:sz w:val="24"/>
        </w:rPr>
        <w:t/>
      </w:r>
      <w:r>
        <w:rPr>
          <w:b/>
          <w:spacing w:val="-14"/>
          <w:sz w:val="24"/>
        </w:rPr>
        <w:t/>
      </w:r>
      <w:r>
        <w:rPr>
          <w:b/>
          <w:sz w:val="24"/>
        </w:rPr>
        <w:t/>
      </w:r>
      <w:r>
        <w:rPr>
          <w:b/>
          <w:spacing w:val="-14"/>
          <w:sz w:val="24"/>
        </w:rPr>
        <w:t/>
      </w:r>
      <w:r>
        <w:rPr>
          <w:b/>
          <w:sz w:val="24"/>
        </w:rPr>
        <w:t/>
      </w:r>
      <w:r>
        <w:rPr>
          <w:b/>
          <w:spacing w:val="-14"/>
          <w:sz w:val="24"/>
        </w:rPr>
        <w:t/>
      </w:r>
      <w:r>
        <w:rPr>
          <w:b/>
          <w:sz w:val="24"/>
        </w:rPr>
        <w:t/>
      </w:r>
      <w:r>
        <w:rPr>
          <w:b/>
          <w:sz w:val="24"/>
          <w:vertAlign w:val="superscript"/>
        </w:rPr>
        <w:t/>
      </w:r>
      <w:r>
        <w:rPr>
          <w:b/>
          <w:sz w:val="24"/>
          <w:vertAlign w:val="baseline"/>
        </w:rPr>
        <w:t/>
      </w:r>
      <w:r>
        <w:rPr>
          <w:b/>
          <w:sz w:val="24"/>
          <w:vertAlign w:val="superscript"/>
        </w:rPr>
        <w:t/>
      </w:r>
    </w:p>
    <w:p>
      <w:pPr>
        <w:pStyle w:val="BodyText"/>
        <w:spacing w:line="278" w:lineRule="auto"/>
        <w:ind w:left="392" w:right="383"/>
        <w:jc w:val="center"/>
      </w:pPr>
      <w:r>
        <w:rPr>
          <w:vertAlign w:val="superscript"/>
        </w:rPr>
        <w:t/>
      </w:r>
      <w:r>
        <w:rPr>
          <w:spacing w:val="-6"/>
          <w:vertAlign w:val="baseline"/>
        </w:rPr>
        <w:t/>
      </w:r>
      <w:r>
        <w:rPr>
          <w:vertAlign w:val="baseline"/>
        </w:rPr>
        <w:t/>
      </w:r>
      <w:r>
        <w:rPr>
          <w:spacing w:val="-5"/>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hyperlink r:id="rId6">
        <w:r>
          <w:rPr>
            <w:color w:val="0462C1"/>
            <w:spacing w:val="-2"/>
            <w:vertAlign w:val="baseline"/>
          </w:rPr>
          <w:t/>
        </w:r>
      </w:hyperlink>
    </w:p>
    <w:p>
      <w:pPr>
        <w:pStyle w:val="BodyText"/>
        <w:spacing w:line="276" w:lineRule="auto"/>
        <w:ind w:left="226" w:right="218"/>
        <w:jc w:val="center"/>
      </w:pPr>
      <w:r>
        <w:rPr>
          <w:vertAlign w:val="superscript"/>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hyperlink r:id="rId7">
        <w:r>
          <w:rPr>
            <w:color w:val="0462C1"/>
            <w:spacing w:val="-2"/>
            <w:vertAlign w:val="baseline"/>
          </w:rPr>
          <w:t/>
        </w:r>
      </w:hyperlink>
    </w:p>
    <w:p>
      <w:pPr>
        <w:pStyle w:val="BodyText"/>
        <w:spacing w:line="276" w:lineRule="auto"/>
        <w:ind w:left="219" w:right="218"/>
        <w:jc w:val="center"/>
      </w:pPr>
      <w:r>
        <w:rPr>
          <w:vertAlign w:val="superscript"/>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hyperlink r:id="rId8">
        <w:r>
          <w:rPr>
            <w:color w:val="0462C1"/>
            <w:spacing w:val="-2"/>
            <w:vertAlign w:val="baseline"/>
          </w:rPr>
          <w:t/>
        </w:r>
      </w:hyperlink>
    </w:p>
    <w:p>
      <w:pPr>
        <w:pStyle w:val="BodyText"/>
        <w:spacing w:line="278" w:lineRule="auto"/>
        <w:ind w:left="476" w:right="468"/>
        <w:jc w:val="center"/>
      </w:pPr>
      <w:r>
        <w:rPr>
          <w:vertAlign w:val="superscript"/>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hyperlink r:id="rId9">
        <w:r>
          <w:rPr>
            <w:color w:val="0462C1"/>
            <w:spacing w:val="-2"/>
            <w:vertAlign w:val="baseline"/>
          </w:rPr>
          <w:t/>
        </w:r>
      </w:hyperlink>
    </w:p>
    <w:p>
      <w:pPr>
        <w:pStyle w:val="BodyText"/>
        <w:spacing w:line="276" w:lineRule="auto"/>
        <w:ind w:left="219" w:right="218"/>
        <w:jc w:val="center"/>
      </w:pPr>
      <w:r>
        <w:rPr>
          <w:vertAlign w:val="superscript"/>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hyperlink r:id="rId10">
        <w:r>
          <w:rPr>
            <w:color w:val="0462C1"/>
            <w:spacing w:val="-2"/>
            <w:vertAlign w:val="baseline"/>
          </w:rPr>
          <w:t/>
        </w:r>
      </w:hyperlink>
    </w:p>
    <w:p>
      <w:pPr>
        <w:pStyle w:val="BodyText"/>
        <w:spacing w:line="276" w:lineRule="auto"/>
        <w:ind w:left="392" w:right="383"/>
        <w:jc w:val="center"/>
      </w:pPr>
      <w:r>
        <w:rPr>
          <w:vertAlign w:val="superscript"/>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r>
        <w:rPr>
          <w:spacing w:val="-6"/>
          <w:vertAlign w:val="baseline"/>
        </w:rPr>
        <w:t/>
      </w:r>
      <w:r>
        <w:rPr>
          <w:vertAlign w:val="baseline"/>
        </w:rPr>
        <w:t/>
      </w:r>
      <w:hyperlink r:id="rId11">
        <w:r>
          <w:rPr>
            <w:color w:val="0462C1"/>
            <w:spacing w:val="-2"/>
            <w:vertAlign w:val="baseline"/>
          </w:rPr>
          <w:t/>
        </w:r>
      </w:hyperlink>
    </w:p>
    <w:p>
      <w:pPr>
        <w:pStyle w:val="BodyText"/>
        <w:spacing w:line="276" w:lineRule="auto"/>
        <w:ind w:left="219" w:right="219"/>
        <w:jc w:val="center"/>
      </w:pPr>
      <w:r>
        <w:rPr>
          <w:vertAlign w:val="superscript"/>
        </w:rPr>
        <w:t/>
      </w:r>
      <w:r>
        <w:rPr>
          <w:spacing w:val="-5"/>
          <w:vertAlign w:val="baseline"/>
        </w:rPr>
        <w:t/>
      </w:r>
      <w:r>
        <w:rPr>
          <w:vertAlign w:val="baseline"/>
        </w:rPr>
        <w:t/>
      </w:r>
      <w:r>
        <w:rPr>
          <w:spacing w:val="-5"/>
          <w:vertAlign w:val="baseline"/>
        </w:rPr>
        <w:t/>
      </w:r>
      <w:r>
        <w:rPr>
          <w:vertAlign w:val="baseline"/>
        </w:rPr>
        <w:t/>
      </w:r>
      <w:r>
        <w:rPr>
          <w:spacing w:val="-5"/>
          <w:vertAlign w:val="baseline"/>
        </w:rPr>
        <w:t/>
      </w:r>
      <w:r>
        <w:rPr>
          <w:vertAlign w:val="baseline"/>
        </w:rPr>
        <w:t/>
      </w:r>
      <w:r>
        <w:rPr>
          <w:spacing w:val="-5"/>
          <w:vertAlign w:val="baseline"/>
        </w:rPr>
        <w:t/>
      </w:r>
      <w:r>
        <w:rPr>
          <w:vertAlign w:val="baseline"/>
        </w:rPr>
        <w:t/>
      </w:r>
      <w:r>
        <w:rPr>
          <w:spacing w:val="-10"/>
          <w:vertAlign w:val="baseline"/>
        </w:rPr>
        <w:t/>
      </w:r>
      <w:r>
        <w:rPr>
          <w:vertAlign w:val="baseline"/>
        </w:rPr>
        <w:t/>
      </w:r>
      <w:r>
        <w:rPr>
          <w:spacing w:val="-5"/>
          <w:vertAlign w:val="baseline"/>
        </w:rPr>
        <w:t/>
      </w:r>
      <w:r>
        <w:rPr>
          <w:vertAlign w:val="baseline"/>
        </w:rPr>
        <w:t/>
      </w:r>
      <w:r>
        <w:rPr>
          <w:spacing w:val="-5"/>
          <w:vertAlign w:val="baseline"/>
        </w:rPr>
        <w:t/>
      </w:r>
      <w:r>
        <w:rPr>
          <w:vertAlign w:val="baseline"/>
        </w:rPr>
        <w:t/>
      </w:r>
      <w:hyperlink r:id="rId12">
        <w:r>
          <w:rPr>
            <w:color w:val="0462C1"/>
            <w:spacing w:val="-2"/>
            <w:vertAlign w:val="baseline"/>
          </w:rPr>
          <w:t/>
        </w:r>
      </w:hyperlink>
    </w:p>
    <w:p>
      <w:pPr>
        <w:pStyle w:val="BodyText"/>
        <w:spacing w:line="278" w:lineRule="auto"/>
        <w:ind w:left="223" w:right="218"/>
        <w:jc w:val="center"/>
      </w:pPr>
      <w:r>
        <w:rPr>
          <w:vertAlign w:val="superscript"/>
        </w:rPr>
        <w:t/>
      </w:r>
      <w:r>
        <w:rPr>
          <w:spacing w:val="-4"/>
          <w:vertAlign w:val="baseline"/>
        </w:rPr>
        <w:t/>
      </w:r>
      <w:r>
        <w:rPr>
          <w:vertAlign w:val="baseline"/>
        </w:rPr>
        <w:t/>
      </w:r>
      <w:r>
        <w:rPr>
          <w:spacing w:val="-4"/>
          <w:vertAlign w:val="baseline"/>
        </w:rPr>
        <w:t/>
      </w:r>
      <w:r>
        <w:rPr>
          <w:vertAlign w:val="baseline"/>
        </w:rPr>
        <w:t/>
      </w:r>
      <w:r>
        <w:rPr>
          <w:spacing w:val="-4"/>
          <w:vertAlign w:val="baseline"/>
        </w:rPr>
        <w:t/>
      </w:r>
      <w:r>
        <w:rPr>
          <w:vertAlign w:val="baseline"/>
        </w:rPr>
        <w:t/>
      </w:r>
      <w:r>
        <w:rPr>
          <w:spacing w:val="-4"/>
          <w:vertAlign w:val="baseline"/>
        </w:rPr>
        <w:t/>
      </w:r>
      <w:r>
        <w:rPr>
          <w:vertAlign w:val="baseline"/>
        </w:rPr>
        <w:t/>
      </w:r>
      <w:r>
        <w:rPr>
          <w:spacing w:val="-9"/>
          <w:vertAlign w:val="baseline"/>
        </w:rPr>
        <w:t/>
      </w:r>
      <w:r>
        <w:rPr>
          <w:vertAlign w:val="baseline"/>
        </w:rPr>
        <w:t/>
      </w:r>
      <w:r>
        <w:rPr>
          <w:spacing w:val="-4"/>
          <w:vertAlign w:val="baseline"/>
        </w:rPr>
        <w:t/>
      </w:r>
      <w:r>
        <w:rPr>
          <w:vertAlign w:val="baseline"/>
        </w:rPr>
        <w:t/>
      </w:r>
      <w:r>
        <w:rPr>
          <w:spacing w:val="-4"/>
          <w:vertAlign w:val="baseline"/>
        </w:rPr>
        <w:t/>
      </w:r>
      <w:r>
        <w:rPr>
          <w:vertAlign w:val="baseline"/>
        </w:rPr>
        <w:t/>
      </w:r>
      <w:hyperlink r:id="rId13">
        <w:r>
          <w:rPr>
            <w:color w:val="0462C1"/>
            <w:spacing w:val="-2"/>
            <w:vertAlign w:val="baseline"/>
          </w:rPr>
          <w:t/>
        </w:r>
      </w:hyperlink>
    </w:p>
    <w:p>
      <w:pPr>
        <w:spacing w:line="272" w:lineRule="exact" w:before="0"/>
        <w:ind w:left="392" w:right="391" w:firstLine="0"/>
        <w:jc w:val="center"/>
        <w:rPr>
          <w:i/>
          <w:sz w:val="24"/>
        </w:rPr>
      </w:pPr>
      <w:r>
        <w:rPr>
          <w:i/>
          <w:sz w:val="24"/>
        </w:rPr>
        <w:t/>
      </w:r>
      <w:r>
        <w:rPr>
          <w:i/>
          <w:spacing w:val="-4"/>
          <w:sz w:val="24"/>
        </w:rPr>
        <w:t/>
      </w:r>
      <w:r>
        <w:rPr>
          <w:i/>
          <w:sz w:val="24"/>
        </w:rPr>
        <w:t/>
      </w:r>
      <w:r>
        <w:rPr>
          <w:i/>
          <w:spacing w:val="-1"/>
          <w:sz w:val="24"/>
        </w:rPr>
        <w:t/>
      </w:r>
      <w:hyperlink r:id="rId14">
        <w:r>
          <w:rPr>
            <w:i/>
            <w:color w:val="0462C1"/>
            <w:spacing w:val="-2"/>
            <w:sz w:val="24"/>
          </w:rPr>
          <w:t/>
        </w:r>
      </w:hyperlink>
    </w:p>
    <w:p>
      <w:pPr>
        <w:pStyle w:val="BodyText"/>
        <w:spacing w:before="68"/>
        <w:ind w:left="0"/>
        <w:jc w:val="left"/>
        <w:rPr>
          <w:i/>
        </w:rPr>
      </w:pPr>
    </w:p>
    <w:p>
      <w:pPr>
        <w:pStyle w:val="Heading1"/>
        <w:spacing w:before="1"/>
      </w:pPr>
      <w:r>
        <w:rPr>
          <w:spacing w:val="-2"/>
        </w:rPr>
        <w:t>ABSTRACT</w:t>
      </w:r>
    </w:p>
    <w:p>
      <w:pPr>
        <w:pStyle w:val="BodyText"/>
        <w:spacing w:before="136"/>
        <w:ind w:right="15"/>
      </w:pPr>
      <w:r>
        <w:rPr/>
        <w:t>Persistent</w:t>
      </w:r>
      <w:r>
        <w:rPr>
          <w:spacing w:val="-7"/>
        </w:rPr>
        <w:t> </w:t>
      </w:r>
      <w:r>
        <w:rPr/>
        <w:t>challenges</w:t>
      </w:r>
      <w:r>
        <w:rPr>
          <w:spacing w:val="-9"/>
        </w:rPr>
        <w:t> </w:t>
      </w:r>
      <w:r>
        <w:rPr/>
        <w:t>in</w:t>
      </w:r>
      <w:r>
        <w:rPr>
          <w:spacing w:val="-12"/>
        </w:rPr>
        <w:t> </w:t>
      </w:r>
      <w:r>
        <w:rPr/>
        <w:t>foundational</w:t>
      </w:r>
      <w:r>
        <w:rPr>
          <w:spacing w:val="-7"/>
        </w:rPr>
        <w:t> </w:t>
      </w:r>
      <w:r>
        <w:rPr/>
        <w:t>literacy</w:t>
      </w:r>
      <w:r>
        <w:rPr>
          <w:spacing w:val="-8"/>
        </w:rPr>
        <w:t> </w:t>
      </w:r>
      <w:r>
        <w:rPr/>
        <w:t>continue</w:t>
      </w:r>
      <w:r>
        <w:rPr>
          <w:spacing w:val="-10"/>
        </w:rPr>
        <w:t> </w:t>
      </w:r>
      <w:r>
        <w:rPr/>
        <w:t>to</w:t>
      </w:r>
      <w:r>
        <w:rPr>
          <w:spacing w:val="-8"/>
        </w:rPr>
        <w:t> </w:t>
      </w:r>
      <w:r>
        <w:rPr/>
        <w:t>affect learners</w:t>
      </w:r>
      <w:r>
        <w:rPr>
          <w:spacing w:val="-13"/>
        </w:rPr>
        <w:t> </w:t>
      </w:r>
      <w:r>
        <w:rPr/>
        <w:t>as</w:t>
      </w:r>
      <w:r>
        <w:rPr>
          <w:spacing w:val="-9"/>
        </w:rPr>
        <w:t> </w:t>
      </w:r>
      <w:r>
        <w:rPr/>
        <w:t>they</w:t>
      </w:r>
      <w:r>
        <w:rPr>
          <w:spacing w:val="-12"/>
        </w:rPr>
        <w:t> </w:t>
      </w:r>
      <w:r>
        <w:rPr/>
        <w:t>transition</w:t>
      </w:r>
      <w:r>
        <w:rPr>
          <w:spacing w:val="-8"/>
        </w:rPr>
        <w:t> </w:t>
      </w:r>
      <w:r>
        <w:rPr/>
        <w:t>from elementary to secondary education, resulting in difficulties in overall academic performance. This study examined the effectiveness of the ReadQuest approach, a station-based reading intervention</w:t>
      </w:r>
      <w:r>
        <w:rPr>
          <w:spacing w:val="-3"/>
        </w:rPr>
        <w:t> </w:t>
      </w:r>
      <w:r>
        <w:rPr/>
        <w:t>in</w:t>
      </w:r>
      <w:r>
        <w:rPr>
          <w:spacing w:val="-7"/>
        </w:rPr>
        <w:t> </w:t>
      </w:r>
      <w:r>
        <w:rPr/>
        <w:t>developing</w:t>
      </w:r>
      <w:r>
        <w:rPr>
          <w:spacing w:val="-3"/>
        </w:rPr>
        <w:t> </w:t>
      </w:r>
      <w:r>
        <w:rPr/>
        <w:t>the</w:t>
      </w:r>
      <w:r>
        <w:rPr>
          <w:spacing w:val="-2"/>
        </w:rPr>
        <w:t> </w:t>
      </w:r>
      <w:r>
        <w:rPr/>
        <w:t>oral</w:t>
      </w:r>
      <w:r>
        <w:rPr>
          <w:spacing w:val="-3"/>
        </w:rPr>
        <w:t> </w:t>
      </w:r>
      <w:r>
        <w:rPr/>
        <w:t>reading</w:t>
      </w:r>
      <w:r>
        <w:rPr>
          <w:spacing w:val="-3"/>
        </w:rPr>
        <w:t> </w:t>
      </w:r>
      <w:r>
        <w:rPr/>
        <w:t>fluency</w:t>
      </w:r>
      <w:r>
        <w:rPr>
          <w:spacing w:val="-3"/>
        </w:rPr>
        <w:t> </w:t>
      </w:r>
      <w:r>
        <w:rPr/>
        <w:t>of</w:t>
      </w:r>
      <w:r>
        <w:rPr>
          <w:spacing w:val="-3"/>
        </w:rPr>
        <w:t> </w:t>
      </w:r>
      <w:r>
        <w:rPr/>
        <w:t>Grade</w:t>
      </w:r>
      <w:r>
        <w:rPr>
          <w:spacing w:val="-2"/>
        </w:rPr>
        <w:t> </w:t>
      </w:r>
      <w:r>
        <w:rPr/>
        <w:t>7</w:t>
      </w:r>
      <w:r>
        <w:rPr>
          <w:spacing w:val="-3"/>
        </w:rPr>
        <w:t> </w:t>
      </w:r>
      <w:r>
        <w:rPr/>
        <w:t>learners</w:t>
      </w:r>
      <w:r>
        <w:rPr>
          <w:spacing w:val="-5"/>
        </w:rPr>
        <w:t> </w:t>
      </w:r>
      <w:r>
        <w:rPr/>
        <w:t>identified</w:t>
      </w:r>
      <w:r>
        <w:rPr>
          <w:spacing w:val="-3"/>
        </w:rPr>
        <w:t> </w:t>
      </w:r>
      <w:r>
        <w:rPr/>
        <w:t>with</w:t>
      </w:r>
      <w:r>
        <w:rPr>
          <w:spacing w:val="-3"/>
        </w:rPr>
        <w:t> </w:t>
      </w:r>
      <w:r>
        <w:rPr/>
        <w:t>reading difficulties at Musuan Integrated School during the school year 2025-2026.</w:t>
      </w:r>
      <w:r>
        <w:rPr>
          <w:spacing w:val="40"/>
        </w:rPr>
        <w:t> </w:t>
      </w:r>
      <w:r>
        <w:rPr/>
        <w:t>A quasi-experimental</w:t>
      </w:r>
      <w:r>
        <w:rPr>
          <w:spacing w:val="-2"/>
        </w:rPr>
        <w:t> </w:t>
      </w:r>
      <w:r>
        <w:rPr/>
        <w:t>design</w:t>
      </w:r>
      <w:r>
        <w:rPr>
          <w:spacing w:val="-2"/>
        </w:rPr>
        <w:t> </w:t>
      </w:r>
      <w:r>
        <w:rPr/>
        <w:t>was</w:t>
      </w:r>
      <w:r>
        <w:rPr>
          <w:spacing w:val="-8"/>
        </w:rPr>
        <w:t> </w:t>
      </w:r>
      <w:r>
        <w:rPr/>
        <w:t>employed,</w:t>
      </w:r>
      <w:r>
        <w:rPr>
          <w:spacing w:val="-2"/>
        </w:rPr>
        <w:t> </w:t>
      </w:r>
      <w:r>
        <w:rPr/>
        <w:t>comparing</w:t>
      </w:r>
      <w:r>
        <w:rPr>
          <w:spacing w:val="-2"/>
        </w:rPr>
        <w:t> </w:t>
      </w:r>
      <w:r>
        <w:rPr/>
        <w:t>two</w:t>
      </w:r>
      <w:r>
        <w:rPr>
          <w:spacing w:val="-2"/>
        </w:rPr>
        <w:t> </w:t>
      </w:r>
      <w:r>
        <w:rPr/>
        <w:t>groups</w:t>
      </w:r>
      <w:r>
        <w:rPr>
          <w:spacing w:val="-4"/>
        </w:rPr>
        <w:t> </w:t>
      </w:r>
      <w:r>
        <w:rPr/>
        <w:t>based</w:t>
      </w:r>
      <w:r>
        <w:rPr>
          <w:spacing w:val="-2"/>
        </w:rPr>
        <w:t> </w:t>
      </w:r>
      <w:r>
        <w:rPr/>
        <w:t>on</w:t>
      </w:r>
      <w:r>
        <w:rPr>
          <w:spacing w:val="-2"/>
        </w:rPr>
        <w:t> </w:t>
      </w:r>
      <w:r>
        <w:rPr/>
        <w:t>words</w:t>
      </w:r>
      <w:r>
        <w:rPr>
          <w:spacing w:val="-4"/>
        </w:rPr>
        <w:t> </w:t>
      </w:r>
      <w:r>
        <w:rPr/>
        <w:t>correct</w:t>
      </w:r>
      <w:r>
        <w:rPr>
          <w:spacing w:val="-2"/>
        </w:rPr>
        <w:t> </w:t>
      </w:r>
      <w:r>
        <w:rPr/>
        <w:t>per</w:t>
      </w:r>
      <w:r>
        <w:rPr>
          <w:spacing w:val="-2"/>
        </w:rPr>
        <w:t> </w:t>
      </w:r>
      <w:r>
        <w:rPr/>
        <w:t>minute and</w:t>
      </w:r>
      <w:r>
        <w:rPr>
          <w:spacing w:val="-2"/>
        </w:rPr>
        <w:t> </w:t>
      </w:r>
      <w:r>
        <w:rPr/>
        <w:t>accuracy</w:t>
      </w:r>
      <w:r>
        <w:rPr>
          <w:spacing w:val="-2"/>
        </w:rPr>
        <w:t> </w:t>
      </w:r>
      <w:r>
        <w:rPr/>
        <w:t>rate,</w:t>
      </w:r>
      <w:r>
        <w:rPr>
          <w:spacing w:val="-2"/>
        </w:rPr>
        <w:t> </w:t>
      </w:r>
      <w:r>
        <w:rPr/>
        <w:t>using</w:t>
      </w:r>
      <w:r>
        <w:rPr>
          <w:spacing w:val="-2"/>
        </w:rPr>
        <w:t> </w:t>
      </w:r>
      <w:r>
        <w:rPr/>
        <w:t>the</w:t>
      </w:r>
      <w:r>
        <w:rPr>
          <w:spacing w:val="-1"/>
        </w:rPr>
        <w:t> </w:t>
      </w:r>
      <w:r>
        <w:rPr/>
        <w:t>Department</w:t>
      </w:r>
      <w:r>
        <w:rPr>
          <w:spacing w:val="-2"/>
        </w:rPr>
        <w:t> </w:t>
      </w:r>
      <w:r>
        <w:rPr/>
        <w:t>of</w:t>
      </w:r>
      <w:r>
        <w:rPr>
          <w:spacing w:val="-2"/>
        </w:rPr>
        <w:t> </w:t>
      </w:r>
      <w:r>
        <w:rPr/>
        <w:t>Education's</w:t>
      </w:r>
      <w:r>
        <w:rPr>
          <w:spacing w:val="-4"/>
        </w:rPr>
        <w:t> </w:t>
      </w:r>
      <w:r>
        <w:rPr/>
        <w:t>Phil-IRI</w:t>
      </w:r>
      <w:r>
        <w:rPr>
          <w:spacing w:val="-2"/>
        </w:rPr>
        <w:t> </w:t>
      </w:r>
      <w:r>
        <w:rPr/>
        <w:t>Manual</w:t>
      </w:r>
      <w:r>
        <w:rPr>
          <w:spacing w:val="-2"/>
        </w:rPr>
        <w:t> </w:t>
      </w:r>
      <w:r>
        <w:rPr/>
        <w:t>reading</w:t>
      </w:r>
      <w:r>
        <w:rPr>
          <w:spacing w:val="-2"/>
        </w:rPr>
        <w:t> </w:t>
      </w:r>
      <w:r>
        <w:rPr/>
        <w:t>passages</w:t>
      </w:r>
      <w:r>
        <w:rPr>
          <w:spacing w:val="-4"/>
        </w:rPr>
        <w:t> </w:t>
      </w:r>
      <w:r>
        <w:rPr/>
        <w:t>and benchmarks on reading levels classified as: 97%-100% for Independent level; 90%-96% for Instructional</w:t>
      </w:r>
      <w:r>
        <w:rPr>
          <w:spacing w:val="-2"/>
        </w:rPr>
        <w:t> </w:t>
      </w:r>
      <w:r>
        <w:rPr/>
        <w:t>level;</w:t>
      </w:r>
      <w:r>
        <w:rPr>
          <w:spacing w:val="-6"/>
        </w:rPr>
        <w:t> </w:t>
      </w:r>
      <w:r>
        <w:rPr/>
        <w:t>and</w:t>
      </w:r>
      <w:r>
        <w:rPr>
          <w:spacing w:val="-2"/>
        </w:rPr>
        <w:t> </w:t>
      </w:r>
      <w:r>
        <w:rPr/>
        <w:t>89%</w:t>
      </w:r>
      <w:r>
        <w:rPr>
          <w:spacing w:val="-6"/>
        </w:rPr>
        <w:t> </w:t>
      </w:r>
      <w:r>
        <w:rPr/>
        <w:t>and</w:t>
      </w:r>
      <w:r>
        <w:rPr>
          <w:spacing w:val="-2"/>
        </w:rPr>
        <w:t> </w:t>
      </w:r>
      <w:r>
        <w:rPr/>
        <w:t>below</w:t>
      </w:r>
      <w:r>
        <w:rPr>
          <w:spacing w:val="-4"/>
        </w:rPr>
        <w:t> </w:t>
      </w:r>
      <w:r>
        <w:rPr/>
        <w:t>for</w:t>
      </w:r>
      <w:r>
        <w:rPr>
          <w:spacing w:val="-2"/>
        </w:rPr>
        <w:t> </w:t>
      </w:r>
      <w:r>
        <w:rPr/>
        <w:t>Frustration</w:t>
      </w:r>
      <w:r>
        <w:rPr>
          <w:spacing w:val="-7"/>
        </w:rPr>
        <w:t> </w:t>
      </w:r>
      <w:r>
        <w:rPr/>
        <w:t>level.</w:t>
      </w:r>
      <w:r>
        <w:rPr>
          <w:spacing w:val="-2"/>
        </w:rPr>
        <w:t> </w:t>
      </w:r>
      <w:r>
        <w:rPr/>
        <w:t>Two</w:t>
      </w:r>
      <w:r>
        <w:rPr>
          <w:spacing w:val="-7"/>
        </w:rPr>
        <w:t> </w:t>
      </w:r>
      <w:r>
        <w:rPr/>
        <w:t>intact</w:t>
      </w:r>
      <w:r>
        <w:rPr>
          <w:spacing w:val="-5"/>
        </w:rPr>
        <w:t> </w:t>
      </w:r>
      <w:r>
        <w:rPr/>
        <w:t>classes</w:t>
      </w:r>
      <w:r>
        <w:rPr>
          <w:spacing w:val="-4"/>
        </w:rPr>
        <w:t> </w:t>
      </w:r>
      <w:r>
        <w:rPr/>
        <w:t>were</w:t>
      </w:r>
      <w:r>
        <w:rPr>
          <w:spacing w:val="-1"/>
        </w:rPr>
        <w:t> </w:t>
      </w:r>
      <w:r>
        <w:rPr/>
        <w:t>selected. Out of the whole section, only 15 learners were randomly selected. One is assigned as the experimental</w:t>
      </w:r>
      <w:r>
        <w:rPr>
          <w:spacing w:val="22"/>
        </w:rPr>
        <w:t> </w:t>
      </w:r>
      <w:r>
        <w:rPr/>
        <w:t>group</w:t>
      </w:r>
      <w:r>
        <w:rPr>
          <w:spacing w:val="22"/>
        </w:rPr>
        <w:t> </w:t>
      </w:r>
      <w:r>
        <w:rPr/>
        <w:t>exposed</w:t>
      </w:r>
      <w:r>
        <w:rPr>
          <w:spacing w:val="18"/>
        </w:rPr>
        <w:t> </w:t>
      </w:r>
      <w:r>
        <w:rPr/>
        <w:t>to</w:t>
      </w:r>
      <w:r>
        <w:rPr>
          <w:spacing w:val="22"/>
        </w:rPr>
        <w:t> </w:t>
      </w:r>
      <w:r>
        <w:rPr/>
        <w:t>the</w:t>
      </w:r>
      <w:r>
        <w:rPr>
          <w:spacing w:val="22"/>
        </w:rPr>
        <w:t> </w:t>
      </w:r>
      <w:r>
        <w:rPr/>
        <w:t>ReadQuest</w:t>
      </w:r>
      <w:r>
        <w:rPr>
          <w:spacing w:val="23"/>
        </w:rPr>
        <w:t> </w:t>
      </w:r>
      <w:r>
        <w:rPr/>
        <w:t>approach,</w:t>
      </w:r>
      <w:r>
        <w:rPr>
          <w:spacing w:val="18"/>
        </w:rPr>
        <w:t> </w:t>
      </w:r>
      <w:r>
        <w:rPr/>
        <w:t>and</w:t>
      </w:r>
      <w:r>
        <w:rPr>
          <w:spacing w:val="22"/>
        </w:rPr>
        <w:t> </w:t>
      </w:r>
      <w:r>
        <w:rPr/>
        <w:t>the</w:t>
      </w:r>
      <w:r>
        <w:rPr>
          <w:spacing w:val="23"/>
        </w:rPr>
        <w:t> </w:t>
      </w:r>
      <w:r>
        <w:rPr/>
        <w:t>other</w:t>
      </w:r>
      <w:r>
        <w:rPr>
          <w:spacing w:val="17"/>
        </w:rPr>
        <w:t> </w:t>
      </w:r>
      <w:r>
        <w:rPr/>
        <w:t>as</w:t>
      </w:r>
      <w:r>
        <w:rPr>
          <w:spacing w:val="34"/>
        </w:rPr>
        <w:t> </w:t>
      </w:r>
      <w:r>
        <w:rPr/>
        <w:t>the</w:t>
      </w:r>
      <w:r>
        <w:rPr>
          <w:spacing w:val="23"/>
        </w:rPr>
        <w:t> </w:t>
      </w:r>
      <w:r>
        <w:rPr/>
        <w:t>control</w:t>
      </w:r>
      <w:r>
        <w:rPr>
          <w:spacing w:val="23"/>
        </w:rPr>
        <w:t> </w:t>
      </w:r>
      <w:r>
        <w:rPr>
          <w:spacing w:val="-2"/>
        </w:rPr>
        <w:t>group</w:t>
      </w:r>
    </w:p>
    <w:p>
      <w:pPr>
        <w:pStyle w:val="BodyText"/>
        <w:spacing w:after="0"/>
        <w:sectPr>
          <w:footerReference w:type="default" r:id="rId5"/>
          <w:type w:val="continuous"/>
          <w:pgSz w:w="11910" w:h="16840"/>
          <w:pgMar w:header="0" w:footer="994" w:top="1360" w:bottom="1180" w:left="1417" w:right="1417"/>
          <w:pgNumType w:start="1"/>
        </w:sectPr>
      </w:pPr>
    </w:p>
    <w:p>
      <w:pPr>
        <w:pStyle w:val="BodyText"/>
        <w:spacing w:before="64"/>
        <w:ind w:right="17"/>
      </w:pPr>
      <w:r>
        <w:rPr/>
        <w:t>exposed to the Non-ReadQuest approach. Both groups were administered a posttest to determine any changes in reading levels. Results show that learners from the experimental group improved from the Frustration level (pretest) to Instructional level (posttest),</w:t>
      </w:r>
      <w:r>
        <w:rPr>
          <w:spacing w:val="-2"/>
        </w:rPr>
        <w:t> </w:t>
      </w:r>
      <w:r>
        <w:rPr/>
        <w:t>obtaining a mean increase of 13.80, whereas reading levels of learners from the control group showed minimal changes at the Frustration level across both tests, obtaining a mean increase of 0.20. Statistical analysis confirmed significant gains in oral reading fluency for learners</w:t>
      </w:r>
      <w:r>
        <w:rPr>
          <w:spacing w:val="-2"/>
        </w:rPr>
        <w:t> </w:t>
      </w:r>
      <w:r>
        <w:rPr/>
        <w:t>exposed to the ReadQuest approach. This suggests that the ReadQuest approach is an effective intervention for learners identified with reading difficulties, developing their oral reading fluency through station-based reading.</w:t>
      </w:r>
    </w:p>
    <w:p>
      <w:pPr>
        <w:pStyle w:val="BodyText"/>
        <w:spacing w:before="1"/>
        <w:ind w:left="0"/>
        <w:jc w:val="left"/>
      </w:pPr>
    </w:p>
    <w:p>
      <w:pPr>
        <w:spacing w:before="0"/>
        <w:ind w:left="23" w:right="17" w:firstLine="0"/>
        <w:jc w:val="both"/>
        <w:rPr>
          <w:i/>
          <w:sz w:val="24"/>
        </w:rPr>
      </w:pPr>
      <w:r>
        <w:rPr>
          <w:b/>
          <w:sz w:val="24"/>
        </w:rPr>
        <w:t>Keywords: </w:t>
      </w:r>
      <w:r>
        <w:rPr>
          <w:i/>
          <w:sz w:val="24"/>
        </w:rPr>
        <w:t>Quasi-experimental design, Reading Difficulties, Reading Intervention, Station-based reading, Reading Fluency</w:t>
      </w:r>
    </w:p>
    <w:p>
      <w:pPr>
        <w:pStyle w:val="BodyText"/>
        <w:ind w:left="0"/>
        <w:jc w:val="left"/>
        <w:rPr>
          <w:i/>
        </w:rPr>
      </w:pPr>
    </w:p>
    <w:p>
      <w:pPr>
        <w:pStyle w:val="Heading1"/>
      </w:pPr>
      <w:r>
        <w:rPr>
          <w:spacing w:val="-2"/>
        </w:rPr>
        <w:t>INTRODUCTION</w:t>
      </w:r>
    </w:p>
    <w:p>
      <w:pPr>
        <w:pStyle w:val="BodyText"/>
        <w:spacing w:before="136"/>
        <w:ind w:right="17" w:firstLine="284"/>
      </w:pPr>
      <w:r>
        <w:rPr/>
        <w:t>Oral reading fluency (ORF) is an important skill in reading development that involves reading text aloud with speed, accuracy, and proper expression. It serves as a bridge between decoding</w:t>
      </w:r>
      <w:r>
        <w:rPr>
          <w:spacing w:val="-15"/>
        </w:rPr>
        <w:t> </w:t>
      </w:r>
      <w:r>
        <w:rPr/>
        <w:t>and</w:t>
      </w:r>
      <w:r>
        <w:rPr>
          <w:spacing w:val="-15"/>
        </w:rPr>
        <w:t> </w:t>
      </w:r>
      <w:r>
        <w:rPr/>
        <w:t>comprehension,</w:t>
      </w:r>
      <w:r>
        <w:rPr>
          <w:spacing w:val="-15"/>
        </w:rPr>
        <w:t> </w:t>
      </w:r>
      <w:r>
        <w:rPr/>
        <w:t>making</w:t>
      </w:r>
      <w:r>
        <w:rPr>
          <w:spacing w:val="-15"/>
        </w:rPr>
        <w:t> </w:t>
      </w:r>
      <w:r>
        <w:rPr/>
        <w:t>it</w:t>
      </w:r>
      <w:r>
        <w:rPr>
          <w:spacing w:val="-15"/>
        </w:rPr>
        <w:t> </w:t>
      </w:r>
      <w:r>
        <w:rPr/>
        <w:t>essential</w:t>
      </w:r>
      <w:r>
        <w:rPr>
          <w:spacing w:val="-15"/>
        </w:rPr>
        <w:t> </w:t>
      </w:r>
      <w:r>
        <w:rPr/>
        <w:t>for</w:t>
      </w:r>
      <w:r>
        <w:rPr>
          <w:spacing w:val="-15"/>
        </w:rPr>
        <w:t> </w:t>
      </w:r>
      <w:r>
        <w:rPr/>
        <w:t>learners’</w:t>
      </w:r>
      <w:r>
        <w:rPr>
          <w:spacing w:val="-15"/>
        </w:rPr>
        <w:t> </w:t>
      </w:r>
      <w:r>
        <w:rPr/>
        <w:t>academic</w:t>
      </w:r>
      <w:r>
        <w:rPr>
          <w:spacing w:val="-12"/>
        </w:rPr>
        <w:t> </w:t>
      </w:r>
      <w:r>
        <w:rPr/>
        <w:t>success</w:t>
      </w:r>
      <w:r>
        <w:rPr>
          <w:spacing w:val="-15"/>
        </w:rPr>
        <w:t> </w:t>
      </w:r>
      <w:hyperlink r:id="rId15">
        <w:r>
          <w:rPr/>
          <w:t>(</w:t>
        </w:r>
        <w:r>
          <w:rPr>
            <w:color w:val="1154CC"/>
          </w:rPr>
          <w:t>Ostan,</w:t>
        </w:r>
        <w:r>
          <w:rPr>
            <w:color w:val="1154CC"/>
            <w:spacing w:val="-15"/>
          </w:rPr>
          <w:t> </w:t>
        </w:r>
        <w:r>
          <w:rPr>
            <w:color w:val="1154CC"/>
          </w:rPr>
          <w:t>2023</w:t>
        </w:r>
        <w:r>
          <w:rPr/>
          <w:t>)</w:t>
        </w:r>
      </w:hyperlink>
      <w:r>
        <w:rPr/>
        <w:t>. As students transition from elementary to</w:t>
      </w:r>
      <w:r>
        <w:rPr>
          <w:spacing w:val="-1"/>
        </w:rPr>
        <w:t> </w:t>
      </w:r>
      <w:r>
        <w:rPr/>
        <w:t>secondary education, Grade 7 learners are expected to shift from “learning to read” to “reading to learn,” where understanding content across subjects becomes the main goal.</w:t>
      </w:r>
    </w:p>
    <w:p>
      <w:pPr>
        <w:pStyle w:val="BodyText"/>
        <w:spacing w:before="241"/>
        <w:ind w:right="24" w:firstLine="284"/>
      </w:pPr>
      <w:r>
        <w:rPr/>
        <w:t>Previous</w:t>
      </w:r>
      <w:r>
        <w:rPr>
          <w:spacing w:val="-4"/>
        </w:rPr>
        <w:t> </w:t>
      </w:r>
      <w:r>
        <w:rPr/>
        <w:t>studies</w:t>
      </w:r>
      <w:r>
        <w:rPr>
          <w:spacing w:val="-4"/>
        </w:rPr>
        <w:t> </w:t>
      </w:r>
      <w:r>
        <w:rPr/>
        <w:t>show</w:t>
      </w:r>
      <w:r>
        <w:rPr>
          <w:spacing w:val="-4"/>
        </w:rPr>
        <w:t> </w:t>
      </w:r>
      <w:r>
        <w:rPr/>
        <w:t>that</w:t>
      </w:r>
      <w:r>
        <w:rPr>
          <w:spacing w:val="-6"/>
        </w:rPr>
        <w:t> </w:t>
      </w:r>
      <w:r>
        <w:rPr/>
        <w:t>learners</w:t>
      </w:r>
      <w:r>
        <w:rPr>
          <w:spacing w:val="-4"/>
        </w:rPr>
        <w:t> </w:t>
      </w:r>
      <w:r>
        <w:rPr/>
        <w:t>with</w:t>
      </w:r>
      <w:r>
        <w:rPr>
          <w:spacing w:val="-7"/>
        </w:rPr>
        <w:t> </w:t>
      </w:r>
      <w:r>
        <w:rPr/>
        <w:t>poor</w:t>
      </w:r>
      <w:r>
        <w:rPr>
          <w:spacing w:val="-2"/>
        </w:rPr>
        <w:t> </w:t>
      </w:r>
      <w:r>
        <w:rPr/>
        <w:t>oral</w:t>
      </w:r>
      <w:r>
        <w:rPr>
          <w:spacing w:val="-5"/>
        </w:rPr>
        <w:t> </w:t>
      </w:r>
      <w:r>
        <w:rPr/>
        <w:t>reading</w:t>
      </w:r>
      <w:r>
        <w:rPr>
          <w:spacing w:val="-2"/>
        </w:rPr>
        <w:t> </w:t>
      </w:r>
      <w:r>
        <w:rPr/>
        <w:t>fluency</w:t>
      </w:r>
      <w:r>
        <w:rPr>
          <w:spacing w:val="-7"/>
        </w:rPr>
        <w:t> </w:t>
      </w:r>
      <w:r>
        <w:rPr/>
        <w:t>often</w:t>
      </w:r>
      <w:r>
        <w:rPr>
          <w:spacing w:val="-7"/>
        </w:rPr>
        <w:t> </w:t>
      </w:r>
      <w:r>
        <w:rPr/>
        <w:t>struggle</w:t>
      </w:r>
      <w:r>
        <w:rPr>
          <w:spacing w:val="-5"/>
        </w:rPr>
        <w:t> </w:t>
      </w:r>
      <w:r>
        <w:rPr/>
        <w:t>in</w:t>
      </w:r>
      <w:r>
        <w:rPr>
          <w:spacing w:val="-7"/>
        </w:rPr>
        <w:t> </w:t>
      </w:r>
      <w:r>
        <w:rPr/>
        <w:t>reading comprehension and overall academic performance. Fluency difficulties negatively affect learning</w:t>
      </w:r>
      <w:r>
        <w:rPr>
          <w:spacing w:val="-3"/>
        </w:rPr>
        <w:t> </w:t>
      </w:r>
      <w:r>
        <w:rPr/>
        <w:t>outcomes</w:t>
      </w:r>
      <w:r>
        <w:rPr>
          <w:spacing w:val="-1"/>
        </w:rPr>
        <w:t> </w:t>
      </w:r>
      <w:r>
        <w:rPr/>
        <w:t>across subjects</w:t>
      </w:r>
      <w:r>
        <w:rPr>
          <w:spacing w:val="-1"/>
        </w:rPr>
        <w:t> </w:t>
      </w:r>
      <w:hyperlink r:id="rId16">
        <w:r>
          <w:rPr/>
          <w:t>(</w:t>
        </w:r>
        <w:r>
          <w:rPr>
            <w:color w:val="1154CC"/>
          </w:rPr>
          <w:t>William et</w:t>
        </w:r>
        <w:r>
          <w:rPr>
            <w:color w:val="1154CC"/>
            <w:spacing w:val="-2"/>
          </w:rPr>
          <w:t> </w:t>
        </w:r>
        <w:r>
          <w:rPr>
            <w:color w:val="1154CC"/>
          </w:rPr>
          <w:t>al., 2025</w:t>
        </w:r>
      </w:hyperlink>
      <w:r>
        <w:rPr/>
        <w:t>). Also, many secondary learners</w:t>
      </w:r>
      <w:r>
        <w:rPr>
          <w:spacing w:val="-1"/>
        </w:rPr>
        <w:t> </w:t>
      </w:r>
      <w:r>
        <w:rPr/>
        <w:t>have low ORF levels and may experience social challenges such as bullying, showing that reading difficulties affect both academic and emotional well-being </w:t>
      </w:r>
      <w:hyperlink r:id="rId17">
        <w:r>
          <w:rPr/>
          <w:t>(</w:t>
        </w:r>
        <w:r>
          <w:rPr>
            <w:color w:val="1154CC"/>
          </w:rPr>
          <w:t>Cabrejas et al., 2023</w:t>
        </w:r>
      </w:hyperlink>
      <w:r>
        <w:rPr/>
        <w:t>).</w:t>
      </w:r>
    </w:p>
    <w:p>
      <w:pPr>
        <w:pStyle w:val="BodyText"/>
        <w:spacing w:before="240"/>
        <w:ind w:right="16" w:firstLine="284"/>
      </w:pPr>
      <w:r>
        <w:rPr/>
        <w:t>Despite existing interventions, there is still a lack of engaging fluency approaches. With these gaps in hand, this study introduces the ReadQuest approach, a station-based reading intervention inspired by the Gallery Walk Technique that promotes active participation and motivation through structured reading tasks to develop the ORF of the students. It focuses on improving</w:t>
      </w:r>
      <w:r>
        <w:rPr>
          <w:spacing w:val="-1"/>
        </w:rPr>
        <w:t> </w:t>
      </w:r>
      <w:r>
        <w:rPr/>
        <w:t>words</w:t>
      </w:r>
      <w:r>
        <w:rPr>
          <w:spacing w:val="-4"/>
        </w:rPr>
        <w:t> </w:t>
      </w:r>
      <w:r>
        <w:rPr/>
        <w:t>correct</w:t>
      </w:r>
      <w:r>
        <w:rPr>
          <w:spacing w:val="-1"/>
        </w:rPr>
        <w:t> </w:t>
      </w:r>
      <w:r>
        <w:rPr/>
        <w:t>per</w:t>
      </w:r>
      <w:r>
        <w:rPr>
          <w:spacing w:val="-2"/>
        </w:rPr>
        <w:t> </w:t>
      </w:r>
      <w:r>
        <w:rPr/>
        <w:t>minute</w:t>
      </w:r>
      <w:r>
        <w:rPr>
          <w:spacing w:val="-1"/>
        </w:rPr>
        <w:t> </w:t>
      </w:r>
      <w:r>
        <w:rPr/>
        <w:t>(WCPM)</w:t>
      </w:r>
      <w:r>
        <w:rPr>
          <w:spacing w:val="-2"/>
        </w:rPr>
        <w:t> </w:t>
      </w:r>
      <w:r>
        <w:rPr/>
        <w:t>and</w:t>
      </w:r>
      <w:r>
        <w:rPr>
          <w:spacing w:val="-2"/>
        </w:rPr>
        <w:t> </w:t>
      </w:r>
      <w:r>
        <w:rPr/>
        <w:t>accuracy</w:t>
      </w:r>
      <w:r>
        <w:rPr>
          <w:spacing w:val="-2"/>
        </w:rPr>
        <w:t> </w:t>
      </w:r>
      <w:r>
        <w:rPr/>
        <w:t>through</w:t>
      </w:r>
      <w:r>
        <w:rPr>
          <w:spacing w:val="-2"/>
        </w:rPr>
        <w:t> </w:t>
      </w:r>
      <w:r>
        <w:rPr/>
        <w:t>interactive,</w:t>
      </w:r>
      <w:r>
        <w:rPr>
          <w:spacing w:val="-2"/>
        </w:rPr>
        <w:t> </w:t>
      </w:r>
      <w:r>
        <w:rPr/>
        <w:t>repeated,</w:t>
      </w:r>
      <w:r>
        <w:rPr>
          <w:spacing w:val="-6"/>
        </w:rPr>
        <w:t> </w:t>
      </w:r>
      <w:r>
        <w:rPr/>
        <w:t>and expressive</w:t>
      </w:r>
      <w:r>
        <w:rPr>
          <w:spacing w:val="-15"/>
        </w:rPr>
        <w:t> </w:t>
      </w:r>
      <w:r>
        <w:rPr/>
        <w:t>reading.</w:t>
      </w:r>
      <w:r>
        <w:rPr>
          <w:spacing w:val="-15"/>
        </w:rPr>
        <w:t> </w:t>
      </w:r>
      <w:r>
        <w:rPr/>
        <w:t>Recent</w:t>
      </w:r>
      <w:r>
        <w:rPr>
          <w:spacing w:val="-15"/>
        </w:rPr>
        <w:t> </w:t>
      </w:r>
      <w:r>
        <w:rPr/>
        <w:t>studies</w:t>
      </w:r>
      <w:r>
        <w:rPr>
          <w:spacing w:val="-15"/>
        </w:rPr>
        <w:t> </w:t>
      </w:r>
      <w:r>
        <w:rPr/>
        <w:t>show</w:t>
      </w:r>
      <w:r>
        <w:rPr>
          <w:spacing w:val="-15"/>
        </w:rPr>
        <w:t> </w:t>
      </w:r>
      <w:r>
        <w:rPr/>
        <w:t>that</w:t>
      </w:r>
      <w:r>
        <w:rPr>
          <w:spacing w:val="-15"/>
        </w:rPr>
        <w:t> </w:t>
      </w:r>
      <w:r>
        <w:rPr/>
        <w:t>repeated</w:t>
      </w:r>
      <w:r>
        <w:rPr>
          <w:spacing w:val="-15"/>
        </w:rPr>
        <w:t> </w:t>
      </w:r>
      <w:r>
        <w:rPr/>
        <w:t>reading</w:t>
      </w:r>
      <w:r>
        <w:rPr>
          <w:spacing w:val="-15"/>
        </w:rPr>
        <w:t> </w:t>
      </w:r>
      <w:r>
        <w:rPr/>
        <w:t>has</w:t>
      </w:r>
      <w:r>
        <w:rPr>
          <w:spacing w:val="-15"/>
        </w:rPr>
        <w:t> </w:t>
      </w:r>
      <w:r>
        <w:rPr/>
        <w:t>a</w:t>
      </w:r>
      <w:r>
        <w:rPr>
          <w:spacing w:val="-15"/>
        </w:rPr>
        <w:t> </w:t>
      </w:r>
      <w:r>
        <w:rPr/>
        <w:t>positive</w:t>
      </w:r>
      <w:r>
        <w:rPr>
          <w:spacing w:val="-15"/>
        </w:rPr>
        <w:t> </w:t>
      </w:r>
      <w:r>
        <w:rPr/>
        <w:t>impact</w:t>
      </w:r>
      <w:r>
        <w:rPr>
          <w:spacing w:val="-15"/>
        </w:rPr>
        <w:t> </w:t>
      </w:r>
      <w:r>
        <w:rPr/>
        <w:t>on</w:t>
      </w:r>
      <w:r>
        <w:rPr>
          <w:spacing w:val="-15"/>
        </w:rPr>
        <w:t> </w:t>
      </w:r>
      <w:r>
        <w:rPr/>
        <w:t>learners, enhancing textual comprehension, communication skills, and having better academic success </w:t>
      </w:r>
      <w:hyperlink r:id="rId18">
        <w:r>
          <w:rPr/>
          <w:t>(</w:t>
        </w:r>
        <w:r>
          <w:rPr>
            <w:color w:val="1154CC"/>
          </w:rPr>
          <w:t>Canuto, 2024</w:t>
        </w:r>
        <w:r>
          <w:rPr/>
          <w:t>)</w:t>
        </w:r>
      </w:hyperlink>
      <w:r>
        <w:rPr/>
        <w:t>. Motivation is also important to motivate learners to read </w:t>
      </w:r>
      <w:hyperlink r:id="rId19">
        <w:r>
          <w:rPr/>
          <w:t>(</w:t>
        </w:r>
        <w:r>
          <w:rPr>
            <w:color w:val="1154CC"/>
          </w:rPr>
          <w:t>Barotas, 2023</w:t>
        </w:r>
        <w:r>
          <w:rPr/>
          <w:t>)</w:t>
        </w:r>
      </w:hyperlink>
      <w:r>
        <w:rPr/>
        <w:t>. Combining ORF tasks and an interactive approach will help students to develop ORF.</w:t>
      </w:r>
    </w:p>
    <w:p>
      <w:pPr>
        <w:pStyle w:val="BodyText"/>
        <w:spacing w:before="241"/>
        <w:ind w:right="14" w:firstLine="284"/>
      </w:pPr>
      <w:r>
        <w:rPr/>
        <w:t>According to </w:t>
      </w:r>
      <w:hyperlink r:id="rId20">
        <w:r>
          <w:rPr>
            <w:color w:val="1154CC"/>
          </w:rPr>
          <w:t>Kaur &amp; Kaur (2025)</w:t>
        </w:r>
        <w:r>
          <w:rPr/>
          <w:t>,</w:t>
        </w:r>
      </w:hyperlink>
      <w:r>
        <w:rPr/>
        <w:t> it has been found that learners taught through game-based instruction achieved significantly higher scores in ORF and reading comprehension compared</w:t>
      </w:r>
      <w:r>
        <w:rPr>
          <w:spacing w:val="-1"/>
        </w:rPr>
        <w:t> </w:t>
      </w:r>
      <w:r>
        <w:rPr/>
        <w:t>to those taught through traditional approaches. Thus, this study aimed to</w:t>
      </w:r>
      <w:r>
        <w:rPr>
          <w:spacing w:val="-1"/>
        </w:rPr>
        <w:t> </w:t>
      </w:r>
      <w:r>
        <w:rPr/>
        <w:t>determine the effectiveness of the ReadQuest approach in developing the ORF of Grade 7 learners at Musuan</w:t>
      </w:r>
      <w:r>
        <w:rPr>
          <w:spacing w:val="-15"/>
        </w:rPr>
        <w:t> </w:t>
      </w:r>
      <w:r>
        <w:rPr/>
        <w:t>Integrated</w:t>
      </w:r>
      <w:r>
        <w:rPr>
          <w:spacing w:val="-15"/>
        </w:rPr>
        <w:t> </w:t>
      </w:r>
      <w:r>
        <w:rPr/>
        <w:t>School</w:t>
      </w:r>
      <w:r>
        <w:rPr>
          <w:spacing w:val="-15"/>
        </w:rPr>
        <w:t> </w:t>
      </w:r>
      <w:r>
        <w:rPr/>
        <w:t>during</w:t>
      </w:r>
      <w:r>
        <w:rPr>
          <w:spacing w:val="-15"/>
        </w:rPr>
        <w:t> </w:t>
      </w:r>
      <w:r>
        <w:rPr/>
        <w:t>the</w:t>
      </w:r>
      <w:r>
        <w:rPr>
          <w:spacing w:val="-15"/>
        </w:rPr>
        <w:t> </w:t>
      </w:r>
      <w:r>
        <w:rPr/>
        <w:t>school</w:t>
      </w:r>
      <w:r>
        <w:rPr>
          <w:spacing w:val="-15"/>
        </w:rPr>
        <w:t> </w:t>
      </w:r>
      <w:r>
        <w:rPr/>
        <w:t>year</w:t>
      </w:r>
      <w:r>
        <w:rPr>
          <w:spacing w:val="-15"/>
        </w:rPr>
        <w:t> </w:t>
      </w:r>
      <w:r>
        <w:rPr/>
        <w:t>2025-2026.</w:t>
      </w:r>
      <w:r>
        <w:rPr>
          <w:spacing w:val="-15"/>
        </w:rPr>
        <w:t> </w:t>
      </w:r>
      <w:r>
        <w:rPr/>
        <w:t>Specifically,</w:t>
      </w:r>
      <w:r>
        <w:rPr>
          <w:spacing w:val="-15"/>
        </w:rPr>
        <w:t> </w:t>
      </w:r>
      <w:r>
        <w:rPr/>
        <w:t>it</w:t>
      </w:r>
      <w:r>
        <w:rPr>
          <w:spacing w:val="-15"/>
        </w:rPr>
        <w:t> </w:t>
      </w:r>
      <w:r>
        <w:rPr/>
        <w:t>sought</w:t>
      </w:r>
      <w:r>
        <w:rPr>
          <w:spacing w:val="-15"/>
        </w:rPr>
        <w:t> </w:t>
      </w:r>
      <w:r>
        <w:rPr/>
        <w:t>to</w:t>
      </w:r>
      <w:r>
        <w:rPr>
          <w:spacing w:val="-15"/>
        </w:rPr>
        <w:t> </w:t>
      </w:r>
      <w:r>
        <w:rPr/>
        <w:t>compare the pretest and posttest scores of learners exposed to the ReadQuest approach and those exposed</w:t>
      </w:r>
      <w:r>
        <w:rPr>
          <w:spacing w:val="-6"/>
        </w:rPr>
        <w:t> </w:t>
      </w:r>
      <w:r>
        <w:rPr/>
        <w:t>to</w:t>
      </w:r>
      <w:r>
        <w:rPr>
          <w:spacing w:val="-6"/>
        </w:rPr>
        <w:t> </w:t>
      </w:r>
      <w:r>
        <w:rPr/>
        <w:t>the</w:t>
      </w:r>
      <w:r>
        <w:rPr>
          <w:spacing w:val="-4"/>
        </w:rPr>
        <w:t> </w:t>
      </w:r>
      <w:r>
        <w:rPr/>
        <w:t>Non-ReadQuest</w:t>
      </w:r>
      <w:r>
        <w:rPr>
          <w:spacing w:val="-5"/>
        </w:rPr>
        <w:t> </w:t>
      </w:r>
      <w:r>
        <w:rPr/>
        <w:t>approach</w:t>
      </w:r>
      <w:r>
        <w:rPr>
          <w:spacing w:val="-6"/>
        </w:rPr>
        <w:t> </w:t>
      </w:r>
      <w:r>
        <w:rPr/>
        <w:t>to</w:t>
      </w:r>
      <w:r>
        <w:rPr>
          <w:spacing w:val="-6"/>
        </w:rPr>
        <w:t> </w:t>
      </w:r>
      <w:r>
        <w:rPr/>
        <w:t>determine</w:t>
      </w:r>
      <w:r>
        <w:rPr>
          <w:spacing w:val="-4"/>
        </w:rPr>
        <w:t> </w:t>
      </w:r>
      <w:r>
        <w:rPr/>
        <w:t>whether</w:t>
      </w:r>
      <w:r>
        <w:rPr>
          <w:spacing w:val="-9"/>
        </w:rPr>
        <w:t> </w:t>
      </w:r>
      <w:r>
        <w:rPr/>
        <w:t>there</w:t>
      </w:r>
      <w:r>
        <w:rPr>
          <w:spacing w:val="-4"/>
        </w:rPr>
        <w:t> </w:t>
      </w:r>
      <w:r>
        <w:rPr/>
        <w:t>is</w:t>
      </w:r>
      <w:r>
        <w:rPr>
          <w:spacing w:val="-7"/>
        </w:rPr>
        <w:t> </w:t>
      </w:r>
      <w:r>
        <w:rPr/>
        <w:t>a</w:t>
      </w:r>
      <w:r>
        <w:rPr>
          <w:spacing w:val="-4"/>
        </w:rPr>
        <w:t> </w:t>
      </w:r>
      <w:r>
        <w:rPr/>
        <w:t>significant</w:t>
      </w:r>
      <w:r>
        <w:rPr>
          <w:spacing w:val="-5"/>
        </w:rPr>
        <w:t> </w:t>
      </w:r>
      <w:r>
        <w:rPr/>
        <w:t>difference in ORF levels between the two groups.</w:t>
      </w:r>
    </w:p>
    <w:p>
      <w:pPr>
        <w:pStyle w:val="Heading1"/>
        <w:spacing w:before="241"/>
      </w:pPr>
      <w:r>
        <w:rPr/>
        <w:t>OBJECTIVES</w:t>
      </w:r>
      <w:r>
        <w:rPr>
          <w:spacing w:val="-3"/>
        </w:rPr>
        <w:t> </w:t>
      </w:r>
      <w:r>
        <w:rPr/>
        <w:t>OF</w:t>
      </w:r>
      <w:r>
        <w:rPr>
          <w:spacing w:val="1"/>
        </w:rPr>
        <w:t> </w:t>
      </w:r>
      <w:r>
        <w:rPr>
          <w:spacing w:val="-4"/>
        </w:rPr>
        <w:t>STUDY</w:t>
      </w:r>
    </w:p>
    <w:p>
      <w:pPr>
        <w:pStyle w:val="BodyText"/>
        <w:spacing w:before="140"/>
        <w:ind w:right="21" w:firstLine="284"/>
      </w:pPr>
      <w:r>
        <w:rPr/>
        <w:t>This</w:t>
      </w:r>
      <w:r>
        <w:rPr>
          <w:spacing w:val="-12"/>
        </w:rPr>
        <w:t> </w:t>
      </w:r>
      <w:r>
        <w:rPr/>
        <w:t>study</w:t>
      </w:r>
      <w:r>
        <w:rPr>
          <w:spacing w:val="-10"/>
        </w:rPr>
        <w:t> </w:t>
      </w:r>
      <w:r>
        <w:rPr/>
        <w:t>aimed</w:t>
      </w:r>
      <w:r>
        <w:rPr>
          <w:spacing w:val="-10"/>
        </w:rPr>
        <w:t> </w:t>
      </w:r>
      <w:r>
        <w:rPr/>
        <w:t>to</w:t>
      </w:r>
      <w:r>
        <w:rPr>
          <w:spacing w:val="-10"/>
        </w:rPr>
        <w:t> </w:t>
      </w:r>
      <w:r>
        <w:rPr/>
        <w:t>examine</w:t>
      </w:r>
      <w:r>
        <w:rPr>
          <w:spacing w:val="-9"/>
        </w:rPr>
        <w:t> </w:t>
      </w:r>
      <w:r>
        <w:rPr/>
        <w:t>the</w:t>
      </w:r>
      <w:r>
        <w:rPr>
          <w:spacing w:val="-9"/>
        </w:rPr>
        <w:t> </w:t>
      </w:r>
      <w:r>
        <w:rPr/>
        <w:t>effectiveness</w:t>
      </w:r>
      <w:r>
        <w:rPr>
          <w:spacing w:val="-12"/>
        </w:rPr>
        <w:t> </w:t>
      </w:r>
      <w:r>
        <w:rPr/>
        <w:t>of</w:t>
      </w:r>
      <w:r>
        <w:rPr>
          <w:spacing w:val="-10"/>
        </w:rPr>
        <w:t> </w:t>
      </w:r>
      <w:r>
        <w:rPr/>
        <w:t>the</w:t>
      </w:r>
      <w:r>
        <w:rPr>
          <w:spacing w:val="-9"/>
        </w:rPr>
        <w:t> </w:t>
      </w:r>
      <w:r>
        <w:rPr/>
        <w:t>ReadQuest</w:t>
      </w:r>
      <w:r>
        <w:rPr>
          <w:spacing w:val="-9"/>
        </w:rPr>
        <w:t> </w:t>
      </w:r>
      <w:r>
        <w:rPr/>
        <w:t>approach</w:t>
      </w:r>
      <w:r>
        <w:rPr>
          <w:spacing w:val="-10"/>
        </w:rPr>
        <w:t> </w:t>
      </w:r>
      <w:r>
        <w:rPr/>
        <w:t>in</w:t>
      </w:r>
      <w:r>
        <w:rPr>
          <w:spacing w:val="-10"/>
        </w:rPr>
        <w:t> </w:t>
      </w:r>
      <w:r>
        <w:rPr/>
        <w:t>developing</w:t>
      </w:r>
      <w:r>
        <w:rPr>
          <w:spacing w:val="-10"/>
        </w:rPr>
        <w:t> </w:t>
      </w:r>
      <w:r>
        <w:rPr/>
        <w:t>the oral reading fluency (ORF) of Grade 7 learners at Musuan Integrated School for the school year</w:t>
      </w:r>
      <w:r>
        <w:rPr>
          <w:spacing w:val="4"/>
        </w:rPr>
        <w:t> </w:t>
      </w:r>
      <w:r>
        <w:rPr/>
        <w:t>2025-2026.</w:t>
      </w:r>
      <w:r>
        <w:rPr>
          <w:spacing w:val="6"/>
        </w:rPr>
        <w:t> </w:t>
      </w:r>
      <w:r>
        <w:rPr/>
        <w:t>Specifically,</w:t>
      </w:r>
      <w:r>
        <w:rPr>
          <w:spacing w:val="7"/>
        </w:rPr>
        <w:t> </w:t>
      </w:r>
      <w:r>
        <w:rPr/>
        <w:t>it</w:t>
      </w:r>
      <w:r>
        <w:rPr>
          <w:spacing w:val="7"/>
        </w:rPr>
        <w:t> </w:t>
      </w:r>
      <w:r>
        <w:rPr/>
        <w:t>sought</w:t>
      </w:r>
      <w:r>
        <w:rPr>
          <w:spacing w:val="7"/>
        </w:rPr>
        <w:t> </w:t>
      </w:r>
      <w:r>
        <w:rPr/>
        <w:t>to:</w:t>
      </w:r>
      <w:r>
        <w:rPr>
          <w:spacing w:val="8"/>
        </w:rPr>
        <w:t> </w:t>
      </w:r>
      <w:r>
        <w:rPr/>
        <w:t>(1)</w:t>
      </w:r>
      <w:r>
        <w:rPr>
          <w:spacing w:val="13"/>
        </w:rPr>
        <w:t> </w:t>
      </w:r>
      <w:r>
        <w:rPr/>
        <w:t>determine</w:t>
      </w:r>
      <w:r>
        <w:rPr>
          <w:spacing w:val="7"/>
        </w:rPr>
        <w:t> </w:t>
      </w:r>
      <w:r>
        <w:rPr/>
        <w:t>the</w:t>
      </w:r>
      <w:r>
        <w:rPr>
          <w:spacing w:val="8"/>
        </w:rPr>
        <w:t> </w:t>
      </w:r>
      <w:r>
        <w:rPr/>
        <w:t>level</w:t>
      </w:r>
      <w:r>
        <w:rPr>
          <w:spacing w:val="7"/>
        </w:rPr>
        <w:t> </w:t>
      </w:r>
      <w:r>
        <w:rPr/>
        <w:t>of</w:t>
      </w:r>
      <w:r>
        <w:rPr>
          <w:spacing w:val="6"/>
        </w:rPr>
        <w:t> </w:t>
      </w:r>
      <w:r>
        <w:rPr/>
        <w:t>the</w:t>
      </w:r>
      <w:r>
        <w:rPr>
          <w:spacing w:val="8"/>
        </w:rPr>
        <w:t> </w:t>
      </w:r>
      <w:r>
        <w:rPr/>
        <w:t>oral</w:t>
      </w:r>
      <w:r>
        <w:rPr>
          <w:spacing w:val="7"/>
        </w:rPr>
        <w:t> </w:t>
      </w:r>
      <w:r>
        <w:rPr/>
        <w:t>reading</w:t>
      </w:r>
      <w:r>
        <w:rPr>
          <w:spacing w:val="7"/>
        </w:rPr>
        <w:t> </w:t>
      </w:r>
      <w:r>
        <w:rPr>
          <w:spacing w:val="-2"/>
        </w:rPr>
        <w:t>fluency</w:t>
      </w:r>
    </w:p>
    <w:p>
      <w:pPr>
        <w:pStyle w:val="BodyText"/>
        <w:spacing w:after="0"/>
        <w:sectPr>
          <w:pgSz w:w="11910" w:h="16840"/>
          <w:pgMar w:header="0" w:footer="994" w:top="1360" w:bottom="1180" w:left="1417" w:right="1417"/>
        </w:sectPr>
      </w:pPr>
    </w:p>
    <w:p>
      <w:pPr>
        <w:pStyle w:val="BodyText"/>
        <w:spacing w:before="64"/>
        <w:ind w:right="20"/>
      </w:pPr>
      <w:r>
        <w:rPr/>
        <w:t>of learners exposed to the ReadQuest approach, and those exposed to the Non-ReadQuest approach</w:t>
      </w:r>
      <w:r>
        <w:rPr>
          <w:spacing w:val="-14"/>
        </w:rPr>
        <w:t> </w:t>
      </w:r>
      <w:r>
        <w:rPr/>
        <w:t>in</w:t>
      </w:r>
      <w:r>
        <w:rPr>
          <w:spacing w:val="-11"/>
        </w:rPr>
        <w:t> </w:t>
      </w:r>
      <w:r>
        <w:rPr/>
        <w:t>terms</w:t>
      </w:r>
      <w:r>
        <w:rPr>
          <w:spacing w:val="-13"/>
        </w:rPr>
        <w:t> </w:t>
      </w:r>
      <w:r>
        <w:rPr/>
        <w:t>of:</w:t>
      </w:r>
      <w:r>
        <w:rPr>
          <w:spacing w:val="-10"/>
        </w:rPr>
        <w:t> </w:t>
      </w:r>
      <w:r>
        <w:rPr/>
        <w:t>a)</w:t>
      </w:r>
      <w:r>
        <w:rPr>
          <w:spacing w:val="-11"/>
        </w:rPr>
        <w:t> </w:t>
      </w:r>
      <w:r>
        <w:rPr/>
        <w:t>pretest;</w:t>
      </w:r>
      <w:r>
        <w:rPr>
          <w:spacing w:val="-10"/>
        </w:rPr>
        <w:t> </w:t>
      </w:r>
      <w:r>
        <w:rPr/>
        <w:t>and</w:t>
      </w:r>
      <w:r>
        <w:rPr>
          <w:spacing w:val="-11"/>
        </w:rPr>
        <w:t> </w:t>
      </w:r>
      <w:r>
        <w:rPr/>
        <w:t>b)</w:t>
      </w:r>
      <w:r>
        <w:rPr>
          <w:spacing w:val="-11"/>
        </w:rPr>
        <w:t> </w:t>
      </w:r>
      <w:r>
        <w:rPr/>
        <w:t>posttest;</w:t>
      </w:r>
      <w:r>
        <w:rPr>
          <w:spacing w:val="-14"/>
        </w:rPr>
        <w:t> </w:t>
      </w:r>
      <w:r>
        <w:rPr/>
        <w:t>and</w:t>
      </w:r>
      <w:r>
        <w:rPr>
          <w:spacing w:val="-11"/>
        </w:rPr>
        <w:t> </w:t>
      </w:r>
      <w:r>
        <w:rPr/>
        <w:t>(2)</w:t>
      </w:r>
      <w:r>
        <w:rPr>
          <w:spacing w:val="-11"/>
        </w:rPr>
        <w:t> </w:t>
      </w:r>
      <w:r>
        <w:rPr/>
        <w:t>determine</w:t>
      </w:r>
      <w:r>
        <w:rPr>
          <w:spacing w:val="-10"/>
        </w:rPr>
        <w:t> </w:t>
      </w:r>
      <w:r>
        <w:rPr/>
        <w:t>whether</w:t>
      </w:r>
      <w:r>
        <w:rPr>
          <w:spacing w:val="-11"/>
        </w:rPr>
        <w:t> </w:t>
      </w:r>
      <w:r>
        <w:rPr/>
        <w:t>there</w:t>
      </w:r>
      <w:r>
        <w:rPr>
          <w:spacing w:val="-10"/>
        </w:rPr>
        <w:t> </w:t>
      </w:r>
      <w:r>
        <w:rPr/>
        <w:t>are</w:t>
      </w:r>
      <w:r>
        <w:rPr>
          <w:spacing w:val="-10"/>
        </w:rPr>
        <w:t> </w:t>
      </w:r>
      <w:r>
        <w:rPr/>
        <w:t>significant differences</w:t>
      </w:r>
      <w:r>
        <w:rPr>
          <w:spacing w:val="-4"/>
        </w:rPr>
        <w:t> </w:t>
      </w:r>
      <w:r>
        <w:rPr/>
        <w:t>in</w:t>
      </w:r>
      <w:r>
        <w:rPr>
          <w:spacing w:val="-7"/>
        </w:rPr>
        <w:t> </w:t>
      </w:r>
      <w:r>
        <w:rPr/>
        <w:t>the</w:t>
      </w:r>
      <w:r>
        <w:rPr>
          <w:spacing w:val="-1"/>
        </w:rPr>
        <w:t> </w:t>
      </w:r>
      <w:r>
        <w:rPr/>
        <w:t>level</w:t>
      </w:r>
      <w:r>
        <w:rPr>
          <w:spacing w:val="-5"/>
        </w:rPr>
        <w:t> </w:t>
      </w:r>
      <w:r>
        <w:rPr/>
        <w:t>of</w:t>
      </w:r>
      <w:r>
        <w:rPr>
          <w:spacing w:val="-2"/>
        </w:rPr>
        <w:t> </w:t>
      </w:r>
      <w:r>
        <w:rPr/>
        <w:t>the</w:t>
      </w:r>
      <w:r>
        <w:rPr>
          <w:spacing w:val="-1"/>
        </w:rPr>
        <w:t> </w:t>
      </w:r>
      <w:r>
        <w:rPr/>
        <w:t>oral</w:t>
      </w:r>
      <w:r>
        <w:rPr>
          <w:spacing w:val="-5"/>
        </w:rPr>
        <w:t> </w:t>
      </w:r>
      <w:r>
        <w:rPr/>
        <w:t>reading</w:t>
      </w:r>
      <w:r>
        <w:rPr>
          <w:spacing w:val="-7"/>
        </w:rPr>
        <w:t> </w:t>
      </w:r>
      <w:r>
        <w:rPr/>
        <w:t>fluency</w:t>
      </w:r>
      <w:r>
        <w:rPr>
          <w:spacing w:val="-2"/>
        </w:rPr>
        <w:t> </w:t>
      </w:r>
      <w:r>
        <w:rPr/>
        <w:t>between</w:t>
      </w:r>
      <w:r>
        <w:rPr>
          <w:spacing w:val="-7"/>
        </w:rPr>
        <w:t> </w:t>
      </w:r>
      <w:r>
        <w:rPr/>
        <w:t>learners</w:t>
      </w:r>
      <w:r>
        <w:rPr>
          <w:spacing w:val="-4"/>
        </w:rPr>
        <w:t> </w:t>
      </w:r>
      <w:r>
        <w:rPr/>
        <w:t>exposed</w:t>
      </w:r>
      <w:r>
        <w:rPr>
          <w:spacing w:val="-7"/>
        </w:rPr>
        <w:t> </w:t>
      </w:r>
      <w:r>
        <w:rPr/>
        <w:t>to</w:t>
      </w:r>
      <w:r>
        <w:rPr>
          <w:spacing w:val="-2"/>
        </w:rPr>
        <w:t> </w:t>
      </w:r>
      <w:r>
        <w:rPr/>
        <w:t>the</w:t>
      </w:r>
      <w:r>
        <w:rPr>
          <w:spacing w:val="-1"/>
        </w:rPr>
        <w:t> </w:t>
      </w:r>
      <w:r>
        <w:rPr/>
        <w:t>ReadQuest approach and those exposed to the Non-ReadQuest approach.</w:t>
      </w:r>
    </w:p>
    <w:p>
      <w:pPr>
        <w:pStyle w:val="BodyText"/>
        <w:ind w:left="0"/>
        <w:jc w:val="left"/>
      </w:pPr>
    </w:p>
    <w:p>
      <w:pPr>
        <w:pStyle w:val="Heading1"/>
      </w:pPr>
      <w:r>
        <w:rPr>
          <w:spacing w:val="-2"/>
        </w:rPr>
        <w:t>METHODS</w:t>
      </w:r>
    </w:p>
    <w:p>
      <w:pPr>
        <w:pStyle w:val="Heading2"/>
        <w:spacing w:before="137"/>
        <w:jc w:val="both"/>
      </w:pPr>
      <w:r>
        <w:rPr/>
        <w:t>Research</w:t>
      </w:r>
      <w:r>
        <w:rPr>
          <w:spacing w:val="-2"/>
        </w:rPr>
        <w:t> Design</w:t>
      </w:r>
    </w:p>
    <w:p>
      <w:pPr>
        <w:pStyle w:val="BodyText"/>
        <w:ind w:right="21" w:firstLine="284"/>
      </w:pPr>
      <w:r>
        <w:rPr/>
        <w:t>The</w:t>
      </w:r>
      <w:r>
        <w:rPr>
          <w:spacing w:val="-15"/>
        </w:rPr>
        <w:t> </w:t>
      </w:r>
      <w:r>
        <w:rPr/>
        <w:t>study</w:t>
      </w:r>
      <w:r>
        <w:rPr>
          <w:spacing w:val="-15"/>
        </w:rPr>
        <w:t> </w:t>
      </w:r>
      <w:r>
        <w:rPr/>
        <w:t>utilized</w:t>
      </w:r>
      <w:r>
        <w:rPr>
          <w:spacing w:val="-15"/>
        </w:rPr>
        <w:t> </w:t>
      </w:r>
      <w:r>
        <w:rPr/>
        <w:t>a</w:t>
      </w:r>
      <w:r>
        <w:rPr>
          <w:spacing w:val="-15"/>
        </w:rPr>
        <w:t> </w:t>
      </w:r>
      <w:r>
        <w:rPr/>
        <w:t>quasi-experimental</w:t>
      </w:r>
      <w:r>
        <w:rPr>
          <w:spacing w:val="-15"/>
        </w:rPr>
        <w:t> </w:t>
      </w:r>
      <w:r>
        <w:rPr/>
        <w:t>pretest-posttest</w:t>
      </w:r>
      <w:r>
        <w:rPr>
          <w:spacing w:val="-15"/>
        </w:rPr>
        <w:t> </w:t>
      </w:r>
      <w:r>
        <w:rPr/>
        <w:t>non-equivalent</w:t>
      </w:r>
      <w:r>
        <w:rPr>
          <w:spacing w:val="-15"/>
        </w:rPr>
        <w:t> </w:t>
      </w:r>
      <w:r>
        <w:rPr/>
        <w:t>control</w:t>
      </w:r>
      <w:r>
        <w:rPr>
          <w:spacing w:val="-15"/>
        </w:rPr>
        <w:t> </w:t>
      </w:r>
      <w:r>
        <w:rPr/>
        <w:t>group</w:t>
      </w:r>
      <w:r>
        <w:rPr>
          <w:spacing w:val="-15"/>
        </w:rPr>
        <w:t> </w:t>
      </w:r>
      <w:r>
        <w:rPr/>
        <w:t>design to compare the ORF levels of learners exposed to the ReadQuest approach and</w:t>
      </w:r>
      <w:r>
        <w:rPr>
          <w:spacing w:val="-2"/>
        </w:rPr>
        <w:t> </w:t>
      </w:r>
      <w:r>
        <w:rPr/>
        <w:t>those</w:t>
      </w:r>
      <w:r>
        <w:rPr>
          <w:spacing w:val="-1"/>
        </w:rPr>
        <w:t> </w:t>
      </w:r>
      <w:r>
        <w:rPr/>
        <w:t>exposed to the Non-ReadQuest approach. This design allowed researchers to determine whether the ReadQuest</w:t>
      </w:r>
      <w:r>
        <w:rPr>
          <w:spacing w:val="-15"/>
        </w:rPr>
        <w:t> </w:t>
      </w:r>
      <w:r>
        <w:rPr/>
        <w:t>approach</w:t>
      </w:r>
      <w:r>
        <w:rPr>
          <w:spacing w:val="-15"/>
        </w:rPr>
        <w:t> </w:t>
      </w:r>
      <w:r>
        <w:rPr/>
        <w:t>resulted</w:t>
      </w:r>
      <w:r>
        <w:rPr>
          <w:spacing w:val="-15"/>
        </w:rPr>
        <w:t> </w:t>
      </w:r>
      <w:r>
        <w:rPr/>
        <w:t>in</w:t>
      </w:r>
      <w:r>
        <w:rPr>
          <w:spacing w:val="-15"/>
        </w:rPr>
        <w:t> </w:t>
      </w:r>
      <w:r>
        <w:rPr/>
        <w:t>a</w:t>
      </w:r>
      <w:r>
        <w:rPr>
          <w:spacing w:val="-15"/>
        </w:rPr>
        <w:t> </w:t>
      </w:r>
      <w:r>
        <w:rPr/>
        <w:t>significant</w:t>
      </w:r>
      <w:r>
        <w:rPr>
          <w:spacing w:val="-15"/>
        </w:rPr>
        <w:t> </w:t>
      </w:r>
      <w:r>
        <w:rPr/>
        <w:t>development</w:t>
      </w:r>
      <w:r>
        <w:rPr>
          <w:spacing w:val="-15"/>
        </w:rPr>
        <w:t> </w:t>
      </w:r>
      <w:r>
        <w:rPr/>
        <w:t>in</w:t>
      </w:r>
      <w:r>
        <w:rPr>
          <w:spacing w:val="-15"/>
        </w:rPr>
        <w:t> </w:t>
      </w:r>
      <w:r>
        <w:rPr/>
        <w:t>learners’</w:t>
      </w:r>
      <w:r>
        <w:rPr>
          <w:spacing w:val="-15"/>
        </w:rPr>
        <w:t> </w:t>
      </w:r>
      <w:r>
        <w:rPr/>
        <w:t>ORF</w:t>
      </w:r>
      <w:r>
        <w:rPr>
          <w:spacing w:val="-15"/>
        </w:rPr>
        <w:t> </w:t>
      </w:r>
      <w:r>
        <w:rPr/>
        <w:t>levels</w:t>
      </w:r>
      <w:r>
        <w:rPr>
          <w:spacing w:val="-15"/>
        </w:rPr>
        <w:t> </w:t>
      </w:r>
      <w:r>
        <w:rPr/>
        <w:t>by</w:t>
      </w:r>
      <w:r>
        <w:rPr>
          <w:spacing w:val="-15"/>
        </w:rPr>
        <w:t> </w:t>
      </w:r>
      <w:r>
        <w:rPr/>
        <w:t>analyzing pretest and posttest scores of both groups, and evaluate the effectiveness of the approach in developing Grade 7 learners’ ORF in a practical and controlled manner.</w:t>
      </w:r>
    </w:p>
    <w:p>
      <w:pPr>
        <w:pStyle w:val="BodyText"/>
        <w:ind w:left="0"/>
        <w:jc w:val="left"/>
      </w:pPr>
    </w:p>
    <w:p>
      <w:pPr>
        <w:pStyle w:val="Heading2"/>
        <w:jc w:val="both"/>
      </w:pPr>
      <w:r>
        <w:rPr/>
        <w:t>Participants</w:t>
      </w:r>
      <w:r>
        <w:rPr>
          <w:spacing w:val="-6"/>
        </w:rPr>
        <w:t> </w:t>
      </w:r>
      <w:r>
        <w:rPr/>
        <w:t>of</w:t>
      </w:r>
      <w:r>
        <w:rPr>
          <w:spacing w:val="-2"/>
        </w:rPr>
        <w:t> </w:t>
      </w:r>
      <w:r>
        <w:rPr/>
        <w:t>the</w:t>
      </w:r>
      <w:r>
        <w:rPr>
          <w:spacing w:val="-1"/>
        </w:rPr>
        <w:t> </w:t>
      </w:r>
      <w:r>
        <w:rPr>
          <w:spacing w:val="-4"/>
        </w:rPr>
        <w:t>Study</w:t>
      </w:r>
    </w:p>
    <w:p>
      <w:pPr>
        <w:pStyle w:val="BodyText"/>
        <w:spacing w:before="1"/>
        <w:ind w:right="18" w:firstLine="284"/>
      </w:pPr>
      <w:r>
        <w:rPr/>
        <w:t>Two intact classes of Grade 7 learners from Musuan Integrated School were selected as participants</w:t>
      </w:r>
      <w:r>
        <w:rPr>
          <w:spacing w:val="-3"/>
        </w:rPr>
        <w:t> </w:t>
      </w:r>
      <w:r>
        <w:rPr/>
        <w:t>of</w:t>
      </w:r>
      <w:r>
        <w:rPr>
          <w:spacing w:val="-2"/>
        </w:rPr>
        <w:t> </w:t>
      </w:r>
      <w:r>
        <w:rPr/>
        <w:t>the</w:t>
      </w:r>
      <w:r>
        <w:rPr>
          <w:spacing w:val="-1"/>
        </w:rPr>
        <w:t> </w:t>
      </w:r>
      <w:r>
        <w:rPr/>
        <w:t>study</w:t>
      </w:r>
      <w:r>
        <w:rPr>
          <w:spacing w:val="-2"/>
        </w:rPr>
        <w:t> </w:t>
      </w:r>
      <w:r>
        <w:rPr/>
        <w:t>during</w:t>
      </w:r>
      <w:r>
        <w:rPr>
          <w:spacing w:val="-2"/>
        </w:rPr>
        <w:t> </w:t>
      </w:r>
      <w:r>
        <w:rPr/>
        <w:t>the</w:t>
      </w:r>
      <w:r>
        <w:rPr>
          <w:spacing w:val="-1"/>
        </w:rPr>
        <w:t> </w:t>
      </w:r>
      <w:r>
        <w:rPr/>
        <w:t>school</w:t>
      </w:r>
      <w:r>
        <w:rPr>
          <w:spacing w:val="-4"/>
        </w:rPr>
        <w:t> </w:t>
      </w:r>
      <w:r>
        <w:rPr/>
        <w:t>year</w:t>
      </w:r>
      <w:r>
        <w:rPr>
          <w:spacing w:val="-2"/>
        </w:rPr>
        <w:t> </w:t>
      </w:r>
      <w:r>
        <w:rPr/>
        <w:t>2025-2026.</w:t>
      </w:r>
      <w:r>
        <w:rPr>
          <w:spacing w:val="-2"/>
        </w:rPr>
        <w:t> </w:t>
      </w:r>
      <w:r>
        <w:rPr/>
        <w:t>For</w:t>
      </w:r>
      <w:r>
        <w:rPr>
          <w:spacing w:val="-2"/>
        </w:rPr>
        <w:t> </w:t>
      </w:r>
      <w:r>
        <w:rPr/>
        <w:t>convenience,</w:t>
      </w:r>
      <w:r>
        <w:rPr>
          <w:spacing w:val="-2"/>
        </w:rPr>
        <w:t> </w:t>
      </w:r>
      <w:r>
        <w:rPr/>
        <w:t>out</w:t>
      </w:r>
      <w:r>
        <w:rPr>
          <w:spacing w:val="-2"/>
        </w:rPr>
        <w:t> </w:t>
      </w:r>
      <w:r>
        <w:rPr/>
        <w:t>of</w:t>
      </w:r>
      <w:r>
        <w:rPr>
          <w:spacing w:val="-2"/>
        </w:rPr>
        <w:t> </w:t>
      </w:r>
      <w:r>
        <w:rPr/>
        <w:t>the</w:t>
      </w:r>
      <w:r>
        <w:rPr>
          <w:spacing w:val="-1"/>
        </w:rPr>
        <w:t> </w:t>
      </w:r>
      <w:r>
        <w:rPr/>
        <w:t>whole section, only 15 learners were randomly selected (n=30; 15 learners per section via random sampling). One was assigned as the experimental group, and the other as the control group. This sample provided a suitable basis for examining the effectiveness of the ReadQuest approach in developing the ORF of Grade 7 learners within a regular classroom setting.</w:t>
      </w:r>
    </w:p>
    <w:p>
      <w:pPr>
        <w:pStyle w:val="Heading2"/>
        <w:spacing w:before="276"/>
      </w:pPr>
      <w:r>
        <w:rPr>
          <w:spacing w:val="-2"/>
        </w:rPr>
        <w:t>Intervention</w:t>
      </w:r>
    </w:p>
    <w:p>
      <w:pPr>
        <w:pStyle w:val="BodyText"/>
        <w:ind w:right="18" w:firstLine="284"/>
      </w:pPr>
      <w:r>
        <w:rPr/>
        <w:t>ReadQuest is</w:t>
      </w:r>
      <w:r>
        <w:rPr>
          <w:spacing w:val="-5"/>
        </w:rPr>
        <w:t> </w:t>
      </w:r>
      <w:r>
        <w:rPr/>
        <w:t>a station-based reading</w:t>
      </w:r>
      <w:r>
        <w:rPr>
          <w:spacing w:val="-4"/>
        </w:rPr>
        <w:t> </w:t>
      </w:r>
      <w:r>
        <w:rPr/>
        <w:t>intervention designed</w:t>
      </w:r>
      <w:r>
        <w:rPr>
          <w:spacing w:val="-4"/>
        </w:rPr>
        <w:t> </w:t>
      </w:r>
      <w:r>
        <w:rPr/>
        <w:t>to develop</w:t>
      </w:r>
      <w:r>
        <w:rPr>
          <w:spacing w:val="-4"/>
        </w:rPr>
        <w:t> </w:t>
      </w:r>
      <w:r>
        <w:rPr/>
        <w:t>the ORF</w:t>
      </w:r>
      <w:r>
        <w:rPr>
          <w:spacing w:val="-1"/>
        </w:rPr>
        <w:t> </w:t>
      </w:r>
      <w:r>
        <w:rPr/>
        <w:t>of Grade 7 learners. While each station focuses on developing specific skills that contribute to overall reading</w:t>
      </w:r>
      <w:r>
        <w:rPr>
          <w:spacing w:val="-7"/>
        </w:rPr>
        <w:t> </w:t>
      </w:r>
      <w:r>
        <w:rPr/>
        <w:t>proficiency,</w:t>
      </w:r>
      <w:r>
        <w:rPr>
          <w:spacing w:val="-11"/>
        </w:rPr>
        <w:t> </w:t>
      </w:r>
      <w:r>
        <w:rPr/>
        <w:t>its</w:t>
      </w:r>
      <w:r>
        <w:rPr>
          <w:spacing w:val="-8"/>
        </w:rPr>
        <w:t> </w:t>
      </w:r>
      <w:r>
        <w:rPr/>
        <w:t>primary</w:t>
      </w:r>
      <w:r>
        <w:rPr>
          <w:spacing w:val="-10"/>
        </w:rPr>
        <w:t> </w:t>
      </w:r>
      <w:r>
        <w:rPr/>
        <w:t>focus</w:t>
      </w:r>
      <w:r>
        <w:rPr>
          <w:spacing w:val="-8"/>
        </w:rPr>
        <w:t> </w:t>
      </w:r>
      <w:r>
        <w:rPr/>
        <w:t>is</w:t>
      </w:r>
      <w:r>
        <w:rPr>
          <w:spacing w:val="-8"/>
        </w:rPr>
        <w:t> </w:t>
      </w:r>
      <w:r>
        <w:rPr/>
        <w:t>on</w:t>
      </w:r>
      <w:r>
        <w:rPr>
          <w:spacing w:val="-7"/>
        </w:rPr>
        <w:t> </w:t>
      </w:r>
      <w:r>
        <w:rPr/>
        <w:t>developing</w:t>
      </w:r>
      <w:r>
        <w:rPr>
          <w:spacing w:val="-7"/>
        </w:rPr>
        <w:t> </w:t>
      </w:r>
      <w:r>
        <w:rPr/>
        <w:t>speed,</w:t>
      </w:r>
      <w:r>
        <w:rPr>
          <w:spacing w:val="-11"/>
        </w:rPr>
        <w:t> </w:t>
      </w:r>
      <w:r>
        <w:rPr/>
        <w:t>measured</w:t>
      </w:r>
      <w:r>
        <w:rPr>
          <w:spacing w:val="-10"/>
        </w:rPr>
        <w:t> </w:t>
      </w:r>
      <w:r>
        <w:rPr/>
        <w:t>through</w:t>
      </w:r>
      <w:r>
        <w:rPr>
          <w:spacing w:val="-6"/>
        </w:rPr>
        <w:t> </w:t>
      </w:r>
      <w:r>
        <w:rPr/>
        <w:t>words</w:t>
      </w:r>
      <w:r>
        <w:rPr>
          <w:spacing w:val="-8"/>
        </w:rPr>
        <w:t> </w:t>
      </w:r>
      <w:r>
        <w:rPr/>
        <w:t>correct per</w:t>
      </w:r>
      <w:r>
        <w:rPr>
          <w:spacing w:val="-13"/>
        </w:rPr>
        <w:t> </w:t>
      </w:r>
      <w:r>
        <w:rPr/>
        <w:t>minute</w:t>
      </w:r>
      <w:r>
        <w:rPr>
          <w:spacing w:val="-12"/>
        </w:rPr>
        <w:t> </w:t>
      </w:r>
      <w:r>
        <w:rPr/>
        <w:t>(WCPM),</w:t>
      </w:r>
      <w:r>
        <w:rPr>
          <w:spacing w:val="-13"/>
        </w:rPr>
        <w:t> </w:t>
      </w:r>
      <w:r>
        <w:rPr/>
        <w:t>and</w:t>
      </w:r>
      <w:r>
        <w:rPr>
          <w:spacing w:val="-13"/>
        </w:rPr>
        <w:t> </w:t>
      </w:r>
      <w:r>
        <w:rPr/>
        <w:t>accuracy.</w:t>
      </w:r>
      <w:r>
        <w:rPr>
          <w:spacing w:val="-13"/>
        </w:rPr>
        <w:t> </w:t>
      </w:r>
      <w:r>
        <w:rPr/>
        <w:t>It</w:t>
      </w:r>
      <w:r>
        <w:rPr>
          <w:spacing w:val="-12"/>
        </w:rPr>
        <w:t> </w:t>
      </w:r>
      <w:r>
        <w:rPr/>
        <w:t>consists</w:t>
      </w:r>
      <w:r>
        <w:rPr>
          <w:spacing w:val="-15"/>
        </w:rPr>
        <w:t> </w:t>
      </w:r>
      <w:r>
        <w:rPr/>
        <w:t>of</w:t>
      </w:r>
      <w:r>
        <w:rPr>
          <w:spacing w:val="-13"/>
        </w:rPr>
        <w:t> </w:t>
      </w:r>
      <w:r>
        <w:rPr/>
        <w:t>four</w:t>
      </w:r>
      <w:r>
        <w:rPr>
          <w:spacing w:val="-13"/>
        </w:rPr>
        <w:t> </w:t>
      </w:r>
      <w:r>
        <w:rPr/>
        <w:t>instructional</w:t>
      </w:r>
      <w:r>
        <w:rPr>
          <w:spacing w:val="-13"/>
        </w:rPr>
        <w:t> </w:t>
      </w:r>
      <w:r>
        <w:rPr/>
        <w:t>stations</w:t>
      </w:r>
      <w:r>
        <w:rPr>
          <w:spacing w:val="-15"/>
        </w:rPr>
        <w:t> </w:t>
      </w:r>
      <w:r>
        <w:rPr/>
        <w:t>and</w:t>
      </w:r>
      <w:r>
        <w:rPr>
          <w:spacing w:val="-13"/>
        </w:rPr>
        <w:t> </w:t>
      </w:r>
      <w:r>
        <w:rPr/>
        <w:t>one</w:t>
      </w:r>
      <w:r>
        <w:rPr>
          <w:spacing w:val="-12"/>
        </w:rPr>
        <w:t> </w:t>
      </w:r>
      <w:r>
        <w:rPr/>
        <w:t>assessment component: (1) Speed Track, which measures learners’ WCPM and accuracy; (2) Pauses Between Lines, which develops phrasing through phrase-cued reading; (3) Repeat After Me, which</w:t>
      </w:r>
      <w:r>
        <w:rPr>
          <w:spacing w:val="-7"/>
        </w:rPr>
        <w:t> </w:t>
      </w:r>
      <w:r>
        <w:rPr/>
        <w:t>develops</w:t>
      </w:r>
      <w:r>
        <w:rPr>
          <w:spacing w:val="-8"/>
        </w:rPr>
        <w:t> </w:t>
      </w:r>
      <w:r>
        <w:rPr/>
        <w:t>fluency</w:t>
      </w:r>
      <w:r>
        <w:rPr>
          <w:spacing w:val="-7"/>
        </w:rPr>
        <w:t> </w:t>
      </w:r>
      <w:r>
        <w:rPr/>
        <w:t>through</w:t>
      </w:r>
      <w:r>
        <w:rPr>
          <w:spacing w:val="-6"/>
        </w:rPr>
        <w:t> </w:t>
      </w:r>
      <w:r>
        <w:rPr/>
        <w:t>teacher</w:t>
      </w:r>
      <w:r>
        <w:rPr>
          <w:spacing w:val="-6"/>
        </w:rPr>
        <w:t> </w:t>
      </w:r>
      <w:r>
        <w:rPr/>
        <w:t>modeling</w:t>
      </w:r>
      <w:r>
        <w:rPr>
          <w:spacing w:val="-7"/>
        </w:rPr>
        <w:t> </w:t>
      </w:r>
      <w:r>
        <w:rPr/>
        <w:t>and</w:t>
      </w:r>
      <w:r>
        <w:rPr>
          <w:spacing w:val="-7"/>
        </w:rPr>
        <w:t> </w:t>
      </w:r>
      <w:r>
        <w:rPr/>
        <w:t>imitation;</w:t>
      </w:r>
      <w:r>
        <w:rPr>
          <w:spacing w:val="-6"/>
        </w:rPr>
        <w:t> </w:t>
      </w:r>
      <w:r>
        <w:rPr/>
        <w:t>(4)</w:t>
      </w:r>
      <w:r>
        <w:rPr>
          <w:spacing w:val="-6"/>
        </w:rPr>
        <w:t> </w:t>
      </w:r>
      <w:r>
        <w:rPr/>
        <w:t>Voicing</w:t>
      </w:r>
      <w:r>
        <w:rPr>
          <w:spacing w:val="-10"/>
        </w:rPr>
        <w:t> </w:t>
      </w:r>
      <w:r>
        <w:rPr/>
        <w:t>Emotions,</w:t>
      </w:r>
      <w:r>
        <w:rPr>
          <w:spacing w:val="-7"/>
        </w:rPr>
        <w:t> </w:t>
      </w:r>
      <w:r>
        <w:rPr/>
        <w:t>which develops expressive reading using different emotions; and (5) Speed Track, concludes the reading intervention with another speed track to assess learners’ ORF progress. This intervention</w:t>
      </w:r>
      <w:r>
        <w:rPr>
          <w:spacing w:val="-5"/>
        </w:rPr>
        <w:t> </w:t>
      </w:r>
      <w:r>
        <w:rPr/>
        <w:t>was</w:t>
      </w:r>
      <w:r>
        <w:rPr>
          <w:spacing w:val="-6"/>
        </w:rPr>
        <w:t> </w:t>
      </w:r>
      <w:r>
        <w:rPr/>
        <w:t>implemented</w:t>
      </w:r>
      <w:r>
        <w:rPr>
          <w:spacing w:val="-5"/>
        </w:rPr>
        <w:t> </w:t>
      </w:r>
      <w:r>
        <w:rPr/>
        <w:t>over</w:t>
      </w:r>
      <w:r>
        <w:rPr>
          <w:spacing w:val="-4"/>
        </w:rPr>
        <w:t> </w:t>
      </w:r>
      <w:r>
        <w:rPr/>
        <w:t>five</w:t>
      </w:r>
      <w:r>
        <w:rPr>
          <w:spacing w:val="-3"/>
        </w:rPr>
        <w:t> </w:t>
      </w:r>
      <w:r>
        <w:rPr/>
        <w:t>weeks</w:t>
      </w:r>
      <w:r>
        <w:rPr>
          <w:spacing w:val="-6"/>
        </w:rPr>
        <w:t> </w:t>
      </w:r>
      <w:r>
        <w:rPr/>
        <w:t>with</w:t>
      </w:r>
      <w:r>
        <w:rPr>
          <w:spacing w:val="-5"/>
        </w:rPr>
        <w:t> </w:t>
      </w:r>
      <w:r>
        <w:rPr/>
        <w:t>sessions</w:t>
      </w:r>
      <w:r>
        <w:rPr>
          <w:spacing w:val="-6"/>
        </w:rPr>
        <w:t> </w:t>
      </w:r>
      <w:r>
        <w:rPr/>
        <w:t>conducted</w:t>
      </w:r>
      <w:r>
        <w:rPr>
          <w:spacing w:val="-5"/>
        </w:rPr>
        <w:t> </w:t>
      </w:r>
      <w:r>
        <w:rPr/>
        <w:t>three</w:t>
      </w:r>
      <w:r>
        <w:rPr>
          <w:spacing w:val="-3"/>
        </w:rPr>
        <w:t> </w:t>
      </w:r>
      <w:r>
        <w:rPr/>
        <w:t>times</w:t>
      </w:r>
      <w:r>
        <w:rPr>
          <w:spacing w:val="-6"/>
        </w:rPr>
        <w:t> </w:t>
      </w:r>
      <w:r>
        <w:rPr/>
        <w:t>a</w:t>
      </w:r>
      <w:r>
        <w:rPr>
          <w:spacing w:val="-7"/>
        </w:rPr>
        <w:t> </w:t>
      </w:r>
      <w:r>
        <w:rPr/>
        <w:t>week</w:t>
      </w:r>
      <w:r>
        <w:rPr>
          <w:spacing w:val="-5"/>
        </w:rPr>
        <w:t> </w:t>
      </w:r>
      <w:r>
        <w:rPr/>
        <w:t>for one and a half hours, utilizing one station per week to allow learners to focus intensively on each component before progressing to the next.</w:t>
      </w:r>
    </w:p>
    <w:p>
      <w:pPr>
        <w:pStyle w:val="BodyText"/>
        <w:spacing w:before="1"/>
        <w:ind w:left="0"/>
        <w:jc w:val="left"/>
      </w:pPr>
    </w:p>
    <w:p>
      <w:pPr>
        <w:pStyle w:val="Heading2"/>
        <w:jc w:val="both"/>
      </w:pPr>
      <w:r>
        <w:rPr/>
        <w:t>Data</w:t>
      </w:r>
      <w:r>
        <w:rPr>
          <w:spacing w:val="-2"/>
        </w:rPr>
        <w:t> </w:t>
      </w:r>
      <w:r>
        <w:rPr/>
        <w:t>Collection</w:t>
      </w:r>
      <w:r>
        <w:rPr>
          <w:spacing w:val="-2"/>
        </w:rPr>
        <w:t> Methods</w:t>
      </w:r>
    </w:p>
    <w:p>
      <w:pPr>
        <w:pStyle w:val="BodyText"/>
        <w:ind w:right="17" w:firstLine="284"/>
      </w:pPr>
      <w:r>
        <w:rPr/>
        <w:t>The study employed a quantitative method of data collection through the</w:t>
      </w:r>
      <w:r>
        <w:rPr>
          <w:spacing w:val="-2"/>
        </w:rPr>
        <w:t> </w:t>
      </w:r>
      <w:r>
        <w:rPr/>
        <w:t>administration of pretest and posttest ORF assessments in both experimental and control groups using grade-specific reading passages from Phil-IRI. Before the intervention, both groups were administered</w:t>
      </w:r>
      <w:r>
        <w:rPr>
          <w:spacing w:val="-15"/>
        </w:rPr>
        <w:t> </w:t>
      </w:r>
      <w:r>
        <w:rPr/>
        <w:t>a</w:t>
      </w:r>
      <w:r>
        <w:rPr>
          <w:spacing w:val="-10"/>
        </w:rPr>
        <w:t> </w:t>
      </w:r>
      <w:r>
        <w:rPr/>
        <w:t>pretest</w:t>
      </w:r>
      <w:r>
        <w:rPr>
          <w:spacing w:val="-10"/>
        </w:rPr>
        <w:t> </w:t>
      </w:r>
      <w:r>
        <w:rPr/>
        <w:t>to</w:t>
      </w:r>
      <w:r>
        <w:rPr>
          <w:spacing w:val="-10"/>
        </w:rPr>
        <w:t> </w:t>
      </w:r>
      <w:r>
        <w:rPr/>
        <w:t>determine</w:t>
      </w:r>
      <w:r>
        <w:rPr>
          <w:spacing w:val="-13"/>
        </w:rPr>
        <w:t> </w:t>
      </w:r>
      <w:r>
        <w:rPr/>
        <w:t>their</w:t>
      </w:r>
      <w:r>
        <w:rPr>
          <w:spacing w:val="-10"/>
        </w:rPr>
        <w:t> </w:t>
      </w:r>
      <w:r>
        <w:rPr/>
        <w:t>baseline</w:t>
      </w:r>
      <w:r>
        <w:rPr>
          <w:spacing w:val="-13"/>
        </w:rPr>
        <w:t> </w:t>
      </w:r>
      <w:r>
        <w:rPr/>
        <w:t>reading</w:t>
      </w:r>
      <w:r>
        <w:rPr>
          <w:spacing w:val="-10"/>
        </w:rPr>
        <w:t> </w:t>
      </w:r>
      <w:r>
        <w:rPr/>
        <w:t>fluency.</w:t>
      </w:r>
      <w:r>
        <w:rPr>
          <w:spacing w:val="-14"/>
        </w:rPr>
        <w:t> </w:t>
      </w:r>
      <w:r>
        <w:rPr/>
        <w:t>The</w:t>
      </w:r>
      <w:r>
        <w:rPr>
          <w:spacing w:val="-13"/>
        </w:rPr>
        <w:t> </w:t>
      </w:r>
      <w:r>
        <w:rPr/>
        <w:t>experimental</w:t>
      </w:r>
      <w:r>
        <w:rPr>
          <w:spacing w:val="-15"/>
        </w:rPr>
        <w:t> </w:t>
      </w:r>
      <w:r>
        <w:rPr/>
        <w:t>group</w:t>
      </w:r>
      <w:r>
        <w:rPr>
          <w:spacing w:val="-10"/>
        </w:rPr>
        <w:t> </w:t>
      </w:r>
      <w:r>
        <w:rPr/>
        <w:t>was then exposed to the ReadQuest approach, while the control group continued with regular classroom instruction. After the intervention, both groups were administered a posttest to measure changes in ORF levels. The use of the same assessment procedure for both groups ensured consistency, objectivity, and fairness</w:t>
      </w:r>
      <w:r>
        <w:rPr>
          <w:spacing w:val="-1"/>
        </w:rPr>
        <w:t> </w:t>
      </w:r>
      <w:r>
        <w:rPr/>
        <w:t>in data collection. The scores</w:t>
      </w:r>
      <w:r>
        <w:rPr>
          <w:spacing w:val="-1"/>
        </w:rPr>
        <w:t> </w:t>
      </w:r>
      <w:r>
        <w:rPr/>
        <w:t>obtained</w:t>
      </w:r>
      <w:r>
        <w:rPr>
          <w:spacing w:val="-4"/>
        </w:rPr>
        <w:t> </w:t>
      </w:r>
      <w:r>
        <w:rPr/>
        <w:t>from the pretest and posttest served as the primary data for analysis.</w:t>
      </w:r>
    </w:p>
    <w:p>
      <w:pPr>
        <w:pStyle w:val="BodyText"/>
        <w:spacing w:before="1"/>
        <w:ind w:left="0"/>
        <w:jc w:val="left"/>
      </w:pPr>
    </w:p>
    <w:p>
      <w:pPr>
        <w:pStyle w:val="Heading2"/>
      </w:pPr>
      <w:r>
        <w:rPr/>
        <w:t>Data</w:t>
      </w:r>
      <w:r>
        <w:rPr>
          <w:spacing w:val="-7"/>
        </w:rPr>
        <w:t> </w:t>
      </w:r>
      <w:r>
        <w:rPr/>
        <w:t>Analysis</w:t>
      </w:r>
      <w:r>
        <w:rPr>
          <w:spacing w:val="-5"/>
        </w:rPr>
        <w:t> </w:t>
      </w:r>
      <w:r>
        <w:rPr>
          <w:spacing w:val="-4"/>
        </w:rPr>
        <w:t>Plan</w:t>
      </w:r>
    </w:p>
    <w:p>
      <w:pPr>
        <w:pStyle w:val="BodyText"/>
        <w:ind w:right="15" w:firstLine="284"/>
      </w:pPr>
      <w:r>
        <w:rPr/>
        <w:t>The data gathered in this study were analyzed using descriptive and inferential statistics. The</w:t>
      </w:r>
      <w:r>
        <w:rPr>
          <w:spacing w:val="30"/>
        </w:rPr>
        <w:t> </w:t>
      </w:r>
      <w:r>
        <w:rPr/>
        <w:t>learners’</w:t>
      </w:r>
      <w:r>
        <w:rPr>
          <w:spacing w:val="29"/>
        </w:rPr>
        <w:t> </w:t>
      </w:r>
      <w:r>
        <w:rPr/>
        <w:t>reading</w:t>
      </w:r>
      <w:r>
        <w:rPr>
          <w:spacing w:val="29"/>
        </w:rPr>
        <w:t> </w:t>
      </w:r>
      <w:r>
        <w:rPr/>
        <w:t>speed</w:t>
      </w:r>
      <w:r>
        <w:rPr>
          <w:spacing w:val="29"/>
        </w:rPr>
        <w:t> </w:t>
      </w:r>
      <w:r>
        <w:rPr/>
        <w:t>(WCPM)</w:t>
      </w:r>
      <w:r>
        <w:rPr>
          <w:spacing w:val="29"/>
        </w:rPr>
        <w:t> </w:t>
      </w:r>
      <w:r>
        <w:rPr/>
        <w:t>and</w:t>
      </w:r>
      <w:r>
        <w:rPr>
          <w:spacing w:val="29"/>
        </w:rPr>
        <w:t> </w:t>
      </w:r>
      <w:r>
        <w:rPr/>
        <w:t>accuracy</w:t>
      </w:r>
      <w:r>
        <w:rPr>
          <w:spacing w:val="29"/>
        </w:rPr>
        <w:t> </w:t>
      </w:r>
      <w:r>
        <w:rPr/>
        <w:t>rate</w:t>
      </w:r>
      <w:r>
        <w:rPr>
          <w:spacing w:val="30"/>
        </w:rPr>
        <w:t> </w:t>
      </w:r>
      <w:r>
        <w:rPr/>
        <w:t>were</w:t>
      </w:r>
      <w:r>
        <w:rPr>
          <w:spacing w:val="30"/>
        </w:rPr>
        <w:t> </w:t>
      </w:r>
      <w:r>
        <w:rPr/>
        <w:t>computed</w:t>
      </w:r>
      <w:r>
        <w:rPr>
          <w:spacing w:val="25"/>
        </w:rPr>
        <w:t> </w:t>
      </w:r>
      <w:r>
        <w:rPr/>
        <w:t>to</w:t>
      </w:r>
      <w:r>
        <w:rPr>
          <w:spacing w:val="29"/>
        </w:rPr>
        <w:t> </w:t>
      </w:r>
      <w:r>
        <w:rPr/>
        <w:t>determine</w:t>
      </w:r>
      <w:r>
        <w:rPr>
          <w:spacing w:val="40"/>
        </w:rPr>
        <w:t> </w:t>
      </w:r>
      <w:r>
        <w:rPr>
          <w:spacing w:val="-2"/>
        </w:rPr>
        <w:t>their</w:t>
      </w:r>
    </w:p>
    <w:p>
      <w:pPr>
        <w:pStyle w:val="BodyText"/>
        <w:spacing w:after="0"/>
        <w:sectPr>
          <w:pgSz w:w="11910" w:h="16840"/>
          <w:pgMar w:header="0" w:footer="994" w:top="1360" w:bottom="1180" w:left="1417" w:right="1417"/>
        </w:sectPr>
      </w:pPr>
    </w:p>
    <w:p>
      <w:pPr>
        <w:pStyle w:val="BodyText"/>
        <w:spacing w:before="64"/>
        <w:ind w:right="15"/>
      </w:pPr>
      <w:r>
        <w:rPr/>
        <w:t>reading performance. The formulas are as follows: (1) Total Words Read – Errors = WCPM; and</w:t>
      </w:r>
      <w:r>
        <w:rPr>
          <w:spacing w:val="-9"/>
        </w:rPr>
        <w:t> </w:t>
      </w:r>
      <w:r>
        <w:rPr/>
        <w:t>(2)</w:t>
      </w:r>
      <w:r>
        <w:rPr>
          <w:spacing w:val="-9"/>
        </w:rPr>
        <w:t> </w:t>
      </w:r>
      <w:r>
        <w:rPr/>
        <w:t>WCPM</w:t>
      </w:r>
      <w:r>
        <w:rPr>
          <w:spacing w:val="-11"/>
        </w:rPr>
        <w:t> </w:t>
      </w:r>
      <w:r>
        <w:rPr/>
        <w:t>/</w:t>
      </w:r>
      <w:r>
        <w:rPr>
          <w:spacing w:val="-8"/>
        </w:rPr>
        <w:t> </w:t>
      </w:r>
      <w:r>
        <w:rPr/>
        <w:t>Total</w:t>
      </w:r>
      <w:r>
        <w:rPr>
          <w:spacing w:val="-8"/>
        </w:rPr>
        <w:t> </w:t>
      </w:r>
      <w:r>
        <w:rPr/>
        <w:t>Words</w:t>
      </w:r>
      <w:r>
        <w:rPr>
          <w:spacing w:val="-11"/>
        </w:rPr>
        <w:t> </w:t>
      </w:r>
      <w:r>
        <w:rPr/>
        <w:t>Read</w:t>
      </w:r>
      <w:r>
        <w:rPr>
          <w:spacing w:val="-9"/>
        </w:rPr>
        <w:t> </w:t>
      </w:r>
      <w:r>
        <w:rPr/>
        <w:t>x</w:t>
      </w:r>
      <w:r>
        <w:rPr>
          <w:spacing w:val="-9"/>
        </w:rPr>
        <w:t> </w:t>
      </w:r>
      <w:r>
        <w:rPr/>
        <w:t>100</w:t>
      </w:r>
      <w:r>
        <w:rPr>
          <w:spacing w:val="-13"/>
        </w:rPr>
        <w:t> </w:t>
      </w:r>
      <w:r>
        <w:rPr/>
        <w:t>=</w:t>
      </w:r>
      <w:r>
        <w:rPr>
          <w:spacing w:val="-9"/>
        </w:rPr>
        <w:t> </w:t>
      </w:r>
      <w:r>
        <w:rPr/>
        <w:t>Accuracy</w:t>
      </w:r>
      <w:r>
        <w:rPr>
          <w:spacing w:val="-9"/>
        </w:rPr>
        <w:t> </w:t>
      </w:r>
      <w:r>
        <w:rPr/>
        <w:t>Rate.</w:t>
      </w:r>
      <w:r>
        <w:rPr>
          <w:spacing w:val="-13"/>
        </w:rPr>
        <w:t> </w:t>
      </w:r>
      <w:r>
        <w:rPr/>
        <w:t>The</w:t>
      </w:r>
      <w:r>
        <w:rPr>
          <w:spacing w:val="-8"/>
        </w:rPr>
        <w:t> </w:t>
      </w:r>
      <w:r>
        <w:rPr/>
        <w:t>computed</w:t>
      </w:r>
      <w:r>
        <w:rPr>
          <w:spacing w:val="-13"/>
        </w:rPr>
        <w:t> </w:t>
      </w:r>
      <w:r>
        <w:rPr/>
        <w:t>accuracy</w:t>
      </w:r>
      <w:r>
        <w:rPr>
          <w:spacing w:val="-13"/>
        </w:rPr>
        <w:t> </w:t>
      </w:r>
      <w:r>
        <w:rPr/>
        <w:t>rates</w:t>
      </w:r>
      <w:r>
        <w:rPr>
          <w:spacing w:val="-11"/>
        </w:rPr>
        <w:t> </w:t>
      </w:r>
      <w:r>
        <w:rPr/>
        <w:t>were then</w:t>
      </w:r>
      <w:r>
        <w:rPr>
          <w:spacing w:val="-15"/>
        </w:rPr>
        <w:t> </w:t>
      </w:r>
      <w:r>
        <w:rPr/>
        <w:t>interpreted</w:t>
      </w:r>
      <w:r>
        <w:rPr>
          <w:spacing w:val="-15"/>
        </w:rPr>
        <w:t> </w:t>
      </w:r>
      <w:r>
        <w:rPr/>
        <w:t>using</w:t>
      </w:r>
      <w:r>
        <w:rPr>
          <w:spacing w:val="-15"/>
        </w:rPr>
        <w:t> </w:t>
      </w:r>
      <w:r>
        <w:rPr/>
        <w:t>the</w:t>
      </w:r>
      <w:r>
        <w:rPr>
          <w:spacing w:val="-15"/>
        </w:rPr>
        <w:t> </w:t>
      </w:r>
      <w:r>
        <w:rPr/>
        <w:t>Phil-IRI</w:t>
      </w:r>
      <w:r>
        <w:rPr>
          <w:spacing w:val="-15"/>
        </w:rPr>
        <w:t> </w:t>
      </w:r>
      <w:r>
        <w:rPr/>
        <w:t>reading</w:t>
      </w:r>
      <w:r>
        <w:rPr>
          <w:spacing w:val="-15"/>
        </w:rPr>
        <w:t> </w:t>
      </w:r>
      <w:r>
        <w:rPr/>
        <w:t>level</w:t>
      </w:r>
      <w:r>
        <w:rPr>
          <w:spacing w:val="-15"/>
        </w:rPr>
        <w:t> </w:t>
      </w:r>
      <w:r>
        <w:rPr/>
        <w:t>benchmarks</w:t>
      </w:r>
      <w:r>
        <w:rPr>
          <w:spacing w:val="-15"/>
        </w:rPr>
        <w:t> </w:t>
      </w:r>
      <w:r>
        <w:rPr/>
        <w:t>where:</w:t>
      </w:r>
      <w:r>
        <w:rPr>
          <w:spacing w:val="-15"/>
        </w:rPr>
        <w:t> </w:t>
      </w:r>
      <w:r>
        <w:rPr/>
        <w:t>97%-100%</w:t>
      </w:r>
      <w:r>
        <w:rPr>
          <w:spacing w:val="-15"/>
        </w:rPr>
        <w:t> </w:t>
      </w:r>
      <w:r>
        <w:rPr/>
        <w:t>were</w:t>
      </w:r>
      <w:r>
        <w:rPr>
          <w:spacing w:val="-15"/>
        </w:rPr>
        <w:t> </w:t>
      </w:r>
      <w:r>
        <w:rPr/>
        <w:t>classified under</w:t>
      </w:r>
      <w:r>
        <w:rPr>
          <w:spacing w:val="-11"/>
        </w:rPr>
        <w:t> </w:t>
      </w:r>
      <w:r>
        <w:rPr/>
        <w:t>the</w:t>
      </w:r>
      <w:r>
        <w:rPr>
          <w:spacing w:val="-10"/>
        </w:rPr>
        <w:t> </w:t>
      </w:r>
      <w:r>
        <w:rPr/>
        <w:t>Independent</w:t>
      </w:r>
      <w:r>
        <w:rPr>
          <w:spacing w:val="-14"/>
        </w:rPr>
        <w:t> </w:t>
      </w:r>
      <w:r>
        <w:rPr/>
        <w:t>Level;</w:t>
      </w:r>
      <w:r>
        <w:rPr>
          <w:spacing w:val="-10"/>
        </w:rPr>
        <w:t> </w:t>
      </w:r>
      <w:r>
        <w:rPr/>
        <w:t>90%-96%</w:t>
      </w:r>
      <w:r>
        <w:rPr>
          <w:spacing w:val="-15"/>
        </w:rPr>
        <w:t> </w:t>
      </w:r>
      <w:r>
        <w:rPr/>
        <w:t>were</w:t>
      </w:r>
      <w:r>
        <w:rPr>
          <w:spacing w:val="-14"/>
        </w:rPr>
        <w:t> </w:t>
      </w:r>
      <w:r>
        <w:rPr/>
        <w:t>classified</w:t>
      </w:r>
      <w:r>
        <w:rPr>
          <w:spacing w:val="-11"/>
        </w:rPr>
        <w:t> </w:t>
      </w:r>
      <w:r>
        <w:rPr/>
        <w:t>under</w:t>
      </w:r>
      <w:r>
        <w:rPr>
          <w:spacing w:val="-15"/>
        </w:rPr>
        <w:t> </w:t>
      </w:r>
      <w:r>
        <w:rPr/>
        <w:t>the</w:t>
      </w:r>
      <w:r>
        <w:rPr>
          <w:spacing w:val="-10"/>
        </w:rPr>
        <w:t> </w:t>
      </w:r>
      <w:r>
        <w:rPr/>
        <w:t>Instructional</w:t>
      </w:r>
      <w:r>
        <w:rPr>
          <w:spacing w:val="-15"/>
        </w:rPr>
        <w:t> </w:t>
      </w:r>
      <w:r>
        <w:rPr/>
        <w:t>Level;</w:t>
      </w:r>
      <w:r>
        <w:rPr>
          <w:spacing w:val="-10"/>
        </w:rPr>
        <w:t> </w:t>
      </w:r>
      <w:r>
        <w:rPr/>
        <w:t>and</w:t>
      </w:r>
      <w:r>
        <w:rPr>
          <w:spacing w:val="-15"/>
        </w:rPr>
        <w:t> </w:t>
      </w:r>
      <w:r>
        <w:rPr/>
        <w:t>89% and below</w:t>
      </w:r>
      <w:r>
        <w:rPr>
          <w:spacing w:val="-1"/>
        </w:rPr>
        <w:t> </w:t>
      </w:r>
      <w:r>
        <w:rPr/>
        <w:t>were</w:t>
      </w:r>
      <w:r>
        <w:rPr>
          <w:spacing w:val="-2"/>
        </w:rPr>
        <w:t> </w:t>
      </w:r>
      <w:r>
        <w:rPr/>
        <w:t>classified under the Frustration</w:t>
      </w:r>
      <w:r>
        <w:rPr>
          <w:spacing w:val="-3"/>
        </w:rPr>
        <w:t> </w:t>
      </w:r>
      <w:r>
        <w:rPr/>
        <w:t>Level.</w:t>
      </w:r>
      <w:r>
        <w:rPr>
          <w:spacing w:val="-3"/>
        </w:rPr>
        <w:t> </w:t>
      </w:r>
      <w:r>
        <w:rPr/>
        <w:t>The</w:t>
      </w:r>
      <w:r>
        <w:rPr>
          <w:spacing w:val="-2"/>
        </w:rPr>
        <w:t> </w:t>
      </w:r>
      <w:r>
        <w:rPr/>
        <w:t>mean and</w:t>
      </w:r>
      <w:r>
        <w:rPr>
          <w:spacing w:val="-4"/>
        </w:rPr>
        <w:t> </w:t>
      </w:r>
      <w:r>
        <w:rPr/>
        <w:t>standard deviation were computed</w:t>
      </w:r>
      <w:r>
        <w:rPr>
          <w:spacing w:val="-6"/>
        </w:rPr>
        <w:t> </w:t>
      </w:r>
      <w:r>
        <w:rPr/>
        <w:t>to</w:t>
      </w:r>
      <w:r>
        <w:rPr>
          <w:spacing w:val="-6"/>
        </w:rPr>
        <w:t> </w:t>
      </w:r>
      <w:r>
        <w:rPr/>
        <w:t>summarize</w:t>
      </w:r>
      <w:r>
        <w:rPr>
          <w:spacing w:val="-4"/>
        </w:rPr>
        <w:t> </w:t>
      </w:r>
      <w:r>
        <w:rPr/>
        <w:t>the</w:t>
      </w:r>
      <w:r>
        <w:rPr>
          <w:spacing w:val="-4"/>
        </w:rPr>
        <w:t> </w:t>
      </w:r>
      <w:r>
        <w:rPr/>
        <w:t>pretest</w:t>
      </w:r>
      <w:r>
        <w:rPr>
          <w:spacing w:val="-5"/>
        </w:rPr>
        <w:t> </w:t>
      </w:r>
      <w:r>
        <w:rPr/>
        <w:t>and</w:t>
      </w:r>
      <w:r>
        <w:rPr>
          <w:spacing w:val="-6"/>
        </w:rPr>
        <w:t> </w:t>
      </w:r>
      <w:r>
        <w:rPr/>
        <w:t>posttest</w:t>
      </w:r>
      <w:r>
        <w:rPr>
          <w:spacing w:val="-5"/>
        </w:rPr>
        <w:t> </w:t>
      </w:r>
      <w:r>
        <w:rPr/>
        <w:t>scores</w:t>
      </w:r>
      <w:r>
        <w:rPr>
          <w:spacing w:val="-7"/>
        </w:rPr>
        <w:t> </w:t>
      </w:r>
      <w:r>
        <w:rPr/>
        <w:t>of</w:t>
      </w:r>
      <w:r>
        <w:rPr>
          <w:spacing w:val="-5"/>
        </w:rPr>
        <w:t> </w:t>
      </w:r>
      <w:r>
        <w:rPr/>
        <w:t>the</w:t>
      </w:r>
      <w:r>
        <w:rPr>
          <w:spacing w:val="-4"/>
        </w:rPr>
        <w:t> </w:t>
      </w:r>
      <w:r>
        <w:rPr/>
        <w:t>experimental</w:t>
      </w:r>
      <w:r>
        <w:rPr>
          <w:spacing w:val="-5"/>
        </w:rPr>
        <w:t> </w:t>
      </w:r>
      <w:r>
        <w:rPr/>
        <w:t>and</w:t>
      </w:r>
      <w:r>
        <w:rPr>
          <w:spacing w:val="-6"/>
        </w:rPr>
        <w:t> </w:t>
      </w:r>
      <w:r>
        <w:rPr/>
        <w:t>control</w:t>
      </w:r>
      <w:r>
        <w:rPr>
          <w:spacing w:val="-5"/>
        </w:rPr>
        <w:t> </w:t>
      </w:r>
      <w:r>
        <w:rPr/>
        <w:t>groups. The Shapiro-Wilk</w:t>
      </w:r>
      <w:r>
        <w:rPr>
          <w:spacing w:val="-2"/>
        </w:rPr>
        <w:t> </w:t>
      </w:r>
      <w:r>
        <w:rPr/>
        <w:t>test</w:t>
      </w:r>
      <w:r>
        <w:rPr>
          <w:spacing w:val="-1"/>
        </w:rPr>
        <w:t> </w:t>
      </w:r>
      <w:r>
        <w:rPr/>
        <w:t>was conducted</w:t>
      </w:r>
      <w:r>
        <w:rPr>
          <w:spacing w:val="-1"/>
        </w:rPr>
        <w:t> </w:t>
      </w:r>
      <w:r>
        <w:rPr/>
        <w:t>to assess the normality of</w:t>
      </w:r>
      <w:r>
        <w:rPr>
          <w:spacing w:val="-1"/>
        </w:rPr>
        <w:t> </w:t>
      </w:r>
      <w:r>
        <w:rPr/>
        <w:t>the</w:t>
      </w:r>
      <w:r>
        <w:rPr>
          <w:spacing w:val="-1"/>
        </w:rPr>
        <w:t> </w:t>
      </w:r>
      <w:r>
        <w:rPr/>
        <w:t>data, and</w:t>
      </w:r>
      <w:r>
        <w:rPr>
          <w:spacing w:val="-2"/>
        </w:rPr>
        <w:t> </w:t>
      </w:r>
      <w:r>
        <w:rPr/>
        <w:t>since</w:t>
      </w:r>
      <w:r>
        <w:rPr>
          <w:spacing w:val="-1"/>
        </w:rPr>
        <w:t> </w:t>
      </w:r>
      <w:r>
        <w:rPr/>
        <w:t>the results showed</w:t>
      </w:r>
      <w:r>
        <w:rPr>
          <w:spacing w:val="-2"/>
        </w:rPr>
        <w:t> </w:t>
      </w:r>
      <w:r>
        <w:rPr/>
        <w:t>a</w:t>
      </w:r>
      <w:r>
        <w:rPr>
          <w:spacing w:val="-1"/>
        </w:rPr>
        <w:t> </w:t>
      </w:r>
      <w:r>
        <w:rPr/>
        <w:t>non-normal</w:t>
      </w:r>
      <w:r>
        <w:rPr>
          <w:spacing w:val="-2"/>
        </w:rPr>
        <w:t> </w:t>
      </w:r>
      <w:r>
        <w:rPr/>
        <w:t>distribution,</w:t>
      </w:r>
      <w:r>
        <w:rPr>
          <w:spacing w:val="-7"/>
        </w:rPr>
        <w:t> </w:t>
      </w:r>
      <w:r>
        <w:rPr/>
        <w:t>the Wilcoxon</w:t>
      </w:r>
      <w:r>
        <w:rPr>
          <w:spacing w:val="-2"/>
        </w:rPr>
        <w:t> </w:t>
      </w:r>
      <w:r>
        <w:rPr/>
        <w:t>Signed-Rank</w:t>
      </w:r>
      <w:r>
        <w:rPr>
          <w:spacing w:val="-2"/>
        </w:rPr>
        <w:t> </w:t>
      </w:r>
      <w:r>
        <w:rPr/>
        <w:t>Test</w:t>
      </w:r>
      <w:r>
        <w:rPr>
          <w:spacing w:val="-2"/>
        </w:rPr>
        <w:t> </w:t>
      </w:r>
      <w:r>
        <w:rPr/>
        <w:t>was</w:t>
      </w:r>
      <w:r>
        <w:rPr>
          <w:spacing w:val="-4"/>
        </w:rPr>
        <w:t> </w:t>
      </w:r>
      <w:r>
        <w:rPr/>
        <w:t>employed</w:t>
      </w:r>
      <w:r>
        <w:rPr>
          <w:spacing w:val="-2"/>
        </w:rPr>
        <w:t> </w:t>
      </w:r>
      <w:r>
        <w:rPr/>
        <w:t>to</w:t>
      </w:r>
      <w:r>
        <w:rPr>
          <w:spacing w:val="-7"/>
        </w:rPr>
        <w:t> </w:t>
      </w:r>
      <w:r>
        <w:rPr/>
        <w:t>compare the pretest and posttest scores within each group at a 0.05 level of significance. This analysis aimed</w:t>
      </w:r>
      <w:r>
        <w:rPr>
          <w:spacing w:val="-1"/>
        </w:rPr>
        <w:t> </w:t>
      </w:r>
      <w:r>
        <w:rPr/>
        <w:t>to</w:t>
      </w:r>
      <w:r>
        <w:rPr>
          <w:spacing w:val="-1"/>
        </w:rPr>
        <w:t> </w:t>
      </w:r>
      <w:r>
        <w:rPr/>
        <w:t>determine significant</w:t>
      </w:r>
      <w:r>
        <w:rPr>
          <w:spacing w:val="-1"/>
        </w:rPr>
        <w:t> </w:t>
      </w:r>
      <w:r>
        <w:rPr/>
        <w:t>differences</w:t>
      </w:r>
      <w:r>
        <w:rPr>
          <w:spacing w:val="-3"/>
        </w:rPr>
        <w:t> </w:t>
      </w:r>
      <w:r>
        <w:rPr/>
        <w:t>in</w:t>
      </w:r>
      <w:r>
        <w:rPr>
          <w:spacing w:val="-1"/>
        </w:rPr>
        <w:t> </w:t>
      </w:r>
      <w:r>
        <w:rPr/>
        <w:t>ORF levels</w:t>
      </w:r>
      <w:r>
        <w:rPr>
          <w:spacing w:val="-3"/>
        </w:rPr>
        <w:t> </w:t>
      </w:r>
      <w:r>
        <w:rPr/>
        <w:t>before and</w:t>
      </w:r>
      <w:r>
        <w:rPr>
          <w:spacing w:val="-1"/>
        </w:rPr>
        <w:t> </w:t>
      </w:r>
      <w:r>
        <w:rPr/>
        <w:t>after</w:t>
      </w:r>
      <w:r>
        <w:rPr>
          <w:spacing w:val="-1"/>
        </w:rPr>
        <w:t> </w:t>
      </w:r>
      <w:r>
        <w:rPr/>
        <w:t>the intervention</w:t>
      </w:r>
      <w:r>
        <w:rPr>
          <w:spacing w:val="-1"/>
        </w:rPr>
        <w:t> </w:t>
      </w:r>
      <w:r>
        <w:rPr/>
        <w:t>and evaluate the effectiveness of the ReadQuest approach. The data analysis procedures were reviewed and validated by an expert to ensure clarity, relevance, and academic rigor.</w:t>
      </w:r>
    </w:p>
    <w:p>
      <w:pPr>
        <w:pStyle w:val="BodyText"/>
        <w:spacing w:before="1"/>
        <w:ind w:left="0"/>
        <w:jc w:val="left"/>
      </w:pPr>
    </w:p>
    <w:p>
      <w:pPr>
        <w:pStyle w:val="Heading1"/>
        <w:jc w:val="both"/>
      </w:pPr>
      <w:r>
        <w:rPr/>
        <w:t>RESULTS</w:t>
      </w:r>
      <w:r>
        <w:rPr>
          <w:spacing w:val="-3"/>
        </w:rPr>
        <w:t> </w:t>
      </w:r>
      <w:r>
        <w:rPr/>
        <w:t>AND</w:t>
      </w:r>
      <w:r>
        <w:rPr>
          <w:spacing w:val="-3"/>
        </w:rPr>
        <w:t> </w:t>
      </w:r>
      <w:r>
        <w:rPr>
          <w:spacing w:val="-2"/>
        </w:rPr>
        <w:t>DISCUSSION</w:t>
      </w:r>
    </w:p>
    <w:p>
      <w:pPr>
        <w:pStyle w:val="BodyText"/>
        <w:spacing w:before="136"/>
        <w:ind w:right="21" w:firstLine="300"/>
      </w:pPr>
      <w:r>
        <w:rPr/>
        <w:t>This section presents the statistical evidence gathered through pretest and posttest assessments</w:t>
      </w:r>
      <w:r>
        <w:rPr>
          <w:spacing w:val="-5"/>
        </w:rPr>
        <w:t> </w:t>
      </w:r>
      <w:r>
        <w:rPr/>
        <w:t>to</w:t>
      </w:r>
      <w:r>
        <w:rPr>
          <w:spacing w:val="-3"/>
        </w:rPr>
        <w:t> </w:t>
      </w:r>
      <w:r>
        <w:rPr/>
        <w:t>determine</w:t>
      </w:r>
      <w:r>
        <w:rPr>
          <w:spacing w:val="-2"/>
        </w:rPr>
        <w:t> </w:t>
      </w:r>
      <w:r>
        <w:rPr/>
        <w:t>the</w:t>
      </w:r>
      <w:r>
        <w:rPr>
          <w:spacing w:val="-6"/>
        </w:rPr>
        <w:t> </w:t>
      </w:r>
      <w:r>
        <w:rPr/>
        <w:t>effectiveness</w:t>
      </w:r>
      <w:r>
        <w:rPr>
          <w:spacing w:val="-5"/>
        </w:rPr>
        <w:t> </w:t>
      </w:r>
      <w:r>
        <w:rPr/>
        <w:t>of</w:t>
      </w:r>
      <w:r>
        <w:rPr>
          <w:spacing w:val="-3"/>
        </w:rPr>
        <w:t> </w:t>
      </w:r>
      <w:r>
        <w:rPr/>
        <w:t>the</w:t>
      </w:r>
      <w:r>
        <w:rPr>
          <w:spacing w:val="-2"/>
        </w:rPr>
        <w:t> </w:t>
      </w:r>
      <w:r>
        <w:rPr/>
        <w:t>ReadQuest</w:t>
      </w:r>
      <w:r>
        <w:rPr>
          <w:spacing w:val="-2"/>
        </w:rPr>
        <w:t> </w:t>
      </w:r>
      <w:r>
        <w:rPr/>
        <w:t>approach</w:t>
      </w:r>
      <w:r>
        <w:rPr>
          <w:spacing w:val="-3"/>
        </w:rPr>
        <w:t> </w:t>
      </w:r>
      <w:r>
        <w:rPr/>
        <w:t>in</w:t>
      </w:r>
      <w:r>
        <w:rPr>
          <w:spacing w:val="-3"/>
        </w:rPr>
        <w:t> </w:t>
      </w:r>
      <w:r>
        <w:rPr/>
        <w:t>developing</w:t>
      </w:r>
      <w:r>
        <w:rPr>
          <w:spacing w:val="-8"/>
        </w:rPr>
        <w:t> </w:t>
      </w:r>
      <w:r>
        <w:rPr/>
        <w:t>learners’ ORF, both exposed and not exposed to the station-based reading intervention, as well as evaluating whether a significant difference exists between the two conditions.</w:t>
      </w:r>
    </w:p>
    <w:p>
      <w:pPr>
        <w:pStyle w:val="BodyText"/>
        <w:ind w:left="0"/>
        <w:jc w:val="left"/>
      </w:pPr>
    </w:p>
    <w:p>
      <w:pPr>
        <w:pStyle w:val="BodyText"/>
        <w:spacing w:before="1"/>
        <w:ind w:right="31"/>
      </w:pPr>
      <w:r>
        <w:rPr>
          <w:b/>
        </w:rPr>
        <w:t>Table 1. </w:t>
      </w:r>
      <w:r>
        <w:rPr/>
        <w:t>Level of Oral Reading Fluency of learners exposed to the ReadQuest approach and those exposed to the Non-ReadQuest approach in terms of pretest.</w:t>
      </w:r>
    </w:p>
    <w:p>
      <w:pPr>
        <w:pStyle w:val="BodyText"/>
        <w:spacing w:before="41"/>
        <w:ind w:left="0"/>
        <w:jc w:val="left"/>
        <w:rPr>
          <w:sz w:val="20"/>
        </w:rPr>
      </w:pPr>
    </w:p>
    <w:p>
      <w:pPr>
        <w:spacing w:line="20" w:lineRule="exact"/>
        <w:ind w:left="83" w:right="0" w:firstLine="0"/>
        <w:rPr>
          <w:sz w:val="2"/>
        </w:rPr>
      </w:pPr>
      <w:r>
        <w:rPr>
          <w:sz w:val="2"/>
        </w:rPr>
        <mc:AlternateContent>
          <mc:Choice Requires="wps">
            <w:drawing>
              <wp:inline distT="0" distB="0" distL="0" distR="0">
                <wp:extent cx="5638800" cy="6350"/>
                <wp:effectExtent l="9525" t="0" r="0" b="3175"/>
                <wp:docPr id="2" name="Group 2"/>
                <wp:cNvGraphicFramePr>
                  <a:graphicFrameLocks/>
                </wp:cNvGraphicFramePr>
                <a:graphic>
                  <a:graphicData uri="http://schemas.microsoft.com/office/word/2010/wordprocessingGroup">
                    <wpg:wgp>
                      <wpg:cNvPr id="2" name="Group 2"/>
                      <wpg:cNvGrpSpPr/>
                      <wpg:grpSpPr>
                        <a:xfrm>
                          <a:off x="0" y="0"/>
                          <a:ext cx="5638800" cy="6350"/>
                          <a:chExt cx="5638800" cy="6350"/>
                        </a:xfrm>
                      </wpg:grpSpPr>
                      <wps:wsp>
                        <wps:cNvPr id="3" name="Graphic 3"/>
                        <wps:cNvSpPr/>
                        <wps:spPr>
                          <a:xfrm>
                            <a:off x="0" y="3093"/>
                            <a:ext cx="5638800" cy="1270"/>
                          </a:xfrm>
                          <a:custGeom>
                            <a:avLst/>
                            <a:gdLst/>
                            <a:ahLst/>
                            <a:cxnLst/>
                            <a:rect l="l" t="t" r="r" b="b"/>
                            <a:pathLst>
                              <a:path w="5638800" h="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4pt;height:.5pt;mso-position-horizontal-relative:char;mso-position-vertical-relative:line" id="docshapegroup2" coordorigin="0,0" coordsize="8880,10">
                <v:line style="position:absolute" from="0,5" to="8880,5" stroked="true" strokeweight=".487125pt" strokecolor="#000000">
                  <v:stroke dashstyle="solid"/>
                </v:line>
              </v:group>
            </w:pict>
          </mc:Fallback>
        </mc:AlternateContent>
      </w:r>
      <w:r>
        <w:rPr>
          <w:sz w:val="2"/>
        </w:rPr>
      </w:r>
    </w:p>
    <w:p>
      <w:pPr>
        <w:spacing w:after="0" w:line="20" w:lineRule="exact"/>
        <w:rPr>
          <w:sz w:val="2"/>
        </w:rPr>
        <w:sectPr>
          <w:pgSz w:w="11910" w:h="16840"/>
          <w:pgMar w:header="0" w:footer="994" w:top="1360" w:bottom="1180" w:left="1417" w:right="1417"/>
        </w:sectPr>
      </w:pPr>
    </w:p>
    <w:p>
      <w:pPr>
        <w:pStyle w:val="BodyText"/>
        <w:ind w:left="0"/>
        <w:jc w:val="left"/>
      </w:pPr>
    </w:p>
    <w:p>
      <w:pPr>
        <w:pStyle w:val="BodyText"/>
        <w:spacing w:before="13"/>
        <w:ind w:left="0"/>
        <w:jc w:val="left"/>
      </w:pPr>
    </w:p>
    <w:p>
      <w:pPr>
        <w:pStyle w:val="BodyText"/>
        <w:ind w:left="333"/>
        <w:jc w:val="center"/>
      </w:pPr>
      <w:r>
        <w:rPr/>
        <mc:AlternateContent>
          <mc:Choice Requires="wps">
            <w:drawing>
              <wp:anchor distT="0" distB="0" distL="0" distR="0" allowOverlap="1" layoutInCell="1" locked="0" behindDoc="0" simplePos="0" relativeHeight="15730688">
                <wp:simplePos x="0" y="0"/>
                <wp:positionH relativeFrom="page">
                  <wp:posOffset>914717</wp:posOffset>
                </wp:positionH>
                <wp:positionV relativeFrom="paragraph">
                  <wp:posOffset>350823</wp:posOffset>
                </wp:positionV>
                <wp:extent cx="5727065" cy="1778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727065" cy="17780"/>
                        </a:xfrm>
                        <a:custGeom>
                          <a:avLst/>
                          <a:gdLst/>
                          <a:ahLst/>
                          <a:cxnLst/>
                          <a:rect l="l" t="t" r="r" b="b"/>
                          <a:pathLst>
                            <a:path w="5727065" h="17780">
                              <a:moveTo>
                                <a:pt x="1440434" y="0"/>
                              </a:moveTo>
                              <a:lnTo>
                                <a:pt x="0" y="0"/>
                              </a:lnTo>
                              <a:lnTo>
                                <a:pt x="0" y="17780"/>
                              </a:lnTo>
                              <a:lnTo>
                                <a:pt x="1440434" y="17780"/>
                              </a:lnTo>
                              <a:lnTo>
                                <a:pt x="1440434" y="0"/>
                              </a:lnTo>
                              <a:close/>
                            </a:path>
                            <a:path w="5727065" h="17780">
                              <a:moveTo>
                                <a:pt x="2068195" y="0"/>
                              </a:moveTo>
                              <a:lnTo>
                                <a:pt x="1458277" y="0"/>
                              </a:lnTo>
                              <a:lnTo>
                                <a:pt x="1440497" y="0"/>
                              </a:lnTo>
                              <a:lnTo>
                                <a:pt x="1440497" y="17780"/>
                              </a:lnTo>
                              <a:lnTo>
                                <a:pt x="1458277" y="17780"/>
                              </a:lnTo>
                              <a:lnTo>
                                <a:pt x="2068195" y="17780"/>
                              </a:lnTo>
                              <a:lnTo>
                                <a:pt x="2068195" y="0"/>
                              </a:lnTo>
                              <a:close/>
                            </a:path>
                            <a:path w="5727065" h="17780">
                              <a:moveTo>
                                <a:pt x="3582339" y="0"/>
                              </a:moveTo>
                              <a:lnTo>
                                <a:pt x="3582339" y="0"/>
                              </a:lnTo>
                              <a:lnTo>
                                <a:pt x="2068258" y="0"/>
                              </a:lnTo>
                              <a:lnTo>
                                <a:pt x="2068258" y="17780"/>
                              </a:lnTo>
                              <a:lnTo>
                                <a:pt x="3582339" y="17780"/>
                              </a:lnTo>
                              <a:lnTo>
                                <a:pt x="3582339" y="0"/>
                              </a:lnTo>
                              <a:close/>
                            </a:path>
                            <a:path w="5727065" h="17780">
                              <a:moveTo>
                                <a:pt x="4230370" y="0"/>
                              </a:moveTo>
                              <a:lnTo>
                                <a:pt x="3600132" y="0"/>
                              </a:lnTo>
                              <a:lnTo>
                                <a:pt x="3582352" y="0"/>
                              </a:lnTo>
                              <a:lnTo>
                                <a:pt x="3582352" y="17780"/>
                              </a:lnTo>
                              <a:lnTo>
                                <a:pt x="3600132" y="17780"/>
                              </a:lnTo>
                              <a:lnTo>
                                <a:pt x="4230370" y="17780"/>
                              </a:lnTo>
                              <a:lnTo>
                                <a:pt x="4230370" y="0"/>
                              </a:lnTo>
                              <a:close/>
                            </a:path>
                            <a:path w="5727065" h="17780">
                              <a:moveTo>
                                <a:pt x="4769091" y="0"/>
                              </a:moveTo>
                              <a:lnTo>
                                <a:pt x="4248213" y="0"/>
                              </a:lnTo>
                              <a:lnTo>
                                <a:pt x="4248086" y="0"/>
                              </a:lnTo>
                              <a:lnTo>
                                <a:pt x="4230433" y="0"/>
                              </a:lnTo>
                              <a:lnTo>
                                <a:pt x="4230433" y="17780"/>
                              </a:lnTo>
                              <a:lnTo>
                                <a:pt x="4248086" y="17780"/>
                              </a:lnTo>
                              <a:lnTo>
                                <a:pt x="4248213" y="17780"/>
                              </a:lnTo>
                              <a:lnTo>
                                <a:pt x="4769091" y="17780"/>
                              </a:lnTo>
                              <a:lnTo>
                                <a:pt x="4769091" y="0"/>
                              </a:lnTo>
                              <a:close/>
                            </a:path>
                            <a:path w="5727065" h="17780">
                              <a:moveTo>
                                <a:pt x="5727065" y="0"/>
                              </a:moveTo>
                              <a:lnTo>
                                <a:pt x="4786947" y="0"/>
                              </a:lnTo>
                              <a:lnTo>
                                <a:pt x="4769167" y="0"/>
                              </a:lnTo>
                              <a:lnTo>
                                <a:pt x="4769167" y="17780"/>
                              </a:lnTo>
                              <a:lnTo>
                                <a:pt x="4786947" y="17780"/>
                              </a:lnTo>
                              <a:lnTo>
                                <a:pt x="5727065" y="17780"/>
                              </a:lnTo>
                              <a:lnTo>
                                <a:pt x="5727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27.623901pt;width:450.95pt;height:1.4pt;mso-position-horizontal-relative:page;mso-position-vertical-relative:paragraph;z-index:15730688" id="docshape3" coordorigin="1441,552" coordsize="9019,28" path="m3709,552l1441,552,1441,580,3709,580,3709,552xm4698,552l3737,552,3709,552,3709,580,3737,580,4698,580,4698,552xm7082,552l5718,552,5690,552,5690,552,4726,552,4698,552,4698,580,4726,580,5690,580,5690,580,5718,580,7082,580,7082,552xm8103,552l7110,552,7082,552,7082,580,7110,580,8103,580,8103,552xm8951,552l8131,552,8130,552,8103,552,8103,580,8130,580,8131,580,8951,580,8951,552xm10460,552l8979,552,8951,552,8951,580,8979,580,10460,580,10460,552xe" filled="true" fillcolor="#000000" stroked="false">
                <v:path arrowok="t"/>
                <v:fill type="solid"/>
                <w10:wrap type="none"/>
              </v:shape>
            </w:pict>
          </mc:Fallback>
        </mc:AlternateContent>
      </w:r>
      <w:r>
        <w:rPr>
          <w:spacing w:val="-2"/>
        </w:rPr>
        <w:t>PROFICIENCY LEVEL</w:t>
      </w:r>
    </w:p>
    <w:p>
      <w:pPr>
        <w:pStyle w:val="BodyText"/>
        <w:spacing w:before="32"/>
        <w:ind w:left="333" w:right="3"/>
        <w:jc w:val="center"/>
      </w:pPr>
      <w:r>
        <w:rPr/>
        <w:t>97 - </w:t>
      </w:r>
      <w:r>
        <w:rPr>
          <w:spacing w:val="-4"/>
        </w:rPr>
        <w:t>100%</w:t>
      </w:r>
    </w:p>
    <w:p>
      <w:pPr>
        <w:pStyle w:val="BodyText"/>
        <w:ind w:left="333" w:right="3"/>
        <w:jc w:val="center"/>
      </w:pPr>
      <w:r>
        <w:rPr/>
        <w:t>90 - </w:t>
      </w:r>
      <w:r>
        <w:rPr>
          <w:spacing w:val="-5"/>
        </w:rPr>
        <w:t>96%</w:t>
      </w:r>
    </w:p>
    <w:p>
      <w:pPr>
        <w:pStyle w:val="Heading2"/>
        <w:spacing w:line="265" w:lineRule="exact"/>
        <w:ind w:left="0" w:right="2311"/>
        <w:jc w:val="center"/>
      </w:pPr>
      <w:r>
        <w:rPr>
          <w:b w:val="0"/>
        </w:rPr>
        <w:br w:type="column"/>
      </w:r>
      <w:r>
        <w:rPr/>
        <w:t>Pretest</w:t>
      </w:r>
      <w:r>
        <w:rPr>
          <w:spacing w:val="3"/>
        </w:rPr>
        <w:t> </w:t>
      </w:r>
      <w:r>
        <w:rPr>
          <w:spacing w:val="-2"/>
        </w:rPr>
        <w:t>Scores</w:t>
      </w:r>
    </w:p>
    <w:p>
      <w:pPr>
        <w:pStyle w:val="BodyText"/>
        <w:tabs>
          <w:tab w:pos="3321" w:val="left" w:leader="none"/>
        </w:tabs>
        <w:spacing w:before="16"/>
        <w:ind w:left="192"/>
        <w:jc w:val="center"/>
      </w:pPr>
      <w:r>
        <w:rPr/>
        <mc:AlternateContent>
          <mc:Choice Requires="wps">
            <w:drawing>
              <wp:anchor distT="0" distB="0" distL="0" distR="0" allowOverlap="1" layoutInCell="1" locked="0" behindDoc="0" simplePos="0" relativeHeight="15729664">
                <wp:simplePos x="0" y="0"/>
                <wp:positionH relativeFrom="page">
                  <wp:posOffset>914717</wp:posOffset>
                </wp:positionH>
                <wp:positionV relativeFrom="paragraph">
                  <wp:posOffset>2861</wp:posOffset>
                </wp:positionV>
                <wp:extent cx="5727700" cy="508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27700" cy="5080"/>
                        </a:xfrm>
                        <a:custGeom>
                          <a:avLst/>
                          <a:gdLst/>
                          <a:ahLst/>
                          <a:cxnLst/>
                          <a:rect l="l" t="t" r="r" b="b"/>
                          <a:pathLst>
                            <a:path w="5727700" h="5080">
                              <a:moveTo>
                                <a:pt x="1440434" y="0"/>
                              </a:moveTo>
                              <a:lnTo>
                                <a:pt x="0" y="0"/>
                              </a:lnTo>
                              <a:lnTo>
                                <a:pt x="0" y="5067"/>
                              </a:lnTo>
                              <a:lnTo>
                                <a:pt x="1440434" y="5067"/>
                              </a:lnTo>
                              <a:lnTo>
                                <a:pt x="1440434" y="0"/>
                              </a:lnTo>
                              <a:close/>
                            </a:path>
                            <a:path w="5727700" h="5080">
                              <a:moveTo>
                                <a:pt x="3587419" y="0"/>
                              </a:moveTo>
                              <a:lnTo>
                                <a:pt x="3582352" y="0"/>
                              </a:lnTo>
                              <a:lnTo>
                                <a:pt x="1445577" y="0"/>
                              </a:lnTo>
                              <a:lnTo>
                                <a:pt x="1440497" y="0"/>
                              </a:lnTo>
                              <a:lnTo>
                                <a:pt x="1440497" y="5067"/>
                              </a:lnTo>
                              <a:lnTo>
                                <a:pt x="1445577" y="5067"/>
                              </a:lnTo>
                              <a:lnTo>
                                <a:pt x="3582352" y="5067"/>
                              </a:lnTo>
                              <a:lnTo>
                                <a:pt x="3587419" y="5067"/>
                              </a:lnTo>
                              <a:lnTo>
                                <a:pt x="3587419" y="0"/>
                              </a:lnTo>
                              <a:close/>
                            </a:path>
                            <a:path w="5727700" h="5080">
                              <a:moveTo>
                                <a:pt x="5727128" y="0"/>
                              </a:moveTo>
                              <a:lnTo>
                                <a:pt x="3587432" y="0"/>
                              </a:lnTo>
                              <a:lnTo>
                                <a:pt x="3587432" y="5067"/>
                              </a:lnTo>
                              <a:lnTo>
                                <a:pt x="5727128" y="5067"/>
                              </a:lnTo>
                              <a:lnTo>
                                <a:pt x="572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225289pt;width:451pt;height:.4pt;mso-position-horizontal-relative:page;mso-position-vertical-relative:paragraph;z-index:15729664" id="docshape4" coordorigin="1441,5" coordsize="9020,8" path="m3709,5l1441,5,1441,12,3709,12,3709,5xm7090,5l7082,5,3717,5,3709,5,3709,12,3717,12,7082,12,7090,12,7090,5xm10460,5l7090,5,7090,12,10460,12,10460,5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914717</wp:posOffset>
                </wp:positionH>
                <wp:positionV relativeFrom="paragraph">
                  <wp:posOffset>185741</wp:posOffset>
                </wp:positionV>
                <wp:extent cx="5727065" cy="508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727065" cy="5080"/>
                        </a:xfrm>
                        <a:custGeom>
                          <a:avLst/>
                          <a:gdLst/>
                          <a:ahLst/>
                          <a:cxnLst/>
                          <a:rect l="l" t="t" r="r" b="b"/>
                          <a:pathLst>
                            <a:path w="5727065" h="5080">
                              <a:moveTo>
                                <a:pt x="1440434" y="0"/>
                              </a:moveTo>
                              <a:lnTo>
                                <a:pt x="0" y="0"/>
                              </a:lnTo>
                              <a:lnTo>
                                <a:pt x="0" y="5067"/>
                              </a:lnTo>
                              <a:lnTo>
                                <a:pt x="1440434" y="5067"/>
                              </a:lnTo>
                              <a:lnTo>
                                <a:pt x="1440434" y="0"/>
                              </a:lnTo>
                              <a:close/>
                            </a:path>
                            <a:path w="5727065" h="5080">
                              <a:moveTo>
                                <a:pt x="2068195" y="0"/>
                              </a:moveTo>
                              <a:lnTo>
                                <a:pt x="1445577" y="0"/>
                              </a:lnTo>
                              <a:lnTo>
                                <a:pt x="1440497" y="0"/>
                              </a:lnTo>
                              <a:lnTo>
                                <a:pt x="1440497" y="5067"/>
                              </a:lnTo>
                              <a:lnTo>
                                <a:pt x="1445577" y="5067"/>
                              </a:lnTo>
                              <a:lnTo>
                                <a:pt x="2068195" y="5067"/>
                              </a:lnTo>
                              <a:lnTo>
                                <a:pt x="2068195" y="0"/>
                              </a:lnTo>
                              <a:close/>
                            </a:path>
                            <a:path w="5727065" h="5080">
                              <a:moveTo>
                                <a:pt x="2703499" y="0"/>
                              </a:moveTo>
                              <a:lnTo>
                                <a:pt x="2698496" y="0"/>
                              </a:lnTo>
                              <a:lnTo>
                                <a:pt x="2073338" y="0"/>
                              </a:lnTo>
                              <a:lnTo>
                                <a:pt x="2068258" y="0"/>
                              </a:lnTo>
                              <a:lnTo>
                                <a:pt x="2068258" y="5067"/>
                              </a:lnTo>
                              <a:lnTo>
                                <a:pt x="2073338" y="5067"/>
                              </a:lnTo>
                              <a:lnTo>
                                <a:pt x="2698432" y="5067"/>
                              </a:lnTo>
                              <a:lnTo>
                                <a:pt x="2703499" y="5067"/>
                              </a:lnTo>
                              <a:lnTo>
                                <a:pt x="2703499" y="0"/>
                              </a:lnTo>
                              <a:close/>
                            </a:path>
                            <a:path w="5727065" h="5080">
                              <a:moveTo>
                                <a:pt x="3582339" y="0"/>
                              </a:moveTo>
                              <a:lnTo>
                                <a:pt x="2703512" y="0"/>
                              </a:lnTo>
                              <a:lnTo>
                                <a:pt x="2703512" y="5067"/>
                              </a:lnTo>
                              <a:lnTo>
                                <a:pt x="3582339" y="5067"/>
                              </a:lnTo>
                              <a:lnTo>
                                <a:pt x="3582339" y="0"/>
                              </a:lnTo>
                              <a:close/>
                            </a:path>
                            <a:path w="5727065" h="5080">
                              <a:moveTo>
                                <a:pt x="3587419" y="0"/>
                              </a:moveTo>
                              <a:lnTo>
                                <a:pt x="3582352" y="0"/>
                              </a:lnTo>
                              <a:lnTo>
                                <a:pt x="3582352" y="5067"/>
                              </a:lnTo>
                              <a:lnTo>
                                <a:pt x="3587419" y="5067"/>
                              </a:lnTo>
                              <a:lnTo>
                                <a:pt x="3587419" y="0"/>
                              </a:lnTo>
                              <a:close/>
                            </a:path>
                            <a:path w="5727065" h="5080">
                              <a:moveTo>
                                <a:pt x="4230370" y="0"/>
                              </a:moveTo>
                              <a:lnTo>
                                <a:pt x="3587432" y="0"/>
                              </a:lnTo>
                              <a:lnTo>
                                <a:pt x="3587432" y="5067"/>
                              </a:lnTo>
                              <a:lnTo>
                                <a:pt x="4230370" y="5067"/>
                              </a:lnTo>
                              <a:lnTo>
                                <a:pt x="4230370" y="0"/>
                              </a:lnTo>
                              <a:close/>
                            </a:path>
                            <a:path w="5727065" h="5080">
                              <a:moveTo>
                                <a:pt x="4769091" y="0"/>
                              </a:moveTo>
                              <a:lnTo>
                                <a:pt x="4235501" y="0"/>
                              </a:lnTo>
                              <a:lnTo>
                                <a:pt x="4230433" y="0"/>
                              </a:lnTo>
                              <a:lnTo>
                                <a:pt x="4230433" y="5067"/>
                              </a:lnTo>
                              <a:lnTo>
                                <a:pt x="4235386" y="5067"/>
                              </a:lnTo>
                              <a:lnTo>
                                <a:pt x="4769091" y="5067"/>
                              </a:lnTo>
                              <a:lnTo>
                                <a:pt x="4769091" y="0"/>
                              </a:lnTo>
                              <a:close/>
                            </a:path>
                            <a:path w="5727065" h="5080">
                              <a:moveTo>
                                <a:pt x="4774235" y="0"/>
                              </a:moveTo>
                              <a:lnTo>
                                <a:pt x="4769167" y="0"/>
                              </a:lnTo>
                              <a:lnTo>
                                <a:pt x="4769167" y="5067"/>
                              </a:lnTo>
                              <a:lnTo>
                                <a:pt x="4774235" y="5067"/>
                              </a:lnTo>
                              <a:lnTo>
                                <a:pt x="4774235" y="0"/>
                              </a:lnTo>
                              <a:close/>
                            </a:path>
                            <a:path w="5727065" h="5080">
                              <a:moveTo>
                                <a:pt x="5727065" y="0"/>
                              </a:moveTo>
                              <a:lnTo>
                                <a:pt x="4774247" y="0"/>
                              </a:lnTo>
                              <a:lnTo>
                                <a:pt x="4774247" y="5067"/>
                              </a:lnTo>
                              <a:lnTo>
                                <a:pt x="5727065" y="5067"/>
                              </a:lnTo>
                              <a:lnTo>
                                <a:pt x="5727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14.62529pt;width:450.95pt;height:.4pt;mso-position-horizontal-relative:page;mso-position-vertical-relative:paragraph;z-index:15730176" id="docshape5" coordorigin="1441,293" coordsize="9019,8" path="m3709,293l1441,293,1441,300,3709,300,3709,293xm4698,293l3717,293,3709,293,3709,300,3717,300,4698,300,4698,293xm5698,293l5690,293,5690,293,4706,293,4698,293,4698,300,4706,300,5690,300,5690,300,5698,300,5698,293xm7082,293l5698,293,5698,300,7082,300,7082,293xm7090,293l7082,293,7082,300,7090,300,7090,293xm8103,293l7090,293,7090,300,8103,300,8103,293xm8951,293l8111,293,8110,293,8103,293,8103,300,8110,300,8111,300,8951,300,8951,293xm8959,293l8951,293,8951,300,8959,300,8959,293xm10460,293l8959,293,8959,300,10460,300,10460,293xe" filled="true" fillcolor="#000000" stroked="false">
                <v:path arrowok="t"/>
                <v:fill type="solid"/>
                <w10:wrap type="none"/>
              </v:shape>
            </w:pict>
          </mc:Fallback>
        </mc:AlternateContent>
      </w:r>
      <w:r>
        <w:rPr>
          <w:spacing w:val="-2"/>
        </w:rPr>
        <w:t>ReadQuest</w:t>
      </w:r>
      <w:r>
        <w:rPr/>
        <w:tab/>
      </w:r>
      <w:r>
        <w:rPr>
          <w:spacing w:val="-2"/>
        </w:rPr>
        <w:t>Non-ReadQuest</w:t>
      </w:r>
    </w:p>
    <w:p>
      <w:pPr>
        <w:pStyle w:val="BodyText"/>
        <w:tabs>
          <w:tab w:pos="1315" w:val="left" w:leader="none"/>
          <w:tab w:pos="2283" w:val="left" w:leader="none"/>
          <w:tab w:pos="3760" w:val="left" w:leader="none"/>
          <w:tab w:pos="4644" w:val="left" w:leader="none"/>
          <w:tab w:pos="5600" w:val="left" w:leader="none"/>
        </w:tabs>
        <w:spacing w:before="148"/>
        <w:ind w:left="371"/>
        <w:jc w:val="left"/>
      </w:pPr>
      <w:r>
        <w:rPr>
          <w:spacing w:val="-10"/>
        </w:rPr>
        <w:t>M</w:t>
      </w:r>
      <w:r>
        <w:rPr/>
        <w:tab/>
      </w:r>
      <w:r>
        <w:rPr>
          <w:spacing w:val="-5"/>
        </w:rPr>
        <w:t>SD</w:t>
      </w:r>
      <w:r>
        <w:rPr/>
        <w:tab/>
      </w:r>
      <w:r>
        <w:rPr>
          <w:spacing w:val="-2"/>
        </w:rPr>
        <w:t>LEVEL</w:t>
      </w:r>
      <w:r>
        <w:rPr/>
        <w:tab/>
      </w:r>
      <w:r>
        <w:rPr>
          <w:spacing w:val="-10"/>
        </w:rPr>
        <w:t>M</w:t>
      </w:r>
      <w:r>
        <w:rPr/>
        <w:tab/>
      </w:r>
      <w:r>
        <w:rPr>
          <w:spacing w:val="-5"/>
        </w:rPr>
        <w:t>SD</w:t>
      </w:r>
      <w:r>
        <w:rPr/>
        <w:tab/>
      </w:r>
      <w:r>
        <w:rPr>
          <w:spacing w:val="-2"/>
        </w:rPr>
        <w:t>LEVEL</w:t>
      </w:r>
    </w:p>
    <w:p>
      <w:pPr>
        <w:pStyle w:val="BodyText"/>
        <w:spacing w:after="0"/>
        <w:jc w:val="left"/>
        <w:sectPr>
          <w:type w:val="continuous"/>
          <w:pgSz w:w="11910" w:h="16840"/>
          <w:pgMar w:header="0" w:footer="994" w:top="1360" w:bottom="1180" w:left="1417" w:right="1417"/>
          <w:cols w:num="2" w:equalWidth="0">
            <w:col w:w="1981" w:space="324"/>
            <w:col w:w="6771"/>
          </w:cols>
        </w:sectPr>
      </w:pPr>
    </w:p>
    <w:p>
      <w:pPr>
        <w:pStyle w:val="BodyText"/>
        <w:tabs>
          <w:tab w:pos="2411" w:val="left" w:leader="none"/>
          <w:tab w:pos="3564" w:val="left" w:leader="none"/>
          <w:tab w:pos="4440" w:val="left" w:leader="none"/>
          <w:tab w:pos="5801" w:val="left" w:leader="none"/>
          <w:tab w:pos="6893" w:val="left" w:leader="none"/>
          <w:tab w:pos="7761" w:val="left" w:leader="none"/>
        </w:tabs>
        <w:ind w:left="411"/>
        <w:jc w:val="left"/>
      </w:pPr>
      <w:r>
        <w:rPr/>
        <w:t>89% and</w:t>
      </w:r>
      <w:r>
        <w:rPr>
          <w:spacing w:val="1"/>
        </w:rPr>
        <w:t> </w:t>
      </w:r>
      <w:r>
        <w:rPr>
          <w:spacing w:val="-2"/>
        </w:rPr>
        <w:t>below</w:t>
      </w:r>
      <w:r>
        <w:rPr/>
        <w:tab/>
      </w:r>
      <w:r>
        <w:rPr>
          <w:spacing w:val="-2"/>
        </w:rPr>
        <w:t>81.93%</w:t>
      </w:r>
      <w:r>
        <w:rPr/>
        <w:tab/>
      </w:r>
      <w:r>
        <w:rPr>
          <w:spacing w:val="-4"/>
        </w:rPr>
        <w:t>8.46</w:t>
      </w:r>
      <w:r>
        <w:rPr/>
        <w:tab/>
      </w:r>
      <w:r>
        <w:rPr>
          <w:spacing w:val="-2"/>
        </w:rPr>
        <w:t>Frustration</w:t>
      </w:r>
      <w:r>
        <w:rPr/>
        <w:tab/>
      </w:r>
      <w:r>
        <w:rPr>
          <w:spacing w:val="-2"/>
        </w:rPr>
        <w:t>85.47%</w:t>
      </w:r>
      <w:r>
        <w:rPr/>
        <w:tab/>
      </w:r>
      <w:r>
        <w:rPr>
          <w:spacing w:val="-4"/>
        </w:rPr>
        <w:t>9.24</w:t>
      </w:r>
      <w:r>
        <w:rPr/>
        <w:tab/>
      </w:r>
      <w:r>
        <w:rPr>
          <w:spacing w:val="-2"/>
        </w:rPr>
        <w:t>Frustration</w:t>
      </w:r>
    </w:p>
    <w:p>
      <w:pPr>
        <w:spacing w:line="28" w:lineRule="exact"/>
        <w:ind w:left="11" w:right="-44" w:firstLine="0"/>
        <w:rPr>
          <w:position w:val="0"/>
          <w:sz w:val="2"/>
        </w:rPr>
      </w:pPr>
      <w:r>
        <w:rPr>
          <w:position w:val="0"/>
          <w:sz w:val="2"/>
        </w:rPr>
        <mc:AlternateContent>
          <mc:Choice Requires="wps">
            <w:drawing>
              <wp:inline distT="0" distB="0" distL="0" distR="0">
                <wp:extent cx="5734685" cy="17780"/>
                <wp:effectExtent l="0" t="0" r="0" b="0"/>
                <wp:docPr id="7" name="Group 7"/>
                <wp:cNvGraphicFramePr>
                  <a:graphicFrameLocks/>
                </wp:cNvGraphicFramePr>
                <a:graphic>
                  <a:graphicData uri="http://schemas.microsoft.com/office/word/2010/wordprocessingGroup">
                    <wpg:wgp>
                      <wpg:cNvPr id="7" name="Group 7"/>
                      <wpg:cNvGrpSpPr/>
                      <wpg:grpSpPr>
                        <a:xfrm>
                          <a:off x="0" y="0"/>
                          <a:ext cx="5734685" cy="17780"/>
                          <a:chExt cx="5734685" cy="17780"/>
                        </a:xfrm>
                      </wpg:grpSpPr>
                      <wps:wsp>
                        <wps:cNvPr id="8" name="Graphic 8"/>
                        <wps:cNvSpPr/>
                        <wps:spPr>
                          <a:xfrm>
                            <a:off x="0" y="0"/>
                            <a:ext cx="5734685" cy="17780"/>
                          </a:xfrm>
                          <a:custGeom>
                            <a:avLst/>
                            <a:gdLst/>
                            <a:ahLst/>
                            <a:cxnLst/>
                            <a:rect l="l" t="t" r="r" b="b"/>
                            <a:pathLst>
                              <a:path w="5734685" h="17780">
                                <a:moveTo>
                                  <a:pt x="2716199" y="0"/>
                                </a:moveTo>
                                <a:lnTo>
                                  <a:pt x="2716199" y="0"/>
                                </a:lnTo>
                                <a:lnTo>
                                  <a:pt x="0" y="0"/>
                                </a:lnTo>
                                <a:lnTo>
                                  <a:pt x="0" y="17780"/>
                                </a:lnTo>
                                <a:lnTo>
                                  <a:pt x="2716199" y="17780"/>
                                </a:lnTo>
                                <a:lnTo>
                                  <a:pt x="2716199" y="0"/>
                                </a:lnTo>
                                <a:close/>
                              </a:path>
                              <a:path w="5734685" h="17780">
                                <a:moveTo>
                                  <a:pt x="4248074" y="0"/>
                                </a:moveTo>
                                <a:lnTo>
                                  <a:pt x="4248074" y="0"/>
                                </a:lnTo>
                                <a:lnTo>
                                  <a:pt x="2716212" y="0"/>
                                </a:lnTo>
                                <a:lnTo>
                                  <a:pt x="2716212" y="17780"/>
                                </a:lnTo>
                                <a:lnTo>
                                  <a:pt x="4248074" y="17780"/>
                                </a:lnTo>
                                <a:lnTo>
                                  <a:pt x="4248074" y="0"/>
                                </a:lnTo>
                                <a:close/>
                              </a:path>
                              <a:path w="5734685" h="17780">
                                <a:moveTo>
                                  <a:pt x="4786935" y="0"/>
                                </a:moveTo>
                                <a:lnTo>
                                  <a:pt x="4776851" y="0"/>
                                </a:lnTo>
                                <a:lnTo>
                                  <a:pt x="4769167" y="0"/>
                                </a:lnTo>
                                <a:lnTo>
                                  <a:pt x="4248213" y="0"/>
                                </a:lnTo>
                                <a:lnTo>
                                  <a:pt x="4248213" y="17780"/>
                                </a:lnTo>
                                <a:lnTo>
                                  <a:pt x="4769167" y="17780"/>
                                </a:lnTo>
                                <a:lnTo>
                                  <a:pt x="4776851" y="17780"/>
                                </a:lnTo>
                                <a:lnTo>
                                  <a:pt x="4786935" y="17780"/>
                                </a:lnTo>
                                <a:lnTo>
                                  <a:pt x="4786935" y="0"/>
                                </a:lnTo>
                                <a:close/>
                              </a:path>
                              <a:path w="5734685" h="17780">
                                <a:moveTo>
                                  <a:pt x="5734685" y="0"/>
                                </a:moveTo>
                                <a:lnTo>
                                  <a:pt x="4786947" y="0"/>
                                </a:lnTo>
                                <a:lnTo>
                                  <a:pt x="4786947" y="17780"/>
                                </a:lnTo>
                                <a:lnTo>
                                  <a:pt x="5734685" y="17780"/>
                                </a:lnTo>
                                <a:lnTo>
                                  <a:pt x="57346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1.55pt;height:1.4pt;mso-position-horizontal-relative:char;mso-position-vertical-relative:line" id="docshapegroup6" coordorigin="0,0" coordsize="9031,28">
                <v:shape style="position:absolute;left:0;top:0;width:9031;height:28" id="docshape7" coordorigin="0,0" coordsize="9031,28" path="m4277,0l4262,0,4250,0,3285,0,3269,0,3257,0,2297,0,2280,0,2269,0,0,0,0,28,2269,28,2280,28,2297,28,3257,28,3269,28,3285,28,4250,28,4262,28,4277,28,4277,0xm6690,0l6674,0,6662,0,5670,0,5654,0,5642,0,4278,0,4278,28,5642,28,5654,28,5670,28,6662,28,6674,28,6690,28,6690,0xm7538,0l7523,0,7511,0,6690,0,6690,28,7511,28,7523,28,7538,28,7538,0xm9031,0l7539,0,7539,28,9031,28,9031,0xe" filled="true" fillcolor="#000000" stroked="false">
                  <v:path arrowok="t"/>
                  <v:fill type="solid"/>
                </v:shape>
              </v:group>
            </w:pict>
          </mc:Fallback>
        </mc:AlternateContent>
      </w:r>
      <w:r>
        <w:rPr>
          <w:position w:val="0"/>
          <w:sz w:val="2"/>
        </w:rPr>
      </w:r>
    </w:p>
    <w:p>
      <w:pPr>
        <w:pStyle w:val="BodyText"/>
        <w:ind w:left="0"/>
        <w:jc w:val="left"/>
      </w:pPr>
    </w:p>
    <w:p>
      <w:pPr>
        <w:pStyle w:val="BodyText"/>
        <w:ind w:right="21" w:firstLine="300"/>
      </w:pPr>
      <w:r>
        <w:rPr/>
        <w:t>Table</w:t>
      </w:r>
      <w:r>
        <w:rPr>
          <w:spacing w:val="-1"/>
        </w:rPr>
        <w:t> </w:t>
      </w:r>
      <w:r>
        <w:rPr/>
        <w:t>1 shows the pretest ORF scores of learners exposed to</w:t>
      </w:r>
      <w:r>
        <w:rPr>
          <w:spacing w:val="-2"/>
        </w:rPr>
        <w:t> </w:t>
      </w:r>
      <w:r>
        <w:rPr/>
        <w:t>the ReadQuest Approach and those not exposed to the intervention. Both groups fell under the Frustration level, with the ReadQuest group recording a mean of 81.93% (</w:t>
      </w:r>
      <w:r>
        <w:rPr>
          <w:i/>
        </w:rPr>
        <w:t>SD</w:t>
      </w:r>
      <w:r>
        <w:rPr/>
        <w:t>=8.46) and the Non-ReadQuest group a mean of 85.47% (</w:t>
      </w:r>
      <w:r>
        <w:rPr>
          <w:i/>
        </w:rPr>
        <w:t>SD</w:t>
      </w:r>
      <w:r>
        <w:rPr/>
        <w:t>=9.24). The minimal difference in scores indicates that the two groups started at comparable baseline reading fluency levels, satisfying the condition of initial equivalence needed to compare the effectiveness of the interventions.</w:t>
      </w:r>
    </w:p>
    <w:p>
      <w:pPr>
        <w:pStyle w:val="BodyText"/>
        <w:spacing w:before="240"/>
        <w:ind w:right="15" w:firstLine="284"/>
      </w:pPr>
      <w:r>
        <w:rPr/>
        <w:t>The results imply that learners in both groups faced similar difficulties in ORF before the intervention,</w:t>
      </w:r>
      <w:r>
        <w:rPr>
          <w:spacing w:val="-13"/>
        </w:rPr>
        <w:t> </w:t>
      </w:r>
      <w:r>
        <w:rPr/>
        <w:t>reinforcing</w:t>
      </w:r>
      <w:r>
        <w:rPr>
          <w:spacing w:val="-13"/>
        </w:rPr>
        <w:t> </w:t>
      </w:r>
      <w:r>
        <w:rPr/>
        <w:t>the</w:t>
      </w:r>
      <w:r>
        <w:rPr>
          <w:spacing w:val="-12"/>
        </w:rPr>
        <w:t> </w:t>
      </w:r>
      <w:r>
        <w:rPr/>
        <w:t>study's</w:t>
      </w:r>
      <w:r>
        <w:rPr>
          <w:spacing w:val="-15"/>
        </w:rPr>
        <w:t> </w:t>
      </w:r>
      <w:r>
        <w:rPr/>
        <w:t>objective</w:t>
      </w:r>
      <w:r>
        <w:rPr>
          <w:spacing w:val="-12"/>
        </w:rPr>
        <w:t> </w:t>
      </w:r>
      <w:r>
        <w:rPr/>
        <w:t>of</w:t>
      </w:r>
      <w:r>
        <w:rPr>
          <w:spacing w:val="-13"/>
        </w:rPr>
        <w:t> </w:t>
      </w:r>
      <w:r>
        <w:rPr/>
        <w:t>examining</w:t>
      </w:r>
      <w:r>
        <w:rPr>
          <w:spacing w:val="-13"/>
        </w:rPr>
        <w:t> </w:t>
      </w:r>
      <w:r>
        <w:rPr/>
        <w:t>whether</w:t>
      </w:r>
      <w:r>
        <w:rPr>
          <w:spacing w:val="-13"/>
        </w:rPr>
        <w:t> </w:t>
      </w:r>
      <w:r>
        <w:rPr/>
        <w:t>ReadQuest,</w:t>
      </w:r>
      <w:r>
        <w:rPr>
          <w:spacing w:val="-13"/>
        </w:rPr>
        <w:t> </w:t>
      </w:r>
      <w:r>
        <w:rPr/>
        <w:t>as</w:t>
      </w:r>
      <w:r>
        <w:rPr>
          <w:spacing w:val="-15"/>
        </w:rPr>
        <w:t> </w:t>
      </w:r>
      <w:r>
        <w:rPr/>
        <w:t>a</w:t>
      </w:r>
      <w:r>
        <w:rPr>
          <w:spacing w:val="-12"/>
        </w:rPr>
        <w:t> </w:t>
      </w:r>
      <w:r>
        <w:rPr/>
        <w:t>structured reading intervention, can produce greater gains than a non-structured approach. A study conducted at Ifugao State University – Tinoc Campus found that students below oral reading fluency benchmarks improved significantly through repeated reading with Big Books, supporting the effectiveness of structured</w:t>
      </w:r>
      <w:r>
        <w:rPr>
          <w:spacing w:val="-2"/>
        </w:rPr>
        <w:t> </w:t>
      </w:r>
      <w:r>
        <w:rPr/>
        <w:t>interventions for struggling readers </w:t>
      </w:r>
      <w:hyperlink r:id="rId18">
        <w:r>
          <w:rPr/>
          <w:t>(</w:t>
        </w:r>
        <w:r>
          <w:rPr>
            <w:color w:val="1154CC"/>
          </w:rPr>
          <w:t>Canuto, 2024</w:t>
        </w:r>
        <w:r>
          <w:rPr/>
          <w:t>)</w:t>
        </w:r>
      </w:hyperlink>
      <w:r>
        <w:rPr/>
        <w:t>. Similarly,</w:t>
      </w:r>
      <w:r>
        <w:rPr>
          <w:spacing w:val="40"/>
        </w:rPr>
        <w:t> </w:t>
      </w:r>
      <w:hyperlink r:id="rId21">
        <w:r>
          <w:rPr>
            <w:color w:val="0462C1"/>
          </w:rPr>
          <w:t>Zimmermann,</w:t>
        </w:r>
        <w:r>
          <w:rPr>
            <w:color w:val="0462C1"/>
            <w:spacing w:val="40"/>
          </w:rPr>
          <w:t> </w:t>
        </w:r>
        <w:r>
          <w:rPr>
            <w:color w:val="0462C1"/>
          </w:rPr>
          <w:t>Reed,</w:t>
        </w:r>
        <w:r>
          <w:rPr>
            <w:color w:val="0462C1"/>
            <w:spacing w:val="40"/>
          </w:rPr>
          <w:t> </w:t>
        </w:r>
        <w:r>
          <w:rPr>
            <w:color w:val="0462C1"/>
          </w:rPr>
          <w:t>and</w:t>
        </w:r>
        <w:r>
          <w:rPr>
            <w:color w:val="0462C1"/>
            <w:spacing w:val="40"/>
          </w:rPr>
          <w:t> </w:t>
        </w:r>
        <w:r>
          <w:rPr>
            <w:color w:val="0462C1"/>
          </w:rPr>
          <w:t>Aloe</w:t>
        </w:r>
        <w:r>
          <w:rPr>
            <w:color w:val="0462C1"/>
            <w:spacing w:val="40"/>
          </w:rPr>
          <w:t> </w:t>
        </w:r>
        <w:r>
          <w:rPr>
            <w:color w:val="0462C1"/>
          </w:rPr>
          <w:t>(2021)</w:t>
        </w:r>
      </w:hyperlink>
      <w:r>
        <w:rPr>
          <w:color w:val="0462C1"/>
          <w:spacing w:val="40"/>
        </w:rPr>
        <w:t> </w:t>
      </w:r>
      <w:r>
        <w:rPr/>
        <w:t>reported</w:t>
      </w:r>
      <w:r>
        <w:rPr>
          <w:spacing w:val="40"/>
        </w:rPr>
        <w:t> </w:t>
      </w:r>
      <w:r>
        <w:rPr/>
        <w:t>that</w:t>
      </w:r>
      <w:r>
        <w:rPr>
          <w:spacing w:val="40"/>
        </w:rPr>
        <w:t> </w:t>
      </w:r>
      <w:r>
        <w:rPr/>
        <w:t>varied-practice</w:t>
      </w:r>
      <w:r>
        <w:rPr>
          <w:spacing w:val="40"/>
        </w:rPr>
        <w:t> </w:t>
      </w:r>
      <w:r>
        <w:rPr/>
        <w:t>and repeated-reading designs yielded stronger fluency gains than less structured or non-repetitive methods, emphasizing the importance of explicit, guided instruction for struggling readers.</w:t>
      </w:r>
    </w:p>
    <w:p>
      <w:pPr>
        <w:pStyle w:val="BodyText"/>
        <w:spacing w:after="0"/>
        <w:sectPr>
          <w:type w:val="continuous"/>
          <w:pgSz w:w="11910" w:h="16840"/>
          <w:pgMar w:header="0" w:footer="994" w:top="1360" w:bottom="1180" w:left="1417" w:right="1417"/>
        </w:sectPr>
      </w:pPr>
    </w:p>
    <w:p>
      <w:pPr>
        <w:pStyle w:val="BodyText"/>
        <w:spacing w:before="64"/>
        <w:jc w:val="left"/>
      </w:pPr>
      <w:r>
        <w:rPr>
          <w:b/>
        </w:rPr>
        <w:t>Table 2. </w:t>
      </w:r>
      <w:r>
        <w:rPr/>
        <w:t>Level of Oral Reading Fluency of learners exposed to the ReadQuest approach and those not exposed to the ReadQuest approach in terms of posttest.</w:t>
      </w:r>
    </w:p>
    <w:p>
      <w:pPr>
        <w:pStyle w:val="BodyText"/>
        <w:spacing w:before="4"/>
        <w:ind w:left="0"/>
        <w:jc w:val="left"/>
      </w:pPr>
    </w:p>
    <w:p>
      <w:pPr>
        <w:pStyle w:val="Heading2"/>
        <w:spacing w:after="4"/>
        <w:ind w:left="392" w:right="398"/>
        <w:jc w:val="center"/>
      </w:pPr>
      <w:r>
        <w:rPr/>
        <w:t>Posttest</w:t>
      </w:r>
      <w:r>
        <w:rPr>
          <w:spacing w:val="-2"/>
        </w:rPr>
        <w:t> Scores</w:t>
      </w:r>
    </w:p>
    <w:p>
      <w:pPr>
        <w:spacing w:line="20" w:lineRule="exact"/>
        <w:ind w:left="23" w:right="-44" w:firstLine="0"/>
        <w:rPr>
          <w:sz w:val="2"/>
        </w:rPr>
      </w:pPr>
      <w:r>
        <w:rPr>
          <w:sz w:val="2"/>
        </w:rPr>
        <mc:AlternateContent>
          <mc:Choice Requires="wps">
            <w:drawing>
              <wp:inline distT="0" distB="0" distL="0" distR="0">
                <wp:extent cx="5727700" cy="5080"/>
                <wp:effectExtent l="0" t="0" r="0" b="0"/>
                <wp:docPr id="9" name="Group 9"/>
                <wp:cNvGraphicFramePr>
                  <a:graphicFrameLocks/>
                </wp:cNvGraphicFramePr>
                <a:graphic>
                  <a:graphicData uri="http://schemas.microsoft.com/office/word/2010/wordprocessingGroup">
                    <wpg:wgp>
                      <wpg:cNvPr id="9" name="Group 9"/>
                      <wpg:cNvGrpSpPr/>
                      <wpg:grpSpPr>
                        <a:xfrm>
                          <a:off x="0" y="0"/>
                          <a:ext cx="5727700" cy="5080"/>
                          <a:chExt cx="5727700" cy="5080"/>
                        </a:xfrm>
                      </wpg:grpSpPr>
                      <wps:wsp>
                        <wps:cNvPr id="10" name="Graphic 10"/>
                        <wps:cNvSpPr/>
                        <wps:spPr>
                          <a:xfrm>
                            <a:off x="0" y="0"/>
                            <a:ext cx="5727700" cy="5080"/>
                          </a:xfrm>
                          <a:custGeom>
                            <a:avLst/>
                            <a:gdLst/>
                            <a:ahLst/>
                            <a:cxnLst/>
                            <a:rect l="l" t="t" r="r" b="b"/>
                            <a:pathLst>
                              <a:path w="5727700" h="5080">
                                <a:moveTo>
                                  <a:pt x="1440434" y="0"/>
                                </a:moveTo>
                                <a:lnTo>
                                  <a:pt x="0" y="0"/>
                                </a:lnTo>
                                <a:lnTo>
                                  <a:pt x="0" y="5080"/>
                                </a:lnTo>
                                <a:lnTo>
                                  <a:pt x="1440434" y="5080"/>
                                </a:lnTo>
                                <a:lnTo>
                                  <a:pt x="1440434" y="0"/>
                                </a:lnTo>
                                <a:close/>
                              </a:path>
                              <a:path w="5727700" h="5080">
                                <a:moveTo>
                                  <a:pt x="3587419" y="0"/>
                                </a:moveTo>
                                <a:lnTo>
                                  <a:pt x="3582352" y="0"/>
                                </a:lnTo>
                                <a:lnTo>
                                  <a:pt x="1445577" y="0"/>
                                </a:lnTo>
                                <a:lnTo>
                                  <a:pt x="1440497" y="0"/>
                                </a:lnTo>
                                <a:lnTo>
                                  <a:pt x="1440497" y="5080"/>
                                </a:lnTo>
                                <a:lnTo>
                                  <a:pt x="1445577" y="5080"/>
                                </a:lnTo>
                                <a:lnTo>
                                  <a:pt x="3582352" y="5080"/>
                                </a:lnTo>
                                <a:lnTo>
                                  <a:pt x="3587419" y="5080"/>
                                </a:lnTo>
                                <a:lnTo>
                                  <a:pt x="3587419" y="0"/>
                                </a:lnTo>
                                <a:close/>
                              </a:path>
                              <a:path w="5727700" h="5080">
                                <a:moveTo>
                                  <a:pt x="5727128" y="0"/>
                                </a:moveTo>
                                <a:lnTo>
                                  <a:pt x="3587432" y="0"/>
                                </a:lnTo>
                                <a:lnTo>
                                  <a:pt x="3587432" y="5080"/>
                                </a:lnTo>
                                <a:lnTo>
                                  <a:pt x="5727128" y="5080"/>
                                </a:lnTo>
                                <a:lnTo>
                                  <a:pt x="572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1pt;height:.4pt;mso-position-horizontal-relative:char;mso-position-vertical-relative:line" id="docshapegroup8" coordorigin="0,0" coordsize="9020,8">
                <v:shape style="position:absolute;left:0;top:0;width:9020;height:8" id="docshape9" coordorigin="0,0" coordsize="9020,8" path="m2268,0l0,0,0,8,2268,8,2268,0xm5649,0l5642,0,2277,0,2269,0,2269,8,2277,8,5642,8,5649,8,5649,0xm9019,0l5650,0,5650,8,9019,8,9019,0xe" filled="true" fillcolor="#000000" stroked="false">
                  <v:path arrowok="t"/>
                  <v:fill type="solid"/>
                </v:shape>
              </v:group>
            </w:pict>
          </mc:Fallback>
        </mc:AlternateContent>
      </w:r>
      <w:r>
        <w:rPr>
          <w:sz w:val="2"/>
        </w:rPr>
      </w:r>
    </w:p>
    <w:p>
      <w:pPr>
        <w:pStyle w:val="BodyText"/>
        <w:tabs>
          <w:tab w:pos="5626" w:val="left" w:leader="none"/>
        </w:tabs>
        <w:ind w:left="2497"/>
        <w:jc w:val="center"/>
      </w:pPr>
      <w:r>
        <w:rPr>
          <w:spacing w:val="-2"/>
        </w:rPr>
        <w:t>ReadQuest</w:t>
      </w:r>
      <w:r>
        <w:rPr/>
        <w:tab/>
      </w:r>
      <w:r>
        <w:rPr>
          <w:spacing w:val="-2"/>
        </w:rPr>
        <w:t>Non-ReadQuest</w:t>
      </w:r>
    </w:p>
    <w:tbl>
      <w:tblPr>
        <w:tblW w:w="0" w:type="auto"/>
        <w:jc w:val="left"/>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48"/>
        <w:gridCol w:w="1164"/>
        <w:gridCol w:w="780"/>
        <w:gridCol w:w="4937"/>
      </w:tblGrid>
      <w:tr>
        <w:trPr>
          <w:trHeight w:val="554" w:hRule="atLeast"/>
        </w:trPr>
        <w:tc>
          <w:tcPr>
            <w:tcW w:w="2148" w:type="dxa"/>
            <w:tcBorders>
              <w:top w:val="single" w:sz="4" w:space="0" w:color="000000"/>
              <w:bottom w:val="single" w:sz="12" w:space="0" w:color="000000"/>
            </w:tcBorders>
          </w:tcPr>
          <w:p>
            <w:pPr>
              <w:pStyle w:val="TableParagraph"/>
              <w:spacing w:line="271" w:lineRule="exact"/>
              <w:ind w:left="148" w:right="7"/>
              <w:rPr>
                <w:sz w:val="24"/>
              </w:rPr>
            </w:pPr>
            <w:r>
              <w:rPr>
                <w:spacing w:val="-2"/>
                <w:sz w:val="24"/>
              </w:rPr>
              <w:t>PROFICIENCY</w:t>
            </w:r>
          </w:p>
          <w:p>
            <w:pPr>
              <w:pStyle w:val="TableParagraph"/>
              <w:spacing w:line="264" w:lineRule="exact"/>
              <w:ind w:left="148" w:right="7"/>
              <w:rPr>
                <w:sz w:val="24"/>
              </w:rPr>
            </w:pPr>
            <w:r>
              <w:rPr>
                <w:spacing w:val="-2"/>
                <w:sz w:val="24"/>
              </w:rPr>
              <w:t>LEVEL</w:t>
            </w:r>
          </w:p>
        </w:tc>
        <w:tc>
          <w:tcPr>
            <w:tcW w:w="1164" w:type="dxa"/>
            <w:tcBorders>
              <w:top w:val="single" w:sz="4" w:space="0" w:color="000000"/>
              <w:bottom w:val="single" w:sz="12" w:space="0" w:color="000000"/>
            </w:tcBorders>
          </w:tcPr>
          <w:p>
            <w:pPr>
              <w:pStyle w:val="TableParagraph"/>
              <w:spacing w:before="130"/>
              <w:ind w:left="83"/>
              <w:rPr>
                <w:sz w:val="24"/>
              </w:rPr>
            </w:pPr>
            <w:r>
              <w:rPr>
                <w:spacing w:val="-10"/>
                <w:sz w:val="24"/>
              </w:rPr>
              <w:t>M</w:t>
            </w:r>
          </w:p>
        </w:tc>
        <w:tc>
          <w:tcPr>
            <w:tcW w:w="780" w:type="dxa"/>
            <w:tcBorders>
              <w:top w:val="single" w:sz="4" w:space="0" w:color="000000"/>
              <w:bottom w:val="single" w:sz="12" w:space="0" w:color="000000"/>
            </w:tcBorders>
          </w:tcPr>
          <w:p>
            <w:pPr>
              <w:pStyle w:val="TableParagraph"/>
              <w:spacing w:before="130"/>
              <w:ind w:right="15"/>
              <w:rPr>
                <w:sz w:val="24"/>
              </w:rPr>
            </w:pPr>
            <w:r>
              <w:rPr>
                <w:spacing w:val="-5"/>
                <w:sz w:val="24"/>
              </w:rPr>
              <w:t>SD</w:t>
            </w:r>
          </w:p>
        </w:tc>
        <w:tc>
          <w:tcPr>
            <w:tcW w:w="4937" w:type="dxa"/>
            <w:tcBorders>
              <w:top w:val="single" w:sz="4" w:space="0" w:color="000000"/>
              <w:bottom w:val="single" w:sz="12" w:space="0" w:color="000000"/>
            </w:tcBorders>
          </w:tcPr>
          <w:p>
            <w:pPr>
              <w:pStyle w:val="TableParagraph"/>
              <w:tabs>
                <w:tab w:pos="1962" w:val="left" w:leader="none"/>
                <w:tab w:pos="2846" w:val="left" w:leader="none"/>
                <w:tab w:pos="3802" w:val="left" w:leader="none"/>
              </w:tabs>
              <w:spacing w:before="130"/>
              <w:ind w:left="417"/>
              <w:jc w:val="left"/>
              <w:rPr>
                <w:sz w:val="24"/>
              </w:rPr>
            </w:pPr>
            <w:r>
              <w:rPr>
                <w:spacing w:val="-2"/>
                <w:sz w:val="24"/>
              </w:rPr>
              <w:t>LEVEL</w:t>
            </w:r>
            <w:r>
              <w:rPr>
                <w:sz w:val="24"/>
              </w:rPr>
              <w:tab/>
            </w:r>
            <w:r>
              <w:rPr>
                <w:spacing w:val="-10"/>
                <w:sz w:val="24"/>
              </w:rPr>
              <w:t>M</w:t>
            </w:r>
            <w:r>
              <w:rPr>
                <w:sz w:val="24"/>
              </w:rPr>
              <w:tab/>
            </w:r>
            <w:r>
              <w:rPr>
                <w:spacing w:val="-5"/>
                <w:sz w:val="24"/>
              </w:rPr>
              <w:t>SD</w:t>
            </w:r>
            <w:r>
              <w:rPr>
                <w:sz w:val="24"/>
              </w:rPr>
              <w:tab/>
            </w:r>
            <w:r>
              <w:rPr>
                <w:spacing w:val="-4"/>
                <w:sz w:val="24"/>
              </w:rPr>
              <w:t>LEVEL</w:t>
            </w:r>
          </w:p>
        </w:tc>
      </w:tr>
      <w:tr>
        <w:trPr>
          <w:trHeight w:val="280" w:hRule="atLeast"/>
        </w:trPr>
        <w:tc>
          <w:tcPr>
            <w:tcW w:w="2148" w:type="dxa"/>
            <w:tcBorders>
              <w:top w:val="single" w:sz="12" w:space="0" w:color="000000"/>
            </w:tcBorders>
          </w:tcPr>
          <w:p>
            <w:pPr>
              <w:pStyle w:val="TableParagraph"/>
              <w:spacing w:line="260" w:lineRule="exact"/>
              <w:ind w:left="643"/>
              <w:jc w:val="left"/>
              <w:rPr>
                <w:sz w:val="24"/>
              </w:rPr>
            </w:pPr>
            <w:r>
              <w:rPr>
                <w:sz w:val="24"/>
              </w:rPr>
              <w:t>97 - </w:t>
            </w:r>
            <w:r>
              <w:rPr>
                <w:spacing w:val="-4"/>
                <w:sz w:val="24"/>
              </w:rPr>
              <w:t>100%</w:t>
            </w:r>
          </w:p>
        </w:tc>
        <w:tc>
          <w:tcPr>
            <w:tcW w:w="1164" w:type="dxa"/>
            <w:tcBorders>
              <w:top w:val="single" w:sz="12" w:space="0" w:color="000000"/>
            </w:tcBorders>
          </w:tcPr>
          <w:p>
            <w:pPr>
              <w:pStyle w:val="TableParagraph"/>
              <w:jc w:val="left"/>
              <w:rPr>
                <w:sz w:val="20"/>
              </w:rPr>
            </w:pPr>
          </w:p>
        </w:tc>
        <w:tc>
          <w:tcPr>
            <w:tcW w:w="780" w:type="dxa"/>
            <w:tcBorders>
              <w:top w:val="single" w:sz="12" w:space="0" w:color="000000"/>
            </w:tcBorders>
          </w:tcPr>
          <w:p>
            <w:pPr>
              <w:pStyle w:val="TableParagraph"/>
              <w:jc w:val="left"/>
              <w:rPr>
                <w:sz w:val="20"/>
              </w:rPr>
            </w:pPr>
          </w:p>
        </w:tc>
        <w:tc>
          <w:tcPr>
            <w:tcW w:w="4937" w:type="dxa"/>
            <w:tcBorders>
              <w:top w:val="single" w:sz="12" w:space="0" w:color="000000"/>
            </w:tcBorders>
          </w:tcPr>
          <w:p>
            <w:pPr>
              <w:pStyle w:val="TableParagraph"/>
              <w:jc w:val="left"/>
              <w:rPr>
                <w:sz w:val="20"/>
              </w:rPr>
            </w:pPr>
          </w:p>
        </w:tc>
      </w:tr>
      <w:tr>
        <w:trPr>
          <w:trHeight w:val="549" w:hRule="atLeast"/>
        </w:trPr>
        <w:tc>
          <w:tcPr>
            <w:tcW w:w="2148" w:type="dxa"/>
            <w:tcBorders>
              <w:bottom w:val="single" w:sz="12" w:space="0" w:color="000000"/>
            </w:tcBorders>
          </w:tcPr>
          <w:p>
            <w:pPr>
              <w:pStyle w:val="TableParagraph"/>
              <w:spacing w:line="263" w:lineRule="exact"/>
              <w:ind w:left="148" w:right="8"/>
              <w:rPr>
                <w:sz w:val="24"/>
              </w:rPr>
            </w:pPr>
            <w:r>
              <w:rPr>
                <w:sz w:val="24"/>
              </w:rPr>
              <w:t>90 - </w:t>
            </w:r>
            <w:r>
              <w:rPr>
                <w:spacing w:val="-5"/>
                <w:sz w:val="24"/>
              </w:rPr>
              <w:t>96%</w:t>
            </w:r>
          </w:p>
          <w:p>
            <w:pPr>
              <w:pStyle w:val="TableParagraph"/>
              <w:spacing w:line="267" w:lineRule="exact"/>
              <w:ind w:left="148"/>
              <w:rPr>
                <w:sz w:val="24"/>
              </w:rPr>
            </w:pPr>
            <w:r>
              <w:rPr>
                <w:sz w:val="24"/>
              </w:rPr>
              <w:t>89% and</w:t>
            </w:r>
            <w:r>
              <w:rPr>
                <w:spacing w:val="1"/>
                <w:sz w:val="24"/>
              </w:rPr>
              <w:t> </w:t>
            </w:r>
            <w:r>
              <w:rPr>
                <w:spacing w:val="-2"/>
                <w:sz w:val="24"/>
              </w:rPr>
              <w:t>below</w:t>
            </w:r>
          </w:p>
        </w:tc>
        <w:tc>
          <w:tcPr>
            <w:tcW w:w="1164" w:type="dxa"/>
            <w:tcBorders>
              <w:bottom w:val="single" w:sz="12" w:space="0" w:color="000000"/>
            </w:tcBorders>
          </w:tcPr>
          <w:p>
            <w:pPr>
              <w:pStyle w:val="TableParagraph"/>
              <w:spacing w:line="263" w:lineRule="exact"/>
              <w:ind w:left="83" w:right="3"/>
              <w:rPr>
                <w:sz w:val="24"/>
              </w:rPr>
            </w:pPr>
            <w:r>
              <w:rPr>
                <w:spacing w:val="-2"/>
                <w:sz w:val="24"/>
              </w:rPr>
              <w:t>95.73%</w:t>
            </w:r>
          </w:p>
        </w:tc>
        <w:tc>
          <w:tcPr>
            <w:tcW w:w="780" w:type="dxa"/>
            <w:tcBorders>
              <w:bottom w:val="single" w:sz="12" w:space="0" w:color="000000"/>
            </w:tcBorders>
          </w:tcPr>
          <w:p>
            <w:pPr>
              <w:pStyle w:val="TableParagraph"/>
              <w:spacing w:line="263" w:lineRule="exact"/>
              <w:ind w:left="4" w:right="15"/>
              <w:rPr>
                <w:sz w:val="24"/>
              </w:rPr>
            </w:pPr>
            <w:r>
              <w:rPr>
                <w:spacing w:val="-4"/>
                <w:sz w:val="24"/>
              </w:rPr>
              <w:t>2.55</w:t>
            </w:r>
          </w:p>
        </w:tc>
        <w:tc>
          <w:tcPr>
            <w:tcW w:w="4937" w:type="dxa"/>
            <w:tcBorders>
              <w:bottom w:val="single" w:sz="12" w:space="0" w:color="000000"/>
            </w:tcBorders>
          </w:tcPr>
          <w:p>
            <w:pPr>
              <w:pStyle w:val="TableParagraph"/>
              <w:spacing w:line="263" w:lineRule="exact"/>
              <w:ind w:left="189"/>
              <w:jc w:val="left"/>
              <w:rPr>
                <w:sz w:val="24"/>
              </w:rPr>
            </w:pPr>
            <w:r>
              <w:rPr>
                <w:spacing w:val="-2"/>
                <w:sz w:val="24"/>
              </w:rPr>
              <w:t>Instructional</w:t>
            </w:r>
          </w:p>
          <w:p>
            <w:pPr>
              <w:pStyle w:val="TableParagraph"/>
              <w:tabs>
                <w:tab w:pos="2789" w:val="left" w:leader="none"/>
                <w:tab w:pos="3658" w:val="left" w:leader="none"/>
              </w:tabs>
              <w:spacing w:line="267" w:lineRule="exact"/>
              <w:ind w:left="1698"/>
              <w:jc w:val="left"/>
              <w:rPr>
                <w:sz w:val="24"/>
              </w:rPr>
            </w:pPr>
            <w:r>
              <w:rPr>
                <w:spacing w:val="-2"/>
                <w:sz w:val="24"/>
              </w:rPr>
              <w:t>85.67%</w:t>
            </w:r>
            <w:r>
              <w:rPr>
                <w:sz w:val="24"/>
              </w:rPr>
              <w:tab/>
            </w:r>
            <w:r>
              <w:rPr>
                <w:spacing w:val="-4"/>
                <w:sz w:val="24"/>
              </w:rPr>
              <w:t>9.26</w:t>
            </w:r>
            <w:r>
              <w:rPr>
                <w:sz w:val="24"/>
              </w:rPr>
              <w:tab/>
            </w:r>
            <w:r>
              <w:rPr>
                <w:spacing w:val="-2"/>
                <w:sz w:val="24"/>
              </w:rPr>
              <w:t>Frustration</w:t>
            </w:r>
          </w:p>
        </w:tc>
      </w:tr>
    </w:tbl>
    <w:p>
      <w:pPr>
        <w:pStyle w:val="BodyText"/>
        <w:spacing w:before="263"/>
        <w:ind w:right="13" w:firstLine="300"/>
      </w:pPr>
      <w:r>
        <w:rPr/>
        <w:t>Table</w:t>
      </w:r>
      <w:r>
        <w:rPr>
          <w:spacing w:val="-8"/>
        </w:rPr>
        <w:t> </w:t>
      </w:r>
      <w:r>
        <w:rPr/>
        <w:t>2</w:t>
      </w:r>
      <w:r>
        <w:rPr>
          <w:spacing w:val="-9"/>
        </w:rPr>
        <w:t> </w:t>
      </w:r>
      <w:r>
        <w:rPr/>
        <w:t>shows</w:t>
      </w:r>
      <w:r>
        <w:rPr>
          <w:spacing w:val="-11"/>
        </w:rPr>
        <w:t> </w:t>
      </w:r>
      <w:r>
        <w:rPr/>
        <w:t>the</w:t>
      </w:r>
      <w:r>
        <w:rPr>
          <w:spacing w:val="-8"/>
        </w:rPr>
        <w:t> </w:t>
      </w:r>
      <w:r>
        <w:rPr/>
        <w:t>posttest</w:t>
      </w:r>
      <w:r>
        <w:rPr>
          <w:spacing w:val="-8"/>
        </w:rPr>
        <w:t> </w:t>
      </w:r>
      <w:r>
        <w:rPr/>
        <w:t>scores</w:t>
      </w:r>
      <w:r>
        <w:rPr>
          <w:spacing w:val="-11"/>
        </w:rPr>
        <w:t> </w:t>
      </w:r>
      <w:r>
        <w:rPr/>
        <w:t>of</w:t>
      </w:r>
      <w:r>
        <w:rPr>
          <w:spacing w:val="-6"/>
        </w:rPr>
        <w:t> </w:t>
      </w:r>
      <w:r>
        <w:rPr/>
        <w:t>learners</w:t>
      </w:r>
      <w:r>
        <w:rPr>
          <w:spacing w:val="-11"/>
        </w:rPr>
        <w:t> </w:t>
      </w:r>
      <w:r>
        <w:rPr/>
        <w:t>exposed</w:t>
      </w:r>
      <w:r>
        <w:rPr>
          <w:spacing w:val="-9"/>
        </w:rPr>
        <w:t> </w:t>
      </w:r>
      <w:r>
        <w:rPr/>
        <w:t>to</w:t>
      </w:r>
      <w:r>
        <w:rPr>
          <w:spacing w:val="-9"/>
        </w:rPr>
        <w:t> </w:t>
      </w:r>
      <w:r>
        <w:rPr/>
        <w:t>the</w:t>
      </w:r>
      <w:r>
        <w:rPr>
          <w:spacing w:val="-8"/>
        </w:rPr>
        <w:t> </w:t>
      </w:r>
      <w:r>
        <w:rPr/>
        <w:t>ReadQuest</w:t>
      </w:r>
      <w:r>
        <w:rPr>
          <w:spacing w:val="-8"/>
        </w:rPr>
        <w:t> </w:t>
      </w:r>
      <w:r>
        <w:rPr/>
        <w:t>Approach</w:t>
      </w:r>
      <w:r>
        <w:rPr>
          <w:spacing w:val="-9"/>
        </w:rPr>
        <w:t> </w:t>
      </w:r>
      <w:r>
        <w:rPr/>
        <w:t>and</w:t>
      </w:r>
      <w:r>
        <w:rPr>
          <w:spacing w:val="-9"/>
        </w:rPr>
        <w:t> </w:t>
      </w:r>
      <w:r>
        <w:rPr/>
        <w:t>those exposed to the Non-ReadQuest approach in terms of ORF. The ReadQuest group obtained a mean score of 95.73% (SD = 2.55), which corresponds to the Instructional level.</w:t>
      </w:r>
      <w:r>
        <w:rPr>
          <w:spacing w:val="-2"/>
        </w:rPr>
        <w:t> </w:t>
      </w:r>
      <w:r>
        <w:rPr/>
        <w:t>Meanwhile, the Non-ReadQuest group obtained a mean score of 85.67% (SD = 9.26), which remained under</w:t>
      </w:r>
      <w:r>
        <w:rPr>
          <w:spacing w:val="-2"/>
        </w:rPr>
        <w:t> </w:t>
      </w:r>
      <w:r>
        <w:rPr/>
        <w:t>the</w:t>
      </w:r>
      <w:r>
        <w:rPr>
          <w:spacing w:val="-1"/>
        </w:rPr>
        <w:t> </w:t>
      </w:r>
      <w:r>
        <w:rPr/>
        <w:t>Frustration</w:t>
      </w:r>
      <w:r>
        <w:rPr>
          <w:spacing w:val="-2"/>
        </w:rPr>
        <w:t> </w:t>
      </w:r>
      <w:r>
        <w:rPr/>
        <w:t>level.</w:t>
      </w:r>
      <w:r>
        <w:rPr>
          <w:spacing w:val="-2"/>
        </w:rPr>
        <w:t> </w:t>
      </w:r>
      <w:r>
        <w:rPr/>
        <w:t>The</w:t>
      </w:r>
      <w:r>
        <w:rPr>
          <w:spacing w:val="-1"/>
        </w:rPr>
        <w:t> </w:t>
      </w:r>
      <w:r>
        <w:rPr/>
        <w:t>results</w:t>
      </w:r>
      <w:r>
        <w:rPr>
          <w:spacing w:val="-3"/>
        </w:rPr>
        <w:t> </w:t>
      </w:r>
      <w:r>
        <w:rPr/>
        <w:t>indicate</w:t>
      </w:r>
      <w:r>
        <w:rPr>
          <w:spacing w:val="-1"/>
        </w:rPr>
        <w:t> </w:t>
      </w:r>
      <w:r>
        <w:rPr/>
        <w:t>a</w:t>
      </w:r>
      <w:r>
        <w:rPr>
          <w:spacing w:val="-1"/>
        </w:rPr>
        <w:t> </w:t>
      </w:r>
      <w:r>
        <w:rPr/>
        <w:t>mean</w:t>
      </w:r>
      <w:r>
        <w:rPr>
          <w:spacing w:val="-2"/>
        </w:rPr>
        <w:t> </w:t>
      </w:r>
      <w:r>
        <w:rPr/>
        <w:t>difference</w:t>
      </w:r>
      <w:r>
        <w:rPr>
          <w:spacing w:val="-1"/>
        </w:rPr>
        <w:t> </w:t>
      </w:r>
      <w:r>
        <w:rPr/>
        <w:t>of</w:t>
      </w:r>
      <w:r>
        <w:rPr>
          <w:spacing w:val="-2"/>
        </w:rPr>
        <w:t> </w:t>
      </w:r>
      <w:r>
        <w:rPr/>
        <w:t>10.06%</w:t>
      </w:r>
      <w:r>
        <w:rPr>
          <w:spacing w:val="-2"/>
        </w:rPr>
        <w:t> </w:t>
      </w:r>
      <w:r>
        <w:rPr/>
        <w:t>between</w:t>
      </w:r>
      <w:r>
        <w:rPr>
          <w:spacing w:val="-2"/>
        </w:rPr>
        <w:t> </w:t>
      </w:r>
      <w:r>
        <w:rPr/>
        <w:t>the</w:t>
      </w:r>
      <w:r>
        <w:rPr>
          <w:spacing w:val="-1"/>
        </w:rPr>
        <w:t> </w:t>
      </w:r>
      <w:r>
        <w:rPr/>
        <w:t>two groups in the post-test scores. The data further show that the ReadQuest group demonstrated higher and</w:t>
      </w:r>
      <w:r>
        <w:rPr>
          <w:spacing w:val="-2"/>
        </w:rPr>
        <w:t> </w:t>
      </w:r>
      <w:r>
        <w:rPr/>
        <w:t>more consistent post-test performance,</w:t>
      </w:r>
      <w:r>
        <w:rPr>
          <w:spacing w:val="-2"/>
        </w:rPr>
        <w:t> </w:t>
      </w:r>
      <w:r>
        <w:rPr/>
        <w:t>as reflected</w:t>
      </w:r>
      <w:r>
        <w:rPr>
          <w:spacing w:val="-1"/>
        </w:rPr>
        <w:t> </w:t>
      </w:r>
      <w:r>
        <w:rPr/>
        <w:t>in the lower</w:t>
      </w:r>
      <w:r>
        <w:rPr>
          <w:spacing w:val="-1"/>
        </w:rPr>
        <w:t> </w:t>
      </w:r>
      <w:r>
        <w:rPr/>
        <w:t>standard</w:t>
      </w:r>
      <w:r>
        <w:rPr>
          <w:spacing w:val="-5"/>
        </w:rPr>
        <w:t> </w:t>
      </w:r>
      <w:r>
        <w:rPr/>
        <w:t>deviation compared</w:t>
      </w:r>
      <w:r>
        <w:rPr>
          <w:spacing w:val="-15"/>
        </w:rPr>
        <w:t> </w:t>
      </w:r>
      <w:r>
        <w:rPr/>
        <w:t>to</w:t>
      </w:r>
      <w:r>
        <w:rPr>
          <w:spacing w:val="-15"/>
        </w:rPr>
        <w:t> </w:t>
      </w:r>
      <w:r>
        <w:rPr/>
        <w:t>the</w:t>
      </w:r>
      <w:r>
        <w:rPr>
          <w:spacing w:val="-10"/>
        </w:rPr>
        <w:t> </w:t>
      </w:r>
      <w:r>
        <w:rPr/>
        <w:t>Non-ReadQuest</w:t>
      </w:r>
      <w:r>
        <w:rPr>
          <w:spacing w:val="-10"/>
        </w:rPr>
        <w:t> </w:t>
      </w:r>
      <w:r>
        <w:rPr/>
        <w:t>group.</w:t>
      </w:r>
      <w:r>
        <w:rPr>
          <w:spacing w:val="-15"/>
        </w:rPr>
        <w:t> </w:t>
      </w:r>
      <w:r>
        <w:rPr/>
        <w:t>While</w:t>
      </w:r>
      <w:r>
        <w:rPr>
          <w:spacing w:val="-10"/>
        </w:rPr>
        <w:t> </w:t>
      </w:r>
      <w:r>
        <w:rPr/>
        <w:t>both</w:t>
      </w:r>
      <w:r>
        <w:rPr>
          <w:spacing w:val="-11"/>
        </w:rPr>
        <w:t> </w:t>
      </w:r>
      <w:r>
        <w:rPr/>
        <w:t>groups</w:t>
      </w:r>
      <w:r>
        <w:rPr>
          <w:spacing w:val="-13"/>
        </w:rPr>
        <w:t> </w:t>
      </w:r>
      <w:r>
        <w:rPr/>
        <w:t>showed</w:t>
      </w:r>
      <w:r>
        <w:rPr>
          <w:spacing w:val="-11"/>
        </w:rPr>
        <w:t> </w:t>
      </w:r>
      <w:r>
        <w:rPr/>
        <w:t>improvement</w:t>
      </w:r>
      <w:r>
        <w:rPr>
          <w:spacing w:val="-10"/>
        </w:rPr>
        <w:t> </w:t>
      </w:r>
      <w:r>
        <w:rPr/>
        <w:t>from</w:t>
      </w:r>
      <w:r>
        <w:rPr>
          <w:spacing w:val="-10"/>
        </w:rPr>
        <w:t> </w:t>
      </w:r>
      <w:r>
        <w:rPr/>
        <w:t>the</w:t>
      </w:r>
      <w:r>
        <w:rPr>
          <w:spacing w:val="-14"/>
        </w:rPr>
        <w:t> </w:t>
      </w:r>
      <w:r>
        <w:rPr/>
        <w:t>pre-test</w:t>
      </w:r>
      <w:r>
        <w:rPr>
          <w:spacing w:val="-6"/>
        </w:rPr>
        <w:t> </w:t>
      </w:r>
      <w:r>
        <w:rPr/>
        <w:t>results,</w:t>
      </w:r>
      <w:r>
        <w:rPr>
          <w:spacing w:val="-7"/>
        </w:rPr>
        <w:t> </w:t>
      </w:r>
      <w:r>
        <w:rPr/>
        <w:t>the</w:t>
      </w:r>
      <w:r>
        <w:rPr>
          <w:spacing w:val="-9"/>
        </w:rPr>
        <w:t> </w:t>
      </w:r>
      <w:r>
        <w:rPr/>
        <w:t>increase</w:t>
      </w:r>
      <w:r>
        <w:rPr>
          <w:spacing w:val="-9"/>
        </w:rPr>
        <w:t> </w:t>
      </w:r>
      <w:r>
        <w:rPr/>
        <w:t>was</w:t>
      </w:r>
      <w:r>
        <w:rPr>
          <w:spacing w:val="-4"/>
        </w:rPr>
        <w:t> </w:t>
      </w:r>
      <w:r>
        <w:rPr/>
        <w:t>more</w:t>
      </w:r>
      <w:r>
        <w:rPr>
          <w:spacing w:val="-5"/>
        </w:rPr>
        <w:t> </w:t>
      </w:r>
      <w:r>
        <w:rPr/>
        <w:t>evident</w:t>
      </w:r>
      <w:r>
        <w:rPr>
          <w:spacing w:val="-13"/>
        </w:rPr>
        <w:t> </w:t>
      </w:r>
      <w:r>
        <w:rPr/>
        <w:t>in</w:t>
      </w:r>
      <w:r>
        <w:rPr>
          <w:spacing w:val="-7"/>
        </w:rPr>
        <w:t> </w:t>
      </w:r>
      <w:r>
        <w:rPr/>
        <w:t>the</w:t>
      </w:r>
      <w:r>
        <w:rPr>
          <w:spacing w:val="-9"/>
        </w:rPr>
        <w:t> </w:t>
      </w:r>
      <w:r>
        <w:rPr/>
        <w:t>ReadQuest</w:t>
      </w:r>
      <w:r>
        <w:rPr>
          <w:spacing w:val="-6"/>
        </w:rPr>
        <w:t> </w:t>
      </w:r>
      <w:r>
        <w:rPr/>
        <w:t>group.</w:t>
      </w:r>
      <w:r>
        <w:rPr>
          <w:spacing w:val="-10"/>
        </w:rPr>
        <w:t> </w:t>
      </w:r>
      <w:r>
        <w:rPr/>
        <w:t>Table</w:t>
      </w:r>
      <w:r>
        <w:rPr>
          <w:spacing w:val="-5"/>
        </w:rPr>
        <w:t> </w:t>
      </w:r>
      <w:r>
        <w:rPr/>
        <w:t>2,</w:t>
      </w:r>
      <w:r>
        <w:rPr>
          <w:spacing w:val="-10"/>
        </w:rPr>
        <w:t> </w:t>
      </w:r>
      <w:r>
        <w:rPr/>
        <w:t>therefore,</w:t>
      </w:r>
      <w:r>
        <w:rPr>
          <w:spacing w:val="-6"/>
        </w:rPr>
        <w:t> </w:t>
      </w:r>
      <w:r>
        <w:rPr/>
        <w:t>presents higher ORF performance among learners exposed to the ReadQuest approach compared to those who were not exposed to the intervention.</w:t>
      </w:r>
    </w:p>
    <w:p>
      <w:pPr>
        <w:pStyle w:val="BodyText"/>
        <w:spacing w:before="1"/>
        <w:ind w:left="0"/>
        <w:jc w:val="left"/>
      </w:pPr>
    </w:p>
    <w:p>
      <w:pPr>
        <w:pStyle w:val="BodyText"/>
        <w:ind w:right="18" w:firstLine="300"/>
      </w:pPr>
      <w:r>
        <w:rPr/>
        <w:t>The</w:t>
      </w:r>
      <w:r>
        <w:rPr>
          <w:spacing w:val="-15"/>
        </w:rPr>
        <w:t> </w:t>
      </w:r>
      <w:r>
        <w:rPr/>
        <w:t>findings</w:t>
      </w:r>
      <w:r>
        <w:rPr>
          <w:spacing w:val="-15"/>
        </w:rPr>
        <w:t> </w:t>
      </w:r>
      <w:r>
        <w:rPr/>
        <w:t>are</w:t>
      </w:r>
      <w:r>
        <w:rPr>
          <w:spacing w:val="-15"/>
        </w:rPr>
        <w:t> </w:t>
      </w:r>
      <w:r>
        <w:rPr/>
        <w:t>supported</w:t>
      </w:r>
      <w:r>
        <w:rPr>
          <w:spacing w:val="-15"/>
        </w:rPr>
        <w:t> </w:t>
      </w:r>
      <w:r>
        <w:rPr/>
        <w:t>by</w:t>
      </w:r>
      <w:r>
        <w:rPr>
          <w:spacing w:val="-15"/>
        </w:rPr>
        <w:t> </w:t>
      </w:r>
      <w:r>
        <w:rPr/>
        <w:t>the</w:t>
      </w:r>
      <w:r>
        <w:rPr>
          <w:spacing w:val="-15"/>
        </w:rPr>
        <w:t> </w:t>
      </w:r>
      <w:r>
        <w:rPr/>
        <w:t>study</w:t>
      </w:r>
      <w:r>
        <w:rPr>
          <w:spacing w:val="-15"/>
        </w:rPr>
        <w:t> </w:t>
      </w:r>
      <w:r>
        <w:rPr/>
        <w:t>of</w:t>
      </w:r>
      <w:r>
        <w:rPr>
          <w:spacing w:val="15"/>
        </w:rPr>
        <w:t> </w:t>
      </w:r>
      <w:hyperlink r:id="rId22">
        <w:r>
          <w:rPr>
            <w:color w:val="0462C1"/>
          </w:rPr>
          <w:t>Stevens</w:t>
        </w:r>
        <w:r>
          <w:rPr>
            <w:color w:val="0462C1"/>
            <w:spacing w:val="-15"/>
          </w:rPr>
          <w:t> </w:t>
        </w:r>
        <w:r>
          <w:rPr>
            <w:color w:val="0462C1"/>
          </w:rPr>
          <w:t>et</w:t>
        </w:r>
        <w:r>
          <w:rPr>
            <w:color w:val="0462C1"/>
            <w:spacing w:val="-15"/>
          </w:rPr>
          <w:t> </w:t>
        </w:r>
        <w:r>
          <w:rPr>
            <w:color w:val="0462C1"/>
          </w:rPr>
          <w:t>al.</w:t>
        </w:r>
        <w:r>
          <w:rPr>
            <w:color w:val="0462C1"/>
            <w:spacing w:val="-15"/>
          </w:rPr>
          <w:t> </w:t>
        </w:r>
        <w:r>
          <w:rPr>
            <w:color w:val="0462C1"/>
          </w:rPr>
          <w:t>(2017),</w:t>
        </w:r>
      </w:hyperlink>
      <w:r>
        <w:rPr>
          <w:color w:val="0462C1"/>
          <w:spacing w:val="-12"/>
        </w:rPr>
        <w:t> </w:t>
      </w:r>
      <w:r>
        <w:rPr/>
        <w:t>which</w:t>
      </w:r>
      <w:r>
        <w:rPr>
          <w:spacing w:val="-15"/>
        </w:rPr>
        <w:t> </w:t>
      </w:r>
      <w:r>
        <w:rPr/>
        <w:t>revealed</w:t>
      </w:r>
      <w:r>
        <w:rPr>
          <w:spacing w:val="-15"/>
        </w:rPr>
        <w:t> </w:t>
      </w:r>
      <w:r>
        <w:rPr/>
        <w:t>that</w:t>
      </w:r>
      <w:r>
        <w:rPr>
          <w:spacing w:val="-14"/>
        </w:rPr>
        <w:t> </w:t>
      </w:r>
      <w:r>
        <w:rPr/>
        <w:t>fluency interventions</w:t>
      </w:r>
      <w:r>
        <w:rPr>
          <w:spacing w:val="-15"/>
        </w:rPr>
        <w:t> </w:t>
      </w:r>
      <w:r>
        <w:rPr/>
        <w:t>such</w:t>
      </w:r>
      <w:r>
        <w:rPr>
          <w:spacing w:val="-14"/>
        </w:rPr>
        <w:t> </w:t>
      </w:r>
      <w:r>
        <w:rPr/>
        <w:t>as</w:t>
      </w:r>
      <w:r>
        <w:rPr>
          <w:spacing w:val="-15"/>
        </w:rPr>
        <w:t> </w:t>
      </w:r>
      <w:r>
        <w:rPr/>
        <w:t>repeated</w:t>
      </w:r>
      <w:r>
        <w:rPr>
          <w:spacing w:val="-13"/>
        </w:rPr>
        <w:t> </w:t>
      </w:r>
      <w:r>
        <w:rPr/>
        <w:t>reading</w:t>
      </w:r>
      <w:r>
        <w:rPr>
          <w:spacing w:val="-13"/>
        </w:rPr>
        <w:t> </w:t>
      </w:r>
      <w:r>
        <w:rPr/>
        <w:t>and</w:t>
      </w:r>
      <w:r>
        <w:rPr>
          <w:spacing w:val="-13"/>
        </w:rPr>
        <w:t> </w:t>
      </w:r>
      <w:r>
        <w:rPr/>
        <w:t>guided</w:t>
      </w:r>
      <w:r>
        <w:rPr>
          <w:spacing w:val="-13"/>
        </w:rPr>
        <w:t> </w:t>
      </w:r>
      <w:r>
        <w:rPr/>
        <w:t>oral</w:t>
      </w:r>
      <w:r>
        <w:rPr>
          <w:spacing w:val="-12"/>
        </w:rPr>
        <w:t> </w:t>
      </w:r>
      <w:r>
        <w:rPr/>
        <w:t>reading</w:t>
      </w:r>
      <w:r>
        <w:rPr>
          <w:spacing w:val="-13"/>
        </w:rPr>
        <w:t> </w:t>
      </w:r>
      <w:r>
        <w:rPr/>
        <w:t>significantly</w:t>
      </w:r>
      <w:r>
        <w:rPr>
          <w:spacing w:val="-13"/>
        </w:rPr>
        <w:t> </w:t>
      </w:r>
      <w:r>
        <w:rPr/>
        <w:t>improved</w:t>
      </w:r>
      <w:r>
        <w:rPr>
          <w:spacing w:val="-15"/>
        </w:rPr>
        <w:t> </w:t>
      </w:r>
      <w:r>
        <w:rPr/>
        <w:t>learners’ reading accuracy, rate, and comprehension, particularly among struggling readers. Furthermore, </w:t>
      </w:r>
      <w:hyperlink r:id="rId23">
        <w:r>
          <w:rPr>
            <w:color w:val="0462C1"/>
          </w:rPr>
          <w:t>Ardoin et al. (2016)</w:t>
        </w:r>
      </w:hyperlink>
      <w:r>
        <w:rPr>
          <w:color w:val="0462C1"/>
        </w:rPr>
        <w:t> </w:t>
      </w:r>
      <w:r>
        <w:rPr/>
        <w:t>found that students who received repeated reading interventions</w:t>
      </w:r>
      <w:r>
        <w:rPr>
          <w:spacing w:val="-5"/>
        </w:rPr>
        <w:t> </w:t>
      </w:r>
      <w:r>
        <w:rPr/>
        <w:t>demonstrated</w:t>
      </w:r>
      <w:r>
        <w:rPr>
          <w:spacing w:val="-3"/>
        </w:rPr>
        <w:t> </w:t>
      </w:r>
      <w:r>
        <w:rPr/>
        <w:t>greater</w:t>
      </w:r>
      <w:r>
        <w:rPr>
          <w:spacing w:val="-3"/>
        </w:rPr>
        <w:t> </w:t>
      </w:r>
      <w:r>
        <w:rPr/>
        <w:t>improvement</w:t>
      </w:r>
      <w:r>
        <w:rPr>
          <w:spacing w:val="-3"/>
        </w:rPr>
        <w:t> </w:t>
      </w:r>
      <w:r>
        <w:rPr/>
        <w:t>in</w:t>
      </w:r>
      <w:r>
        <w:rPr>
          <w:spacing w:val="-3"/>
        </w:rPr>
        <w:t> </w:t>
      </w:r>
      <w:r>
        <w:rPr/>
        <w:t>oral</w:t>
      </w:r>
      <w:r>
        <w:rPr>
          <w:spacing w:val="-3"/>
        </w:rPr>
        <w:t> </w:t>
      </w:r>
      <w:r>
        <w:rPr/>
        <w:t>reading</w:t>
      </w:r>
      <w:r>
        <w:rPr>
          <w:spacing w:val="-3"/>
        </w:rPr>
        <w:t> </w:t>
      </w:r>
      <w:r>
        <w:rPr/>
        <w:t>fluency</w:t>
      </w:r>
      <w:r>
        <w:rPr>
          <w:spacing w:val="-3"/>
        </w:rPr>
        <w:t> </w:t>
      </w:r>
      <w:r>
        <w:rPr/>
        <w:t>compared to</w:t>
      </w:r>
      <w:r>
        <w:rPr>
          <w:spacing w:val="-7"/>
        </w:rPr>
        <w:t> </w:t>
      </w:r>
      <w:r>
        <w:rPr/>
        <w:t>students exposed to business-as-usual</w:t>
      </w:r>
      <w:r>
        <w:rPr>
          <w:spacing w:val="-3"/>
        </w:rPr>
        <w:t> </w:t>
      </w:r>
      <w:r>
        <w:rPr/>
        <w:t>classroom instruction.</w:t>
      </w:r>
      <w:r>
        <w:rPr>
          <w:spacing w:val="-3"/>
        </w:rPr>
        <w:t> </w:t>
      </w:r>
      <w:r>
        <w:rPr/>
        <w:t>These studies</w:t>
      </w:r>
      <w:r>
        <w:rPr>
          <w:spacing w:val="-1"/>
        </w:rPr>
        <w:t> </w:t>
      </w:r>
      <w:r>
        <w:rPr/>
        <w:t>highlight the importance</w:t>
      </w:r>
      <w:r>
        <w:rPr>
          <w:spacing w:val="-2"/>
        </w:rPr>
        <w:t> </w:t>
      </w:r>
      <w:r>
        <w:rPr/>
        <w:t>of structured</w:t>
      </w:r>
      <w:r>
        <w:rPr>
          <w:spacing w:val="-3"/>
        </w:rPr>
        <w:t> </w:t>
      </w:r>
      <w:r>
        <w:rPr/>
        <w:t>fluency</w:t>
      </w:r>
      <w:r>
        <w:rPr>
          <w:spacing w:val="-8"/>
        </w:rPr>
        <w:t> </w:t>
      </w:r>
      <w:r>
        <w:rPr/>
        <w:t>instruction</w:t>
      </w:r>
      <w:r>
        <w:rPr>
          <w:spacing w:val="-3"/>
        </w:rPr>
        <w:t> </w:t>
      </w:r>
      <w:r>
        <w:rPr/>
        <w:t>over</w:t>
      </w:r>
      <w:r>
        <w:rPr>
          <w:spacing w:val="-3"/>
        </w:rPr>
        <w:t> </w:t>
      </w:r>
      <w:r>
        <w:rPr/>
        <w:t>traditional</w:t>
      </w:r>
      <w:r>
        <w:rPr>
          <w:spacing w:val="-2"/>
        </w:rPr>
        <w:t> </w:t>
      </w:r>
      <w:r>
        <w:rPr/>
        <w:t>reading</w:t>
      </w:r>
      <w:r>
        <w:rPr>
          <w:spacing w:val="-3"/>
        </w:rPr>
        <w:t> </w:t>
      </w:r>
      <w:r>
        <w:rPr/>
        <w:t>practices</w:t>
      </w:r>
      <w:r>
        <w:rPr>
          <w:spacing w:val="-9"/>
        </w:rPr>
        <w:t> </w:t>
      </w:r>
      <w:r>
        <w:rPr/>
        <w:t>in</w:t>
      </w:r>
      <w:r>
        <w:rPr>
          <w:spacing w:val="-3"/>
        </w:rPr>
        <w:t> </w:t>
      </w:r>
      <w:r>
        <w:rPr/>
        <w:t>improving</w:t>
      </w:r>
      <w:r>
        <w:rPr>
          <w:spacing w:val="-8"/>
        </w:rPr>
        <w:t> </w:t>
      </w:r>
      <w:r>
        <w:rPr/>
        <w:t>learners’</w:t>
      </w:r>
      <w:r>
        <w:rPr>
          <w:spacing w:val="-3"/>
        </w:rPr>
        <w:t> </w:t>
      </w:r>
      <w:r>
        <w:rPr/>
        <w:t>reading </w:t>
      </w:r>
      <w:r>
        <w:rPr>
          <w:spacing w:val="-2"/>
        </w:rPr>
        <w:t>performance.</w:t>
      </w:r>
    </w:p>
    <w:p>
      <w:pPr>
        <w:pStyle w:val="BodyText"/>
        <w:spacing w:before="1"/>
        <w:ind w:left="0"/>
        <w:jc w:val="left"/>
      </w:pPr>
    </w:p>
    <w:p>
      <w:pPr>
        <w:pStyle w:val="BodyText"/>
        <w:jc w:val="left"/>
      </w:pPr>
      <w:r>
        <w:rPr>
          <w:b/>
        </w:rPr>
        <w:t>Table 3. </w:t>
      </w:r>
      <w:r>
        <w:rPr/>
        <w:t>Significant Difference in Oral Reading Fluency Gains Between the ReadQuest and Non ReadQuest Approaches.</w:t>
      </w:r>
    </w:p>
    <w:p>
      <w:pPr>
        <w:pStyle w:val="BodyText"/>
        <w:spacing w:before="60"/>
        <w:ind w:left="0"/>
        <w:jc w:val="left"/>
        <w:rPr>
          <w:sz w:val="20"/>
        </w:rPr>
      </w:pPr>
    </w:p>
    <w:tbl>
      <w:tblPr>
        <w:tblW w:w="0" w:type="auto"/>
        <w:jc w:val="left"/>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72"/>
        <w:gridCol w:w="1503"/>
        <w:gridCol w:w="1090"/>
        <w:gridCol w:w="1230"/>
        <w:gridCol w:w="2136"/>
      </w:tblGrid>
      <w:tr>
        <w:trPr>
          <w:trHeight w:val="274" w:hRule="atLeast"/>
        </w:trPr>
        <w:tc>
          <w:tcPr>
            <w:tcW w:w="3072" w:type="dxa"/>
            <w:tcBorders>
              <w:top w:val="single" w:sz="12" w:space="0" w:color="000000"/>
              <w:bottom w:val="single" w:sz="12" w:space="0" w:color="000000"/>
            </w:tcBorders>
          </w:tcPr>
          <w:p>
            <w:pPr>
              <w:pStyle w:val="TableParagraph"/>
              <w:spacing w:line="254" w:lineRule="exact"/>
              <w:ind w:left="66" w:right="5"/>
              <w:rPr>
                <w:sz w:val="24"/>
              </w:rPr>
            </w:pPr>
            <w:r>
              <w:rPr>
                <w:spacing w:val="-2"/>
                <w:sz w:val="24"/>
              </w:rPr>
              <w:t>Group</w:t>
            </w:r>
          </w:p>
        </w:tc>
        <w:tc>
          <w:tcPr>
            <w:tcW w:w="1503" w:type="dxa"/>
            <w:tcBorders>
              <w:top w:val="single" w:sz="12" w:space="0" w:color="000000"/>
              <w:bottom w:val="single" w:sz="12" w:space="0" w:color="000000"/>
            </w:tcBorders>
          </w:tcPr>
          <w:p>
            <w:pPr>
              <w:pStyle w:val="TableParagraph"/>
              <w:spacing w:line="254" w:lineRule="exact"/>
              <w:ind w:left="21"/>
              <w:rPr>
                <w:sz w:val="24"/>
              </w:rPr>
            </w:pPr>
            <w:r>
              <w:rPr>
                <w:sz w:val="24"/>
              </w:rPr>
              <w:t>Mean</w:t>
            </w:r>
            <w:r>
              <w:rPr>
                <w:spacing w:val="-2"/>
                <w:sz w:val="24"/>
              </w:rPr>
              <w:t> </w:t>
            </w:r>
            <w:r>
              <w:rPr>
                <w:spacing w:val="-4"/>
                <w:sz w:val="24"/>
              </w:rPr>
              <w:t>Gain</w:t>
            </w:r>
          </w:p>
        </w:tc>
        <w:tc>
          <w:tcPr>
            <w:tcW w:w="1090" w:type="dxa"/>
            <w:tcBorders>
              <w:top w:val="single" w:sz="12" w:space="0" w:color="000000"/>
              <w:bottom w:val="single" w:sz="12" w:space="0" w:color="000000"/>
            </w:tcBorders>
          </w:tcPr>
          <w:p>
            <w:pPr>
              <w:pStyle w:val="TableParagraph"/>
              <w:spacing w:line="254" w:lineRule="exact"/>
              <w:ind w:right="13"/>
              <w:rPr>
                <w:sz w:val="24"/>
              </w:rPr>
            </w:pPr>
            <w:r>
              <w:rPr>
                <w:sz w:val="24"/>
              </w:rPr>
              <w:t>t-</w:t>
            </w:r>
            <w:r>
              <w:rPr>
                <w:spacing w:val="-2"/>
                <w:sz w:val="24"/>
              </w:rPr>
              <w:t>value</w:t>
            </w:r>
          </w:p>
        </w:tc>
        <w:tc>
          <w:tcPr>
            <w:tcW w:w="1230" w:type="dxa"/>
            <w:tcBorders>
              <w:top w:val="single" w:sz="12" w:space="0" w:color="000000"/>
              <w:bottom w:val="single" w:sz="12" w:space="0" w:color="000000"/>
            </w:tcBorders>
          </w:tcPr>
          <w:p>
            <w:pPr>
              <w:pStyle w:val="TableParagraph"/>
              <w:spacing w:line="254" w:lineRule="exact"/>
              <w:ind w:right="72"/>
              <w:rPr>
                <w:sz w:val="24"/>
              </w:rPr>
            </w:pPr>
            <w:r>
              <w:rPr>
                <w:sz w:val="24"/>
              </w:rPr>
              <w:t>p-</w:t>
            </w:r>
            <w:r>
              <w:rPr>
                <w:spacing w:val="-2"/>
                <w:sz w:val="24"/>
              </w:rPr>
              <w:t>value</w:t>
            </w:r>
          </w:p>
        </w:tc>
        <w:tc>
          <w:tcPr>
            <w:tcW w:w="2136" w:type="dxa"/>
            <w:tcBorders>
              <w:top w:val="single" w:sz="12" w:space="0" w:color="000000"/>
              <w:bottom w:val="single" w:sz="12" w:space="0" w:color="000000"/>
            </w:tcBorders>
          </w:tcPr>
          <w:p>
            <w:pPr>
              <w:pStyle w:val="TableParagraph"/>
              <w:spacing w:line="254" w:lineRule="exact"/>
              <w:ind w:right="81"/>
              <w:rPr>
                <w:sz w:val="24"/>
              </w:rPr>
            </w:pPr>
            <w:r>
              <w:rPr>
                <w:spacing w:val="-2"/>
                <w:sz w:val="24"/>
              </w:rPr>
              <w:t>Interpretation</w:t>
            </w:r>
          </w:p>
        </w:tc>
      </w:tr>
      <w:tr>
        <w:trPr>
          <w:trHeight w:val="284" w:hRule="atLeast"/>
        </w:trPr>
        <w:tc>
          <w:tcPr>
            <w:tcW w:w="3072" w:type="dxa"/>
            <w:tcBorders>
              <w:top w:val="single" w:sz="12" w:space="0" w:color="000000"/>
            </w:tcBorders>
          </w:tcPr>
          <w:p>
            <w:pPr>
              <w:pStyle w:val="TableParagraph"/>
              <w:spacing w:line="261" w:lineRule="exact" w:before="3"/>
              <w:ind w:left="66" w:right="4"/>
              <w:rPr>
                <w:sz w:val="24"/>
              </w:rPr>
            </w:pPr>
            <w:r>
              <w:rPr>
                <w:sz w:val="24"/>
              </w:rPr>
              <w:t>ReadQuest</w:t>
            </w:r>
            <w:r>
              <w:rPr>
                <w:spacing w:val="-1"/>
                <w:sz w:val="24"/>
              </w:rPr>
              <w:t> </w:t>
            </w:r>
            <w:r>
              <w:rPr>
                <w:spacing w:val="-2"/>
                <w:sz w:val="24"/>
              </w:rPr>
              <w:t>Approach</w:t>
            </w:r>
          </w:p>
        </w:tc>
        <w:tc>
          <w:tcPr>
            <w:tcW w:w="1503" w:type="dxa"/>
            <w:tcBorders>
              <w:top w:val="single" w:sz="12" w:space="0" w:color="000000"/>
            </w:tcBorders>
          </w:tcPr>
          <w:p>
            <w:pPr>
              <w:pStyle w:val="TableParagraph"/>
              <w:spacing w:line="261" w:lineRule="exact" w:before="3"/>
              <w:ind w:left="21" w:right="6"/>
              <w:rPr>
                <w:sz w:val="24"/>
              </w:rPr>
            </w:pPr>
            <w:r>
              <w:rPr>
                <w:spacing w:val="-2"/>
                <w:sz w:val="24"/>
              </w:rPr>
              <w:t>13.80</w:t>
            </w:r>
          </w:p>
        </w:tc>
        <w:tc>
          <w:tcPr>
            <w:tcW w:w="1090" w:type="dxa"/>
            <w:tcBorders>
              <w:top w:val="single" w:sz="12" w:space="0" w:color="000000"/>
            </w:tcBorders>
          </w:tcPr>
          <w:p>
            <w:pPr>
              <w:pStyle w:val="TableParagraph"/>
              <w:spacing w:line="261" w:lineRule="exact" w:before="3"/>
              <w:ind w:right="16"/>
              <w:rPr>
                <w:sz w:val="24"/>
              </w:rPr>
            </w:pPr>
            <w:r>
              <w:rPr>
                <w:sz w:val="24"/>
              </w:rPr>
              <w:t>-</w:t>
            </w:r>
            <w:r>
              <w:rPr>
                <w:spacing w:val="-4"/>
                <w:sz w:val="24"/>
              </w:rPr>
              <w:t>8.30</w:t>
            </w:r>
          </w:p>
        </w:tc>
        <w:tc>
          <w:tcPr>
            <w:tcW w:w="1230" w:type="dxa"/>
            <w:tcBorders>
              <w:top w:val="single" w:sz="12" w:space="0" w:color="000000"/>
            </w:tcBorders>
          </w:tcPr>
          <w:p>
            <w:pPr>
              <w:pStyle w:val="TableParagraph"/>
              <w:spacing w:line="261" w:lineRule="exact" w:before="3"/>
              <w:ind w:right="70"/>
              <w:rPr>
                <w:sz w:val="24"/>
              </w:rPr>
            </w:pPr>
            <w:r>
              <w:rPr>
                <w:spacing w:val="-2"/>
                <w:sz w:val="24"/>
              </w:rPr>
              <w:t>&lt;0.05</w:t>
            </w:r>
          </w:p>
        </w:tc>
        <w:tc>
          <w:tcPr>
            <w:tcW w:w="2136" w:type="dxa"/>
            <w:tcBorders>
              <w:top w:val="single" w:sz="12" w:space="0" w:color="000000"/>
            </w:tcBorders>
          </w:tcPr>
          <w:p>
            <w:pPr>
              <w:pStyle w:val="TableParagraph"/>
              <w:spacing w:line="261" w:lineRule="exact" w:before="3"/>
              <w:ind w:right="81"/>
              <w:rPr>
                <w:sz w:val="24"/>
              </w:rPr>
            </w:pPr>
            <w:r>
              <w:rPr>
                <w:spacing w:val="-2"/>
                <w:sz w:val="24"/>
              </w:rPr>
              <w:t>Significant</w:t>
            </w:r>
          </w:p>
        </w:tc>
      </w:tr>
      <w:tr>
        <w:trPr>
          <w:trHeight w:val="269" w:hRule="atLeast"/>
        </w:trPr>
        <w:tc>
          <w:tcPr>
            <w:tcW w:w="3072" w:type="dxa"/>
            <w:tcBorders>
              <w:bottom w:val="single" w:sz="4" w:space="0" w:color="000000"/>
            </w:tcBorders>
          </w:tcPr>
          <w:p>
            <w:pPr>
              <w:pStyle w:val="TableParagraph"/>
              <w:spacing w:line="250" w:lineRule="exact"/>
              <w:ind w:left="66"/>
              <w:rPr>
                <w:sz w:val="24"/>
              </w:rPr>
            </w:pPr>
            <w:r>
              <w:rPr>
                <w:sz w:val="24"/>
              </w:rPr>
              <w:t>Non-ReadQuest</w:t>
            </w:r>
            <w:r>
              <w:rPr>
                <w:spacing w:val="-4"/>
                <w:sz w:val="24"/>
              </w:rPr>
              <w:t> </w:t>
            </w:r>
            <w:r>
              <w:rPr>
                <w:spacing w:val="-2"/>
                <w:sz w:val="24"/>
              </w:rPr>
              <w:t>Approach</w:t>
            </w:r>
          </w:p>
        </w:tc>
        <w:tc>
          <w:tcPr>
            <w:tcW w:w="1503" w:type="dxa"/>
            <w:tcBorders>
              <w:bottom w:val="single" w:sz="4" w:space="0" w:color="000000"/>
            </w:tcBorders>
          </w:tcPr>
          <w:p>
            <w:pPr>
              <w:pStyle w:val="TableParagraph"/>
              <w:spacing w:line="250" w:lineRule="exact"/>
              <w:ind w:left="21" w:right="6"/>
              <w:rPr>
                <w:sz w:val="24"/>
              </w:rPr>
            </w:pPr>
            <w:r>
              <w:rPr>
                <w:spacing w:val="-4"/>
                <w:sz w:val="24"/>
              </w:rPr>
              <w:t>0.20</w:t>
            </w:r>
          </w:p>
        </w:tc>
        <w:tc>
          <w:tcPr>
            <w:tcW w:w="1090" w:type="dxa"/>
            <w:tcBorders>
              <w:bottom w:val="single" w:sz="4" w:space="0" w:color="000000"/>
            </w:tcBorders>
          </w:tcPr>
          <w:p>
            <w:pPr>
              <w:pStyle w:val="TableParagraph"/>
              <w:spacing w:line="250" w:lineRule="exact"/>
              <w:ind w:right="16"/>
              <w:rPr>
                <w:sz w:val="24"/>
              </w:rPr>
            </w:pPr>
            <w:r>
              <w:rPr>
                <w:sz w:val="24"/>
              </w:rPr>
              <w:t>-</w:t>
            </w:r>
            <w:r>
              <w:rPr>
                <w:spacing w:val="-4"/>
                <w:sz w:val="24"/>
              </w:rPr>
              <w:t>1.38</w:t>
            </w:r>
          </w:p>
        </w:tc>
        <w:tc>
          <w:tcPr>
            <w:tcW w:w="1230" w:type="dxa"/>
            <w:tcBorders>
              <w:bottom w:val="single" w:sz="4" w:space="0" w:color="000000"/>
            </w:tcBorders>
          </w:tcPr>
          <w:p>
            <w:pPr>
              <w:pStyle w:val="TableParagraph"/>
              <w:spacing w:line="250" w:lineRule="exact"/>
              <w:ind w:right="70"/>
              <w:rPr>
                <w:sz w:val="24"/>
              </w:rPr>
            </w:pPr>
            <w:r>
              <w:rPr>
                <w:spacing w:val="-2"/>
                <w:sz w:val="24"/>
              </w:rPr>
              <w:t>&gt;0.05</w:t>
            </w:r>
          </w:p>
        </w:tc>
        <w:tc>
          <w:tcPr>
            <w:tcW w:w="2136" w:type="dxa"/>
            <w:tcBorders>
              <w:bottom w:val="single" w:sz="4" w:space="0" w:color="000000"/>
            </w:tcBorders>
          </w:tcPr>
          <w:p>
            <w:pPr>
              <w:pStyle w:val="TableParagraph"/>
              <w:spacing w:line="250" w:lineRule="exact"/>
              <w:ind w:left="3" w:right="81"/>
              <w:rPr>
                <w:sz w:val="24"/>
              </w:rPr>
            </w:pPr>
            <w:r>
              <w:rPr>
                <w:sz w:val="24"/>
              </w:rPr>
              <w:t>Not</w:t>
            </w:r>
            <w:r>
              <w:rPr>
                <w:spacing w:val="-2"/>
                <w:sz w:val="24"/>
              </w:rPr>
              <w:t> Significant</w:t>
            </w:r>
          </w:p>
        </w:tc>
      </w:tr>
    </w:tbl>
    <w:p>
      <w:pPr>
        <w:pStyle w:val="BodyText"/>
        <w:spacing w:before="261"/>
        <w:ind w:right="15" w:firstLine="300"/>
      </w:pPr>
      <w:r>
        <w:rPr/>
        <w:t>Table</w:t>
      </w:r>
      <w:r>
        <w:rPr>
          <w:spacing w:val="-15"/>
        </w:rPr>
        <w:t> </w:t>
      </w:r>
      <w:r>
        <w:rPr/>
        <w:t>3</w:t>
      </w:r>
      <w:r>
        <w:rPr>
          <w:spacing w:val="-15"/>
        </w:rPr>
        <w:t> </w:t>
      </w:r>
      <w:r>
        <w:rPr/>
        <w:t>shows</w:t>
      </w:r>
      <w:r>
        <w:rPr>
          <w:spacing w:val="-15"/>
        </w:rPr>
        <w:t> </w:t>
      </w:r>
      <w:r>
        <w:rPr/>
        <w:t>a</w:t>
      </w:r>
      <w:r>
        <w:rPr>
          <w:spacing w:val="-15"/>
        </w:rPr>
        <w:t> </w:t>
      </w:r>
      <w:r>
        <w:rPr/>
        <w:t>comparison</w:t>
      </w:r>
      <w:r>
        <w:rPr>
          <w:spacing w:val="-15"/>
        </w:rPr>
        <w:t> </w:t>
      </w:r>
      <w:r>
        <w:rPr/>
        <w:t>between</w:t>
      </w:r>
      <w:r>
        <w:rPr>
          <w:spacing w:val="-15"/>
        </w:rPr>
        <w:t> </w:t>
      </w:r>
      <w:r>
        <w:rPr/>
        <w:t>learners</w:t>
      </w:r>
      <w:r>
        <w:rPr>
          <w:spacing w:val="-15"/>
        </w:rPr>
        <w:t> </w:t>
      </w:r>
      <w:r>
        <w:rPr/>
        <w:t>exposed</w:t>
      </w:r>
      <w:r>
        <w:rPr>
          <w:spacing w:val="-15"/>
        </w:rPr>
        <w:t> </w:t>
      </w:r>
      <w:r>
        <w:rPr/>
        <w:t>to</w:t>
      </w:r>
      <w:r>
        <w:rPr>
          <w:spacing w:val="-15"/>
        </w:rPr>
        <w:t> </w:t>
      </w:r>
      <w:r>
        <w:rPr/>
        <w:t>ReadQuest</w:t>
      </w:r>
      <w:r>
        <w:rPr>
          <w:spacing w:val="-15"/>
        </w:rPr>
        <w:t> </w:t>
      </w:r>
      <w:r>
        <w:rPr/>
        <w:t>and</w:t>
      </w:r>
      <w:r>
        <w:rPr>
          <w:spacing w:val="-15"/>
        </w:rPr>
        <w:t> </w:t>
      </w:r>
      <w:r>
        <w:rPr/>
        <w:t>to</w:t>
      </w:r>
      <w:r>
        <w:rPr>
          <w:spacing w:val="-15"/>
        </w:rPr>
        <w:t> </w:t>
      </w:r>
      <w:r>
        <w:rPr/>
        <w:t>Non-ReadQuest approaches</w:t>
      </w:r>
      <w:r>
        <w:rPr>
          <w:spacing w:val="-6"/>
        </w:rPr>
        <w:t> </w:t>
      </w:r>
      <w:r>
        <w:rPr/>
        <w:t>in</w:t>
      </w:r>
      <w:r>
        <w:rPr>
          <w:spacing w:val="-5"/>
        </w:rPr>
        <w:t> </w:t>
      </w:r>
      <w:r>
        <w:rPr/>
        <w:t>terms</w:t>
      </w:r>
      <w:r>
        <w:rPr>
          <w:spacing w:val="-6"/>
        </w:rPr>
        <w:t> </w:t>
      </w:r>
      <w:r>
        <w:rPr/>
        <w:t>of</w:t>
      </w:r>
      <w:r>
        <w:rPr>
          <w:spacing w:val="-1"/>
        </w:rPr>
        <w:t> </w:t>
      </w:r>
      <w:r>
        <w:rPr/>
        <w:t>ORF</w:t>
      </w:r>
      <w:r>
        <w:rPr>
          <w:spacing w:val="-6"/>
        </w:rPr>
        <w:t> </w:t>
      </w:r>
      <w:r>
        <w:rPr/>
        <w:t>levels.</w:t>
      </w:r>
      <w:r>
        <w:rPr>
          <w:spacing w:val="-5"/>
        </w:rPr>
        <w:t> </w:t>
      </w:r>
      <w:r>
        <w:rPr/>
        <w:t>The</w:t>
      </w:r>
      <w:r>
        <w:rPr>
          <w:spacing w:val="-3"/>
        </w:rPr>
        <w:t> </w:t>
      </w:r>
      <w:r>
        <w:rPr/>
        <w:t>ReadQuest</w:t>
      </w:r>
      <w:r>
        <w:rPr>
          <w:spacing w:val="-4"/>
        </w:rPr>
        <w:t> </w:t>
      </w:r>
      <w:r>
        <w:rPr/>
        <w:t>group</w:t>
      </w:r>
      <w:r>
        <w:rPr>
          <w:spacing w:val="-4"/>
        </w:rPr>
        <w:t> </w:t>
      </w:r>
      <w:r>
        <w:rPr/>
        <w:t>obtained</w:t>
      </w:r>
      <w:r>
        <w:rPr>
          <w:spacing w:val="-5"/>
        </w:rPr>
        <w:t> </w:t>
      </w:r>
      <w:r>
        <w:rPr/>
        <w:t>a</w:t>
      </w:r>
      <w:r>
        <w:rPr>
          <w:spacing w:val="-3"/>
        </w:rPr>
        <w:t> </w:t>
      </w:r>
      <w:r>
        <w:rPr/>
        <w:t>mean</w:t>
      </w:r>
      <w:r>
        <w:rPr>
          <w:spacing w:val="-5"/>
        </w:rPr>
        <w:t> </w:t>
      </w:r>
      <w:r>
        <w:rPr/>
        <w:t>gain</w:t>
      </w:r>
      <w:r>
        <w:rPr>
          <w:spacing w:val="-5"/>
        </w:rPr>
        <w:t> </w:t>
      </w:r>
      <w:r>
        <w:rPr/>
        <w:t>of</w:t>
      </w:r>
      <w:r>
        <w:rPr>
          <w:spacing w:val="-4"/>
        </w:rPr>
        <w:t> </w:t>
      </w:r>
      <w:r>
        <w:rPr/>
        <w:t>13.80,</w:t>
      </w:r>
      <w:r>
        <w:rPr>
          <w:spacing w:val="-5"/>
        </w:rPr>
        <w:t> </w:t>
      </w:r>
      <w:r>
        <w:rPr/>
        <w:t>with a</w:t>
      </w:r>
      <w:r>
        <w:rPr>
          <w:spacing w:val="-12"/>
        </w:rPr>
        <w:t> </w:t>
      </w:r>
      <w:r>
        <w:rPr/>
        <w:t>t-value</w:t>
      </w:r>
      <w:r>
        <w:rPr>
          <w:spacing w:val="-12"/>
        </w:rPr>
        <w:t> </w:t>
      </w:r>
      <w:r>
        <w:rPr/>
        <w:t>of</w:t>
      </w:r>
      <w:r>
        <w:rPr>
          <w:spacing w:val="-12"/>
        </w:rPr>
        <w:t> </w:t>
      </w:r>
      <w:r>
        <w:rPr/>
        <w:t>-8.30</w:t>
      </w:r>
      <w:r>
        <w:rPr>
          <w:spacing w:val="-13"/>
        </w:rPr>
        <w:t> </w:t>
      </w:r>
      <w:r>
        <w:rPr/>
        <w:t>and</w:t>
      </w:r>
      <w:r>
        <w:rPr>
          <w:spacing w:val="-13"/>
        </w:rPr>
        <w:t> </w:t>
      </w:r>
      <w:r>
        <w:rPr/>
        <w:t>a</w:t>
      </w:r>
      <w:r>
        <w:rPr>
          <w:spacing w:val="-12"/>
        </w:rPr>
        <w:t> </w:t>
      </w:r>
      <w:r>
        <w:rPr/>
        <w:t>p-value</w:t>
      </w:r>
      <w:r>
        <w:rPr>
          <w:spacing w:val="-12"/>
        </w:rPr>
        <w:t> </w:t>
      </w:r>
      <w:r>
        <w:rPr/>
        <w:t>of</w:t>
      </w:r>
      <w:r>
        <w:rPr>
          <w:spacing w:val="-13"/>
        </w:rPr>
        <w:t> </w:t>
      </w:r>
      <w:r>
        <w:rPr/>
        <w:t>less</w:t>
      </w:r>
      <w:r>
        <w:rPr>
          <w:spacing w:val="-15"/>
        </w:rPr>
        <w:t> </w:t>
      </w:r>
      <w:r>
        <w:rPr/>
        <w:t>than</w:t>
      </w:r>
      <w:r>
        <w:rPr>
          <w:spacing w:val="-11"/>
        </w:rPr>
        <w:t> </w:t>
      </w:r>
      <w:r>
        <w:rPr/>
        <w:t>0.05,</w:t>
      </w:r>
      <w:r>
        <w:rPr>
          <w:spacing w:val="-13"/>
        </w:rPr>
        <w:t> </w:t>
      </w:r>
      <w:r>
        <w:rPr/>
        <w:t>indicating</w:t>
      </w:r>
      <w:r>
        <w:rPr>
          <w:spacing w:val="-13"/>
        </w:rPr>
        <w:t> </w:t>
      </w:r>
      <w:r>
        <w:rPr/>
        <w:t>a</w:t>
      </w:r>
      <w:r>
        <w:rPr>
          <w:spacing w:val="-12"/>
        </w:rPr>
        <w:t> </w:t>
      </w:r>
      <w:r>
        <w:rPr/>
        <w:t>significant</w:t>
      </w:r>
      <w:r>
        <w:rPr>
          <w:spacing w:val="-13"/>
        </w:rPr>
        <w:t> </w:t>
      </w:r>
      <w:r>
        <w:rPr/>
        <w:t>difference.</w:t>
      </w:r>
      <w:r>
        <w:rPr>
          <w:spacing w:val="-13"/>
        </w:rPr>
        <w:t> </w:t>
      </w:r>
      <w:r>
        <w:rPr/>
        <w:t>In</w:t>
      </w:r>
      <w:r>
        <w:rPr>
          <w:spacing w:val="-13"/>
        </w:rPr>
        <w:t> </w:t>
      </w:r>
      <w:r>
        <w:rPr/>
        <w:t>contrast, the Non-ReadQuest group recorded a</w:t>
      </w:r>
      <w:r>
        <w:rPr>
          <w:spacing w:val="-1"/>
        </w:rPr>
        <w:t> </w:t>
      </w:r>
      <w:r>
        <w:rPr/>
        <w:t>mean gain of 0.20, with a</w:t>
      </w:r>
      <w:r>
        <w:rPr>
          <w:spacing w:val="-1"/>
        </w:rPr>
        <w:t> </w:t>
      </w:r>
      <w:r>
        <w:rPr/>
        <w:t>t value of -1.38</w:t>
      </w:r>
      <w:r>
        <w:rPr>
          <w:spacing w:val="-3"/>
        </w:rPr>
        <w:t> </w:t>
      </w:r>
      <w:r>
        <w:rPr/>
        <w:t>and</w:t>
      </w:r>
      <w:r>
        <w:rPr>
          <w:spacing w:val="-2"/>
        </w:rPr>
        <w:t> </w:t>
      </w:r>
      <w:r>
        <w:rPr/>
        <w:t>a p-value greater than 0.05, indicating no significant difference in ORF levels.</w:t>
      </w:r>
    </w:p>
    <w:p>
      <w:pPr>
        <w:pStyle w:val="BodyText"/>
        <w:ind w:left="0"/>
        <w:jc w:val="left"/>
      </w:pPr>
    </w:p>
    <w:p>
      <w:pPr>
        <w:pStyle w:val="BodyText"/>
        <w:ind w:right="17" w:firstLine="300"/>
      </w:pPr>
      <w:r>
        <w:rPr/>
        <w:t>These findings show that the learners exposed to the ReadQuest Approach produced a substantially greater improvement in ORF levels than the learners not exposed to the intervention, which showed only minimal change. This supports the study objective of determining whether the intervention was</w:t>
      </w:r>
      <w:r>
        <w:rPr>
          <w:spacing w:val="-3"/>
        </w:rPr>
        <w:t> </w:t>
      </w:r>
      <w:r>
        <w:rPr/>
        <w:t>more effective than the non-intervention condition. The</w:t>
      </w:r>
      <w:r>
        <w:rPr>
          <w:spacing w:val="-14"/>
        </w:rPr>
        <w:t> </w:t>
      </w:r>
      <w:r>
        <w:rPr/>
        <w:t>result</w:t>
      </w:r>
      <w:r>
        <w:rPr>
          <w:spacing w:val="-16"/>
        </w:rPr>
        <w:t> </w:t>
      </w:r>
      <w:r>
        <w:rPr/>
        <w:t>is</w:t>
      </w:r>
      <w:r>
        <w:rPr>
          <w:spacing w:val="-14"/>
        </w:rPr>
        <w:t> </w:t>
      </w:r>
      <w:r>
        <w:rPr/>
        <w:t>consistent</w:t>
      </w:r>
      <w:r>
        <w:rPr>
          <w:spacing w:val="-13"/>
        </w:rPr>
        <w:t> </w:t>
      </w:r>
      <w:r>
        <w:rPr/>
        <w:t>with</w:t>
      </w:r>
      <w:r>
        <w:rPr>
          <w:spacing w:val="-12"/>
        </w:rPr>
        <w:t> </w:t>
      </w:r>
      <w:r>
        <w:rPr/>
        <w:t>prior</w:t>
      </w:r>
      <w:r>
        <w:rPr>
          <w:spacing w:val="-13"/>
        </w:rPr>
        <w:t> </w:t>
      </w:r>
      <w:r>
        <w:rPr/>
        <w:t>research</w:t>
      </w:r>
      <w:r>
        <w:rPr>
          <w:spacing w:val="-17"/>
        </w:rPr>
        <w:t> </w:t>
      </w:r>
      <w:r>
        <w:rPr/>
        <w:t>of</w:t>
      </w:r>
      <w:r>
        <w:rPr>
          <w:spacing w:val="-5"/>
        </w:rPr>
        <w:t> </w:t>
      </w:r>
      <w:hyperlink r:id="rId24">
        <w:r>
          <w:rPr>
            <w:color w:val="0462C1"/>
          </w:rPr>
          <w:t>Hudson</w:t>
        </w:r>
        <w:r>
          <w:rPr>
            <w:color w:val="0462C1"/>
            <w:spacing w:val="-13"/>
          </w:rPr>
          <w:t> </w:t>
        </w:r>
        <w:r>
          <w:rPr>
            <w:color w:val="0462C1"/>
          </w:rPr>
          <w:t>et</w:t>
        </w:r>
        <w:r>
          <w:rPr>
            <w:color w:val="0462C1"/>
            <w:spacing w:val="-12"/>
          </w:rPr>
          <w:t> </w:t>
        </w:r>
        <w:r>
          <w:rPr>
            <w:color w:val="0462C1"/>
          </w:rPr>
          <w:t>al.</w:t>
        </w:r>
        <w:r>
          <w:rPr>
            <w:color w:val="0462C1"/>
            <w:spacing w:val="-13"/>
          </w:rPr>
          <w:t> </w:t>
        </w:r>
        <w:r>
          <w:rPr>
            <w:color w:val="0462C1"/>
          </w:rPr>
          <w:t>(2020)</w:t>
        </w:r>
        <w:r>
          <w:rPr/>
          <w:t>,</w:t>
        </w:r>
      </w:hyperlink>
      <w:r>
        <w:rPr>
          <w:spacing w:val="-13"/>
        </w:rPr>
        <w:t> </w:t>
      </w:r>
      <w:r>
        <w:rPr/>
        <w:t>who</w:t>
      </w:r>
      <w:r>
        <w:rPr>
          <w:spacing w:val="-12"/>
        </w:rPr>
        <w:t> </w:t>
      </w:r>
      <w:r>
        <w:rPr/>
        <w:t>reported</w:t>
      </w:r>
      <w:r>
        <w:rPr>
          <w:spacing w:val="-17"/>
        </w:rPr>
        <w:t> </w:t>
      </w:r>
      <w:r>
        <w:rPr/>
        <w:t>that</w:t>
      </w:r>
      <w:r>
        <w:rPr>
          <w:spacing w:val="-16"/>
        </w:rPr>
        <w:t> </w:t>
      </w:r>
      <w:r>
        <w:rPr>
          <w:spacing w:val="-2"/>
        </w:rPr>
        <w:t>structured</w:t>
      </w:r>
    </w:p>
    <w:p>
      <w:pPr>
        <w:pStyle w:val="BodyText"/>
        <w:spacing w:after="0"/>
        <w:sectPr>
          <w:pgSz w:w="11910" w:h="16840"/>
          <w:pgMar w:header="0" w:footer="994" w:top="1360" w:bottom="1180" w:left="1417" w:right="1417"/>
        </w:sectPr>
      </w:pPr>
    </w:p>
    <w:p>
      <w:pPr>
        <w:pStyle w:val="BodyText"/>
        <w:spacing w:before="64"/>
        <w:ind w:right="20"/>
      </w:pPr>
      <w:r>
        <w:rPr/>
        <w:t>fluency interventions, including repeated reading, teacher modeling, guided oral reading, and explicit focus on rate, accuracy, and prosody, significantly improve learners’ ORF. These strategies are consistent with the ReadQuest approach and may explain the significant gains observed in this study.</w:t>
      </w:r>
    </w:p>
    <w:p>
      <w:pPr>
        <w:pStyle w:val="BodyText"/>
        <w:ind w:left="0"/>
        <w:jc w:val="left"/>
      </w:pPr>
    </w:p>
    <w:p>
      <w:pPr>
        <w:pStyle w:val="BodyText"/>
        <w:ind w:right="13" w:firstLine="300"/>
      </w:pPr>
      <w:r>
        <w:rPr/>
        <w:t>The</w:t>
      </w:r>
      <w:r>
        <w:rPr>
          <w:spacing w:val="-1"/>
        </w:rPr>
        <w:t> </w:t>
      </w:r>
      <w:r>
        <w:rPr/>
        <w:t>results</w:t>
      </w:r>
      <w:r>
        <w:rPr>
          <w:spacing w:val="-4"/>
        </w:rPr>
        <w:t> </w:t>
      </w:r>
      <w:r>
        <w:rPr/>
        <w:t>imply</w:t>
      </w:r>
      <w:r>
        <w:rPr>
          <w:spacing w:val="-2"/>
        </w:rPr>
        <w:t> </w:t>
      </w:r>
      <w:r>
        <w:rPr/>
        <w:t>that</w:t>
      </w:r>
      <w:r>
        <w:rPr>
          <w:spacing w:val="-2"/>
        </w:rPr>
        <w:t> </w:t>
      </w:r>
      <w:r>
        <w:rPr/>
        <w:t>learners</w:t>
      </w:r>
      <w:r>
        <w:rPr>
          <w:spacing w:val="-4"/>
        </w:rPr>
        <w:t> </w:t>
      </w:r>
      <w:r>
        <w:rPr/>
        <w:t>benefit</w:t>
      </w:r>
      <w:r>
        <w:rPr>
          <w:spacing w:val="-2"/>
        </w:rPr>
        <w:t> </w:t>
      </w:r>
      <w:r>
        <w:rPr/>
        <w:t>from</w:t>
      </w:r>
      <w:r>
        <w:rPr>
          <w:spacing w:val="-1"/>
        </w:rPr>
        <w:t> </w:t>
      </w:r>
      <w:r>
        <w:rPr/>
        <w:t>explicit,</w:t>
      </w:r>
      <w:r>
        <w:rPr>
          <w:spacing w:val="-2"/>
        </w:rPr>
        <w:t> </w:t>
      </w:r>
      <w:r>
        <w:rPr/>
        <w:t>guided,</w:t>
      </w:r>
      <w:r>
        <w:rPr>
          <w:spacing w:val="-2"/>
        </w:rPr>
        <w:t> </w:t>
      </w:r>
      <w:r>
        <w:rPr/>
        <w:t>and</w:t>
      </w:r>
      <w:r>
        <w:rPr>
          <w:spacing w:val="-2"/>
        </w:rPr>
        <w:t> </w:t>
      </w:r>
      <w:r>
        <w:rPr/>
        <w:t>repeated</w:t>
      </w:r>
      <w:r>
        <w:rPr>
          <w:spacing w:val="-2"/>
        </w:rPr>
        <w:t> </w:t>
      </w:r>
      <w:r>
        <w:rPr/>
        <w:t>fluency</w:t>
      </w:r>
      <w:r>
        <w:rPr>
          <w:spacing w:val="-7"/>
        </w:rPr>
        <w:t> </w:t>
      </w:r>
      <w:r>
        <w:rPr/>
        <w:t>practice, especially when they begin at a low reading level. The non-significant gain in the Non-ReadQuest group suggests that ordinary exposure alone is not enough to produce meaningful progress, indicating that without structured support, learners may struggle to improve their ORF effectively. A limitation of the study is that it was conducted in a limited setting, which may affect generalizability. Future research may include larger samples, longer intervention periods, and other reading outcomes such as comprehension, motivation, and retention. Overall, the findings address the gap identified in the introduction by showing that structured classroom-based reading intervention can help improve ORF and support stronger literacy </w:t>
      </w:r>
      <w:r>
        <w:rPr>
          <w:spacing w:val="-2"/>
        </w:rPr>
        <w:t>development.</w:t>
      </w:r>
    </w:p>
    <w:p>
      <w:pPr>
        <w:pStyle w:val="BodyText"/>
        <w:spacing w:before="137"/>
        <w:ind w:left="0"/>
        <w:jc w:val="left"/>
      </w:pPr>
    </w:p>
    <w:p>
      <w:pPr>
        <w:pStyle w:val="Heading1"/>
        <w:spacing w:before="1"/>
      </w:pPr>
      <w:r>
        <w:rPr>
          <w:spacing w:val="-2"/>
        </w:rPr>
        <w:t>CONCLUSIONS</w:t>
      </w:r>
    </w:p>
    <w:p>
      <w:pPr>
        <w:pStyle w:val="BodyText"/>
        <w:spacing w:before="140"/>
        <w:ind w:right="17" w:firstLine="284"/>
      </w:pPr>
      <w:r>
        <w:rPr/>
        <w:t>The</w:t>
      </w:r>
      <w:r>
        <w:rPr>
          <w:spacing w:val="-11"/>
        </w:rPr>
        <w:t> </w:t>
      </w:r>
      <w:r>
        <w:rPr/>
        <w:t>study</w:t>
      </w:r>
      <w:r>
        <w:rPr>
          <w:spacing w:val="-12"/>
        </w:rPr>
        <w:t> </w:t>
      </w:r>
      <w:r>
        <w:rPr/>
        <w:t>establishes</w:t>
      </w:r>
      <w:r>
        <w:rPr>
          <w:spacing w:val="-14"/>
        </w:rPr>
        <w:t> </w:t>
      </w:r>
      <w:r>
        <w:rPr/>
        <w:t>that</w:t>
      </w:r>
      <w:r>
        <w:rPr>
          <w:spacing w:val="-11"/>
        </w:rPr>
        <w:t> </w:t>
      </w:r>
      <w:r>
        <w:rPr/>
        <w:t>the</w:t>
      </w:r>
      <w:r>
        <w:rPr>
          <w:spacing w:val="-11"/>
        </w:rPr>
        <w:t> </w:t>
      </w:r>
      <w:r>
        <w:rPr/>
        <w:t>ReadQuest</w:t>
      </w:r>
      <w:r>
        <w:rPr>
          <w:spacing w:val="-11"/>
        </w:rPr>
        <w:t> </w:t>
      </w:r>
      <w:r>
        <w:rPr/>
        <w:t>approach</w:t>
      </w:r>
      <w:r>
        <w:rPr>
          <w:spacing w:val="-12"/>
        </w:rPr>
        <w:t> </w:t>
      </w:r>
      <w:r>
        <w:rPr/>
        <w:t>is</w:t>
      </w:r>
      <w:r>
        <w:rPr>
          <w:spacing w:val="-14"/>
        </w:rPr>
        <w:t> </w:t>
      </w:r>
      <w:r>
        <w:rPr/>
        <w:t>a</w:t>
      </w:r>
      <w:r>
        <w:rPr>
          <w:spacing w:val="-11"/>
        </w:rPr>
        <w:t> </w:t>
      </w:r>
      <w:r>
        <w:rPr/>
        <w:t>highly</w:t>
      </w:r>
      <w:r>
        <w:rPr>
          <w:spacing w:val="-12"/>
        </w:rPr>
        <w:t> </w:t>
      </w:r>
      <w:r>
        <w:rPr/>
        <w:t>effective</w:t>
      </w:r>
      <w:r>
        <w:rPr>
          <w:spacing w:val="-2"/>
        </w:rPr>
        <w:t> </w:t>
      </w:r>
      <w:r>
        <w:rPr/>
        <w:t>reading</w:t>
      </w:r>
      <w:r>
        <w:rPr>
          <w:spacing w:val="-11"/>
        </w:rPr>
        <w:t> </w:t>
      </w:r>
      <w:r>
        <w:rPr/>
        <w:t>intervention for developing ORF among Grade 7 learners, directly addressing the research objective of developing fluency through structured and guided practice. By demonstrating significant progress from frustration to instructional levels, the findings validate the importance of systematic fluency training and reinforce the broader principle that targeted interventions can break the cycle of stagnant reading performance in struggling readers.</w:t>
      </w:r>
    </w:p>
    <w:p>
      <w:pPr>
        <w:pStyle w:val="BodyText"/>
        <w:spacing w:before="240"/>
        <w:ind w:right="19" w:firstLine="284"/>
      </w:pPr>
      <w:r>
        <w:rPr/>
        <w:t>Beyond its immediate classroom impact, the study contributes to theory and practice by confirming</w:t>
      </w:r>
      <w:r>
        <w:rPr>
          <w:spacing w:val="-8"/>
        </w:rPr>
        <w:t> </w:t>
      </w:r>
      <w:r>
        <w:rPr/>
        <w:t>that</w:t>
      </w:r>
      <w:r>
        <w:rPr>
          <w:spacing w:val="-3"/>
        </w:rPr>
        <w:t> </w:t>
      </w:r>
      <w:r>
        <w:rPr/>
        <w:t>structured,</w:t>
      </w:r>
      <w:r>
        <w:rPr>
          <w:spacing w:val="-3"/>
        </w:rPr>
        <w:t> </w:t>
      </w:r>
      <w:r>
        <w:rPr/>
        <w:t>station-based,</w:t>
      </w:r>
      <w:r>
        <w:rPr>
          <w:spacing w:val="-8"/>
        </w:rPr>
        <w:t> </w:t>
      </w:r>
      <w:r>
        <w:rPr/>
        <w:t>and</w:t>
      </w:r>
      <w:r>
        <w:rPr>
          <w:spacing w:val="-3"/>
        </w:rPr>
        <w:t> </w:t>
      </w:r>
      <w:r>
        <w:rPr/>
        <w:t>feedback-driven</w:t>
      </w:r>
      <w:r>
        <w:rPr>
          <w:spacing w:val="-3"/>
        </w:rPr>
        <w:t> </w:t>
      </w:r>
      <w:r>
        <w:rPr/>
        <w:t>reading</w:t>
      </w:r>
      <w:r>
        <w:rPr>
          <w:spacing w:val="-3"/>
        </w:rPr>
        <w:t> </w:t>
      </w:r>
      <w:r>
        <w:rPr/>
        <w:t>instruction</w:t>
      </w:r>
      <w:r>
        <w:rPr>
          <w:spacing w:val="-8"/>
        </w:rPr>
        <w:t> </w:t>
      </w:r>
      <w:r>
        <w:rPr/>
        <w:t>fosters</w:t>
      </w:r>
      <w:r>
        <w:rPr>
          <w:spacing w:val="-5"/>
        </w:rPr>
        <w:t> </w:t>
      </w:r>
      <w:r>
        <w:rPr/>
        <w:t>both improvement and stability in fluency development. This positions ReadQuest as a scalable approach for literacy programs, offering practical guidance for teachers, schools, and policymakers</w:t>
      </w:r>
      <w:r>
        <w:rPr>
          <w:spacing w:val="-11"/>
        </w:rPr>
        <w:t> </w:t>
      </w:r>
      <w:r>
        <w:rPr/>
        <w:t>seeking</w:t>
      </w:r>
      <w:r>
        <w:rPr>
          <w:spacing w:val="-9"/>
        </w:rPr>
        <w:t> </w:t>
      </w:r>
      <w:r>
        <w:rPr/>
        <w:t>evidence-based</w:t>
      </w:r>
      <w:r>
        <w:rPr>
          <w:spacing w:val="-9"/>
        </w:rPr>
        <w:t> </w:t>
      </w:r>
      <w:r>
        <w:rPr/>
        <w:t>strategies</w:t>
      </w:r>
      <w:r>
        <w:rPr>
          <w:spacing w:val="-11"/>
        </w:rPr>
        <w:t> </w:t>
      </w:r>
      <w:r>
        <w:rPr/>
        <w:t>to</w:t>
      </w:r>
      <w:r>
        <w:rPr>
          <w:spacing w:val="-9"/>
        </w:rPr>
        <w:t> </w:t>
      </w:r>
      <w:r>
        <w:rPr/>
        <w:t>strengthen</w:t>
      </w:r>
      <w:r>
        <w:rPr>
          <w:spacing w:val="-9"/>
        </w:rPr>
        <w:t> </w:t>
      </w:r>
      <w:r>
        <w:rPr/>
        <w:t>reading</w:t>
      </w:r>
      <w:r>
        <w:rPr>
          <w:spacing w:val="-9"/>
        </w:rPr>
        <w:t> </w:t>
      </w:r>
      <w:r>
        <w:rPr/>
        <w:t>proficiency.</w:t>
      </w:r>
      <w:r>
        <w:rPr>
          <w:spacing w:val="-9"/>
        </w:rPr>
        <w:t> </w:t>
      </w:r>
      <w:r>
        <w:rPr/>
        <w:t>In</w:t>
      </w:r>
      <w:r>
        <w:rPr>
          <w:spacing w:val="-13"/>
        </w:rPr>
        <w:t> </w:t>
      </w:r>
      <w:r>
        <w:rPr/>
        <w:t>doing</w:t>
      </w:r>
      <w:r>
        <w:rPr>
          <w:spacing w:val="-9"/>
        </w:rPr>
        <w:t> </w:t>
      </w:r>
      <w:r>
        <w:rPr/>
        <w:t>so, the research advances the field’s understanding of how structured fluency interventions can serve as a cornerstone for inclusive and sustainable literacy growth.</w:t>
      </w:r>
    </w:p>
    <w:p>
      <w:pPr>
        <w:pStyle w:val="Heading1"/>
        <w:spacing w:before="241"/>
      </w:pPr>
      <w:r>
        <w:rPr>
          <w:spacing w:val="-2"/>
        </w:rPr>
        <w:t>RECOMMENDATIONS</w:t>
      </w:r>
    </w:p>
    <w:p>
      <w:pPr>
        <w:pStyle w:val="BodyText"/>
        <w:spacing w:before="136"/>
        <w:ind w:right="30" w:firstLine="360"/>
      </w:pPr>
      <w:r>
        <w:rPr/>
        <w:t>Based on the study’s conclusions, several practical recommendations are proposed to strengthen literacy instruction.</w:t>
      </w:r>
    </w:p>
    <w:p>
      <w:pPr>
        <w:pStyle w:val="BodyText"/>
        <w:ind w:left="0"/>
        <w:jc w:val="left"/>
      </w:pPr>
    </w:p>
    <w:p>
      <w:pPr>
        <w:pStyle w:val="BodyText"/>
        <w:ind w:right="23" w:firstLine="360"/>
      </w:pPr>
      <w:r>
        <w:rPr/>
        <w:t>For teachers, they are encouraged to integrate the ReadQuest approach into their regular classroom practice by employing structured, station-based, and guided reading activities with repeated exposure to texts and immediate feedback. Integrating this approach ensures that learners with varying ORF levels receive inclusive and differentiated support that addresses their specific reading needs.</w:t>
      </w:r>
    </w:p>
    <w:p>
      <w:pPr>
        <w:pStyle w:val="BodyText"/>
        <w:ind w:left="0"/>
        <w:jc w:val="left"/>
      </w:pPr>
    </w:p>
    <w:p>
      <w:pPr>
        <w:pStyle w:val="BodyText"/>
        <w:spacing w:before="1"/>
        <w:ind w:right="22" w:firstLine="360"/>
      </w:pPr>
      <w:r>
        <w:rPr/>
        <w:t>For students, active and consistent participation in both guided and independent reading tasks utilizing the ReadQuest approach is strongly encouraged. This sustained engagement is essential in building reading confidence, enhancing motivation, and supporting their gradual progression from frustration level to instructional or independent reading levels.</w:t>
      </w:r>
    </w:p>
    <w:p>
      <w:pPr>
        <w:pStyle w:val="BodyText"/>
        <w:ind w:left="0"/>
        <w:jc w:val="left"/>
      </w:pPr>
    </w:p>
    <w:p>
      <w:pPr>
        <w:pStyle w:val="BodyText"/>
        <w:ind w:right="29" w:firstLine="360"/>
      </w:pPr>
      <w:r>
        <w:rPr/>
        <w:t>For school administrators, it is recommended to sustain the gains of the ReadQuest approach</w:t>
      </w:r>
      <w:r>
        <w:rPr>
          <w:spacing w:val="32"/>
        </w:rPr>
        <w:t> </w:t>
      </w:r>
      <w:r>
        <w:rPr/>
        <w:t>by</w:t>
      </w:r>
      <w:r>
        <w:rPr>
          <w:spacing w:val="28"/>
        </w:rPr>
        <w:t> </w:t>
      </w:r>
      <w:r>
        <w:rPr/>
        <w:t>embedding</w:t>
      </w:r>
      <w:r>
        <w:rPr>
          <w:spacing w:val="32"/>
        </w:rPr>
        <w:t> </w:t>
      </w:r>
      <w:r>
        <w:rPr/>
        <w:t>it</w:t>
      </w:r>
      <w:r>
        <w:rPr>
          <w:spacing w:val="33"/>
        </w:rPr>
        <w:t> </w:t>
      </w:r>
      <w:r>
        <w:rPr/>
        <w:t>into</w:t>
      </w:r>
      <w:r>
        <w:rPr>
          <w:spacing w:val="32"/>
        </w:rPr>
        <w:t> </w:t>
      </w:r>
      <w:r>
        <w:rPr/>
        <w:t>existing</w:t>
      </w:r>
      <w:r>
        <w:rPr>
          <w:spacing w:val="28"/>
        </w:rPr>
        <w:t> </w:t>
      </w:r>
      <w:r>
        <w:rPr/>
        <w:t>school</w:t>
      </w:r>
      <w:r>
        <w:rPr>
          <w:spacing w:val="33"/>
        </w:rPr>
        <w:t> </w:t>
      </w:r>
      <w:r>
        <w:rPr/>
        <w:t>reading</w:t>
      </w:r>
      <w:r>
        <w:rPr>
          <w:spacing w:val="32"/>
        </w:rPr>
        <w:t> </w:t>
      </w:r>
      <w:r>
        <w:rPr/>
        <w:t>initiatives.</w:t>
      </w:r>
      <w:r>
        <w:rPr>
          <w:spacing w:val="32"/>
        </w:rPr>
        <w:t> </w:t>
      </w:r>
      <w:r>
        <w:rPr/>
        <w:t>This</w:t>
      </w:r>
      <w:r>
        <w:rPr>
          <w:spacing w:val="31"/>
        </w:rPr>
        <w:t> </w:t>
      </w:r>
      <w:r>
        <w:rPr/>
        <w:t>includes</w:t>
      </w:r>
      <w:r>
        <w:rPr>
          <w:spacing w:val="27"/>
        </w:rPr>
        <w:t> </w:t>
      </w:r>
      <w:r>
        <w:rPr/>
        <w:t>allocating</w:t>
      </w:r>
    </w:p>
    <w:p>
      <w:pPr>
        <w:pStyle w:val="BodyText"/>
        <w:spacing w:after="0"/>
        <w:sectPr>
          <w:pgSz w:w="11910" w:h="16840"/>
          <w:pgMar w:header="0" w:footer="994" w:top="1360" w:bottom="1180" w:left="1417" w:right="1417"/>
        </w:sectPr>
      </w:pPr>
    </w:p>
    <w:p>
      <w:pPr>
        <w:pStyle w:val="BodyText"/>
        <w:spacing w:before="64"/>
        <w:ind w:right="22"/>
      </w:pPr>
      <w:r>
        <w:rPr/>
        <w:t>adequate instructional resources, providing necessary materials, and organizing training workshops that equip teachers with the skills needed for effective and consistent </w:t>
      </w:r>
      <w:r>
        <w:rPr>
          <w:spacing w:val="-2"/>
        </w:rPr>
        <w:t>implementation.</w:t>
      </w:r>
    </w:p>
    <w:p>
      <w:pPr>
        <w:pStyle w:val="BodyText"/>
        <w:ind w:left="0"/>
        <w:jc w:val="left"/>
      </w:pPr>
    </w:p>
    <w:p>
      <w:pPr>
        <w:pStyle w:val="BodyText"/>
        <w:ind w:right="29" w:firstLine="360"/>
      </w:pPr>
      <w:r>
        <w:rPr/>
        <w:t>Finally, future researchers are encouraged to further validate the ReadQuest approach across diverse grade levels, contexts, and subject areas, using larger samples and longer intervention periods to strengthen its reliability and generalizability. Further studies may also explore its impact on related literacy skills such as reading comprehension, vocabulary development, and critical thinking to expand its theoretical and practical contributions.</w:t>
      </w:r>
    </w:p>
    <w:p>
      <w:pPr>
        <w:pStyle w:val="BodyText"/>
        <w:spacing w:before="1"/>
        <w:ind w:left="0"/>
        <w:jc w:val="left"/>
      </w:pPr>
    </w:p>
    <w:p>
      <w:pPr>
        <w:pStyle w:val="Heading1"/>
      </w:pPr>
      <w:r>
        <w:rPr>
          <w:spacing w:val="-2"/>
        </w:rPr>
        <w:t>ACKNOWLEDGEMENTS</w:t>
      </w:r>
    </w:p>
    <w:p>
      <w:pPr>
        <w:pStyle w:val="BodyText"/>
        <w:spacing w:before="136"/>
        <w:ind w:right="17" w:firstLine="284"/>
      </w:pPr>
      <w:r>
        <w:rPr/>
        <w:t>The completion of this study would not have been possible without the support of many individuals.</w:t>
      </w:r>
      <w:r>
        <w:rPr>
          <w:spacing w:val="-9"/>
        </w:rPr>
        <w:t> </w:t>
      </w:r>
      <w:r>
        <w:rPr/>
        <w:t>The</w:t>
      </w:r>
      <w:r>
        <w:rPr>
          <w:spacing w:val="-9"/>
        </w:rPr>
        <w:t> </w:t>
      </w:r>
      <w:r>
        <w:rPr/>
        <w:t>researchers</w:t>
      </w:r>
      <w:r>
        <w:rPr>
          <w:spacing w:val="-11"/>
        </w:rPr>
        <w:t> </w:t>
      </w:r>
      <w:r>
        <w:rPr/>
        <w:t>express</w:t>
      </w:r>
      <w:r>
        <w:rPr>
          <w:spacing w:val="-11"/>
        </w:rPr>
        <w:t> </w:t>
      </w:r>
      <w:r>
        <w:rPr/>
        <w:t>their</w:t>
      </w:r>
      <w:r>
        <w:rPr>
          <w:spacing w:val="-13"/>
        </w:rPr>
        <w:t> </w:t>
      </w:r>
      <w:r>
        <w:rPr/>
        <w:t>heartfelt</w:t>
      </w:r>
      <w:r>
        <w:rPr>
          <w:spacing w:val="-9"/>
        </w:rPr>
        <w:t> </w:t>
      </w:r>
      <w:r>
        <w:rPr/>
        <w:t>gratitude</w:t>
      </w:r>
      <w:r>
        <w:rPr>
          <w:spacing w:val="-9"/>
        </w:rPr>
        <w:t> </w:t>
      </w:r>
      <w:r>
        <w:rPr/>
        <w:t>to</w:t>
      </w:r>
      <w:r>
        <w:rPr>
          <w:spacing w:val="-9"/>
        </w:rPr>
        <w:t> </w:t>
      </w:r>
      <w:r>
        <w:rPr/>
        <w:t>Mr.</w:t>
      </w:r>
      <w:r>
        <w:rPr>
          <w:spacing w:val="-9"/>
        </w:rPr>
        <w:t> </w:t>
      </w:r>
      <w:r>
        <w:rPr/>
        <w:t>James</w:t>
      </w:r>
      <w:r>
        <w:rPr>
          <w:spacing w:val="-11"/>
        </w:rPr>
        <w:t> </w:t>
      </w:r>
      <w:r>
        <w:rPr/>
        <w:t>L.</w:t>
      </w:r>
      <w:r>
        <w:rPr>
          <w:spacing w:val="-9"/>
        </w:rPr>
        <w:t> </w:t>
      </w:r>
      <w:r>
        <w:rPr/>
        <w:t>Paglinawan,</w:t>
      </w:r>
      <w:r>
        <w:rPr>
          <w:spacing w:val="-9"/>
        </w:rPr>
        <w:t> </w:t>
      </w:r>
      <w:r>
        <w:rPr/>
        <w:t>PhD, Mrs.</w:t>
      </w:r>
      <w:r>
        <w:rPr>
          <w:spacing w:val="-7"/>
        </w:rPr>
        <w:t> </w:t>
      </w:r>
      <w:r>
        <w:rPr/>
        <w:t>Rubillinda</w:t>
      </w:r>
      <w:r>
        <w:rPr>
          <w:spacing w:val="-5"/>
        </w:rPr>
        <w:t> </w:t>
      </w:r>
      <w:r>
        <w:rPr/>
        <w:t>A.</w:t>
      </w:r>
      <w:r>
        <w:rPr>
          <w:spacing w:val="-7"/>
        </w:rPr>
        <w:t> </w:t>
      </w:r>
      <w:r>
        <w:rPr/>
        <w:t>Paglinawan,</w:t>
      </w:r>
      <w:r>
        <w:rPr>
          <w:spacing w:val="-7"/>
        </w:rPr>
        <w:t> </w:t>
      </w:r>
      <w:r>
        <w:rPr/>
        <w:t>PhD,</w:t>
      </w:r>
      <w:r>
        <w:rPr>
          <w:spacing w:val="-7"/>
        </w:rPr>
        <w:t> </w:t>
      </w:r>
      <w:r>
        <w:rPr/>
        <w:t>and</w:t>
      </w:r>
      <w:r>
        <w:rPr>
          <w:spacing w:val="-7"/>
        </w:rPr>
        <w:t> </w:t>
      </w:r>
      <w:r>
        <w:rPr/>
        <w:t>Mr.</w:t>
      </w:r>
      <w:r>
        <w:rPr>
          <w:spacing w:val="-6"/>
        </w:rPr>
        <w:t> </w:t>
      </w:r>
      <w:r>
        <w:rPr/>
        <w:t>Lexel</w:t>
      </w:r>
      <w:r>
        <w:rPr>
          <w:spacing w:val="-6"/>
        </w:rPr>
        <w:t> </w:t>
      </w:r>
      <w:r>
        <w:rPr/>
        <w:t>Bert</w:t>
      </w:r>
      <w:r>
        <w:rPr>
          <w:spacing w:val="-5"/>
        </w:rPr>
        <w:t> </w:t>
      </w:r>
      <w:r>
        <w:rPr/>
        <w:t>D. Sarayno,</w:t>
      </w:r>
      <w:r>
        <w:rPr>
          <w:spacing w:val="-7"/>
        </w:rPr>
        <w:t> </w:t>
      </w:r>
      <w:r>
        <w:rPr/>
        <w:t>LPT,</w:t>
      </w:r>
      <w:r>
        <w:rPr>
          <w:spacing w:val="-7"/>
        </w:rPr>
        <w:t> </w:t>
      </w:r>
      <w:r>
        <w:rPr/>
        <w:t>for</w:t>
      </w:r>
      <w:r>
        <w:rPr>
          <w:spacing w:val="-6"/>
        </w:rPr>
        <w:t> </w:t>
      </w:r>
      <w:r>
        <w:rPr/>
        <w:t>their</w:t>
      </w:r>
      <w:r>
        <w:rPr>
          <w:spacing w:val="-10"/>
        </w:rPr>
        <w:t> </w:t>
      </w:r>
      <w:r>
        <w:rPr/>
        <w:t>guidance, scholarly insights, and assistance in interpreting results. To the administration, teachers, and student-participants of Musuan Integrated School for their permission and enthusiastic cooperation.</w:t>
      </w:r>
      <w:r>
        <w:rPr>
          <w:spacing w:val="-2"/>
        </w:rPr>
        <w:t> </w:t>
      </w:r>
      <w:r>
        <w:rPr/>
        <w:t>To</w:t>
      </w:r>
      <w:r>
        <w:rPr>
          <w:spacing w:val="-7"/>
        </w:rPr>
        <w:t> </w:t>
      </w:r>
      <w:r>
        <w:rPr/>
        <w:t>the</w:t>
      </w:r>
      <w:r>
        <w:rPr>
          <w:spacing w:val="-5"/>
        </w:rPr>
        <w:t> </w:t>
      </w:r>
      <w:r>
        <w:rPr/>
        <w:t>researchers’</w:t>
      </w:r>
      <w:r>
        <w:rPr>
          <w:spacing w:val="-2"/>
        </w:rPr>
        <w:t> </w:t>
      </w:r>
      <w:r>
        <w:rPr/>
        <w:t>families,</w:t>
      </w:r>
      <w:r>
        <w:rPr>
          <w:spacing w:val="-7"/>
        </w:rPr>
        <w:t> </w:t>
      </w:r>
      <w:r>
        <w:rPr/>
        <w:t>friends,</w:t>
      </w:r>
      <w:r>
        <w:rPr>
          <w:spacing w:val="-2"/>
        </w:rPr>
        <w:t> </w:t>
      </w:r>
      <w:r>
        <w:rPr/>
        <w:t>and</w:t>
      </w:r>
      <w:r>
        <w:rPr>
          <w:spacing w:val="-7"/>
        </w:rPr>
        <w:t> </w:t>
      </w:r>
      <w:r>
        <w:rPr/>
        <w:t>classmates</w:t>
      </w:r>
      <w:r>
        <w:rPr>
          <w:spacing w:val="-4"/>
        </w:rPr>
        <w:t> </w:t>
      </w:r>
      <w:r>
        <w:rPr/>
        <w:t>for</w:t>
      </w:r>
      <w:r>
        <w:rPr>
          <w:spacing w:val="-2"/>
        </w:rPr>
        <w:t> </w:t>
      </w:r>
      <w:r>
        <w:rPr/>
        <w:t>their</w:t>
      </w:r>
      <w:r>
        <w:rPr>
          <w:spacing w:val="-6"/>
        </w:rPr>
        <w:t> </w:t>
      </w:r>
      <w:r>
        <w:rPr/>
        <w:t>encouragement</w:t>
      </w:r>
      <w:r>
        <w:rPr>
          <w:spacing w:val="-5"/>
        </w:rPr>
        <w:t> </w:t>
      </w:r>
      <w:r>
        <w:rPr/>
        <w:t>and unwavering support. Above all, to the Almighty God for His grace, guidance, and blessings that served as the cornerstone of this study’s success.</w:t>
      </w:r>
    </w:p>
    <w:p>
      <w:pPr>
        <w:pStyle w:val="BodyText"/>
        <w:ind w:left="0"/>
        <w:jc w:val="left"/>
      </w:pPr>
    </w:p>
    <w:p>
      <w:pPr>
        <w:pStyle w:val="Heading1"/>
        <w:spacing w:before="1"/>
      </w:pPr>
      <w:r>
        <w:rPr/>
        <w:t>LITERATURE</w:t>
      </w:r>
      <w:r>
        <w:rPr>
          <w:spacing w:val="-8"/>
        </w:rPr>
        <w:t> </w:t>
      </w:r>
      <w:r>
        <w:rPr>
          <w:spacing w:val="-4"/>
        </w:rPr>
        <w:t>CITED</w:t>
      </w:r>
    </w:p>
    <w:p>
      <w:pPr>
        <w:pStyle w:val="BodyText"/>
        <w:spacing w:before="140"/>
        <w:ind w:left="743" w:right="18" w:hanging="720"/>
        <w:rPr>
          <w:i/>
        </w:rPr>
      </w:pPr>
      <w:r>
        <w:rPr/>
        <w:t>Ardoin, S. P., Binder, K. S., Foster, T., &amp; Zawoyski, A. M. (2016). Repeated versus wide reading: A randomized controlled design study examining the impact of fluency interventions</w:t>
      </w:r>
      <w:r>
        <w:rPr>
          <w:spacing w:val="12"/>
        </w:rPr>
        <w:t> </w:t>
      </w:r>
      <w:r>
        <w:rPr/>
        <w:t>on</w:t>
      </w:r>
      <w:r>
        <w:rPr>
          <w:spacing w:val="9"/>
        </w:rPr>
        <w:t> </w:t>
      </w:r>
      <w:r>
        <w:rPr/>
        <w:t>underlying</w:t>
      </w:r>
      <w:r>
        <w:rPr>
          <w:spacing w:val="13"/>
        </w:rPr>
        <w:t> </w:t>
      </w:r>
      <w:r>
        <w:rPr/>
        <w:t>reading</w:t>
      </w:r>
      <w:r>
        <w:rPr>
          <w:spacing w:val="9"/>
        </w:rPr>
        <w:t> </w:t>
      </w:r>
      <w:r>
        <w:rPr/>
        <w:t>behavior.</w:t>
      </w:r>
      <w:r>
        <w:rPr>
          <w:spacing w:val="21"/>
        </w:rPr>
        <w:t> </w:t>
      </w:r>
      <w:r>
        <w:rPr>
          <w:i/>
        </w:rPr>
        <w:t>Journal</w:t>
      </w:r>
      <w:r>
        <w:rPr>
          <w:i/>
          <w:spacing w:val="12"/>
        </w:rPr>
        <w:t> </w:t>
      </w:r>
      <w:r>
        <w:rPr>
          <w:i/>
        </w:rPr>
        <w:t>of</w:t>
      </w:r>
      <w:r>
        <w:rPr>
          <w:i/>
          <w:spacing w:val="14"/>
        </w:rPr>
        <w:t> </w:t>
      </w:r>
      <w:r>
        <w:rPr>
          <w:i/>
        </w:rPr>
        <w:t>School</w:t>
      </w:r>
      <w:r>
        <w:rPr>
          <w:i/>
          <w:spacing w:val="11"/>
        </w:rPr>
        <w:t> </w:t>
      </w:r>
      <w:r>
        <w:rPr>
          <w:i/>
        </w:rPr>
        <w:t>Psychology,</w:t>
      </w:r>
      <w:r>
        <w:rPr>
          <w:i/>
          <w:spacing w:val="9"/>
        </w:rPr>
        <w:t> </w:t>
      </w:r>
      <w:r>
        <w:rPr>
          <w:i/>
        </w:rPr>
        <w:t>59,</w:t>
      </w:r>
      <w:r>
        <w:rPr>
          <w:i/>
          <w:spacing w:val="14"/>
        </w:rPr>
        <w:t> </w:t>
      </w:r>
      <w:r>
        <w:rPr>
          <w:i/>
          <w:spacing w:val="-5"/>
        </w:rPr>
        <w:t>13–</w:t>
      </w:r>
    </w:p>
    <w:p>
      <w:pPr>
        <w:pStyle w:val="BodyText"/>
        <w:ind w:left="743"/>
      </w:pPr>
      <w:r>
        <w:rPr>
          <w:i/>
        </w:rPr>
        <w:t>38</w:t>
      </w:r>
      <w:hyperlink r:id="rId23">
        <w:r>
          <w:rPr>
            <w:i/>
          </w:rPr>
          <w:t>. </w:t>
        </w:r>
        <w:r>
          <w:rPr>
            <w:spacing w:val="-2"/>
          </w:rPr>
          <w:t>10.1016/j.jsp.2016.09.002</w:t>
        </w:r>
      </w:hyperlink>
    </w:p>
    <w:p>
      <w:pPr>
        <w:spacing w:before="240"/>
        <w:ind w:left="743" w:right="21" w:hanging="720"/>
        <w:jc w:val="both"/>
        <w:rPr>
          <w:sz w:val="24"/>
        </w:rPr>
      </w:pPr>
      <w:r>
        <w:rPr>
          <w:sz w:val="24"/>
        </w:rPr>
        <w:t>Barotas,</w:t>
      </w:r>
      <w:r>
        <w:rPr>
          <w:spacing w:val="-7"/>
          <w:sz w:val="24"/>
        </w:rPr>
        <w:t> </w:t>
      </w:r>
      <w:r>
        <w:rPr>
          <w:sz w:val="24"/>
        </w:rPr>
        <w:t>L.</w:t>
      </w:r>
      <w:r>
        <w:rPr>
          <w:spacing w:val="-7"/>
          <w:sz w:val="24"/>
        </w:rPr>
        <w:t> </w:t>
      </w:r>
      <w:r>
        <w:rPr>
          <w:sz w:val="24"/>
        </w:rPr>
        <w:t>O.,</w:t>
      </w:r>
      <w:r>
        <w:rPr>
          <w:spacing w:val="-7"/>
          <w:sz w:val="24"/>
        </w:rPr>
        <w:t> </w:t>
      </w:r>
      <w:r>
        <w:rPr>
          <w:sz w:val="24"/>
        </w:rPr>
        <w:t>&amp;</w:t>
      </w:r>
      <w:r>
        <w:rPr>
          <w:spacing w:val="-6"/>
          <w:sz w:val="24"/>
        </w:rPr>
        <w:t> </w:t>
      </w:r>
      <w:r>
        <w:rPr>
          <w:sz w:val="24"/>
        </w:rPr>
        <w:t>Palma,</w:t>
      </w:r>
      <w:r>
        <w:rPr>
          <w:spacing w:val="-7"/>
          <w:sz w:val="24"/>
        </w:rPr>
        <w:t> </w:t>
      </w:r>
      <w:r>
        <w:rPr>
          <w:sz w:val="24"/>
        </w:rPr>
        <w:t>R.</w:t>
      </w:r>
      <w:r>
        <w:rPr>
          <w:spacing w:val="-7"/>
          <w:sz w:val="24"/>
        </w:rPr>
        <w:t> </w:t>
      </w:r>
      <w:r>
        <w:rPr>
          <w:sz w:val="24"/>
        </w:rPr>
        <w:t>C.</w:t>
      </w:r>
      <w:r>
        <w:rPr>
          <w:spacing w:val="-7"/>
          <w:sz w:val="24"/>
        </w:rPr>
        <w:t> </w:t>
      </w:r>
      <w:r>
        <w:rPr>
          <w:sz w:val="24"/>
        </w:rPr>
        <w:t>(2023).</w:t>
      </w:r>
      <w:r>
        <w:rPr>
          <w:spacing w:val="-6"/>
          <w:sz w:val="24"/>
        </w:rPr>
        <w:t> </w:t>
      </w:r>
      <w:r>
        <w:rPr>
          <w:sz w:val="24"/>
        </w:rPr>
        <w:t>Student</w:t>
      </w:r>
      <w:r>
        <w:rPr>
          <w:spacing w:val="-6"/>
          <w:sz w:val="24"/>
        </w:rPr>
        <w:t> </w:t>
      </w:r>
      <w:r>
        <w:rPr>
          <w:sz w:val="24"/>
        </w:rPr>
        <w:t>reading</w:t>
      </w:r>
      <w:r>
        <w:rPr>
          <w:spacing w:val="-7"/>
          <w:sz w:val="24"/>
        </w:rPr>
        <w:t> </w:t>
      </w:r>
      <w:r>
        <w:rPr>
          <w:sz w:val="24"/>
        </w:rPr>
        <w:t>motivation:</w:t>
      </w:r>
      <w:r>
        <w:rPr>
          <w:spacing w:val="-6"/>
          <w:sz w:val="24"/>
        </w:rPr>
        <w:t> </w:t>
      </w:r>
      <w:r>
        <w:rPr>
          <w:sz w:val="24"/>
        </w:rPr>
        <w:t>Attitudes,</w:t>
      </w:r>
      <w:r>
        <w:rPr>
          <w:spacing w:val="-7"/>
          <w:sz w:val="24"/>
        </w:rPr>
        <w:t> </w:t>
      </w:r>
      <w:r>
        <w:rPr>
          <w:sz w:val="24"/>
        </w:rPr>
        <w:t>engagement</w:t>
      </w:r>
      <w:r>
        <w:rPr>
          <w:spacing w:val="-6"/>
          <w:sz w:val="24"/>
        </w:rPr>
        <w:t> </w:t>
      </w:r>
      <w:r>
        <w:rPr>
          <w:sz w:val="24"/>
        </w:rPr>
        <w:t>and strategies. </w:t>
      </w:r>
      <w:r>
        <w:rPr>
          <w:i/>
          <w:sz w:val="24"/>
        </w:rPr>
        <w:t>Asian Journal of Education and Social Studies, 38(1), 9–24</w:t>
      </w:r>
      <w:hyperlink r:id="rId25">
        <w:r>
          <w:rPr>
            <w:sz w:val="24"/>
          </w:rPr>
          <w:t>.</w:t>
        </w:r>
      </w:hyperlink>
      <w:r>
        <w:rPr>
          <w:sz w:val="24"/>
        </w:rPr>
        <w:t> </w:t>
      </w:r>
      <w:hyperlink r:id="rId25">
        <w:r>
          <w:rPr>
            <w:spacing w:val="-2"/>
            <w:sz w:val="24"/>
          </w:rPr>
          <w:t>https://doi.org/10.9734/ajess/2023/v38i1815</w:t>
        </w:r>
      </w:hyperlink>
    </w:p>
    <w:p>
      <w:pPr>
        <w:pStyle w:val="BodyText"/>
        <w:spacing w:before="241"/>
        <w:ind w:left="743" w:right="18" w:hanging="720"/>
      </w:pPr>
      <w:r>
        <w:rPr/>
        <w:t>Cabrejas,</w:t>
      </w:r>
      <w:r>
        <w:rPr>
          <w:spacing w:val="-7"/>
        </w:rPr>
        <w:t> </w:t>
      </w:r>
      <w:r>
        <w:rPr/>
        <w:t>M.,</w:t>
      </w:r>
      <w:r>
        <w:rPr>
          <w:spacing w:val="-7"/>
        </w:rPr>
        <w:t> </w:t>
      </w:r>
      <w:r>
        <w:rPr/>
        <w:t>Onipa,</w:t>
      </w:r>
      <w:r>
        <w:rPr>
          <w:spacing w:val="-7"/>
        </w:rPr>
        <w:t> </w:t>
      </w:r>
      <w:r>
        <w:rPr/>
        <w:t>R.,</w:t>
      </w:r>
      <w:r>
        <w:rPr>
          <w:spacing w:val="-11"/>
        </w:rPr>
        <w:t> </w:t>
      </w:r>
      <w:r>
        <w:rPr/>
        <w:t>&amp;</w:t>
      </w:r>
      <w:r>
        <w:rPr>
          <w:spacing w:val="-2"/>
        </w:rPr>
        <w:t> </w:t>
      </w:r>
      <w:r>
        <w:rPr/>
        <w:t>Gerzon,</w:t>
      </w:r>
      <w:r>
        <w:rPr>
          <w:spacing w:val="-7"/>
        </w:rPr>
        <w:t> </w:t>
      </w:r>
      <w:r>
        <w:rPr/>
        <w:t>A.</w:t>
      </w:r>
      <w:r>
        <w:rPr>
          <w:spacing w:val="-7"/>
        </w:rPr>
        <w:t> </w:t>
      </w:r>
      <w:r>
        <w:rPr/>
        <w:t>M.</w:t>
      </w:r>
      <w:r>
        <w:rPr>
          <w:spacing w:val="-10"/>
        </w:rPr>
        <w:t> </w:t>
      </w:r>
      <w:r>
        <w:rPr/>
        <w:t>(2023,</w:t>
      </w:r>
      <w:r>
        <w:rPr>
          <w:spacing w:val="-6"/>
        </w:rPr>
        <w:t> </w:t>
      </w:r>
      <w:r>
        <w:rPr/>
        <w:t>December).</w:t>
      </w:r>
      <w:r>
        <w:rPr>
          <w:spacing w:val="-4"/>
        </w:rPr>
        <w:t> </w:t>
      </w:r>
      <w:r>
        <w:rPr/>
        <w:t>Improving</w:t>
      </w:r>
      <w:r>
        <w:rPr>
          <w:spacing w:val="-10"/>
        </w:rPr>
        <w:t> </w:t>
      </w:r>
      <w:r>
        <w:rPr/>
        <w:t>the</w:t>
      </w:r>
      <w:r>
        <w:rPr>
          <w:spacing w:val="-4"/>
        </w:rPr>
        <w:t> </w:t>
      </w:r>
      <w:r>
        <w:rPr/>
        <w:t>Oral</w:t>
      </w:r>
      <w:r>
        <w:rPr>
          <w:spacing w:val="-9"/>
        </w:rPr>
        <w:t> </w:t>
      </w:r>
      <w:r>
        <w:rPr/>
        <w:t>Reading</w:t>
      </w:r>
      <w:r>
        <w:rPr>
          <w:spacing w:val="-7"/>
        </w:rPr>
        <w:t> </w:t>
      </w:r>
      <w:r>
        <w:rPr/>
        <w:t>and Comprehension Skills of the High School Students Through Phonological-Based Intervention. </w:t>
      </w:r>
      <w:r>
        <w:rPr>
          <w:i/>
        </w:rPr>
        <w:t>School of Education Research Journal, 4(1), 113–124. </w:t>
      </w:r>
      <w:hyperlink r:id="rId26">
        <w:r>
          <w:rPr>
            <w:spacing w:val="-2"/>
          </w:rPr>
          <w:t>https://doi.org/10.5281/zenodo.10435772</w:t>
        </w:r>
      </w:hyperlink>
    </w:p>
    <w:p>
      <w:pPr>
        <w:spacing w:before="240"/>
        <w:ind w:left="743" w:right="18" w:hanging="720"/>
        <w:jc w:val="both"/>
        <w:rPr>
          <w:sz w:val="24"/>
        </w:rPr>
      </w:pPr>
      <w:r>
        <w:rPr>
          <w:sz w:val="24"/>
        </w:rPr>
        <w:t>Canuto, P. P., et al. (2024). Enhancing Elementary Students’ Oral Reading Fluency Through Repeated Reading and Big Books. </w:t>
      </w:r>
      <w:r>
        <w:rPr>
          <w:i/>
          <w:sz w:val="24"/>
        </w:rPr>
        <w:t>International Journal of Learning, Teaching and Educational Research, 23(4), 376–393. </w:t>
      </w:r>
      <w:hyperlink r:id="rId27">
        <w:r>
          <w:rPr>
            <w:sz w:val="24"/>
          </w:rPr>
          <w:t>https://doi.org/10.26803/ijlter.23.4.20</w:t>
        </w:r>
      </w:hyperlink>
    </w:p>
    <w:p>
      <w:pPr>
        <w:pStyle w:val="BodyText"/>
        <w:spacing w:before="240"/>
        <w:ind w:left="743" w:right="18" w:hanging="720"/>
      </w:pPr>
      <w:r>
        <w:rPr/>
        <w:t>Hudson, A., Koh, P. W., &amp; Moore, K. A. (2020). Fluency Interventions for Elementary Students with Reading Difficulties: A Synthesis of Research from 2000–2019. </w:t>
      </w:r>
      <w:r>
        <w:rPr>
          <w:i/>
        </w:rPr>
        <w:t>Education Sciences, 10(3), 52. </w:t>
      </w:r>
      <w:r>
        <w:rPr/>
        <w:t>10.3390/educsci10030052</w:t>
      </w:r>
    </w:p>
    <w:p>
      <w:pPr>
        <w:pStyle w:val="BodyText"/>
        <w:spacing w:before="241"/>
        <w:ind w:left="743" w:right="20" w:hanging="720"/>
      </w:pPr>
      <w:r>
        <w:rPr/>
        <w:t>Kaur, N. &amp; Kaur, M. (2025, May 15). Game-Based And Traditional Learning Environments: Comparative Study Of Oral Reading Fluency And Comprehension In English Among Primary School Learners. Cultura International Journal of Philosophy of Culture and Axiology, 22(5). </w:t>
      </w:r>
      <w:hyperlink r:id="rId28">
        <w:r>
          <w:rPr/>
          <w:t>https://culturajournal.com/submissions/index.php/ijpca/article/view/</w:t>
        </w:r>
      </w:hyperlink>
      <w:r>
        <w:rPr/>
        <w:t> </w:t>
      </w:r>
      <w:hyperlink r:id="rId28">
        <w:r>
          <w:rPr>
            <w:spacing w:val="-2"/>
          </w:rPr>
          <w:t>2061/2081</w:t>
        </w:r>
      </w:hyperlink>
    </w:p>
    <w:p>
      <w:pPr>
        <w:pStyle w:val="BodyText"/>
        <w:spacing w:after="0"/>
        <w:sectPr>
          <w:pgSz w:w="11910" w:h="16840"/>
          <w:pgMar w:header="0" w:footer="994" w:top="1360" w:bottom="1180" w:left="1417" w:right="1417"/>
        </w:sectPr>
      </w:pPr>
    </w:p>
    <w:p>
      <w:pPr>
        <w:spacing w:before="64"/>
        <w:ind w:left="743" w:right="19" w:hanging="720"/>
        <w:jc w:val="both"/>
        <w:rPr>
          <w:sz w:val="24"/>
        </w:rPr>
      </w:pPr>
      <w:r>
        <w:rPr>
          <w:sz w:val="24"/>
        </w:rPr>
        <w:t>Ostan, M. J. (2023). 3R’s (Read-Record-Review) for Oral Reading Fluency. </w:t>
      </w:r>
      <w:r>
        <w:rPr>
          <w:i/>
          <w:sz w:val="24"/>
        </w:rPr>
        <w:t>Psychology and Education: A Multidisciplinary Journal, 6, 1044-1047. </w:t>
      </w:r>
      <w:r>
        <w:rPr>
          <w:sz w:val="24"/>
        </w:rPr>
        <w:t>10.5281/zenodo.7575262</w:t>
      </w:r>
    </w:p>
    <w:p>
      <w:pPr>
        <w:pStyle w:val="BodyText"/>
        <w:spacing w:before="240"/>
        <w:ind w:left="743" w:right="20" w:hanging="720"/>
      </w:pPr>
      <w:r>
        <w:rPr/>
        <w:t>Stevens, E. A., Walker, M. A., &amp; Vaughn, S. (2017). The effects of reading fluency interventions on the reading fluency and reading comprehension performance of elementary students with learning disabilities: A synthesis of the research. </w:t>
      </w:r>
      <w:r>
        <w:rPr>
          <w:i/>
        </w:rPr>
        <w:t>Journal of Learning Disabilities, 50(5), 576–590.</w:t>
      </w:r>
      <w:r>
        <w:rPr>
          <w:i/>
          <w:spacing w:val="40"/>
        </w:rPr>
        <w:t> </w:t>
      </w:r>
      <w:r>
        <w:rPr/>
        <w:t>10.1177/0022219416638028</w:t>
      </w:r>
    </w:p>
    <w:p>
      <w:pPr>
        <w:pStyle w:val="BodyText"/>
        <w:spacing w:before="241"/>
        <w:ind w:left="743" w:right="15" w:hanging="720"/>
      </w:pPr>
      <w:r>
        <w:rPr/>
        <w:t>William, B., John, T., &amp; Yusuf, Q. (2025, January).</w:t>
      </w:r>
      <w:r>
        <w:rPr>
          <w:spacing w:val="40"/>
        </w:rPr>
        <w:t> </w:t>
      </w:r>
      <w:r>
        <w:rPr/>
        <w:t>Reading Fluency and Its Correlation</w:t>
      </w:r>
      <w:r>
        <w:rPr>
          <w:spacing w:val="40"/>
        </w:rPr>
        <w:t> </w:t>
      </w:r>
      <w:r>
        <w:rPr/>
        <w:t>with Academic Performance in Elementary Schools. </w:t>
      </w:r>
      <w:r>
        <w:rPr>
          <w:i/>
        </w:rPr>
        <w:t>ResearchGate. </w:t>
      </w:r>
      <w:hyperlink r:id="rId16">
        <w:r>
          <w:rPr>
            <w:spacing w:val="-2"/>
          </w:rPr>
          <w:t>https://www.researchgate.net/publication/389500117_Reading_Fluency_and_Its_Corr elation_with_Academic_Performance_in_Elementary_Schools</w:t>
        </w:r>
      </w:hyperlink>
    </w:p>
    <w:p>
      <w:pPr>
        <w:pStyle w:val="BodyText"/>
        <w:spacing w:before="240"/>
        <w:ind w:left="743" w:right="21" w:hanging="720"/>
      </w:pPr>
      <w:r>
        <w:rPr/>
        <w:t>Zimmermann, L. M., Reed, D. K., &amp; Aloe, A. M. (2021, June). A Meta-Analysis of Non-Repetitive Reading Fluency Interventions for Students With Reading Difficulties. </w:t>
      </w:r>
      <w:r>
        <w:rPr>
          <w:i/>
        </w:rPr>
        <w:t>Remedial and Special Education, 42(4). </w:t>
      </w:r>
      <w:r>
        <w:rPr/>
        <w:t>10.1177/0741932519855058</w:t>
      </w:r>
    </w:p>
    <w:sectPr>
      <w:pgSz w:w="11910" w:h="16840"/>
      <w:pgMar w:header="0" w:footer="994" w:top="136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40896">
              <wp:simplePos x="0" y="0"/>
              <wp:positionH relativeFrom="page">
                <wp:posOffset>6539865</wp:posOffset>
              </wp:positionH>
              <wp:positionV relativeFrom="page">
                <wp:posOffset>9920287</wp:posOffset>
              </wp:positionV>
              <wp:extent cx="16002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950012pt;margin-top:781.125pt;width:12.6pt;height:13pt;mso-position-horizontal-relative:page;mso-position-vertical-relative:page;z-index:-15875584" type="#_x0000_t202" id="docshape1"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3"/>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3"/>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agsaoay.faith@cmu.edu.ph" TargetMode="External"/><Relationship Id="rId7" Type="http://schemas.openxmlformats.org/officeDocument/2006/relationships/hyperlink" Target="mailto:s.abellana.erilhope@cmu.edu.ph" TargetMode="External"/><Relationship Id="rId8" Type="http://schemas.openxmlformats.org/officeDocument/2006/relationships/hyperlink" Target="mailto:s.aguilar.dexiekyla@cmu.edu.ph" TargetMode="External"/><Relationship Id="rId9" Type="http://schemas.openxmlformats.org/officeDocument/2006/relationships/hyperlink" Target="mailto:s.baay.mizzy@cmu.edu.ph" TargetMode="External"/><Relationship Id="rId10" Type="http://schemas.openxmlformats.org/officeDocument/2006/relationships/hyperlink" Target="mailto:s.bactong.lorenjoy@cmu.edu.ph" TargetMode="External"/><Relationship Id="rId11" Type="http://schemas.openxmlformats.org/officeDocument/2006/relationships/hyperlink" Target="mailto:s.baculio.shanenjhay@cmu.edu.ph" TargetMode="External"/><Relationship Id="rId12" Type="http://schemas.openxmlformats.org/officeDocument/2006/relationships/hyperlink" Target="mailto:rcalcazar@cmu.edu.ph" TargetMode="External"/><Relationship Id="rId13" Type="http://schemas.openxmlformats.org/officeDocument/2006/relationships/hyperlink" Target="mailto:jlpaglinawan@cmu.edu.ph" TargetMode="External"/><Relationship Id="rId14" Type="http://schemas.openxmlformats.org/officeDocument/2006/relationships/hyperlink" Target="mailto:s.agsaooay.faith@cmu.edu.ph" TargetMode="External"/><Relationship Id="rId15" Type="http://schemas.openxmlformats.org/officeDocument/2006/relationships/hyperlink" Target="https://ejournals.ph/article.php?id=21024" TargetMode="External"/><Relationship Id="rId16" Type="http://schemas.openxmlformats.org/officeDocument/2006/relationships/hyperlink" Target="https://www.researchgate.net/publication/389500117_Reading_Fluency_and_Its_Correlation_with_Academic_Performance_in_Elementary_Schools" TargetMode="External"/><Relationship Id="rId17" Type="http://schemas.openxmlformats.org/officeDocument/2006/relationships/hyperlink" Target="https://www.researchgate.net/publication/391732500_Improving_the_Oral_Reading_and_Comprehension_Skills_of_the_High_School_Students_Through_Phonological-Based_Intervention" TargetMode="External"/><Relationship Id="rId18" Type="http://schemas.openxmlformats.org/officeDocument/2006/relationships/hyperlink" Target="https://www.ijlter.org/index.php/ijlter/article/view/9921" TargetMode="External"/><Relationship Id="rId19" Type="http://schemas.openxmlformats.org/officeDocument/2006/relationships/hyperlink" Target="https://www.researchgate.net/publication/367081353_Student_Reading_Motivation_Attitudes_Engagement_and_Strategies" TargetMode="External"/><Relationship Id="rId20" Type="http://schemas.openxmlformats.org/officeDocument/2006/relationships/hyperlink" Target="https://culturajournal.com/submissions/index.php/ijpca/article/view/2061" TargetMode="External"/><Relationship Id="rId21" Type="http://schemas.openxmlformats.org/officeDocument/2006/relationships/hyperlink" Target="https://journals.sagepub.com/doi/10.1177/0741932519855058" TargetMode="External"/><Relationship Id="rId22" Type="http://schemas.openxmlformats.org/officeDocument/2006/relationships/hyperlink" Target="https://pubmed.ncbi.nlm.nih.gov/27067939/" TargetMode="External"/><Relationship Id="rId23" Type="http://schemas.openxmlformats.org/officeDocument/2006/relationships/hyperlink" Target="https://pubmed.ncbi.nlm.nih.gov/27923439/" TargetMode="External"/><Relationship Id="rId24" Type="http://schemas.openxmlformats.org/officeDocument/2006/relationships/hyperlink" Target="https://files.eric.ed.gov/fulltext/EJ1250532.pdf" TargetMode="External"/><Relationship Id="rId25" Type="http://schemas.openxmlformats.org/officeDocument/2006/relationships/hyperlink" Target="https://doi.org/10.9734/ajess/2023/v38i1815" TargetMode="External"/><Relationship Id="rId26" Type="http://schemas.openxmlformats.org/officeDocument/2006/relationships/hyperlink" Target="https://doi.org/10.5281/zenodo.10435772" TargetMode="External"/><Relationship Id="rId27" Type="http://schemas.openxmlformats.org/officeDocument/2006/relationships/hyperlink" Target="https://doi.org/10.26803/ijlter.23.4.20" TargetMode="External"/><Relationship Id="rId28" Type="http://schemas.openxmlformats.org/officeDocument/2006/relationships/hyperlink" Target="https://culturajournal.com/submissions/index.php/ijpca/article/view/2061/2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Lee Mae Madulara</dc:creator>
  <dcterms:created xsi:type="dcterms:W3CDTF">2026-06-11T07:15:22Z</dcterms:created>
  <dcterms:modified xsi:type="dcterms:W3CDTF">2026-06-11T07:15:22Z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2026-05-07T00:00:00Z</vt:filetime>
  </property>
  <property fmtid="{D5CDD505-2E9C-101B-9397-08002B2CF9AE}" pid="4" name="Creator">
    <vt:lpwstr>Microsoft® Word 2019</vt:lpwstr>
  </property>
  <property fmtid="{D5CDD505-2E9C-101B-9397-08002B2CF9AE}" pid="5" name="LastSaved">
    <vt:filetime>2026-06-11T00:00:00Z</vt:filetime>
  </property>
  <property fmtid="{D5CDD505-2E9C-101B-9397-08002B2CF9AE}" pid="6" name="Producer">
    <vt:lpwstr>Microsoft® Word 2019</vt:lpwstr>
  </property>
</Properties>
</file>