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B913" w14:textId="77777777" w:rsidR="00EB3940" w:rsidRDefault="00000000">
      <w:pPr>
        <w:spacing w:after="360"/>
        <w:jc w:val="center"/>
      </w:pPr>
      <w:r>
        <w:rPr>
          <w:b/>
          <w:sz w:val="32"/>
        </w:rPr>
        <w:t xml:space="preserve">Assessing the Transparency Practices in Public Service Delivery of Barangay San Vicente, </w:t>
      </w:r>
      <w:proofErr w:type="spellStart"/>
      <w:r>
        <w:rPr>
          <w:b/>
          <w:sz w:val="32"/>
        </w:rPr>
        <w:t>Panabo</w:t>
      </w:r>
      <w:proofErr w:type="spellEnd"/>
      <w:r>
        <w:rPr>
          <w:b/>
          <w:sz w:val="32"/>
        </w:rPr>
        <w:t xml:space="preserve"> City</w:t>
      </w:r>
    </w:p>
    <w:p w14:paraId="46EDFE98" w14:textId="77777777" w:rsidR="00EB3940" w:rsidRDefault="00000000">
      <w:pPr>
        <w:spacing w:after="80"/>
        <w:jc w:val="center"/>
        <w:rPr>
          <w:i/>
          <w:sz w:val="22"/>
        </w:rPr>
      </w:pPr>
      <w:r>
        <w:rPr>
          <w:i/>
          <w:sz w:val="22"/>
        </w:rPr>
        <w:t/>
      </w:r>
    </w:p>
    <w:p w14:paraId="334CEE41" w14:textId="77777777" w:rsidR="00EB3940" w:rsidRDefault="00000000">
      <w:pPr>
        <w:spacing w:after="80"/>
        <w:jc w:val="center"/>
        <w:rPr>
          <w:i/>
          <w:sz w:val="22"/>
        </w:rPr>
      </w:pPr>
      <w:r>
        <w:rPr>
          <w:i/>
          <w:sz w:val="22"/>
        </w:rPr>
        <w:t xml:space="preserve"/>
      </w:r>
    </w:p>
    <w:p w14:paraId="295CEFB5" w14:textId="77777777" w:rsidR="00EB3940" w:rsidRDefault="00000000">
      <w:pPr>
        <w:spacing w:after="80"/>
        <w:jc w:val="center"/>
      </w:pPr>
      <w:r>
        <w:rPr>
          <w:i/>
          <w:sz w:val="22"/>
        </w:rPr>
        <w:t/>
      </w:r>
    </w:p>
    <w:p w14:paraId="6D64C027" w14:textId="77777777" w:rsidR="00EB3940" w:rsidRDefault="00000000">
      <w:pPr>
        <w:spacing w:after="80"/>
        <w:jc w:val="center"/>
      </w:pPr>
      <w:r>
        <w:rPr>
          <w:i/>
          <w:sz w:val="22"/>
        </w:rPr>
        <w:t/>
      </w:r>
    </w:p>
    <w:p w14:paraId="4D2C8A5C" w14:textId="77777777" w:rsidR="00EB3940" w:rsidRDefault="00000000">
      <w:pPr>
        <w:keepNext/>
        <w:spacing w:before="360"/>
      </w:pPr>
      <w:r>
        <w:rPr>
          <w:b/>
          <w:sz w:val="28"/>
        </w:rPr>
        <w:t>Abstract</w:t>
      </w:r>
    </w:p>
    <w:p w14:paraId="40C4BE5E" w14:textId="77777777" w:rsidR="00EB3940" w:rsidRDefault="00000000">
      <w:pPr>
        <w:jc w:val="both"/>
      </w:pPr>
      <w:r>
        <w:t xml:space="preserve">This study assesses transparency practices in the public service delivery of Barangay San Vicente, </w:t>
      </w:r>
      <w:proofErr w:type="spellStart"/>
      <w:r>
        <w:t>Panabo</w:t>
      </w:r>
      <w:proofErr w:type="spellEnd"/>
      <w:r>
        <w:t xml:space="preserve"> City. Using a descriptive-correlational design, it examines the level of transparency in budget disclosure, information dissemination, and citizen participation as mandated by DILG’s Full Disclosure Policy and RA 7160. Data were collected through surveys of residents and interviews with barangay officials to evaluate perceptions of transparency and service delivery effectiveness. Findings reveal that while information dissemination and budget disclosure are strong, significant gaps exist in procurement posting. Furthermore, service delivery is highly effective in terms of staff assurance but extremely weak in physical tangibles. The study concludes with a significant positive relationship between transparency and service quality, offering actionable recommendations for local governance accountability.</w:t>
      </w:r>
    </w:p>
    <w:p w14:paraId="56C7F8E9" w14:textId="77777777" w:rsidR="00EB3940" w:rsidRDefault="00000000">
      <w:pPr>
        <w:keepNext/>
        <w:spacing w:before="360"/>
      </w:pPr>
      <w:r>
        <w:rPr>
          <w:b/>
          <w:sz w:val="28"/>
        </w:rPr>
        <w:t>I. Introduction</w:t>
      </w:r>
    </w:p>
    <w:p w14:paraId="50A4D78A" w14:textId="77777777" w:rsidR="00EB3940" w:rsidRDefault="00000000">
      <w:pPr>
        <w:keepNext/>
        <w:spacing w:before="240" w:after="80"/>
      </w:pPr>
      <w:r>
        <w:rPr>
          <w:b/>
        </w:rPr>
        <w:t>Background of the Study</w:t>
      </w:r>
    </w:p>
    <w:p w14:paraId="5EED9B41" w14:textId="77777777" w:rsidR="00EB3940" w:rsidRDefault="00000000">
      <w:pPr>
        <w:jc w:val="both"/>
      </w:pPr>
      <w:r>
        <w:t xml:space="preserve">Transparency is a core principle of good governance that ensures citizens have access to information on government decisions, budget use, and service delivery processes. In the Philippine context, Republic Act 7160, or the Local Government Code, and the Department of the Interior and Local Government (DILG) Full Disclosure Policy mandate local government units, including barangays, to disclose financial records, procurement activities, and development plans to promote accountability. Despite these policies, issues of limited information access, low </w:t>
      </w:r>
      <w:r>
        <w:lastRenderedPageBreak/>
        <w:t>citizen participation, and perceived unfairness in service delivery remain common at the grassroots level.</w:t>
      </w:r>
    </w:p>
    <w:p w14:paraId="5C69E973" w14:textId="77777777" w:rsidR="00EB3940" w:rsidRDefault="00000000">
      <w:pPr>
        <w:jc w:val="both"/>
      </w:pPr>
      <w:r>
        <w:t xml:space="preserve">Barangays serve as the primary and most direct interface between the government and citizens. As such, the transparency practices adopted by barangay officials directly influence public trust and the effectiveness of basic services such as health, sanitation, peace and order, and social assistance. Barangay San Vicente, </w:t>
      </w:r>
      <w:proofErr w:type="spellStart"/>
      <w:r>
        <w:t>Panabo</w:t>
      </w:r>
      <w:proofErr w:type="spellEnd"/>
      <w:r>
        <w:t xml:space="preserve"> City, like other barangays, is expected to comply with transparency requirements. However, there is limited empirical evidence on how transparency practices are actually implemented and how residents perceive their impact on service delivery. This study seeks to fill this gap by examining existing transparency mechanisms and evaluating their relationship with service delivery outcomes.</w:t>
      </w:r>
    </w:p>
    <w:p w14:paraId="662DBCA3" w14:textId="77777777" w:rsidR="00EB3940" w:rsidRDefault="00000000">
      <w:pPr>
        <w:keepNext/>
        <w:spacing w:before="240" w:after="80"/>
      </w:pPr>
      <w:r>
        <w:rPr>
          <w:b/>
        </w:rPr>
        <w:t>Statement of the Problem</w:t>
      </w:r>
    </w:p>
    <w:p w14:paraId="03AAAD95" w14:textId="77777777" w:rsidR="00EB3940" w:rsidRDefault="00000000">
      <w:pPr>
        <w:jc w:val="both"/>
      </w:pPr>
      <w:r>
        <w:t xml:space="preserve">This study aims to assess the transparency practices in public service delivery of Barangay San Vicente, </w:t>
      </w:r>
      <w:proofErr w:type="spellStart"/>
      <w:r>
        <w:t>Panabo</w:t>
      </w:r>
      <w:proofErr w:type="spellEnd"/>
      <w:r>
        <w:t xml:space="preserve"> City. Specifically, it seeks to answer the following questions:</w:t>
      </w:r>
    </w:p>
    <w:p w14:paraId="45D1E3FA" w14:textId="77777777" w:rsidR="00EB3940" w:rsidRDefault="00000000">
      <w:pPr>
        <w:pStyle w:val="ListBullet"/>
        <w:spacing w:after="80"/>
        <w:jc w:val="both"/>
      </w:pPr>
      <w:r>
        <w:t>What is the profile of the respondents in terms of sex, age, civil status, and purok?</w:t>
      </w:r>
    </w:p>
    <w:p w14:paraId="2023C62A" w14:textId="77777777" w:rsidR="00EB3940" w:rsidRDefault="00000000">
      <w:pPr>
        <w:pStyle w:val="ListBullet"/>
        <w:spacing w:after="80"/>
        <w:jc w:val="both"/>
      </w:pPr>
      <w:r>
        <w:t>What practices are implemented in the public service of Barangay San Vicente in terms of budget disclosure, procurement posting, information dissemination, and citizen participation?</w:t>
      </w:r>
    </w:p>
    <w:p w14:paraId="1775F2A8" w14:textId="77777777" w:rsidR="00EB3940" w:rsidRDefault="00000000">
      <w:pPr>
        <w:pStyle w:val="ListBullet"/>
        <w:spacing w:after="80"/>
        <w:jc w:val="both"/>
      </w:pPr>
      <w:r>
        <w:t>What is the level of transparency in public service delivery in Barangay San Vicente as perceived by residents?</w:t>
      </w:r>
    </w:p>
    <w:p w14:paraId="22EACFC1" w14:textId="77777777" w:rsidR="00EB3940" w:rsidRDefault="00000000">
      <w:pPr>
        <w:pStyle w:val="ListBullet"/>
        <w:spacing w:after="80"/>
        <w:jc w:val="both"/>
      </w:pPr>
      <w:r>
        <w:t>What is the level of effectiveness of public service delivery in Barangay San Vicente in terms of the SERVQUAL dimensions: Reliability, Responsiveness, Assurance, Empathy, and Tangibles?</w:t>
      </w:r>
    </w:p>
    <w:p w14:paraId="2530E5D9" w14:textId="77777777" w:rsidR="00EB3940" w:rsidRDefault="00EB3940">
      <w:pPr>
        <w:pStyle w:val="ListBullet"/>
        <w:numPr>
          <w:ilvl w:val="0"/>
          <w:numId w:val="0"/>
        </w:numPr>
        <w:spacing w:after="80"/>
        <w:jc w:val="both"/>
      </w:pPr>
    </w:p>
    <w:p w14:paraId="5FEE7B4A" w14:textId="77777777" w:rsidR="00EB3940" w:rsidRDefault="00EB3940">
      <w:pPr>
        <w:pStyle w:val="ListBullet"/>
        <w:numPr>
          <w:ilvl w:val="0"/>
          <w:numId w:val="0"/>
        </w:numPr>
        <w:spacing w:after="80"/>
        <w:jc w:val="both"/>
      </w:pPr>
    </w:p>
    <w:p w14:paraId="5AFCAE55" w14:textId="77777777" w:rsidR="00EB3940" w:rsidRDefault="00EB3940">
      <w:pPr>
        <w:pStyle w:val="ListBullet"/>
        <w:numPr>
          <w:ilvl w:val="0"/>
          <w:numId w:val="0"/>
        </w:numPr>
        <w:spacing w:after="80"/>
        <w:jc w:val="both"/>
      </w:pPr>
    </w:p>
    <w:p w14:paraId="2AB8D4A9" w14:textId="77777777" w:rsidR="00EB3940" w:rsidRDefault="00EB3940">
      <w:pPr>
        <w:pStyle w:val="ListBullet"/>
        <w:numPr>
          <w:ilvl w:val="0"/>
          <w:numId w:val="0"/>
        </w:numPr>
        <w:spacing w:after="80"/>
        <w:jc w:val="both"/>
      </w:pPr>
    </w:p>
    <w:p w14:paraId="0FC332CF" w14:textId="77777777" w:rsidR="00EB3940" w:rsidRDefault="00EB3940">
      <w:pPr>
        <w:pStyle w:val="ListBullet"/>
        <w:numPr>
          <w:ilvl w:val="0"/>
          <w:numId w:val="0"/>
        </w:numPr>
        <w:spacing w:after="80"/>
        <w:jc w:val="both"/>
      </w:pPr>
    </w:p>
    <w:p w14:paraId="4E80F9C1" w14:textId="77777777" w:rsidR="00EB3940" w:rsidRDefault="00000000">
      <w:pPr>
        <w:keepNext/>
        <w:spacing w:before="360"/>
      </w:pPr>
      <w:r>
        <w:rPr>
          <w:b/>
          <w:sz w:val="28"/>
        </w:rPr>
        <w:lastRenderedPageBreak/>
        <w:t>II. Methods</w:t>
      </w:r>
    </w:p>
    <w:p w14:paraId="44FA30B0" w14:textId="77777777" w:rsidR="00EB3940" w:rsidRDefault="00000000">
      <w:pPr>
        <w:keepNext/>
        <w:spacing w:before="240" w:after="80"/>
      </w:pPr>
      <w:r>
        <w:rPr>
          <w:b/>
        </w:rPr>
        <w:t>Research Design</w:t>
      </w:r>
    </w:p>
    <w:p w14:paraId="4D2AA608" w14:textId="77777777" w:rsidR="00EB3940" w:rsidRDefault="00000000">
      <w:pPr>
        <w:jc w:val="both"/>
      </w:pPr>
      <w:r>
        <w:t>This study utilizes a descriptive-evaluative and correlational research design to analyze and assess the transparency practices and the level of service delivery in Barangay San Vicente. It describes the performance of the local government unit's programs through direct quantitative feedback and uses Key Informant Interviews (KII) to capture undocumented qualitative events from the indicators.</w:t>
      </w:r>
    </w:p>
    <w:p w14:paraId="78304F6E" w14:textId="77777777" w:rsidR="00EB3940" w:rsidRDefault="00000000">
      <w:pPr>
        <w:keepNext/>
        <w:spacing w:before="240" w:after="80"/>
      </w:pPr>
      <w:r>
        <w:rPr>
          <w:b/>
        </w:rPr>
        <w:t>Participants and Sampling Technique</w:t>
      </w:r>
    </w:p>
    <w:p w14:paraId="70641696" w14:textId="77777777" w:rsidR="00EB3940" w:rsidRDefault="00000000">
      <w:pPr>
        <w:jc w:val="both"/>
      </w:pPr>
      <w:r>
        <w:t>The study used purposive sampling to select subjects based on specific characteristics, focusing on individuals who have directly transacted with the barangay in the last 12 months. The total sample size consists of 10 respondents, distributed as follows:</w:t>
      </w:r>
    </w:p>
    <w:p w14:paraId="4AC35A6C" w14:textId="77777777" w:rsidR="00EB3940" w:rsidRDefault="00000000">
      <w:pPr>
        <w:pStyle w:val="ListBullet"/>
        <w:spacing w:after="80"/>
        <w:jc w:val="both"/>
      </w:pPr>
      <w:r>
        <w:t>Barangay Officials: 2</w:t>
      </w:r>
    </w:p>
    <w:p w14:paraId="4370CAA9" w14:textId="77777777" w:rsidR="00EB3940" w:rsidRDefault="00000000">
      <w:pPr>
        <w:pStyle w:val="ListBullet"/>
        <w:spacing w:after="80"/>
        <w:jc w:val="both"/>
      </w:pPr>
      <w:r>
        <w:t>Purok Residents / Leaders: 8</w:t>
      </w:r>
    </w:p>
    <w:p w14:paraId="591B7EAC" w14:textId="77777777" w:rsidR="00EB3940" w:rsidRDefault="00000000">
      <w:pPr>
        <w:pStyle w:val="ListBullet"/>
        <w:spacing w:after="80"/>
        <w:jc w:val="both"/>
      </w:pPr>
      <w:r>
        <w:t>Total Population: 10</w:t>
      </w:r>
    </w:p>
    <w:p w14:paraId="0ED77F0E" w14:textId="77777777" w:rsidR="00EB3940" w:rsidRDefault="00000000">
      <w:pPr>
        <w:keepNext/>
        <w:spacing w:before="240" w:after="80"/>
      </w:pPr>
      <w:r>
        <w:rPr>
          <w:b/>
        </w:rPr>
        <w:t>Research Instrumentation</w:t>
      </w:r>
    </w:p>
    <w:p w14:paraId="7C31E525" w14:textId="77777777" w:rsidR="00EB3940" w:rsidRDefault="00000000">
      <w:pPr>
        <w:jc w:val="both"/>
      </w:pPr>
      <w:r>
        <w:t>Data were gathered using a validated three-part survey questionnaire and a KII outline. Part 1 collected demographic profiles; Part 2 evaluated the four key areas of transparency; and Part 3 measured the effectiveness of public service delivery using a 4-point Likert Scale:</w:t>
      </w:r>
    </w:p>
    <w:p w14:paraId="2130AAF6" w14:textId="77777777" w:rsidR="00EB3940" w:rsidRDefault="00000000">
      <w:pPr>
        <w:pStyle w:val="ListBullet"/>
        <w:spacing w:after="80"/>
        <w:jc w:val="both"/>
      </w:pPr>
      <w:r>
        <w:t>4 (3.50 – 4.00): Very Transparent / Highly Effective</w:t>
      </w:r>
    </w:p>
    <w:p w14:paraId="631B7635" w14:textId="77777777" w:rsidR="00EB3940" w:rsidRDefault="00000000">
      <w:pPr>
        <w:pStyle w:val="ListBullet"/>
        <w:spacing w:after="80"/>
        <w:jc w:val="both"/>
      </w:pPr>
      <w:r>
        <w:t>3 (2.50 – 3.49): Transparent / Effective</w:t>
      </w:r>
    </w:p>
    <w:p w14:paraId="2F92BD1A" w14:textId="77777777" w:rsidR="00EB3940" w:rsidRDefault="00000000">
      <w:pPr>
        <w:pStyle w:val="ListBullet"/>
        <w:spacing w:after="80"/>
        <w:jc w:val="both"/>
      </w:pPr>
      <w:r>
        <w:t>2 (1.50 – 2.49): Moderately Transparent / Fair</w:t>
      </w:r>
    </w:p>
    <w:p w14:paraId="2B6D4CDD" w14:textId="77777777" w:rsidR="00EB3940" w:rsidRDefault="00000000">
      <w:pPr>
        <w:pStyle w:val="ListBullet"/>
        <w:spacing w:after="80"/>
        <w:jc w:val="both"/>
      </w:pPr>
      <w:r>
        <w:t>1 (1.00 – 1.49): Not Transparent / Ineffective</w:t>
      </w:r>
    </w:p>
    <w:p w14:paraId="1B2A7987" w14:textId="77777777" w:rsidR="00EB3940" w:rsidRDefault="00EB3940">
      <w:pPr>
        <w:pStyle w:val="ListBullet"/>
        <w:numPr>
          <w:ilvl w:val="0"/>
          <w:numId w:val="0"/>
        </w:numPr>
        <w:spacing w:after="80"/>
        <w:jc w:val="both"/>
      </w:pPr>
    </w:p>
    <w:p w14:paraId="4784EF35" w14:textId="77777777" w:rsidR="00EB3940" w:rsidRDefault="00EB3940">
      <w:pPr>
        <w:pStyle w:val="ListBullet"/>
        <w:numPr>
          <w:ilvl w:val="0"/>
          <w:numId w:val="0"/>
        </w:numPr>
        <w:spacing w:after="80"/>
        <w:jc w:val="both"/>
      </w:pPr>
    </w:p>
    <w:p w14:paraId="51D9A2D0" w14:textId="77777777" w:rsidR="00EB3940" w:rsidRDefault="00000000">
      <w:pPr>
        <w:keepNext/>
        <w:spacing w:before="360"/>
      </w:pPr>
      <w:r>
        <w:rPr>
          <w:b/>
          <w:sz w:val="28"/>
        </w:rPr>
        <w:lastRenderedPageBreak/>
        <w:t>III. Results</w:t>
      </w:r>
    </w:p>
    <w:p w14:paraId="2547E83F" w14:textId="77777777" w:rsidR="00EB3940" w:rsidRDefault="00000000">
      <w:pPr>
        <w:jc w:val="both"/>
      </w:pPr>
      <w:r>
        <w:t>The survey and qualitative interview results collected from the 10 respondents in Barangay San Vicente yielded the following findings:</w:t>
      </w:r>
    </w:p>
    <w:p w14:paraId="52A574D4" w14:textId="77777777" w:rsidR="00EB3940" w:rsidRDefault="00000000">
      <w:pPr>
        <w:keepNext/>
        <w:spacing w:before="240" w:after="80"/>
      </w:pPr>
      <w:r>
        <w:rPr>
          <w:b/>
        </w:rPr>
        <w:t>1. Profile of the Respondents</w:t>
      </w:r>
    </w:p>
    <w:p w14:paraId="307FCED8" w14:textId="77777777" w:rsidR="00EB3940" w:rsidRDefault="00000000">
      <w:pPr>
        <w:pStyle w:val="ListBullet"/>
        <w:spacing w:after="80"/>
        <w:jc w:val="both"/>
      </w:pPr>
      <w:r>
        <w:t>Sex: The majority of the respondents are male, comprising 80% (8 respondents) of the sample, while females make up 20% (2 respondents).</w:t>
      </w:r>
    </w:p>
    <w:p w14:paraId="322F088A" w14:textId="77777777" w:rsidR="00EB3940" w:rsidRDefault="00000000">
      <w:pPr>
        <w:pStyle w:val="ListBullet"/>
        <w:spacing w:after="80"/>
        <w:jc w:val="both"/>
      </w:pPr>
      <w:r>
        <w:t>Age: The dominant age brackets are between 39–46 and 47–54 years old, implying that the active evaluators of the barangay's services are mostly mature and older residents.</w:t>
      </w:r>
    </w:p>
    <w:p w14:paraId="51676854" w14:textId="77777777" w:rsidR="00EB3940" w:rsidRDefault="00000000">
      <w:pPr>
        <w:pStyle w:val="ListBullet"/>
        <w:spacing w:after="80"/>
        <w:jc w:val="both"/>
      </w:pPr>
      <w:r>
        <w:t>Civil Status: The highest number of respondents are married, while single individuals represent the lowest bracket.</w:t>
      </w:r>
    </w:p>
    <w:p w14:paraId="071A4253" w14:textId="77777777" w:rsidR="00EB3940" w:rsidRDefault="00000000">
      <w:pPr>
        <w:pStyle w:val="ListBullet"/>
        <w:spacing w:after="80"/>
        <w:jc w:val="both"/>
      </w:pPr>
      <w:r>
        <w:t xml:space="preserve">Location: The respondents are drawn from three selected </w:t>
      </w:r>
      <w:proofErr w:type="spellStart"/>
      <w:r>
        <w:t>puroks</w:t>
      </w:r>
      <w:proofErr w:type="spellEnd"/>
      <w:r>
        <w:t xml:space="preserve"> within Barangay San Vicente.</w:t>
      </w:r>
    </w:p>
    <w:p w14:paraId="156F1B88" w14:textId="77777777" w:rsidR="00EB3940" w:rsidRDefault="00000000">
      <w:pPr>
        <w:keepNext/>
        <w:spacing w:before="240" w:after="80"/>
      </w:pPr>
      <w:r>
        <w:rPr>
          <w:b/>
        </w:rPr>
        <w:t>2. Implementation of Transparency Practices</w:t>
      </w:r>
    </w:p>
    <w:p w14:paraId="627FFEC8" w14:textId="77777777" w:rsidR="00EB3940" w:rsidRDefault="00000000">
      <w:pPr>
        <w:jc w:val="both"/>
      </w:pPr>
      <w:r>
        <w:t>The implementation of governance mandates is active but unevenly distributed across the four core dimensions:</w:t>
      </w:r>
    </w:p>
    <w:p w14:paraId="635E1858" w14:textId="77777777" w:rsidR="00EB3940" w:rsidRDefault="00000000">
      <w:pPr>
        <w:pStyle w:val="ListBullet"/>
        <w:spacing w:after="80"/>
        <w:jc w:val="both"/>
      </w:pPr>
      <w:r>
        <w:t>Information Dissemination (Highest Compliance): Strongest area of implementation. Barangay ordinances, resolutions, and programs are actively posted on public bulletin boards and the official Facebook page, with purok leaders and tarpaulins effectively echoing announcements.</w:t>
      </w:r>
    </w:p>
    <w:p w14:paraId="2BD8D212" w14:textId="77777777" w:rsidR="00EB3940" w:rsidRDefault="00000000">
      <w:pPr>
        <w:pStyle w:val="ListBullet"/>
        <w:spacing w:after="80"/>
        <w:jc w:val="both"/>
      </w:pPr>
      <w:r>
        <w:t>Budget Disclosure: Compliant. Annual budgets, statements of receipts and expenditures, and cash flow sheets are posted on the barangay bulletin board and presented face-to-face during Barangay Assembly Days.</w:t>
      </w:r>
    </w:p>
    <w:p w14:paraId="37FFB7CF" w14:textId="77777777" w:rsidR="00EB3940" w:rsidRDefault="00000000">
      <w:pPr>
        <w:pStyle w:val="ListBullet"/>
        <w:spacing w:after="80"/>
        <w:jc w:val="both"/>
      </w:pPr>
      <w:r>
        <w:t>Citizen Participation: Well-implemented. Residents are openly allowed to express feedback, suggestions, and grievances during community assemblies and council sessions.</w:t>
      </w:r>
    </w:p>
    <w:p w14:paraId="683B4DAC" w14:textId="77777777" w:rsidR="00EB3940" w:rsidRDefault="00000000">
      <w:pPr>
        <w:pStyle w:val="ListBullet"/>
        <w:spacing w:after="80"/>
        <w:jc w:val="both"/>
      </w:pPr>
      <w:r>
        <w:t>Procurement Posting (Weakest Compliance): Identified as a critical gap. While information on programs is broad, specific procurement papers—such as the Invitation to Bid, Abstract of Canvass, and Notice of Award—are rarely posted publicly, making residents feel that procurement data is incomplete.</w:t>
      </w:r>
    </w:p>
    <w:p w14:paraId="461FB8A5" w14:textId="77777777" w:rsidR="00EB3940" w:rsidRDefault="00000000">
      <w:pPr>
        <w:keepNext/>
        <w:spacing w:before="240" w:after="80"/>
      </w:pPr>
      <w:r>
        <w:rPr>
          <w:b/>
        </w:rPr>
        <w:lastRenderedPageBreak/>
        <w:t>3. Effectiveness of Public Service Delivery (SERVQUAL Metrics)</w:t>
      </w:r>
    </w:p>
    <w:p w14:paraId="49FB60C4" w14:textId="77777777" w:rsidR="00EB3940" w:rsidRDefault="00000000">
      <w:pPr>
        <w:jc w:val="both"/>
      </w:pPr>
      <w:r>
        <w:t>The assessment of local public service delivery shows varying levels of satisfaction across the standardized SERVQUAL dimensions:</w:t>
      </w:r>
    </w:p>
    <w:tbl>
      <w:tblPr>
        <w:tblStyle w:val="TableGrid"/>
        <w:tblW w:w="0" w:type="auto"/>
        <w:tblLook w:val="04A0" w:firstRow="1" w:lastRow="0" w:firstColumn="1" w:lastColumn="0" w:noHBand="0" w:noVBand="1"/>
      </w:tblPr>
      <w:tblGrid>
        <w:gridCol w:w="3117"/>
        <w:gridCol w:w="3116"/>
        <w:gridCol w:w="3117"/>
      </w:tblGrid>
      <w:tr w:rsidR="00EB3940" w14:paraId="7D9919BC" w14:textId="77777777">
        <w:tc>
          <w:tcPr>
            <w:tcW w:w="3120" w:type="dxa"/>
            <w:shd w:val="clear" w:color="auto" w:fill="F2F2F2"/>
          </w:tcPr>
          <w:p w14:paraId="4BBC1C57" w14:textId="77777777" w:rsidR="00EB3940" w:rsidRDefault="00000000">
            <w:r>
              <w:rPr>
                <w:b/>
              </w:rPr>
              <w:t>SERVQUAL Dimension</w:t>
            </w:r>
          </w:p>
        </w:tc>
        <w:tc>
          <w:tcPr>
            <w:tcW w:w="3120" w:type="dxa"/>
            <w:shd w:val="clear" w:color="auto" w:fill="F2F2F2"/>
          </w:tcPr>
          <w:p w14:paraId="0A9806FB" w14:textId="77777777" w:rsidR="00EB3940" w:rsidRDefault="00000000">
            <w:r>
              <w:rPr>
                <w:b/>
              </w:rPr>
              <w:t>Rating / Score</w:t>
            </w:r>
          </w:p>
        </w:tc>
        <w:tc>
          <w:tcPr>
            <w:tcW w:w="3120" w:type="dxa"/>
            <w:shd w:val="clear" w:color="auto" w:fill="F2F2F2"/>
          </w:tcPr>
          <w:p w14:paraId="055088B4" w14:textId="77777777" w:rsidR="00EB3940" w:rsidRDefault="00000000">
            <w:r>
              <w:rPr>
                <w:b/>
              </w:rPr>
              <w:t>Operational Perception and Descriptive Interpretation</w:t>
            </w:r>
          </w:p>
        </w:tc>
      </w:tr>
      <w:tr w:rsidR="00EB3940" w14:paraId="3993A2B0" w14:textId="77777777">
        <w:tc>
          <w:tcPr>
            <w:tcW w:w="3120" w:type="dxa"/>
          </w:tcPr>
          <w:p w14:paraId="757D31E9" w14:textId="77777777" w:rsidR="00EB3940" w:rsidRDefault="00000000">
            <w:r>
              <w:rPr>
                <w:b/>
              </w:rPr>
              <w:t>Assurance</w:t>
            </w:r>
          </w:p>
        </w:tc>
        <w:tc>
          <w:tcPr>
            <w:tcW w:w="3120" w:type="dxa"/>
          </w:tcPr>
          <w:p w14:paraId="5EF0B825" w14:textId="77777777" w:rsidR="00EB3940" w:rsidRDefault="00000000">
            <w:r>
              <w:t>4.00</w:t>
            </w:r>
          </w:p>
        </w:tc>
        <w:tc>
          <w:tcPr>
            <w:tcW w:w="3120" w:type="dxa"/>
          </w:tcPr>
          <w:p w14:paraId="53D55110" w14:textId="77777777" w:rsidR="00EB3940" w:rsidRDefault="00000000">
            <w:pPr>
              <w:jc w:val="both"/>
            </w:pPr>
            <w:r>
              <w:t>Very Satisfactory / Highest: Residents feel entirely safe and secure. The local council exhibits exceptional competence in crisis management and emergency preparedness.</w:t>
            </w:r>
          </w:p>
        </w:tc>
      </w:tr>
      <w:tr w:rsidR="00EB3940" w14:paraId="2B2B8FF6" w14:textId="77777777">
        <w:tc>
          <w:tcPr>
            <w:tcW w:w="3120" w:type="dxa"/>
          </w:tcPr>
          <w:p w14:paraId="6FD5058A" w14:textId="77777777" w:rsidR="00EB3940" w:rsidRDefault="00000000">
            <w:r>
              <w:rPr>
                <w:b/>
              </w:rPr>
              <w:t>Responsiveness</w:t>
            </w:r>
          </w:p>
        </w:tc>
        <w:tc>
          <w:tcPr>
            <w:tcW w:w="3120" w:type="dxa"/>
          </w:tcPr>
          <w:p w14:paraId="5A426389" w14:textId="77777777" w:rsidR="00EB3940" w:rsidRDefault="00000000">
            <w:r>
              <w:t>Moderate / Satisfactory</w:t>
            </w:r>
          </w:p>
        </w:tc>
        <w:tc>
          <w:tcPr>
            <w:tcW w:w="3120" w:type="dxa"/>
          </w:tcPr>
          <w:p w14:paraId="3FF167E5" w14:textId="77777777" w:rsidR="00EB3940" w:rsidRDefault="00000000">
            <w:pPr>
              <w:jc w:val="both"/>
            </w:pPr>
            <w:r>
              <w:t>Effective: Core community services, including the Barangay Health Center and dispute resolution loops, function properly, though minor delays occur during peak operational hours.</w:t>
            </w:r>
          </w:p>
        </w:tc>
      </w:tr>
      <w:tr w:rsidR="00EB3940" w14:paraId="5462DE57" w14:textId="77777777">
        <w:tc>
          <w:tcPr>
            <w:tcW w:w="3120" w:type="dxa"/>
          </w:tcPr>
          <w:p w14:paraId="413EAD0E" w14:textId="77777777" w:rsidR="00EB3940" w:rsidRDefault="00000000">
            <w:r>
              <w:rPr>
                <w:b/>
              </w:rPr>
              <w:t>Reliability</w:t>
            </w:r>
          </w:p>
        </w:tc>
        <w:tc>
          <w:tcPr>
            <w:tcW w:w="3120" w:type="dxa"/>
          </w:tcPr>
          <w:p w14:paraId="1C81C004" w14:textId="77777777" w:rsidR="00EB3940" w:rsidRDefault="00000000">
            <w:r>
              <w:t>Moderate / Fair</w:t>
            </w:r>
          </w:p>
        </w:tc>
        <w:tc>
          <w:tcPr>
            <w:tcW w:w="3120" w:type="dxa"/>
          </w:tcPr>
          <w:p w14:paraId="38B00955" w14:textId="77777777" w:rsidR="00EB3940" w:rsidRDefault="00000000">
            <w:pPr>
              <w:jc w:val="both"/>
            </w:pPr>
            <w:r>
              <w:t xml:space="preserve">Effective: The LGU consistently provides basic community development and essential needs, but citizens occasionally encounter documentation delays and uneven info spread across </w:t>
            </w:r>
            <w:proofErr w:type="spellStart"/>
            <w:r>
              <w:t>Puroks</w:t>
            </w:r>
            <w:proofErr w:type="spellEnd"/>
            <w:r>
              <w:t>.</w:t>
            </w:r>
          </w:p>
        </w:tc>
      </w:tr>
      <w:tr w:rsidR="00EB3940" w14:paraId="466E29D5" w14:textId="77777777">
        <w:tc>
          <w:tcPr>
            <w:tcW w:w="3120" w:type="dxa"/>
          </w:tcPr>
          <w:p w14:paraId="6FF88EFD" w14:textId="77777777" w:rsidR="00EB3940" w:rsidRDefault="00000000">
            <w:r>
              <w:rPr>
                <w:b/>
              </w:rPr>
              <w:t>Empathy</w:t>
            </w:r>
          </w:p>
        </w:tc>
        <w:tc>
          <w:tcPr>
            <w:tcW w:w="3120" w:type="dxa"/>
          </w:tcPr>
          <w:p w14:paraId="2D926284" w14:textId="77777777" w:rsidR="00EB3940" w:rsidRDefault="00000000">
            <w:r>
              <w:t>Fair</w:t>
            </w:r>
          </w:p>
        </w:tc>
        <w:tc>
          <w:tcPr>
            <w:tcW w:w="3120" w:type="dxa"/>
          </w:tcPr>
          <w:p w14:paraId="63DA3D4A" w14:textId="77777777" w:rsidR="00EB3940" w:rsidRDefault="00000000">
            <w:pPr>
              <w:jc w:val="both"/>
            </w:pPr>
            <w:r>
              <w:t xml:space="preserve">Moderately Effective: Personalized care, proactive </w:t>
            </w:r>
            <w:r>
              <w:lastRenderedPageBreak/>
              <w:t>institutional listening, and individualized communication channels require focused improvement.</w:t>
            </w:r>
          </w:p>
        </w:tc>
      </w:tr>
      <w:tr w:rsidR="00EB3940" w14:paraId="69459E11" w14:textId="77777777">
        <w:tc>
          <w:tcPr>
            <w:tcW w:w="3120" w:type="dxa"/>
          </w:tcPr>
          <w:p w14:paraId="0B47A414" w14:textId="77777777" w:rsidR="00EB3940" w:rsidRDefault="00000000">
            <w:r>
              <w:rPr>
                <w:b/>
              </w:rPr>
              <w:lastRenderedPageBreak/>
              <w:t>Tangibles</w:t>
            </w:r>
          </w:p>
        </w:tc>
        <w:tc>
          <w:tcPr>
            <w:tcW w:w="3120" w:type="dxa"/>
          </w:tcPr>
          <w:p w14:paraId="566E429F" w14:textId="77777777" w:rsidR="00EB3940" w:rsidRDefault="00000000">
            <w:r>
              <w:t>1.49</w:t>
            </w:r>
          </w:p>
        </w:tc>
        <w:tc>
          <w:tcPr>
            <w:tcW w:w="3120" w:type="dxa"/>
          </w:tcPr>
          <w:p w14:paraId="5EFE9FCE" w14:textId="77777777" w:rsidR="00EB3940" w:rsidRDefault="00000000">
            <w:pPr>
              <w:jc w:val="both"/>
            </w:pPr>
            <w:r>
              <w:t>Not Effective / Lowest: The physical infrastructure of the Barangay San Vicente Hall needs urgent maintenance. Residents report poor waiting areas, insufficient ventilation, and a lack of assistive digital technologies.</w:t>
            </w:r>
          </w:p>
        </w:tc>
      </w:tr>
    </w:tbl>
    <w:p w14:paraId="2ECDD229" w14:textId="77777777" w:rsidR="00EB3940" w:rsidRDefault="00EB3940">
      <w:pPr>
        <w:spacing w:before="120"/>
      </w:pPr>
    </w:p>
    <w:p w14:paraId="29043C86" w14:textId="77777777" w:rsidR="00EB3940" w:rsidRDefault="00000000">
      <w:pPr>
        <w:keepNext/>
        <w:spacing w:before="240" w:after="80"/>
      </w:pPr>
      <w:r>
        <w:rPr>
          <w:b/>
        </w:rPr>
        <w:t>4. Correlation Analysis</w:t>
      </w:r>
    </w:p>
    <w:p w14:paraId="22929B0D" w14:textId="77777777" w:rsidR="00EB3940" w:rsidRDefault="00000000">
      <w:pPr>
        <w:jc w:val="both"/>
      </w:pPr>
      <w:r>
        <w:t>The summary data establishes a significant positive relationship between local transparency and service delivery effectiveness. Statistical and qualitative alignment shows that when the barangay practices openness and increases citizen monitoring, residents experience less confusion, feel more valued, and give significantly higher quality ratings to public services.</w:t>
      </w:r>
    </w:p>
    <w:p w14:paraId="6D53084D" w14:textId="77777777" w:rsidR="00EB3940" w:rsidRDefault="00000000">
      <w:pPr>
        <w:keepNext/>
        <w:spacing w:before="360"/>
      </w:pPr>
      <w:r>
        <w:rPr>
          <w:b/>
          <w:sz w:val="28"/>
        </w:rPr>
        <w:t>IV. Discussion</w:t>
      </w:r>
    </w:p>
    <w:p w14:paraId="25727639" w14:textId="77777777" w:rsidR="00EB3940" w:rsidRDefault="00000000">
      <w:pPr>
        <w:keepNext/>
        <w:spacing w:before="240" w:after="80"/>
      </w:pPr>
      <w:r>
        <w:rPr>
          <w:b/>
        </w:rPr>
        <w:t>Interpretation and Synthesis</w:t>
      </w:r>
    </w:p>
    <w:p w14:paraId="332E331D" w14:textId="77777777" w:rsidR="00EB3940" w:rsidRDefault="00000000">
      <w:pPr>
        <w:jc w:val="both"/>
      </w:pPr>
      <w:r>
        <w:t>The data demonstrates that Barangay San Vicente satisfies the structural and legal requirements of local governance under RA 7160 and the DILG Full Disclosure Policy when it comes to standard information campaigns and open-assembly reporting. However, its critical vulnerability lies in fiscal and administrative transparency—specifically procurement disclosure. Failing to pin up Invitations to Bid and Notices of Award leaves a blind spot that feeds public speculation and dampens community trust.</w:t>
      </w:r>
    </w:p>
    <w:p w14:paraId="0E6BA12D" w14:textId="77777777" w:rsidR="00EB3940" w:rsidRDefault="00000000">
      <w:pPr>
        <w:jc w:val="both"/>
      </w:pPr>
      <w:r>
        <w:lastRenderedPageBreak/>
        <w:t>On the service end, there is an infrastructure paradox: while the human element of governance excels—proven by a perfect 4.00 in Assurance due to excellent emergency handling and competent staff—the physical facilities lag drastically behind at a low score of 1.49. This confirms that public service delivery satisfaction is deeply bottlenecked by the environment where those services are accessed.</w:t>
      </w:r>
    </w:p>
    <w:p w14:paraId="5212F351" w14:textId="77777777" w:rsidR="00EB3940" w:rsidRDefault="00000000">
      <w:pPr>
        <w:keepNext/>
        <w:spacing w:before="240" w:after="80"/>
      </w:pPr>
      <w:r>
        <w:rPr>
          <w:b/>
        </w:rPr>
        <w:t>Conclusions</w:t>
      </w:r>
    </w:p>
    <w:p w14:paraId="3C0D5E91" w14:textId="77777777" w:rsidR="00EB3940" w:rsidRDefault="00000000">
      <w:pPr>
        <w:jc w:val="both"/>
      </w:pPr>
      <w:r>
        <w:t>Based on the findings, the following conclusions are drawn:</w:t>
      </w:r>
    </w:p>
    <w:p w14:paraId="67F1A8FB" w14:textId="77777777" w:rsidR="00EB3940" w:rsidRDefault="00000000">
      <w:pPr>
        <w:pStyle w:val="ListBullet"/>
        <w:spacing w:after="80"/>
        <w:jc w:val="both"/>
      </w:pPr>
      <w:r>
        <w:t>Barangay San Vicente complies generally with local transparency mandates, but implementation is stronger in generic community layout reporting than it is in granular procurement and financial bidding disclosure.</w:t>
      </w:r>
    </w:p>
    <w:p w14:paraId="3CEC89E3" w14:textId="77777777" w:rsidR="00EB3940" w:rsidRDefault="00000000">
      <w:pPr>
        <w:pStyle w:val="ListBullet"/>
        <w:spacing w:after="80"/>
        <w:jc w:val="both"/>
      </w:pPr>
      <w:r>
        <w:t>Public service delivery is effective regarding human capability, reliability, and trustworthy leadership, but severely deficient regarding physical environment, signage, and digital integration.</w:t>
      </w:r>
    </w:p>
    <w:p w14:paraId="5972A819" w14:textId="77777777" w:rsidR="00EB3940" w:rsidRDefault="00000000">
      <w:pPr>
        <w:pStyle w:val="ListBullet"/>
        <w:spacing w:after="80"/>
        <w:jc w:val="both"/>
      </w:pPr>
      <w:r>
        <w:t>Transparency directly determines community satisfaction. Openness is not merely a legal chore to satisfy the DILG; it serves as a functional tool that directly increases citizen trust and elevates the perceived quality of public governance.</w:t>
      </w:r>
    </w:p>
    <w:p w14:paraId="1EA7B0BC" w14:textId="77777777" w:rsidR="00EB3940" w:rsidRDefault="00000000">
      <w:pPr>
        <w:keepNext/>
        <w:spacing w:before="240" w:after="80"/>
      </w:pPr>
      <w:r>
        <w:rPr>
          <w:b/>
        </w:rPr>
        <w:t>Recommendations</w:t>
      </w:r>
    </w:p>
    <w:p w14:paraId="2233D41F" w14:textId="77777777" w:rsidR="00EB3940" w:rsidRDefault="00000000">
      <w:pPr>
        <w:keepNext/>
        <w:spacing w:before="240" w:after="80"/>
      </w:pPr>
      <w:r>
        <w:rPr>
          <w:b/>
        </w:rPr>
        <w:t>1. To the Barangay Officials of San Vicente:</w:t>
      </w:r>
    </w:p>
    <w:p w14:paraId="395D691A" w14:textId="77777777" w:rsidR="00EB3940" w:rsidRDefault="00000000">
      <w:pPr>
        <w:pStyle w:val="ListBullet"/>
        <w:spacing w:after="80"/>
        <w:jc w:val="both"/>
      </w:pPr>
      <w:r>
        <w:t>Enforce Procurement Transparency: Mandate the strict posting of all Invitations to Bid, Abstracts of Canvass, and Notices of Award on physical bulletin boards and official digital pages, even for small-scale local projects.</w:t>
      </w:r>
    </w:p>
    <w:p w14:paraId="4F95DAFE" w14:textId="77777777" w:rsidR="00EB3940" w:rsidRDefault="00000000">
      <w:pPr>
        <w:pStyle w:val="ListBullet"/>
        <w:spacing w:after="80"/>
        <w:jc w:val="both"/>
      </w:pPr>
      <w:r>
        <w:t>Invest in Facility Upgrades: Allocate part of the local budget to remodel the Barangay Hall waiting lounges, add proper ventilation, post clear instructional signage, and purchase basic digital access terminals.</w:t>
      </w:r>
    </w:p>
    <w:p w14:paraId="42FF263A" w14:textId="77777777" w:rsidR="00EB3940" w:rsidRDefault="00000000">
      <w:pPr>
        <w:pStyle w:val="ListBullet"/>
        <w:spacing w:after="80"/>
        <w:jc w:val="both"/>
      </w:pPr>
      <w:r>
        <w:t>Optimize Feedback Networks: Maintain the schedule of barangay assemblies, but supplement them with physical suggestion boxes or an automated Facebook Messenger feedback loop for working residents.</w:t>
      </w:r>
    </w:p>
    <w:p w14:paraId="516A64BF" w14:textId="77777777" w:rsidR="00EB3940" w:rsidRDefault="00000000">
      <w:pPr>
        <w:keepNext/>
        <w:spacing w:before="240" w:after="80"/>
      </w:pPr>
      <w:r>
        <w:rPr>
          <w:b/>
        </w:rPr>
        <w:lastRenderedPageBreak/>
        <w:t xml:space="preserve">2. To the DILG and </w:t>
      </w:r>
      <w:proofErr w:type="spellStart"/>
      <w:r>
        <w:rPr>
          <w:b/>
        </w:rPr>
        <w:t>Panabo</w:t>
      </w:r>
      <w:proofErr w:type="spellEnd"/>
      <w:r>
        <w:rPr>
          <w:b/>
        </w:rPr>
        <w:t xml:space="preserve"> City LGU:</w:t>
      </w:r>
    </w:p>
    <w:p w14:paraId="79A7DFE1" w14:textId="77777777" w:rsidR="00EB3940" w:rsidRDefault="00000000">
      <w:pPr>
        <w:pStyle w:val="ListBullet"/>
        <w:spacing w:after="80"/>
        <w:jc w:val="both"/>
      </w:pPr>
      <w:r>
        <w:t>Conduct strict quarterly compliance audits focused specifically on procurement disclosures at the grassroots level, and launch incentive programs recognizing barangays with high transparency scores.</w:t>
      </w:r>
    </w:p>
    <w:p w14:paraId="3844BB8A" w14:textId="77777777" w:rsidR="00EB3940" w:rsidRDefault="00000000">
      <w:pPr>
        <w:keepNext/>
        <w:spacing w:before="360"/>
      </w:pPr>
      <w:r>
        <w:rPr>
          <w:b/>
          <w:sz w:val="28"/>
        </w:rPr>
        <w:t>References</w:t>
      </w:r>
    </w:p>
    <w:p w14:paraId="3FDB8043" w14:textId="77777777" w:rsidR="00EB3940" w:rsidRDefault="00000000">
      <w:pPr>
        <w:ind w:left="720" w:hanging="720"/>
        <w:jc w:val="both"/>
      </w:pPr>
      <w:r>
        <w:rPr>
          <w:sz w:val="22"/>
        </w:rPr>
        <w:t xml:space="preserve">Batas </w:t>
      </w:r>
      <w:proofErr w:type="spellStart"/>
      <w:r>
        <w:rPr>
          <w:sz w:val="22"/>
        </w:rPr>
        <w:t>Republika</w:t>
      </w:r>
      <w:proofErr w:type="spellEnd"/>
      <w:r>
        <w:rPr>
          <w:sz w:val="22"/>
        </w:rPr>
        <w:t xml:space="preserve"> </w:t>
      </w:r>
      <w:proofErr w:type="spellStart"/>
      <w:r>
        <w:rPr>
          <w:sz w:val="22"/>
        </w:rPr>
        <w:t>Blg</w:t>
      </w:r>
      <w:proofErr w:type="spellEnd"/>
      <w:r>
        <w:rPr>
          <w:sz w:val="22"/>
        </w:rPr>
        <w:t>. 7160. (1991). An Act Providing for a Local Government Code of 1991. Official Gazette of the Republic of the Philippines.</w:t>
      </w:r>
    </w:p>
    <w:p w14:paraId="62D47017" w14:textId="77777777" w:rsidR="00EB3940" w:rsidRDefault="00000000">
      <w:pPr>
        <w:ind w:left="720" w:hanging="720"/>
        <w:jc w:val="both"/>
      </w:pPr>
      <w:r>
        <w:rPr>
          <w:sz w:val="22"/>
        </w:rPr>
        <w:t>Department of the Interior and Local Government (DILG). (2010). Memorandum Circular No. 2010-83: Full Disclosure of Local Budget and Finances, and Bids and Public Offerings. DILG Central Office.</w:t>
      </w:r>
    </w:p>
    <w:p w14:paraId="0ADD15D3" w14:textId="77777777" w:rsidR="00EB3940" w:rsidRDefault="00000000">
      <w:pPr>
        <w:ind w:left="720" w:hanging="720"/>
        <w:jc w:val="both"/>
      </w:pPr>
      <w:r>
        <w:rPr>
          <w:sz w:val="22"/>
        </w:rPr>
        <w:t>Department of the Interior and Local Government (DILG). (2019). Memorandum Circular No. 2019-121: Barangay Full Disclosure Policy. DILG Central Office.</w:t>
      </w:r>
    </w:p>
    <w:p w14:paraId="5E9AEF9B" w14:textId="77777777" w:rsidR="00EB3940" w:rsidRDefault="00000000">
      <w:pPr>
        <w:ind w:left="720" w:hanging="720"/>
        <w:jc w:val="both"/>
      </w:pPr>
      <w:r>
        <w:rPr>
          <w:sz w:val="22"/>
        </w:rPr>
        <w:t>McNabb, D. E. (2015). Research methods in public administration and nonprofit management (2nd ed., pp. 43, 273-280, 287-298). Routledge.</w:t>
      </w:r>
    </w:p>
    <w:p w14:paraId="78E6F0BC" w14:textId="77777777" w:rsidR="00EB3940" w:rsidRDefault="00000000">
      <w:pPr>
        <w:ind w:left="720" w:hanging="720"/>
        <w:jc w:val="both"/>
      </w:pPr>
      <w:r>
        <w:rPr>
          <w:sz w:val="22"/>
        </w:rPr>
        <w:t>Parasuraman, A., Zeithaml, V. A., &amp; Berry, L. L. (1988). SERVQUAL: A multiple-item scale for measuring consumer perceptions of service quality. Journal of Retailing, 64(1), 12-40.</w:t>
      </w:r>
    </w:p>
    <w:p w14:paraId="4EAE5DEC" w14:textId="77777777" w:rsidR="00EB3940" w:rsidRDefault="00000000">
      <w:pPr>
        <w:ind w:left="720" w:hanging="720"/>
        <w:jc w:val="both"/>
      </w:pPr>
      <w:proofErr w:type="spellStart"/>
      <w:r>
        <w:rPr>
          <w:sz w:val="22"/>
        </w:rPr>
        <w:t>PhilAtlas</w:t>
      </w:r>
      <w:proofErr w:type="spellEnd"/>
      <w:r>
        <w:rPr>
          <w:sz w:val="22"/>
        </w:rPr>
        <w:t xml:space="preserve">. (n.d.). San Vicente, City of </w:t>
      </w:r>
      <w:proofErr w:type="spellStart"/>
      <w:r>
        <w:rPr>
          <w:sz w:val="22"/>
        </w:rPr>
        <w:t>Panabo</w:t>
      </w:r>
      <w:proofErr w:type="spellEnd"/>
      <w:r>
        <w:rPr>
          <w:sz w:val="22"/>
        </w:rPr>
        <w:t>, Province of Davao del Norte. https://www.philatlas.com/</w:t>
      </w:r>
    </w:p>
    <w:p w14:paraId="125609DE" w14:textId="77777777" w:rsidR="00EB3940" w:rsidRDefault="00000000">
      <w:pPr>
        <w:ind w:left="720" w:hanging="720"/>
        <w:jc w:val="both"/>
      </w:pPr>
      <w:r>
        <w:rPr>
          <w:sz w:val="22"/>
        </w:rPr>
        <w:t>Stake, R. E. (1994). Case studies. In N. K. Denzin &amp; Y. S. Lincoln (Eds.), Handbook of qualitative research (pp. 236-247). Sage Publications.</w:t>
      </w:r>
    </w:p>
    <w:p w14:paraId="09C5490B" w14:textId="77777777" w:rsidR="00EB3940" w:rsidRDefault="00000000">
      <w:pPr>
        <w:ind w:left="720" w:hanging="720"/>
        <w:jc w:val="both"/>
      </w:pPr>
      <w:r>
        <w:rPr>
          <w:sz w:val="22"/>
        </w:rPr>
        <w:t>World Bank. (2004). Making services work for poor people: World development report 2004. Oxford University Press.</w:t>
      </w:r>
    </w:p>
    <w:sectPr w:rsidR="00EB39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3B37" w14:textId="77777777" w:rsidR="00166B23" w:rsidRDefault="00166B23">
      <w:pPr>
        <w:spacing w:line="240" w:lineRule="auto"/>
      </w:pPr>
      <w:r>
        <w:separator/>
      </w:r>
    </w:p>
  </w:endnote>
  <w:endnote w:type="continuationSeparator" w:id="0">
    <w:p w14:paraId="4C69F2CA" w14:textId="77777777" w:rsidR="00166B23" w:rsidRDefault="00166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FE71" w14:textId="77777777" w:rsidR="00166B23" w:rsidRDefault="00166B23">
      <w:pPr>
        <w:spacing w:after="0"/>
      </w:pPr>
      <w:r>
        <w:separator/>
      </w:r>
    </w:p>
  </w:footnote>
  <w:footnote w:type="continuationSeparator" w:id="0">
    <w:p w14:paraId="3DE25C2F" w14:textId="77777777" w:rsidR="00166B23" w:rsidRDefault="00166B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951087437">
    <w:abstractNumId w:val="5"/>
  </w:num>
  <w:num w:numId="2" w16cid:durableId="1995183787">
    <w:abstractNumId w:val="3"/>
  </w:num>
  <w:num w:numId="3" w16cid:durableId="592663855">
    <w:abstractNumId w:val="2"/>
  </w:num>
  <w:num w:numId="4" w16cid:durableId="1930656493">
    <w:abstractNumId w:val="4"/>
  </w:num>
  <w:num w:numId="5" w16cid:durableId="751588526">
    <w:abstractNumId w:val="1"/>
  </w:num>
  <w:num w:numId="6" w16cid:durableId="195108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B23"/>
    <w:rsid w:val="0029639D"/>
    <w:rsid w:val="00326F90"/>
    <w:rsid w:val="00A675ED"/>
    <w:rsid w:val="00AA1D8D"/>
    <w:rsid w:val="00B47730"/>
    <w:rsid w:val="00C94823"/>
    <w:rsid w:val="00CB0664"/>
    <w:rsid w:val="00EB3940"/>
    <w:rsid w:val="00FC693F"/>
    <w:rsid w:val="6F6C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E5E8"/>
  <w14:defaultImageDpi w14:val="300"/>
  <w15:docId w15:val="{1A4E2BF8-4742-4BFD-8094-74312F0A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639511976569</cp:lastModifiedBy>
  <cp:revision>2</cp:revision>
  <dcterms:created xsi:type="dcterms:W3CDTF">2026-06-15T05:03:00Z</dcterms:created>
  <dcterms:modified xsi:type="dcterms:W3CDTF">2026-06-15T05:03:00Z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eyJoZGlkIjoiOWVlNTIwODE3MDc5NTZiY2RmODJhMmI2Zjg1Mzk4N2MiLCJ1c2VySWQiOiI4ODEzOTU3ODA2MDA3In0=</vt:lpwstr>
  </property>
  <property fmtid="{D5CDD505-2E9C-101B-9397-08002B2CF9AE}" pid="3" name="KSOProductBuildVer">
    <vt:lpwstr>1033-12.1.0.26880</vt:lpwstr>
  </property>
  <property fmtid="{D5CDD505-2E9C-101B-9397-08002B2CF9AE}" pid="4" name="ICV">
    <vt:lpwstr>EFF3D3CC46A2473CA2197D5B8AD3DD02_12</vt:lpwstr>
  </property>
</Properties>
</file>