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5C9" w:rsidRDefault="009015C9" w:rsidP="009015C9">
      <w:pPr>
        <w:spacing w:after="0" w:line="240" w:lineRule="auto"/>
        <w:jc w:val="both"/>
        <w:outlineLvl w:val="0"/>
        <w:rPr>
          <w:rFonts w:ascii="Times New Roman" w:eastAsia="Times New Roman" w:hAnsi="Times New Roman" w:cs="Times New Roman"/>
          <w:b/>
          <w:bCs/>
          <w:kern w:val="36"/>
          <w:sz w:val="24"/>
          <w:szCs w:val="24"/>
        </w:rPr>
      </w:pPr>
      <w:r w:rsidRPr="009015C9">
        <w:rPr>
          <w:rFonts w:ascii="Times New Roman" w:eastAsia="Times New Roman" w:hAnsi="Times New Roman" w:cs="Times New Roman"/>
          <w:b/>
          <w:bCs/>
          <w:kern w:val="36"/>
          <w:sz w:val="24"/>
          <w:szCs w:val="24"/>
        </w:rPr>
        <w:t>MOLECULAR SCREENING FOR SICKLE CELL ANAEMIA IN AFRICA: ADVANCES, CHALLENGES, AND FUTURE DIRECTIONS</w:t>
      </w:r>
      <w:r w:rsidR="007E476B">
        <w:rPr>
          <w:rFonts w:ascii="Times New Roman" w:eastAsia="Times New Roman" w:hAnsi="Times New Roman" w:cs="Times New Roman"/>
          <w:b/>
          <w:bCs/>
          <w:kern w:val="36"/>
          <w:sz w:val="24"/>
          <w:szCs w:val="24"/>
        </w:rPr>
        <w:t>.</w:t>
      </w:r>
    </w:p>
    <w:p w:rsidR="006D5582" w:rsidRDefault="006D5582" w:rsidP="009015C9">
      <w:pPr>
        <w:spacing w:after="0" w:line="240" w:lineRule="auto"/>
        <w:jc w:val="both"/>
        <w:outlineLvl w:val="0"/>
        <w:rPr>
          <w:rFonts w:ascii="Times New Roman" w:eastAsia="Times New Roman" w:hAnsi="Times New Roman" w:cs="Times New Roman"/>
          <w:b/>
          <w:bCs/>
          <w:kern w:val="36"/>
          <w:sz w:val="24"/>
          <w:szCs w:val="24"/>
        </w:rPr>
      </w:pPr>
    </w:p>
    <w:p w:rsidR="006D5582" w:rsidRDefault="006D5582" w:rsidP="009015C9">
      <w:pPr>
        <w:spacing w:after="0" w:line="240" w:lineRule="auto"/>
        <w:jc w:val="both"/>
        <w:outlineLvl w:val="0"/>
        <w:rPr>
          <w:rFonts w:ascii="Times New Roman" w:eastAsia="Times New Roman" w:hAnsi="Times New Roman" w:cs="Times New Roman"/>
          <w:b/>
          <w:bCs/>
          <w:kern w:val="36"/>
          <w:sz w:val="24"/>
          <w:szCs w:val="24"/>
        </w:rPr>
      </w:pPr>
    </w:p>
    <w:p w:rsidR="006D5582" w:rsidRPr="006D5582" w:rsidRDefault="006D5582" w:rsidP="009015C9">
      <w:pPr>
        <w:spacing w:after="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vertAlign w:val="superscript"/>
        </w:rPr>
        <w:t xml:space="preserve">1 </w:t>
      </w:r>
      <w:r>
        <w:rPr>
          <w:rFonts w:ascii="Times New Roman" w:eastAsia="Times New Roman" w:hAnsi="Times New Roman" w:cs="Times New Roman"/>
          <w:b/>
          <w:bCs/>
          <w:kern w:val="36"/>
          <w:sz w:val="24"/>
          <w:szCs w:val="24"/>
        </w:rPr>
        <w:t xml:space="preserve">Dr. </w:t>
      </w:r>
      <w:proofErr w:type="spellStart"/>
      <w:r>
        <w:rPr>
          <w:rFonts w:ascii="Times New Roman" w:eastAsia="Times New Roman" w:hAnsi="Times New Roman" w:cs="Times New Roman"/>
          <w:b/>
          <w:bCs/>
          <w:kern w:val="36"/>
          <w:sz w:val="24"/>
          <w:szCs w:val="24"/>
        </w:rPr>
        <w:t>Alick</w:t>
      </w:r>
      <w:proofErr w:type="spellEnd"/>
      <w:r>
        <w:rPr>
          <w:rFonts w:ascii="Times New Roman" w:eastAsia="Times New Roman" w:hAnsi="Times New Roman" w:cs="Times New Roman"/>
          <w:b/>
          <w:bCs/>
          <w:kern w:val="36"/>
          <w:sz w:val="24"/>
          <w:szCs w:val="24"/>
        </w:rPr>
        <w:t xml:space="preserve"> </w:t>
      </w:r>
      <w:proofErr w:type="spellStart"/>
      <w:r>
        <w:rPr>
          <w:rFonts w:ascii="Times New Roman" w:eastAsia="Times New Roman" w:hAnsi="Times New Roman" w:cs="Times New Roman"/>
          <w:b/>
          <w:bCs/>
          <w:kern w:val="36"/>
          <w:sz w:val="24"/>
          <w:szCs w:val="24"/>
        </w:rPr>
        <w:t>mwambungu</w:t>
      </w:r>
      <w:proofErr w:type="spellEnd"/>
      <w:r>
        <w:rPr>
          <w:rFonts w:ascii="Times New Roman" w:eastAsia="Times New Roman" w:hAnsi="Times New Roman" w:cs="Times New Roman"/>
          <w:b/>
          <w:bCs/>
          <w:kern w:val="36"/>
          <w:sz w:val="24"/>
          <w:szCs w:val="24"/>
        </w:rPr>
        <w:t xml:space="preserve"> </w:t>
      </w:r>
      <w:r w:rsidR="008C57B7" w:rsidRPr="008C57B7">
        <w:rPr>
          <w:rFonts w:ascii="Times New Roman" w:eastAsia="Times New Roman" w:hAnsi="Times New Roman" w:cs="Times New Roman"/>
          <w:b/>
          <w:bCs/>
          <w:kern w:val="36"/>
          <w:sz w:val="24"/>
          <w:szCs w:val="24"/>
          <w:vertAlign w:val="superscript"/>
        </w:rPr>
        <w:t>2</w:t>
      </w:r>
      <w:r>
        <w:rPr>
          <w:rFonts w:ascii="Times New Roman" w:eastAsia="Times New Roman" w:hAnsi="Times New Roman" w:cs="Times New Roman"/>
          <w:b/>
          <w:bCs/>
          <w:kern w:val="36"/>
          <w:sz w:val="24"/>
          <w:szCs w:val="24"/>
        </w:rPr>
        <w:t xml:space="preserve">Dr. </w:t>
      </w:r>
      <w:proofErr w:type="spellStart"/>
      <w:r>
        <w:rPr>
          <w:rFonts w:ascii="Times New Roman" w:eastAsia="Times New Roman" w:hAnsi="Times New Roman" w:cs="Times New Roman"/>
          <w:b/>
          <w:bCs/>
          <w:kern w:val="36"/>
          <w:sz w:val="24"/>
          <w:szCs w:val="24"/>
        </w:rPr>
        <w:t>Chiti</w:t>
      </w:r>
      <w:proofErr w:type="spellEnd"/>
      <w:r>
        <w:rPr>
          <w:rFonts w:ascii="Times New Roman" w:eastAsia="Times New Roman" w:hAnsi="Times New Roman" w:cs="Times New Roman"/>
          <w:b/>
          <w:bCs/>
          <w:kern w:val="36"/>
          <w:sz w:val="24"/>
          <w:szCs w:val="24"/>
        </w:rPr>
        <w:t xml:space="preserve"> </w:t>
      </w:r>
      <w:proofErr w:type="spellStart"/>
      <w:r>
        <w:rPr>
          <w:rFonts w:ascii="Times New Roman" w:eastAsia="Times New Roman" w:hAnsi="Times New Roman" w:cs="Times New Roman"/>
          <w:b/>
          <w:bCs/>
          <w:kern w:val="36"/>
          <w:sz w:val="24"/>
          <w:szCs w:val="24"/>
        </w:rPr>
        <w:t>Bwembya</w:t>
      </w:r>
      <w:proofErr w:type="spellEnd"/>
    </w:p>
    <w:p w:rsidR="006D5582" w:rsidRDefault="006D5582" w:rsidP="009015C9">
      <w:pPr>
        <w:spacing w:after="0" w:line="240" w:lineRule="auto"/>
        <w:jc w:val="both"/>
        <w:outlineLvl w:val="0"/>
        <w:rPr>
          <w:rFonts w:ascii="Times New Roman" w:eastAsia="Times New Roman" w:hAnsi="Times New Roman" w:cs="Times New Roman"/>
          <w:b/>
          <w:bCs/>
          <w:kern w:val="36"/>
          <w:sz w:val="24"/>
          <w:szCs w:val="24"/>
        </w:rPr>
      </w:pPr>
    </w:p>
    <w:p w:rsidR="006D5582" w:rsidRPr="006D5582" w:rsidRDefault="006D5582" w:rsidP="008C57B7">
      <w:pPr>
        <w:pStyle w:val="ListParagraph"/>
        <w:numPr>
          <w:ilvl w:val="0"/>
          <w:numId w:val="3"/>
        </w:numPr>
        <w:spacing w:after="0" w:line="360" w:lineRule="auto"/>
        <w:jc w:val="both"/>
        <w:outlineLvl w:val="0"/>
        <w:rPr>
          <w:rFonts w:ascii="Times New Roman" w:eastAsia="Times New Roman" w:hAnsi="Times New Roman" w:cs="Times New Roman"/>
          <w:bCs/>
          <w:kern w:val="36"/>
          <w:sz w:val="24"/>
          <w:szCs w:val="24"/>
        </w:rPr>
      </w:pPr>
      <w:r w:rsidRPr="006D5582">
        <w:rPr>
          <w:rFonts w:ascii="Times New Roman" w:eastAsia="Times New Roman" w:hAnsi="Times New Roman" w:cs="Times New Roman"/>
          <w:bCs/>
          <w:kern w:val="36"/>
          <w:sz w:val="24"/>
          <w:szCs w:val="24"/>
        </w:rPr>
        <w:t>Ndola College of Biomedical Sciences</w:t>
      </w:r>
    </w:p>
    <w:p w:rsidR="006D5582" w:rsidRPr="006D5582" w:rsidRDefault="006D5582" w:rsidP="008C57B7">
      <w:pPr>
        <w:pStyle w:val="ListParagraph"/>
        <w:numPr>
          <w:ilvl w:val="0"/>
          <w:numId w:val="3"/>
        </w:numPr>
        <w:spacing w:after="0" w:line="360" w:lineRule="auto"/>
        <w:jc w:val="both"/>
        <w:outlineLvl w:val="0"/>
        <w:rPr>
          <w:rFonts w:ascii="Times New Roman" w:eastAsia="Times New Roman" w:hAnsi="Times New Roman" w:cs="Times New Roman"/>
          <w:bCs/>
          <w:kern w:val="36"/>
          <w:sz w:val="24"/>
          <w:szCs w:val="24"/>
        </w:rPr>
      </w:pPr>
      <w:r w:rsidRPr="006D5582">
        <w:rPr>
          <w:rFonts w:ascii="Times New Roman" w:eastAsia="Times New Roman" w:hAnsi="Times New Roman" w:cs="Times New Roman"/>
          <w:bCs/>
          <w:kern w:val="36"/>
          <w:sz w:val="24"/>
          <w:szCs w:val="24"/>
        </w:rPr>
        <w:t>Ndola Teaching Hospital</w:t>
      </w:r>
    </w:p>
    <w:p w:rsidR="006D5582" w:rsidRPr="009015C9" w:rsidRDefault="006D5582" w:rsidP="009015C9">
      <w:pPr>
        <w:spacing w:after="0" w:line="240" w:lineRule="auto"/>
        <w:jc w:val="both"/>
        <w:outlineLvl w:val="0"/>
        <w:rPr>
          <w:rFonts w:ascii="Times New Roman" w:eastAsia="Times New Roman" w:hAnsi="Times New Roman" w:cs="Times New Roman"/>
          <w:b/>
          <w:bCs/>
          <w:kern w:val="36"/>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rPr>
        <w:t xml:space="preserve">Key Words, </w:t>
      </w:r>
      <w:r w:rsidRPr="003C092C">
        <w:rPr>
          <w:rFonts w:ascii="Times New Roman" w:hAnsi="Times New Roman" w:cs="Times New Roman"/>
        </w:rPr>
        <w:t xml:space="preserve">Molecular diagnostics, Sickle Cell </w:t>
      </w:r>
      <w:proofErr w:type="spellStart"/>
      <w:r w:rsidRPr="003C092C">
        <w:rPr>
          <w:rFonts w:ascii="Times New Roman" w:hAnsi="Times New Roman" w:cs="Times New Roman"/>
        </w:rPr>
        <w:t>anaemia</w:t>
      </w:r>
      <w:proofErr w:type="spellEnd"/>
      <w:r w:rsidRPr="003C092C">
        <w:rPr>
          <w:rFonts w:ascii="Times New Roman" w:hAnsi="Times New Roman" w:cs="Times New Roman"/>
        </w:rPr>
        <w:t>, Newborn screening</w:t>
      </w: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lastRenderedPageBreak/>
        <w:t>AB</w:t>
      </w:r>
      <w:bookmarkStart w:id="0" w:name="_GoBack"/>
      <w:bookmarkEnd w:id="0"/>
      <w:r w:rsidRPr="009015C9">
        <w:rPr>
          <w:rFonts w:ascii="Times New Roman" w:eastAsia="Times New Roman" w:hAnsi="Times New Roman" w:cs="Times New Roman"/>
          <w:b/>
          <w:bCs/>
          <w:sz w:val="24"/>
          <w:szCs w:val="24"/>
        </w:rPr>
        <w:t>STRACT</w:t>
      </w:r>
    </w:p>
    <w:p w:rsidR="009015C9" w:rsidRPr="009015C9" w:rsidRDefault="009015C9" w:rsidP="009015C9">
      <w:pPr>
        <w:spacing w:before="100" w:beforeAutospacing="1" w:after="100" w:afterAutospacing="1" w:line="360" w:lineRule="auto"/>
        <w:jc w:val="both"/>
        <w:rPr>
          <w:rFonts w:ascii="Times New Roman" w:eastAsia="Times New Roman" w:hAnsi="Times New Roman" w:cs="Times New Roman"/>
          <w:sz w:val="24"/>
          <w:szCs w:val="24"/>
        </w:rPr>
      </w:pPr>
      <w:r w:rsidRPr="009015C9">
        <w:rPr>
          <w:rFonts w:ascii="Times New Roman" w:eastAsia="Times New Roman" w:hAnsi="Times New Roman" w:cs="Times New Roman"/>
          <w:sz w:val="24"/>
          <w:szCs w:val="24"/>
        </w:rPr>
        <w:t xml:space="preserve">Sickle cell </w:t>
      </w:r>
      <w:proofErr w:type="spellStart"/>
      <w:r w:rsidRPr="009015C9">
        <w:rPr>
          <w:rFonts w:ascii="Times New Roman" w:eastAsia="Times New Roman" w:hAnsi="Times New Roman" w:cs="Times New Roman"/>
          <w:sz w:val="24"/>
          <w:szCs w:val="24"/>
        </w:rPr>
        <w:t>anaemia</w:t>
      </w:r>
      <w:proofErr w:type="spellEnd"/>
      <w:r w:rsidRPr="009015C9">
        <w:rPr>
          <w:rFonts w:ascii="Times New Roman" w:eastAsia="Times New Roman" w:hAnsi="Times New Roman" w:cs="Times New Roman"/>
          <w:sz w:val="24"/>
          <w:szCs w:val="24"/>
        </w:rPr>
        <w:t xml:space="preserve"> (SCA) is the most prevalent inherited blood disorder in Africa, accounting for approximately 75% of global cases. Early diagnosis through newborn screening has been shown to reduce mortality, yet implementation across the continent remains inconsistent due to economic, infrastructural, and social barriers. </w:t>
      </w:r>
      <w:r w:rsidR="005D008C" w:rsidRPr="005D008C">
        <w:rPr>
          <w:rFonts w:ascii="Times New Roman" w:eastAsia="Times New Roman" w:hAnsi="Times New Roman" w:cs="Times New Roman"/>
          <w:sz w:val="24"/>
          <w:szCs w:val="24"/>
        </w:rPr>
        <w:t>The transition from protein-based assays to molecular diagnostics has introduced tools capable of distinguishing carriers from compound heterozygotes, a level of precision critical for clinical managem</w:t>
      </w:r>
      <w:r w:rsidR="005D008C">
        <w:rPr>
          <w:rFonts w:ascii="Times New Roman" w:eastAsia="Times New Roman" w:hAnsi="Times New Roman" w:cs="Times New Roman"/>
          <w:sz w:val="24"/>
          <w:szCs w:val="24"/>
        </w:rPr>
        <w:t>ent and public health planning.</w:t>
      </w:r>
      <w:r w:rsidR="005D008C" w:rsidRPr="009015C9">
        <w:rPr>
          <w:rFonts w:ascii="Times New Roman" w:eastAsia="Times New Roman" w:hAnsi="Times New Roman" w:cs="Times New Roman"/>
          <w:sz w:val="24"/>
          <w:szCs w:val="24"/>
        </w:rPr>
        <w:t xml:space="preserve"> This</w:t>
      </w:r>
      <w:r w:rsidRPr="009015C9">
        <w:rPr>
          <w:rFonts w:ascii="Times New Roman" w:eastAsia="Times New Roman" w:hAnsi="Times New Roman" w:cs="Times New Roman"/>
          <w:sz w:val="24"/>
          <w:szCs w:val="24"/>
        </w:rPr>
        <w:t xml:space="preserve"> review synthesizes current advances in molecular screening, examines systemic challenges, and explores opportunities for scaling up equitable, cost-effective programs.</w:t>
      </w: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t>INTRODUCTION</w:t>
      </w:r>
    </w:p>
    <w:p w:rsidR="009015C9" w:rsidRPr="009015C9" w:rsidRDefault="009015C9" w:rsidP="009015C9">
      <w:pPr>
        <w:spacing w:before="100" w:beforeAutospacing="1" w:after="100" w:afterAutospacing="1" w:line="360" w:lineRule="auto"/>
        <w:jc w:val="both"/>
        <w:rPr>
          <w:rFonts w:ascii="Times New Roman" w:eastAsia="Times New Roman" w:hAnsi="Times New Roman" w:cs="Times New Roman"/>
          <w:sz w:val="24"/>
          <w:szCs w:val="24"/>
        </w:rPr>
      </w:pPr>
      <w:r w:rsidRPr="009015C9">
        <w:rPr>
          <w:rFonts w:ascii="Times New Roman" w:eastAsia="Times New Roman" w:hAnsi="Times New Roman" w:cs="Times New Roman"/>
          <w:sz w:val="24"/>
          <w:szCs w:val="24"/>
        </w:rPr>
        <w:t xml:space="preserve">Sickle cell </w:t>
      </w:r>
      <w:proofErr w:type="spellStart"/>
      <w:r w:rsidRPr="009015C9">
        <w:rPr>
          <w:rFonts w:ascii="Times New Roman" w:eastAsia="Times New Roman" w:hAnsi="Times New Roman" w:cs="Times New Roman"/>
          <w:sz w:val="24"/>
          <w:szCs w:val="24"/>
        </w:rPr>
        <w:t>anaemia</w:t>
      </w:r>
      <w:proofErr w:type="spellEnd"/>
      <w:r w:rsidRPr="009015C9">
        <w:rPr>
          <w:rFonts w:ascii="Times New Roman" w:eastAsia="Times New Roman" w:hAnsi="Times New Roman" w:cs="Times New Roman"/>
          <w:sz w:val="24"/>
          <w:szCs w:val="24"/>
        </w:rPr>
        <w:t xml:space="preserve"> is caused by a point mutation in the β-globin gene, resulting in hemoglobin S (</w:t>
      </w:r>
      <w:proofErr w:type="spellStart"/>
      <w:r w:rsidRPr="009015C9">
        <w:rPr>
          <w:rFonts w:ascii="Times New Roman" w:eastAsia="Times New Roman" w:hAnsi="Times New Roman" w:cs="Times New Roman"/>
          <w:sz w:val="24"/>
          <w:szCs w:val="24"/>
        </w:rPr>
        <w:t>HbS</w:t>
      </w:r>
      <w:proofErr w:type="spellEnd"/>
      <w:r w:rsidRPr="009015C9">
        <w:rPr>
          <w:rFonts w:ascii="Times New Roman" w:eastAsia="Times New Roman" w:hAnsi="Times New Roman" w:cs="Times New Roman"/>
          <w:sz w:val="24"/>
          <w:szCs w:val="24"/>
        </w:rPr>
        <w:t xml:space="preserve">). Under deoxygenated conditions, </w:t>
      </w:r>
      <w:proofErr w:type="spellStart"/>
      <w:r w:rsidRPr="009015C9">
        <w:rPr>
          <w:rFonts w:ascii="Times New Roman" w:eastAsia="Times New Roman" w:hAnsi="Times New Roman" w:cs="Times New Roman"/>
          <w:sz w:val="24"/>
          <w:szCs w:val="24"/>
        </w:rPr>
        <w:t>HbS</w:t>
      </w:r>
      <w:proofErr w:type="spellEnd"/>
      <w:r w:rsidRPr="009015C9">
        <w:rPr>
          <w:rFonts w:ascii="Times New Roman" w:eastAsia="Times New Roman" w:hAnsi="Times New Roman" w:cs="Times New Roman"/>
          <w:sz w:val="24"/>
          <w:szCs w:val="24"/>
        </w:rPr>
        <w:t xml:space="preserve"> polymerizes, distorting red blood cells into a sickle shape. These cells are fragile, prone to hemolysis, and obstruct blood flow, leading to anemia, painful crises, and progressive organ damage. Africa bears the highest burden, with over 300,000 affected births annually, and Nigeria alone contributes nearly half of these cases (</w:t>
      </w:r>
      <w:proofErr w:type="spellStart"/>
      <w:r w:rsidRPr="009015C9">
        <w:rPr>
          <w:rFonts w:ascii="Times New Roman" w:eastAsia="Times New Roman" w:hAnsi="Times New Roman" w:cs="Times New Roman"/>
          <w:sz w:val="24"/>
          <w:szCs w:val="24"/>
        </w:rPr>
        <w:t>Nnodu</w:t>
      </w:r>
      <w:proofErr w:type="spellEnd"/>
      <w:r w:rsidRPr="009015C9">
        <w:rPr>
          <w:rFonts w:ascii="Times New Roman" w:eastAsia="Times New Roman" w:hAnsi="Times New Roman" w:cs="Times New Roman"/>
          <w:sz w:val="24"/>
          <w:szCs w:val="24"/>
        </w:rPr>
        <w:t xml:space="preserve"> et al., 2024). Without early diagnosis and intervention, mortality rates in affected children can exceed 50% before the age of five.</w:t>
      </w:r>
    </w:p>
    <w:p w:rsidR="009015C9" w:rsidRDefault="009015C9" w:rsidP="009015C9">
      <w:pPr>
        <w:spacing w:before="100" w:beforeAutospacing="1" w:after="100" w:afterAutospacing="1" w:line="360" w:lineRule="auto"/>
        <w:jc w:val="both"/>
        <w:rPr>
          <w:rFonts w:ascii="Times New Roman" w:eastAsia="Times New Roman" w:hAnsi="Times New Roman" w:cs="Times New Roman"/>
          <w:sz w:val="24"/>
          <w:szCs w:val="24"/>
        </w:rPr>
      </w:pPr>
      <w:r w:rsidRPr="009015C9">
        <w:rPr>
          <w:rFonts w:ascii="Times New Roman" w:eastAsia="Times New Roman" w:hAnsi="Times New Roman" w:cs="Times New Roman"/>
          <w:sz w:val="24"/>
          <w:szCs w:val="24"/>
        </w:rPr>
        <w:t xml:space="preserve">Historically, diagnosis relied on protein-based assays such as hemoglobin electrophoresis and solubility tests. While useful, these methods lack the precision of molecular diagnostics and often fail to distinguish between carriers and compound heterozygotes. Molecular screening, by directly targeting the genetic mutation responsible for </w:t>
      </w:r>
      <w:proofErr w:type="spellStart"/>
      <w:r w:rsidRPr="009015C9">
        <w:rPr>
          <w:rFonts w:ascii="Times New Roman" w:eastAsia="Times New Roman" w:hAnsi="Times New Roman" w:cs="Times New Roman"/>
          <w:sz w:val="24"/>
          <w:szCs w:val="24"/>
        </w:rPr>
        <w:t>HbS</w:t>
      </w:r>
      <w:proofErr w:type="spellEnd"/>
      <w:r w:rsidRPr="009015C9">
        <w:rPr>
          <w:rFonts w:ascii="Times New Roman" w:eastAsia="Times New Roman" w:hAnsi="Times New Roman" w:cs="Times New Roman"/>
          <w:sz w:val="24"/>
          <w:szCs w:val="24"/>
        </w:rPr>
        <w:t xml:space="preserve">, offers unparalleled accuracy. It can differentiate between homozygous sickle cell disease, heterozygous carriers, and complex genotypes such as </w:t>
      </w:r>
      <w:proofErr w:type="spellStart"/>
      <w:r w:rsidRPr="009015C9">
        <w:rPr>
          <w:rFonts w:ascii="Times New Roman" w:eastAsia="Times New Roman" w:hAnsi="Times New Roman" w:cs="Times New Roman"/>
          <w:sz w:val="24"/>
          <w:szCs w:val="24"/>
        </w:rPr>
        <w:t>HbS</w:t>
      </w:r>
      <w:proofErr w:type="spellEnd"/>
      <w:r w:rsidRPr="009015C9">
        <w:rPr>
          <w:rFonts w:ascii="Times New Roman" w:eastAsia="Times New Roman" w:hAnsi="Times New Roman" w:cs="Times New Roman"/>
          <w:sz w:val="24"/>
          <w:szCs w:val="24"/>
        </w:rPr>
        <w:t>/β-thalassemia. This precision is critical for both clinical management and public health planning</w:t>
      </w:r>
      <w:r w:rsidR="009F2887">
        <w:rPr>
          <w:rFonts w:ascii="Times New Roman" w:eastAsia="Times New Roman" w:hAnsi="Times New Roman" w:cs="Times New Roman"/>
          <w:sz w:val="24"/>
          <w:szCs w:val="24"/>
        </w:rPr>
        <w:t xml:space="preserve"> (Franco et al.2024)</w:t>
      </w:r>
      <w:r w:rsidRPr="009015C9">
        <w:rPr>
          <w:rFonts w:ascii="Times New Roman" w:eastAsia="Times New Roman" w:hAnsi="Times New Roman" w:cs="Times New Roman"/>
          <w:sz w:val="24"/>
          <w:szCs w:val="24"/>
        </w:rPr>
        <w:t>.</w:t>
      </w:r>
    </w:p>
    <w:p w:rsidR="008C57B7" w:rsidRDefault="008C57B7" w:rsidP="009015C9">
      <w:pPr>
        <w:spacing w:before="100" w:beforeAutospacing="1" w:after="100" w:afterAutospacing="1" w:line="360" w:lineRule="auto"/>
        <w:jc w:val="both"/>
        <w:rPr>
          <w:rFonts w:ascii="Times New Roman" w:eastAsia="Times New Roman" w:hAnsi="Times New Roman" w:cs="Times New Roman"/>
          <w:sz w:val="24"/>
          <w:szCs w:val="24"/>
        </w:rPr>
      </w:pPr>
    </w:p>
    <w:p w:rsidR="008C57B7" w:rsidRDefault="008C57B7" w:rsidP="009015C9">
      <w:pPr>
        <w:spacing w:before="100" w:beforeAutospacing="1" w:after="100" w:afterAutospacing="1" w:line="360" w:lineRule="auto"/>
        <w:jc w:val="both"/>
        <w:rPr>
          <w:rFonts w:ascii="Times New Roman" w:eastAsia="Times New Roman" w:hAnsi="Times New Roman" w:cs="Times New Roman"/>
          <w:sz w:val="24"/>
          <w:szCs w:val="24"/>
        </w:rPr>
      </w:pP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lastRenderedPageBreak/>
        <w:t>MOLECULAR SCREENING TECHNIQUES</w:t>
      </w:r>
    </w:p>
    <w:p w:rsidR="0081434F" w:rsidRPr="0081434F" w:rsidRDefault="0081434F" w:rsidP="0081434F">
      <w:pPr>
        <w:spacing w:before="100" w:beforeAutospacing="1" w:after="100" w:afterAutospacing="1" w:line="360" w:lineRule="auto"/>
        <w:jc w:val="both"/>
        <w:outlineLvl w:val="1"/>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 xml:space="preserve">Molecular genetic testing is widely regarded as the gold standard for diagnosing sickle cell </w:t>
      </w:r>
      <w:proofErr w:type="spellStart"/>
      <w:r w:rsidRPr="0081434F">
        <w:rPr>
          <w:rFonts w:ascii="Times New Roman" w:eastAsia="Times New Roman" w:hAnsi="Times New Roman" w:cs="Times New Roman"/>
          <w:sz w:val="24"/>
          <w:szCs w:val="24"/>
        </w:rPr>
        <w:t>anaemia</w:t>
      </w:r>
      <w:proofErr w:type="spellEnd"/>
      <w:r w:rsidRPr="0081434F">
        <w:rPr>
          <w:rFonts w:ascii="Times New Roman" w:eastAsia="Times New Roman" w:hAnsi="Times New Roman" w:cs="Times New Roman"/>
          <w:sz w:val="24"/>
          <w:szCs w:val="24"/>
        </w:rPr>
        <w:t xml:space="preserve"> (SCA), since it directly targets the affected genes and can differentiate between complex mutations (</w:t>
      </w:r>
      <w:proofErr w:type="spellStart"/>
      <w:r w:rsidRPr="0081434F">
        <w:rPr>
          <w:rFonts w:ascii="Times New Roman" w:eastAsia="Times New Roman" w:hAnsi="Times New Roman" w:cs="Times New Roman"/>
          <w:sz w:val="24"/>
          <w:szCs w:val="24"/>
        </w:rPr>
        <w:t>Mashingaidze</w:t>
      </w:r>
      <w:proofErr w:type="spellEnd"/>
      <w:r w:rsidRPr="0081434F">
        <w:rPr>
          <w:rFonts w:ascii="Times New Roman" w:eastAsia="Times New Roman" w:hAnsi="Times New Roman" w:cs="Times New Roman"/>
          <w:sz w:val="24"/>
          <w:szCs w:val="24"/>
        </w:rPr>
        <w:noBreakHyphen/>
        <w:t>Mano et al., 2024). In the Democratic Republic of Congo, Restriction Fragment Length Polymorphism (RFLP) has been adopted as a cost</w:t>
      </w:r>
      <w:r w:rsidRPr="0081434F">
        <w:rPr>
          <w:rFonts w:ascii="Times New Roman" w:eastAsia="Times New Roman" w:hAnsi="Times New Roman" w:cs="Times New Roman"/>
          <w:sz w:val="24"/>
          <w:szCs w:val="24"/>
        </w:rPr>
        <w:noBreakHyphen/>
        <w:t>saving alternative, cutting expenses by half compared to isoelectric focusing. However, the method is still time</w:t>
      </w:r>
      <w:r w:rsidRPr="0081434F">
        <w:rPr>
          <w:rFonts w:ascii="Times New Roman" w:eastAsia="Times New Roman" w:hAnsi="Times New Roman" w:cs="Times New Roman"/>
          <w:sz w:val="24"/>
          <w:szCs w:val="24"/>
        </w:rPr>
        <w:noBreakHyphen/>
        <w:t>intensive and requires trained specialists. Real</w:t>
      </w:r>
      <w:r w:rsidRPr="0081434F">
        <w:rPr>
          <w:rFonts w:ascii="Times New Roman" w:eastAsia="Times New Roman" w:hAnsi="Times New Roman" w:cs="Times New Roman"/>
          <w:sz w:val="24"/>
          <w:szCs w:val="24"/>
        </w:rPr>
        <w:noBreakHyphen/>
        <w:t>time PCR has become popular for its accuracy, though its reliance on specialized reagents and equipment makes it more expensive than protein</w:t>
      </w:r>
      <w:r w:rsidRPr="0081434F">
        <w:rPr>
          <w:rFonts w:ascii="Times New Roman" w:eastAsia="Times New Roman" w:hAnsi="Times New Roman" w:cs="Times New Roman"/>
          <w:sz w:val="24"/>
          <w:szCs w:val="24"/>
        </w:rPr>
        <w:noBreakHyphen/>
        <w:t>based assays. DNA sequencing offers the most detailed insight into the β</w:t>
      </w:r>
      <w:r w:rsidRPr="0081434F">
        <w:rPr>
          <w:rFonts w:ascii="Times New Roman" w:eastAsia="Times New Roman" w:hAnsi="Times New Roman" w:cs="Times New Roman"/>
          <w:sz w:val="24"/>
          <w:szCs w:val="24"/>
        </w:rPr>
        <w:noBreakHyphen/>
        <w:t>globin gene, but its high cost and technical demands often place it out of reach in resource</w:t>
      </w:r>
      <w:r w:rsidRPr="0081434F">
        <w:rPr>
          <w:rFonts w:ascii="Times New Roman" w:eastAsia="Times New Roman" w:hAnsi="Times New Roman" w:cs="Times New Roman"/>
          <w:sz w:val="24"/>
          <w:szCs w:val="24"/>
        </w:rPr>
        <w:noBreakHyphen/>
        <w:t>limited African settings (Christopher et al., 2021).</w:t>
      </w:r>
    </w:p>
    <w:p w:rsidR="0081434F" w:rsidRPr="0081434F" w:rsidRDefault="0081434F" w:rsidP="0081434F">
      <w:pPr>
        <w:spacing w:before="100" w:beforeAutospacing="1" w:after="100" w:afterAutospacing="1" w:line="360" w:lineRule="auto"/>
        <w:jc w:val="both"/>
        <w:outlineLvl w:val="1"/>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Recent innovations are helping to bridge these gaps by reducing both cost and complexity. Recombinase Polymerase Amplification (RPA), for example, can deliver genotyping results in under 30 minutes at a cost of less than $5 USD, with 100% sensitivity for both normal and sickle alleles (</w:t>
      </w:r>
      <w:proofErr w:type="spellStart"/>
      <w:r w:rsidRPr="0081434F">
        <w:rPr>
          <w:rFonts w:ascii="Times New Roman" w:eastAsia="Times New Roman" w:hAnsi="Times New Roman" w:cs="Times New Roman"/>
          <w:sz w:val="24"/>
          <w:szCs w:val="24"/>
        </w:rPr>
        <w:t>Natoli</w:t>
      </w:r>
      <w:proofErr w:type="spellEnd"/>
      <w:r w:rsidRPr="0081434F">
        <w:rPr>
          <w:rFonts w:ascii="Times New Roman" w:eastAsia="Times New Roman" w:hAnsi="Times New Roman" w:cs="Times New Roman"/>
          <w:sz w:val="24"/>
          <w:szCs w:val="24"/>
        </w:rPr>
        <w:t xml:space="preserve"> et al., 2021). Non</w:t>
      </w:r>
      <w:r w:rsidRPr="0081434F">
        <w:rPr>
          <w:rFonts w:ascii="Times New Roman" w:eastAsia="Times New Roman" w:hAnsi="Times New Roman" w:cs="Times New Roman"/>
          <w:sz w:val="24"/>
          <w:szCs w:val="24"/>
        </w:rPr>
        <w:noBreakHyphen/>
        <w:t>invasive sampling methods, such as buccal swabs, have further simplified specimen collection, sparing infants from invasive blood draws (Thakur et al., 2022). Meanwhile, point</w:t>
      </w:r>
      <w:r w:rsidRPr="0081434F">
        <w:rPr>
          <w:rFonts w:ascii="Times New Roman" w:eastAsia="Times New Roman" w:hAnsi="Times New Roman" w:cs="Times New Roman"/>
          <w:sz w:val="24"/>
          <w:szCs w:val="24"/>
        </w:rPr>
        <w:noBreakHyphen/>
        <w:t>of</w:t>
      </w:r>
      <w:r w:rsidRPr="0081434F">
        <w:rPr>
          <w:rFonts w:ascii="Times New Roman" w:eastAsia="Times New Roman" w:hAnsi="Times New Roman" w:cs="Times New Roman"/>
          <w:sz w:val="24"/>
          <w:szCs w:val="24"/>
        </w:rPr>
        <w:noBreakHyphen/>
        <w:t xml:space="preserve">care tools like Sickle SCAN and </w:t>
      </w:r>
      <w:proofErr w:type="spellStart"/>
      <w:r w:rsidRPr="0081434F">
        <w:rPr>
          <w:rFonts w:ascii="Times New Roman" w:eastAsia="Times New Roman" w:hAnsi="Times New Roman" w:cs="Times New Roman"/>
          <w:sz w:val="24"/>
          <w:szCs w:val="24"/>
        </w:rPr>
        <w:t>HemoTypeSC</w:t>
      </w:r>
      <w:proofErr w:type="spellEnd"/>
      <w:r w:rsidRPr="0081434F">
        <w:rPr>
          <w:rFonts w:ascii="Times New Roman" w:eastAsia="Times New Roman" w:hAnsi="Times New Roman" w:cs="Times New Roman"/>
          <w:sz w:val="24"/>
          <w:szCs w:val="24"/>
        </w:rPr>
        <w:t>—though protein</w:t>
      </w:r>
      <w:r w:rsidRPr="0081434F">
        <w:rPr>
          <w:rFonts w:ascii="Times New Roman" w:eastAsia="Times New Roman" w:hAnsi="Times New Roman" w:cs="Times New Roman"/>
          <w:sz w:val="24"/>
          <w:szCs w:val="24"/>
        </w:rPr>
        <w:noBreakHyphen/>
        <w:t>based—have demonstrated the potential of decentralized screening by providing bedside results within minutes (Christopher et al., 2021).</w:t>
      </w: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t>CURRENT LANDSCAPE IN AFRICA</w:t>
      </w:r>
    </w:p>
    <w:p w:rsidR="0081434F" w:rsidRPr="0081434F" w:rsidRDefault="0081434F" w:rsidP="0081434F">
      <w:pPr>
        <w:spacing w:before="100" w:beforeAutospacing="1" w:after="100" w:afterAutospacing="1" w:line="360" w:lineRule="auto"/>
        <w:jc w:val="both"/>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 xml:space="preserve">The adoption of molecular screening for sickle cell </w:t>
      </w:r>
      <w:proofErr w:type="spellStart"/>
      <w:r w:rsidRPr="0081434F">
        <w:rPr>
          <w:rFonts w:ascii="Times New Roman" w:eastAsia="Times New Roman" w:hAnsi="Times New Roman" w:cs="Times New Roman"/>
          <w:sz w:val="24"/>
          <w:szCs w:val="24"/>
        </w:rPr>
        <w:t>anaemia</w:t>
      </w:r>
      <w:proofErr w:type="spellEnd"/>
      <w:r w:rsidRPr="0081434F">
        <w:rPr>
          <w:rFonts w:ascii="Times New Roman" w:eastAsia="Times New Roman" w:hAnsi="Times New Roman" w:cs="Times New Roman"/>
          <w:sz w:val="24"/>
          <w:szCs w:val="24"/>
        </w:rPr>
        <w:t xml:space="preserve"> (SCA) varies widely across the continent. In Nigeria, pilot newborn screening programs using PCR have been introduced, alongside premarital screening initiatives that are often mandated by religious institutions. Ghana has taken steps to integrate molecular diagnostics into its public health strategies, with pilot newborn screening programs launched in Accra. Uganda has explored the use of LAMP assays in teaching hospitals and plays a leading role in the Consortium on Newborn Screening in Africa (CONSA), which supports training and knowledge transfer (</w:t>
      </w:r>
      <w:proofErr w:type="spellStart"/>
      <w:r w:rsidRPr="0081434F">
        <w:rPr>
          <w:rFonts w:ascii="Times New Roman" w:eastAsia="Times New Roman" w:hAnsi="Times New Roman" w:cs="Times New Roman"/>
          <w:sz w:val="24"/>
          <w:szCs w:val="24"/>
        </w:rPr>
        <w:t>Kiyaga</w:t>
      </w:r>
      <w:proofErr w:type="spellEnd"/>
      <w:r w:rsidRPr="0081434F">
        <w:rPr>
          <w:rFonts w:ascii="Times New Roman" w:eastAsia="Times New Roman" w:hAnsi="Times New Roman" w:cs="Times New Roman"/>
          <w:sz w:val="24"/>
          <w:szCs w:val="24"/>
        </w:rPr>
        <w:t xml:space="preserve"> et al., 2024). In Zambia, frontline diagnosis still relies heavily on the sickling test and the sodium </w:t>
      </w:r>
      <w:proofErr w:type="spellStart"/>
      <w:r w:rsidRPr="0081434F">
        <w:rPr>
          <w:rFonts w:ascii="Times New Roman" w:eastAsia="Times New Roman" w:hAnsi="Times New Roman" w:cs="Times New Roman"/>
          <w:sz w:val="24"/>
          <w:szCs w:val="24"/>
        </w:rPr>
        <w:t>metabisulphite</w:t>
      </w:r>
      <w:proofErr w:type="spellEnd"/>
      <w:r w:rsidRPr="0081434F">
        <w:rPr>
          <w:rFonts w:ascii="Times New Roman" w:eastAsia="Times New Roman" w:hAnsi="Times New Roman" w:cs="Times New Roman"/>
          <w:sz w:val="24"/>
          <w:szCs w:val="24"/>
        </w:rPr>
        <w:t xml:space="preserve"> solubility test, valued for their low cost and minimal infrastructure requirements. These assays are routinely </w:t>
      </w:r>
      <w:r w:rsidRPr="0081434F">
        <w:rPr>
          <w:rFonts w:ascii="Times New Roman" w:eastAsia="Times New Roman" w:hAnsi="Times New Roman" w:cs="Times New Roman"/>
          <w:sz w:val="24"/>
          <w:szCs w:val="24"/>
        </w:rPr>
        <w:lastRenderedPageBreak/>
        <w:t>used in district and provincial hospitals, while hemoglobin electrophoresis is more commonly available in teaching hospitals and research centers where resources are stronger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w:t>
      </w:r>
    </w:p>
    <w:p w:rsidR="0081434F" w:rsidRPr="0081434F" w:rsidRDefault="0081434F" w:rsidP="0081434F">
      <w:pPr>
        <w:spacing w:before="100" w:beforeAutospacing="1" w:after="100" w:afterAutospacing="1" w:line="360" w:lineRule="auto"/>
        <w:jc w:val="both"/>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South Africa, by contrast, benefits from advanced laboratory infrastructure that enables molecular diagnostics and sequencing in research centers, though nationwide newborn screening has yet to be implemented (Green et al., 2022). Pilot programs in Angola, Tanzania, and Rwanda are helping to shape national frameworks, while Uganda and Ghana have successfully tested the integration of newborn screening with immunization programs. By leveraging existing health systems, these countries are expanding coverage and demonstrating how molecular screening can be embedded into broader public health strategies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 Green et al., 2022).</w:t>
      </w:r>
    </w:p>
    <w:p w:rsidR="009015C9" w:rsidRPr="009015C9" w:rsidRDefault="009015C9" w:rsidP="00690210">
      <w:pPr>
        <w:spacing w:before="100" w:beforeAutospacing="1" w:after="100" w:afterAutospacing="1" w:line="360" w:lineRule="auto"/>
        <w:jc w:val="both"/>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t>CHALLENGES TO IMPLEMENTATION</w:t>
      </w:r>
    </w:p>
    <w:p w:rsidR="0081434F" w:rsidRPr="0081434F" w:rsidRDefault="0081434F" w:rsidP="0081434F">
      <w:pPr>
        <w:spacing w:before="100" w:beforeAutospacing="1" w:after="100" w:afterAutospacing="1" w:line="360" w:lineRule="auto"/>
        <w:jc w:val="both"/>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 xml:space="preserve">In Ghana, stigma surrounding sickle cell status has been shown to significantly affect participation in screening programs.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 report that nearly one</w:t>
      </w:r>
      <w:r w:rsidRPr="0081434F">
        <w:rPr>
          <w:rFonts w:ascii="Times New Roman" w:eastAsia="Times New Roman" w:hAnsi="Times New Roman" w:cs="Times New Roman"/>
          <w:sz w:val="24"/>
          <w:szCs w:val="24"/>
        </w:rPr>
        <w:noBreakHyphen/>
        <w:t>third of individuals declined premarital screening due to fear of discrimination, highlighting the urgent need for culturally sensitive counseling and stronger community engagement. Financial barriers also remain a major obstacle: the high upfront cost of molecular instruments and the recurring expense of reagents continue to limit accessibility (Christopher et al., 2021). Technical expertise is another constraint, as advanced diagnostic techniques require skilled personnel who are often in short supply across many regions (</w:t>
      </w:r>
      <w:proofErr w:type="spellStart"/>
      <w:r w:rsidRPr="0081434F">
        <w:rPr>
          <w:rFonts w:ascii="Times New Roman" w:eastAsia="Times New Roman" w:hAnsi="Times New Roman" w:cs="Times New Roman"/>
          <w:sz w:val="24"/>
          <w:szCs w:val="24"/>
        </w:rPr>
        <w:t>Mashingaidze</w:t>
      </w:r>
      <w:proofErr w:type="spellEnd"/>
      <w:r w:rsidRPr="0081434F">
        <w:rPr>
          <w:rFonts w:ascii="Times New Roman" w:eastAsia="Times New Roman" w:hAnsi="Times New Roman" w:cs="Times New Roman"/>
          <w:sz w:val="24"/>
          <w:szCs w:val="24"/>
        </w:rPr>
        <w:noBreakHyphen/>
        <w:t>Mano, 2024).</w:t>
      </w:r>
    </w:p>
    <w:p w:rsidR="0081434F" w:rsidRPr="0081434F" w:rsidRDefault="0081434F" w:rsidP="0081434F">
      <w:pPr>
        <w:spacing w:before="100" w:beforeAutospacing="1" w:after="100" w:afterAutospacing="1" w:line="360" w:lineRule="auto"/>
        <w:jc w:val="both"/>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Diagnostic limitations further complicate implementation. Many rapid point</w:t>
      </w:r>
      <w:r w:rsidRPr="0081434F">
        <w:rPr>
          <w:rFonts w:ascii="Times New Roman" w:eastAsia="Times New Roman" w:hAnsi="Times New Roman" w:cs="Times New Roman"/>
          <w:sz w:val="24"/>
          <w:szCs w:val="24"/>
        </w:rPr>
        <w:noBreakHyphen/>
        <w:t>of</w:t>
      </w:r>
      <w:r w:rsidRPr="0081434F">
        <w:rPr>
          <w:rFonts w:ascii="Times New Roman" w:eastAsia="Times New Roman" w:hAnsi="Times New Roman" w:cs="Times New Roman"/>
          <w:sz w:val="24"/>
          <w:szCs w:val="24"/>
        </w:rPr>
        <w:noBreakHyphen/>
        <w:t xml:space="preserve">care tests provide only qualitative results, meaning that complex cases such as </w:t>
      </w:r>
      <w:proofErr w:type="spellStart"/>
      <w:r w:rsidRPr="0081434F">
        <w:rPr>
          <w:rFonts w:ascii="Times New Roman" w:eastAsia="Times New Roman" w:hAnsi="Times New Roman" w:cs="Times New Roman"/>
          <w:sz w:val="24"/>
          <w:szCs w:val="24"/>
        </w:rPr>
        <w:t>HbS</w:t>
      </w:r>
      <w:proofErr w:type="spellEnd"/>
      <w:r w:rsidRPr="0081434F">
        <w:rPr>
          <w:rFonts w:ascii="Times New Roman" w:eastAsia="Times New Roman" w:hAnsi="Times New Roman" w:cs="Times New Roman"/>
          <w:sz w:val="24"/>
          <w:szCs w:val="24"/>
        </w:rPr>
        <w:t>/β</w:t>
      </w:r>
      <w:r w:rsidRPr="0081434F">
        <w:rPr>
          <w:rFonts w:ascii="Times New Roman" w:eastAsia="Times New Roman" w:hAnsi="Times New Roman" w:cs="Times New Roman"/>
          <w:sz w:val="24"/>
          <w:szCs w:val="24"/>
        </w:rPr>
        <w:noBreakHyphen/>
        <w:t>thalassemia often require secondary confirmatory testing (Christopher et al., 2021). Social barriers—including stigma and limited public awareness—reduce uptake of screening programs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 In Zambia, newborn screening has been introduced through pilot initiatives, such as the program at Arthur Davison Children’s Hospital in Ndola under the Consortium on Newborn Screening in Africa (CONSA). While these efforts demonstrate feasibility, they remain externally funded and are not yet embedded within a legislated national framework, raising concerns about sustainability (</w:t>
      </w:r>
      <w:proofErr w:type="spellStart"/>
      <w:r w:rsidRPr="0081434F">
        <w:rPr>
          <w:rFonts w:ascii="Times New Roman" w:eastAsia="Times New Roman" w:hAnsi="Times New Roman" w:cs="Times New Roman"/>
          <w:sz w:val="24"/>
          <w:szCs w:val="24"/>
        </w:rPr>
        <w:t>Makoni</w:t>
      </w:r>
      <w:proofErr w:type="spellEnd"/>
      <w:r w:rsidRPr="0081434F">
        <w:rPr>
          <w:rFonts w:ascii="Times New Roman" w:eastAsia="Times New Roman" w:hAnsi="Times New Roman" w:cs="Times New Roman"/>
          <w:sz w:val="24"/>
          <w:szCs w:val="24"/>
        </w:rPr>
        <w:t xml:space="preserve">, 2021; Green et al., 2022). Scholars emphasize that across Africa, including Zambia, </w:t>
      </w:r>
      <w:r w:rsidRPr="0081434F">
        <w:rPr>
          <w:rFonts w:ascii="Times New Roman" w:eastAsia="Times New Roman" w:hAnsi="Times New Roman" w:cs="Times New Roman"/>
          <w:sz w:val="24"/>
          <w:szCs w:val="24"/>
        </w:rPr>
        <w:lastRenderedPageBreak/>
        <w:t>newborn screening programs often rely heavily on donor support and lack integration into national health systems. This underscores the importance of policy development and government commitment to ensure long</w:t>
      </w:r>
      <w:r w:rsidRPr="0081434F">
        <w:rPr>
          <w:rFonts w:ascii="Times New Roman" w:eastAsia="Times New Roman" w:hAnsi="Times New Roman" w:cs="Times New Roman"/>
          <w:sz w:val="24"/>
          <w:szCs w:val="24"/>
        </w:rPr>
        <w:noBreakHyphen/>
        <w:t>term continuity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w:t>
      </w:r>
    </w:p>
    <w:p w:rsidR="0081434F" w:rsidRDefault="0081434F" w:rsidP="0081434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434F">
        <w:rPr>
          <w:rFonts w:ascii="Times New Roman" w:eastAsia="Times New Roman" w:hAnsi="Times New Roman" w:cs="Times New Roman"/>
          <w:b/>
          <w:bCs/>
          <w:sz w:val="24"/>
          <w:szCs w:val="24"/>
        </w:rPr>
        <w:t xml:space="preserve">OPPORTUNITIES FOR SCALING MOLECULAR SCREENING </w:t>
      </w:r>
    </w:p>
    <w:p w:rsidR="0081434F" w:rsidRPr="0081434F" w:rsidRDefault="0081434F" w:rsidP="0081434F">
      <w:pPr>
        <w:spacing w:before="100" w:beforeAutospacing="1" w:after="100" w:afterAutospacing="1" w:line="360" w:lineRule="auto"/>
        <w:jc w:val="both"/>
        <w:outlineLvl w:val="1"/>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Despite the challenges, there are significant opportunities to expand molecular screening across Africa. Regional collaborations such as the Consortium on Newborn Screening in Africa (CONSA) highlight the benefits of shared expertise and infrastructure. Public</w:t>
      </w:r>
      <w:r w:rsidRPr="0081434F">
        <w:rPr>
          <w:rFonts w:ascii="Times New Roman" w:eastAsia="Times New Roman" w:hAnsi="Times New Roman" w:cs="Times New Roman"/>
          <w:sz w:val="24"/>
          <w:szCs w:val="24"/>
        </w:rPr>
        <w:noBreakHyphen/>
        <w:t>private partnerships can help subsidize the cost of reagents and equipment, making diagnostics more affordable. Integrating screening into existing health programs—such as immunization and maternal</w:t>
      </w:r>
      <w:r w:rsidRPr="0081434F">
        <w:rPr>
          <w:rFonts w:ascii="Times New Roman" w:eastAsia="Times New Roman" w:hAnsi="Times New Roman" w:cs="Times New Roman"/>
          <w:sz w:val="24"/>
          <w:szCs w:val="24"/>
        </w:rPr>
        <w:noBreakHyphen/>
        <w:t>child health services—offers cost</w:t>
      </w:r>
      <w:r w:rsidRPr="0081434F">
        <w:rPr>
          <w:rFonts w:ascii="Times New Roman" w:eastAsia="Times New Roman" w:hAnsi="Times New Roman" w:cs="Times New Roman"/>
          <w:sz w:val="24"/>
          <w:szCs w:val="24"/>
        </w:rPr>
        <w:noBreakHyphen/>
        <w:t>effective pathways to scale (Hsu et al., 2018). Sustained capacity</w:t>
      </w:r>
      <w:r w:rsidRPr="0081434F">
        <w:rPr>
          <w:rFonts w:ascii="Times New Roman" w:eastAsia="Times New Roman" w:hAnsi="Times New Roman" w:cs="Times New Roman"/>
          <w:sz w:val="24"/>
          <w:szCs w:val="24"/>
        </w:rPr>
        <w:noBreakHyphen/>
        <w:t>building initiatives are essential to maintain diagnostic accuracy, while digital health platforms can strengthen data management and ensure continuity of care (</w:t>
      </w:r>
      <w:proofErr w:type="spellStart"/>
      <w:r w:rsidRPr="0081434F">
        <w:rPr>
          <w:rFonts w:ascii="Times New Roman" w:eastAsia="Times New Roman" w:hAnsi="Times New Roman" w:cs="Times New Roman"/>
          <w:sz w:val="24"/>
          <w:szCs w:val="24"/>
        </w:rPr>
        <w:t>Olaniyan</w:t>
      </w:r>
      <w:proofErr w:type="spellEnd"/>
      <w:r w:rsidRPr="0081434F">
        <w:rPr>
          <w:rFonts w:ascii="Times New Roman" w:eastAsia="Times New Roman" w:hAnsi="Times New Roman" w:cs="Times New Roman"/>
          <w:sz w:val="24"/>
          <w:szCs w:val="24"/>
        </w:rPr>
        <w:t xml:space="preserve"> et al., 2023).</w:t>
      </w:r>
    </w:p>
    <w:p w:rsidR="0081434F" w:rsidRPr="0081434F" w:rsidRDefault="0081434F" w:rsidP="0081434F">
      <w:pPr>
        <w:spacing w:before="100" w:beforeAutospacing="1" w:after="100" w:afterAutospacing="1" w:line="360" w:lineRule="auto"/>
        <w:jc w:val="both"/>
        <w:outlineLvl w:val="1"/>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Emerging technologies are also opening new possibilities. CRISPR</w:t>
      </w:r>
      <w:r w:rsidRPr="0081434F">
        <w:rPr>
          <w:rFonts w:ascii="Times New Roman" w:eastAsia="Times New Roman" w:hAnsi="Times New Roman" w:cs="Times New Roman"/>
          <w:sz w:val="24"/>
          <w:szCs w:val="24"/>
        </w:rPr>
        <w:noBreakHyphen/>
        <w:t>based diagnostics, portable sequencing platforms, and AI</w:t>
      </w:r>
      <w:r w:rsidRPr="0081434F">
        <w:rPr>
          <w:rFonts w:ascii="Times New Roman" w:eastAsia="Times New Roman" w:hAnsi="Times New Roman" w:cs="Times New Roman"/>
          <w:sz w:val="24"/>
          <w:szCs w:val="24"/>
        </w:rPr>
        <w:noBreakHyphen/>
        <w:t>driven genomic analysis are increasingly seen as transformative tools that could make molecular screening faster, cheaper, and more accessible in resource</w:t>
      </w:r>
      <w:r w:rsidRPr="0081434F">
        <w:rPr>
          <w:rFonts w:ascii="Times New Roman" w:eastAsia="Times New Roman" w:hAnsi="Times New Roman" w:cs="Times New Roman"/>
          <w:sz w:val="24"/>
          <w:szCs w:val="24"/>
        </w:rPr>
        <w:noBreakHyphen/>
        <w:t>limited settings. Scholars emphasize that successful adoption of these innovations will depend on policy reform, including legislated national newborn screening programs supported by subsidies and sustainable financing mechanisms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 At the same time, community engagement remains critical to addressing stigma around genetic disorders and expanding access to genetic counseling, ensuring families understand both the implications of screening and the interventions available (Green et al., 2022). Ethical frameworks must guide implementation, balancing innovation with principles of consent, privacy, and equity, so that technological advances translate into socially responsible public health practice (The Lancet, 2023; Jeanne &amp; Chung, 2025).</w:t>
      </w: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t>CONCLUSION</w:t>
      </w:r>
    </w:p>
    <w:p w:rsidR="00FD6DB4" w:rsidRPr="00FD6DB4" w:rsidRDefault="00FD6DB4" w:rsidP="00FD6DB4">
      <w:pPr>
        <w:spacing w:before="100" w:beforeAutospacing="1" w:after="100" w:afterAutospacing="1" w:line="360" w:lineRule="auto"/>
        <w:jc w:val="both"/>
        <w:outlineLvl w:val="0"/>
        <w:rPr>
          <w:rFonts w:ascii="Times New Roman" w:eastAsia="Times New Roman" w:hAnsi="Times New Roman" w:cs="Times New Roman"/>
          <w:iCs/>
          <w:sz w:val="24"/>
          <w:szCs w:val="24"/>
        </w:rPr>
      </w:pPr>
      <w:r w:rsidRPr="00FD6DB4">
        <w:rPr>
          <w:rFonts w:ascii="Times New Roman" w:eastAsia="Times New Roman" w:hAnsi="Times New Roman" w:cs="Times New Roman"/>
          <w:iCs/>
          <w:sz w:val="24"/>
          <w:szCs w:val="24"/>
        </w:rPr>
        <w:t>Innovations such as Recombinase Polymerase Amplification (RPA) and buccal swab sampling show that molecular screening can be adapted to African health systems. Yet their long</w:t>
      </w:r>
      <w:r w:rsidRPr="00FD6DB4">
        <w:rPr>
          <w:rFonts w:ascii="Times New Roman" w:eastAsia="Times New Roman" w:hAnsi="Times New Roman" w:cs="Times New Roman"/>
          <w:iCs/>
          <w:sz w:val="24"/>
          <w:szCs w:val="24"/>
        </w:rPr>
        <w:noBreakHyphen/>
        <w:t xml:space="preserve">term success depends on embedding them within national diagnostic frameworks and sustained investment in workforce training and laboratory infrastructure. Persistent barriers—high costs, </w:t>
      </w:r>
      <w:r w:rsidRPr="00FD6DB4">
        <w:rPr>
          <w:rFonts w:ascii="Times New Roman" w:eastAsia="Times New Roman" w:hAnsi="Times New Roman" w:cs="Times New Roman"/>
          <w:iCs/>
          <w:sz w:val="24"/>
          <w:szCs w:val="24"/>
        </w:rPr>
        <w:lastRenderedPageBreak/>
        <w:t>limited laboratory capacity, shortages of skilled personnel, and sociocultural resistance—continue to restrict widespread adoption. Overcoming these challenges will require more than technological progress; it calls for coordinated policy reform, targeted resource allocation, and genuine community engagement.</w:t>
      </w:r>
    </w:p>
    <w:p w:rsidR="00FD6DB4" w:rsidRPr="00FD6DB4" w:rsidRDefault="00FD6DB4" w:rsidP="00FD6DB4">
      <w:pPr>
        <w:spacing w:before="100" w:beforeAutospacing="1" w:after="100" w:afterAutospacing="1" w:line="360" w:lineRule="auto"/>
        <w:jc w:val="both"/>
        <w:outlineLvl w:val="0"/>
        <w:rPr>
          <w:rFonts w:ascii="Times New Roman" w:eastAsia="Times New Roman" w:hAnsi="Times New Roman" w:cs="Times New Roman"/>
          <w:iCs/>
          <w:sz w:val="24"/>
          <w:szCs w:val="24"/>
        </w:rPr>
      </w:pPr>
      <w:r w:rsidRPr="00FD6DB4">
        <w:rPr>
          <w:rFonts w:ascii="Times New Roman" w:eastAsia="Times New Roman" w:hAnsi="Times New Roman" w:cs="Times New Roman"/>
          <w:iCs/>
          <w:sz w:val="24"/>
          <w:szCs w:val="24"/>
        </w:rPr>
        <w:t>The most effective path toward universal screening lies in strategies tailored to local realities, ensuring diagnostic programs are context</w:t>
      </w:r>
      <w:r w:rsidRPr="00FD6DB4">
        <w:rPr>
          <w:rFonts w:ascii="Times New Roman" w:eastAsia="Times New Roman" w:hAnsi="Times New Roman" w:cs="Times New Roman"/>
          <w:iCs/>
          <w:sz w:val="24"/>
          <w:szCs w:val="24"/>
        </w:rPr>
        <w:noBreakHyphen/>
        <w:t xml:space="preserve">appropriate and resilient across Africa’s diverse settings. Given the continent’s disproportionate burden of sickle cell </w:t>
      </w:r>
      <w:proofErr w:type="spellStart"/>
      <w:r w:rsidRPr="00FD6DB4">
        <w:rPr>
          <w:rFonts w:ascii="Times New Roman" w:eastAsia="Times New Roman" w:hAnsi="Times New Roman" w:cs="Times New Roman"/>
          <w:iCs/>
          <w:sz w:val="24"/>
          <w:szCs w:val="24"/>
        </w:rPr>
        <w:t>anaemia</w:t>
      </w:r>
      <w:proofErr w:type="spellEnd"/>
      <w:r w:rsidRPr="00FD6DB4">
        <w:rPr>
          <w:rFonts w:ascii="Times New Roman" w:eastAsia="Times New Roman" w:hAnsi="Times New Roman" w:cs="Times New Roman"/>
          <w:iCs/>
          <w:sz w:val="24"/>
          <w:szCs w:val="24"/>
        </w:rPr>
        <w:t>, universal molecular screening should be treated as a public health priority. This is not an abstract ethical imperative but a practical necessity to reduce preventable mortality and align diagnostic innovation with sustainable policy frameworks.</w:t>
      </w:r>
    </w:p>
    <w:p w:rsidR="00FD6DB4" w:rsidRPr="00FD6DB4" w:rsidRDefault="00FD6DB4" w:rsidP="00FD6DB4">
      <w:pPr>
        <w:spacing w:before="100" w:beforeAutospacing="1" w:after="100" w:afterAutospacing="1" w:line="360" w:lineRule="auto"/>
        <w:jc w:val="both"/>
        <w:outlineLvl w:val="0"/>
        <w:rPr>
          <w:rFonts w:ascii="Times New Roman" w:eastAsia="Times New Roman" w:hAnsi="Times New Roman" w:cs="Times New Roman"/>
          <w:iCs/>
          <w:sz w:val="24"/>
          <w:szCs w:val="24"/>
        </w:rPr>
      </w:pPr>
      <w:r w:rsidRPr="00FD6DB4">
        <w:rPr>
          <w:rFonts w:ascii="Times New Roman" w:eastAsia="Times New Roman" w:hAnsi="Times New Roman" w:cs="Times New Roman"/>
          <w:iCs/>
          <w:sz w:val="24"/>
          <w:szCs w:val="24"/>
        </w:rPr>
        <w:t xml:space="preserve">With coordinated efforts that combine technological innovation, governance reform, and active community participation, Africa can move toward universal screening, early detection, and effective management. The promise of molecular diagnostics is therefore not merely theoretical—it offers a realistic future where sickle cell </w:t>
      </w:r>
      <w:proofErr w:type="spellStart"/>
      <w:r w:rsidRPr="00FD6DB4">
        <w:rPr>
          <w:rFonts w:ascii="Times New Roman" w:eastAsia="Times New Roman" w:hAnsi="Times New Roman" w:cs="Times New Roman"/>
          <w:iCs/>
          <w:sz w:val="24"/>
          <w:szCs w:val="24"/>
        </w:rPr>
        <w:t>anaemia</w:t>
      </w:r>
      <w:proofErr w:type="spellEnd"/>
      <w:r w:rsidRPr="00FD6DB4">
        <w:rPr>
          <w:rFonts w:ascii="Times New Roman" w:eastAsia="Times New Roman" w:hAnsi="Times New Roman" w:cs="Times New Roman"/>
          <w:iCs/>
          <w:sz w:val="24"/>
          <w:szCs w:val="24"/>
        </w:rPr>
        <w:t xml:space="preserve"> is identified early, managed effectively, and </w:t>
      </w:r>
      <w:proofErr w:type="spellStart"/>
      <w:r w:rsidRPr="00FD6DB4">
        <w:rPr>
          <w:rFonts w:ascii="Times New Roman" w:eastAsia="Times New Roman" w:hAnsi="Times New Roman" w:cs="Times New Roman"/>
          <w:iCs/>
          <w:sz w:val="24"/>
          <w:szCs w:val="24"/>
        </w:rPr>
        <w:t>its</w:t>
      </w:r>
      <w:proofErr w:type="spellEnd"/>
      <w:r w:rsidRPr="00FD6DB4">
        <w:rPr>
          <w:rFonts w:ascii="Times New Roman" w:eastAsia="Times New Roman" w:hAnsi="Times New Roman" w:cs="Times New Roman"/>
          <w:iCs/>
          <w:sz w:val="24"/>
          <w:szCs w:val="24"/>
        </w:rPr>
        <w:t xml:space="preserve"> devastating burden substantially reduced.</w:t>
      </w: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9015C9" w:rsidRDefault="008C57B7" w:rsidP="00826DE2">
      <w:pPr>
        <w:spacing w:before="100" w:beforeAutospacing="1" w:after="100" w:afterAutospacing="1" w:line="36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826DE2" w:rsidRPr="009015C9">
        <w:rPr>
          <w:rFonts w:ascii="Times New Roman" w:eastAsia="Times New Roman" w:hAnsi="Times New Roman" w:cs="Times New Roman"/>
          <w:b/>
          <w:bCs/>
          <w:kern w:val="36"/>
          <w:sz w:val="24"/>
          <w:szCs w:val="24"/>
        </w:rPr>
        <w:t>REFERENCES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Alapan</w:t>
      </w:r>
      <w:proofErr w:type="spellEnd"/>
      <w:r w:rsidRPr="00826DE2">
        <w:rPr>
          <w:rFonts w:ascii="Times New Roman" w:eastAsia="Times New Roman" w:hAnsi="Times New Roman" w:cs="Times New Roman"/>
          <w:sz w:val="24"/>
          <w:szCs w:val="24"/>
        </w:rPr>
        <w:t xml:space="preserve">, Y., et al. (2016). Paper-based microchip electrophoresis for hemoglobin variants. </w:t>
      </w:r>
      <w:r w:rsidRPr="00826DE2">
        <w:rPr>
          <w:rFonts w:ascii="Times New Roman" w:eastAsia="Times New Roman" w:hAnsi="Times New Roman" w:cs="Times New Roman"/>
          <w:i/>
          <w:iCs/>
          <w:sz w:val="24"/>
          <w:szCs w:val="24"/>
        </w:rPr>
        <w:t>Analytical Chemistry.</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Almorish</w:t>
      </w:r>
      <w:proofErr w:type="spellEnd"/>
      <w:r w:rsidRPr="00826DE2">
        <w:rPr>
          <w:rFonts w:ascii="Times New Roman" w:eastAsia="Times New Roman" w:hAnsi="Times New Roman" w:cs="Times New Roman"/>
          <w:sz w:val="24"/>
          <w:szCs w:val="24"/>
        </w:rPr>
        <w:t xml:space="preserve">, M. (2024). Multiplexed lateral flow assays for sickle cell screening. </w:t>
      </w:r>
      <w:proofErr w:type="spellStart"/>
      <w:r w:rsidRPr="00826DE2">
        <w:rPr>
          <w:rFonts w:ascii="Times New Roman" w:eastAsia="Times New Roman" w:hAnsi="Times New Roman" w:cs="Times New Roman"/>
          <w:i/>
          <w:iCs/>
          <w:sz w:val="24"/>
          <w:szCs w:val="24"/>
        </w:rPr>
        <w:t>Clinica</w:t>
      </w:r>
      <w:proofErr w:type="spellEnd"/>
      <w:r w:rsidRPr="00826DE2">
        <w:rPr>
          <w:rFonts w:ascii="Times New Roman" w:eastAsia="Times New Roman" w:hAnsi="Times New Roman" w:cs="Times New Roman"/>
          <w:i/>
          <w:iCs/>
          <w:sz w:val="24"/>
          <w:szCs w:val="24"/>
        </w:rPr>
        <w:t xml:space="preserve"> </w:t>
      </w:r>
      <w:proofErr w:type="spellStart"/>
      <w:r w:rsidRPr="00826DE2">
        <w:rPr>
          <w:rFonts w:ascii="Times New Roman" w:eastAsia="Times New Roman" w:hAnsi="Times New Roman" w:cs="Times New Roman"/>
          <w:i/>
          <w:iCs/>
          <w:sz w:val="24"/>
          <w:szCs w:val="24"/>
        </w:rPr>
        <w:t>Chimica</w:t>
      </w:r>
      <w:proofErr w:type="spellEnd"/>
      <w:r w:rsidRPr="00826DE2">
        <w:rPr>
          <w:rFonts w:ascii="Times New Roman" w:eastAsia="Times New Roman" w:hAnsi="Times New Roman" w:cs="Times New Roman"/>
          <w:i/>
          <w:iCs/>
          <w:sz w:val="24"/>
          <w:szCs w:val="24"/>
        </w:rPr>
        <w:t xml:space="preserve"> </w:t>
      </w:r>
      <w:proofErr w:type="spellStart"/>
      <w:r w:rsidRPr="00826DE2">
        <w:rPr>
          <w:rFonts w:ascii="Times New Roman" w:eastAsia="Times New Roman" w:hAnsi="Times New Roman" w:cs="Times New Roman"/>
          <w:i/>
          <w:iCs/>
          <w:sz w:val="24"/>
          <w:szCs w:val="24"/>
        </w:rPr>
        <w:t>Acta</w:t>
      </w:r>
      <w:proofErr w:type="spellEnd"/>
      <w:r w:rsidRPr="00826DE2">
        <w:rPr>
          <w:rFonts w:ascii="Times New Roman" w:eastAsia="Times New Roman" w:hAnsi="Times New Roman" w:cs="Times New Roman"/>
          <w:i/>
          <w:iCs/>
          <w:sz w:val="24"/>
          <w:szCs w:val="24"/>
        </w:rPr>
        <w: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Bond, J., et al. (2017). Decentralized diagnostics for </w:t>
      </w:r>
      <w:proofErr w:type="spellStart"/>
      <w:r w:rsidRPr="00826DE2">
        <w:rPr>
          <w:rFonts w:ascii="Times New Roman" w:eastAsia="Times New Roman" w:hAnsi="Times New Roman" w:cs="Times New Roman"/>
          <w:sz w:val="24"/>
          <w:szCs w:val="24"/>
        </w:rPr>
        <w:t>hemoglobinopathies</w:t>
      </w:r>
      <w:proofErr w:type="spellEnd"/>
      <w:r w:rsidRPr="00826DE2">
        <w:rPr>
          <w:rFonts w:ascii="Times New Roman" w:eastAsia="Times New Roman" w:hAnsi="Times New Roman" w:cs="Times New Roman"/>
          <w:sz w:val="24"/>
          <w:szCs w:val="24"/>
        </w:rPr>
        <w:t xml:space="preserve">. </w:t>
      </w:r>
      <w:r w:rsidRPr="00826DE2">
        <w:rPr>
          <w:rFonts w:ascii="Times New Roman" w:eastAsia="Times New Roman" w:hAnsi="Times New Roman" w:cs="Times New Roman"/>
          <w:i/>
          <w:iCs/>
          <w:sz w:val="24"/>
          <w:szCs w:val="24"/>
        </w:rPr>
        <w:t>American Journal of Hematology.</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Christopher, A., et al. (2021). DNA sequencing in sickle cell diagnostics: African perspectives. </w:t>
      </w:r>
      <w:r w:rsidRPr="00826DE2">
        <w:rPr>
          <w:rFonts w:ascii="Times New Roman" w:eastAsia="Times New Roman" w:hAnsi="Times New Roman" w:cs="Times New Roman"/>
          <w:i/>
          <w:iCs/>
          <w:sz w:val="24"/>
          <w:szCs w:val="24"/>
        </w:rPr>
        <w:t>African Journal of Laboratory Medicine.</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Dexter, D., &amp; </w:t>
      </w:r>
      <w:proofErr w:type="spellStart"/>
      <w:r w:rsidRPr="00826DE2">
        <w:rPr>
          <w:rFonts w:ascii="Times New Roman" w:eastAsia="Times New Roman" w:hAnsi="Times New Roman" w:cs="Times New Roman"/>
          <w:sz w:val="24"/>
          <w:szCs w:val="24"/>
        </w:rPr>
        <w:t>McGann</w:t>
      </w:r>
      <w:proofErr w:type="spellEnd"/>
      <w:r w:rsidRPr="00826DE2">
        <w:rPr>
          <w:rFonts w:ascii="Times New Roman" w:eastAsia="Times New Roman" w:hAnsi="Times New Roman" w:cs="Times New Roman"/>
          <w:sz w:val="24"/>
          <w:szCs w:val="24"/>
        </w:rPr>
        <w:t xml:space="preserve">, P. (2021). Microfluidic integration for bedside sickle cell testing. </w:t>
      </w:r>
      <w:r w:rsidRPr="00826DE2">
        <w:rPr>
          <w:rFonts w:ascii="Times New Roman" w:eastAsia="Times New Roman" w:hAnsi="Times New Roman" w:cs="Times New Roman"/>
          <w:i/>
          <w:iCs/>
          <w:sz w:val="24"/>
          <w:szCs w:val="24"/>
        </w:rPr>
        <w:t>Lab on a Chip.</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Franco, E., </w:t>
      </w:r>
      <w:proofErr w:type="spellStart"/>
      <w:r w:rsidRPr="00826DE2">
        <w:rPr>
          <w:rFonts w:ascii="Times New Roman" w:eastAsia="Times New Roman" w:hAnsi="Times New Roman" w:cs="Times New Roman"/>
          <w:sz w:val="24"/>
          <w:szCs w:val="24"/>
        </w:rPr>
        <w:t>Karkoska</w:t>
      </w:r>
      <w:proofErr w:type="spellEnd"/>
      <w:r w:rsidRPr="00826DE2">
        <w:rPr>
          <w:rFonts w:ascii="Times New Roman" w:eastAsia="Times New Roman" w:hAnsi="Times New Roman" w:cs="Times New Roman"/>
          <w:sz w:val="24"/>
          <w:szCs w:val="24"/>
        </w:rPr>
        <w:t xml:space="preserve">, K. A., &amp; </w:t>
      </w:r>
      <w:proofErr w:type="spellStart"/>
      <w:r w:rsidRPr="00826DE2">
        <w:rPr>
          <w:rFonts w:ascii="Times New Roman" w:eastAsia="Times New Roman" w:hAnsi="Times New Roman" w:cs="Times New Roman"/>
          <w:sz w:val="24"/>
          <w:szCs w:val="24"/>
        </w:rPr>
        <w:t>McGann</w:t>
      </w:r>
      <w:proofErr w:type="spellEnd"/>
      <w:r w:rsidRPr="00826DE2">
        <w:rPr>
          <w:rFonts w:ascii="Times New Roman" w:eastAsia="Times New Roman" w:hAnsi="Times New Roman" w:cs="Times New Roman"/>
          <w:sz w:val="24"/>
          <w:szCs w:val="24"/>
        </w:rPr>
        <w:t xml:space="preserve">, P. T. (2024). Inherited disorders of hemoglobin: A review of old and new diagnostic methods. </w:t>
      </w:r>
      <w:r w:rsidRPr="00826DE2">
        <w:rPr>
          <w:rFonts w:ascii="Times New Roman" w:eastAsia="Times New Roman" w:hAnsi="Times New Roman" w:cs="Times New Roman"/>
          <w:i/>
          <w:iCs/>
          <w:sz w:val="24"/>
          <w:szCs w:val="24"/>
        </w:rPr>
        <w:t>Blood Cells, Molecules, and Diseases, 104,</w:t>
      </w:r>
      <w:r w:rsidRPr="00826DE2">
        <w:rPr>
          <w:rFonts w:ascii="Times New Roman" w:eastAsia="Times New Roman" w:hAnsi="Times New Roman" w:cs="Times New Roman"/>
          <w:sz w:val="24"/>
          <w:szCs w:val="24"/>
        </w:rPr>
        <w:t xml:space="preserve"> 102758.</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Genomic newborn screening: Current concerns and challenges. (2023). </w:t>
      </w:r>
      <w:r w:rsidRPr="00826DE2">
        <w:rPr>
          <w:rFonts w:ascii="Times New Roman" w:eastAsia="Times New Roman" w:hAnsi="Times New Roman" w:cs="Times New Roman"/>
          <w:i/>
          <w:iCs/>
          <w:sz w:val="24"/>
          <w:szCs w:val="24"/>
        </w:rPr>
        <w:t>The Lancet.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Green, N. S., </w:t>
      </w:r>
      <w:proofErr w:type="spellStart"/>
      <w:r w:rsidRPr="00826DE2">
        <w:rPr>
          <w:rFonts w:ascii="Times New Roman" w:eastAsia="Times New Roman" w:hAnsi="Times New Roman" w:cs="Times New Roman"/>
          <w:sz w:val="24"/>
          <w:szCs w:val="24"/>
        </w:rPr>
        <w:t>Zapfel</w:t>
      </w:r>
      <w:proofErr w:type="spellEnd"/>
      <w:r w:rsidRPr="00826DE2">
        <w:rPr>
          <w:rFonts w:ascii="Times New Roman" w:eastAsia="Times New Roman" w:hAnsi="Times New Roman" w:cs="Times New Roman"/>
          <w:sz w:val="24"/>
          <w:szCs w:val="24"/>
        </w:rPr>
        <w:t xml:space="preserve">, A., </w:t>
      </w:r>
      <w:proofErr w:type="spellStart"/>
      <w:r w:rsidRPr="00826DE2">
        <w:rPr>
          <w:rFonts w:ascii="Times New Roman" w:eastAsia="Times New Roman" w:hAnsi="Times New Roman" w:cs="Times New Roman"/>
          <w:sz w:val="24"/>
          <w:szCs w:val="24"/>
        </w:rPr>
        <w:t>Nnodu</w:t>
      </w:r>
      <w:proofErr w:type="spellEnd"/>
      <w:r w:rsidRPr="00826DE2">
        <w:rPr>
          <w:rFonts w:ascii="Times New Roman" w:eastAsia="Times New Roman" w:hAnsi="Times New Roman" w:cs="Times New Roman"/>
          <w:sz w:val="24"/>
          <w:szCs w:val="24"/>
        </w:rPr>
        <w:t xml:space="preserve">, O. E., et al. (2022). The Consortium on Newborn Screening in Africa for sickle cell disease: Study rationale and methodology. </w:t>
      </w:r>
      <w:r w:rsidRPr="00826DE2">
        <w:rPr>
          <w:rFonts w:ascii="Times New Roman" w:eastAsia="Times New Roman" w:hAnsi="Times New Roman" w:cs="Times New Roman"/>
          <w:i/>
          <w:iCs/>
          <w:sz w:val="24"/>
          <w:szCs w:val="24"/>
        </w:rPr>
        <w:t>Blood Advances.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Hasan, M., et al. (2020). Portable </w:t>
      </w:r>
      <w:proofErr w:type="spellStart"/>
      <w:r w:rsidRPr="00826DE2">
        <w:rPr>
          <w:rFonts w:ascii="Times New Roman" w:eastAsia="Times New Roman" w:hAnsi="Times New Roman" w:cs="Times New Roman"/>
          <w:sz w:val="24"/>
          <w:szCs w:val="24"/>
        </w:rPr>
        <w:t>biosensing</w:t>
      </w:r>
      <w:proofErr w:type="spellEnd"/>
      <w:r w:rsidRPr="00826DE2">
        <w:rPr>
          <w:rFonts w:ascii="Times New Roman" w:eastAsia="Times New Roman" w:hAnsi="Times New Roman" w:cs="Times New Roman"/>
          <w:sz w:val="24"/>
          <w:szCs w:val="24"/>
        </w:rPr>
        <w:t xml:space="preserve"> technologies for sickle cell disease. </w:t>
      </w:r>
      <w:r w:rsidRPr="00826DE2">
        <w:rPr>
          <w:rFonts w:ascii="Times New Roman" w:eastAsia="Times New Roman" w:hAnsi="Times New Roman" w:cs="Times New Roman"/>
          <w:i/>
          <w:iCs/>
          <w:sz w:val="24"/>
          <w:szCs w:val="24"/>
        </w:rPr>
        <w:t>Biosensors and Bioelectronics.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Hsu, L., et al. (2018). Newborn screening for sickle cell disease: Global perspectives. </w:t>
      </w:r>
      <w:r w:rsidRPr="00826DE2">
        <w:rPr>
          <w:rFonts w:ascii="Times New Roman" w:eastAsia="Times New Roman" w:hAnsi="Times New Roman" w:cs="Times New Roman"/>
          <w:i/>
          <w:iCs/>
          <w:sz w:val="24"/>
          <w:szCs w:val="24"/>
        </w:rPr>
        <w:t>International Journal of Neonatal Screening.</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Ilyas</w:t>
      </w:r>
      <w:proofErr w:type="spellEnd"/>
      <w:r w:rsidRPr="00826DE2">
        <w:rPr>
          <w:rFonts w:ascii="Times New Roman" w:eastAsia="Times New Roman" w:hAnsi="Times New Roman" w:cs="Times New Roman"/>
          <w:sz w:val="24"/>
          <w:szCs w:val="24"/>
        </w:rPr>
        <w:t xml:space="preserve">, A., et al. (2019). Point-of-care molecular diagnostics in low-resource settings. </w:t>
      </w:r>
      <w:r w:rsidRPr="00826DE2">
        <w:rPr>
          <w:rFonts w:ascii="Times New Roman" w:eastAsia="Times New Roman" w:hAnsi="Times New Roman" w:cs="Times New Roman"/>
          <w:i/>
          <w:iCs/>
          <w:sz w:val="24"/>
          <w:szCs w:val="24"/>
        </w:rPr>
        <w:t>Diagnostics (Basel).</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Jeanne, M., &amp; Chung, W. C. (2025). DNA sequencing in newborn screening: Opportunities, challenges, and future directions. </w:t>
      </w:r>
      <w:r w:rsidRPr="00826DE2">
        <w:rPr>
          <w:rFonts w:ascii="Times New Roman" w:eastAsia="Times New Roman" w:hAnsi="Times New Roman" w:cs="Times New Roman"/>
          <w:i/>
          <w:iCs/>
          <w:sz w:val="24"/>
          <w:szCs w:val="24"/>
        </w:rPr>
        <w:t>Clinical Chemistry.</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Kiyaga</w:t>
      </w:r>
      <w:proofErr w:type="spellEnd"/>
      <w:r w:rsidRPr="00826DE2">
        <w:rPr>
          <w:rFonts w:ascii="Times New Roman" w:eastAsia="Times New Roman" w:hAnsi="Times New Roman" w:cs="Times New Roman"/>
          <w:sz w:val="24"/>
          <w:szCs w:val="24"/>
        </w:rPr>
        <w:t xml:space="preserve">, C., et al. (2024). Consortium on Newborn Screening in Africa: Training and knowledge transfer. </w:t>
      </w:r>
      <w:r w:rsidRPr="00826DE2">
        <w:rPr>
          <w:rFonts w:ascii="Times New Roman" w:eastAsia="Times New Roman" w:hAnsi="Times New Roman" w:cs="Times New Roman"/>
          <w:i/>
          <w:iCs/>
          <w:sz w:val="24"/>
          <w:szCs w:val="24"/>
        </w:rPr>
        <w:t>Blood Advances.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Makoni</w:t>
      </w:r>
      <w:proofErr w:type="spellEnd"/>
      <w:r w:rsidRPr="00826DE2">
        <w:rPr>
          <w:rFonts w:ascii="Times New Roman" w:eastAsia="Times New Roman" w:hAnsi="Times New Roman" w:cs="Times New Roman"/>
          <w:sz w:val="24"/>
          <w:szCs w:val="24"/>
        </w:rPr>
        <w:t xml:space="preserve">, M. (2021). Newborn screening for sickle cell disease in Africa. </w:t>
      </w:r>
      <w:r w:rsidRPr="00826DE2">
        <w:rPr>
          <w:rFonts w:ascii="Times New Roman" w:eastAsia="Times New Roman" w:hAnsi="Times New Roman" w:cs="Times New Roman"/>
          <w:i/>
          <w:iCs/>
          <w:sz w:val="24"/>
          <w:szCs w:val="24"/>
        </w:rPr>
        <w:t xml:space="preserve">The Lancet </w:t>
      </w:r>
      <w:proofErr w:type="spellStart"/>
      <w:r w:rsidRPr="00826DE2">
        <w:rPr>
          <w:rFonts w:ascii="Times New Roman" w:eastAsia="Times New Roman" w:hAnsi="Times New Roman" w:cs="Times New Roman"/>
          <w:i/>
          <w:iCs/>
          <w:sz w:val="24"/>
          <w:szCs w:val="24"/>
        </w:rPr>
        <w:t>Haematology</w:t>
      </w:r>
      <w:proofErr w:type="spellEnd"/>
      <w:r w:rsidRPr="00826DE2">
        <w:rPr>
          <w:rFonts w:ascii="Times New Roman" w:eastAsia="Times New Roman" w:hAnsi="Times New Roman" w:cs="Times New Roman"/>
          <w:i/>
          <w:iCs/>
          <w:sz w:val="24"/>
          <w:szCs w:val="24"/>
        </w:rPr>
        <w: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lastRenderedPageBreak/>
        <w:t>Mashingaidze</w:t>
      </w:r>
      <w:proofErr w:type="spellEnd"/>
      <w:r w:rsidRPr="00826DE2">
        <w:rPr>
          <w:rFonts w:ascii="Times New Roman" w:eastAsia="Times New Roman" w:hAnsi="Times New Roman" w:cs="Times New Roman"/>
          <w:sz w:val="24"/>
          <w:szCs w:val="24"/>
        </w:rPr>
        <w:t xml:space="preserve">-Mano, O., et al. (2024). Molecular genetic tests as the gold standard for sickle cell diagnosis. </w:t>
      </w:r>
      <w:r w:rsidRPr="00826DE2">
        <w:rPr>
          <w:rFonts w:ascii="Times New Roman" w:eastAsia="Times New Roman" w:hAnsi="Times New Roman" w:cs="Times New Roman"/>
          <w:i/>
          <w:iCs/>
          <w:sz w:val="24"/>
          <w:szCs w:val="24"/>
        </w:rPr>
        <w:t>African Journal of Medical Sciences.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McGann</w:t>
      </w:r>
      <w:proofErr w:type="spellEnd"/>
      <w:r w:rsidRPr="00826DE2">
        <w:rPr>
          <w:rFonts w:ascii="Times New Roman" w:eastAsia="Times New Roman" w:hAnsi="Times New Roman" w:cs="Times New Roman"/>
          <w:sz w:val="24"/>
          <w:szCs w:val="24"/>
        </w:rPr>
        <w:t xml:space="preserve">, P., &amp; Hoppe, C. (2017). Policy and partnerships in sickle cell screening. </w:t>
      </w:r>
      <w:r w:rsidRPr="00826DE2">
        <w:rPr>
          <w:rFonts w:ascii="Times New Roman" w:eastAsia="Times New Roman" w:hAnsi="Times New Roman" w:cs="Times New Roman"/>
          <w:i/>
          <w:iCs/>
          <w:sz w:val="24"/>
          <w:szCs w:val="24"/>
        </w:rPr>
        <w:t>Pediatric Blood &amp; Cancer.</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Natoli</w:t>
      </w:r>
      <w:proofErr w:type="spellEnd"/>
      <w:r w:rsidRPr="00826DE2">
        <w:rPr>
          <w:rFonts w:ascii="Times New Roman" w:eastAsia="Times New Roman" w:hAnsi="Times New Roman" w:cs="Times New Roman"/>
          <w:sz w:val="24"/>
          <w:szCs w:val="24"/>
        </w:rPr>
        <w:t xml:space="preserve">, J. L., et al. (2021). Advances in low-cost molecular diagnostics for </w:t>
      </w:r>
      <w:proofErr w:type="spellStart"/>
      <w:r w:rsidRPr="00826DE2">
        <w:rPr>
          <w:rFonts w:ascii="Times New Roman" w:eastAsia="Times New Roman" w:hAnsi="Times New Roman" w:cs="Times New Roman"/>
          <w:sz w:val="24"/>
          <w:szCs w:val="24"/>
        </w:rPr>
        <w:t>hemoglobinopathies</w:t>
      </w:r>
      <w:proofErr w:type="spellEnd"/>
      <w:r w:rsidRPr="00826DE2">
        <w:rPr>
          <w:rFonts w:ascii="Times New Roman" w:eastAsia="Times New Roman" w:hAnsi="Times New Roman" w:cs="Times New Roman"/>
          <w:sz w:val="24"/>
          <w:szCs w:val="24"/>
        </w:rPr>
        <w:t xml:space="preserve">. </w:t>
      </w:r>
      <w:r w:rsidRPr="00826DE2">
        <w:rPr>
          <w:rFonts w:ascii="Times New Roman" w:eastAsia="Times New Roman" w:hAnsi="Times New Roman" w:cs="Times New Roman"/>
          <w:i/>
          <w:iCs/>
          <w:sz w:val="24"/>
          <w:szCs w:val="24"/>
        </w:rPr>
        <w:t>Frontiers in Genetics.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Nnodu</w:t>
      </w:r>
      <w:proofErr w:type="spellEnd"/>
      <w:r w:rsidRPr="00826DE2">
        <w:rPr>
          <w:rFonts w:ascii="Times New Roman" w:eastAsia="Times New Roman" w:hAnsi="Times New Roman" w:cs="Times New Roman"/>
          <w:sz w:val="24"/>
          <w:szCs w:val="24"/>
        </w:rPr>
        <w:t xml:space="preserve">, O., et al. (2024). Molecular screening for sickle cell </w:t>
      </w:r>
      <w:proofErr w:type="spellStart"/>
      <w:r w:rsidRPr="00826DE2">
        <w:rPr>
          <w:rFonts w:ascii="Times New Roman" w:eastAsia="Times New Roman" w:hAnsi="Times New Roman" w:cs="Times New Roman"/>
          <w:sz w:val="24"/>
          <w:szCs w:val="24"/>
        </w:rPr>
        <w:t>anaemia</w:t>
      </w:r>
      <w:proofErr w:type="spellEnd"/>
      <w:r w:rsidRPr="00826DE2">
        <w:rPr>
          <w:rFonts w:ascii="Times New Roman" w:eastAsia="Times New Roman" w:hAnsi="Times New Roman" w:cs="Times New Roman"/>
          <w:sz w:val="24"/>
          <w:szCs w:val="24"/>
        </w:rPr>
        <w:t xml:space="preserve"> in Africa: Prevalence and public health implications. </w:t>
      </w:r>
      <w:r w:rsidRPr="00826DE2">
        <w:rPr>
          <w:rFonts w:ascii="Times New Roman" w:eastAsia="Times New Roman" w:hAnsi="Times New Roman" w:cs="Times New Roman"/>
          <w:i/>
          <w:iCs/>
          <w:sz w:val="24"/>
          <w:szCs w:val="24"/>
        </w:rPr>
        <w:t xml:space="preserve">African Journal of </w:t>
      </w:r>
      <w:proofErr w:type="spellStart"/>
      <w:r w:rsidRPr="00826DE2">
        <w:rPr>
          <w:rFonts w:ascii="Times New Roman" w:eastAsia="Times New Roman" w:hAnsi="Times New Roman" w:cs="Times New Roman"/>
          <w:i/>
          <w:iCs/>
          <w:sz w:val="24"/>
          <w:szCs w:val="24"/>
        </w:rPr>
        <w:t>Haematology</w:t>
      </w:r>
      <w:proofErr w:type="spellEnd"/>
      <w:r w:rsidRPr="00826DE2">
        <w:rPr>
          <w:rFonts w:ascii="Times New Roman" w:eastAsia="Times New Roman" w:hAnsi="Times New Roman" w:cs="Times New Roman"/>
          <w:i/>
          <w:iCs/>
          <w:sz w:val="24"/>
          <w:szCs w:val="24"/>
        </w:rPr>
        <w: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Okeke</w:t>
      </w:r>
      <w:proofErr w:type="spellEnd"/>
      <w:r w:rsidRPr="00826DE2">
        <w:rPr>
          <w:rFonts w:ascii="Times New Roman" w:eastAsia="Times New Roman" w:hAnsi="Times New Roman" w:cs="Times New Roman"/>
          <w:sz w:val="24"/>
          <w:szCs w:val="24"/>
        </w:rPr>
        <w:t xml:space="preserve">, N., et al. (2024). Tailoring screening strategies to local contexts. </w:t>
      </w:r>
      <w:r w:rsidRPr="00826DE2">
        <w:rPr>
          <w:rFonts w:ascii="Times New Roman" w:eastAsia="Times New Roman" w:hAnsi="Times New Roman" w:cs="Times New Roman"/>
          <w:i/>
          <w:iCs/>
          <w:sz w:val="24"/>
          <w:szCs w:val="24"/>
        </w:rPr>
        <w:t xml:space="preserve">African Journal of </w:t>
      </w:r>
      <w:proofErr w:type="spellStart"/>
      <w:r w:rsidRPr="00826DE2">
        <w:rPr>
          <w:rFonts w:ascii="Times New Roman" w:eastAsia="Times New Roman" w:hAnsi="Times New Roman" w:cs="Times New Roman"/>
          <w:i/>
          <w:iCs/>
          <w:sz w:val="24"/>
          <w:szCs w:val="24"/>
        </w:rPr>
        <w:t>Haematology</w:t>
      </w:r>
      <w:proofErr w:type="spellEnd"/>
      <w:r w:rsidRPr="00826DE2">
        <w:rPr>
          <w:rFonts w:ascii="Times New Roman" w:eastAsia="Times New Roman" w:hAnsi="Times New Roman" w:cs="Times New Roman"/>
          <w:i/>
          <w:iCs/>
          <w:sz w:val="24"/>
          <w:szCs w:val="24"/>
        </w:rPr>
        <w: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Olaniyan</w:t>
      </w:r>
      <w:proofErr w:type="spellEnd"/>
      <w:r w:rsidRPr="00826DE2">
        <w:rPr>
          <w:rFonts w:ascii="Times New Roman" w:eastAsia="Times New Roman" w:hAnsi="Times New Roman" w:cs="Times New Roman"/>
          <w:sz w:val="24"/>
          <w:szCs w:val="24"/>
        </w:rPr>
        <w:t xml:space="preserve">, O., et al. (2023). Dried blood spot diagnostics in vaccination clinics. </w:t>
      </w:r>
      <w:r w:rsidRPr="00826DE2">
        <w:rPr>
          <w:rFonts w:ascii="Times New Roman" w:eastAsia="Times New Roman" w:hAnsi="Times New Roman" w:cs="Times New Roman"/>
          <w:i/>
          <w:iCs/>
          <w:sz w:val="24"/>
          <w:szCs w:val="24"/>
        </w:rPr>
        <w:t>African Journal of Laboratory Medicine.</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Rajamani</w:t>
      </w:r>
      <w:proofErr w:type="spellEnd"/>
      <w:r w:rsidRPr="00826DE2">
        <w:rPr>
          <w:rFonts w:ascii="Times New Roman" w:eastAsia="Times New Roman" w:hAnsi="Times New Roman" w:cs="Times New Roman"/>
          <w:sz w:val="24"/>
          <w:szCs w:val="24"/>
        </w:rPr>
        <w:t xml:space="preserve">, S., et al. (2025). Community engagement and stigma reduction in sickle cell programs. </w:t>
      </w:r>
      <w:r w:rsidRPr="00826DE2">
        <w:rPr>
          <w:rFonts w:ascii="Times New Roman" w:eastAsia="Times New Roman" w:hAnsi="Times New Roman" w:cs="Times New Roman"/>
          <w:i/>
          <w:iCs/>
          <w:sz w:val="24"/>
          <w:szCs w:val="24"/>
        </w:rPr>
        <w:t>Health Policy and Planning.</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Sharma, R., &amp; </w:t>
      </w:r>
      <w:proofErr w:type="spellStart"/>
      <w:r w:rsidRPr="00826DE2">
        <w:rPr>
          <w:rFonts w:ascii="Times New Roman" w:eastAsia="Times New Roman" w:hAnsi="Times New Roman" w:cs="Times New Roman"/>
          <w:sz w:val="24"/>
          <w:szCs w:val="24"/>
        </w:rPr>
        <w:t>Upadhyay</w:t>
      </w:r>
      <w:proofErr w:type="spellEnd"/>
      <w:r w:rsidRPr="00826DE2">
        <w:rPr>
          <w:rFonts w:ascii="Times New Roman" w:eastAsia="Times New Roman" w:hAnsi="Times New Roman" w:cs="Times New Roman"/>
          <w:sz w:val="24"/>
          <w:szCs w:val="24"/>
        </w:rPr>
        <w:t xml:space="preserve">, S. (2024). Scalable </w:t>
      </w:r>
      <w:proofErr w:type="spellStart"/>
      <w:r w:rsidRPr="00826DE2">
        <w:rPr>
          <w:rFonts w:ascii="Times New Roman" w:eastAsia="Times New Roman" w:hAnsi="Times New Roman" w:cs="Times New Roman"/>
          <w:sz w:val="24"/>
          <w:szCs w:val="24"/>
        </w:rPr>
        <w:t>biosensing</w:t>
      </w:r>
      <w:proofErr w:type="spellEnd"/>
      <w:r w:rsidRPr="00826DE2">
        <w:rPr>
          <w:rFonts w:ascii="Times New Roman" w:eastAsia="Times New Roman" w:hAnsi="Times New Roman" w:cs="Times New Roman"/>
          <w:sz w:val="24"/>
          <w:szCs w:val="24"/>
        </w:rPr>
        <w:t xml:space="preserve"> solutions for rural health. </w:t>
      </w:r>
      <w:r w:rsidRPr="00826DE2">
        <w:rPr>
          <w:rFonts w:ascii="Times New Roman" w:eastAsia="Times New Roman" w:hAnsi="Times New Roman" w:cs="Times New Roman"/>
          <w:i/>
          <w:iCs/>
          <w:sz w:val="24"/>
          <w:szCs w:val="24"/>
        </w:rPr>
        <w:t>Rural Health Innovation Journal.</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Thakur, R., et al. (2022). Non-invasive buccal swab assays for infant screening. </w:t>
      </w:r>
      <w:r w:rsidRPr="00826DE2">
        <w:rPr>
          <w:rFonts w:ascii="Times New Roman" w:eastAsia="Times New Roman" w:hAnsi="Times New Roman" w:cs="Times New Roman"/>
          <w:i/>
          <w:iCs/>
          <w:sz w:val="24"/>
          <w:szCs w:val="24"/>
        </w:rPr>
        <w:t>Pediatric Hematology and Oncology.</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Twum</w:t>
      </w:r>
      <w:proofErr w:type="spellEnd"/>
      <w:r w:rsidRPr="00826DE2">
        <w:rPr>
          <w:rFonts w:ascii="Times New Roman" w:eastAsia="Times New Roman" w:hAnsi="Times New Roman" w:cs="Times New Roman"/>
          <w:sz w:val="24"/>
          <w:szCs w:val="24"/>
        </w:rPr>
        <w:t xml:space="preserve">, S., </w:t>
      </w:r>
      <w:proofErr w:type="spellStart"/>
      <w:r w:rsidRPr="00826DE2">
        <w:rPr>
          <w:rFonts w:ascii="Times New Roman" w:eastAsia="Times New Roman" w:hAnsi="Times New Roman" w:cs="Times New Roman"/>
          <w:sz w:val="24"/>
          <w:szCs w:val="24"/>
        </w:rPr>
        <w:t>Fosu</w:t>
      </w:r>
      <w:proofErr w:type="spellEnd"/>
      <w:r w:rsidRPr="00826DE2">
        <w:rPr>
          <w:rFonts w:ascii="Times New Roman" w:eastAsia="Times New Roman" w:hAnsi="Times New Roman" w:cs="Times New Roman"/>
          <w:sz w:val="24"/>
          <w:szCs w:val="24"/>
        </w:rPr>
        <w:t xml:space="preserve">, K., Felder, R. A., &amp; </w:t>
      </w:r>
      <w:proofErr w:type="spellStart"/>
      <w:r w:rsidRPr="00826DE2">
        <w:rPr>
          <w:rFonts w:ascii="Times New Roman" w:eastAsia="Times New Roman" w:hAnsi="Times New Roman" w:cs="Times New Roman"/>
          <w:sz w:val="24"/>
          <w:szCs w:val="24"/>
        </w:rPr>
        <w:t>Sarpong</w:t>
      </w:r>
      <w:proofErr w:type="spellEnd"/>
      <w:r w:rsidRPr="00826DE2">
        <w:rPr>
          <w:rFonts w:ascii="Times New Roman" w:eastAsia="Times New Roman" w:hAnsi="Times New Roman" w:cs="Times New Roman"/>
          <w:sz w:val="24"/>
          <w:szCs w:val="24"/>
        </w:rPr>
        <w:t xml:space="preserve">, K. A. N. (2023). Bridging the gaps in newborn screening </w:t>
      </w:r>
      <w:proofErr w:type="spellStart"/>
      <w:r w:rsidRPr="00826DE2">
        <w:rPr>
          <w:rFonts w:ascii="Times New Roman" w:eastAsia="Times New Roman" w:hAnsi="Times New Roman" w:cs="Times New Roman"/>
          <w:sz w:val="24"/>
          <w:szCs w:val="24"/>
        </w:rPr>
        <w:t>programmes</w:t>
      </w:r>
      <w:proofErr w:type="spellEnd"/>
      <w:r w:rsidRPr="00826DE2">
        <w:rPr>
          <w:rFonts w:ascii="Times New Roman" w:eastAsia="Times New Roman" w:hAnsi="Times New Roman" w:cs="Times New Roman"/>
          <w:sz w:val="24"/>
          <w:szCs w:val="24"/>
        </w:rPr>
        <w:t xml:space="preserve">: Challenges and opportunities to detect </w:t>
      </w:r>
      <w:proofErr w:type="spellStart"/>
      <w:r w:rsidRPr="00826DE2">
        <w:rPr>
          <w:rFonts w:ascii="Times New Roman" w:eastAsia="Times New Roman" w:hAnsi="Times New Roman" w:cs="Times New Roman"/>
          <w:sz w:val="24"/>
          <w:szCs w:val="24"/>
        </w:rPr>
        <w:t>haemoglobinopathies</w:t>
      </w:r>
      <w:proofErr w:type="spellEnd"/>
      <w:r w:rsidRPr="00826DE2">
        <w:rPr>
          <w:rFonts w:ascii="Times New Roman" w:eastAsia="Times New Roman" w:hAnsi="Times New Roman" w:cs="Times New Roman"/>
          <w:sz w:val="24"/>
          <w:szCs w:val="24"/>
        </w:rPr>
        <w:t xml:space="preserve"> in Africa. </w:t>
      </w:r>
      <w:r w:rsidRPr="00826DE2">
        <w:rPr>
          <w:rFonts w:ascii="Times New Roman" w:eastAsia="Times New Roman" w:hAnsi="Times New Roman" w:cs="Times New Roman"/>
          <w:i/>
          <w:iCs/>
          <w:sz w:val="24"/>
          <w:szCs w:val="24"/>
        </w:rPr>
        <w:t>African Journal of Laboratory Medicine, 12</w:t>
      </w:r>
      <w:r w:rsidRPr="00826DE2">
        <w:rPr>
          <w:rFonts w:ascii="Times New Roman" w:eastAsia="Times New Roman" w:hAnsi="Times New Roman" w:cs="Times New Roman"/>
          <w:sz w:val="24"/>
          <w:szCs w:val="24"/>
        </w:rPr>
        <w:t>(1), a2255. https://doi.org/10.4102/ajlm.v12i1.2255</w:t>
      </w:r>
    </w:p>
    <w:p w:rsidR="00826DE2" w:rsidRPr="009015C9" w:rsidRDefault="00826DE2" w:rsidP="009015C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sectPr w:rsidR="00826DE2" w:rsidRPr="009015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C48B6"/>
    <w:multiLevelType w:val="multilevel"/>
    <w:tmpl w:val="8272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558F7"/>
    <w:multiLevelType w:val="multilevel"/>
    <w:tmpl w:val="8F7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F10440"/>
    <w:multiLevelType w:val="hybridMultilevel"/>
    <w:tmpl w:val="70A28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C9"/>
    <w:rsid w:val="000818F3"/>
    <w:rsid w:val="003A5722"/>
    <w:rsid w:val="003C092C"/>
    <w:rsid w:val="00565BE6"/>
    <w:rsid w:val="005D008C"/>
    <w:rsid w:val="0064241D"/>
    <w:rsid w:val="00690210"/>
    <w:rsid w:val="006D5582"/>
    <w:rsid w:val="0074555B"/>
    <w:rsid w:val="007B1F48"/>
    <w:rsid w:val="007E476B"/>
    <w:rsid w:val="0081434F"/>
    <w:rsid w:val="00826DE2"/>
    <w:rsid w:val="0087658A"/>
    <w:rsid w:val="008C57B7"/>
    <w:rsid w:val="009015C9"/>
    <w:rsid w:val="009F2887"/>
    <w:rsid w:val="00C37AAD"/>
    <w:rsid w:val="00E9471E"/>
    <w:rsid w:val="00F16EE2"/>
    <w:rsid w:val="00FD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E315"/>
  <w15:chartTrackingRefBased/>
  <w15:docId w15:val="{A7B0366A-22A2-4A22-A369-D2272C98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210"/>
    <w:rPr>
      <w:rFonts w:ascii="Times New Roman" w:hAnsi="Times New Roman" w:cs="Times New Roman"/>
      <w:sz w:val="24"/>
      <w:szCs w:val="24"/>
    </w:rPr>
  </w:style>
  <w:style w:type="character" w:styleId="Emphasis">
    <w:name w:val="Emphasis"/>
    <w:basedOn w:val="DefaultParagraphFont"/>
    <w:uiPriority w:val="20"/>
    <w:qFormat/>
    <w:rsid w:val="00C37AAD"/>
    <w:rPr>
      <w:i/>
      <w:iCs/>
    </w:rPr>
  </w:style>
  <w:style w:type="character" w:styleId="Strong">
    <w:name w:val="Strong"/>
    <w:basedOn w:val="DefaultParagraphFont"/>
    <w:uiPriority w:val="22"/>
    <w:qFormat/>
    <w:rsid w:val="00C37AAD"/>
    <w:rPr>
      <w:b/>
      <w:bCs/>
    </w:rPr>
  </w:style>
  <w:style w:type="paragraph" w:styleId="ListParagraph">
    <w:name w:val="List Paragraph"/>
    <w:basedOn w:val="Normal"/>
    <w:uiPriority w:val="34"/>
    <w:qFormat/>
    <w:rsid w:val="006D5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472">
      <w:bodyDiv w:val="1"/>
      <w:marLeft w:val="0"/>
      <w:marRight w:val="0"/>
      <w:marTop w:val="0"/>
      <w:marBottom w:val="0"/>
      <w:divBdr>
        <w:top w:val="none" w:sz="0" w:space="0" w:color="auto"/>
        <w:left w:val="none" w:sz="0" w:space="0" w:color="auto"/>
        <w:bottom w:val="none" w:sz="0" w:space="0" w:color="auto"/>
        <w:right w:val="none" w:sz="0" w:space="0" w:color="auto"/>
      </w:divBdr>
    </w:div>
    <w:div w:id="75788907">
      <w:bodyDiv w:val="1"/>
      <w:marLeft w:val="0"/>
      <w:marRight w:val="0"/>
      <w:marTop w:val="0"/>
      <w:marBottom w:val="0"/>
      <w:divBdr>
        <w:top w:val="none" w:sz="0" w:space="0" w:color="auto"/>
        <w:left w:val="none" w:sz="0" w:space="0" w:color="auto"/>
        <w:bottom w:val="none" w:sz="0" w:space="0" w:color="auto"/>
        <w:right w:val="none" w:sz="0" w:space="0" w:color="auto"/>
      </w:divBdr>
    </w:div>
    <w:div w:id="391973141">
      <w:bodyDiv w:val="1"/>
      <w:marLeft w:val="0"/>
      <w:marRight w:val="0"/>
      <w:marTop w:val="0"/>
      <w:marBottom w:val="0"/>
      <w:divBdr>
        <w:top w:val="none" w:sz="0" w:space="0" w:color="auto"/>
        <w:left w:val="none" w:sz="0" w:space="0" w:color="auto"/>
        <w:bottom w:val="none" w:sz="0" w:space="0" w:color="auto"/>
        <w:right w:val="none" w:sz="0" w:space="0" w:color="auto"/>
      </w:divBdr>
    </w:div>
    <w:div w:id="565531969">
      <w:bodyDiv w:val="1"/>
      <w:marLeft w:val="0"/>
      <w:marRight w:val="0"/>
      <w:marTop w:val="0"/>
      <w:marBottom w:val="0"/>
      <w:divBdr>
        <w:top w:val="none" w:sz="0" w:space="0" w:color="auto"/>
        <w:left w:val="none" w:sz="0" w:space="0" w:color="auto"/>
        <w:bottom w:val="none" w:sz="0" w:space="0" w:color="auto"/>
        <w:right w:val="none" w:sz="0" w:space="0" w:color="auto"/>
      </w:divBdr>
    </w:div>
    <w:div w:id="573316544">
      <w:bodyDiv w:val="1"/>
      <w:marLeft w:val="0"/>
      <w:marRight w:val="0"/>
      <w:marTop w:val="0"/>
      <w:marBottom w:val="0"/>
      <w:divBdr>
        <w:top w:val="none" w:sz="0" w:space="0" w:color="auto"/>
        <w:left w:val="none" w:sz="0" w:space="0" w:color="auto"/>
        <w:bottom w:val="none" w:sz="0" w:space="0" w:color="auto"/>
        <w:right w:val="none" w:sz="0" w:space="0" w:color="auto"/>
      </w:divBdr>
    </w:div>
    <w:div w:id="818114634">
      <w:bodyDiv w:val="1"/>
      <w:marLeft w:val="0"/>
      <w:marRight w:val="0"/>
      <w:marTop w:val="0"/>
      <w:marBottom w:val="0"/>
      <w:divBdr>
        <w:top w:val="none" w:sz="0" w:space="0" w:color="auto"/>
        <w:left w:val="none" w:sz="0" w:space="0" w:color="auto"/>
        <w:bottom w:val="none" w:sz="0" w:space="0" w:color="auto"/>
        <w:right w:val="none" w:sz="0" w:space="0" w:color="auto"/>
      </w:divBdr>
    </w:div>
    <w:div w:id="882327130">
      <w:bodyDiv w:val="1"/>
      <w:marLeft w:val="0"/>
      <w:marRight w:val="0"/>
      <w:marTop w:val="0"/>
      <w:marBottom w:val="0"/>
      <w:divBdr>
        <w:top w:val="none" w:sz="0" w:space="0" w:color="auto"/>
        <w:left w:val="none" w:sz="0" w:space="0" w:color="auto"/>
        <w:bottom w:val="none" w:sz="0" w:space="0" w:color="auto"/>
        <w:right w:val="none" w:sz="0" w:space="0" w:color="auto"/>
      </w:divBdr>
    </w:div>
    <w:div w:id="1087070737">
      <w:bodyDiv w:val="1"/>
      <w:marLeft w:val="0"/>
      <w:marRight w:val="0"/>
      <w:marTop w:val="0"/>
      <w:marBottom w:val="0"/>
      <w:divBdr>
        <w:top w:val="none" w:sz="0" w:space="0" w:color="auto"/>
        <w:left w:val="none" w:sz="0" w:space="0" w:color="auto"/>
        <w:bottom w:val="none" w:sz="0" w:space="0" w:color="auto"/>
        <w:right w:val="none" w:sz="0" w:space="0" w:color="auto"/>
      </w:divBdr>
    </w:div>
    <w:div w:id="1227372024">
      <w:bodyDiv w:val="1"/>
      <w:marLeft w:val="0"/>
      <w:marRight w:val="0"/>
      <w:marTop w:val="0"/>
      <w:marBottom w:val="0"/>
      <w:divBdr>
        <w:top w:val="none" w:sz="0" w:space="0" w:color="auto"/>
        <w:left w:val="none" w:sz="0" w:space="0" w:color="auto"/>
        <w:bottom w:val="none" w:sz="0" w:space="0" w:color="auto"/>
        <w:right w:val="none" w:sz="0" w:space="0" w:color="auto"/>
      </w:divBdr>
    </w:div>
    <w:div w:id="1513756992">
      <w:bodyDiv w:val="1"/>
      <w:marLeft w:val="0"/>
      <w:marRight w:val="0"/>
      <w:marTop w:val="0"/>
      <w:marBottom w:val="0"/>
      <w:divBdr>
        <w:top w:val="none" w:sz="0" w:space="0" w:color="auto"/>
        <w:left w:val="none" w:sz="0" w:space="0" w:color="auto"/>
        <w:bottom w:val="none" w:sz="0" w:space="0" w:color="auto"/>
        <w:right w:val="none" w:sz="0" w:space="0" w:color="auto"/>
      </w:divBdr>
    </w:div>
    <w:div w:id="1533304581">
      <w:bodyDiv w:val="1"/>
      <w:marLeft w:val="0"/>
      <w:marRight w:val="0"/>
      <w:marTop w:val="0"/>
      <w:marBottom w:val="0"/>
      <w:divBdr>
        <w:top w:val="none" w:sz="0" w:space="0" w:color="auto"/>
        <w:left w:val="none" w:sz="0" w:space="0" w:color="auto"/>
        <w:bottom w:val="none" w:sz="0" w:space="0" w:color="auto"/>
        <w:right w:val="none" w:sz="0" w:space="0" w:color="auto"/>
      </w:divBdr>
    </w:div>
    <w:div w:id="1606113231">
      <w:bodyDiv w:val="1"/>
      <w:marLeft w:val="0"/>
      <w:marRight w:val="0"/>
      <w:marTop w:val="0"/>
      <w:marBottom w:val="0"/>
      <w:divBdr>
        <w:top w:val="none" w:sz="0" w:space="0" w:color="auto"/>
        <w:left w:val="none" w:sz="0" w:space="0" w:color="auto"/>
        <w:bottom w:val="none" w:sz="0" w:space="0" w:color="auto"/>
        <w:right w:val="none" w:sz="0" w:space="0" w:color="auto"/>
      </w:divBdr>
    </w:div>
    <w:div w:id="1612281610">
      <w:bodyDiv w:val="1"/>
      <w:marLeft w:val="0"/>
      <w:marRight w:val="0"/>
      <w:marTop w:val="0"/>
      <w:marBottom w:val="0"/>
      <w:divBdr>
        <w:top w:val="none" w:sz="0" w:space="0" w:color="auto"/>
        <w:left w:val="none" w:sz="0" w:space="0" w:color="auto"/>
        <w:bottom w:val="none" w:sz="0" w:space="0" w:color="auto"/>
        <w:right w:val="none" w:sz="0" w:space="0" w:color="auto"/>
      </w:divBdr>
    </w:div>
    <w:div w:id="1670600184">
      <w:bodyDiv w:val="1"/>
      <w:marLeft w:val="0"/>
      <w:marRight w:val="0"/>
      <w:marTop w:val="0"/>
      <w:marBottom w:val="0"/>
      <w:divBdr>
        <w:top w:val="none" w:sz="0" w:space="0" w:color="auto"/>
        <w:left w:val="none" w:sz="0" w:space="0" w:color="auto"/>
        <w:bottom w:val="none" w:sz="0" w:space="0" w:color="auto"/>
        <w:right w:val="none" w:sz="0" w:space="0" w:color="auto"/>
      </w:divBdr>
    </w:div>
    <w:div w:id="1712533670">
      <w:bodyDiv w:val="1"/>
      <w:marLeft w:val="0"/>
      <w:marRight w:val="0"/>
      <w:marTop w:val="0"/>
      <w:marBottom w:val="0"/>
      <w:divBdr>
        <w:top w:val="none" w:sz="0" w:space="0" w:color="auto"/>
        <w:left w:val="none" w:sz="0" w:space="0" w:color="auto"/>
        <w:bottom w:val="none" w:sz="0" w:space="0" w:color="auto"/>
        <w:right w:val="none" w:sz="0" w:space="0" w:color="auto"/>
      </w:divBdr>
    </w:div>
    <w:div w:id="18832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8</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2026-03-13T19:59:00Z</dcterms:created>
  <dcterms:modified xsi:type="dcterms:W3CDTF">2026-04-06T10:21:00Z</dcterms:modified>
</cp:coreProperties>
</file>