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8424" w14:textId="74C8C363" w:rsidR="008C33E3" w:rsidRDefault="00E0321E" w:rsidP="00E0321E">
      <w:pPr>
        <w:spacing w:line="360" w:lineRule="auto"/>
        <w:jc w:val="center"/>
        <w:rPr>
          <w:rFonts w:ascii="Times New Roman" w:hAnsi="Times New Roman" w:cs="Times New Roman"/>
          <w:b/>
          <w:bCs/>
          <w:sz w:val="24"/>
          <w:szCs w:val="24"/>
        </w:rPr>
      </w:pPr>
      <w:r w:rsidRPr="00E0321E">
        <w:rPr>
          <w:rFonts w:ascii="Times New Roman" w:hAnsi="Times New Roman" w:cs="Times New Roman"/>
          <w:b/>
          <w:bCs/>
          <w:sz w:val="24"/>
          <w:szCs w:val="24"/>
        </w:rPr>
        <w:t>An Empirical Study on the Effect of Always-On Work Culture on the Physical and Emotional Well-Being of Private School Academicians in Tamil Nadu</w:t>
      </w:r>
    </w:p>
    <w:p w14:paraId="67BB8234" w14:textId="6849E109" w:rsidR="00E0321E" w:rsidRPr="00D538D8" w:rsidRDefault="00E0321E" w:rsidP="00D538D8">
      <w:pPr>
        <w:spacing w:line="360" w:lineRule="auto"/>
        <w:jc w:val="center"/>
        <w:rPr>
          <w:rFonts w:ascii="Times New Roman" w:hAnsi="Times New Roman" w:cs="Times New Roman"/>
          <w:sz w:val="20"/>
          <w:szCs w:val="20"/>
        </w:rPr>
      </w:pPr>
      <w:r w:rsidRPr="00D538D8">
        <w:rPr>
          <w:rFonts w:ascii="Times New Roman" w:hAnsi="Times New Roman" w:cs="Times New Roman"/>
          <w:b/>
          <w:bCs/>
          <w:sz w:val="20"/>
          <w:szCs w:val="20"/>
        </w:rPr>
        <w:t xml:space="preserve">Dr. </w:t>
      </w:r>
      <w:proofErr w:type="spellStart"/>
      <w:r w:rsidRPr="00D538D8">
        <w:rPr>
          <w:rFonts w:ascii="Times New Roman" w:hAnsi="Times New Roman" w:cs="Times New Roman"/>
          <w:b/>
          <w:bCs/>
          <w:sz w:val="20"/>
          <w:szCs w:val="20"/>
        </w:rPr>
        <w:t>Indhuji</w:t>
      </w:r>
      <w:proofErr w:type="spellEnd"/>
      <w:r w:rsidRPr="00D538D8">
        <w:rPr>
          <w:rFonts w:ascii="Times New Roman" w:hAnsi="Times New Roman" w:cs="Times New Roman"/>
          <w:b/>
          <w:bCs/>
          <w:sz w:val="20"/>
          <w:szCs w:val="20"/>
        </w:rPr>
        <w:t xml:space="preserve"> R.T. </w:t>
      </w:r>
      <w:r w:rsidRPr="00D538D8">
        <w:rPr>
          <w:rFonts w:ascii="Times New Roman" w:hAnsi="Times New Roman" w:cs="Times New Roman"/>
          <w:sz w:val="20"/>
          <w:szCs w:val="20"/>
        </w:rPr>
        <w:t>Assistant Professor, School of Management, Sri Krishna College of Engineering and Technology, Coimbatore, Tamil Nadu.</w:t>
      </w:r>
    </w:p>
    <w:p w14:paraId="7DCE145D" w14:textId="5C289772" w:rsidR="00E0321E" w:rsidRPr="00D538D8" w:rsidRDefault="00E0321E" w:rsidP="00D538D8">
      <w:pPr>
        <w:spacing w:line="360" w:lineRule="auto"/>
        <w:jc w:val="center"/>
        <w:rPr>
          <w:rFonts w:ascii="Times New Roman" w:hAnsi="Times New Roman" w:cs="Times New Roman"/>
          <w:sz w:val="20"/>
          <w:szCs w:val="20"/>
        </w:rPr>
      </w:pPr>
      <w:r w:rsidRPr="00D538D8">
        <w:rPr>
          <w:rFonts w:ascii="Times New Roman" w:hAnsi="Times New Roman" w:cs="Times New Roman"/>
          <w:b/>
          <w:bCs/>
          <w:sz w:val="20"/>
          <w:szCs w:val="20"/>
        </w:rPr>
        <w:t>Ms. Jeffri Priyadarsini T</w:t>
      </w:r>
      <w:r w:rsidRPr="00D538D8">
        <w:rPr>
          <w:rFonts w:ascii="Times New Roman" w:hAnsi="Times New Roman" w:cs="Times New Roman"/>
          <w:sz w:val="20"/>
          <w:szCs w:val="20"/>
        </w:rPr>
        <w:t>, Student of II MBA, School of Management, Sri Krishna College of Technology, Coimbatore, Tamil Nadu.</w:t>
      </w:r>
    </w:p>
    <w:p w14:paraId="03A2D310" w14:textId="77777777" w:rsidR="00E0321E" w:rsidRPr="00E0321E" w:rsidRDefault="00E0321E" w:rsidP="00E0321E">
      <w:pPr>
        <w:spacing w:line="360" w:lineRule="auto"/>
        <w:rPr>
          <w:rFonts w:ascii="Times New Roman" w:hAnsi="Times New Roman" w:cs="Times New Roman"/>
          <w:b/>
          <w:bCs/>
          <w:sz w:val="24"/>
          <w:szCs w:val="24"/>
        </w:rPr>
      </w:pPr>
      <w:r w:rsidRPr="00E0321E">
        <w:rPr>
          <w:rFonts w:ascii="Times New Roman" w:hAnsi="Times New Roman" w:cs="Times New Roman"/>
          <w:b/>
          <w:bCs/>
          <w:sz w:val="24"/>
          <w:szCs w:val="24"/>
        </w:rPr>
        <w:t>Abstract</w:t>
      </w:r>
    </w:p>
    <w:p w14:paraId="1887B26E" w14:textId="1F429A7C" w:rsidR="00E0321E" w:rsidRPr="00E0321E" w:rsidRDefault="00E0321E" w:rsidP="00E0321E">
      <w:pPr>
        <w:spacing w:line="360" w:lineRule="auto"/>
        <w:jc w:val="both"/>
        <w:rPr>
          <w:rFonts w:ascii="Times New Roman" w:hAnsi="Times New Roman" w:cs="Times New Roman"/>
          <w:sz w:val="24"/>
          <w:szCs w:val="24"/>
        </w:rPr>
      </w:pPr>
      <w:r w:rsidRPr="00E0321E">
        <w:rPr>
          <w:rFonts w:ascii="Times New Roman" w:hAnsi="Times New Roman" w:cs="Times New Roman"/>
          <w:sz w:val="24"/>
          <w:szCs w:val="24"/>
        </w:rPr>
        <w:t>Despite increasing digital integration and post-pandemic normalization of online communication in Tamil Nadu’s private school sector, teachers’ mental and physical wellbeing remains under growing strain. With high smartphone penetration</w:t>
      </w:r>
      <w:r w:rsidR="00D538D8">
        <w:rPr>
          <w:rFonts w:ascii="Times New Roman" w:hAnsi="Times New Roman" w:cs="Times New Roman"/>
          <w:sz w:val="24"/>
          <w:szCs w:val="24"/>
        </w:rPr>
        <w:t xml:space="preserve"> </w:t>
      </w:r>
      <w:r w:rsidRPr="00E0321E">
        <w:rPr>
          <w:rFonts w:ascii="Times New Roman" w:hAnsi="Times New Roman" w:cs="Times New Roman"/>
          <w:sz w:val="24"/>
          <w:szCs w:val="24"/>
        </w:rPr>
        <w:t>and rising parental and institutional expectations, teachers face persistent “always-on” work demands that blur professional and personal boundaries. Analysing responses from 394 private school teachers across multiple districts using descriptive statistics, Chi-square tests, correlation, and regression analysis, this study identifies a high prevalence of after-hours work communication and perceived pressure to remain constantly available. The findings reveal significant associations between always-on work demands and elevated levels of stress, sleep disturbance, physical fatigue, and emotional exhaustion (p &lt; 0.05), while demographic variables show limited moderating influence. Workplace factors such as workload distribution, administrative support, and technological adaptability significantly shape wellbeing outcomes, either amplifying or buffering negative effects. The study underscores the need for institutional policies regulating digital communication norms and workload expectations to protect teacher wellbeing and ensure sustainable educational quality.</w:t>
      </w:r>
    </w:p>
    <w:p w14:paraId="111EF334" w14:textId="1C46E9E0" w:rsidR="00E0321E" w:rsidRDefault="00E0321E" w:rsidP="00E0321E">
      <w:pPr>
        <w:spacing w:line="360" w:lineRule="auto"/>
        <w:jc w:val="both"/>
        <w:rPr>
          <w:rFonts w:ascii="Times New Roman" w:hAnsi="Times New Roman" w:cs="Times New Roman"/>
          <w:i/>
          <w:iCs/>
          <w:sz w:val="24"/>
          <w:szCs w:val="24"/>
        </w:rPr>
      </w:pPr>
      <w:r w:rsidRPr="00E0321E">
        <w:rPr>
          <w:rFonts w:ascii="Times New Roman" w:hAnsi="Times New Roman" w:cs="Times New Roman"/>
          <w:b/>
          <w:bCs/>
          <w:sz w:val="24"/>
          <w:szCs w:val="24"/>
        </w:rPr>
        <w:t>Keywords:</w:t>
      </w:r>
      <w:r w:rsidRPr="00E0321E">
        <w:rPr>
          <w:rFonts w:ascii="Times New Roman" w:hAnsi="Times New Roman" w:cs="Times New Roman"/>
          <w:sz w:val="24"/>
          <w:szCs w:val="24"/>
        </w:rPr>
        <w:t xml:space="preserve"> </w:t>
      </w:r>
      <w:r w:rsidRPr="00E0321E">
        <w:rPr>
          <w:rFonts w:ascii="Times New Roman" w:hAnsi="Times New Roman" w:cs="Times New Roman"/>
          <w:i/>
          <w:iCs/>
          <w:sz w:val="24"/>
          <w:szCs w:val="24"/>
        </w:rPr>
        <w:t>always-on work culture, teacher wellbeing, digital work demands, private schools, Tamil Nadu, mental health, physical health</w:t>
      </w:r>
    </w:p>
    <w:p w14:paraId="62265597" w14:textId="77777777" w:rsidR="00E0321E" w:rsidRPr="00E0321E" w:rsidRDefault="00E0321E" w:rsidP="00E0321E">
      <w:pPr>
        <w:spacing w:line="360" w:lineRule="auto"/>
        <w:rPr>
          <w:rFonts w:ascii="Times New Roman" w:hAnsi="Times New Roman" w:cs="Times New Roman"/>
          <w:b/>
          <w:bCs/>
          <w:sz w:val="24"/>
          <w:szCs w:val="24"/>
        </w:rPr>
      </w:pPr>
      <w:r w:rsidRPr="00E0321E">
        <w:rPr>
          <w:rFonts w:ascii="Times New Roman" w:hAnsi="Times New Roman" w:cs="Times New Roman"/>
          <w:b/>
          <w:bCs/>
          <w:sz w:val="24"/>
          <w:szCs w:val="24"/>
        </w:rPr>
        <w:t>1.1 Introduction</w:t>
      </w:r>
    </w:p>
    <w:p w14:paraId="73AE6655" w14:textId="592D39B2" w:rsidR="00E0321E" w:rsidRDefault="00E0321E" w:rsidP="00E0321E">
      <w:pPr>
        <w:spacing w:line="360" w:lineRule="auto"/>
        <w:jc w:val="both"/>
        <w:rPr>
          <w:rFonts w:ascii="Times New Roman" w:hAnsi="Times New Roman" w:cs="Times New Roman"/>
          <w:sz w:val="24"/>
          <w:szCs w:val="24"/>
        </w:rPr>
      </w:pPr>
      <w:r w:rsidRPr="00E0321E">
        <w:rPr>
          <w:rFonts w:ascii="Times New Roman" w:hAnsi="Times New Roman" w:cs="Times New Roman"/>
          <w:sz w:val="24"/>
          <w:szCs w:val="24"/>
        </w:rPr>
        <w:t>The rapid digitalization of education has intensified work demands beyond formal working hours, creating an “always-on” work culture among teachers. Despite Tamil Nadu’s strong educational infrastructure, high digital access, and widespread adoption of online communication platforms, private school teachers increasingly experience blurred work–life boundaries. This study examines the prevalence of always-on work culture and analyses its impact on teachers’ mental and physical wellbeing, while assessing the role of workplace factors in shaping these outcomes within private schools in Tamil Nadu.</w:t>
      </w:r>
    </w:p>
    <w:p w14:paraId="7BC6F0C2" w14:textId="77777777" w:rsidR="00394E80" w:rsidRPr="00394E80" w:rsidRDefault="00394E80" w:rsidP="00394E80">
      <w:pPr>
        <w:spacing w:line="360" w:lineRule="auto"/>
        <w:jc w:val="both"/>
        <w:rPr>
          <w:rFonts w:ascii="Times New Roman" w:hAnsi="Times New Roman" w:cs="Times New Roman"/>
          <w:b/>
          <w:bCs/>
          <w:sz w:val="24"/>
          <w:szCs w:val="24"/>
        </w:rPr>
      </w:pPr>
      <w:r w:rsidRPr="00394E80">
        <w:rPr>
          <w:rFonts w:ascii="Times New Roman" w:hAnsi="Times New Roman" w:cs="Times New Roman"/>
          <w:b/>
          <w:bCs/>
          <w:sz w:val="24"/>
          <w:szCs w:val="24"/>
        </w:rPr>
        <w:lastRenderedPageBreak/>
        <w:t>1.2 Educational Sector</w:t>
      </w:r>
    </w:p>
    <w:p w14:paraId="1A0F32CC" w14:textId="77777777" w:rsidR="00394E80" w:rsidRPr="00394E80" w:rsidRDefault="00394E80" w:rsidP="00394E80">
      <w:pPr>
        <w:spacing w:line="360" w:lineRule="auto"/>
        <w:jc w:val="both"/>
        <w:rPr>
          <w:rFonts w:ascii="Times New Roman" w:hAnsi="Times New Roman" w:cs="Times New Roman"/>
          <w:sz w:val="24"/>
          <w:szCs w:val="24"/>
        </w:rPr>
      </w:pPr>
      <w:r w:rsidRPr="00394E80">
        <w:rPr>
          <w:rFonts w:ascii="Times New Roman" w:hAnsi="Times New Roman" w:cs="Times New Roman"/>
          <w:sz w:val="24"/>
          <w:szCs w:val="24"/>
        </w:rPr>
        <w:t>India’s education sector has undergone rapid transformation with increased privatization and digital integration, particularly in school education. Private schools play a significant role in Tamil Nadu’s educational ecosystem, supported by widespread smartphone usage, online learning platforms, and digital communication tools. While technology has enhanced accessibility and administrative efficiency, it has also intensified work expectations for teachers through continuous connectivity, virtual classrooms, and instant parent–school communication. Despite structured academic calendars, informal after-hours work has become normalized, revealing systemic challenges related to workload regulation, boundary management, and teacher wellbeing within the private school sector.</w:t>
      </w:r>
    </w:p>
    <w:p w14:paraId="22DB8784" w14:textId="77777777" w:rsidR="00394E80" w:rsidRPr="00394E80" w:rsidRDefault="00394E80" w:rsidP="00394E80">
      <w:pPr>
        <w:spacing w:line="360" w:lineRule="auto"/>
        <w:jc w:val="both"/>
        <w:rPr>
          <w:rFonts w:ascii="Times New Roman" w:hAnsi="Times New Roman" w:cs="Times New Roman"/>
          <w:sz w:val="24"/>
          <w:szCs w:val="24"/>
        </w:rPr>
      </w:pPr>
      <w:r w:rsidRPr="00394E80">
        <w:rPr>
          <w:rFonts w:ascii="Times New Roman" w:hAnsi="Times New Roman" w:cs="Times New Roman"/>
          <w:b/>
          <w:bCs/>
          <w:sz w:val="24"/>
          <w:szCs w:val="24"/>
        </w:rPr>
        <w:t>1.3 Private Schools and Operational Models</w:t>
      </w:r>
    </w:p>
    <w:p w14:paraId="3DFEF0B3" w14:textId="6786FAB5" w:rsidR="00394E80" w:rsidRPr="00394E80" w:rsidRDefault="00394E80" w:rsidP="00394E80">
      <w:pPr>
        <w:spacing w:line="360" w:lineRule="auto"/>
        <w:jc w:val="both"/>
        <w:rPr>
          <w:rFonts w:ascii="Times New Roman" w:hAnsi="Times New Roman" w:cs="Times New Roman"/>
          <w:sz w:val="24"/>
          <w:szCs w:val="24"/>
        </w:rPr>
      </w:pPr>
      <w:r w:rsidRPr="00394E80">
        <w:rPr>
          <w:rFonts w:ascii="Times New Roman" w:hAnsi="Times New Roman" w:cs="Times New Roman"/>
          <w:sz w:val="24"/>
          <w:szCs w:val="24"/>
        </w:rPr>
        <w:t>Private schools in Tamil Nadu follow varied management and operational models focused on academic performance, parent satisfaction, and institutional reputation. Many schools adopt management-led systems supported by digital platforms for teaching, assessment, and parent communication, while others rely on traditional face-to-face interactions and manual processes. Although digital integration improves coordination and efficiency, it increases expectations of constant teacher availability. These models differ in workload distribution and accountability, often contributing to an “always-on” work culture that affects teacher wellbeing.</w:t>
      </w:r>
    </w:p>
    <w:p w14:paraId="65C9B850" w14:textId="77777777" w:rsidR="00394E80" w:rsidRPr="00394E80" w:rsidRDefault="00394E80" w:rsidP="00394E80">
      <w:pPr>
        <w:spacing w:line="360" w:lineRule="auto"/>
        <w:jc w:val="both"/>
        <w:rPr>
          <w:rFonts w:ascii="Times New Roman" w:hAnsi="Times New Roman" w:cs="Times New Roman"/>
          <w:b/>
          <w:bCs/>
          <w:sz w:val="24"/>
          <w:szCs w:val="24"/>
        </w:rPr>
      </w:pPr>
      <w:r w:rsidRPr="00394E80">
        <w:rPr>
          <w:rFonts w:ascii="Times New Roman" w:hAnsi="Times New Roman" w:cs="Times New Roman"/>
          <w:b/>
          <w:bCs/>
          <w:sz w:val="24"/>
          <w:szCs w:val="24"/>
        </w:rPr>
        <w:t>1.4 Statement of the Problem</w:t>
      </w:r>
    </w:p>
    <w:p w14:paraId="06B0C409" w14:textId="77777777" w:rsidR="00394E80" w:rsidRDefault="00394E80" w:rsidP="00394E80">
      <w:pPr>
        <w:spacing w:line="360" w:lineRule="auto"/>
        <w:jc w:val="both"/>
        <w:rPr>
          <w:rFonts w:ascii="Times New Roman" w:hAnsi="Times New Roman" w:cs="Times New Roman"/>
          <w:sz w:val="24"/>
          <w:szCs w:val="24"/>
        </w:rPr>
      </w:pPr>
      <w:r w:rsidRPr="00394E80">
        <w:rPr>
          <w:rFonts w:ascii="Times New Roman" w:hAnsi="Times New Roman" w:cs="Times New Roman"/>
          <w:sz w:val="24"/>
          <w:szCs w:val="24"/>
        </w:rPr>
        <w:t>The expansion of digital communication has intensified “always-on” work expectations among private school teachers in India, extending work demands beyond formal working hours. In Tamil Nadu, frequent after-hours messages, online academic tasks, and administrative monitoring blur work–life boundaries. Despite growing concern over teacher stress and burnout, empirical evidence on its mental and physical wellbeing impacts remains limited. This gap restricts informed policy and institutional interventions to safeguard teacher wellbeing.</w:t>
      </w:r>
    </w:p>
    <w:p w14:paraId="4F2C9152" w14:textId="50235F59" w:rsidR="00394E80" w:rsidRDefault="00394E80" w:rsidP="00394E80">
      <w:pPr>
        <w:spacing w:line="360" w:lineRule="auto"/>
        <w:jc w:val="both"/>
        <w:rPr>
          <w:rFonts w:ascii="Times New Roman" w:hAnsi="Times New Roman" w:cs="Times New Roman"/>
          <w:b/>
          <w:bCs/>
          <w:sz w:val="24"/>
          <w:szCs w:val="24"/>
        </w:rPr>
      </w:pPr>
      <w:r w:rsidRPr="00394E80">
        <w:rPr>
          <w:rFonts w:ascii="Times New Roman" w:hAnsi="Times New Roman" w:cs="Times New Roman"/>
          <w:b/>
          <w:bCs/>
          <w:sz w:val="24"/>
          <w:szCs w:val="24"/>
        </w:rPr>
        <w:t>1.5 Objectives of the Study</w:t>
      </w:r>
    </w:p>
    <w:p w14:paraId="1C7FA450" w14:textId="77777777" w:rsidR="00394E80" w:rsidRPr="00394E80" w:rsidRDefault="00394E80" w:rsidP="00394E80">
      <w:pPr>
        <w:spacing w:line="360" w:lineRule="auto"/>
        <w:jc w:val="both"/>
        <w:rPr>
          <w:rFonts w:ascii="Times New Roman" w:hAnsi="Times New Roman" w:cs="Times New Roman"/>
          <w:sz w:val="24"/>
          <w:szCs w:val="24"/>
        </w:rPr>
      </w:pPr>
      <w:r w:rsidRPr="00394E80">
        <w:rPr>
          <w:rFonts w:ascii="Times New Roman" w:hAnsi="Times New Roman" w:cs="Times New Roman"/>
          <w:sz w:val="24"/>
          <w:szCs w:val="24"/>
        </w:rPr>
        <w:t>• To examine the relationship between always-on work demands and teachers’ mental wellbeing.</w:t>
      </w:r>
    </w:p>
    <w:p w14:paraId="3ED38559" w14:textId="1A33DDE1" w:rsidR="00394E80" w:rsidRDefault="00394E80" w:rsidP="00394E80">
      <w:pPr>
        <w:spacing w:line="360" w:lineRule="auto"/>
        <w:jc w:val="both"/>
        <w:rPr>
          <w:rFonts w:ascii="Times New Roman" w:hAnsi="Times New Roman" w:cs="Times New Roman"/>
          <w:sz w:val="24"/>
          <w:szCs w:val="24"/>
        </w:rPr>
      </w:pPr>
      <w:r w:rsidRPr="00394E80">
        <w:rPr>
          <w:rFonts w:ascii="Times New Roman" w:hAnsi="Times New Roman" w:cs="Times New Roman"/>
          <w:sz w:val="24"/>
          <w:szCs w:val="24"/>
        </w:rPr>
        <w:t>• To investigate the impact of always-on work culture on teachers’ physical wellbeing</w:t>
      </w:r>
      <w:r>
        <w:rPr>
          <w:rFonts w:ascii="Times New Roman" w:hAnsi="Times New Roman" w:cs="Times New Roman"/>
          <w:sz w:val="24"/>
          <w:szCs w:val="24"/>
        </w:rPr>
        <w:t>.</w:t>
      </w:r>
    </w:p>
    <w:p w14:paraId="497FE14A" w14:textId="77777777" w:rsidR="00D538D8" w:rsidRDefault="00D538D8" w:rsidP="00394E80">
      <w:pPr>
        <w:spacing w:line="360" w:lineRule="auto"/>
        <w:jc w:val="both"/>
        <w:rPr>
          <w:rFonts w:ascii="Times New Roman" w:hAnsi="Times New Roman" w:cs="Times New Roman"/>
          <w:sz w:val="24"/>
          <w:szCs w:val="24"/>
        </w:rPr>
      </w:pPr>
    </w:p>
    <w:p w14:paraId="1C324EBD" w14:textId="77777777" w:rsidR="00394E80" w:rsidRPr="00394E80" w:rsidRDefault="00394E80" w:rsidP="00394E80">
      <w:pPr>
        <w:spacing w:line="360" w:lineRule="auto"/>
        <w:jc w:val="both"/>
        <w:rPr>
          <w:rFonts w:ascii="Times New Roman" w:hAnsi="Times New Roman" w:cs="Times New Roman"/>
          <w:b/>
          <w:bCs/>
          <w:sz w:val="24"/>
          <w:szCs w:val="24"/>
        </w:rPr>
      </w:pPr>
      <w:r w:rsidRPr="00394E80">
        <w:rPr>
          <w:rFonts w:ascii="Times New Roman" w:hAnsi="Times New Roman" w:cs="Times New Roman"/>
          <w:b/>
          <w:bCs/>
          <w:sz w:val="24"/>
          <w:szCs w:val="24"/>
        </w:rPr>
        <w:lastRenderedPageBreak/>
        <w:t>1.6 Scope of the Study</w:t>
      </w:r>
    </w:p>
    <w:p w14:paraId="51036008" w14:textId="77777777" w:rsidR="00394E80" w:rsidRPr="00394E80" w:rsidRDefault="00394E80" w:rsidP="00394E80">
      <w:pPr>
        <w:spacing w:line="360" w:lineRule="auto"/>
        <w:jc w:val="both"/>
        <w:rPr>
          <w:rFonts w:ascii="Times New Roman" w:hAnsi="Times New Roman" w:cs="Times New Roman"/>
          <w:sz w:val="24"/>
          <w:szCs w:val="24"/>
        </w:rPr>
      </w:pPr>
      <w:r w:rsidRPr="00394E80">
        <w:rPr>
          <w:rFonts w:ascii="Times New Roman" w:hAnsi="Times New Roman" w:cs="Times New Roman"/>
          <w:sz w:val="24"/>
          <w:szCs w:val="24"/>
        </w:rPr>
        <w:t>This study focuses on private school teachers in Tamil Nadu to examine the prevalence of “always-on” work culture and its impact on their mental and physical wellbeing. It covers teachers across different age groups, genders, experience levels, and school categories to ensure representative insights. The study considers digital work demands, after-hours communication, and workplace factors influencing wellbeing. It excludes government schools, student outcomes, and institutional performance to maintain focus on teachers’ experiences.</w:t>
      </w:r>
    </w:p>
    <w:p w14:paraId="6BCD568A" w14:textId="77777777" w:rsidR="00394E80" w:rsidRPr="00394E80" w:rsidRDefault="00394E80" w:rsidP="00394E80">
      <w:pPr>
        <w:spacing w:line="360" w:lineRule="auto"/>
        <w:jc w:val="both"/>
        <w:rPr>
          <w:rFonts w:ascii="Times New Roman" w:hAnsi="Times New Roman" w:cs="Times New Roman"/>
          <w:b/>
          <w:bCs/>
          <w:sz w:val="24"/>
          <w:szCs w:val="24"/>
        </w:rPr>
      </w:pPr>
      <w:r w:rsidRPr="00394E80">
        <w:rPr>
          <w:rFonts w:ascii="Times New Roman" w:hAnsi="Times New Roman" w:cs="Times New Roman"/>
          <w:b/>
          <w:bCs/>
          <w:sz w:val="24"/>
          <w:szCs w:val="24"/>
        </w:rPr>
        <w:t>1.7 Significance of the Study</w:t>
      </w:r>
    </w:p>
    <w:p w14:paraId="74F1CC05" w14:textId="49F29DFD" w:rsidR="00E0321E" w:rsidRPr="00E0321E" w:rsidRDefault="00394E80" w:rsidP="00D538D8">
      <w:pPr>
        <w:spacing w:line="360" w:lineRule="auto"/>
        <w:jc w:val="both"/>
        <w:rPr>
          <w:rFonts w:ascii="Times New Roman" w:hAnsi="Times New Roman" w:cs="Times New Roman"/>
          <w:sz w:val="24"/>
          <w:szCs w:val="24"/>
        </w:rPr>
      </w:pPr>
      <w:r w:rsidRPr="00394E80">
        <w:rPr>
          <w:rFonts w:ascii="Times New Roman" w:hAnsi="Times New Roman" w:cs="Times New Roman"/>
          <w:sz w:val="24"/>
          <w:szCs w:val="24"/>
        </w:rPr>
        <w:t>This study is significant as it provides empirical insights into how “always-on” work culture affects the mental and physical wellbeing of private school teachers in Tamil Nadu. It offers valuable evidence for school managements to design healthier work practices and digital communication norms. The findings can support policymakers and education authorities in framing guidelines to protect teacher wellbeing. Academically, the study contributes to the limited Indian literature on digital work pressure and occupational health in the education sector.</w:t>
      </w:r>
    </w:p>
    <w:p w14:paraId="5A619730" w14:textId="74325752" w:rsidR="00E0321E" w:rsidRDefault="006C6977" w:rsidP="00E0321E">
      <w:pPr>
        <w:spacing w:line="360" w:lineRule="auto"/>
        <w:rPr>
          <w:rFonts w:ascii="Times New Roman" w:hAnsi="Times New Roman" w:cs="Times New Roman"/>
          <w:b/>
          <w:bCs/>
          <w:sz w:val="24"/>
          <w:szCs w:val="24"/>
        </w:rPr>
      </w:pPr>
      <w:r w:rsidRPr="006C6977">
        <w:rPr>
          <w:rFonts w:ascii="Times New Roman" w:hAnsi="Times New Roman" w:cs="Times New Roman"/>
          <w:b/>
          <w:bCs/>
          <w:sz w:val="24"/>
          <w:szCs w:val="24"/>
        </w:rPr>
        <w:t>1.8 Conceptual Framework</w:t>
      </w:r>
    </w:p>
    <w:p w14:paraId="169C2E9F" w14:textId="77777777" w:rsidR="00CF376E" w:rsidRDefault="006C6977" w:rsidP="00CF376E">
      <w:pPr>
        <w:spacing w:line="36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DE876E2" wp14:editId="1F77FE40">
            <wp:extent cx="5731510" cy="4055110"/>
            <wp:effectExtent l="0" t="0" r="2540" b="2540"/>
            <wp:docPr id="1736672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72903" name="Picture 1736672903"/>
                    <pic:cNvPicPr/>
                  </pic:nvPicPr>
                  <pic:blipFill>
                    <a:blip r:embed="rId6">
                      <a:extLst>
                        <a:ext uri="{28A0092B-C50C-407E-A947-70E740481C1C}">
                          <a14:useLocalDpi xmlns:a14="http://schemas.microsoft.com/office/drawing/2010/main" val="0"/>
                        </a:ext>
                      </a:extLst>
                    </a:blip>
                    <a:stretch>
                      <a:fillRect/>
                    </a:stretch>
                  </pic:blipFill>
                  <pic:spPr>
                    <a:xfrm>
                      <a:off x="0" y="0"/>
                      <a:ext cx="5731510" cy="4055110"/>
                    </a:xfrm>
                    <a:prstGeom prst="rect">
                      <a:avLst/>
                    </a:prstGeom>
                  </pic:spPr>
                </pic:pic>
              </a:graphicData>
            </a:graphic>
          </wp:inline>
        </w:drawing>
      </w:r>
    </w:p>
    <w:p w14:paraId="27977BCD" w14:textId="2CAA26B8" w:rsidR="006C6977" w:rsidRPr="006C6977" w:rsidRDefault="006C6977" w:rsidP="00CF376E">
      <w:pPr>
        <w:spacing w:line="360" w:lineRule="auto"/>
        <w:rPr>
          <w:rFonts w:ascii="Times New Roman" w:hAnsi="Times New Roman" w:cs="Times New Roman"/>
          <w:b/>
          <w:bCs/>
          <w:sz w:val="24"/>
          <w:szCs w:val="24"/>
        </w:rPr>
      </w:pPr>
      <w:r w:rsidRPr="006C6977">
        <w:rPr>
          <w:rFonts w:ascii="Times New Roman" w:hAnsi="Times New Roman" w:cs="Times New Roman"/>
          <w:b/>
          <w:bCs/>
          <w:sz w:val="24"/>
          <w:szCs w:val="24"/>
        </w:rPr>
        <w:lastRenderedPageBreak/>
        <w:t xml:space="preserve">2. Review of Literature </w:t>
      </w:r>
    </w:p>
    <w:p w14:paraId="319D9F04" w14:textId="61EEF770" w:rsidR="006C6977" w:rsidRDefault="006C6977" w:rsidP="006C6977">
      <w:pPr>
        <w:spacing w:line="360" w:lineRule="auto"/>
        <w:jc w:val="both"/>
        <w:rPr>
          <w:rFonts w:ascii="Times New Roman" w:hAnsi="Times New Roman" w:cs="Times New Roman"/>
          <w:b/>
          <w:bCs/>
          <w:sz w:val="24"/>
          <w:szCs w:val="24"/>
        </w:rPr>
      </w:pPr>
      <w:r w:rsidRPr="006C6977">
        <w:rPr>
          <w:rFonts w:ascii="Times New Roman" w:hAnsi="Times New Roman" w:cs="Times New Roman"/>
          <w:b/>
          <w:bCs/>
          <w:sz w:val="24"/>
          <w:szCs w:val="24"/>
        </w:rPr>
        <w:t>2.1 Introduction</w:t>
      </w:r>
    </w:p>
    <w:p w14:paraId="1D91C2B3" w14:textId="606319DB" w:rsidR="006C6977" w:rsidRDefault="006C6977" w:rsidP="006C6977">
      <w:pPr>
        <w:spacing w:line="360" w:lineRule="auto"/>
        <w:jc w:val="both"/>
        <w:rPr>
          <w:rFonts w:ascii="Times New Roman" w:hAnsi="Times New Roman" w:cs="Times New Roman"/>
          <w:sz w:val="24"/>
          <w:szCs w:val="24"/>
        </w:rPr>
      </w:pPr>
      <w:r w:rsidRPr="006C6977">
        <w:rPr>
          <w:rFonts w:ascii="Times New Roman" w:hAnsi="Times New Roman" w:cs="Times New Roman"/>
          <w:sz w:val="24"/>
          <w:szCs w:val="24"/>
        </w:rPr>
        <w:t>In this study, the review of literature focuses on the concept of the “always-on” work culture and its impact on teachers’ mental and physical wellbeing, with particular attention to the educational and school environment in India and abroad.</w:t>
      </w:r>
    </w:p>
    <w:p w14:paraId="7E065942" w14:textId="30B93D6C" w:rsidR="006C6977" w:rsidRDefault="006C6977" w:rsidP="006C6977">
      <w:pPr>
        <w:spacing w:line="360" w:lineRule="auto"/>
        <w:jc w:val="both"/>
        <w:rPr>
          <w:rFonts w:ascii="Times New Roman" w:hAnsi="Times New Roman" w:cs="Times New Roman"/>
          <w:b/>
          <w:bCs/>
          <w:sz w:val="24"/>
          <w:szCs w:val="24"/>
        </w:rPr>
      </w:pPr>
      <w:r w:rsidRPr="006C6977">
        <w:rPr>
          <w:rFonts w:ascii="Times New Roman" w:hAnsi="Times New Roman" w:cs="Times New Roman"/>
          <w:b/>
          <w:bCs/>
          <w:sz w:val="24"/>
          <w:szCs w:val="24"/>
        </w:rPr>
        <w:t>2.2 Review of literature</w:t>
      </w:r>
    </w:p>
    <w:p w14:paraId="4999FE04" w14:textId="79703B26" w:rsidR="006C6977" w:rsidRDefault="006C6977" w:rsidP="006C6977">
      <w:pPr>
        <w:spacing w:line="360" w:lineRule="auto"/>
        <w:jc w:val="both"/>
        <w:rPr>
          <w:rFonts w:ascii="Times New Roman" w:hAnsi="Times New Roman" w:cs="Times New Roman"/>
          <w:sz w:val="24"/>
          <w:szCs w:val="24"/>
        </w:rPr>
      </w:pPr>
      <w:r w:rsidRPr="006C6977">
        <w:rPr>
          <w:rFonts w:ascii="Times New Roman" w:hAnsi="Times New Roman" w:cs="Times New Roman"/>
          <w:sz w:val="24"/>
          <w:szCs w:val="24"/>
        </w:rPr>
        <w:t xml:space="preserve">Akshaya Sekar, Geetha Anasuya Vithal, Nithyapriya </w:t>
      </w:r>
      <w:proofErr w:type="spellStart"/>
      <w:r w:rsidRPr="006C6977">
        <w:rPr>
          <w:rFonts w:ascii="Times New Roman" w:hAnsi="Times New Roman" w:cs="Times New Roman"/>
          <w:sz w:val="24"/>
          <w:szCs w:val="24"/>
        </w:rPr>
        <w:t>Chinnaraju</w:t>
      </w:r>
      <w:proofErr w:type="spellEnd"/>
      <w:r w:rsidRPr="006C6977">
        <w:rPr>
          <w:rFonts w:ascii="Times New Roman" w:hAnsi="Times New Roman" w:cs="Times New Roman"/>
          <w:sz w:val="24"/>
          <w:szCs w:val="24"/>
        </w:rPr>
        <w:t xml:space="preserve"> and Jeevithan Shanmugam (2024) in their work “A study on challenges and perceptions of schoolteachers towards online classes during COVID 19 pandemic”, examines the challenges faced by schoolteachers in Western Tamil Nadu. It highlights significant difficulties such as network issues, increased workload, and trouble engaging students virtually. A majority of teachers lacked prior experience in online teaching and expressed the need for technology training. The study found that the online teaching program was perceived as less effective compared to traditional classrooms, with notable impacts on student attention and academic performance. Despite these challenges, there was no significant association between teachers' age and the physical health issues caused by increased screen time. The findings stress the importance of training and infrastructural support to improve online teaching effectiveness and teacher wellbeing.</w:t>
      </w:r>
    </w:p>
    <w:p w14:paraId="48FE88AD" w14:textId="619A07E7" w:rsidR="006C6977" w:rsidRDefault="006C6977" w:rsidP="006C6977">
      <w:pPr>
        <w:spacing w:line="360" w:lineRule="auto"/>
        <w:jc w:val="both"/>
        <w:rPr>
          <w:rFonts w:ascii="Times New Roman" w:hAnsi="Times New Roman" w:cs="Times New Roman"/>
          <w:sz w:val="24"/>
          <w:szCs w:val="24"/>
        </w:rPr>
      </w:pPr>
      <w:r w:rsidRPr="006C6977">
        <w:rPr>
          <w:rFonts w:ascii="Times New Roman" w:hAnsi="Times New Roman" w:cs="Times New Roman"/>
          <w:sz w:val="24"/>
          <w:szCs w:val="24"/>
        </w:rPr>
        <w:t xml:space="preserve">Jena and Mahanti (2014) conducted “An empirical study on technostress among Indian academicians”, identifying key factors such as techno-overload, techno-invasion, </w:t>
      </w:r>
      <w:proofErr w:type="spellStart"/>
      <w:r w:rsidRPr="006C6977">
        <w:rPr>
          <w:rFonts w:ascii="Times New Roman" w:hAnsi="Times New Roman" w:cs="Times New Roman"/>
          <w:sz w:val="24"/>
          <w:szCs w:val="24"/>
        </w:rPr>
        <w:t>technocomplexity</w:t>
      </w:r>
      <w:proofErr w:type="spellEnd"/>
      <w:r w:rsidRPr="006C6977">
        <w:rPr>
          <w:rFonts w:ascii="Times New Roman" w:hAnsi="Times New Roman" w:cs="Times New Roman"/>
          <w:sz w:val="24"/>
          <w:szCs w:val="24"/>
        </w:rPr>
        <w:t xml:space="preserve">, techno-insecurity, and techno-uncertainty. Their research revealed that demographic variables including gender, age, and technological awareness significantly influence technostress levels, with male and older academicians experiencing higher stress, while increased technological awareness lowers it. The study emphasizes that frequent technology updates and demands lead to anxiety and reduced job satisfaction among educators. </w:t>
      </w:r>
    </w:p>
    <w:p w14:paraId="2DAA5738" w14:textId="560149BB" w:rsidR="006C6977" w:rsidRDefault="006C6977" w:rsidP="006C6977">
      <w:pPr>
        <w:spacing w:line="360" w:lineRule="auto"/>
        <w:jc w:val="both"/>
        <w:rPr>
          <w:rFonts w:ascii="Times New Roman" w:hAnsi="Times New Roman" w:cs="Times New Roman"/>
          <w:sz w:val="24"/>
          <w:szCs w:val="24"/>
        </w:rPr>
      </w:pPr>
      <w:r w:rsidRPr="006C6977">
        <w:rPr>
          <w:rFonts w:ascii="Times New Roman" w:hAnsi="Times New Roman" w:cs="Times New Roman"/>
          <w:sz w:val="24"/>
          <w:szCs w:val="24"/>
        </w:rPr>
        <w:t xml:space="preserve">S. Yoganand, I. K. Annie, John William Felix (2019) conducted a cross-sectional “A study on burnout syndrome among school teachers in Tamil Nadu” assessing burnout among government school teachers in Tamil Nadu. Using the Teachers Burnout Scale, they found the majority had low to below average burnout levels, with no significant differences by age or gender. Factors such as having a spouse who is also a teacher, chronic illnesses, and working in urban schools correlated with higher burnout. Physical activity like exercise and yoga was linked to lower burnout levels. Teachers in higher grade levels and those teaching social science </w:t>
      </w:r>
      <w:r w:rsidRPr="006C6977">
        <w:rPr>
          <w:rFonts w:ascii="Times New Roman" w:hAnsi="Times New Roman" w:cs="Times New Roman"/>
          <w:sz w:val="24"/>
          <w:szCs w:val="24"/>
        </w:rPr>
        <w:lastRenderedPageBreak/>
        <w:t>experienced more burnout. The study emphasizes the need for burnout screening and health programs to support teacher wellbeing in addressing occupational stress</w:t>
      </w:r>
      <w:r>
        <w:rPr>
          <w:rFonts w:ascii="Times New Roman" w:hAnsi="Times New Roman" w:cs="Times New Roman"/>
          <w:sz w:val="24"/>
          <w:szCs w:val="24"/>
        </w:rPr>
        <w:t>.</w:t>
      </w:r>
    </w:p>
    <w:p w14:paraId="129B513B" w14:textId="77777777" w:rsidR="006C6977" w:rsidRPr="006C6977" w:rsidRDefault="006C6977" w:rsidP="006C6977">
      <w:pPr>
        <w:spacing w:line="360" w:lineRule="auto"/>
        <w:jc w:val="both"/>
        <w:rPr>
          <w:rFonts w:ascii="Times New Roman" w:hAnsi="Times New Roman" w:cs="Times New Roman"/>
          <w:b/>
          <w:bCs/>
          <w:sz w:val="24"/>
          <w:szCs w:val="24"/>
        </w:rPr>
      </w:pPr>
      <w:r w:rsidRPr="006C6977">
        <w:rPr>
          <w:rFonts w:ascii="Times New Roman" w:hAnsi="Times New Roman" w:cs="Times New Roman"/>
          <w:b/>
          <w:bCs/>
          <w:sz w:val="24"/>
          <w:szCs w:val="24"/>
        </w:rPr>
        <w:t>2.3 Research Gap</w:t>
      </w:r>
    </w:p>
    <w:p w14:paraId="6B880B2A" w14:textId="0C677E98" w:rsidR="006C6977" w:rsidRDefault="00A11AAE" w:rsidP="006C6977">
      <w:pPr>
        <w:spacing w:line="360" w:lineRule="auto"/>
        <w:jc w:val="both"/>
        <w:rPr>
          <w:rFonts w:ascii="Times New Roman" w:hAnsi="Times New Roman" w:cs="Times New Roman"/>
          <w:sz w:val="24"/>
          <w:szCs w:val="24"/>
        </w:rPr>
      </w:pPr>
      <w:r w:rsidRPr="00A11AAE">
        <w:rPr>
          <w:rFonts w:ascii="Times New Roman" w:hAnsi="Times New Roman" w:cs="Times New Roman"/>
          <w:sz w:val="24"/>
          <w:szCs w:val="24"/>
        </w:rPr>
        <w:t>Although there is considerable literature on workplace stress, job satisfaction, and work-life balance among teachers, there is a notable lack of focused research specifically examining the effects of an ‘always on’ work culture in private schools in Tamil Nadu.</w:t>
      </w:r>
      <w:r w:rsidRPr="00A11AAE">
        <w:t xml:space="preserve"> </w:t>
      </w:r>
      <w:r w:rsidRPr="00A11AAE">
        <w:rPr>
          <w:rFonts w:ascii="Times New Roman" w:hAnsi="Times New Roman" w:cs="Times New Roman"/>
          <w:sz w:val="24"/>
          <w:szCs w:val="24"/>
        </w:rPr>
        <w:t>Most studies neglect the distinctive challenges introduced by persistent digital connectivity, such as immediate responsiveness to emails and school apps, which foster a sense of perpetual availability</w:t>
      </w:r>
    </w:p>
    <w:p w14:paraId="205E904F" w14:textId="77777777" w:rsidR="006C6977" w:rsidRPr="006C6977" w:rsidRDefault="006C6977" w:rsidP="006C6977">
      <w:pPr>
        <w:spacing w:line="360" w:lineRule="auto"/>
        <w:jc w:val="both"/>
        <w:rPr>
          <w:rFonts w:ascii="Times New Roman" w:hAnsi="Times New Roman" w:cs="Times New Roman"/>
          <w:b/>
          <w:bCs/>
          <w:sz w:val="24"/>
          <w:szCs w:val="24"/>
        </w:rPr>
      </w:pPr>
      <w:r w:rsidRPr="006C6977">
        <w:rPr>
          <w:rFonts w:ascii="Times New Roman" w:hAnsi="Times New Roman" w:cs="Times New Roman"/>
          <w:b/>
          <w:bCs/>
          <w:sz w:val="24"/>
          <w:szCs w:val="24"/>
        </w:rPr>
        <w:t xml:space="preserve">3. Research Methodology </w:t>
      </w:r>
    </w:p>
    <w:p w14:paraId="3BFB64C8" w14:textId="47D70EC6" w:rsidR="006C6977" w:rsidRPr="006C6977" w:rsidRDefault="006C6977" w:rsidP="006C6977">
      <w:pPr>
        <w:spacing w:line="360" w:lineRule="auto"/>
        <w:jc w:val="both"/>
        <w:rPr>
          <w:rFonts w:ascii="Times New Roman" w:hAnsi="Times New Roman" w:cs="Times New Roman"/>
          <w:b/>
          <w:bCs/>
          <w:sz w:val="24"/>
          <w:szCs w:val="24"/>
        </w:rPr>
      </w:pPr>
      <w:r w:rsidRPr="006C6977">
        <w:rPr>
          <w:rFonts w:ascii="Times New Roman" w:hAnsi="Times New Roman" w:cs="Times New Roman"/>
          <w:b/>
          <w:bCs/>
          <w:sz w:val="24"/>
          <w:szCs w:val="24"/>
        </w:rPr>
        <w:t>3.1. Introduction</w:t>
      </w:r>
    </w:p>
    <w:p w14:paraId="21BC2CD0" w14:textId="471A3AE1" w:rsidR="00D538D8" w:rsidRDefault="006C6977" w:rsidP="006C6977">
      <w:pPr>
        <w:spacing w:line="360" w:lineRule="auto"/>
        <w:jc w:val="both"/>
        <w:rPr>
          <w:rFonts w:ascii="Times New Roman" w:hAnsi="Times New Roman" w:cs="Times New Roman"/>
          <w:sz w:val="24"/>
          <w:szCs w:val="24"/>
        </w:rPr>
      </w:pPr>
      <w:r w:rsidRPr="006C6977">
        <w:rPr>
          <w:rFonts w:ascii="Times New Roman" w:hAnsi="Times New Roman" w:cs="Times New Roman"/>
          <w:sz w:val="24"/>
          <w:szCs w:val="24"/>
        </w:rPr>
        <w:t>This chapter presents the research design, sampling plan, data-collection procedures, pilot testing, reliability and validity assessment, and the statistical tools adopted for analysis.</w:t>
      </w:r>
    </w:p>
    <w:p w14:paraId="5017E46A" w14:textId="4A7A1E3C" w:rsidR="006F7B26" w:rsidRPr="006F7B26" w:rsidRDefault="006F7B26" w:rsidP="006C6977">
      <w:pPr>
        <w:spacing w:line="360" w:lineRule="auto"/>
        <w:jc w:val="both"/>
        <w:rPr>
          <w:rFonts w:ascii="Times New Roman" w:hAnsi="Times New Roman" w:cs="Times New Roman"/>
          <w:b/>
          <w:bCs/>
          <w:sz w:val="24"/>
          <w:szCs w:val="24"/>
        </w:rPr>
      </w:pPr>
      <w:r w:rsidRPr="006F7B26">
        <w:rPr>
          <w:rFonts w:ascii="Times New Roman" w:hAnsi="Times New Roman" w:cs="Times New Roman"/>
          <w:b/>
          <w:bCs/>
          <w:sz w:val="24"/>
          <w:szCs w:val="24"/>
        </w:rPr>
        <w:t>3.2 Research Design</w:t>
      </w:r>
    </w:p>
    <w:p w14:paraId="317C715C" w14:textId="1ADD0D45" w:rsidR="006C6977" w:rsidRDefault="006F7B26" w:rsidP="006C6977">
      <w:pPr>
        <w:spacing w:line="360" w:lineRule="auto"/>
        <w:jc w:val="both"/>
        <w:rPr>
          <w:rFonts w:ascii="Times New Roman" w:hAnsi="Times New Roman" w:cs="Times New Roman"/>
          <w:sz w:val="24"/>
          <w:szCs w:val="24"/>
        </w:rPr>
      </w:pPr>
      <w:r w:rsidRPr="006F7B26">
        <w:rPr>
          <w:rFonts w:ascii="Times New Roman" w:hAnsi="Times New Roman" w:cs="Times New Roman"/>
          <w:sz w:val="24"/>
          <w:szCs w:val="24"/>
        </w:rPr>
        <w:t xml:space="preserve">The descriptive element provides an overview of teachers’ demographic profiles, work patterns, and after-hours digital engagement, while the analytical element explores how these factors influence mental and physical wellbeing. Quantitative data are gathered through structured questionnaires, and qualitative insights are obtained from </w:t>
      </w:r>
      <w:proofErr w:type="spellStart"/>
      <w:r w:rsidRPr="006F7B26">
        <w:rPr>
          <w:rFonts w:ascii="Times New Roman" w:hAnsi="Times New Roman" w:cs="Times New Roman"/>
          <w:sz w:val="24"/>
          <w:szCs w:val="24"/>
        </w:rPr>
        <w:t>openended</w:t>
      </w:r>
      <w:proofErr w:type="spellEnd"/>
      <w:r w:rsidRPr="006F7B26">
        <w:rPr>
          <w:rFonts w:ascii="Times New Roman" w:hAnsi="Times New Roman" w:cs="Times New Roman"/>
          <w:sz w:val="24"/>
          <w:szCs w:val="24"/>
        </w:rPr>
        <w:t xml:space="preserve"> responses to capture personal experiences.</w:t>
      </w:r>
    </w:p>
    <w:p w14:paraId="0D9517DE" w14:textId="77777777" w:rsidR="006C6977" w:rsidRPr="006C6977" w:rsidRDefault="006C6977" w:rsidP="006C6977">
      <w:pPr>
        <w:spacing w:line="360" w:lineRule="auto"/>
        <w:jc w:val="both"/>
        <w:rPr>
          <w:rFonts w:ascii="Times New Roman" w:hAnsi="Times New Roman" w:cs="Times New Roman"/>
          <w:b/>
          <w:bCs/>
          <w:sz w:val="24"/>
          <w:szCs w:val="24"/>
        </w:rPr>
      </w:pPr>
      <w:r w:rsidRPr="006C6977">
        <w:rPr>
          <w:rFonts w:ascii="Times New Roman" w:hAnsi="Times New Roman" w:cs="Times New Roman"/>
          <w:b/>
          <w:bCs/>
          <w:sz w:val="24"/>
          <w:szCs w:val="24"/>
        </w:rPr>
        <w:t>3.3 Sample Design</w:t>
      </w:r>
    </w:p>
    <w:p w14:paraId="41B663BD" w14:textId="55989A7C" w:rsidR="00CF376E" w:rsidRDefault="006C6977" w:rsidP="006C6977">
      <w:pPr>
        <w:spacing w:line="360" w:lineRule="auto"/>
        <w:jc w:val="both"/>
        <w:rPr>
          <w:rFonts w:ascii="Times New Roman" w:hAnsi="Times New Roman" w:cs="Times New Roman"/>
          <w:sz w:val="24"/>
          <w:szCs w:val="24"/>
        </w:rPr>
      </w:pPr>
      <w:r w:rsidRPr="006C6977">
        <w:rPr>
          <w:rFonts w:ascii="Times New Roman" w:hAnsi="Times New Roman" w:cs="Times New Roman"/>
          <w:sz w:val="24"/>
          <w:szCs w:val="24"/>
        </w:rPr>
        <w:t>The study relies primarily on primary data collected directly from teachers employed in private schools across Tamil Nadu. The questionnaire has been developed based on validated scales from previous literature and customized to suit the education sector context.</w:t>
      </w:r>
    </w:p>
    <w:p w14:paraId="166DD671" w14:textId="77777777" w:rsidR="006F7B26" w:rsidRPr="006F7B26" w:rsidRDefault="006F7B26" w:rsidP="006C6977">
      <w:pPr>
        <w:spacing w:line="360" w:lineRule="auto"/>
        <w:jc w:val="both"/>
        <w:rPr>
          <w:rFonts w:ascii="Times New Roman" w:hAnsi="Times New Roman" w:cs="Times New Roman"/>
          <w:b/>
          <w:bCs/>
          <w:sz w:val="24"/>
          <w:szCs w:val="24"/>
        </w:rPr>
      </w:pPr>
      <w:r w:rsidRPr="006F7B26">
        <w:rPr>
          <w:rFonts w:ascii="Times New Roman" w:hAnsi="Times New Roman" w:cs="Times New Roman"/>
          <w:b/>
          <w:bCs/>
          <w:sz w:val="24"/>
          <w:szCs w:val="24"/>
        </w:rPr>
        <w:t xml:space="preserve">3.3.1 Sampling Technique </w:t>
      </w:r>
    </w:p>
    <w:p w14:paraId="3BE7816C" w14:textId="792012C1" w:rsidR="006F7B26" w:rsidRDefault="006F7B26" w:rsidP="006C6977">
      <w:pPr>
        <w:spacing w:line="360" w:lineRule="auto"/>
        <w:jc w:val="both"/>
        <w:rPr>
          <w:rFonts w:ascii="Times New Roman" w:hAnsi="Times New Roman" w:cs="Times New Roman"/>
          <w:sz w:val="24"/>
          <w:szCs w:val="24"/>
        </w:rPr>
      </w:pPr>
      <w:r w:rsidRPr="006F7B26">
        <w:rPr>
          <w:rFonts w:ascii="Times New Roman" w:hAnsi="Times New Roman" w:cs="Times New Roman"/>
          <w:sz w:val="24"/>
          <w:szCs w:val="24"/>
        </w:rPr>
        <w:t>A stratified quota sampling technique has been adopted for this study. The population is divided into distinct strata based on school location and school type to ensure fair representation</w:t>
      </w:r>
      <w:r>
        <w:rPr>
          <w:rFonts w:ascii="Times New Roman" w:hAnsi="Times New Roman" w:cs="Times New Roman"/>
          <w:sz w:val="24"/>
          <w:szCs w:val="24"/>
        </w:rPr>
        <w:t>.</w:t>
      </w:r>
      <w:r w:rsidRPr="006F7B26">
        <w:t xml:space="preserve"> </w:t>
      </w:r>
      <w:r w:rsidRPr="006F7B26">
        <w:rPr>
          <w:rFonts w:ascii="Times New Roman" w:hAnsi="Times New Roman" w:cs="Times New Roman"/>
          <w:sz w:val="24"/>
          <w:szCs w:val="24"/>
        </w:rPr>
        <w:t>This technique allows the researcher to include diverse teacher profiles while maintaining balance and representativeness across regions.</w:t>
      </w:r>
    </w:p>
    <w:p w14:paraId="1A8C12CB" w14:textId="77777777" w:rsidR="006F7B26" w:rsidRPr="006F7B26" w:rsidRDefault="006F7B26" w:rsidP="006C6977">
      <w:pPr>
        <w:spacing w:line="360" w:lineRule="auto"/>
        <w:jc w:val="both"/>
        <w:rPr>
          <w:rFonts w:ascii="Times New Roman" w:hAnsi="Times New Roman" w:cs="Times New Roman"/>
          <w:b/>
          <w:bCs/>
          <w:sz w:val="24"/>
          <w:szCs w:val="24"/>
        </w:rPr>
      </w:pPr>
      <w:r w:rsidRPr="006F7B26">
        <w:rPr>
          <w:rFonts w:ascii="Times New Roman" w:hAnsi="Times New Roman" w:cs="Times New Roman"/>
          <w:b/>
          <w:bCs/>
          <w:sz w:val="24"/>
          <w:szCs w:val="24"/>
        </w:rPr>
        <w:t xml:space="preserve">3.3.2 Sample Area </w:t>
      </w:r>
    </w:p>
    <w:p w14:paraId="622346DD" w14:textId="1633A048" w:rsidR="006F7B26" w:rsidRDefault="006F7B26" w:rsidP="006C6977">
      <w:pPr>
        <w:spacing w:line="360" w:lineRule="auto"/>
        <w:jc w:val="both"/>
        <w:rPr>
          <w:rFonts w:ascii="Times New Roman" w:hAnsi="Times New Roman" w:cs="Times New Roman"/>
          <w:sz w:val="24"/>
          <w:szCs w:val="24"/>
        </w:rPr>
      </w:pPr>
      <w:r w:rsidRPr="006F7B26">
        <w:rPr>
          <w:rFonts w:ascii="Times New Roman" w:hAnsi="Times New Roman" w:cs="Times New Roman"/>
          <w:sz w:val="24"/>
          <w:szCs w:val="24"/>
        </w:rPr>
        <w:lastRenderedPageBreak/>
        <w:t>The study area is Tamil Nadu, one of India’s leading states in terms of private school education. The units of analysis are private school teachers employed at the kindergarten</w:t>
      </w:r>
      <w:r w:rsidR="00A11AAE">
        <w:rPr>
          <w:rFonts w:ascii="Times New Roman" w:hAnsi="Times New Roman" w:cs="Times New Roman"/>
          <w:sz w:val="24"/>
          <w:szCs w:val="24"/>
        </w:rPr>
        <w:t>,</w:t>
      </w:r>
      <w:r w:rsidRPr="006F7B26">
        <w:rPr>
          <w:rFonts w:ascii="Times New Roman" w:hAnsi="Times New Roman" w:cs="Times New Roman"/>
          <w:sz w:val="24"/>
          <w:szCs w:val="24"/>
        </w:rPr>
        <w:t xml:space="preserve"> primary, secondary and higher secondary levels</w:t>
      </w:r>
      <w:r>
        <w:rPr>
          <w:rFonts w:ascii="Times New Roman" w:hAnsi="Times New Roman" w:cs="Times New Roman"/>
          <w:sz w:val="24"/>
          <w:szCs w:val="24"/>
        </w:rPr>
        <w:t>.</w:t>
      </w:r>
    </w:p>
    <w:p w14:paraId="4CE470C9" w14:textId="77777777" w:rsidR="006F7B26" w:rsidRPr="006F7B26" w:rsidRDefault="006F7B26" w:rsidP="006C6977">
      <w:pPr>
        <w:spacing w:line="360" w:lineRule="auto"/>
        <w:jc w:val="both"/>
        <w:rPr>
          <w:rFonts w:ascii="Times New Roman" w:hAnsi="Times New Roman" w:cs="Times New Roman"/>
          <w:b/>
          <w:bCs/>
          <w:sz w:val="24"/>
          <w:szCs w:val="24"/>
        </w:rPr>
      </w:pPr>
      <w:r w:rsidRPr="006F7B26">
        <w:rPr>
          <w:rFonts w:ascii="Times New Roman" w:hAnsi="Times New Roman" w:cs="Times New Roman"/>
          <w:b/>
          <w:bCs/>
          <w:sz w:val="24"/>
          <w:szCs w:val="24"/>
        </w:rPr>
        <w:t xml:space="preserve">3.3.3 Population </w:t>
      </w:r>
    </w:p>
    <w:p w14:paraId="7D02DA67" w14:textId="719AF1C9" w:rsidR="006F7B26" w:rsidRDefault="006F7B26" w:rsidP="006C6977">
      <w:pPr>
        <w:spacing w:line="360" w:lineRule="auto"/>
        <w:jc w:val="both"/>
        <w:rPr>
          <w:rFonts w:ascii="Times New Roman" w:hAnsi="Times New Roman" w:cs="Times New Roman"/>
          <w:sz w:val="24"/>
          <w:szCs w:val="24"/>
        </w:rPr>
      </w:pPr>
      <w:r w:rsidRPr="006F7B26">
        <w:rPr>
          <w:rFonts w:ascii="Times New Roman" w:hAnsi="Times New Roman" w:cs="Times New Roman"/>
          <w:sz w:val="24"/>
          <w:szCs w:val="24"/>
        </w:rPr>
        <w:t>The target population for this study comprises teachers working in private schools across Tamil Nadu. The population is estimated to include over 1.5 lakh private school teachers (as per UDISE+ 2022–23). Since obtaining responses from the entire population is not feasible, a representative sample will be drawn.</w:t>
      </w:r>
    </w:p>
    <w:p w14:paraId="7C427FD7" w14:textId="77777777" w:rsidR="006F7B26" w:rsidRPr="006F7B26" w:rsidRDefault="006F7B26" w:rsidP="006C6977">
      <w:pPr>
        <w:spacing w:line="360" w:lineRule="auto"/>
        <w:jc w:val="both"/>
        <w:rPr>
          <w:rFonts w:ascii="Times New Roman" w:hAnsi="Times New Roman" w:cs="Times New Roman"/>
          <w:b/>
          <w:bCs/>
          <w:sz w:val="24"/>
          <w:szCs w:val="24"/>
        </w:rPr>
      </w:pPr>
      <w:r w:rsidRPr="006F7B26">
        <w:rPr>
          <w:rFonts w:ascii="Times New Roman" w:hAnsi="Times New Roman" w:cs="Times New Roman"/>
          <w:b/>
          <w:bCs/>
          <w:sz w:val="24"/>
          <w:szCs w:val="24"/>
        </w:rPr>
        <w:t xml:space="preserve">3.4 Validity, Pilot Study and Reliability </w:t>
      </w:r>
    </w:p>
    <w:p w14:paraId="13DBD05A" w14:textId="29E75F9D" w:rsidR="00D538D8" w:rsidRDefault="006F7B26" w:rsidP="006C6977">
      <w:pPr>
        <w:spacing w:line="360" w:lineRule="auto"/>
        <w:jc w:val="both"/>
        <w:rPr>
          <w:rFonts w:ascii="Times New Roman" w:hAnsi="Times New Roman" w:cs="Times New Roman"/>
          <w:sz w:val="24"/>
          <w:szCs w:val="24"/>
        </w:rPr>
      </w:pPr>
      <w:r w:rsidRPr="006F7B26">
        <w:rPr>
          <w:rFonts w:ascii="Times New Roman" w:hAnsi="Times New Roman" w:cs="Times New Roman"/>
          <w:sz w:val="24"/>
          <w:szCs w:val="24"/>
        </w:rPr>
        <w:t>Experts and n=30 pilot established content/face validity with refinements, while Cronbach’s α&gt;0.70 (overall 0</w:t>
      </w:r>
      <w:r w:rsidR="00E67EA7">
        <w:t xml:space="preserve"> </w:t>
      </w:r>
      <w:r w:rsidRPr="006F7B26">
        <w:rPr>
          <w:rFonts w:ascii="Times New Roman" w:hAnsi="Times New Roman" w:cs="Times New Roman"/>
          <w:sz w:val="24"/>
          <w:szCs w:val="24"/>
        </w:rPr>
        <w:t>.798/</w:t>
      </w:r>
      <w:r w:rsidR="00A11AAE">
        <w:rPr>
          <w:rFonts w:ascii="Times New Roman" w:hAnsi="Times New Roman" w:cs="Times New Roman"/>
          <w:sz w:val="24"/>
          <w:szCs w:val="24"/>
        </w:rPr>
        <w:t>30</w:t>
      </w:r>
      <w:r w:rsidRPr="006F7B26">
        <w:rPr>
          <w:rFonts w:ascii="Times New Roman" w:hAnsi="Times New Roman" w:cs="Times New Roman"/>
          <w:sz w:val="24"/>
          <w:szCs w:val="24"/>
        </w:rPr>
        <w:t xml:space="preserve"> items) confirmed internal consistency across constructs. </w:t>
      </w:r>
    </w:p>
    <w:p w14:paraId="178451D5" w14:textId="30033CAC" w:rsidR="006F7B26" w:rsidRPr="006F7B26" w:rsidRDefault="006F7B26" w:rsidP="006C6977">
      <w:pPr>
        <w:spacing w:line="360" w:lineRule="auto"/>
        <w:jc w:val="both"/>
        <w:rPr>
          <w:rFonts w:ascii="Times New Roman" w:hAnsi="Times New Roman" w:cs="Times New Roman"/>
          <w:b/>
          <w:bCs/>
          <w:sz w:val="24"/>
          <w:szCs w:val="24"/>
        </w:rPr>
      </w:pPr>
      <w:r w:rsidRPr="006F7B26">
        <w:rPr>
          <w:rFonts w:ascii="Times New Roman" w:hAnsi="Times New Roman" w:cs="Times New Roman"/>
          <w:b/>
          <w:bCs/>
          <w:sz w:val="24"/>
          <w:szCs w:val="24"/>
        </w:rPr>
        <w:t>3.</w:t>
      </w:r>
      <w:r>
        <w:rPr>
          <w:rFonts w:ascii="Times New Roman" w:hAnsi="Times New Roman" w:cs="Times New Roman"/>
          <w:b/>
          <w:bCs/>
          <w:sz w:val="24"/>
          <w:szCs w:val="24"/>
        </w:rPr>
        <w:t>5</w:t>
      </w:r>
      <w:r w:rsidRPr="006F7B26">
        <w:rPr>
          <w:rFonts w:ascii="Times New Roman" w:hAnsi="Times New Roman" w:cs="Times New Roman"/>
          <w:b/>
          <w:bCs/>
          <w:sz w:val="24"/>
          <w:szCs w:val="24"/>
        </w:rPr>
        <w:t xml:space="preserve"> Statistical Tools </w:t>
      </w:r>
    </w:p>
    <w:p w14:paraId="73F00BB3" w14:textId="36C1AEC7" w:rsidR="006F7B26" w:rsidRDefault="006F7B26" w:rsidP="006C6977">
      <w:pPr>
        <w:spacing w:line="360" w:lineRule="auto"/>
        <w:jc w:val="both"/>
        <w:rPr>
          <w:rFonts w:ascii="Times New Roman" w:hAnsi="Times New Roman" w:cs="Times New Roman"/>
          <w:sz w:val="24"/>
          <w:szCs w:val="24"/>
        </w:rPr>
      </w:pPr>
      <w:r w:rsidRPr="006F7B26">
        <w:rPr>
          <w:rFonts w:ascii="Times New Roman" w:hAnsi="Times New Roman" w:cs="Times New Roman"/>
          <w:sz w:val="24"/>
          <w:szCs w:val="24"/>
        </w:rPr>
        <w:t>SPSS</w:t>
      </w:r>
      <w:r w:rsidR="00C149B1">
        <w:rPr>
          <w:rFonts w:ascii="Times New Roman" w:hAnsi="Times New Roman" w:cs="Times New Roman"/>
          <w:sz w:val="24"/>
          <w:szCs w:val="24"/>
        </w:rPr>
        <w:t xml:space="preserve"> and </w:t>
      </w:r>
      <w:proofErr w:type="spellStart"/>
      <w:r w:rsidRPr="006F7B26">
        <w:rPr>
          <w:rFonts w:ascii="Times New Roman" w:hAnsi="Times New Roman" w:cs="Times New Roman"/>
          <w:sz w:val="24"/>
          <w:szCs w:val="24"/>
        </w:rPr>
        <w:t>Jamovi</w:t>
      </w:r>
      <w:proofErr w:type="spellEnd"/>
      <w:r w:rsidRPr="006F7B26">
        <w:rPr>
          <w:rFonts w:ascii="Times New Roman" w:hAnsi="Times New Roman" w:cs="Times New Roman"/>
          <w:sz w:val="24"/>
          <w:szCs w:val="24"/>
        </w:rPr>
        <w:t xml:space="preserve"> facilitates ANOVA for socio-economic trust differences and Pearson’s r for correlation.</w:t>
      </w:r>
    </w:p>
    <w:p w14:paraId="0F107AC5" w14:textId="4C6C0CDB" w:rsidR="00C149B1" w:rsidRDefault="00C149B1" w:rsidP="006C6977">
      <w:pPr>
        <w:spacing w:line="360" w:lineRule="auto"/>
        <w:jc w:val="both"/>
        <w:rPr>
          <w:rFonts w:ascii="Times New Roman" w:hAnsi="Times New Roman" w:cs="Times New Roman"/>
          <w:b/>
          <w:bCs/>
          <w:sz w:val="24"/>
          <w:szCs w:val="24"/>
        </w:rPr>
      </w:pPr>
      <w:r w:rsidRPr="00C149B1">
        <w:rPr>
          <w:rFonts w:ascii="Times New Roman" w:hAnsi="Times New Roman" w:cs="Times New Roman"/>
          <w:b/>
          <w:bCs/>
          <w:sz w:val="24"/>
          <w:szCs w:val="24"/>
        </w:rPr>
        <w:t>4. Data Analysis &amp; Interpretation</w:t>
      </w:r>
    </w:p>
    <w:p w14:paraId="77FA5991" w14:textId="448A82DA" w:rsidR="00C149B1" w:rsidRDefault="00C149B1" w:rsidP="006C69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Pr="00903821">
        <w:rPr>
          <w:rFonts w:ascii="Times New Roman" w:hAnsi="Times New Roman" w:cs="Times New Roman"/>
          <w:b/>
          <w:bCs/>
          <w:sz w:val="24"/>
          <w:szCs w:val="24"/>
        </w:rPr>
        <w:t>Correlation for examining the relationship between always-on work demands and teachers’ mental wellbeing</w:t>
      </w: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2"/>
        <w:gridCol w:w="1701"/>
        <w:gridCol w:w="1843"/>
        <w:gridCol w:w="2835"/>
      </w:tblGrid>
      <w:tr w:rsidR="00C149B1" w:rsidRPr="00903821" w14:paraId="1CA1DA6D" w14:textId="77777777" w:rsidTr="00C149B1">
        <w:trPr>
          <w:cantSplit/>
          <w:trHeight w:val="333"/>
        </w:trPr>
        <w:tc>
          <w:tcPr>
            <w:tcW w:w="8931" w:type="dxa"/>
            <w:gridSpan w:val="4"/>
            <w:tcBorders>
              <w:top w:val="nil"/>
              <w:left w:val="nil"/>
              <w:bottom w:val="nil"/>
              <w:right w:val="nil"/>
            </w:tcBorders>
            <w:shd w:val="clear" w:color="auto" w:fill="FFFFFF"/>
            <w:vAlign w:val="center"/>
          </w:tcPr>
          <w:p w14:paraId="6FA4B43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b/>
                <w:bCs/>
                <w:sz w:val="24"/>
                <w:szCs w:val="24"/>
              </w:rPr>
              <w:t>Correlations</w:t>
            </w:r>
          </w:p>
        </w:tc>
      </w:tr>
      <w:tr w:rsidR="00C149B1" w:rsidRPr="00903821" w14:paraId="32051288" w14:textId="77777777" w:rsidTr="00A11AAE">
        <w:trPr>
          <w:cantSplit/>
          <w:trHeight w:val="982"/>
        </w:trPr>
        <w:tc>
          <w:tcPr>
            <w:tcW w:w="4253" w:type="dxa"/>
            <w:gridSpan w:val="2"/>
            <w:tcBorders>
              <w:top w:val="single" w:sz="16" w:space="0" w:color="000000"/>
              <w:left w:val="single" w:sz="16" w:space="0" w:color="000000"/>
              <w:bottom w:val="single" w:sz="16" w:space="0" w:color="000000"/>
              <w:right w:val="nil"/>
            </w:tcBorders>
            <w:shd w:val="clear" w:color="auto" w:fill="FFFFFF"/>
            <w:vAlign w:val="bottom"/>
          </w:tcPr>
          <w:p w14:paraId="08454F9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1843" w:type="dxa"/>
            <w:tcBorders>
              <w:top w:val="single" w:sz="16" w:space="0" w:color="000000"/>
              <w:left w:val="single" w:sz="16" w:space="0" w:color="000000"/>
              <w:bottom w:val="single" w:sz="16" w:space="0" w:color="000000"/>
            </w:tcBorders>
            <w:shd w:val="clear" w:color="auto" w:fill="FFFFFF"/>
            <w:vAlign w:val="bottom"/>
          </w:tcPr>
          <w:p w14:paraId="660BB62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roofErr w:type="spellStart"/>
            <w:r w:rsidRPr="00903821">
              <w:rPr>
                <w:rFonts w:ascii="Times New Roman" w:hAnsi="Times New Roman" w:cs="Times New Roman"/>
                <w:sz w:val="24"/>
                <w:szCs w:val="24"/>
              </w:rPr>
              <w:t>Mental_wellbeing</w:t>
            </w:r>
            <w:proofErr w:type="spellEnd"/>
          </w:p>
        </w:tc>
        <w:tc>
          <w:tcPr>
            <w:tcW w:w="2835" w:type="dxa"/>
            <w:tcBorders>
              <w:top w:val="single" w:sz="16" w:space="0" w:color="000000"/>
              <w:bottom w:val="single" w:sz="16" w:space="0" w:color="000000"/>
              <w:right w:val="single" w:sz="16" w:space="0" w:color="000000"/>
            </w:tcBorders>
            <w:shd w:val="clear" w:color="auto" w:fill="FFFFFF"/>
            <w:vAlign w:val="bottom"/>
          </w:tcPr>
          <w:p w14:paraId="6A574BD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roofErr w:type="spellStart"/>
            <w:r w:rsidRPr="00903821">
              <w:rPr>
                <w:rFonts w:ascii="Times New Roman" w:hAnsi="Times New Roman" w:cs="Times New Roman"/>
                <w:sz w:val="24"/>
                <w:szCs w:val="24"/>
              </w:rPr>
              <w:t>after_hour_digital_communication_frequency</w:t>
            </w:r>
            <w:proofErr w:type="spellEnd"/>
          </w:p>
        </w:tc>
      </w:tr>
      <w:tr w:rsidR="00C149B1" w:rsidRPr="00903821" w14:paraId="7575E7FA" w14:textId="77777777" w:rsidTr="00A11AAE">
        <w:trPr>
          <w:cantSplit/>
          <w:trHeight w:val="953"/>
        </w:trPr>
        <w:tc>
          <w:tcPr>
            <w:tcW w:w="2552" w:type="dxa"/>
            <w:vMerge w:val="restart"/>
            <w:tcBorders>
              <w:top w:val="single" w:sz="16" w:space="0" w:color="000000"/>
              <w:left w:val="single" w:sz="16" w:space="0" w:color="000000"/>
              <w:right w:val="nil"/>
            </w:tcBorders>
            <w:shd w:val="clear" w:color="auto" w:fill="FFFFFF"/>
          </w:tcPr>
          <w:p w14:paraId="07A4B151"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roofErr w:type="spellStart"/>
            <w:r w:rsidRPr="00903821">
              <w:rPr>
                <w:rFonts w:ascii="Times New Roman" w:hAnsi="Times New Roman" w:cs="Times New Roman"/>
                <w:sz w:val="24"/>
                <w:szCs w:val="24"/>
              </w:rPr>
              <w:t>Mental_wellbeing</w:t>
            </w:r>
            <w:proofErr w:type="spellEnd"/>
          </w:p>
        </w:tc>
        <w:tc>
          <w:tcPr>
            <w:tcW w:w="1701" w:type="dxa"/>
            <w:tcBorders>
              <w:top w:val="single" w:sz="16" w:space="0" w:color="000000"/>
              <w:left w:val="nil"/>
              <w:bottom w:val="nil"/>
              <w:right w:val="single" w:sz="16" w:space="0" w:color="000000"/>
            </w:tcBorders>
            <w:shd w:val="clear" w:color="auto" w:fill="FFFFFF"/>
          </w:tcPr>
          <w:p w14:paraId="543335F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Pearson Correlation</w:t>
            </w:r>
          </w:p>
        </w:tc>
        <w:tc>
          <w:tcPr>
            <w:tcW w:w="1843" w:type="dxa"/>
            <w:tcBorders>
              <w:top w:val="single" w:sz="16" w:space="0" w:color="000000"/>
              <w:left w:val="single" w:sz="16" w:space="0" w:color="000000"/>
              <w:bottom w:val="nil"/>
            </w:tcBorders>
            <w:shd w:val="clear" w:color="auto" w:fill="FFFFFF"/>
            <w:vAlign w:val="center"/>
          </w:tcPr>
          <w:p w14:paraId="4BA9E76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w:t>
            </w:r>
          </w:p>
        </w:tc>
        <w:tc>
          <w:tcPr>
            <w:tcW w:w="2835" w:type="dxa"/>
            <w:tcBorders>
              <w:top w:val="single" w:sz="16" w:space="0" w:color="000000"/>
              <w:bottom w:val="nil"/>
              <w:right w:val="single" w:sz="16" w:space="0" w:color="000000"/>
            </w:tcBorders>
            <w:shd w:val="clear" w:color="auto" w:fill="FFFFFF"/>
            <w:vAlign w:val="center"/>
          </w:tcPr>
          <w:p w14:paraId="501FF7E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.605</w:t>
            </w:r>
            <w:r w:rsidRPr="00903821">
              <w:rPr>
                <w:rFonts w:ascii="Times New Roman" w:hAnsi="Times New Roman" w:cs="Times New Roman"/>
                <w:sz w:val="24"/>
                <w:szCs w:val="24"/>
                <w:vertAlign w:val="superscript"/>
              </w:rPr>
              <w:t>**</w:t>
            </w:r>
          </w:p>
        </w:tc>
      </w:tr>
      <w:tr w:rsidR="00C149B1" w:rsidRPr="00903821" w14:paraId="6C4295FA" w14:textId="77777777" w:rsidTr="00A11AAE">
        <w:trPr>
          <w:cantSplit/>
          <w:trHeight w:val="125"/>
        </w:trPr>
        <w:tc>
          <w:tcPr>
            <w:tcW w:w="2552" w:type="dxa"/>
            <w:vMerge/>
            <w:tcBorders>
              <w:top w:val="single" w:sz="16" w:space="0" w:color="000000"/>
              <w:left w:val="single" w:sz="16" w:space="0" w:color="000000"/>
              <w:right w:val="nil"/>
            </w:tcBorders>
            <w:shd w:val="clear" w:color="auto" w:fill="FFFFFF"/>
          </w:tcPr>
          <w:p w14:paraId="47514F37"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1701" w:type="dxa"/>
            <w:tcBorders>
              <w:top w:val="nil"/>
              <w:left w:val="nil"/>
              <w:right w:val="single" w:sz="16" w:space="0" w:color="000000"/>
            </w:tcBorders>
            <w:shd w:val="clear" w:color="auto" w:fill="FFFFFF"/>
          </w:tcPr>
          <w:p w14:paraId="1558D251"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N</w:t>
            </w:r>
          </w:p>
        </w:tc>
        <w:tc>
          <w:tcPr>
            <w:tcW w:w="1843" w:type="dxa"/>
            <w:tcBorders>
              <w:top w:val="nil"/>
              <w:left w:val="single" w:sz="16" w:space="0" w:color="000000"/>
            </w:tcBorders>
            <w:shd w:val="clear" w:color="auto" w:fill="FFFFFF"/>
            <w:vAlign w:val="center"/>
          </w:tcPr>
          <w:p w14:paraId="0B891F0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394</w:t>
            </w:r>
          </w:p>
        </w:tc>
        <w:tc>
          <w:tcPr>
            <w:tcW w:w="2835" w:type="dxa"/>
            <w:tcBorders>
              <w:top w:val="nil"/>
              <w:right w:val="single" w:sz="16" w:space="0" w:color="000000"/>
            </w:tcBorders>
            <w:shd w:val="clear" w:color="auto" w:fill="FFFFFF"/>
            <w:vAlign w:val="center"/>
          </w:tcPr>
          <w:p w14:paraId="267832D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394</w:t>
            </w:r>
          </w:p>
        </w:tc>
      </w:tr>
      <w:tr w:rsidR="00C149B1" w:rsidRPr="00903821" w14:paraId="3E9B967B" w14:textId="77777777" w:rsidTr="00A11AAE">
        <w:trPr>
          <w:cantSplit/>
          <w:trHeight w:val="497"/>
        </w:trPr>
        <w:tc>
          <w:tcPr>
            <w:tcW w:w="2552" w:type="dxa"/>
            <w:vMerge w:val="restart"/>
            <w:tcBorders>
              <w:top w:val="nil"/>
              <w:left w:val="single" w:sz="16" w:space="0" w:color="000000"/>
              <w:bottom w:val="single" w:sz="16" w:space="0" w:color="000000"/>
              <w:right w:val="nil"/>
            </w:tcBorders>
            <w:shd w:val="clear" w:color="auto" w:fill="FFFFFF"/>
          </w:tcPr>
          <w:p w14:paraId="5180830B"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roofErr w:type="spellStart"/>
            <w:r w:rsidRPr="00903821">
              <w:rPr>
                <w:rFonts w:ascii="Times New Roman" w:hAnsi="Times New Roman" w:cs="Times New Roman"/>
                <w:sz w:val="24"/>
                <w:szCs w:val="24"/>
              </w:rPr>
              <w:t>after_hour_digital_communication_frequency</w:t>
            </w:r>
            <w:proofErr w:type="spellEnd"/>
          </w:p>
        </w:tc>
        <w:tc>
          <w:tcPr>
            <w:tcW w:w="1701" w:type="dxa"/>
            <w:tcBorders>
              <w:top w:val="nil"/>
              <w:left w:val="nil"/>
              <w:bottom w:val="nil"/>
              <w:right w:val="single" w:sz="16" w:space="0" w:color="000000"/>
            </w:tcBorders>
            <w:shd w:val="clear" w:color="auto" w:fill="FFFFFF"/>
          </w:tcPr>
          <w:p w14:paraId="4A30142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Pearson Correlation</w:t>
            </w:r>
          </w:p>
        </w:tc>
        <w:tc>
          <w:tcPr>
            <w:tcW w:w="1843" w:type="dxa"/>
            <w:tcBorders>
              <w:top w:val="nil"/>
              <w:left w:val="single" w:sz="16" w:space="0" w:color="000000"/>
              <w:bottom w:val="nil"/>
            </w:tcBorders>
            <w:shd w:val="clear" w:color="auto" w:fill="FFFFFF"/>
            <w:vAlign w:val="center"/>
          </w:tcPr>
          <w:p w14:paraId="3181661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.605</w:t>
            </w:r>
            <w:r w:rsidRPr="00903821">
              <w:rPr>
                <w:rFonts w:ascii="Times New Roman" w:hAnsi="Times New Roman" w:cs="Times New Roman"/>
                <w:sz w:val="24"/>
                <w:szCs w:val="24"/>
                <w:vertAlign w:val="superscript"/>
              </w:rPr>
              <w:t>**</w:t>
            </w:r>
          </w:p>
        </w:tc>
        <w:tc>
          <w:tcPr>
            <w:tcW w:w="2835" w:type="dxa"/>
            <w:tcBorders>
              <w:top w:val="nil"/>
              <w:bottom w:val="nil"/>
              <w:right w:val="single" w:sz="16" w:space="0" w:color="000000"/>
            </w:tcBorders>
            <w:shd w:val="clear" w:color="auto" w:fill="FFFFFF"/>
            <w:vAlign w:val="center"/>
          </w:tcPr>
          <w:p w14:paraId="4C3594D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w:t>
            </w:r>
          </w:p>
        </w:tc>
      </w:tr>
      <w:tr w:rsidR="00C149B1" w:rsidRPr="00903821" w14:paraId="73703411" w14:textId="77777777" w:rsidTr="00A11AAE">
        <w:trPr>
          <w:cantSplit/>
          <w:trHeight w:val="125"/>
        </w:trPr>
        <w:tc>
          <w:tcPr>
            <w:tcW w:w="2552" w:type="dxa"/>
            <w:vMerge/>
            <w:tcBorders>
              <w:top w:val="nil"/>
              <w:left w:val="single" w:sz="16" w:space="0" w:color="000000"/>
              <w:bottom w:val="single" w:sz="16" w:space="0" w:color="000000"/>
              <w:right w:val="nil"/>
            </w:tcBorders>
            <w:shd w:val="clear" w:color="auto" w:fill="FFFFFF"/>
          </w:tcPr>
          <w:p w14:paraId="71E8C41F"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1701" w:type="dxa"/>
            <w:tcBorders>
              <w:top w:val="nil"/>
              <w:left w:val="nil"/>
              <w:bottom w:val="single" w:sz="16" w:space="0" w:color="000000"/>
              <w:right w:val="single" w:sz="16" w:space="0" w:color="000000"/>
            </w:tcBorders>
            <w:shd w:val="clear" w:color="auto" w:fill="FFFFFF"/>
          </w:tcPr>
          <w:p w14:paraId="09B8D87E"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N</w:t>
            </w:r>
          </w:p>
        </w:tc>
        <w:tc>
          <w:tcPr>
            <w:tcW w:w="1843" w:type="dxa"/>
            <w:tcBorders>
              <w:top w:val="nil"/>
              <w:left w:val="single" w:sz="16" w:space="0" w:color="000000"/>
              <w:bottom w:val="single" w:sz="16" w:space="0" w:color="000000"/>
            </w:tcBorders>
            <w:shd w:val="clear" w:color="auto" w:fill="FFFFFF"/>
            <w:vAlign w:val="center"/>
          </w:tcPr>
          <w:p w14:paraId="13561DBD"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394</w:t>
            </w:r>
          </w:p>
        </w:tc>
        <w:tc>
          <w:tcPr>
            <w:tcW w:w="2835" w:type="dxa"/>
            <w:tcBorders>
              <w:top w:val="nil"/>
              <w:bottom w:val="single" w:sz="16" w:space="0" w:color="000000"/>
              <w:right w:val="single" w:sz="16" w:space="0" w:color="000000"/>
            </w:tcBorders>
            <w:shd w:val="clear" w:color="auto" w:fill="FFFFFF"/>
            <w:vAlign w:val="center"/>
          </w:tcPr>
          <w:p w14:paraId="69BF857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394</w:t>
            </w:r>
          </w:p>
        </w:tc>
      </w:tr>
      <w:tr w:rsidR="00C149B1" w:rsidRPr="00903821" w14:paraId="0322F522" w14:textId="77777777" w:rsidTr="00B367EA">
        <w:trPr>
          <w:cantSplit/>
          <w:trHeight w:val="497"/>
        </w:trPr>
        <w:tc>
          <w:tcPr>
            <w:tcW w:w="8931" w:type="dxa"/>
            <w:gridSpan w:val="4"/>
            <w:tcBorders>
              <w:top w:val="nil"/>
              <w:left w:val="nil"/>
              <w:bottom w:val="nil"/>
              <w:right w:val="nil"/>
            </w:tcBorders>
            <w:shd w:val="clear" w:color="auto" w:fill="FFFFFF"/>
          </w:tcPr>
          <w:p w14:paraId="328A6A76"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 Correlation is significant at the 0.01 level (2-tailed).</w:t>
            </w:r>
          </w:p>
        </w:tc>
      </w:tr>
    </w:tbl>
    <w:p w14:paraId="26DF7A36" w14:textId="0D1D2D2B" w:rsidR="00D538D8" w:rsidRPr="00903821" w:rsidRDefault="00C149B1" w:rsidP="00C149B1">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lastRenderedPageBreak/>
        <w:t>The correlation analysis reveals a strong and positive relationship between after-hours digital communication frequency and teachers’ mental wellbeing (r = 0.605, p &lt; 0.01). This indicates that as the frequency of after-hours work-related digital communication increases, there is a corresponding increase in mental strain and psychological distress among private school teachers. The statistically significant result confirms that the “always-on” work culture plays a substantial role in influencing teachers’ mental wellbeing. The strength of the correlation suggests that persistent connectivity beyond official working hours significantly affects teachers’ emotional balance, stress levels, and overall mental health.</w:t>
      </w:r>
    </w:p>
    <w:p w14:paraId="45B85CB6" w14:textId="1B43906A" w:rsidR="00C149B1" w:rsidRDefault="00C149B1" w:rsidP="006C69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Pr="00903821">
        <w:rPr>
          <w:rFonts w:ascii="Times New Roman" w:hAnsi="Times New Roman" w:cs="Times New Roman"/>
          <w:b/>
          <w:bCs/>
          <w:sz w:val="24"/>
          <w:szCs w:val="24"/>
        </w:rPr>
        <w:t>Regression for analysing the impact of always-on work culture on teachers’ physical wellbeing</w:t>
      </w:r>
    </w:p>
    <w:tbl>
      <w:tblPr>
        <w:tblW w:w="664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2"/>
        <w:gridCol w:w="1539"/>
        <w:gridCol w:w="1656"/>
        <w:gridCol w:w="2240"/>
      </w:tblGrid>
      <w:tr w:rsidR="00C149B1" w:rsidRPr="00903821" w14:paraId="60DF22AF" w14:textId="77777777" w:rsidTr="00B367EA">
        <w:trPr>
          <w:cantSplit/>
          <w:trHeight w:val="805"/>
        </w:trPr>
        <w:tc>
          <w:tcPr>
            <w:tcW w:w="1212"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FA5555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Model</w:t>
            </w:r>
          </w:p>
        </w:tc>
        <w:tc>
          <w:tcPr>
            <w:tcW w:w="1539" w:type="dxa"/>
            <w:tcBorders>
              <w:top w:val="single" w:sz="16" w:space="0" w:color="000000"/>
              <w:left w:val="single" w:sz="16" w:space="0" w:color="000000"/>
              <w:bottom w:val="single" w:sz="16" w:space="0" w:color="000000"/>
            </w:tcBorders>
            <w:shd w:val="clear" w:color="auto" w:fill="FFFFFF"/>
            <w:vAlign w:val="bottom"/>
          </w:tcPr>
          <w:p w14:paraId="04C81FB6"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R</w:t>
            </w:r>
          </w:p>
        </w:tc>
        <w:tc>
          <w:tcPr>
            <w:tcW w:w="1656" w:type="dxa"/>
            <w:tcBorders>
              <w:top w:val="single" w:sz="16" w:space="0" w:color="000000"/>
              <w:bottom w:val="single" w:sz="16" w:space="0" w:color="000000"/>
            </w:tcBorders>
            <w:shd w:val="clear" w:color="auto" w:fill="FFFFFF"/>
            <w:vAlign w:val="bottom"/>
          </w:tcPr>
          <w:p w14:paraId="0C753DA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R Square</w:t>
            </w:r>
          </w:p>
        </w:tc>
        <w:tc>
          <w:tcPr>
            <w:tcW w:w="2240" w:type="dxa"/>
            <w:tcBorders>
              <w:top w:val="single" w:sz="16" w:space="0" w:color="000000"/>
              <w:bottom w:val="single" w:sz="16" w:space="0" w:color="000000"/>
            </w:tcBorders>
            <w:shd w:val="clear" w:color="auto" w:fill="FFFFFF"/>
            <w:vAlign w:val="bottom"/>
          </w:tcPr>
          <w:p w14:paraId="08CAA31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Adjusted R Square</w:t>
            </w:r>
          </w:p>
        </w:tc>
      </w:tr>
      <w:tr w:rsidR="00C149B1" w:rsidRPr="00903821" w14:paraId="3A65CC8F" w14:textId="77777777" w:rsidTr="00B367EA">
        <w:trPr>
          <w:cantSplit/>
          <w:trHeight w:val="467"/>
        </w:trPr>
        <w:tc>
          <w:tcPr>
            <w:tcW w:w="1212" w:type="dxa"/>
            <w:tcBorders>
              <w:top w:val="single" w:sz="16" w:space="0" w:color="000000"/>
              <w:left w:val="single" w:sz="16" w:space="0" w:color="000000"/>
              <w:bottom w:val="single" w:sz="16" w:space="0" w:color="000000"/>
              <w:right w:val="single" w:sz="16" w:space="0" w:color="000000"/>
            </w:tcBorders>
            <w:shd w:val="clear" w:color="auto" w:fill="FFFFFF"/>
          </w:tcPr>
          <w:p w14:paraId="6B428D6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w:t>
            </w:r>
          </w:p>
        </w:tc>
        <w:tc>
          <w:tcPr>
            <w:tcW w:w="1539" w:type="dxa"/>
            <w:tcBorders>
              <w:top w:val="single" w:sz="16" w:space="0" w:color="000000"/>
              <w:left w:val="single" w:sz="16" w:space="0" w:color="000000"/>
              <w:bottom w:val="single" w:sz="16" w:space="0" w:color="000000"/>
            </w:tcBorders>
            <w:shd w:val="clear" w:color="auto" w:fill="FFFFFF"/>
            <w:vAlign w:val="center"/>
          </w:tcPr>
          <w:p w14:paraId="7337B5F4"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.384</w:t>
            </w:r>
            <w:r w:rsidRPr="00903821">
              <w:rPr>
                <w:rFonts w:ascii="Times New Roman" w:hAnsi="Times New Roman" w:cs="Times New Roman"/>
                <w:sz w:val="24"/>
                <w:szCs w:val="24"/>
                <w:vertAlign w:val="superscript"/>
              </w:rPr>
              <w:t>a</w:t>
            </w:r>
          </w:p>
        </w:tc>
        <w:tc>
          <w:tcPr>
            <w:tcW w:w="1656" w:type="dxa"/>
            <w:tcBorders>
              <w:top w:val="single" w:sz="16" w:space="0" w:color="000000"/>
              <w:bottom w:val="single" w:sz="16" w:space="0" w:color="000000"/>
            </w:tcBorders>
            <w:shd w:val="clear" w:color="auto" w:fill="FFFFFF"/>
            <w:vAlign w:val="center"/>
          </w:tcPr>
          <w:p w14:paraId="3B4C567D"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.148</w:t>
            </w:r>
          </w:p>
        </w:tc>
        <w:tc>
          <w:tcPr>
            <w:tcW w:w="2240" w:type="dxa"/>
            <w:tcBorders>
              <w:top w:val="single" w:sz="16" w:space="0" w:color="000000"/>
              <w:bottom w:val="single" w:sz="16" w:space="0" w:color="000000"/>
            </w:tcBorders>
            <w:shd w:val="clear" w:color="auto" w:fill="FFFFFF"/>
            <w:vAlign w:val="center"/>
          </w:tcPr>
          <w:p w14:paraId="7A9ED53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.137</w:t>
            </w:r>
          </w:p>
        </w:tc>
      </w:tr>
    </w:tbl>
    <w:p w14:paraId="381242E8" w14:textId="77777777" w:rsidR="00C149B1" w:rsidRDefault="00C149B1" w:rsidP="006C6977">
      <w:pPr>
        <w:spacing w:line="360" w:lineRule="auto"/>
        <w:jc w:val="both"/>
        <w:rPr>
          <w:rFonts w:ascii="Times New Roman" w:hAnsi="Times New Roman" w:cs="Times New Roman"/>
          <w:b/>
          <w:bCs/>
          <w:sz w:val="24"/>
          <w:szCs w:val="24"/>
        </w:rPr>
      </w:pPr>
    </w:p>
    <w:tbl>
      <w:tblPr>
        <w:tblW w:w="85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940"/>
        <w:gridCol w:w="1276"/>
        <w:gridCol w:w="1134"/>
        <w:gridCol w:w="2126"/>
      </w:tblGrid>
      <w:tr w:rsidR="00C149B1" w:rsidRPr="00903821" w14:paraId="3B1BB6B4" w14:textId="77777777" w:rsidTr="00B367EA">
        <w:trPr>
          <w:cantSplit/>
        </w:trPr>
        <w:tc>
          <w:tcPr>
            <w:tcW w:w="2029" w:type="dxa"/>
            <w:gridSpan w:val="2"/>
            <w:tcBorders>
              <w:top w:val="single" w:sz="16" w:space="0" w:color="000000"/>
              <w:left w:val="single" w:sz="16" w:space="0" w:color="000000"/>
              <w:bottom w:val="single" w:sz="16" w:space="0" w:color="000000"/>
              <w:right w:val="nil"/>
            </w:tcBorders>
            <w:shd w:val="clear" w:color="auto" w:fill="FFFFFF"/>
            <w:vAlign w:val="bottom"/>
          </w:tcPr>
          <w:p w14:paraId="26D58B5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Model</w:t>
            </w:r>
          </w:p>
        </w:tc>
        <w:tc>
          <w:tcPr>
            <w:tcW w:w="1940" w:type="dxa"/>
            <w:tcBorders>
              <w:top w:val="single" w:sz="16" w:space="0" w:color="000000"/>
              <w:left w:val="single" w:sz="16" w:space="0" w:color="000000"/>
              <w:bottom w:val="single" w:sz="16" w:space="0" w:color="000000"/>
            </w:tcBorders>
            <w:shd w:val="clear" w:color="auto" w:fill="FFFFFF"/>
            <w:vAlign w:val="bottom"/>
          </w:tcPr>
          <w:p w14:paraId="694EF2F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Sum of Squares</w:t>
            </w:r>
          </w:p>
        </w:tc>
        <w:tc>
          <w:tcPr>
            <w:tcW w:w="1276" w:type="dxa"/>
            <w:tcBorders>
              <w:top w:val="single" w:sz="16" w:space="0" w:color="000000"/>
              <w:bottom w:val="single" w:sz="16" w:space="0" w:color="000000"/>
            </w:tcBorders>
            <w:shd w:val="clear" w:color="auto" w:fill="FFFFFF"/>
            <w:vAlign w:val="bottom"/>
          </w:tcPr>
          <w:p w14:paraId="14CB4187"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roofErr w:type="spellStart"/>
            <w:r w:rsidRPr="00903821">
              <w:rPr>
                <w:rFonts w:ascii="Times New Roman" w:hAnsi="Times New Roman" w:cs="Times New Roman"/>
                <w:sz w:val="24"/>
                <w:szCs w:val="24"/>
              </w:rPr>
              <w:t>df</w:t>
            </w:r>
            <w:proofErr w:type="spellEnd"/>
          </w:p>
        </w:tc>
        <w:tc>
          <w:tcPr>
            <w:tcW w:w="1134" w:type="dxa"/>
            <w:tcBorders>
              <w:top w:val="single" w:sz="16" w:space="0" w:color="000000"/>
              <w:bottom w:val="single" w:sz="16" w:space="0" w:color="000000"/>
            </w:tcBorders>
            <w:shd w:val="clear" w:color="auto" w:fill="FFFFFF"/>
            <w:vAlign w:val="bottom"/>
          </w:tcPr>
          <w:p w14:paraId="549D851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F</w:t>
            </w:r>
          </w:p>
        </w:tc>
        <w:tc>
          <w:tcPr>
            <w:tcW w:w="2126" w:type="dxa"/>
            <w:tcBorders>
              <w:top w:val="single" w:sz="16" w:space="0" w:color="000000"/>
              <w:bottom w:val="single" w:sz="16" w:space="0" w:color="000000"/>
              <w:right w:val="single" w:sz="16" w:space="0" w:color="000000"/>
            </w:tcBorders>
            <w:shd w:val="clear" w:color="auto" w:fill="FFFFFF"/>
            <w:vAlign w:val="bottom"/>
          </w:tcPr>
          <w:p w14:paraId="3A070A1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Sig.</w:t>
            </w:r>
          </w:p>
        </w:tc>
      </w:tr>
      <w:tr w:rsidR="00C149B1" w:rsidRPr="00903821" w14:paraId="3D82BBBB" w14:textId="77777777" w:rsidTr="00B367EA">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tcPr>
          <w:p w14:paraId="313CEBC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w:t>
            </w:r>
          </w:p>
        </w:tc>
        <w:tc>
          <w:tcPr>
            <w:tcW w:w="1291" w:type="dxa"/>
            <w:tcBorders>
              <w:top w:val="single" w:sz="16" w:space="0" w:color="000000"/>
              <w:left w:val="nil"/>
              <w:bottom w:val="nil"/>
              <w:right w:val="single" w:sz="16" w:space="0" w:color="000000"/>
            </w:tcBorders>
            <w:shd w:val="clear" w:color="auto" w:fill="FFFFFF"/>
          </w:tcPr>
          <w:p w14:paraId="092D5F8D"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Regression</w:t>
            </w:r>
          </w:p>
        </w:tc>
        <w:tc>
          <w:tcPr>
            <w:tcW w:w="1940" w:type="dxa"/>
            <w:tcBorders>
              <w:top w:val="single" w:sz="16" w:space="0" w:color="000000"/>
              <w:left w:val="single" w:sz="16" w:space="0" w:color="000000"/>
              <w:bottom w:val="nil"/>
            </w:tcBorders>
            <w:shd w:val="clear" w:color="auto" w:fill="FFFFFF"/>
            <w:vAlign w:val="center"/>
          </w:tcPr>
          <w:p w14:paraId="2CB7512E"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324.611</w:t>
            </w:r>
          </w:p>
        </w:tc>
        <w:tc>
          <w:tcPr>
            <w:tcW w:w="1276" w:type="dxa"/>
            <w:tcBorders>
              <w:top w:val="single" w:sz="16" w:space="0" w:color="000000"/>
              <w:bottom w:val="nil"/>
            </w:tcBorders>
            <w:shd w:val="clear" w:color="auto" w:fill="FFFFFF"/>
            <w:vAlign w:val="center"/>
          </w:tcPr>
          <w:p w14:paraId="0FB22AF4"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5</w:t>
            </w:r>
          </w:p>
        </w:tc>
        <w:tc>
          <w:tcPr>
            <w:tcW w:w="1134" w:type="dxa"/>
            <w:tcBorders>
              <w:top w:val="single" w:sz="16" w:space="0" w:color="000000"/>
              <w:bottom w:val="nil"/>
            </w:tcBorders>
            <w:shd w:val="clear" w:color="auto" w:fill="FFFFFF"/>
            <w:vAlign w:val="center"/>
          </w:tcPr>
          <w:p w14:paraId="412692EE"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13.444</w:t>
            </w:r>
          </w:p>
        </w:tc>
        <w:tc>
          <w:tcPr>
            <w:tcW w:w="2126" w:type="dxa"/>
            <w:tcBorders>
              <w:top w:val="single" w:sz="16" w:space="0" w:color="000000"/>
              <w:bottom w:val="nil"/>
              <w:right w:val="single" w:sz="16" w:space="0" w:color="000000"/>
            </w:tcBorders>
            <w:shd w:val="clear" w:color="auto" w:fill="FFFFFF"/>
            <w:vAlign w:val="center"/>
          </w:tcPr>
          <w:p w14:paraId="7FDF8874"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.000</w:t>
            </w:r>
            <w:r w:rsidRPr="00903821">
              <w:rPr>
                <w:rFonts w:ascii="Times New Roman" w:hAnsi="Times New Roman" w:cs="Times New Roman"/>
                <w:sz w:val="24"/>
                <w:szCs w:val="24"/>
                <w:vertAlign w:val="superscript"/>
              </w:rPr>
              <w:t>b</w:t>
            </w:r>
          </w:p>
        </w:tc>
      </w:tr>
      <w:tr w:rsidR="00C149B1" w:rsidRPr="00903821" w14:paraId="592B369E" w14:textId="77777777" w:rsidTr="00B367EA">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5B68DCD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1291" w:type="dxa"/>
            <w:tcBorders>
              <w:top w:val="nil"/>
              <w:left w:val="nil"/>
              <w:bottom w:val="nil"/>
              <w:right w:val="single" w:sz="16" w:space="0" w:color="000000"/>
            </w:tcBorders>
            <w:shd w:val="clear" w:color="auto" w:fill="FFFFFF"/>
          </w:tcPr>
          <w:p w14:paraId="60EDBB49"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Residual</w:t>
            </w:r>
          </w:p>
        </w:tc>
        <w:tc>
          <w:tcPr>
            <w:tcW w:w="1940" w:type="dxa"/>
            <w:tcBorders>
              <w:top w:val="nil"/>
              <w:left w:val="single" w:sz="16" w:space="0" w:color="000000"/>
              <w:bottom w:val="nil"/>
            </w:tcBorders>
            <w:shd w:val="clear" w:color="auto" w:fill="FFFFFF"/>
            <w:vAlign w:val="center"/>
          </w:tcPr>
          <w:p w14:paraId="1B36D7C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1873.726</w:t>
            </w:r>
          </w:p>
        </w:tc>
        <w:tc>
          <w:tcPr>
            <w:tcW w:w="1276" w:type="dxa"/>
            <w:tcBorders>
              <w:top w:val="nil"/>
              <w:bottom w:val="nil"/>
            </w:tcBorders>
            <w:shd w:val="clear" w:color="auto" w:fill="FFFFFF"/>
            <w:vAlign w:val="center"/>
          </w:tcPr>
          <w:p w14:paraId="2200DB97"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388</w:t>
            </w:r>
          </w:p>
        </w:tc>
        <w:tc>
          <w:tcPr>
            <w:tcW w:w="1134" w:type="dxa"/>
            <w:tcBorders>
              <w:top w:val="nil"/>
              <w:bottom w:val="nil"/>
            </w:tcBorders>
            <w:shd w:val="clear" w:color="auto" w:fill="FFFFFF"/>
            <w:vAlign w:val="center"/>
          </w:tcPr>
          <w:p w14:paraId="15F4F1B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2126" w:type="dxa"/>
            <w:tcBorders>
              <w:top w:val="nil"/>
              <w:bottom w:val="nil"/>
              <w:right w:val="single" w:sz="16" w:space="0" w:color="000000"/>
            </w:tcBorders>
            <w:shd w:val="clear" w:color="auto" w:fill="FFFFFF"/>
            <w:vAlign w:val="center"/>
          </w:tcPr>
          <w:p w14:paraId="70E9ECB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r>
      <w:tr w:rsidR="00C149B1" w:rsidRPr="00903821" w14:paraId="5F03C87B" w14:textId="77777777" w:rsidTr="00B367EA">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69DB3B44"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1291" w:type="dxa"/>
            <w:tcBorders>
              <w:top w:val="nil"/>
              <w:left w:val="nil"/>
              <w:bottom w:val="single" w:sz="16" w:space="0" w:color="000000"/>
              <w:right w:val="single" w:sz="16" w:space="0" w:color="000000"/>
            </w:tcBorders>
            <w:shd w:val="clear" w:color="auto" w:fill="FFFFFF"/>
          </w:tcPr>
          <w:p w14:paraId="1A7D80D0"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Total</w:t>
            </w:r>
          </w:p>
        </w:tc>
        <w:tc>
          <w:tcPr>
            <w:tcW w:w="1940" w:type="dxa"/>
            <w:tcBorders>
              <w:top w:val="nil"/>
              <w:left w:val="single" w:sz="16" w:space="0" w:color="000000"/>
              <w:bottom w:val="single" w:sz="16" w:space="0" w:color="000000"/>
            </w:tcBorders>
            <w:shd w:val="clear" w:color="auto" w:fill="FFFFFF"/>
            <w:vAlign w:val="center"/>
          </w:tcPr>
          <w:p w14:paraId="5BC36E9F"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2198.338</w:t>
            </w:r>
          </w:p>
        </w:tc>
        <w:tc>
          <w:tcPr>
            <w:tcW w:w="1276" w:type="dxa"/>
            <w:tcBorders>
              <w:top w:val="nil"/>
              <w:bottom w:val="single" w:sz="16" w:space="0" w:color="000000"/>
            </w:tcBorders>
            <w:shd w:val="clear" w:color="auto" w:fill="FFFFFF"/>
            <w:vAlign w:val="center"/>
          </w:tcPr>
          <w:p w14:paraId="7377B967"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393</w:t>
            </w:r>
          </w:p>
        </w:tc>
        <w:tc>
          <w:tcPr>
            <w:tcW w:w="1134" w:type="dxa"/>
            <w:tcBorders>
              <w:top w:val="nil"/>
              <w:bottom w:val="single" w:sz="16" w:space="0" w:color="000000"/>
            </w:tcBorders>
            <w:shd w:val="clear" w:color="auto" w:fill="FFFFFF"/>
            <w:vAlign w:val="center"/>
          </w:tcPr>
          <w:p w14:paraId="531096F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2126" w:type="dxa"/>
            <w:tcBorders>
              <w:top w:val="nil"/>
              <w:bottom w:val="single" w:sz="16" w:space="0" w:color="000000"/>
              <w:right w:val="single" w:sz="16" w:space="0" w:color="000000"/>
            </w:tcBorders>
            <w:shd w:val="clear" w:color="auto" w:fill="FFFFFF"/>
            <w:vAlign w:val="center"/>
          </w:tcPr>
          <w:p w14:paraId="3E7D110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r>
    </w:tbl>
    <w:p w14:paraId="318A8F9A" w14:textId="77777777" w:rsidR="00C149B1" w:rsidRPr="00903821" w:rsidRDefault="00C149B1" w:rsidP="00C149B1">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 xml:space="preserve">a Dependent Variable: </w:t>
      </w:r>
      <w:proofErr w:type="spellStart"/>
      <w:r w:rsidRPr="00903821">
        <w:rPr>
          <w:rFonts w:ascii="Times New Roman" w:hAnsi="Times New Roman" w:cs="Times New Roman"/>
          <w:sz w:val="24"/>
          <w:szCs w:val="24"/>
        </w:rPr>
        <w:t>Physical_health</w:t>
      </w:r>
      <w:proofErr w:type="spellEnd"/>
      <w:r w:rsidRPr="00903821">
        <w:rPr>
          <w:rFonts w:ascii="Times New Roman" w:hAnsi="Times New Roman" w:cs="Times New Roman"/>
          <w:sz w:val="24"/>
          <w:szCs w:val="24"/>
        </w:rPr>
        <w:tab/>
      </w:r>
      <w:r w:rsidRPr="00903821">
        <w:rPr>
          <w:rFonts w:ascii="Times New Roman" w:hAnsi="Times New Roman" w:cs="Times New Roman"/>
          <w:sz w:val="24"/>
          <w:szCs w:val="24"/>
        </w:rPr>
        <w:tab/>
      </w:r>
      <w:r w:rsidRPr="00903821">
        <w:rPr>
          <w:rFonts w:ascii="Times New Roman" w:hAnsi="Times New Roman" w:cs="Times New Roman"/>
          <w:sz w:val="24"/>
          <w:szCs w:val="24"/>
        </w:rPr>
        <w:tab/>
      </w:r>
    </w:p>
    <w:p w14:paraId="2BB3C224" w14:textId="77777777" w:rsidR="00C149B1" w:rsidRPr="00903821" w:rsidRDefault="00C149B1" w:rsidP="00C149B1">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b Predictors: Constant</w:t>
      </w:r>
    </w:p>
    <w:tbl>
      <w:tblPr>
        <w:tblW w:w="864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3799"/>
        <w:gridCol w:w="993"/>
        <w:gridCol w:w="850"/>
        <w:gridCol w:w="992"/>
        <w:gridCol w:w="1276"/>
      </w:tblGrid>
      <w:tr w:rsidR="00C149B1" w:rsidRPr="00903821" w14:paraId="77DD8ECE" w14:textId="77777777" w:rsidTr="00D538D8">
        <w:trPr>
          <w:cantSplit/>
        </w:trPr>
        <w:tc>
          <w:tcPr>
            <w:tcW w:w="4536" w:type="dxa"/>
            <w:gridSpan w:val="2"/>
            <w:tcBorders>
              <w:top w:val="single" w:sz="16" w:space="0" w:color="000000"/>
              <w:left w:val="single" w:sz="16" w:space="0" w:color="000000"/>
              <w:bottom w:val="nil"/>
              <w:right w:val="nil"/>
            </w:tcBorders>
            <w:shd w:val="clear" w:color="auto" w:fill="FFFFFF"/>
            <w:vAlign w:val="bottom"/>
          </w:tcPr>
          <w:p w14:paraId="434AE366"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993" w:type="dxa"/>
            <w:tcBorders>
              <w:left w:val="single" w:sz="16" w:space="0" w:color="000000"/>
              <w:bottom w:val="single" w:sz="16" w:space="0" w:color="000000"/>
            </w:tcBorders>
            <w:shd w:val="clear" w:color="auto" w:fill="FFFFFF"/>
            <w:vAlign w:val="bottom"/>
          </w:tcPr>
          <w:p w14:paraId="2B028B8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B</w:t>
            </w:r>
          </w:p>
        </w:tc>
        <w:tc>
          <w:tcPr>
            <w:tcW w:w="850" w:type="dxa"/>
            <w:tcBorders>
              <w:bottom w:val="single" w:sz="16" w:space="0" w:color="000000"/>
            </w:tcBorders>
            <w:shd w:val="clear" w:color="auto" w:fill="FFFFFF"/>
            <w:vAlign w:val="bottom"/>
          </w:tcPr>
          <w:p w14:paraId="1BAED0B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Beta</w:t>
            </w:r>
          </w:p>
        </w:tc>
        <w:tc>
          <w:tcPr>
            <w:tcW w:w="992" w:type="dxa"/>
            <w:tcBorders>
              <w:top w:val="single" w:sz="16" w:space="0" w:color="000000"/>
            </w:tcBorders>
            <w:shd w:val="clear" w:color="auto" w:fill="FFFFFF"/>
            <w:vAlign w:val="bottom"/>
          </w:tcPr>
          <w:p w14:paraId="1C8907AB"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t</w:t>
            </w:r>
          </w:p>
        </w:tc>
        <w:tc>
          <w:tcPr>
            <w:tcW w:w="1276" w:type="dxa"/>
            <w:tcBorders>
              <w:top w:val="single" w:sz="16" w:space="0" w:color="000000"/>
              <w:right w:val="single" w:sz="16" w:space="0" w:color="000000"/>
            </w:tcBorders>
            <w:shd w:val="clear" w:color="auto" w:fill="FFFFFF"/>
            <w:vAlign w:val="bottom"/>
          </w:tcPr>
          <w:p w14:paraId="4FF7FE24"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Sig.</w:t>
            </w:r>
          </w:p>
        </w:tc>
      </w:tr>
      <w:tr w:rsidR="00C149B1" w:rsidRPr="00903821" w14:paraId="6BF7A183" w14:textId="77777777" w:rsidTr="00D538D8">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09BC6BFA"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w:t>
            </w:r>
          </w:p>
        </w:tc>
        <w:tc>
          <w:tcPr>
            <w:tcW w:w="3799" w:type="dxa"/>
            <w:tcBorders>
              <w:top w:val="single" w:sz="16" w:space="0" w:color="000000"/>
              <w:left w:val="nil"/>
              <w:bottom w:val="nil"/>
              <w:right w:val="single" w:sz="16" w:space="0" w:color="000000"/>
            </w:tcBorders>
            <w:shd w:val="clear" w:color="auto" w:fill="FFFFFF"/>
          </w:tcPr>
          <w:p w14:paraId="1C87021B"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(Constant)</w:t>
            </w:r>
          </w:p>
        </w:tc>
        <w:tc>
          <w:tcPr>
            <w:tcW w:w="993" w:type="dxa"/>
            <w:tcBorders>
              <w:top w:val="single" w:sz="16" w:space="0" w:color="000000"/>
              <w:left w:val="single" w:sz="16" w:space="0" w:color="000000"/>
              <w:bottom w:val="nil"/>
            </w:tcBorders>
            <w:shd w:val="clear" w:color="auto" w:fill="FFFFFF"/>
            <w:vAlign w:val="center"/>
          </w:tcPr>
          <w:p w14:paraId="026886B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14.259</w:t>
            </w:r>
          </w:p>
        </w:tc>
        <w:tc>
          <w:tcPr>
            <w:tcW w:w="850" w:type="dxa"/>
            <w:tcBorders>
              <w:top w:val="single" w:sz="16" w:space="0" w:color="000000"/>
              <w:bottom w:val="nil"/>
            </w:tcBorders>
            <w:shd w:val="clear" w:color="auto" w:fill="FFFFFF"/>
            <w:vAlign w:val="center"/>
          </w:tcPr>
          <w:p w14:paraId="7F04400A"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992" w:type="dxa"/>
            <w:tcBorders>
              <w:top w:val="single" w:sz="16" w:space="0" w:color="000000"/>
              <w:bottom w:val="nil"/>
            </w:tcBorders>
            <w:shd w:val="clear" w:color="auto" w:fill="FFFFFF"/>
            <w:vAlign w:val="center"/>
          </w:tcPr>
          <w:p w14:paraId="6119B69F"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31.149</w:t>
            </w:r>
          </w:p>
        </w:tc>
        <w:tc>
          <w:tcPr>
            <w:tcW w:w="1276" w:type="dxa"/>
            <w:tcBorders>
              <w:top w:val="single" w:sz="16" w:space="0" w:color="000000"/>
              <w:bottom w:val="nil"/>
              <w:right w:val="single" w:sz="16" w:space="0" w:color="000000"/>
            </w:tcBorders>
            <w:shd w:val="clear" w:color="auto" w:fill="FFFFFF"/>
            <w:vAlign w:val="center"/>
          </w:tcPr>
          <w:p w14:paraId="327FCD66"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.000</w:t>
            </w:r>
          </w:p>
        </w:tc>
      </w:tr>
      <w:tr w:rsidR="00C149B1" w:rsidRPr="00903821" w14:paraId="23120CA9" w14:textId="77777777" w:rsidTr="00D538D8">
        <w:trPr>
          <w:cantSplit/>
          <w:trHeight w:val="1249"/>
        </w:trPr>
        <w:tc>
          <w:tcPr>
            <w:tcW w:w="737" w:type="dxa"/>
            <w:vMerge/>
            <w:tcBorders>
              <w:top w:val="single" w:sz="16" w:space="0" w:color="000000"/>
              <w:left w:val="single" w:sz="16" w:space="0" w:color="000000"/>
              <w:bottom w:val="single" w:sz="16" w:space="0" w:color="000000"/>
              <w:right w:val="nil"/>
            </w:tcBorders>
            <w:shd w:val="clear" w:color="auto" w:fill="FFFFFF"/>
          </w:tcPr>
          <w:p w14:paraId="15FC082B"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3799" w:type="dxa"/>
            <w:tcBorders>
              <w:top w:val="nil"/>
              <w:left w:val="nil"/>
              <w:bottom w:val="nil"/>
              <w:right w:val="single" w:sz="16" w:space="0" w:color="000000"/>
            </w:tcBorders>
            <w:shd w:val="clear" w:color="auto" w:fill="FFFFFF"/>
          </w:tcPr>
          <w:p w14:paraId="00D20A8E"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I receive communication from my immediate supervisor/HOD requiring an urgent response.</w:t>
            </w:r>
          </w:p>
        </w:tc>
        <w:tc>
          <w:tcPr>
            <w:tcW w:w="993" w:type="dxa"/>
            <w:tcBorders>
              <w:top w:val="nil"/>
              <w:left w:val="single" w:sz="16" w:space="0" w:color="000000"/>
              <w:bottom w:val="nil"/>
            </w:tcBorders>
            <w:shd w:val="clear" w:color="auto" w:fill="FFFFFF"/>
            <w:vAlign w:val="center"/>
          </w:tcPr>
          <w:p w14:paraId="14EB8E27"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.262</w:t>
            </w:r>
          </w:p>
        </w:tc>
        <w:tc>
          <w:tcPr>
            <w:tcW w:w="850" w:type="dxa"/>
            <w:tcBorders>
              <w:top w:val="nil"/>
              <w:bottom w:val="nil"/>
            </w:tcBorders>
            <w:shd w:val="clear" w:color="auto" w:fill="FFFFFF"/>
            <w:vAlign w:val="center"/>
          </w:tcPr>
          <w:p w14:paraId="2BB93A39"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.115</w:t>
            </w:r>
          </w:p>
        </w:tc>
        <w:tc>
          <w:tcPr>
            <w:tcW w:w="992" w:type="dxa"/>
            <w:tcBorders>
              <w:top w:val="nil"/>
              <w:bottom w:val="nil"/>
            </w:tcBorders>
            <w:shd w:val="clear" w:color="auto" w:fill="FFFFFF"/>
            <w:vAlign w:val="center"/>
          </w:tcPr>
          <w:p w14:paraId="7BFB69B1"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2.114</w:t>
            </w:r>
          </w:p>
        </w:tc>
        <w:tc>
          <w:tcPr>
            <w:tcW w:w="1276" w:type="dxa"/>
            <w:tcBorders>
              <w:top w:val="nil"/>
              <w:bottom w:val="nil"/>
              <w:right w:val="single" w:sz="16" w:space="0" w:color="000000"/>
            </w:tcBorders>
            <w:shd w:val="clear" w:color="auto" w:fill="FFFFFF"/>
            <w:vAlign w:val="center"/>
          </w:tcPr>
          <w:p w14:paraId="7712B0B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.035</w:t>
            </w:r>
          </w:p>
        </w:tc>
      </w:tr>
      <w:tr w:rsidR="00C149B1" w:rsidRPr="00903821" w14:paraId="1C876F3F" w14:textId="77777777" w:rsidTr="00D538D8">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67C817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3799" w:type="dxa"/>
            <w:tcBorders>
              <w:top w:val="nil"/>
              <w:left w:val="nil"/>
              <w:bottom w:val="nil"/>
              <w:right w:val="single" w:sz="16" w:space="0" w:color="000000"/>
            </w:tcBorders>
            <w:shd w:val="clear" w:color="auto" w:fill="FFFFFF"/>
          </w:tcPr>
          <w:p w14:paraId="717EA1EA"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I actively work on lesson planning, grading, or administrative tasks.</w:t>
            </w:r>
          </w:p>
        </w:tc>
        <w:tc>
          <w:tcPr>
            <w:tcW w:w="993" w:type="dxa"/>
            <w:tcBorders>
              <w:top w:val="nil"/>
              <w:left w:val="single" w:sz="16" w:space="0" w:color="000000"/>
              <w:bottom w:val="nil"/>
            </w:tcBorders>
            <w:shd w:val="clear" w:color="auto" w:fill="FFFFFF"/>
            <w:vAlign w:val="center"/>
          </w:tcPr>
          <w:p w14:paraId="2216945B"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.165</w:t>
            </w:r>
          </w:p>
        </w:tc>
        <w:tc>
          <w:tcPr>
            <w:tcW w:w="850" w:type="dxa"/>
            <w:tcBorders>
              <w:top w:val="nil"/>
              <w:bottom w:val="nil"/>
            </w:tcBorders>
            <w:shd w:val="clear" w:color="auto" w:fill="FFFFFF"/>
            <w:vAlign w:val="center"/>
          </w:tcPr>
          <w:p w14:paraId="574634C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.068</w:t>
            </w:r>
          </w:p>
        </w:tc>
        <w:tc>
          <w:tcPr>
            <w:tcW w:w="992" w:type="dxa"/>
            <w:tcBorders>
              <w:top w:val="nil"/>
              <w:bottom w:val="nil"/>
            </w:tcBorders>
            <w:shd w:val="clear" w:color="auto" w:fill="FFFFFF"/>
            <w:vAlign w:val="center"/>
          </w:tcPr>
          <w:p w14:paraId="3B62DE2E"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1.244</w:t>
            </w:r>
          </w:p>
        </w:tc>
        <w:tc>
          <w:tcPr>
            <w:tcW w:w="1276" w:type="dxa"/>
            <w:tcBorders>
              <w:top w:val="nil"/>
              <w:bottom w:val="nil"/>
              <w:right w:val="single" w:sz="16" w:space="0" w:color="000000"/>
            </w:tcBorders>
            <w:shd w:val="clear" w:color="auto" w:fill="FFFFFF"/>
            <w:vAlign w:val="center"/>
          </w:tcPr>
          <w:p w14:paraId="5AF24D2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.214</w:t>
            </w:r>
          </w:p>
        </w:tc>
      </w:tr>
      <w:tr w:rsidR="00C149B1" w:rsidRPr="00903821" w14:paraId="7F71F81E" w14:textId="77777777" w:rsidTr="00D538D8">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12C38AB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3799" w:type="dxa"/>
            <w:tcBorders>
              <w:top w:val="nil"/>
              <w:left w:val="nil"/>
              <w:bottom w:val="nil"/>
              <w:right w:val="single" w:sz="16" w:space="0" w:color="000000"/>
            </w:tcBorders>
            <w:shd w:val="clear" w:color="auto" w:fill="FFFFFF"/>
          </w:tcPr>
          <w:p w14:paraId="72AC9B17" w14:textId="77777777" w:rsidR="00C149B1" w:rsidRPr="00903821" w:rsidRDefault="00C149B1" w:rsidP="00B367EA">
            <w:pPr>
              <w:tabs>
                <w:tab w:val="left" w:pos="7573"/>
              </w:tabs>
              <w:spacing w:line="360" w:lineRule="auto"/>
              <w:rPr>
                <w:rFonts w:ascii="Times New Roman" w:hAnsi="Times New Roman" w:cs="Times New Roman"/>
                <w:sz w:val="24"/>
                <w:szCs w:val="24"/>
              </w:rPr>
            </w:pPr>
            <w:r w:rsidRPr="00903821">
              <w:rPr>
                <w:rFonts w:ascii="Times New Roman" w:hAnsi="Times New Roman" w:cs="Times New Roman"/>
                <w:sz w:val="24"/>
                <w:szCs w:val="24"/>
              </w:rPr>
              <w:t>My personal time is interrupted by work-related calls or communication from parents or students</w:t>
            </w:r>
          </w:p>
        </w:tc>
        <w:tc>
          <w:tcPr>
            <w:tcW w:w="993" w:type="dxa"/>
            <w:tcBorders>
              <w:top w:val="nil"/>
              <w:left w:val="single" w:sz="16" w:space="0" w:color="000000"/>
              <w:bottom w:val="nil"/>
            </w:tcBorders>
            <w:shd w:val="clear" w:color="auto" w:fill="FFFFFF"/>
            <w:vAlign w:val="center"/>
          </w:tcPr>
          <w:p w14:paraId="62C6A5AF"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-.134</w:t>
            </w:r>
          </w:p>
        </w:tc>
        <w:tc>
          <w:tcPr>
            <w:tcW w:w="850" w:type="dxa"/>
            <w:tcBorders>
              <w:top w:val="nil"/>
              <w:bottom w:val="nil"/>
            </w:tcBorders>
            <w:shd w:val="clear" w:color="auto" w:fill="FFFFFF"/>
            <w:vAlign w:val="center"/>
          </w:tcPr>
          <w:p w14:paraId="79CF0CCD"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-.081</w:t>
            </w:r>
          </w:p>
        </w:tc>
        <w:tc>
          <w:tcPr>
            <w:tcW w:w="992" w:type="dxa"/>
            <w:tcBorders>
              <w:top w:val="nil"/>
              <w:bottom w:val="nil"/>
            </w:tcBorders>
            <w:shd w:val="clear" w:color="auto" w:fill="FFFFFF"/>
            <w:vAlign w:val="center"/>
          </w:tcPr>
          <w:p w14:paraId="172B19B3"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-.910</w:t>
            </w:r>
          </w:p>
        </w:tc>
        <w:tc>
          <w:tcPr>
            <w:tcW w:w="1276" w:type="dxa"/>
            <w:tcBorders>
              <w:top w:val="nil"/>
              <w:bottom w:val="nil"/>
              <w:right w:val="single" w:sz="16" w:space="0" w:color="000000"/>
            </w:tcBorders>
            <w:shd w:val="clear" w:color="auto" w:fill="FFFFFF"/>
            <w:vAlign w:val="center"/>
          </w:tcPr>
          <w:p w14:paraId="6B859A01"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.363</w:t>
            </w:r>
          </w:p>
        </w:tc>
      </w:tr>
      <w:tr w:rsidR="00C149B1" w:rsidRPr="00903821" w14:paraId="4E6D37D0" w14:textId="77777777" w:rsidTr="00D538D8">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52489C7F"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3799" w:type="dxa"/>
            <w:tcBorders>
              <w:top w:val="nil"/>
              <w:left w:val="nil"/>
              <w:bottom w:val="nil"/>
              <w:right w:val="single" w:sz="16" w:space="0" w:color="000000"/>
            </w:tcBorders>
            <w:shd w:val="clear" w:color="auto" w:fill="FFFFFF"/>
          </w:tcPr>
          <w:p w14:paraId="46A888E1"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The need to monitor after-hours communication distracts me, making it difficult to prepare high-quality lessons.</w:t>
            </w:r>
          </w:p>
        </w:tc>
        <w:tc>
          <w:tcPr>
            <w:tcW w:w="993" w:type="dxa"/>
            <w:tcBorders>
              <w:top w:val="nil"/>
              <w:left w:val="single" w:sz="16" w:space="0" w:color="000000"/>
              <w:bottom w:val="nil"/>
            </w:tcBorders>
            <w:shd w:val="clear" w:color="auto" w:fill="FFFFFF"/>
            <w:vAlign w:val="center"/>
          </w:tcPr>
          <w:p w14:paraId="4A980A49"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.336</w:t>
            </w:r>
          </w:p>
        </w:tc>
        <w:tc>
          <w:tcPr>
            <w:tcW w:w="850" w:type="dxa"/>
            <w:tcBorders>
              <w:top w:val="nil"/>
              <w:bottom w:val="nil"/>
            </w:tcBorders>
            <w:shd w:val="clear" w:color="auto" w:fill="FFFFFF"/>
            <w:vAlign w:val="center"/>
          </w:tcPr>
          <w:p w14:paraId="45CF7799"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.198</w:t>
            </w:r>
          </w:p>
        </w:tc>
        <w:tc>
          <w:tcPr>
            <w:tcW w:w="992" w:type="dxa"/>
            <w:tcBorders>
              <w:top w:val="nil"/>
              <w:bottom w:val="nil"/>
            </w:tcBorders>
            <w:shd w:val="clear" w:color="auto" w:fill="FFFFFF"/>
            <w:vAlign w:val="center"/>
          </w:tcPr>
          <w:p w14:paraId="432C03B2"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2.231</w:t>
            </w:r>
          </w:p>
        </w:tc>
        <w:tc>
          <w:tcPr>
            <w:tcW w:w="1276" w:type="dxa"/>
            <w:tcBorders>
              <w:top w:val="nil"/>
              <w:bottom w:val="nil"/>
              <w:right w:val="single" w:sz="16" w:space="0" w:color="000000"/>
            </w:tcBorders>
            <w:shd w:val="clear" w:color="auto" w:fill="FFFFFF"/>
            <w:vAlign w:val="center"/>
          </w:tcPr>
          <w:p w14:paraId="0A9698B6"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.026</w:t>
            </w:r>
          </w:p>
        </w:tc>
      </w:tr>
      <w:tr w:rsidR="00C149B1" w:rsidRPr="00903821" w14:paraId="754B176F" w14:textId="77777777" w:rsidTr="00D538D8">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4F02FB28"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p>
        </w:tc>
        <w:tc>
          <w:tcPr>
            <w:tcW w:w="3799" w:type="dxa"/>
            <w:tcBorders>
              <w:top w:val="nil"/>
              <w:left w:val="nil"/>
              <w:bottom w:val="single" w:sz="16" w:space="0" w:color="000000"/>
              <w:right w:val="single" w:sz="16" w:space="0" w:color="000000"/>
            </w:tcBorders>
            <w:shd w:val="clear" w:color="auto" w:fill="FFFFFF"/>
          </w:tcPr>
          <w:p w14:paraId="406A0A2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I feel less effective or productive in my main teaching duties due to after-hours demands consuming my energy.</w:t>
            </w:r>
          </w:p>
        </w:tc>
        <w:tc>
          <w:tcPr>
            <w:tcW w:w="993" w:type="dxa"/>
            <w:tcBorders>
              <w:top w:val="nil"/>
              <w:left w:val="single" w:sz="16" w:space="0" w:color="000000"/>
              <w:bottom w:val="single" w:sz="16" w:space="0" w:color="000000"/>
            </w:tcBorders>
            <w:shd w:val="clear" w:color="auto" w:fill="FFFFFF"/>
            <w:vAlign w:val="center"/>
          </w:tcPr>
          <w:p w14:paraId="3F13F466"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-.731</w:t>
            </w:r>
          </w:p>
        </w:tc>
        <w:tc>
          <w:tcPr>
            <w:tcW w:w="850" w:type="dxa"/>
            <w:tcBorders>
              <w:top w:val="nil"/>
              <w:bottom w:val="single" w:sz="16" w:space="0" w:color="000000"/>
            </w:tcBorders>
            <w:shd w:val="clear" w:color="auto" w:fill="FFFFFF"/>
            <w:vAlign w:val="center"/>
          </w:tcPr>
          <w:p w14:paraId="7B93C76A"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-.447</w:t>
            </w:r>
          </w:p>
        </w:tc>
        <w:tc>
          <w:tcPr>
            <w:tcW w:w="992" w:type="dxa"/>
            <w:tcBorders>
              <w:top w:val="nil"/>
              <w:bottom w:val="single" w:sz="16" w:space="0" w:color="000000"/>
            </w:tcBorders>
            <w:shd w:val="clear" w:color="auto" w:fill="FFFFFF"/>
            <w:vAlign w:val="center"/>
          </w:tcPr>
          <w:p w14:paraId="6F562FF5"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-4.346</w:t>
            </w:r>
          </w:p>
        </w:tc>
        <w:tc>
          <w:tcPr>
            <w:tcW w:w="1276" w:type="dxa"/>
            <w:tcBorders>
              <w:top w:val="nil"/>
              <w:bottom w:val="single" w:sz="16" w:space="0" w:color="000000"/>
              <w:right w:val="single" w:sz="16" w:space="0" w:color="000000"/>
            </w:tcBorders>
            <w:shd w:val="clear" w:color="auto" w:fill="FFFFFF"/>
            <w:vAlign w:val="center"/>
          </w:tcPr>
          <w:p w14:paraId="587AACFC" w14:textId="77777777" w:rsidR="00C149B1" w:rsidRPr="00903821" w:rsidRDefault="00C149B1" w:rsidP="00B367EA">
            <w:pPr>
              <w:tabs>
                <w:tab w:val="left" w:pos="7573"/>
              </w:tabs>
              <w:spacing w:line="360" w:lineRule="auto"/>
              <w:jc w:val="both"/>
              <w:rPr>
                <w:rFonts w:ascii="Times New Roman" w:hAnsi="Times New Roman" w:cs="Times New Roman"/>
                <w:sz w:val="24"/>
                <w:szCs w:val="24"/>
              </w:rPr>
            </w:pPr>
            <w:r w:rsidRPr="00903821">
              <w:rPr>
                <w:rFonts w:ascii="Times New Roman" w:hAnsi="Times New Roman" w:cs="Times New Roman"/>
                <w:sz w:val="24"/>
                <w:szCs w:val="24"/>
              </w:rPr>
              <w:t>.000</w:t>
            </w:r>
          </w:p>
        </w:tc>
      </w:tr>
    </w:tbl>
    <w:p w14:paraId="7BB69741" w14:textId="1DED5266" w:rsidR="00C149B1" w:rsidRDefault="00C149B1" w:rsidP="006C6977">
      <w:pPr>
        <w:spacing w:line="360" w:lineRule="auto"/>
        <w:jc w:val="both"/>
        <w:rPr>
          <w:rFonts w:ascii="Times New Roman" w:hAnsi="Times New Roman" w:cs="Times New Roman"/>
          <w:sz w:val="24"/>
          <w:szCs w:val="24"/>
        </w:rPr>
      </w:pPr>
      <w:r w:rsidRPr="00C149B1">
        <w:rPr>
          <w:rFonts w:ascii="Times New Roman" w:hAnsi="Times New Roman" w:cs="Times New Roman"/>
          <w:sz w:val="24"/>
          <w:szCs w:val="24"/>
        </w:rPr>
        <w:t>Simple linear regression analysis showed that the “always-on” work culture significantly predicts the physical health of private school teachers (F = 13.444, p &lt; 0.001). The model explained 14.8% of the variance in physical health (R² = 0.148), indicating a meaningful influence of after-hours work demands. After-hours communication from supervisors (β = 0.115, p = 0.035) and the need to monitor communication (β = 0.198, p = 0.026) had significant positive effects on physical health strain, while feeling less effective due to after-hours demands was the strongest predictor (β = −0.447, p &lt; 0.001). Other after-hours activities were not significant predictors.</w:t>
      </w:r>
    </w:p>
    <w:p w14:paraId="2124E1DD" w14:textId="5B8DCC8A" w:rsidR="00C149B1" w:rsidRDefault="00C149B1" w:rsidP="006C6977">
      <w:pPr>
        <w:spacing w:line="360" w:lineRule="auto"/>
        <w:jc w:val="both"/>
        <w:rPr>
          <w:rFonts w:ascii="Times New Roman" w:hAnsi="Times New Roman" w:cs="Times New Roman"/>
          <w:b/>
          <w:bCs/>
          <w:sz w:val="24"/>
          <w:szCs w:val="24"/>
        </w:rPr>
      </w:pPr>
      <w:r w:rsidRPr="00C149B1">
        <w:rPr>
          <w:rFonts w:ascii="Times New Roman" w:hAnsi="Times New Roman" w:cs="Times New Roman"/>
          <w:b/>
          <w:bCs/>
          <w:sz w:val="24"/>
          <w:szCs w:val="24"/>
        </w:rPr>
        <w:t>5. Findings, Suggestions &amp; Conclusion</w:t>
      </w:r>
    </w:p>
    <w:p w14:paraId="2A4F67F4" w14:textId="1F65502D" w:rsidR="00C149B1" w:rsidRDefault="00C149B1" w:rsidP="006C6977">
      <w:pPr>
        <w:spacing w:line="360" w:lineRule="auto"/>
        <w:jc w:val="both"/>
        <w:rPr>
          <w:rFonts w:ascii="Times New Roman" w:hAnsi="Times New Roman" w:cs="Times New Roman"/>
          <w:b/>
          <w:bCs/>
          <w:sz w:val="24"/>
          <w:szCs w:val="24"/>
        </w:rPr>
      </w:pPr>
      <w:r w:rsidRPr="00C149B1">
        <w:rPr>
          <w:rFonts w:ascii="Times New Roman" w:hAnsi="Times New Roman" w:cs="Times New Roman"/>
          <w:b/>
          <w:bCs/>
          <w:sz w:val="24"/>
          <w:szCs w:val="24"/>
        </w:rPr>
        <w:t xml:space="preserve">5.1 Objective 1: </w:t>
      </w:r>
      <w:r w:rsidR="00072FEA" w:rsidRPr="00072FEA">
        <w:rPr>
          <w:rFonts w:ascii="Times New Roman" w:hAnsi="Times New Roman" w:cs="Times New Roman"/>
          <w:b/>
          <w:bCs/>
          <w:sz w:val="24"/>
          <w:szCs w:val="24"/>
        </w:rPr>
        <w:t>To examine the relationship between always-on work demands and teachers’ mental wellbeing</w:t>
      </w:r>
    </w:p>
    <w:p w14:paraId="276BDD1F" w14:textId="5348130F" w:rsidR="00072FEA" w:rsidRPr="00072FEA"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b/>
          <w:bCs/>
          <w:sz w:val="24"/>
          <w:szCs w:val="24"/>
        </w:rPr>
        <w:t>Finding:</w:t>
      </w:r>
      <w:r w:rsidRPr="00072FEA">
        <w:rPr>
          <w:rFonts w:ascii="Times New Roman" w:hAnsi="Times New Roman" w:cs="Times New Roman"/>
          <w:sz w:val="24"/>
          <w:szCs w:val="24"/>
        </w:rPr>
        <w:br/>
        <w:t>The analysis shows a significant relationship between always-on work demands and teachers’ mental wellbeing. Continuous after-hours communication and blurred work–life boundaries are associated with increased stress, emotional exhaustion, and reduced psychological recovery. These findings confirm that always-on work culture acts as a persistent psychological stressor, weakening teachers’ mental resilience and increasing burnout risk.</w:t>
      </w:r>
    </w:p>
    <w:p w14:paraId="68F733A3" w14:textId="335A867D" w:rsidR="00D538D8"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b/>
          <w:bCs/>
          <w:sz w:val="24"/>
          <w:szCs w:val="24"/>
        </w:rPr>
        <w:t>Suggestion:</w:t>
      </w:r>
      <w:r w:rsidRPr="00072FEA">
        <w:rPr>
          <w:rFonts w:ascii="Times New Roman" w:hAnsi="Times New Roman" w:cs="Times New Roman"/>
          <w:sz w:val="24"/>
          <w:szCs w:val="24"/>
        </w:rPr>
        <w:br/>
        <w:t xml:space="preserve">Educational institutions should implement structured digital boundary policies, including restricted after-hours communication windows, formal response-time protocols, and workload </w:t>
      </w:r>
      <w:r w:rsidRPr="00072FEA">
        <w:rPr>
          <w:rFonts w:ascii="Times New Roman" w:hAnsi="Times New Roman" w:cs="Times New Roman"/>
          <w:sz w:val="24"/>
          <w:szCs w:val="24"/>
        </w:rPr>
        <w:lastRenderedPageBreak/>
        <w:t>regulation frameworks to protect teachers’ psychological recovery time. Institutional mental wellbeing programs, such as stress management training, digital detox initiatives, and organizational support systems, should be integrated into school policies to mitigate the long-term psychological impact of always-on work expectations.</w:t>
      </w:r>
    </w:p>
    <w:p w14:paraId="2E89C7C4" w14:textId="1A86BED3" w:rsidR="00072FEA" w:rsidRPr="00072FEA" w:rsidRDefault="00072FEA" w:rsidP="00072F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072FEA">
        <w:rPr>
          <w:rFonts w:ascii="Times New Roman" w:hAnsi="Times New Roman" w:cs="Times New Roman"/>
          <w:b/>
          <w:bCs/>
          <w:sz w:val="24"/>
          <w:szCs w:val="24"/>
        </w:rPr>
        <w:t>Objective 2:</w:t>
      </w:r>
      <w:r w:rsidRPr="00072FEA">
        <w:rPr>
          <w:rFonts w:ascii="Times New Roman" w:eastAsia="Times New Roman" w:hAnsi="Times New Roman" w:cs="Times New Roman"/>
          <w:b/>
          <w:bCs/>
          <w:kern w:val="0"/>
          <w:sz w:val="27"/>
          <w:szCs w:val="27"/>
          <w:lang w:eastAsia="en-IN"/>
          <w14:ligatures w14:val="none"/>
        </w:rPr>
        <w:t xml:space="preserve"> </w:t>
      </w:r>
      <w:r w:rsidRPr="00072FEA">
        <w:rPr>
          <w:rFonts w:ascii="Times New Roman" w:hAnsi="Times New Roman" w:cs="Times New Roman"/>
          <w:b/>
          <w:bCs/>
          <w:sz w:val="24"/>
          <w:szCs w:val="24"/>
        </w:rPr>
        <w:t>Investigate the impact of always-on work culture on teachers’ physical wellbeing</w:t>
      </w:r>
    </w:p>
    <w:p w14:paraId="76C17AD3" w14:textId="77777777" w:rsidR="00072FEA" w:rsidRPr="00072FEA"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b/>
          <w:bCs/>
          <w:sz w:val="24"/>
          <w:szCs w:val="24"/>
        </w:rPr>
        <w:t>Finding:</w:t>
      </w:r>
      <w:r w:rsidRPr="00072FEA">
        <w:rPr>
          <w:rFonts w:ascii="Times New Roman" w:hAnsi="Times New Roman" w:cs="Times New Roman"/>
          <w:b/>
          <w:bCs/>
          <w:sz w:val="24"/>
          <w:szCs w:val="24"/>
        </w:rPr>
        <w:br/>
      </w:r>
      <w:r w:rsidRPr="00072FEA">
        <w:rPr>
          <w:rFonts w:ascii="Times New Roman" w:hAnsi="Times New Roman" w:cs="Times New Roman"/>
          <w:sz w:val="24"/>
          <w:szCs w:val="24"/>
        </w:rPr>
        <w:t>The findings demonstrate that always-on work culture exerts a significant and measurable impact on teachers’ physical wellbeing. Continuous monitoring demands, energy depletion, and prolonged after-hours engagement contribute to physical fatigue, somatic stress symptoms, sleep disturbances, and reduced physiological recovery. The results confirm that digital work intensification not only affects psychological health but also produces tangible physical health deterioration, positioning always-on culture as a multidimensional occupational health risk.</w:t>
      </w:r>
    </w:p>
    <w:p w14:paraId="7791DB92" w14:textId="77777777" w:rsidR="00072FEA" w:rsidRPr="00072FEA"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b/>
          <w:bCs/>
          <w:sz w:val="24"/>
          <w:szCs w:val="24"/>
        </w:rPr>
        <w:t>Suggestion:</w:t>
      </w:r>
      <w:r w:rsidRPr="00072FEA">
        <w:rPr>
          <w:rFonts w:ascii="Times New Roman" w:hAnsi="Times New Roman" w:cs="Times New Roman"/>
          <w:sz w:val="24"/>
          <w:szCs w:val="24"/>
        </w:rPr>
        <w:br/>
        <w:t>Institutions should introduce enforced digital disconnection policies, structured rest periods, ergonomic workload planning, and occupational health interventions. Preventive strategies must include workload redistribution, mandatory recovery time, and institutional monitoring of physical strain indicators to ensure sustainable teaching environments and long-term workforce health stability.</w:t>
      </w:r>
    </w:p>
    <w:p w14:paraId="37CC4A3C" w14:textId="4BEA2E77" w:rsidR="00072FEA" w:rsidRDefault="00072FEA" w:rsidP="00072FEA">
      <w:pPr>
        <w:spacing w:line="360" w:lineRule="auto"/>
        <w:rPr>
          <w:rFonts w:ascii="Times New Roman" w:hAnsi="Times New Roman" w:cs="Times New Roman"/>
          <w:sz w:val="24"/>
          <w:szCs w:val="24"/>
        </w:rPr>
      </w:pPr>
      <w:r w:rsidRPr="00072FEA">
        <w:rPr>
          <w:rFonts w:ascii="Times New Roman" w:hAnsi="Times New Roman" w:cs="Times New Roman"/>
          <w:b/>
          <w:bCs/>
          <w:sz w:val="24"/>
          <w:szCs w:val="24"/>
        </w:rPr>
        <w:t>5.2 Conclusion</w:t>
      </w:r>
    </w:p>
    <w:p w14:paraId="55BB016C" w14:textId="294C3231" w:rsidR="00072FEA"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sz w:val="24"/>
          <w:szCs w:val="24"/>
        </w:rPr>
        <w:t>In conclusion, the study establishes that the always-on work culture significantly undermines both the mental and physical wellbeing of private school teachers. Persistent after-hours work demands, continuous connectivity, and blurred work–life boundaries contribute to psychological stress, emotional exhaustion, fatigue, and declining physical health. The findings highlight that wellbeing erosion is driven not by workload alone, but by the inability to disengage from work. Addressing always-on culture through institutional policies, boundary-setting mechanisms, and supportive workplace practices is essential for sustaining teacher health, productivity, and long-term educational effectiveness.</w:t>
      </w:r>
    </w:p>
    <w:p w14:paraId="0904700F" w14:textId="021DC31C" w:rsidR="00072FEA" w:rsidRDefault="00072FEA" w:rsidP="00072FEA">
      <w:pPr>
        <w:spacing w:line="360" w:lineRule="auto"/>
        <w:jc w:val="both"/>
        <w:rPr>
          <w:rFonts w:ascii="Times New Roman" w:hAnsi="Times New Roman" w:cs="Times New Roman"/>
          <w:b/>
          <w:bCs/>
          <w:sz w:val="24"/>
          <w:szCs w:val="24"/>
        </w:rPr>
      </w:pPr>
      <w:r w:rsidRPr="00072FEA">
        <w:rPr>
          <w:rFonts w:ascii="Times New Roman" w:hAnsi="Times New Roman" w:cs="Times New Roman"/>
          <w:b/>
          <w:bCs/>
          <w:sz w:val="24"/>
          <w:szCs w:val="24"/>
        </w:rPr>
        <w:t>Bibliography</w:t>
      </w:r>
    </w:p>
    <w:p w14:paraId="1B132474" w14:textId="37721764" w:rsidR="00072FEA"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sz w:val="24"/>
          <w:szCs w:val="24"/>
        </w:rPr>
        <w:t>Athira, V. J. (2025). Impact of digitalization on work-life balance among female academics in higher-education institutions. Journal of Women and Work-Life Integration, 2(1), 44–59.</w:t>
      </w:r>
    </w:p>
    <w:p w14:paraId="0FCD7B41" w14:textId="65C7C4EB" w:rsidR="00072FEA"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sz w:val="24"/>
          <w:szCs w:val="24"/>
        </w:rPr>
        <w:lastRenderedPageBreak/>
        <w:t xml:space="preserve">Chaudhry, S., &amp; </w:t>
      </w:r>
      <w:proofErr w:type="spellStart"/>
      <w:r w:rsidRPr="00072FEA">
        <w:rPr>
          <w:rFonts w:ascii="Times New Roman" w:hAnsi="Times New Roman" w:cs="Times New Roman"/>
          <w:sz w:val="24"/>
          <w:szCs w:val="24"/>
        </w:rPr>
        <w:t>Chhajer</w:t>
      </w:r>
      <w:proofErr w:type="spellEnd"/>
      <w:r w:rsidRPr="00072FEA">
        <w:rPr>
          <w:rFonts w:ascii="Times New Roman" w:hAnsi="Times New Roman" w:cs="Times New Roman"/>
          <w:sz w:val="24"/>
          <w:szCs w:val="24"/>
        </w:rPr>
        <w:t>, R. (2023). Enhancing psychological well-being of school teachers in India: Role of energy management, thriving, and stress. Indian Journal of Positive Psychology, 14(1), 91–102.</w:t>
      </w:r>
    </w:p>
    <w:p w14:paraId="700FF572" w14:textId="7D7C2F91" w:rsidR="00072FEA" w:rsidRDefault="00072FEA" w:rsidP="00072FEA">
      <w:pPr>
        <w:spacing w:line="360" w:lineRule="auto"/>
        <w:jc w:val="both"/>
        <w:rPr>
          <w:rFonts w:ascii="Times New Roman" w:hAnsi="Times New Roman" w:cs="Times New Roman"/>
          <w:sz w:val="24"/>
          <w:szCs w:val="24"/>
        </w:rPr>
      </w:pPr>
      <w:r w:rsidRPr="00072FEA">
        <w:rPr>
          <w:rFonts w:ascii="Times New Roman" w:hAnsi="Times New Roman" w:cs="Times New Roman"/>
          <w:sz w:val="24"/>
          <w:szCs w:val="24"/>
        </w:rPr>
        <w:t>Esplana, J., &amp; Callo, R. (2024). Workplace culture and environment towards teachers’ performance: The mediating role of professional commitment. Asian Journal of Education and Psychology, 6(1), 50–66.</w:t>
      </w:r>
    </w:p>
    <w:p w14:paraId="67E583E0" w14:textId="1BDE805B" w:rsidR="00072FEA" w:rsidRDefault="00D538D8" w:rsidP="00072FEA">
      <w:pPr>
        <w:spacing w:line="360" w:lineRule="auto"/>
        <w:jc w:val="both"/>
        <w:rPr>
          <w:rFonts w:ascii="Times New Roman" w:hAnsi="Times New Roman" w:cs="Times New Roman"/>
          <w:sz w:val="24"/>
          <w:szCs w:val="24"/>
        </w:rPr>
      </w:pPr>
      <w:r w:rsidRPr="00D538D8">
        <w:rPr>
          <w:rFonts w:ascii="Times New Roman" w:hAnsi="Times New Roman" w:cs="Times New Roman"/>
          <w:sz w:val="24"/>
          <w:szCs w:val="24"/>
        </w:rPr>
        <w:t xml:space="preserve">Harish, K. A., &amp; </w:t>
      </w:r>
      <w:proofErr w:type="spellStart"/>
      <w:r w:rsidRPr="00D538D8">
        <w:rPr>
          <w:rFonts w:ascii="Times New Roman" w:hAnsi="Times New Roman" w:cs="Times New Roman"/>
          <w:sz w:val="24"/>
          <w:szCs w:val="24"/>
        </w:rPr>
        <w:t>Jeyaprabha</w:t>
      </w:r>
      <w:proofErr w:type="spellEnd"/>
      <w:r w:rsidRPr="00D538D8">
        <w:rPr>
          <w:rFonts w:ascii="Times New Roman" w:hAnsi="Times New Roman" w:cs="Times New Roman"/>
          <w:sz w:val="24"/>
          <w:szCs w:val="24"/>
        </w:rPr>
        <w:t>, P. (2024). Occupational stress and job satisfaction of teachers of government and private sectors. Journal of Educational Research and Practice, 14(1), 65–79.</w:t>
      </w:r>
    </w:p>
    <w:p w14:paraId="63219C43" w14:textId="1CB0A3C6" w:rsidR="00D538D8" w:rsidRDefault="00D538D8" w:rsidP="00072FEA">
      <w:pPr>
        <w:spacing w:line="360" w:lineRule="auto"/>
        <w:jc w:val="both"/>
        <w:rPr>
          <w:rFonts w:ascii="Times New Roman" w:hAnsi="Times New Roman" w:cs="Times New Roman"/>
          <w:sz w:val="24"/>
          <w:szCs w:val="24"/>
        </w:rPr>
      </w:pPr>
      <w:r w:rsidRPr="00D538D8">
        <w:rPr>
          <w:rFonts w:ascii="Times New Roman" w:hAnsi="Times New Roman" w:cs="Times New Roman"/>
          <w:sz w:val="24"/>
          <w:szCs w:val="24"/>
        </w:rPr>
        <w:t>Jena, R. K., &amp; Mahanti, R. (2014). An empirical study on technostress among Indian academicians. Global Journal of Management and Business Research, 14(9), 18–27.</w:t>
      </w:r>
    </w:p>
    <w:p w14:paraId="4A2D173C" w14:textId="3756C770" w:rsidR="00D538D8" w:rsidRDefault="00D538D8" w:rsidP="00072FEA">
      <w:pPr>
        <w:spacing w:line="360" w:lineRule="auto"/>
        <w:jc w:val="both"/>
        <w:rPr>
          <w:rFonts w:ascii="Times New Roman" w:hAnsi="Times New Roman" w:cs="Times New Roman"/>
          <w:sz w:val="24"/>
          <w:szCs w:val="24"/>
        </w:rPr>
      </w:pPr>
      <w:r w:rsidRPr="00D538D8">
        <w:rPr>
          <w:rFonts w:ascii="Times New Roman" w:hAnsi="Times New Roman" w:cs="Times New Roman"/>
          <w:sz w:val="24"/>
          <w:szCs w:val="24"/>
        </w:rPr>
        <w:t>Hernandez, F. (2017). Impact of ICT on education: Challenges and perspectives. Educational Technology Review, 25(3), 99–110.</w:t>
      </w:r>
    </w:p>
    <w:p w14:paraId="21B48700" w14:textId="3A086A9A" w:rsidR="00D538D8" w:rsidRDefault="00D538D8" w:rsidP="00072FEA">
      <w:pPr>
        <w:spacing w:line="360" w:lineRule="auto"/>
        <w:jc w:val="both"/>
        <w:rPr>
          <w:rFonts w:ascii="Times New Roman" w:hAnsi="Times New Roman" w:cs="Times New Roman"/>
          <w:sz w:val="24"/>
          <w:szCs w:val="24"/>
        </w:rPr>
      </w:pPr>
      <w:r w:rsidRPr="00D538D8">
        <w:rPr>
          <w:rFonts w:ascii="Times New Roman" w:hAnsi="Times New Roman" w:cs="Times New Roman"/>
          <w:sz w:val="24"/>
          <w:szCs w:val="24"/>
        </w:rPr>
        <w:t xml:space="preserve">Klapproth, F., Federkeil, L., </w:t>
      </w:r>
      <w:proofErr w:type="spellStart"/>
      <w:r w:rsidRPr="00D538D8">
        <w:rPr>
          <w:rFonts w:ascii="Times New Roman" w:hAnsi="Times New Roman" w:cs="Times New Roman"/>
          <w:sz w:val="24"/>
          <w:szCs w:val="24"/>
        </w:rPr>
        <w:t>Heinschke</w:t>
      </w:r>
      <w:proofErr w:type="spellEnd"/>
      <w:r w:rsidRPr="00D538D8">
        <w:rPr>
          <w:rFonts w:ascii="Times New Roman" w:hAnsi="Times New Roman" w:cs="Times New Roman"/>
          <w:sz w:val="24"/>
          <w:szCs w:val="24"/>
        </w:rPr>
        <w:t>, F., &amp; Jungmann, T. (2020). Teachers’ experiences of stress and coping strategies during COVID-19-induced distance teaching. Teaching and Teacher Education, 92, 103118.</w:t>
      </w:r>
    </w:p>
    <w:p w14:paraId="32C39E5C" w14:textId="0B648DEB" w:rsidR="00D538D8" w:rsidRDefault="00D538D8" w:rsidP="00072FEA">
      <w:pPr>
        <w:spacing w:line="360" w:lineRule="auto"/>
        <w:jc w:val="both"/>
        <w:rPr>
          <w:rFonts w:ascii="Times New Roman" w:hAnsi="Times New Roman" w:cs="Times New Roman"/>
          <w:sz w:val="24"/>
          <w:szCs w:val="24"/>
        </w:rPr>
      </w:pPr>
      <w:r w:rsidRPr="00D538D8">
        <w:rPr>
          <w:rFonts w:ascii="Times New Roman" w:hAnsi="Times New Roman" w:cs="Times New Roman"/>
          <w:sz w:val="24"/>
          <w:szCs w:val="24"/>
        </w:rPr>
        <w:t>Myers-Briggs Company. (2019). The “Always-on” culture and its impact on workplace behaviour. Myers-Briggs Workplace Insights Report, 4(1), 1–25</w:t>
      </w:r>
    </w:p>
    <w:p w14:paraId="14C7E21C" w14:textId="59648DD9" w:rsidR="00D538D8" w:rsidRDefault="00D538D8" w:rsidP="00072FEA">
      <w:pPr>
        <w:spacing w:line="360" w:lineRule="auto"/>
        <w:jc w:val="both"/>
        <w:rPr>
          <w:rFonts w:ascii="Times New Roman" w:hAnsi="Times New Roman" w:cs="Times New Roman"/>
          <w:sz w:val="24"/>
          <w:szCs w:val="24"/>
        </w:rPr>
      </w:pPr>
      <w:r w:rsidRPr="00D538D8">
        <w:rPr>
          <w:rFonts w:ascii="Times New Roman" w:hAnsi="Times New Roman" w:cs="Times New Roman"/>
          <w:sz w:val="24"/>
          <w:szCs w:val="24"/>
        </w:rPr>
        <w:t>Pradeepan, K. (2022). Work-life balance of teaching staff during the COVID-19 pandemic in Chennai. South Indian Journal of Business and Management Studies, 3(2), 112–121.</w:t>
      </w:r>
    </w:p>
    <w:p w14:paraId="5771C917" w14:textId="387CD89D" w:rsidR="00D538D8" w:rsidRPr="00072FEA" w:rsidRDefault="00D538D8" w:rsidP="00072FEA">
      <w:pPr>
        <w:spacing w:line="360" w:lineRule="auto"/>
        <w:jc w:val="both"/>
        <w:rPr>
          <w:rFonts w:ascii="Times New Roman" w:hAnsi="Times New Roman" w:cs="Times New Roman"/>
          <w:sz w:val="24"/>
          <w:szCs w:val="24"/>
        </w:rPr>
      </w:pPr>
      <w:r w:rsidRPr="00D538D8">
        <w:rPr>
          <w:rFonts w:ascii="Times New Roman" w:hAnsi="Times New Roman" w:cs="Times New Roman"/>
          <w:sz w:val="24"/>
          <w:szCs w:val="24"/>
        </w:rPr>
        <w:t xml:space="preserve">Sasikumar, N., &amp; Jenifer, K. (2024). Occupational stress and cognitive load among private school teachers in </w:t>
      </w:r>
      <w:proofErr w:type="spellStart"/>
      <w:r w:rsidRPr="00D538D8">
        <w:rPr>
          <w:rFonts w:ascii="Times New Roman" w:hAnsi="Times New Roman" w:cs="Times New Roman"/>
          <w:sz w:val="24"/>
          <w:szCs w:val="24"/>
        </w:rPr>
        <w:t>Sivaganga</w:t>
      </w:r>
      <w:proofErr w:type="spellEnd"/>
      <w:r w:rsidRPr="00D538D8">
        <w:rPr>
          <w:rFonts w:ascii="Times New Roman" w:hAnsi="Times New Roman" w:cs="Times New Roman"/>
          <w:sz w:val="24"/>
          <w:szCs w:val="24"/>
        </w:rPr>
        <w:t xml:space="preserve"> district, Tamil Nadu. International Journal of Psychology and Education, 13(1), 85–98.</w:t>
      </w:r>
    </w:p>
    <w:p w14:paraId="72F5A982" w14:textId="77777777" w:rsidR="00072FEA" w:rsidRPr="00C149B1" w:rsidRDefault="00072FEA" w:rsidP="006C6977">
      <w:pPr>
        <w:spacing w:line="360" w:lineRule="auto"/>
        <w:jc w:val="both"/>
        <w:rPr>
          <w:rFonts w:ascii="Times New Roman" w:hAnsi="Times New Roman" w:cs="Times New Roman"/>
          <w:b/>
          <w:bCs/>
          <w:sz w:val="24"/>
          <w:szCs w:val="24"/>
        </w:rPr>
      </w:pPr>
    </w:p>
    <w:sectPr w:rsidR="00072FEA" w:rsidRPr="00C149B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891A" w14:textId="77777777" w:rsidR="000B10B5" w:rsidRDefault="000B10B5" w:rsidP="00A11AAE">
      <w:pPr>
        <w:spacing w:after="0" w:line="240" w:lineRule="auto"/>
      </w:pPr>
      <w:r>
        <w:separator/>
      </w:r>
    </w:p>
  </w:endnote>
  <w:endnote w:type="continuationSeparator" w:id="0">
    <w:p w14:paraId="38BBACB6" w14:textId="77777777" w:rsidR="000B10B5" w:rsidRDefault="000B10B5" w:rsidP="00A1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323956"/>
      <w:docPartObj>
        <w:docPartGallery w:val="Page Numbers (Bottom of Page)"/>
        <w:docPartUnique/>
      </w:docPartObj>
    </w:sdtPr>
    <w:sdtEndPr>
      <w:rPr>
        <w:noProof/>
      </w:rPr>
    </w:sdtEndPr>
    <w:sdtContent>
      <w:p w14:paraId="73B6B47E" w14:textId="39CC61D8" w:rsidR="00A11AAE" w:rsidRDefault="00A11A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D106F" w14:textId="77777777" w:rsidR="00A11AAE" w:rsidRDefault="00A11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D9C5" w14:textId="77777777" w:rsidR="000B10B5" w:rsidRDefault="000B10B5" w:rsidP="00A11AAE">
      <w:pPr>
        <w:spacing w:after="0" w:line="240" w:lineRule="auto"/>
      </w:pPr>
      <w:r>
        <w:separator/>
      </w:r>
    </w:p>
  </w:footnote>
  <w:footnote w:type="continuationSeparator" w:id="0">
    <w:p w14:paraId="758DB841" w14:textId="77777777" w:rsidR="000B10B5" w:rsidRDefault="000B10B5" w:rsidP="00A11A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1E"/>
    <w:rsid w:val="00070C36"/>
    <w:rsid w:val="00071EA6"/>
    <w:rsid w:val="00072FEA"/>
    <w:rsid w:val="000B10B5"/>
    <w:rsid w:val="002F303E"/>
    <w:rsid w:val="0030641F"/>
    <w:rsid w:val="00394E80"/>
    <w:rsid w:val="006C6977"/>
    <w:rsid w:val="006F7B26"/>
    <w:rsid w:val="008C33E3"/>
    <w:rsid w:val="0094362B"/>
    <w:rsid w:val="00A11AAE"/>
    <w:rsid w:val="00C149B1"/>
    <w:rsid w:val="00C25C0B"/>
    <w:rsid w:val="00C339F4"/>
    <w:rsid w:val="00CF376E"/>
    <w:rsid w:val="00D447D2"/>
    <w:rsid w:val="00D538D8"/>
    <w:rsid w:val="00E0321E"/>
    <w:rsid w:val="00E67E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8B9B"/>
  <w15:chartTrackingRefBased/>
  <w15:docId w15:val="{0CECF41F-85CC-40CC-9787-21D06D27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2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32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32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32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32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3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2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32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32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32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32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3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21E"/>
    <w:rPr>
      <w:rFonts w:eastAsiaTheme="majorEastAsia" w:cstheme="majorBidi"/>
      <w:color w:val="272727" w:themeColor="text1" w:themeTint="D8"/>
    </w:rPr>
  </w:style>
  <w:style w:type="paragraph" w:styleId="Title">
    <w:name w:val="Title"/>
    <w:basedOn w:val="Normal"/>
    <w:next w:val="Normal"/>
    <w:link w:val="TitleChar"/>
    <w:uiPriority w:val="10"/>
    <w:qFormat/>
    <w:rsid w:val="00E03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21E"/>
    <w:pPr>
      <w:spacing w:before="160"/>
      <w:jc w:val="center"/>
    </w:pPr>
    <w:rPr>
      <w:i/>
      <w:iCs/>
      <w:color w:val="404040" w:themeColor="text1" w:themeTint="BF"/>
    </w:rPr>
  </w:style>
  <w:style w:type="character" w:customStyle="1" w:styleId="QuoteChar">
    <w:name w:val="Quote Char"/>
    <w:basedOn w:val="DefaultParagraphFont"/>
    <w:link w:val="Quote"/>
    <w:uiPriority w:val="29"/>
    <w:rsid w:val="00E0321E"/>
    <w:rPr>
      <w:i/>
      <w:iCs/>
      <w:color w:val="404040" w:themeColor="text1" w:themeTint="BF"/>
    </w:rPr>
  </w:style>
  <w:style w:type="paragraph" w:styleId="ListParagraph">
    <w:name w:val="List Paragraph"/>
    <w:basedOn w:val="Normal"/>
    <w:uiPriority w:val="34"/>
    <w:qFormat/>
    <w:rsid w:val="00E0321E"/>
    <w:pPr>
      <w:ind w:left="720"/>
      <w:contextualSpacing/>
    </w:pPr>
  </w:style>
  <w:style w:type="character" w:styleId="IntenseEmphasis">
    <w:name w:val="Intense Emphasis"/>
    <w:basedOn w:val="DefaultParagraphFont"/>
    <w:uiPriority w:val="21"/>
    <w:qFormat/>
    <w:rsid w:val="00E0321E"/>
    <w:rPr>
      <w:i/>
      <w:iCs/>
      <w:color w:val="2F5496" w:themeColor="accent1" w:themeShade="BF"/>
    </w:rPr>
  </w:style>
  <w:style w:type="paragraph" w:styleId="IntenseQuote">
    <w:name w:val="Intense Quote"/>
    <w:basedOn w:val="Normal"/>
    <w:next w:val="Normal"/>
    <w:link w:val="IntenseQuoteChar"/>
    <w:uiPriority w:val="30"/>
    <w:qFormat/>
    <w:rsid w:val="00E03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321E"/>
    <w:rPr>
      <w:i/>
      <w:iCs/>
      <w:color w:val="2F5496" w:themeColor="accent1" w:themeShade="BF"/>
    </w:rPr>
  </w:style>
  <w:style w:type="character" w:styleId="IntenseReference">
    <w:name w:val="Intense Reference"/>
    <w:basedOn w:val="DefaultParagraphFont"/>
    <w:uiPriority w:val="32"/>
    <w:qFormat/>
    <w:rsid w:val="00E0321E"/>
    <w:rPr>
      <w:b/>
      <w:bCs/>
      <w:smallCaps/>
      <w:color w:val="2F5496" w:themeColor="accent1" w:themeShade="BF"/>
      <w:spacing w:val="5"/>
    </w:rPr>
  </w:style>
  <w:style w:type="paragraph" w:styleId="Header">
    <w:name w:val="header"/>
    <w:basedOn w:val="Normal"/>
    <w:link w:val="HeaderChar"/>
    <w:uiPriority w:val="99"/>
    <w:unhideWhenUsed/>
    <w:rsid w:val="00A11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AAE"/>
  </w:style>
  <w:style w:type="paragraph" w:styleId="Footer">
    <w:name w:val="footer"/>
    <w:basedOn w:val="Normal"/>
    <w:link w:val="FooterChar"/>
    <w:uiPriority w:val="99"/>
    <w:unhideWhenUsed/>
    <w:rsid w:val="00A11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1660</TotalTime>
  <Pages>10</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Jeffri Priyadarsini T</dc:creator>
  <cp:keywords/>
  <dc:description/>
  <cp:lastModifiedBy>Jeffri Priyadarsini T</cp:lastModifiedBy>
  <cp:revision>4</cp:revision>
  <cp:lastPrinted>2026-01-21T06:31:00Z</cp:lastPrinted>
  <dcterms:created xsi:type="dcterms:W3CDTF">2026-01-21T05:41:00Z</dcterms:created>
  <dcterms:modified xsi:type="dcterms:W3CDTF">2026-02-07T14:24:00Z</dcterms:modified>
</cp:coreProperties>
</file>