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6BB994EA" w14:textId="12FEDA28" w:rsidR="00120C68" w:rsidRPr="00430054" w:rsidRDefault="0091690A">
      <w:pPr>
        <w:spacing w:before="280" w:after="280" w:line="240" w:lineRule="auto"/>
        <w:rPr>
          <w:rFonts w:ascii="Times New Roman" w:eastAsia="Times New Roman" w:hAnsi="Times New Roman" w:cs="Times New Roman"/>
          <w:b/>
          <w:bCs/>
          <w:sz w:val="24"/>
          <w:szCs w:val="24"/>
          <w:lang w:val="en-US"/>
        </w:rPr>
      </w:pPr>
      <w:r w:rsidRPr="00430054">
        <w:rPr>
          <w:rFonts w:ascii="Times New Roman" w:eastAsia="Times New Roman" w:hAnsi="Times New Roman" w:cs="Times New Roman"/>
          <w:b/>
          <w:bCs/>
          <w:sz w:val="24"/>
          <w:szCs w:val="24"/>
          <w:lang w:val="en-US"/>
        </w:rPr>
        <w:t>CHAPTER 4</w:t>
      </w:r>
    </w:p>
    <w:p w14:paraId="6BB994EB" w14:textId="77777777" w:rsidR="00120C68" w:rsidRPr="00430054" w:rsidRDefault="00120C68">
      <w:pPr>
        <w:spacing w:before="280" w:after="280" w:line="240" w:lineRule="auto"/>
        <w:rPr>
          <w:rFonts w:ascii="Times New Roman" w:eastAsia="Times New Roman" w:hAnsi="Times New Roman" w:cs="Times New Roman"/>
          <w:b/>
          <w:bCs/>
          <w:sz w:val="24"/>
          <w:szCs w:val="24"/>
          <w:lang w:val="en-US"/>
        </w:rPr>
      </w:pPr>
    </w:p>
    <w:p w14:paraId="6BB994EC" w14:textId="77777777" w:rsidR="00120C68" w:rsidRPr="00430054" w:rsidRDefault="0091690A">
      <w:pPr>
        <w:spacing w:before="280" w:after="280" w:line="240" w:lineRule="auto"/>
        <w:jc w:val="center"/>
        <w:rPr>
          <w:rFonts w:ascii="Times New Roman" w:eastAsia="Times New Roman" w:hAnsi="Times New Roman" w:cs="Times New Roman"/>
          <w:b/>
          <w:bCs/>
          <w:sz w:val="24"/>
          <w:szCs w:val="24"/>
          <w:lang w:val="en-US"/>
        </w:rPr>
      </w:pPr>
      <w:r w:rsidRPr="00430054">
        <w:rPr>
          <w:rFonts w:ascii="Times New Roman" w:eastAsia="Times New Roman" w:hAnsi="Times New Roman" w:cs="Times New Roman"/>
          <w:b/>
          <w:bCs/>
          <w:sz w:val="24"/>
          <w:szCs w:val="24"/>
          <w:lang w:val="en-US"/>
        </w:rPr>
        <w:t>MODEL OF SOCIOTECHNICAL MATURITY INDICATORS IN SMART CITIES</w:t>
      </w:r>
    </w:p>
    <w:p w14:paraId="6BB994EE" w14:textId="77777777" w:rsidR="00120C68" w:rsidRPr="00430054" w:rsidRDefault="00120C68">
      <w:pPr>
        <w:spacing w:before="280" w:after="280" w:line="240" w:lineRule="auto"/>
        <w:rPr>
          <w:rFonts w:ascii="Times New Roman" w:eastAsia="Times New Roman" w:hAnsi="Times New Roman" w:cs="Times New Roman"/>
          <w:b/>
          <w:bCs/>
          <w:sz w:val="24"/>
          <w:szCs w:val="24"/>
          <w:lang w:val="en-US"/>
        </w:rPr>
      </w:pPr>
    </w:p>
    <w:p w14:paraId="6BB994EF" w14:textId="77777777" w:rsidR="00120C68" w:rsidRPr="00430054" w:rsidRDefault="0091690A">
      <w:pPr>
        <w:pStyle w:val="Ttulo1"/>
        <w:keepNext w:val="0"/>
        <w:keepLines w:val="0"/>
        <w:spacing w:before="480" w:line="360" w:lineRule="auto"/>
        <w:jc w:val="both"/>
        <w:rPr>
          <w:rFonts w:ascii="Times New Roman" w:eastAsia="Times New Roman" w:hAnsi="Times New Roman" w:cs="Times New Roman"/>
          <w:sz w:val="24"/>
          <w:szCs w:val="24"/>
          <w:lang w:val="en-US"/>
        </w:rPr>
      </w:pPr>
      <w:bookmarkStart w:id="0" w:name="_839tj6s19lod" w:colFirst="0" w:colLast="0"/>
      <w:bookmarkEnd w:id="0"/>
      <w:r w:rsidRPr="00430054">
        <w:rPr>
          <w:rFonts w:ascii="Times New Roman" w:eastAsia="Times New Roman" w:hAnsi="Times New Roman" w:cs="Times New Roman"/>
          <w:b/>
          <w:bCs/>
          <w:sz w:val="24"/>
          <w:szCs w:val="24"/>
          <w:lang w:val="en-US"/>
        </w:rPr>
        <w:t xml:space="preserve">ABSTRACT: </w:t>
      </w:r>
      <w:r w:rsidRPr="00430054">
        <w:rPr>
          <w:rFonts w:ascii="Times New Roman" w:eastAsia="Times New Roman" w:hAnsi="Times New Roman" w:cs="Times New Roman"/>
          <w:sz w:val="24"/>
          <w:szCs w:val="24"/>
          <w:lang w:val="en-US"/>
        </w:rPr>
        <w:t>This chapter proposes a model of sociotechnical maturity indicators applied to smart cities, structured from a multidimensional approach that integrates Artificial Intelligence, Intellectual Property, data governance, and institutional and social dimensions. The model is organized into analytical axes and incorporates specific and synthetic indicators, allowing the measurement and interpretation of complex urban phenomena. The results highlight the centrality of the integration between technology, innovation, institutional capacity and social trust for smart urban development. The role of the Sociotechnical Maturity Index as a synthesis indicator is highlighted, enabling the systemic and comparative evaluation of the analyzed contexts. The model contributes to the theoretical-methodological advancement of the field, offering subsidies for the formulation of data-driven public policies and for the governance of innovative urban ecosystems.</w:t>
      </w:r>
    </w:p>
    <w:p w14:paraId="6BB994F0" w14:textId="77777777" w:rsidR="00120C68" w:rsidRPr="00430054" w:rsidRDefault="0091690A">
      <w:pPr>
        <w:pStyle w:val="Ttulo1"/>
        <w:keepNext w:val="0"/>
        <w:keepLines w:val="0"/>
        <w:spacing w:before="480" w:line="360" w:lineRule="auto"/>
        <w:jc w:val="both"/>
        <w:rPr>
          <w:rFonts w:ascii="Times New Roman" w:eastAsia="Times New Roman" w:hAnsi="Times New Roman" w:cs="Times New Roman"/>
          <w:b/>
          <w:bCs/>
          <w:sz w:val="24"/>
          <w:szCs w:val="24"/>
          <w:lang w:val="en-US"/>
        </w:rPr>
      </w:pPr>
      <w:bookmarkStart w:id="1" w:name="_n17jitalax6n" w:colFirst="0" w:colLast="0"/>
      <w:bookmarkEnd w:id="1"/>
      <w:r w:rsidRPr="00430054">
        <w:rPr>
          <w:rFonts w:ascii="Times New Roman" w:eastAsia="Times New Roman" w:hAnsi="Times New Roman" w:cs="Times New Roman"/>
          <w:b/>
          <w:bCs/>
          <w:sz w:val="24"/>
          <w:szCs w:val="24"/>
          <w:lang w:val="en-US"/>
        </w:rPr>
        <w:t>KEYWORDS:</w:t>
      </w:r>
      <w:r w:rsidRPr="00430054">
        <w:rPr>
          <w:rFonts w:ascii="Times New Roman" w:eastAsia="Times New Roman" w:hAnsi="Times New Roman" w:cs="Times New Roman"/>
          <w:sz w:val="24"/>
          <w:szCs w:val="24"/>
          <w:lang w:val="en-US"/>
        </w:rPr>
        <w:t xml:space="preserve"> artificial intelligence; intellectual property; data governance; municipal innovation; Urban mobility.</w:t>
      </w:r>
    </w:p>
    <w:p w14:paraId="6BB994F1" w14:textId="77777777" w:rsidR="00120C68" w:rsidRPr="00430054" w:rsidRDefault="0091690A">
      <w:pPr>
        <w:spacing w:before="280" w:after="280" w:line="240" w:lineRule="auto"/>
        <w:rPr>
          <w:rFonts w:ascii="Times New Roman" w:eastAsia="Times New Roman" w:hAnsi="Times New Roman" w:cs="Times New Roman"/>
          <w:b/>
          <w:bCs/>
          <w:sz w:val="24"/>
          <w:szCs w:val="24"/>
          <w:lang w:val="en-US"/>
        </w:rPr>
      </w:pPr>
      <w:r w:rsidRPr="00430054">
        <w:rPr>
          <w:rFonts w:ascii="Times New Roman" w:eastAsia="Times New Roman" w:hAnsi="Times New Roman" w:cs="Times New Roman"/>
          <w:b/>
          <w:bCs/>
          <w:sz w:val="24"/>
          <w:szCs w:val="24"/>
          <w:lang w:val="en-US"/>
        </w:rPr>
        <w:t>INTRODUCTION</w:t>
      </w:r>
    </w:p>
    <w:p w14:paraId="6BB994F2" w14:textId="5C0995F1"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growing complexity of contemporary urban systems, intensified by digitalization, the diffusion of Artificial Intelligence (AI) and the centrality of data, has demanded new analytical approaches capable of understanding and evaluating the development of smart cities in an integrated way. In this context, the need for models emerges that go beyond fragmented perspectives and allow capturing the interaction between technological, institutional, economic, and social dimensions, configuring what the literature calls urban sociotechnical systems (KITCHIN, 2014; CARAGLIU; DEL BO; NIJKAMP, 2011).</w:t>
      </w:r>
    </w:p>
    <w:p w14:paraId="6BB994F3"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Smart cities are not limited to the incorporation of digital technologies, but involve the articulation between infrastructure, governance, innovation, and social participation, with a view to improving the quality of life and urban sustainability (ISO, 2019; COHEN, 2014). In </w:t>
      </w:r>
      <w:r w:rsidRPr="00430054">
        <w:rPr>
          <w:rFonts w:ascii="Times New Roman" w:eastAsia="Times New Roman" w:hAnsi="Times New Roman" w:cs="Times New Roman"/>
          <w:sz w:val="24"/>
          <w:szCs w:val="24"/>
          <w:lang w:val="en-US"/>
        </w:rPr>
        <w:lastRenderedPageBreak/>
        <w:t>this sense, Artificial Intelligence stands out as a structuring technology, as it enables predictive analysis, process automation, and support for data-based decision-making, while intellectual property acts as a mechanism for organizing, protecting, and disseminating innovation in the urban environment (OECD, 2019; WIPO, 2023).</w:t>
      </w:r>
    </w:p>
    <w:p w14:paraId="6BB994F4"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Given this complexity, the construction of indicators plays a fundamental role in the operationalization and measurement of the smart city concept. Indicators allow translating abstract phenomena into observable metrics, enabling comparisons, monitoring, and evaluation of public policies (JANNUZZI, 2012). However, the multidimensional nature of smart cities requires the adoption of composite and synthetic indicators, capable of integrating different variables into a coherent and interpretable analytical framework.</w:t>
      </w:r>
    </w:p>
    <w:p w14:paraId="6BB994F5"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this scenario, this chapter proposes a model of sociotechnical maturity indicators, structured from the integration between Artificial Intelligence, Intellectual Property, data governance and institutional and social dimensions. The model is organized into multiple analytical axes and incorporates specific and synthetic indicators, allowing the capture of both structural and dynamic aspects of smart urban development.</w:t>
      </w:r>
    </w:p>
    <w:p w14:paraId="6BB994F6"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notion of sociotechnical maturity adopted in this study refers to the capacity of an urban system to articulate, in an efficient and adaptive way, digital technologies, institutions, economic agents and society, promoting innovation, sustainability and collective well-being. Such an approach dialogues with contemporary perspectives that emphasize the importance of data governance, social trust, and adaptive regulation as central elements for the consolidation of smart urban ecosystems (FLORIDI et al., 2018; WORLD BANK, 2021).</w:t>
      </w:r>
    </w:p>
    <w:p w14:paraId="6BB994F7"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Finally, the proposed model seeks to contribute to the theoretical and methodological advancement in the field of smart cities, by offering an integrated analytical instrument, applicable to empirical evaluation and the formulation of public policies. By articulating indicators of different natures in a unified framework, the chapter lays the groundwork for the analysis of the results presented in the subsequent sections, as well as for the discussion of the practical and strategic implications of sociotechnical maturity in the contemporary urban context.</w:t>
      </w:r>
    </w:p>
    <w:p w14:paraId="6BB994F8" w14:textId="77777777" w:rsidR="00120C68" w:rsidRPr="00430054" w:rsidRDefault="00120C68">
      <w:pPr>
        <w:spacing w:before="280" w:after="280" w:line="240" w:lineRule="auto"/>
        <w:rPr>
          <w:rFonts w:ascii="Times New Roman" w:eastAsia="Times New Roman" w:hAnsi="Times New Roman" w:cs="Times New Roman"/>
          <w:b/>
          <w:bCs/>
          <w:sz w:val="24"/>
          <w:szCs w:val="24"/>
          <w:lang w:val="en-US"/>
        </w:rPr>
      </w:pPr>
    </w:p>
    <w:p w14:paraId="6BB994F9" w14:textId="77777777" w:rsidR="00120C68" w:rsidRPr="00430054" w:rsidRDefault="00120C68">
      <w:pPr>
        <w:spacing w:before="280" w:after="280" w:line="240" w:lineRule="auto"/>
        <w:rPr>
          <w:rFonts w:ascii="Times New Roman" w:eastAsia="Times New Roman" w:hAnsi="Times New Roman" w:cs="Times New Roman"/>
          <w:b/>
          <w:bCs/>
          <w:sz w:val="24"/>
          <w:szCs w:val="24"/>
          <w:lang w:val="en-US"/>
        </w:rPr>
      </w:pPr>
    </w:p>
    <w:p w14:paraId="6BB994FA" w14:textId="77777777" w:rsidR="00120C68" w:rsidRPr="00430054" w:rsidRDefault="0091690A">
      <w:pPr>
        <w:spacing w:before="280" w:after="280" w:line="240" w:lineRule="auto"/>
        <w:rPr>
          <w:rFonts w:ascii="Times New Roman" w:eastAsia="Times New Roman" w:hAnsi="Times New Roman" w:cs="Times New Roman"/>
          <w:b/>
          <w:bCs/>
          <w:sz w:val="24"/>
          <w:szCs w:val="24"/>
          <w:lang w:val="en-US"/>
        </w:rPr>
      </w:pPr>
      <w:r w:rsidRPr="00430054">
        <w:rPr>
          <w:rFonts w:ascii="Times New Roman" w:eastAsia="Times New Roman" w:hAnsi="Times New Roman" w:cs="Times New Roman"/>
          <w:b/>
          <w:bCs/>
          <w:sz w:val="24"/>
          <w:szCs w:val="24"/>
          <w:lang w:val="en-US"/>
        </w:rPr>
        <w:lastRenderedPageBreak/>
        <w:t>THEORETICAL FRAMEWORK</w:t>
      </w:r>
    </w:p>
    <w:p w14:paraId="6BB994FB"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construction of indicators is a central element for the analytical operationalization of public policies and the evaluation of urban performance. In the context of smart cities, indicators not only measure results, but also structure evidence-based governance models, allowing monitoring, international comparability, and strategic alignment with global agendas (ISO, 2019; OECD, 2020).</w:t>
      </w:r>
    </w:p>
    <w:p w14:paraId="6BB994FC"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the field of urban mobility, classic indicators include average commuting time, congestion rate, modal share, emissions per passenger-kilometer, public transport coverage, and territorial accessibility index (UN-Habitat, 2020). Such metrics allow the evaluation of systemic efficiency, distributive equity, and environmental sustainability, in line with SDG 11 of the 2030 Agenda (UN, 2015).</w:t>
      </w:r>
    </w:p>
    <w:p w14:paraId="6BB994FD"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the dimension of urban innovation and territorial ecosystems, indicators involve the density of startups, the intensity of investment in R&amp;D, the number of university-company partnerships, venture capital per capita, installed digital infrastructure, and the degree of institutional connectivity (AUDRETSCH; BELITSKI, 2017; OECD, 2019). The literature highlights that innovative environments have high relational density and technological absorption capacity, measurable by indicators composed of regional innovation (ETZKOWITZ; LEYDESDORFF, 2000).</w:t>
      </w:r>
    </w:p>
    <w:p w14:paraId="6BB994FE"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the context of artificial intelligence applied to the urban context, indicators related to government digital maturity, data interoperability, installed computing capacity, adoption of predictive systems, and algorithmic transparency emerge (OECD, 2019; European Commission, 2020). Algorithmic governance also requires metrics related to accountability, explainability, and bias mitigation, expanding the traditional notion of technological performance to include ethical and regulatory dimensions (FLORIDI et al., 2018).</w:t>
      </w:r>
    </w:p>
    <w:p w14:paraId="6BB994FF"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With regard to intellectual property and patents, relevant indicators include number of filings by technology sector, green patents, technology intensity by territory, and international co-invention networks (WIPO, 2022). The measurement of intangible assets becomes fundamental to assess the sophistication of the urban ecosystem and its insertion in the knowledge economy.</w:t>
      </w:r>
    </w:p>
    <w:p w14:paraId="6BB99500" w14:textId="77777777" w:rsidR="00120C68" w:rsidRPr="00430054" w:rsidRDefault="0091690A">
      <w:pPr>
        <w:spacing w:after="200" w:line="360" w:lineRule="auto"/>
        <w:ind w:firstLine="284"/>
        <w:jc w:val="both"/>
        <w:rPr>
          <w:rFonts w:ascii="Times New Roman" w:eastAsia="Times New Roman" w:hAnsi="Times New Roman" w:cs="Times New Roman"/>
          <w:b/>
          <w:bCs/>
          <w:sz w:val="24"/>
          <w:szCs w:val="24"/>
          <w:lang w:val="en-US"/>
        </w:rPr>
      </w:pPr>
      <w:r w:rsidRPr="00430054">
        <w:rPr>
          <w:rFonts w:ascii="Times New Roman" w:eastAsia="Times New Roman" w:hAnsi="Times New Roman" w:cs="Times New Roman"/>
          <w:sz w:val="24"/>
          <w:szCs w:val="24"/>
          <w:lang w:val="en-US"/>
        </w:rPr>
        <w:t xml:space="preserve">Thus, it is observed that the consolidation of integrated indicators — mobility, innovation, AI, and intellectual property — allows the construction of data-driven urban systems, capable of articulating operational efficiency, environmental sustainability, and economic dynamism. </w:t>
      </w:r>
      <w:r w:rsidRPr="00430054">
        <w:rPr>
          <w:rFonts w:ascii="Times New Roman" w:eastAsia="Times New Roman" w:hAnsi="Times New Roman" w:cs="Times New Roman"/>
          <w:sz w:val="24"/>
          <w:szCs w:val="24"/>
          <w:lang w:val="en-US"/>
        </w:rPr>
        <w:lastRenderedPageBreak/>
        <w:t>The literature converges on the understanding that smart cities require institutional architecture based on multidimensional metrics, avoiding technocratic reductionism and promoting adaptive governance (CARAGLIU; DEL BO; NIJKAMP, 2011; OECD, 2020).</w:t>
      </w:r>
    </w:p>
    <w:p w14:paraId="6BB99501" w14:textId="77777777" w:rsidR="00120C68" w:rsidRPr="00430054" w:rsidRDefault="0091690A">
      <w:pPr>
        <w:spacing w:before="280" w:after="280" w:line="240" w:lineRule="auto"/>
        <w:rPr>
          <w:rFonts w:ascii="Times New Roman" w:eastAsia="Times New Roman" w:hAnsi="Times New Roman" w:cs="Times New Roman"/>
          <w:sz w:val="46"/>
          <w:szCs w:val="46"/>
          <w:lang w:val="en-US"/>
        </w:rPr>
      </w:pPr>
      <w:r w:rsidRPr="00430054">
        <w:rPr>
          <w:rFonts w:ascii="Times New Roman" w:eastAsia="Times New Roman" w:hAnsi="Times New Roman" w:cs="Times New Roman"/>
          <w:b/>
          <w:bCs/>
          <w:sz w:val="24"/>
          <w:szCs w:val="24"/>
          <w:lang w:val="en-US"/>
        </w:rPr>
        <w:t>MATERIALS AND METHODS</w:t>
      </w:r>
    </w:p>
    <w:p w14:paraId="6BB99502"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present research adopts a methodological approach with an exploratory and applied character, aimed at the construction of a model of indicators of sociotechnical maturity in smart cities. The methodological strategy is based on the integration between theoretical review, empirical analysis and indicator modeling, allowing the articulation between Artificial Intelligence, Intellectual Property, data governance and institutional and social dimensions. This approach is aligned with the classic methodologies for the construction of synthetic indicators and indices applied to the analysis of public policies and complex phenomena (JANNUZZI, 2012; SCANDAR NETO; JANNUZZI; NASCIMENTO, 2006).</w:t>
      </w:r>
    </w:p>
    <w:p w14:paraId="6BB99503"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Initially, the conceptual delimitation of the object of study was carried out, understanding smart cities as complex sociotechnical systems, in which technological infrastructure, governance, institutional actors and society interact in a dynamic and interdependent way. This perspective is supported by contemporary literature, which highlights the role of data, digital technologies, and urban governance in the organization of smart cities (KITCHIN, 2014; CARAGLIU; DEL BO; NIJKAMP, 2011). Relevant normative and empirical references were also incorporated, such as the ISO 37122 standard (ISO, 2019), the model of Boyd Cohen (2014) and studies on Artificial Intelligence and innovation, which emphasize the centrality of these technologies in the urban context (OECD, 2019; WIPO, 2023).</w:t>
      </w:r>
    </w:p>
    <w:p w14:paraId="6BB99504"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Based on this framework, a multidimensional analytical framework was structured, organized into axes that include Artificial Intelligence, Intellectual Property, governance and data, urban innovation, sustainability and the statistical/perceptual dimension. This organization allows the analysis to be operationalized in an integrated way, capturing the complexity of urban systems and enabling the construction of a matrix of indicators consistent with the objectives of the research (COHEN, 2014; JANNUZZI, 2012).</w:t>
      </w:r>
    </w:p>
    <w:p w14:paraId="6BB99505"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The selection and construction of the indicators were carried out from the combination of indicators consolidated in the literature and original indicators developed within the scope of the research. Criteria such as theoretical relevance, measurability, internal consistency and empirical applicability were considered, according to methodological guidelines for indicator </w:t>
      </w:r>
      <w:r w:rsidRPr="00430054">
        <w:rPr>
          <w:rFonts w:ascii="Times New Roman" w:eastAsia="Times New Roman" w:hAnsi="Times New Roman" w:cs="Times New Roman"/>
          <w:sz w:val="24"/>
          <w:szCs w:val="24"/>
          <w:lang w:val="en-US"/>
        </w:rPr>
        <w:lastRenderedPageBreak/>
        <w:t>systems (SCANDAR NETO; JANNUZZI; NASCIMENTO, 2006). This process resulted in the definition of a structured set of indicators distributed by dimensions, including metrics related to the maturity of Artificial Intelligence, urban data governance, management of intangible assets, regulation, and innovation.</w:t>
      </w:r>
    </w:p>
    <w:p w14:paraId="6BB99506"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empirical basis was constituted through a structured survey, using Likert-type scales, allowing capturing the respondents' perception of the relevance and impacts of Artificial Intelligence, urban innovation and governance in smart cities. The collected data were submitted to statistical treatment procedures, including standardization of variables, distribution analysis, consistency verification and, when necessary, normalization of the data. These procedures aim to ensure the quality of the empirical basis and the comparability of the results (FIELD, 2013).</w:t>
      </w:r>
    </w:p>
    <w:p w14:paraId="6BB99507"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Based on the suggested indicators, synthetic indices were constructed through aggregation techniques, with emphasis on the use of weighted averages, considering the relative relevance of the indicators in the model. This stage made it possible to consolidate composite metrics, including the Sociotechnical Maturity Index, which integrates the different dimensions analyzed. The use of synthetic indices is particularly relevant for the analysis of complex phenomena, allowing the reduction of dimensionality and the construction of an integrated reading of the data (JANNUZZI, 2012), see:</w:t>
      </w:r>
    </w:p>
    <w:p w14:paraId="6BB99508" w14:textId="77777777" w:rsidR="00120C68" w:rsidRDefault="0091690A">
      <w:pPr>
        <w:spacing w:after="200" w:line="360" w:lineRule="auto"/>
        <w:ind w:firstLine="284"/>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BB99747" wp14:editId="6BB99748">
            <wp:extent cx="5760000" cy="29464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760000" cy="2946400"/>
                    </a:xfrm>
                    <a:prstGeom prst="rect">
                      <a:avLst/>
                    </a:prstGeom>
                    <a:ln/>
                  </pic:spPr>
                </pic:pic>
              </a:graphicData>
            </a:graphic>
          </wp:inline>
        </w:drawing>
      </w:r>
    </w:p>
    <w:p w14:paraId="6BB99509" w14:textId="77777777" w:rsidR="00120C68" w:rsidRPr="00430054" w:rsidRDefault="0091690A">
      <w:pPr>
        <w:spacing w:after="200" w:line="360" w:lineRule="auto"/>
        <w:ind w:firstLine="284"/>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The analysis of the results was carried out in an integrated manner, seeking to identify patterns, relationships and trends between the indicators, as well as to understand the </w:t>
      </w:r>
      <w:r w:rsidRPr="00430054">
        <w:rPr>
          <w:rFonts w:ascii="Times New Roman" w:eastAsia="Times New Roman" w:hAnsi="Times New Roman" w:cs="Times New Roman"/>
          <w:sz w:val="24"/>
          <w:szCs w:val="24"/>
          <w:lang w:val="en-US"/>
        </w:rPr>
        <w:lastRenderedPageBreak/>
        <w:t>interactions between Artificial Intelligence, Intellectual Property, data governance and institutional dimensions. This stage articulates empirical evidence and theoretical interpretation, allowing an in-depth understanding of the factors that influence the development of smart cities (KITCHIN, 2014; OECD, 2019).</w:t>
      </w:r>
    </w:p>
    <w:p w14:paraId="6BB9950A" w14:textId="77777777" w:rsidR="00120C68" w:rsidRPr="00430054" w:rsidRDefault="0091690A">
      <w:pPr>
        <w:spacing w:after="200" w:line="360" w:lineRule="auto"/>
        <w:ind w:firstLine="284"/>
        <w:jc w:val="both"/>
        <w:rPr>
          <w:rFonts w:ascii="Times New Roman" w:eastAsia="Times New Roman" w:hAnsi="Times New Roman" w:cs="Times New Roman"/>
          <w:color w:val="000000" w:themeColor="text1"/>
          <w:sz w:val="24"/>
          <w:szCs w:val="24"/>
          <w:lang w:val="en-US"/>
        </w:rPr>
      </w:pPr>
      <w:r w:rsidRPr="00430054">
        <w:rPr>
          <w:rFonts w:ascii="Times New Roman" w:eastAsia="Times New Roman" w:hAnsi="Times New Roman" w:cs="Times New Roman"/>
          <w:sz w:val="24"/>
          <w:szCs w:val="24"/>
          <w:lang w:val="en-US"/>
        </w:rPr>
        <w:t xml:space="preserve">Finally, the results obtained were used to support the proposition of applied guidelines, aimed at the governance of smart cities guided by data and innovation. This integration between indicators, statistical analysis, and practical propositions reinforces the applied character of the </w:t>
      </w:r>
      <w:r w:rsidRPr="00430054">
        <w:rPr>
          <w:rFonts w:ascii="Times New Roman" w:eastAsia="Times New Roman" w:hAnsi="Times New Roman" w:cs="Times New Roman"/>
          <w:color w:val="000000" w:themeColor="text1"/>
          <w:sz w:val="24"/>
          <w:szCs w:val="24"/>
          <w:lang w:val="en-US"/>
        </w:rPr>
        <w:t>research and its contribution to the formulation of evidence-based public policies, as recommended by international organizations (WORLD BANK, 2021).</w:t>
      </w:r>
    </w:p>
    <w:p w14:paraId="6BB9950B" w14:textId="062275BE" w:rsidR="00120C68" w:rsidRPr="00430054" w:rsidRDefault="0091690A">
      <w:pPr>
        <w:spacing w:before="280" w:after="280" w:line="240" w:lineRule="auto"/>
        <w:rPr>
          <w:rFonts w:ascii="Times New Roman" w:eastAsia="Times New Roman" w:hAnsi="Times New Roman" w:cs="Times New Roman"/>
          <w:b/>
          <w:bCs/>
          <w:color w:val="000000" w:themeColor="text1"/>
          <w:sz w:val="24"/>
          <w:szCs w:val="24"/>
          <w:lang w:val="en-US"/>
        </w:rPr>
      </w:pPr>
      <w:r w:rsidRPr="00430054">
        <w:rPr>
          <w:rFonts w:ascii="Times New Roman" w:eastAsia="Times New Roman" w:hAnsi="Times New Roman" w:cs="Times New Roman"/>
          <w:b/>
          <w:bCs/>
          <w:color w:val="000000" w:themeColor="text1"/>
          <w:sz w:val="24"/>
          <w:szCs w:val="24"/>
          <w:lang w:val="en-US"/>
        </w:rPr>
        <w:t xml:space="preserve">RESULTS </w:t>
      </w:r>
    </w:p>
    <w:p w14:paraId="6BB9950C" w14:textId="77777777" w:rsidR="00120C68" w:rsidRPr="00430054" w:rsidRDefault="0091690A">
      <w:pPr>
        <w:spacing w:after="200" w:line="360" w:lineRule="auto"/>
        <w:ind w:firstLine="284"/>
        <w:jc w:val="both"/>
        <w:rPr>
          <w:rFonts w:ascii="Times New Roman" w:eastAsia="Times New Roman" w:hAnsi="Times New Roman" w:cs="Times New Roman"/>
          <w:color w:val="0000FF"/>
          <w:sz w:val="24"/>
          <w:szCs w:val="24"/>
          <w:lang w:val="en-US"/>
        </w:rPr>
      </w:pPr>
      <w:r w:rsidRPr="00430054">
        <w:rPr>
          <w:rFonts w:ascii="Times New Roman" w:eastAsia="Times New Roman" w:hAnsi="Times New Roman" w:cs="Times New Roman"/>
          <w:color w:val="000000" w:themeColor="text1"/>
          <w:sz w:val="24"/>
          <w:szCs w:val="24"/>
          <w:lang w:val="en-US"/>
        </w:rPr>
        <w:t xml:space="preserve">The results presented in this chapter are structured based on an integrated set of indicators, organized into different analytical axes that reflect the technological, economic, institutional and social dimensions of smart cities. Among them, the most important indicators stand out, responsible for structuring the model and guiding the interpretation of empirical findings. These indicators </w:t>
      </w:r>
      <w:r w:rsidRPr="00430054">
        <w:rPr>
          <w:rFonts w:ascii="Times New Roman" w:eastAsia="Times New Roman" w:hAnsi="Times New Roman" w:cs="Times New Roman"/>
          <w:sz w:val="24"/>
          <w:szCs w:val="24"/>
          <w:highlight w:val="white"/>
          <w:lang w:val="en-US"/>
        </w:rPr>
        <w:t>allow not only the isolated analysis of variables, but also the systemic understanding of the relationships between Artificial Intelligence, Intellectual Property, data governance and social trust, and are later integrated through the Sociotechnical Maturity Index (IMSU), which synthesizes the level of development of the smart cities analyzed.</w:t>
      </w:r>
    </w:p>
    <w:tbl>
      <w:tblPr>
        <w:tblStyle w:val="a"/>
        <w:tblW w:w="11483" w:type="dxa"/>
        <w:tblInd w:w="-1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1276"/>
        <w:gridCol w:w="1135"/>
        <w:gridCol w:w="1417"/>
        <w:gridCol w:w="1418"/>
        <w:gridCol w:w="1559"/>
        <w:gridCol w:w="992"/>
        <w:gridCol w:w="1418"/>
        <w:gridCol w:w="1417"/>
        <w:gridCol w:w="851"/>
      </w:tblGrid>
      <w:tr w:rsidR="00120C68" w14:paraId="6BB99516" w14:textId="77777777" w:rsidTr="006D15F7">
        <w:trPr>
          <w:trHeight w:val="830"/>
        </w:trPr>
        <w:tc>
          <w:tcPr>
            <w:tcW w:w="1276" w:type="dxa"/>
            <w:tcMar>
              <w:top w:w="100" w:type="dxa"/>
              <w:left w:w="100" w:type="dxa"/>
              <w:bottom w:w="100" w:type="dxa"/>
              <w:right w:w="100" w:type="dxa"/>
            </w:tcMar>
          </w:tcPr>
          <w:p w14:paraId="6BB9950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b/>
                <w:bCs/>
                <w:color w:val="000000" w:themeColor="text1"/>
                <w:sz w:val="18"/>
                <w:szCs w:val="18"/>
              </w:rPr>
              <w:t>Axle</w:t>
            </w:r>
          </w:p>
        </w:tc>
        <w:tc>
          <w:tcPr>
            <w:tcW w:w="1135" w:type="dxa"/>
            <w:tcMar>
              <w:top w:w="100" w:type="dxa"/>
              <w:left w:w="100" w:type="dxa"/>
              <w:bottom w:w="100" w:type="dxa"/>
              <w:right w:w="100" w:type="dxa"/>
            </w:tcMar>
          </w:tcPr>
          <w:p w14:paraId="6BB9950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b/>
                <w:bCs/>
                <w:color w:val="000000" w:themeColor="text1"/>
                <w:sz w:val="18"/>
                <w:szCs w:val="18"/>
              </w:rPr>
              <w:t>Table of Contents</w:t>
            </w:r>
          </w:p>
        </w:tc>
        <w:tc>
          <w:tcPr>
            <w:tcW w:w="1417" w:type="dxa"/>
            <w:tcMar>
              <w:top w:w="100" w:type="dxa"/>
              <w:left w:w="100" w:type="dxa"/>
              <w:bottom w:w="100" w:type="dxa"/>
              <w:right w:w="100" w:type="dxa"/>
            </w:tcMar>
          </w:tcPr>
          <w:p w14:paraId="6BB9950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b/>
                <w:bCs/>
                <w:color w:val="000000" w:themeColor="text1"/>
                <w:sz w:val="18"/>
                <w:szCs w:val="18"/>
              </w:rPr>
              <w:t>Explanation</w:t>
            </w:r>
          </w:p>
        </w:tc>
        <w:tc>
          <w:tcPr>
            <w:tcW w:w="1418" w:type="dxa"/>
            <w:tcMar>
              <w:top w:w="100" w:type="dxa"/>
              <w:left w:w="100" w:type="dxa"/>
              <w:bottom w:w="100" w:type="dxa"/>
              <w:right w:w="100" w:type="dxa"/>
            </w:tcMar>
          </w:tcPr>
          <w:p w14:paraId="6BB9951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b/>
                <w:bCs/>
                <w:color w:val="000000" w:themeColor="text1"/>
                <w:sz w:val="18"/>
                <w:szCs w:val="18"/>
              </w:rPr>
              <w:t>Justification</w:t>
            </w:r>
          </w:p>
        </w:tc>
        <w:tc>
          <w:tcPr>
            <w:tcW w:w="1559" w:type="dxa"/>
            <w:tcMar>
              <w:top w:w="100" w:type="dxa"/>
              <w:left w:w="100" w:type="dxa"/>
              <w:bottom w:w="100" w:type="dxa"/>
              <w:right w:w="100" w:type="dxa"/>
            </w:tcMar>
          </w:tcPr>
          <w:p w14:paraId="6BB9951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b/>
                <w:bCs/>
                <w:color w:val="000000" w:themeColor="text1"/>
                <w:sz w:val="18"/>
                <w:szCs w:val="18"/>
              </w:rPr>
              <w:t>Reference (author-date)</w:t>
            </w:r>
          </w:p>
        </w:tc>
        <w:tc>
          <w:tcPr>
            <w:tcW w:w="992" w:type="dxa"/>
            <w:tcMar>
              <w:top w:w="100" w:type="dxa"/>
              <w:left w:w="100" w:type="dxa"/>
              <w:bottom w:w="100" w:type="dxa"/>
              <w:right w:w="100" w:type="dxa"/>
            </w:tcMar>
          </w:tcPr>
          <w:p w14:paraId="6BB9951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b/>
                <w:bCs/>
                <w:color w:val="000000" w:themeColor="text1"/>
                <w:sz w:val="18"/>
                <w:szCs w:val="18"/>
              </w:rPr>
              <w:t>Resources</w:t>
            </w:r>
          </w:p>
        </w:tc>
        <w:tc>
          <w:tcPr>
            <w:tcW w:w="1418" w:type="dxa"/>
            <w:tcMar>
              <w:top w:w="100" w:type="dxa"/>
              <w:left w:w="100" w:type="dxa"/>
              <w:bottom w:w="100" w:type="dxa"/>
              <w:right w:w="100" w:type="dxa"/>
            </w:tcMar>
          </w:tcPr>
          <w:p w14:paraId="6BB9951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b/>
                <w:bCs/>
                <w:color w:val="000000" w:themeColor="text1"/>
                <w:sz w:val="18"/>
                <w:szCs w:val="18"/>
              </w:rPr>
              <w:t>Stakeholders</w:t>
            </w:r>
          </w:p>
        </w:tc>
        <w:tc>
          <w:tcPr>
            <w:tcW w:w="1417" w:type="dxa"/>
            <w:tcMar>
              <w:top w:w="100" w:type="dxa"/>
              <w:left w:w="100" w:type="dxa"/>
              <w:bottom w:w="100" w:type="dxa"/>
              <w:right w:w="100" w:type="dxa"/>
            </w:tcMar>
          </w:tcPr>
          <w:p w14:paraId="6BB9951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b/>
                <w:bCs/>
                <w:color w:val="000000" w:themeColor="text1"/>
                <w:sz w:val="18"/>
                <w:szCs w:val="18"/>
              </w:rPr>
              <w:t>Consequences</w:t>
            </w:r>
          </w:p>
        </w:tc>
        <w:tc>
          <w:tcPr>
            <w:tcW w:w="851" w:type="dxa"/>
            <w:tcMar>
              <w:top w:w="100" w:type="dxa"/>
              <w:left w:w="100" w:type="dxa"/>
              <w:bottom w:w="100" w:type="dxa"/>
              <w:right w:w="100" w:type="dxa"/>
            </w:tcMar>
          </w:tcPr>
          <w:p w14:paraId="6BB9951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b/>
                <w:bCs/>
                <w:color w:val="000000" w:themeColor="text1"/>
                <w:sz w:val="18"/>
                <w:szCs w:val="18"/>
              </w:rPr>
              <w:t>Weight</w:t>
            </w:r>
          </w:p>
        </w:tc>
      </w:tr>
      <w:tr w:rsidR="00120C68" w14:paraId="6BB99520" w14:textId="77777777" w:rsidTr="006D15F7">
        <w:trPr>
          <w:trHeight w:val="830"/>
        </w:trPr>
        <w:tc>
          <w:tcPr>
            <w:tcW w:w="1276" w:type="dxa"/>
            <w:tcMar>
              <w:top w:w="100" w:type="dxa"/>
              <w:left w:w="100" w:type="dxa"/>
              <w:bottom w:w="100" w:type="dxa"/>
              <w:right w:w="100" w:type="dxa"/>
            </w:tcMar>
          </w:tcPr>
          <w:p w14:paraId="6BB9951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w:t>
            </w:r>
          </w:p>
        </w:tc>
        <w:tc>
          <w:tcPr>
            <w:tcW w:w="1135" w:type="dxa"/>
            <w:tcMar>
              <w:top w:w="100" w:type="dxa"/>
              <w:left w:w="100" w:type="dxa"/>
              <w:bottom w:w="100" w:type="dxa"/>
              <w:right w:w="100" w:type="dxa"/>
            </w:tcMar>
          </w:tcPr>
          <w:p w14:paraId="6BB9951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IMPIOUS</w:t>
            </w:r>
          </w:p>
        </w:tc>
        <w:tc>
          <w:tcPr>
            <w:tcW w:w="1417" w:type="dxa"/>
            <w:tcMar>
              <w:top w:w="100" w:type="dxa"/>
              <w:left w:w="100" w:type="dxa"/>
              <w:bottom w:w="100" w:type="dxa"/>
              <w:right w:w="100" w:type="dxa"/>
            </w:tcMar>
          </w:tcPr>
          <w:p w14:paraId="6BB9951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 maturity</w:t>
            </w:r>
          </w:p>
        </w:tc>
        <w:tc>
          <w:tcPr>
            <w:tcW w:w="1418" w:type="dxa"/>
            <w:tcMar>
              <w:top w:w="100" w:type="dxa"/>
              <w:left w:w="100" w:type="dxa"/>
              <w:bottom w:w="100" w:type="dxa"/>
              <w:right w:w="100" w:type="dxa"/>
            </w:tcMar>
          </w:tcPr>
          <w:p w14:paraId="6BB9951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Structuring AI</w:t>
            </w:r>
          </w:p>
        </w:tc>
        <w:tc>
          <w:tcPr>
            <w:tcW w:w="1559" w:type="dxa"/>
            <w:tcMar>
              <w:top w:w="100" w:type="dxa"/>
              <w:left w:w="100" w:type="dxa"/>
              <w:bottom w:w="100" w:type="dxa"/>
              <w:right w:w="100" w:type="dxa"/>
            </w:tcMar>
          </w:tcPr>
          <w:p w14:paraId="6BB9951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2019)</w:t>
            </w:r>
          </w:p>
        </w:tc>
        <w:tc>
          <w:tcPr>
            <w:tcW w:w="992" w:type="dxa"/>
            <w:tcMar>
              <w:top w:w="100" w:type="dxa"/>
              <w:left w:w="100" w:type="dxa"/>
              <w:bottom w:w="100" w:type="dxa"/>
              <w:right w:w="100" w:type="dxa"/>
            </w:tcMar>
          </w:tcPr>
          <w:p w14:paraId="6BB9951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Digital Infrastructure</w:t>
            </w:r>
          </w:p>
        </w:tc>
        <w:tc>
          <w:tcPr>
            <w:tcW w:w="1418" w:type="dxa"/>
            <w:tcMar>
              <w:top w:w="100" w:type="dxa"/>
              <w:left w:w="100" w:type="dxa"/>
              <w:bottom w:w="100" w:type="dxa"/>
              <w:right w:w="100" w:type="dxa"/>
            </w:tcMar>
          </w:tcPr>
          <w:p w14:paraId="6BB9951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51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Efficiency</w:t>
            </w:r>
          </w:p>
        </w:tc>
        <w:tc>
          <w:tcPr>
            <w:tcW w:w="851" w:type="dxa"/>
            <w:tcMar>
              <w:top w:w="100" w:type="dxa"/>
              <w:left w:w="100" w:type="dxa"/>
              <w:bottom w:w="100" w:type="dxa"/>
              <w:right w:w="100" w:type="dxa"/>
            </w:tcMar>
          </w:tcPr>
          <w:p w14:paraId="6BB9951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2A" w14:textId="77777777" w:rsidTr="006D15F7">
        <w:trPr>
          <w:trHeight w:val="830"/>
        </w:trPr>
        <w:tc>
          <w:tcPr>
            <w:tcW w:w="1276" w:type="dxa"/>
            <w:tcMar>
              <w:top w:w="100" w:type="dxa"/>
              <w:left w:w="100" w:type="dxa"/>
              <w:bottom w:w="100" w:type="dxa"/>
              <w:right w:w="100" w:type="dxa"/>
            </w:tcMar>
          </w:tcPr>
          <w:p w14:paraId="6BB9952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w:t>
            </w:r>
          </w:p>
        </w:tc>
        <w:tc>
          <w:tcPr>
            <w:tcW w:w="1135" w:type="dxa"/>
            <w:tcMar>
              <w:top w:w="100" w:type="dxa"/>
              <w:left w:w="100" w:type="dxa"/>
              <w:bottom w:w="100" w:type="dxa"/>
              <w:right w:w="100" w:type="dxa"/>
            </w:tcMar>
          </w:tcPr>
          <w:p w14:paraId="6BB9952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IAE</w:t>
            </w:r>
          </w:p>
        </w:tc>
        <w:tc>
          <w:tcPr>
            <w:tcW w:w="1417" w:type="dxa"/>
            <w:tcMar>
              <w:top w:w="100" w:type="dxa"/>
              <w:left w:w="100" w:type="dxa"/>
              <w:bottom w:w="100" w:type="dxa"/>
              <w:right w:w="100" w:type="dxa"/>
            </w:tcMar>
          </w:tcPr>
          <w:p w14:paraId="6BB9952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Strategic alignment</w:t>
            </w:r>
          </w:p>
        </w:tc>
        <w:tc>
          <w:tcPr>
            <w:tcW w:w="1418" w:type="dxa"/>
            <w:tcMar>
              <w:top w:w="100" w:type="dxa"/>
              <w:left w:w="100" w:type="dxa"/>
              <w:bottom w:w="100" w:type="dxa"/>
              <w:right w:w="100" w:type="dxa"/>
            </w:tcMar>
          </w:tcPr>
          <w:p w14:paraId="6BB9952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Planning</w:t>
            </w:r>
          </w:p>
        </w:tc>
        <w:tc>
          <w:tcPr>
            <w:tcW w:w="1559" w:type="dxa"/>
            <w:tcMar>
              <w:top w:w="100" w:type="dxa"/>
              <w:left w:w="100" w:type="dxa"/>
              <w:bottom w:w="100" w:type="dxa"/>
              <w:right w:w="100" w:type="dxa"/>
            </w:tcMar>
          </w:tcPr>
          <w:p w14:paraId="6BB9952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2020)</w:t>
            </w:r>
          </w:p>
        </w:tc>
        <w:tc>
          <w:tcPr>
            <w:tcW w:w="992" w:type="dxa"/>
            <w:tcMar>
              <w:top w:w="100" w:type="dxa"/>
              <w:left w:w="100" w:type="dxa"/>
              <w:bottom w:w="100" w:type="dxa"/>
              <w:right w:w="100" w:type="dxa"/>
            </w:tcMar>
          </w:tcPr>
          <w:p w14:paraId="6BB9952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Survey</w:t>
            </w:r>
          </w:p>
        </w:tc>
        <w:tc>
          <w:tcPr>
            <w:tcW w:w="1418" w:type="dxa"/>
            <w:tcMar>
              <w:top w:w="100" w:type="dxa"/>
              <w:left w:w="100" w:type="dxa"/>
              <w:bottom w:w="100" w:type="dxa"/>
              <w:right w:w="100" w:type="dxa"/>
            </w:tcMar>
          </w:tcPr>
          <w:p w14:paraId="6BB9952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Managers</w:t>
            </w:r>
          </w:p>
        </w:tc>
        <w:tc>
          <w:tcPr>
            <w:tcW w:w="1417" w:type="dxa"/>
            <w:tcMar>
              <w:top w:w="100" w:type="dxa"/>
              <w:left w:w="100" w:type="dxa"/>
              <w:bottom w:w="100" w:type="dxa"/>
              <w:right w:w="100" w:type="dxa"/>
            </w:tcMar>
          </w:tcPr>
          <w:p w14:paraId="6BB9952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Coherence</w:t>
            </w:r>
          </w:p>
        </w:tc>
        <w:tc>
          <w:tcPr>
            <w:tcW w:w="851" w:type="dxa"/>
            <w:tcMar>
              <w:top w:w="100" w:type="dxa"/>
              <w:left w:w="100" w:type="dxa"/>
              <w:bottom w:w="100" w:type="dxa"/>
              <w:right w:w="100" w:type="dxa"/>
            </w:tcMar>
          </w:tcPr>
          <w:p w14:paraId="6BB9952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34" w14:textId="77777777" w:rsidTr="006D15F7">
        <w:trPr>
          <w:trHeight w:val="830"/>
        </w:trPr>
        <w:tc>
          <w:tcPr>
            <w:tcW w:w="1276" w:type="dxa"/>
            <w:tcMar>
              <w:top w:w="100" w:type="dxa"/>
              <w:left w:w="100" w:type="dxa"/>
              <w:bottom w:w="100" w:type="dxa"/>
              <w:right w:w="100" w:type="dxa"/>
            </w:tcMar>
          </w:tcPr>
          <w:p w14:paraId="6BB9952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w:t>
            </w:r>
          </w:p>
        </w:tc>
        <w:tc>
          <w:tcPr>
            <w:tcW w:w="1135" w:type="dxa"/>
            <w:tcMar>
              <w:top w:w="100" w:type="dxa"/>
              <w:left w:w="100" w:type="dxa"/>
              <w:bottom w:w="100" w:type="dxa"/>
              <w:right w:w="100" w:type="dxa"/>
            </w:tcMar>
          </w:tcPr>
          <w:p w14:paraId="6BB9952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IIS-IA</w:t>
            </w:r>
          </w:p>
        </w:tc>
        <w:tc>
          <w:tcPr>
            <w:tcW w:w="1417" w:type="dxa"/>
            <w:tcMar>
              <w:top w:w="100" w:type="dxa"/>
              <w:left w:w="100" w:type="dxa"/>
              <w:bottom w:w="100" w:type="dxa"/>
              <w:right w:w="100" w:type="dxa"/>
            </w:tcMar>
          </w:tcPr>
          <w:p w14:paraId="6BB9952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Systemic integration</w:t>
            </w:r>
          </w:p>
        </w:tc>
        <w:tc>
          <w:tcPr>
            <w:tcW w:w="1418" w:type="dxa"/>
            <w:tcMar>
              <w:top w:w="100" w:type="dxa"/>
              <w:left w:w="100" w:type="dxa"/>
              <w:bottom w:w="100" w:type="dxa"/>
              <w:right w:w="100" w:type="dxa"/>
            </w:tcMar>
          </w:tcPr>
          <w:p w14:paraId="6BB9952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Ecosystem</w:t>
            </w:r>
          </w:p>
        </w:tc>
        <w:tc>
          <w:tcPr>
            <w:tcW w:w="1559" w:type="dxa"/>
            <w:tcMar>
              <w:top w:w="100" w:type="dxa"/>
              <w:left w:w="100" w:type="dxa"/>
              <w:bottom w:w="100" w:type="dxa"/>
              <w:right w:w="100" w:type="dxa"/>
            </w:tcMar>
          </w:tcPr>
          <w:p w14:paraId="6BB9952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(CARAGLIU et al., 2011)</w:t>
            </w:r>
          </w:p>
        </w:tc>
        <w:tc>
          <w:tcPr>
            <w:tcW w:w="992" w:type="dxa"/>
            <w:tcMar>
              <w:top w:w="100" w:type="dxa"/>
              <w:left w:w="100" w:type="dxa"/>
              <w:bottom w:w="100" w:type="dxa"/>
              <w:right w:w="100" w:type="dxa"/>
            </w:tcMar>
          </w:tcPr>
          <w:p w14:paraId="6BB9953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53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Gov/companies</w:t>
            </w:r>
          </w:p>
        </w:tc>
        <w:tc>
          <w:tcPr>
            <w:tcW w:w="1417" w:type="dxa"/>
            <w:tcMar>
              <w:top w:w="100" w:type="dxa"/>
              <w:left w:w="100" w:type="dxa"/>
              <w:bottom w:w="100" w:type="dxa"/>
              <w:right w:w="100" w:type="dxa"/>
            </w:tcMar>
          </w:tcPr>
          <w:p w14:paraId="6BB9953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Synergy</w:t>
            </w:r>
          </w:p>
        </w:tc>
        <w:tc>
          <w:tcPr>
            <w:tcW w:w="851" w:type="dxa"/>
            <w:tcMar>
              <w:top w:w="100" w:type="dxa"/>
              <w:left w:w="100" w:type="dxa"/>
              <w:bottom w:w="100" w:type="dxa"/>
              <w:right w:w="100" w:type="dxa"/>
            </w:tcMar>
          </w:tcPr>
          <w:p w14:paraId="6BB9953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3E" w14:textId="77777777" w:rsidTr="006D15F7">
        <w:trPr>
          <w:trHeight w:val="830"/>
        </w:trPr>
        <w:tc>
          <w:tcPr>
            <w:tcW w:w="1276" w:type="dxa"/>
            <w:tcMar>
              <w:top w:w="100" w:type="dxa"/>
              <w:left w:w="100" w:type="dxa"/>
              <w:bottom w:w="100" w:type="dxa"/>
              <w:right w:w="100" w:type="dxa"/>
            </w:tcMar>
          </w:tcPr>
          <w:p w14:paraId="6BB9953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w:t>
            </w:r>
          </w:p>
        </w:tc>
        <w:tc>
          <w:tcPr>
            <w:tcW w:w="1135" w:type="dxa"/>
            <w:tcMar>
              <w:top w:w="100" w:type="dxa"/>
              <w:left w:w="100" w:type="dxa"/>
              <w:bottom w:w="100" w:type="dxa"/>
              <w:right w:w="100" w:type="dxa"/>
            </w:tcMar>
          </w:tcPr>
          <w:p w14:paraId="6BB9953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IIR</w:t>
            </w:r>
          </w:p>
        </w:tc>
        <w:tc>
          <w:tcPr>
            <w:tcW w:w="1417" w:type="dxa"/>
            <w:tcMar>
              <w:top w:w="100" w:type="dxa"/>
              <w:left w:w="100" w:type="dxa"/>
              <w:bottom w:w="100" w:type="dxa"/>
              <w:right w:w="100" w:type="dxa"/>
            </w:tcMar>
          </w:tcPr>
          <w:p w14:paraId="6BB9953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Relational intensity</w:t>
            </w:r>
          </w:p>
        </w:tc>
        <w:tc>
          <w:tcPr>
            <w:tcW w:w="1418" w:type="dxa"/>
            <w:tcMar>
              <w:top w:w="100" w:type="dxa"/>
              <w:left w:w="100" w:type="dxa"/>
              <w:bottom w:w="100" w:type="dxa"/>
              <w:right w:w="100" w:type="dxa"/>
            </w:tcMar>
          </w:tcPr>
          <w:p w14:paraId="6BB9953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Correlation</w:t>
            </w:r>
          </w:p>
        </w:tc>
        <w:tc>
          <w:tcPr>
            <w:tcW w:w="1559" w:type="dxa"/>
            <w:tcMar>
              <w:top w:w="100" w:type="dxa"/>
              <w:left w:w="100" w:type="dxa"/>
              <w:bottom w:w="100" w:type="dxa"/>
              <w:right w:w="100" w:type="dxa"/>
            </w:tcMar>
          </w:tcPr>
          <w:p w14:paraId="6BB9953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(HAIR et al., 2010)</w:t>
            </w:r>
          </w:p>
        </w:tc>
        <w:tc>
          <w:tcPr>
            <w:tcW w:w="992" w:type="dxa"/>
            <w:tcMar>
              <w:top w:w="100" w:type="dxa"/>
              <w:left w:w="100" w:type="dxa"/>
              <w:bottom w:w="100" w:type="dxa"/>
              <w:right w:w="100" w:type="dxa"/>
            </w:tcMar>
          </w:tcPr>
          <w:p w14:paraId="6BB9953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Statistical basis</w:t>
            </w:r>
          </w:p>
        </w:tc>
        <w:tc>
          <w:tcPr>
            <w:tcW w:w="1418" w:type="dxa"/>
            <w:tcMar>
              <w:top w:w="100" w:type="dxa"/>
              <w:left w:w="100" w:type="dxa"/>
              <w:bottom w:w="100" w:type="dxa"/>
              <w:right w:w="100" w:type="dxa"/>
            </w:tcMar>
          </w:tcPr>
          <w:p w14:paraId="6BB9953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Research</w:t>
            </w:r>
          </w:p>
        </w:tc>
        <w:tc>
          <w:tcPr>
            <w:tcW w:w="1417" w:type="dxa"/>
            <w:tcMar>
              <w:top w:w="100" w:type="dxa"/>
              <w:left w:w="100" w:type="dxa"/>
              <w:bottom w:w="100" w:type="dxa"/>
              <w:right w:w="100" w:type="dxa"/>
            </w:tcMar>
          </w:tcPr>
          <w:p w14:paraId="6BB9953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Suggestion</w:t>
            </w:r>
          </w:p>
        </w:tc>
        <w:tc>
          <w:tcPr>
            <w:tcW w:w="851" w:type="dxa"/>
            <w:tcMar>
              <w:top w:w="100" w:type="dxa"/>
              <w:left w:w="100" w:type="dxa"/>
              <w:bottom w:w="100" w:type="dxa"/>
              <w:right w:w="100" w:type="dxa"/>
            </w:tcMar>
          </w:tcPr>
          <w:p w14:paraId="6BB9953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48" w14:textId="77777777" w:rsidTr="006D15F7">
        <w:trPr>
          <w:trHeight w:val="830"/>
        </w:trPr>
        <w:tc>
          <w:tcPr>
            <w:tcW w:w="1276" w:type="dxa"/>
            <w:tcMar>
              <w:top w:w="100" w:type="dxa"/>
              <w:left w:w="100" w:type="dxa"/>
              <w:bottom w:w="100" w:type="dxa"/>
              <w:right w:w="100" w:type="dxa"/>
            </w:tcMar>
          </w:tcPr>
          <w:p w14:paraId="6BB9953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lastRenderedPageBreak/>
              <w:t>AI</w:t>
            </w:r>
          </w:p>
        </w:tc>
        <w:tc>
          <w:tcPr>
            <w:tcW w:w="1135" w:type="dxa"/>
            <w:tcMar>
              <w:top w:w="100" w:type="dxa"/>
              <w:left w:w="100" w:type="dxa"/>
              <w:bottom w:w="100" w:type="dxa"/>
              <w:right w:w="100" w:type="dxa"/>
            </w:tcMar>
          </w:tcPr>
          <w:p w14:paraId="6BB9954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ICA</w:t>
            </w:r>
          </w:p>
        </w:tc>
        <w:tc>
          <w:tcPr>
            <w:tcW w:w="1417" w:type="dxa"/>
            <w:tcMar>
              <w:top w:w="100" w:type="dxa"/>
              <w:left w:w="100" w:type="dxa"/>
              <w:bottom w:w="100" w:type="dxa"/>
              <w:right w:w="100" w:type="dxa"/>
            </w:tcMar>
          </w:tcPr>
          <w:p w14:paraId="6BB9954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 Reliability</w:t>
            </w:r>
          </w:p>
        </w:tc>
        <w:tc>
          <w:tcPr>
            <w:tcW w:w="1418" w:type="dxa"/>
            <w:tcMar>
              <w:top w:w="100" w:type="dxa"/>
              <w:left w:w="100" w:type="dxa"/>
              <w:bottom w:w="100" w:type="dxa"/>
              <w:right w:w="100" w:type="dxa"/>
            </w:tcMar>
          </w:tcPr>
          <w:p w14:paraId="6BB9954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Ethics</w:t>
            </w:r>
          </w:p>
        </w:tc>
        <w:tc>
          <w:tcPr>
            <w:tcW w:w="1559" w:type="dxa"/>
            <w:tcMar>
              <w:top w:w="100" w:type="dxa"/>
              <w:left w:w="100" w:type="dxa"/>
              <w:bottom w:w="100" w:type="dxa"/>
              <w:right w:w="100" w:type="dxa"/>
            </w:tcMar>
          </w:tcPr>
          <w:p w14:paraId="6BB9954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(FLORIDI et al., 2018)</w:t>
            </w:r>
          </w:p>
        </w:tc>
        <w:tc>
          <w:tcPr>
            <w:tcW w:w="992" w:type="dxa"/>
            <w:tcMar>
              <w:top w:w="100" w:type="dxa"/>
              <w:left w:w="100" w:type="dxa"/>
              <w:bottom w:w="100" w:type="dxa"/>
              <w:right w:w="100" w:type="dxa"/>
            </w:tcMar>
          </w:tcPr>
          <w:p w14:paraId="6BB9954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Auditable AI</w:t>
            </w:r>
          </w:p>
        </w:tc>
        <w:tc>
          <w:tcPr>
            <w:tcW w:w="1418" w:type="dxa"/>
            <w:tcMar>
              <w:top w:w="100" w:type="dxa"/>
              <w:left w:w="100" w:type="dxa"/>
              <w:bottom w:w="100" w:type="dxa"/>
              <w:right w:w="100" w:type="dxa"/>
            </w:tcMar>
          </w:tcPr>
          <w:p w14:paraId="6BB9954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54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Trust</w:t>
            </w:r>
          </w:p>
        </w:tc>
        <w:tc>
          <w:tcPr>
            <w:tcW w:w="851" w:type="dxa"/>
            <w:tcMar>
              <w:top w:w="100" w:type="dxa"/>
              <w:left w:w="100" w:type="dxa"/>
              <w:bottom w:w="100" w:type="dxa"/>
              <w:right w:w="100" w:type="dxa"/>
            </w:tcMar>
          </w:tcPr>
          <w:p w14:paraId="6BB9954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52" w14:textId="77777777" w:rsidTr="006D15F7">
        <w:trPr>
          <w:trHeight w:val="830"/>
        </w:trPr>
        <w:tc>
          <w:tcPr>
            <w:tcW w:w="1276" w:type="dxa"/>
            <w:tcMar>
              <w:top w:w="100" w:type="dxa"/>
              <w:left w:w="100" w:type="dxa"/>
              <w:bottom w:w="100" w:type="dxa"/>
              <w:right w:w="100" w:type="dxa"/>
            </w:tcMar>
          </w:tcPr>
          <w:p w14:paraId="6BB9954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IP</w:t>
            </w:r>
          </w:p>
        </w:tc>
        <w:tc>
          <w:tcPr>
            <w:tcW w:w="1135" w:type="dxa"/>
            <w:tcMar>
              <w:top w:w="100" w:type="dxa"/>
              <w:left w:w="100" w:type="dxa"/>
              <w:bottom w:w="100" w:type="dxa"/>
              <w:right w:w="100" w:type="dxa"/>
            </w:tcMar>
          </w:tcPr>
          <w:p w14:paraId="6BB9954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IGEAI</w:t>
            </w:r>
          </w:p>
        </w:tc>
        <w:tc>
          <w:tcPr>
            <w:tcW w:w="1417" w:type="dxa"/>
            <w:tcMar>
              <w:top w:w="100" w:type="dxa"/>
              <w:left w:w="100" w:type="dxa"/>
              <w:bottom w:w="100" w:type="dxa"/>
              <w:right w:w="100" w:type="dxa"/>
            </w:tcMar>
          </w:tcPr>
          <w:p w14:paraId="6BB9954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Asset management</w:t>
            </w:r>
          </w:p>
        </w:tc>
        <w:tc>
          <w:tcPr>
            <w:tcW w:w="1418" w:type="dxa"/>
            <w:tcMar>
              <w:top w:w="100" w:type="dxa"/>
              <w:left w:w="100" w:type="dxa"/>
              <w:bottom w:w="100" w:type="dxa"/>
              <w:right w:w="100" w:type="dxa"/>
            </w:tcMar>
          </w:tcPr>
          <w:p w14:paraId="6BB9954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Strategic IP</w:t>
            </w:r>
          </w:p>
        </w:tc>
        <w:tc>
          <w:tcPr>
            <w:tcW w:w="1559" w:type="dxa"/>
            <w:tcMar>
              <w:top w:w="100" w:type="dxa"/>
              <w:left w:w="100" w:type="dxa"/>
              <w:bottom w:w="100" w:type="dxa"/>
              <w:right w:w="100" w:type="dxa"/>
            </w:tcMar>
          </w:tcPr>
          <w:p w14:paraId="6BB9954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(WIPO, 2023)</w:t>
            </w:r>
          </w:p>
        </w:tc>
        <w:tc>
          <w:tcPr>
            <w:tcW w:w="992" w:type="dxa"/>
            <w:tcMar>
              <w:top w:w="100" w:type="dxa"/>
              <w:left w:w="100" w:type="dxa"/>
              <w:bottom w:w="100" w:type="dxa"/>
              <w:right w:w="100" w:type="dxa"/>
            </w:tcMar>
          </w:tcPr>
          <w:p w14:paraId="6BB9954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IP Data</w:t>
            </w:r>
          </w:p>
        </w:tc>
        <w:tc>
          <w:tcPr>
            <w:tcW w:w="1418" w:type="dxa"/>
            <w:tcMar>
              <w:top w:w="100" w:type="dxa"/>
              <w:left w:w="100" w:type="dxa"/>
              <w:bottom w:w="100" w:type="dxa"/>
              <w:right w:w="100" w:type="dxa"/>
            </w:tcMar>
          </w:tcPr>
          <w:p w14:paraId="6BB9954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ICTs</w:t>
            </w:r>
          </w:p>
        </w:tc>
        <w:tc>
          <w:tcPr>
            <w:tcW w:w="1417" w:type="dxa"/>
            <w:tcMar>
              <w:top w:w="100" w:type="dxa"/>
              <w:left w:w="100" w:type="dxa"/>
              <w:bottom w:w="100" w:type="dxa"/>
              <w:right w:w="100" w:type="dxa"/>
            </w:tcMar>
          </w:tcPr>
          <w:p w14:paraId="6BB9955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Innovation</w:t>
            </w:r>
          </w:p>
        </w:tc>
        <w:tc>
          <w:tcPr>
            <w:tcW w:w="851" w:type="dxa"/>
            <w:tcMar>
              <w:top w:w="100" w:type="dxa"/>
              <w:left w:w="100" w:type="dxa"/>
              <w:bottom w:w="100" w:type="dxa"/>
              <w:right w:w="100" w:type="dxa"/>
            </w:tcMar>
          </w:tcPr>
          <w:p w14:paraId="6BB9955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0,25</w:t>
            </w:r>
          </w:p>
        </w:tc>
      </w:tr>
      <w:tr w:rsidR="00120C68" w14:paraId="6BB9955C" w14:textId="77777777" w:rsidTr="006D15F7">
        <w:trPr>
          <w:trHeight w:val="530"/>
        </w:trPr>
        <w:tc>
          <w:tcPr>
            <w:tcW w:w="1276" w:type="dxa"/>
            <w:tcMar>
              <w:top w:w="100" w:type="dxa"/>
              <w:left w:w="100" w:type="dxa"/>
              <w:bottom w:w="100" w:type="dxa"/>
              <w:right w:w="100" w:type="dxa"/>
            </w:tcMar>
          </w:tcPr>
          <w:p w14:paraId="6BB9955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IP</w:t>
            </w:r>
          </w:p>
        </w:tc>
        <w:tc>
          <w:tcPr>
            <w:tcW w:w="1135" w:type="dxa"/>
            <w:tcMar>
              <w:top w:w="100" w:type="dxa"/>
              <w:left w:w="100" w:type="dxa"/>
              <w:bottom w:w="100" w:type="dxa"/>
              <w:right w:w="100" w:type="dxa"/>
            </w:tcMar>
          </w:tcPr>
          <w:p w14:paraId="6BB9955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IPG-PI</w:t>
            </w:r>
          </w:p>
        </w:tc>
        <w:tc>
          <w:tcPr>
            <w:tcW w:w="1417" w:type="dxa"/>
            <w:tcMar>
              <w:top w:w="100" w:type="dxa"/>
              <w:left w:w="100" w:type="dxa"/>
              <w:bottom w:w="100" w:type="dxa"/>
              <w:right w:w="100" w:type="dxa"/>
            </w:tcMar>
          </w:tcPr>
          <w:p w14:paraId="6BB9955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IP Potential</w:t>
            </w:r>
          </w:p>
        </w:tc>
        <w:tc>
          <w:tcPr>
            <w:tcW w:w="1418" w:type="dxa"/>
            <w:tcMar>
              <w:top w:w="100" w:type="dxa"/>
              <w:left w:w="100" w:type="dxa"/>
              <w:bottom w:w="100" w:type="dxa"/>
              <w:right w:w="100" w:type="dxa"/>
            </w:tcMar>
          </w:tcPr>
          <w:p w14:paraId="6BB9955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 generates assets</w:t>
            </w:r>
          </w:p>
        </w:tc>
        <w:tc>
          <w:tcPr>
            <w:tcW w:w="1559" w:type="dxa"/>
            <w:tcMar>
              <w:top w:w="100" w:type="dxa"/>
              <w:left w:w="100" w:type="dxa"/>
              <w:bottom w:w="100" w:type="dxa"/>
              <w:right w:w="100" w:type="dxa"/>
            </w:tcMar>
          </w:tcPr>
          <w:p w14:paraId="6BB9955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2019)</w:t>
            </w:r>
          </w:p>
        </w:tc>
        <w:tc>
          <w:tcPr>
            <w:tcW w:w="992" w:type="dxa"/>
            <w:tcMar>
              <w:top w:w="100" w:type="dxa"/>
              <w:left w:w="100" w:type="dxa"/>
              <w:bottom w:w="100" w:type="dxa"/>
              <w:right w:w="100" w:type="dxa"/>
            </w:tcMar>
          </w:tcPr>
          <w:p w14:paraId="6BB9955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55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Companies</w:t>
            </w:r>
          </w:p>
        </w:tc>
        <w:tc>
          <w:tcPr>
            <w:tcW w:w="1417" w:type="dxa"/>
            <w:tcMar>
              <w:top w:w="100" w:type="dxa"/>
              <w:left w:w="100" w:type="dxa"/>
              <w:bottom w:w="100" w:type="dxa"/>
              <w:right w:w="100" w:type="dxa"/>
            </w:tcMar>
          </w:tcPr>
          <w:p w14:paraId="6BB9955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Growth</w:t>
            </w:r>
          </w:p>
        </w:tc>
        <w:tc>
          <w:tcPr>
            <w:tcW w:w="851" w:type="dxa"/>
            <w:tcMar>
              <w:top w:w="100" w:type="dxa"/>
              <w:left w:w="100" w:type="dxa"/>
              <w:bottom w:w="100" w:type="dxa"/>
              <w:right w:w="100" w:type="dxa"/>
            </w:tcMar>
          </w:tcPr>
          <w:p w14:paraId="6BB9955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66" w14:textId="77777777" w:rsidTr="006D15F7">
        <w:trPr>
          <w:trHeight w:val="830"/>
        </w:trPr>
        <w:tc>
          <w:tcPr>
            <w:tcW w:w="1276" w:type="dxa"/>
            <w:tcMar>
              <w:top w:w="100" w:type="dxa"/>
              <w:left w:w="100" w:type="dxa"/>
              <w:bottom w:w="100" w:type="dxa"/>
              <w:right w:w="100" w:type="dxa"/>
            </w:tcMar>
          </w:tcPr>
          <w:p w14:paraId="6BB9955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IP</w:t>
            </w:r>
          </w:p>
        </w:tc>
        <w:tc>
          <w:tcPr>
            <w:tcW w:w="1135" w:type="dxa"/>
            <w:tcMar>
              <w:top w:w="100" w:type="dxa"/>
              <w:left w:w="100" w:type="dxa"/>
              <w:bottom w:w="100" w:type="dxa"/>
              <w:right w:w="100" w:type="dxa"/>
            </w:tcMar>
          </w:tcPr>
          <w:p w14:paraId="6BB9955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IIIP</w:t>
            </w:r>
          </w:p>
        </w:tc>
        <w:tc>
          <w:tcPr>
            <w:tcW w:w="1417" w:type="dxa"/>
            <w:tcMar>
              <w:top w:w="100" w:type="dxa"/>
              <w:left w:w="100" w:type="dxa"/>
              <w:bottom w:w="100" w:type="dxa"/>
              <w:right w:w="100" w:type="dxa"/>
            </w:tcMar>
          </w:tcPr>
          <w:p w14:paraId="6BB9955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Innovation intensity</w:t>
            </w:r>
          </w:p>
        </w:tc>
        <w:tc>
          <w:tcPr>
            <w:tcW w:w="1418" w:type="dxa"/>
            <w:tcMar>
              <w:top w:w="100" w:type="dxa"/>
              <w:left w:w="100" w:type="dxa"/>
              <w:bottom w:w="100" w:type="dxa"/>
              <w:right w:w="100" w:type="dxa"/>
            </w:tcMar>
          </w:tcPr>
          <w:p w14:paraId="6BB9956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Economic base</w:t>
            </w:r>
          </w:p>
        </w:tc>
        <w:tc>
          <w:tcPr>
            <w:tcW w:w="1559" w:type="dxa"/>
            <w:tcMar>
              <w:top w:w="100" w:type="dxa"/>
              <w:left w:w="100" w:type="dxa"/>
              <w:bottom w:w="100" w:type="dxa"/>
              <w:right w:w="100" w:type="dxa"/>
            </w:tcMar>
          </w:tcPr>
          <w:p w14:paraId="6BB9956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(SCHUMPETER, 1934)</w:t>
            </w:r>
          </w:p>
        </w:tc>
        <w:tc>
          <w:tcPr>
            <w:tcW w:w="992" w:type="dxa"/>
            <w:tcMar>
              <w:top w:w="100" w:type="dxa"/>
              <w:left w:w="100" w:type="dxa"/>
              <w:bottom w:w="100" w:type="dxa"/>
              <w:right w:w="100" w:type="dxa"/>
            </w:tcMar>
          </w:tcPr>
          <w:p w14:paraId="6BB9956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56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Startups</w:t>
            </w:r>
          </w:p>
        </w:tc>
        <w:tc>
          <w:tcPr>
            <w:tcW w:w="1417" w:type="dxa"/>
            <w:tcMar>
              <w:top w:w="100" w:type="dxa"/>
              <w:left w:w="100" w:type="dxa"/>
              <w:bottom w:w="100" w:type="dxa"/>
              <w:right w:w="100" w:type="dxa"/>
            </w:tcMar>
          </w:tcPr>
          <w:p w14:paraId="6BB9956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Competitiveness</w:t>
            </w:r>
          </w:p>
        </w:tc>
        <w:tc>
          <w:tcPr>
            <w:tcW w:w="851" w:type="dxa"/>
            <w:tcMar>
              <w:top w:w="100" w:type="dxa"/>
              <w:left w:w="100" w:type="dxa"/>
              <w:bottom w:w="100" w:type="dxa"/>
              <w:right w:w="100" w:type="dxa"/>
            </w:tcMar>
          </w:tcPr>
          <w:p w14:paraId="6BB9956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70" w14:textId="77777777" w:rsidTr="006D15F7">
        <w:trPr>
          <w:trHeight w:val="830"/>
        </w:trPr>
        <w:tc>
          <w:tcPr>
            <w:tcW w:w="1276" w:type="dxa"/>
            <w:tcMar>
              <w:top w:w="100" w:type="dxa"/>
              <w:left w:w="100" w:type="dxa"/>
              <w:bottom w:w="100" w:type="dxa"/>
              <w:right w:w="100" w:type="dxa"/>
            </w:tcMar>
          </w:tcPr>
          <w:p w14:paraId="6BB9956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IP</w:t>
            </w:r>
          </w:p>
        </w:tc>
        <w:tc>
          <w:tcPr>
            <w:tcW w:w="1135" w:type="dxa"/>
            <w:tcMar>
              <w:top w:w="100" w:type="dxa"/>
              <w:left w:w="100" w:type="dxa"/>
              <w:bottom w:w="100" w:type="dxa"/>
              <w:right w:w="100" w:type="dxa"/>
            </w:tcMar>
          </w:tcPr>
          <w:p w14:paraId="6BB9956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ICC-IA</w:t>
            </w:r>
          </w:p>
        </w:tc>
        <w:tc>
          <w:tcPr>
            <w:tcW w:w="1417" w:type="dxa"/>
            <w:tcMar>
              <w:top w:w="100" w:type="dxa"/>
              <w:left w:w="100" w:type="dxa"/>
              <w:bottom w:w="100" w:type="dxa"/>
              <w:right w:w="100" w:type="dxa"/>
            </w:tcMar>
          </w:tcPr>
          <w:p w14:paraId="6BB9956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 Protection</w:t>
            </w:r>
          </w:p>
        </w:tc>
        <w:tc>
          <w:tcPr>
            <w:tcW w:w="1418" w:type="dxa"/>
            <w:tcMar>
              <w:top w:w="100" w:type="dxa"/>
              <w:left w:w="100" w:type="dxa"/>
              <w:bottom w:w="100" w:type="dxa"/>
              <w:right w:w="100" w:type="dxa"/>
            </w:tcMar>
          </w:tcPr>
          <w:p w14:paraId="6BB9956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Legal certainty</w:t>
            </w:r>
          </w:p>
        </w:tc>
        <w:tc>
          <w:tcPr>
            <w:tcW w:w="1559" w:type="dxa"/>
            <w:tcMar>
              <w:top w:w="100" w:type="dxa"/>
              <w:left w:w="100" w:type="dxa"/>
              <w:bottom w:w="100" w:type="dxa"/>
              <w:right w:w="100" w:type="dxa"/>
            </w:tcMar>
          </w:tcPr>
          <w:p w14:paraId="6BB9956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(WIPO, 2023)</w:t>
            </w:r>
          </w:p>
        </w:tc>
        <w:tc>
          <w:tcPr>
            <w:tcW w:w="992" w:type="dxa"/>
            <w:tcMar>
              <w:top w:w="100" w:type="dxa"/>
              <w:left w:w="100" w:type="dxa"/>
              <w:bottom w:w="100" w:type="dxa"/>
              <w:right w:w="100" w:type="dxa"/>
            </w:tcMar>
          </w:tcPr>
          <w:p w14:paraId="6BB9956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Records</w:t>
            </w:r>
          </w:p>
        </w:tc>
        <w:tc>
          <w:tcPr>
            <w:tcW w:w="1418" w:type="dxa"/>
            <w:tcMar>
              <w:top w:w="100" w:type="dxa"/>
              <w:left w:w="100" w:type="dxa"/>
              <w:bottom w:w="100" w:type="dxa"/>
              <w:right w:w="100" w:type="dxa"/>
            </w:tcMar>
          </w:tcPr>
          <w:p w14:paraId="6BB9956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Legal</w:t>
            </w:r>
          </w:p>
        </w:tc>
        <w:tc>
          <w:tcPr>
            <w:tcW w:w="1417" w:type="dxa"/>
            <w:tcMar>
              <w:top w:w="100" w:type="dxa"/>
              <w:left w:w="100" w:type="dxa"/>
              <w:bottom w:w="100" w:type="dxa"/>
              <w:right w:w="100" w:type="dxa"/>
            </w:tcMar>
          </w:tcPr>
          <w:p w14:paraId="6BB9956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Security</w:t>
            </w:r>
          </w:p>
        </w:tc>
        <w:tc>
          <w:tcPr>
            <w:tcW w:w="851" w:type="dxa"/>
            <w:tcMar>
              <w:top w:w="100" w:type="dxa"/>
              <w:left w:w="100" w:type="dxa"/>
              <w:bottom w:w="100" w:type="dxa"/>
              <w:right w:w="100" w:type="dxa"/>
            </w:tcMar>
          </w:tcPr>
          <w:p w14:paraId="6BB9956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0,15</w:t>
            </w:r>
          </w:p>
        </w:tc>
      </w:tr>
      <w:tr w:rsidR="00120C68" w14:paraId="6BB9957A" w14:textId="77777777" w:rsidTr="006D15F7">
        <w:trPr>
          <w:trHeight w:val="830"/>
        </w:trPr>
        <w:tc>
          <w:tcPr>
            <w:tcW w:w="1276" w:type="dxa"/>
            <w:tcMar>
              <w:top w:w="100" w:type="dxa"/>
              <w:left w:w="100" w:type="dxa"/>
              <w:bottom w:w="100" w:type="dxa"/>
              <w:right w:w="100" w:type="dxa"/>
            </w:tcMar>
          </w:tcPr>
          <w:p w14:paraId="6BB9957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IP</w:t>
            </w:r>
          </w:p>
        </w:tc>
        <w:tc>
          <w:tcPr>
            <w:tcW w:w="1135" w:type="dxa"/>
            <w:tcMar>
              <w:top w:w="100" w:type="dxa"/>
              <w:left w:w="100" w:type="dxa"/>
              <w:bottom w:w="100" w:type="dxa"/>
              <w:right w:w="100" w:type="dxa"/>
            </w:tcMar>
          </w:tcPr>
          <w:p w14:paraId="6BB9957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ITTU</w:t>
            </w:r>
          </w:p>
        </w:tc>
        <w:tc>
          <w:tcPr>
            <w:tcW w:w="1417" w:type="dxa"/>
            <w:tcMar>
              <w:top w:w="100" w:type="dxa"/>
              <w:left w:w="100" w:type="dxa"/>
              <w:bottom w:w="100" w:type="dxa"/>
              <w:right w:w="100" w:type="dxa"/>
            </w:tcMar>
          </w:tcPr>
          <w:p w14:paraId="6BB9957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Technology transfer</w:t>
            </w:r>
          </w:p>
        </w:tc>
        <w:tc>
          <w:tcPr>
            <w:tcW w:w="1418" w:type="dxa"/>
            <w:tcMar>
              <w:top w:w="100" w:type="dxa"/>
              <w:left w:w="100" w:type="dxa"/>
              <w:bottom w:w="100" w:type="dxa"/>
              <w:right w:w="100" w:type="dxa"/>
            </w:tcMar>
          </w:tcPr>
          <w:p w14:paraId="6BB9957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Triple helix</w:t>
            </w:r>
          </w:p>
        </w:tc>
        <w:tc>
          <w:tcPr>
            <w:tcW w:w="1559" w:type="dxa"/>
            <w:tcMar>
              <w:top w:w="100" w:type="dxa"/>
              <w:left w:w="100" w:type="dxa"/>
              <w:bottom w:w="100" w:type="dxa"/>
              <w:right w:w="100" w:type="dxa"/>
            </w:tcMar>
          </w:tcPr>
          <w:p w14:paraId="6BB9957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(ETZKOWITZ, 2000)</w:t>
            </w:r>
          </w:p>
        </w:tc>
        <w:tc>
          <w:tcPr>
            <w:tcW w:w="992" w:type="dxa"/>
            <w:tcMar>
              <w:top w:w="100" w:type="dxa"/>
              <w:left w:w="100" w:type="dxa"/>
              <w:bottom w:w="100" w:type="dxa"/>
              <w:right w:w="100" w:type="dxa"/>
            </w:tcMar>
          </w:tcPr>
          <w:p w14:paraId="6BB9957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Partnerships</w:t>
            </w:r>
          </w:p>
        </w:tc>
        <w:tc>
          <w:tcPr>
            <w:tcW w:w="1418" w:type="dxa"/>
            <w:tcMar>
              <w:top w:w="100" w:type="dxa"/>
              <w:left w:w="100" w:type="dxa"/>
              <w:bottom w:w="100" w:type="dxa"/>
              <w:right w:w="100" w:type="dxa"/>
            </w:tcMar>
          </w:tcPr>
          <w:p w14:paraId="6BB9957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Univ/Gov</w:t>
            </w:r>
          </w:p>
        </w:tc>
        <w:tc>
          <w:tcPr>
            <w:tcW w:w="1417" w:type="dxa"/>
            <w:tcMar>
              <w:top w:w="100" w:type="dxa"/>
              <w:left w:w="100" w:type="dxa"/>
              <w:bottom w:w="100" w:type="dxa"/>
              <w:right w:w="100" w:type="dxa"/>
            </w:tcMar>
          </w:tcPr>
          <w:p w14:paraId="6BB9957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Diffusion</w:t>
            </w:r>
          </w:p>
        </w:tc>
        <w:tc>
          <w:tcPr>
            <w:tcW w:w="851" w:type="dxa"/>
            <w:tcMar>
              <w:top w:w="100" w:type="dxa"/>
              <w:left w:w="100" w:type="dxa"/>
              <w:bottom w:w="100" w:type="dxa"/>
              <w:right w:w="100" w:type="dxa"/>
            </w:tcMar>
          </w:tcPr>
          <w:p w14:paraId="6BB9957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84" w14:textId="77777777" w:rsidTr="006D15F7">
        <w:trPr>
          <w:trHeight w:val="830"/>
        </w:trPr>
        <w:tc>
          <w:tcPr>
            <w:tcW w:w="1276" w:type="dxa"/>
            <w:tcMar>
              <w:top w:w="100" w:type="dxa"/>
              <w:left w:w="100" w:type="dxa"/>
              <w:bottom w:w="100" w:type="dxa"/>
              <w:right w:w="100" w:type="dxa"/>
            </w:tcMar>
          </w:tcPr>
          <w:p w14:paraId="6BB9957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w:t>
            </w:r>
          </w:p>
        </w:tc>
        <w:tc>
          <w:tcPr>
            <w:tcW w:w="1135" w:type="dxa"/>
            <w:tcMar>
              <w:top w:w="100" w:type="dxa"/>
              <w:left w:w="100" w:type="dxa"/>
              <w:bottom w:w="100" w:type="dxa"/>
              <w:right w:w="100" w:type="dxa"/>
            </w:tcMar>
          </w:tcPr>
          <w:p w14:paraId="6BB9957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IGDU</w:t>
            </w:r>
          </w:p>
        </w:tc>
        <w:tc>
          <w:tcPr>
            <w:tcW w:w="1417" w:type="dxa"/>
            <w:tcMar>
              <w:top w:w="100" w:type="dxa"/>
              <w:left w:w="100" w:type="dxa"/>
              <w:bottom w:w="100" w:type="dxa"/>
              <w:right w:w="100" w:type="dxa"/>
            </w:tcMar>
          </w:tcPr>
          <w:p w14:paraId="6BB9957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 Governance</w:t>
            </w:r>
          </w:p>
        </w:tc>
        <w:tc>
          <w:tcPr>
            <w:tcW w:w="1418" w:type="dxa"/>
            <w:tcMar>
              <w:top w:w="100" w:type="dxa"/>
              <w:left w:w="100" w:type="dxa"/>
              <w:bottom w:w="100" w:type="dxa"/>
              <w:right w:w="100" w:type="dxa"/>
            </w:tcMar>
          </w:tcPr>
          <w:p w14:paraId="6BB9957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Smart city base</w:t>
            </w:r>
          </w:p>
        </w:tc>
        <w:tc>
          <w:tcPr>
            <w:tcW w:w="1559" w:type="dxa"/>
            <w:tcMar>
              <w:top w:w="100" w:type="dxa"/>
              <w:left w:w="100" w:type="dxa"/>
              <w:bottom w:w="100" w:type="dxa"/>
              <w:right w:w="100" w:type="dxa"/>
            </w:tcMar>
          </w:tcPr>
          <w:p w14:paraId="6BB9957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(ISO, 2019)</w:t>
            </w:r>
          </w:p>
        </w:tc>
        <w:tc>
          <w:tcPr>
            <w:tcW w:w="992" w:type="dxa"/>
            <w:tcMar>
              <w:top w:w="100" w:type="dxa"/>
              <w:left w:w="100" w:type="dxa"/>
              <w:bottom w:w="100" w:type="dxa"/>
              <w:right w:w="100" w:type="dxa"/>
            </w:tcMar>
          </w:tcPr>
          <w:p w14:paraId="6BB9958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Infrastructure</w:t>
            </w:r>
          </w:p>
        </w:tc>
        <w:tc>
          <w:tcPr>
            <w:tcW w:w="1418" w:type="dxa"/>
            <w:tcMar>
              <w:top w:w="100" w:type="dxa"/>
              <w:left w:w="100" w:type="dxa"/>
              <w:bottom w:w="100" w:type="dxa"/>
              <w:right w:w="100" w:type="dxa"/>
            </w:tcMar>
          </w:tcPr>
          <w:p w14:paraId="6BB9958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58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Efficiency</w:t>
            </w:r>
          </w:p>
        </w:tc>
        <w:tc>
          <w:tcPr>
            <w:tcW w:w="851" w:type="dxa"/>
            <w:tcMar>
              <w:top w:w="100" w:type="dxa"/>
              <w:left w:w="100" w:type="dxa"/>
              <w:bottom w:w="100" w:type="dxa"/>
              <w:right w:w="100" w:type="dxa"/>
            </w:tcMar>
          </w:tcPr>
          <w:p w14:paraId="6BB9958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0,25</w:t>
            </w:r>
          </w:p>
        </w:tc>
      </w:tr>
      <w:tr w:rsidR="00120C68" w14:paraId="6BB9958E" w14:textId="77777777" w:rsidTr="006D15F7">
        <w:trPr>
          <w:trHeight w:val="830"/>
        </w:trPr>
        <w:tc>
          <w:tcPr>
            <w:tcW w:w="1276" w:type="dxa"/>
            <w:tcMar>
              <w:top w:w="100" w:type="dxa"/>
              <w:left w:w="100" w:type="dxa"/>
              <w:bottom w:w="100" w:type="dxa"/>
              <w:right w:w="100" w:type="dxa"/>
            </w:tcMar>
          </w:tcPr>
          <w:p w14:paraId="6BB9958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w:t>
            </w:r>
          </w:p>
        </w:tc>
        <w:tc>
          <w:tcPr>
            <w:tcW w:w="1135" w:type="dxa"/>
            <w:tcMar>
              <w:top w:w="100" w:type="dxa"/>
              <w:left w:w="100" w:type="dxa"/>
              <w:bottom w:w="100" w:type="dxa"/>
              <w:right w:w="100" w:type="dxa"/>
            </w:tcMar>
          </w:tcPr>
          <w:p w14:paraId="6BB9958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ICRIA</w:t>
            </w:r>
          </w:p>
        </w:tc>
        <w:tc>
          <w:tcPr>
            <w:tcW w:w="1417" w:type="dxa"/>
            <w:tcMar>
              <w:top w:w="100" w:type="dxa"/>
              <w:left w:w="100" w:type="dxa"/>
              <w:bottom w:w="100" w:type="dxa"/>
              <w:right w:w="100" w:type="dxa"/>
            </w:tcMar>
          </w:tcPr>
          <w:p w14:paraId="6BB9958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 regulation</w:t>
            </w:r>
          </w:p>
        </w:tc>
        <w:tc>
          <w:tcPr>
            <w:tcW w:w="1418" w:type="dxa"/>
            <w:tcMar>
              <w:top w:w="100" w:type="dxa"/>
              <w:left w:w="100" w:type="dxa"/>
              <w:bottom w:w="100" w:type="dxa"/>
              <w:right w:w="100" w:type="dxa"/>
            </w:tcMar>
          </w:tcPr>
          <w:p w14:paraId="6BB9958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Security</w:t>
            </w:r>
          </w:p>
        </w:tc>
        <w:tc>
          <w:tcPr>
            <w:tcW w:w="1559" w:type="dxa"/>
            <w:tcMar>
              <w:top w:w="100" w:type="dxa"/>
              <w:left w:w="100" w:type="dxa"/>
              <w:bottom w:w="100" w:type="dxa"/>
              <w:right w:w="100" w:type="dxa"/>
            </w:tcMar>
          </w:tcPr>
          <w:p w14:paraId="6BB9958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(EU, 2021)</w:t>
            </w:r>
          </w:p>
        </w:tc>
        <w:tc>
          <w:tcPr>
            <w:tcW w:w="992" w:type="dxa"/>
            <w:tcMar>
              <w:top w:w="100" w:type="dxa"/>
              <w:left w:w="100" w:type="dxa"/>
              <w:bottom w:w="100" w:type="dxa"/>
              <w:right w:w="100" w:type="dxa"/>
            </w:tcMar>
          </w:tcPr>
          <w:p w14:paraId="6BB9958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Standards</w:t>
            </w:r>
          </w:p>
        </w:tc>
        <w:tc>
          <w:tcPr>
            <w:tcW w:w="1418" w:type="dxa"/>
            <w:tcMar>
              <w:top w:w="100" w:type="dxa"/>
              <w:left w:w="100" w:type="dxa"/>
              <w:bottom w:w="100" w:type="dxa"/>
              <w:right w:w="100" w:type="dxa"/>
            </w:tcMar>
          </w:tcPr>
          <w:p w14:paraId="6BB9958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State</w:t>
            </w:r>
          </w:p>
        </w:tc>
        <w:tc>
          <w:tcPr>
            <w:tcW w:w="1417" w:type="dxa"/>
            <w:tcMar>
              <w:top w:w="100" w:type="dxa"/>
              <w:left w:w="100" w:type="dxa"/>
              <w:bottom w:w="100" w:type="dxa"/>
              <w:right w:w="100" w:type="dxa"/>
            </w:tcMar>
          </w:tcPr>
          <w:p w14:paraId="6BB9958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Trust</w:t>
            </w:r>
          </w:p>
        </w:tc>
        <w:tc>
          <w:tcPr>
            <w:tcW w:w="851" w:type="dxa"/>
            <w:tcMar>
              <w:top w:w="100" w:type="dxa"/>
              <w:left w:w="100" w:type="dxa"/>
              <w:bottom w:w="100" w:type="dxa"/>
              <w:right w:w="100" w:type="dxa"/>
            </w:tcMar>
          </w:tcPr>
          <w:p w14:paraId="6BB9958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98" w14:textId="77777777" w:rsidTr="006D15F7">
        <w:trPr>
          <w:trHeight w:val="830"/>
        </w:trPr>
        <w:tc>
          <w:tcPr>
            <w:tcW w:w="1276" w:type="dxa"/>
            <w:tcMar>
              <w:top w:w="100" w:type="dxa"/>
              <w:left w:w="100" w:type="dxa"/>
              <w:bottom w:w="100" w:type="dxa"/>
              <w:right w:w="100" w:type="dxa"/>
            </w:tcMar>
          </w:tcPr>
          <w:p w14:paraId="6BB9958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w:t>
            </w:r>
          </w:p>
        </w:tc>
        <w:tc>
          <w:tcPr>
            <w:tcW w:w="1135" w:type="dxa"/>
            <w:tcMar>
              <w:top w:w="100" w:type="dxa"/>
              <w:left w:w="100" w:type="dxa"/>
              <w:bottom w:w="100" w:type="dxa"/>
              <w:right w:w="100" w:type="dxa"/>
            </w:tcMar>
          </w:tcPr>
          <w:p w14:paraId="6BB9959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IAD</w:t>
            </w:r>
          </w:p>
        </w:tc>
        <w:tc>
          <w:tcPr>
            <w:tcW w:w="1417" w:type="dxa"/>
            <w:tcMar>
              <w:top w:w="100" w:type="dxa"/>
              <w:left w:w="100" w:type="dxa"/>
              <w:bottom w:w="100" w:type="dxa"/>
              <w:right w:w="100" w:type="dxa"/>
            </w:tcMar>
          </w:tcPr>
          <w:p w14:paraId="6BB9959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Digital accountability</w:t>
            </w:r>
          </w:p>
        </w:tc>
        <w:tc>
          <w:tcPr>
            <w:tcW w:w="1418" w:type="dxa"/>
            <w:tcMar>
              <w:top w:w="100" w:type="dxa"/>
              <w:left w:w="100" w:type="dxa"/>
              <w:bottom w:w="100" w:type="dxa"/>
              <w:right w:w="100" w:type="dxa"/>
            </w:tcMar>
          </w:tcPr>
          <w:p w14:paraId="6BB9959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Transparency</w:t>
            </w:r>
          </w:p>
        </w:tc>
        <w:tc>
          <w:tcPr>
            <w:tcW w:w="1559" w:type="dxa"/>
            <w:tcMar>
              <w:top w:w="100" w:type="dxa"/>
              <w:left w:w="100" w:type="dxa"/>
              <w:bottom w:w="100" w:type="dxa"/>
              <w:right w:w="100" w:type="dxa"/>
            </w:tcMar>
          </w:tcPr>
          <w:p w14:paraId="6BB9959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2020)</w:t>
            </w:r>
          </w:p>
        </w:tc>
        <w:tc>
          <w:tcPr>
            <w:tcW w:w="992" w:type="dxa"/>
            <w:tcMar>
              <w:top w:w="100" w:type="dxa"/>
              <w:left w:w="100" w:type="dxa"/>
              <w:bottom w:w="100" w:type="dxa"/>
              <w:right w:w="100" w:type="dxa"/>
            </w:tcMar>
          </w:tcPr>
          <w:p w14:paraId="6BB9959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59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59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Control</w:t>
            </w:r>
          </w:p>
        </w:tc>
        <w:tc>
          <w:tcPr>
            <w:tcW w:w="851" w:type="dxa"/>
            <w:tcMar>
              <w:top w:w="100" w:type="dxa"/>
              <w:left w:w="100" w:type="dxa"/>
              <w:bottom w:w="100" w:type="dxa"/>
              <w:right w:w="100" w:type="dxa"/>
            </w:tcMar>
          </w:tcPr>
          <w:p w14:paraId="6BB9959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A2" w14:textId="77777777" w:rsidTr="006D15F7">
        <w:trPr>
          <w:trHeight w:val="830"/>
        </w:trPr>
        <w:tc>
          <w:tcPr>
            <w:tcW w:w="1276" w:type="dxa"/>
            <w:tcMar>
              <w:top w:w="100" w:type="dxa"/>
              <w:left w:w="100" w:type="dxa"/>
              <w:bottom w:w="100" w:type="dxa"/>
              <w:right w:w="100" w:type="dxa"/>
            </w:tcMar>
          </w:tcPr>
          <w:p w14:paraId="6BB9959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w:t>
            </w:r>
          </w:p>
        </w:tc>
        <w:tc>
          <w:tcPr>
            <w:tcW w:w="1135" w:type="dxa"/>
            <w:tcMar>
              <w:top w:w="100" w:type="dxa"/>
              <w:left w:w="100" w:type="dxa"/>
              <w:bottom w:w="100" w:type="dxa"/>
              <w:right w:w="100" w:type="dxa"/>
            </w:tcMar>
          </w:tcPr>
          <w:p w14:paraId="6BB9959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ITA</w:t>
            </w:r>
          </w:p>
        </w:tc>
        <w:tc>
          <w:tcPr>
            <w:tcW w:w="1417" w:type="dxa"/>
            <w:tcMar>
              <w:top w:w="100" w:type="dxa"/>
              <w:left w:w="100" w:type="dxa"/>
              <w:bottom w:w="100" w:type="dxa"/>
              <w:right w:w="100" w:type="dxa"/>
            </w:tcMar>
          </w:tcPr>
          <w:p w14:paraId="6BB9959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 Transparency</w:t>
            </w:r>
          </w:p>
        </w:tc>
        <w:tc>
          <w:tcPr>
            <w:tcW w:w="1418" w:type="dxa"/>
            <w:tcMar>
              <w:top w:w="100" w:type="dxa"/>
              <w:left w:w="100" w:type="dxa"/>
              <w:bottom w:w="100" w:type="dxa"/>
              <w:right w:w="100" w:type="dxa"/>
            </w:tcMar>
          </w:tcPr>
          <w:p w14:paraId="6BB9959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Ethics</w:t>
            </w:r>
          </w:p>
        </w:tc>
        <w:tc>
          <w:tcPr>
            <w:tcW w:w="1559" w:type="dxa"/>
            <w:tcMar>
              <w:top w:w="100" w:type="dxa"/>
              <w:left w:w="100" w:type="dxa"/>
              <w:bottom w:w="100" w:type="dxa"/>
              <w:right w:w="100" w:type="dxa"/>
            </w:tcMar>
          </w:tcPr>
          <w:p w14:paraId="6BB9959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(FLORIDI et al., 2018)</w:t>
            </w:r>
          </w:p>
        </w:tc>
        <w:tc>
          <w:tcPr>
            <w:tcW w:w="992" w:type="dxa"/>
            <w:tcMar>
              <w:top w:w="100" w:type="dxa"/>
              <w:left w:w="100" w:type="dxa"/>
              <w:bottom w:w="100" w:type="dxa"/>
              <w:right w:w="100" w:type="dxa"/>
            </w:tcMar>
          </w:tcPr>
          <w:p w14:paraId="6BB9959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w:t>
            </w:r>
          </w:p>
        </w:tc>
        <w:tc>
          <w:tcPr>
            <w:tcW w:w="1418" w:type="dxa"/>
            <w:tcMar>
              <w:top w:w="100" w:type="dxa"/>
              <w:left w:w="100" w:type="dxa"/>
              <w:bottom w:w="100" w:type="dxa"/>
              <w:right w:w="100" w:type="dxa"/>
            </w:tcMar>
          </w:tcPr>
          <w:p w14:paraId="6BB9959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Society</w:t>
            </w:r>
          </w:p>
        </w:tc>
        <w:tc>
          <w:tcPr>
            <w:tcW w:w="1417" w:type="dxa"/>
            <w:tcMar>
              <w:top w:w="100" w:type="dxa"/>
              <w:left w:w="100" w:type="dxa"/>
              <w:bottom w:w="100" w:type="dxa"/>
              <w:right w:w="100" w:type="dxa"/>
            </w:tcMar>
          </w:tcPr>
          <w:p w14:paraId="6BB995A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Trust</w:t>
            </w:r>
          </w:p>
        </w:tc>
        <w:tc>
          <w:tcPr>
            <w:tcW w:w="851" w:type="dxa"/>
            <w:tcMar>
              <w:top w:w="100" w:type="dxa"/>
              <w:left w:w="100" w:type="dxa"/>
              <w:bottom w:w="100" w:type="dxa"/>
              <w:right w:w="100" w:type="dxa"/>
            </w:tcMar>
          </w:tcPr>
          <w:p w14:paraId="6BB995A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0,15</w:t>
            </w:r>
          </w:p>
        </w:tc>
      </w:tr>
      <w:tr w:rsidR="00120C68" w14:paraId="6BB995AC" w14:textId="77777777" w:rsidTr="006D15F7">
        <w:trPr>
          <w:trHeight w:val="830"/>
        </w:trPr>
        <w:tc>
          <w:tcPr>
            <w:tcW w:w="1276" w:type="dxa"/>
            <w:tcMar>
              <w:top w:w="100" w:type="dxa"/>
              <w:left w:w="100" w:type="dxa"/>
              <w:bottom w:w="100" w:type="dxa"/>
              <w:right w:w="100" w:type="dxa"/>
            </w:tcMar>
          </w:tcPr>
          <w:p w14:paraId="6BB995A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w:t>
            </w:r>
          </w:p>
        </w:tc>
        <w:tc>
          <w:tcPr>
            <w:tcW w:w="1135" w:type="dxa"/>
            <w:tcMar>
              <w:top w:w="100" w:type="dxa"/>
              <w:left w:w="100" w:type="dxa"/>
              <w:bottom w:w="100" w:type="dxa"/>
              <w:right w:w="100" w:type="dxa"/>
            </w:tcMar>
          </w:tcPr>
          <w:p w14:paraId="6BB995A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BMI</w:t>
            </w:r>
          </w:p>
        </w:tc>
        <w:tc>
          <w:tcPr>
            <w:tcW w:w="1417" w:type="dxa"/>
            <w:tcMar>
              <w:top w:w="100" w:type="dxa"/>
              <w:left w:w="100" w:type="dxa"/>
              <w:bottom w:w="100" w:type="dxa"/>
              <w:right w:w="100" w:type="dxa"/>
            </w:tcMar>
          </w:tcPr>
          <w:p w14:paraId="6BB995A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Monitoring</w:t>
            </w:r>
          </w:p>
        </w:tc>
        <w:tc>
          <w:tcPr>
            <w:tcW w:w="1418" w:type="dxa"/>
            <w:tcMar>
              <w:top w:w="100" w:type="dxa"/>
              <w:left w:w="100" w:type="dxa"/>
              <w:bottom w:w="100" w:type="dxa"/>
              <w:right w:w="100" w:type="dxa"/>
            </w:tcMar>
          </w:tcPr>
          <w:p w14:paraId="6BB995A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Ongoing management</w:t>
            </w:r>
          </w:p>
        </w:tc>
        <w:tc>
          <w:tcPr>
            <w:tcW w:w="1559" w:type="dxa"/>
            <w:tcMar>
              <w:top w:w="100" w:type="dxa"/>
              <w:left w:w="100" w:type="dxa"/>
              <w:bottom w:w="100" w:type="dxa"/>
              <w:right w:w="100" w:type="dxa"/>
            </w:tcMar>
          </w:tcPr>
          <w:p w14:paraId="6BB995A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(WORLD BANK, 2021)</w:t>
            </w:r>
          </w:p>
        </w:tc>
        <w:tc>
          <w:tcPr>
            <w:tcW w:w="992" w:type="dxa"/>
            <w:tcMar>
              <w:top w:w="100" w:type="dxa"/>
              <w:left w:w="100" w:type="dxa"/>
              <w:bottom w:w="100" w:type="dxa"/>
              <w:right w:w="100" w:type="dxa"/>
            </w:tcMar>
          </w:tcPr>
          <w:p w14:paraId="6BB995A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Systems</w:t>
            </w:r>
          </w:p>
        </w:tc>
        <w:tc>
          <w:tcPr>
            <w:tcW w:w="1418" w:type="dxa"/>
            <w:tcMar>
              <w:top w:w="100" w:type="dxa"/>
              <w:left w:w="100" w:type="dxa"/>
              <w:bottom w:w="100" w:type="dxa"/>
              <w:right w:w="100" w:type="dxa"/>
            </w:tcMar>
          </w:tcPr>
          <w:p w14:paraId="6BB995A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5A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Adjustments</w:t>
            </w:r>
          </w:p>
        </w:tc>
        <w:tc>
          <w:tcPr>
            <w:tcW w:w="851" w:type="dxa"/>
            <w:tcMar>
              <w:top w:w="100" w:type="dxa"/>
              <w:left w:w="100" w:type="dxa"/>
              <w:bottom w:w="100" w:type="dxa"/>
              <w:right w:w="100" w:type="dxa"/>
            </w:tcMar>
          </w:tcPr>
          <w:p w14:paraId="6BB995A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B6" w14:textId="77777777" w:rsidTr="006D15F7">
        <w:trPr>
          <w:trHeight w:val="830"/>
        </w:trPr>
        <w:tc>
          <w:tcPr>
            <w:tcW w:w="1276" w:type="dxa"/>
            <w:tcMar>
              <w:top w:w="100" w:type="dxa"/>
              <w:left w:w="100" w:type="dxa"/>
              <w:bottom w:w="100" w:type="dxa"/>
              <w:right w:w="100" w:type="dxa"/>
            </w:tcMar>
          </w:tcPr>
          <w:p w14:paraId="6BB995A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INOV</w:t>
            </w:r>
          </w:p>
        </w:tc>
        <w:tc>
          <w:tcPr>
            <w:tcW w:w="1135" w:type="dxa"/>
            <w:tcMar>
              <w:top w:w="100" w:type="dxa"/>
              <w:left w:w="100" w:type="dxa"/>
              <w:bottom w:w="100" w:type="dxa"/>
              <w:right w:w="100" w:type="dxa"/>
            </w:tcMar>
          </w:tcPr>
          <w:p w14:paraId="6BB995A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IAUA</w:t>
            </w:r>
          </w:p>
        </w:tc>
        <w:tc>
          <w:tcPr>
            <w:tcW w:w="1417" w:type="dxa"/>
            <w:tcMar>
              <w:top w:w="100" w:type="dxa"/>
              <w:left w:w="100" w:type="dxa"/>
              <w:bottom w:w="100" w:type="dxa"/>
              <w:right w:w="100" w:type="dxa"/>
            </w:tcMar>
          </w:tcPr>
          <w:p w14:paraId="6BB995A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Applied innovation</w:t>
            </w:r>
          </w:p>
        </w:tc>
        <w:tc>
          <w:tcPr>
            <w:tcW w:w="1418" w:type="dxa"/>
            <w:tcMar>
              <w:top w:w="100" w:type="dxa"/>
              <w:left w:w="100" w:type="dxa"/>
              <w:bottom w:w="100" w:type="dxa"/>
              <w:right w:w="100" w:type="dxa"/>
            </w:tcMar>
          </w:tcPr>
          <w:p w14:paraId="6BB995B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Implementation</w:t>
            </w:r>
          </w:p>
        </w:tc>
        <w:tc>
          <w:tcPr>
            <w:tcW w:w="1559" w:type="dxa"/>
            <w:tcMar>
              <w:top w:w="100" w:type="dxa"/>
              <w:left w:w="100" w:type="dxa"/>
              <w:bottom w:w="100" w:type="dxa"/>
              <w:right w:w="100" w:type="dxa"/>
            </w:tcMar>
          </w:tcPr>
          <w:p w14:paraId="6BB995B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(TOWNSEND, 2013)</w:t>
            </w:r>
          </w:p>
        </w:tc>
        <w:tc>
          <w:tcPr>
            <w:tcW w:w="992" w:type="dxa"/>
            <w:tcMar>
              <w:top w:w="100" w:type="dxa"/>
              <w:left w:w="100" w:type="dxa"/>
              <w:bottom w:w="100" w:type="dxa"/>
              <w:right w:w="100" w:type="dxa"/>
            </w:tcMar>
          </w:tcPr>
          <w:p w14:paraId="6BB995B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Projects</w:t>
            </w:r>
          </w:p>
        </w:tc>
        <w:tc>
          <w:tcPr>
            <w:tcW w:w="1418" w:type="dxa"/>
            <w:tcMar>
              <w:top w:w="100" w:type="dxa"/>
              <w:left w:w="100" w:type="dxa"/>
              <w:bottom w:w="100" w:type="dxa"/>
              <w:right w:w="100" w:type="dxa"/>
            </w:tcMar>
          </w:tcPr>
          <w:p w14:paraId="6BB995B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Gov/companies</w:t>
            </w:r>
          </w:p>
        </w:tc>
        <w:tc>
          <w:tcPr>
            <w:tcW w:w="1417" w:type="dxa"/>
            <w:tcMar>
              <w:top w:w="100" w:type="dxa"/>
              <w:left w:w="100" w:type="dxa"/>
              <w:bottom w:w="100" w:type="dxa"/>
              <w:right w:w="100" w:type="dxa"/>
            </w:tcMar>
          </w:tcPr>
          <w:p w14:paraId="6BB995B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Impact</w:t>
            </w:r>
          </w:p>
        </w:tc>
        <w:tc>
          <w:tcPr>
            <w:tcW w:w="851" w:type="dxa"/>
            <w:tcMar>
              <w:top w:w="100" w:type="dxa"/>
              <w:left w:w="100" w:type="dxa"/>
              <w:bottom w:w="100" w:type="dxa"/>
              <w:right w:w="100" w:type="dxa"/>
            </w:tcMar>
          </w:tcPr>
          <w:p w14:paraId="6BB995B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C0" w14:textId="77777777" w:rsidTr="006D15F7">
        <w:trPr>
          <w:trHeight w:val="830"/>
        </w:trPr>
        <w:tc>
          <w:tcPr>
            <w:tcW w:w="1276" w:type="dxa"/>
            <w:tcMar>
              <w:top w:w="100" w:type="dxa"/>
              <w:left w:w="100" w:type="dxa"/>
              <w:bottom w:w="100" w:type="dxa"/>
              <w:right w:w="100" w:type="dxa"/>
            </w:tcMar>
          </w:tcPr>
          <w:p w14:paraId="6BB995B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INOV</w:t>
            </w:r>
          </w:p>
        </w:tc>
        <w:tc>
          <w:tcPr>
            <w:tcW w:w="1135" w:type="dxa"/>
            <w:tcMar>
              <w:top w:w="100" w:type="dxa"/>
              <w:left w:w="100" w:type="dxa"/>
              <w:bottom w:w="100" w:type="dxa"/>
              <w:right w:w="100" w:type="dxa"/>
            </w:tcMar>
          </w:tcPr>
          <w:p w14:paraId="6BB995B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IEPI</w:t>
            </w:r>
          </w:p>
        </w:tc>
        <w:tc>
          <w:tcPr>
            <w:tcW w:w="1417" w:type="dxa"/>
            <w:tcMar>
              <w:top w:w="100" w:type="dxa"/>
              <w:left w:w="100" w:type="dxa"/>
              <w:bottom w:w="100" w:type="dxa"/>
              <w:right w:w="100" w:type="dxa"/>
            </w:tcMar>
          </w:tcPr>
          <w:p w14:paraId="6BB995B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Innovation effectiveness</w:t>
            </w:r>
          </w:p>
        </w:tc>
        <w:tc>
          <w:tcPr>
            <w:tcW w:w="1418" w:type="dxa"/>
            <w:tcMar>
              <w:top w:w="100" w:type="dxa"/>
              <w:left w:w="100" w:type="dxa"/>
              <w:bottom w:w="100" w:type="dxa"/>
              <w:right w:w="100" w:type="dxa"/>
            </w:tcMar>
          </w:tcPr>
          <w:p w14:paraId="6BB995B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Result</w:t>
            </w:r>
          </w:p>
        </w:tc>
        <w:tc>
          <w:tcPr>
            <w:tcW w:w="1559" w:type="dxa"/>
            <w:tcMar>
              <w:top w:w="100" w:type="dxa"/>
              <w:left w:w="100" w:type="dxa"/>
              <w:bottom w:w="100" w:type="dxa"/>
              <w:right w:w="100" w:type="dxa"/>
            </w:tcMar>
          </w:tcPr>
          <w:p w14:paraId="6BB995B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2020)</w:t>
            </w:r>
          </w:p>
        </w:tc>
        <w:tc>
          <w:tcPr>
            <w:tcW w:w="992" w:type="dxa"/>
            <w:tcMar>
              <w:top w:w="100" w:type="dxa"/>
              <w:left w:w="100" w:type="dxa"/>
              <w:bottom w:w="100" w:type="dxa"/>
              <w:right w:w="100" w:type="dxa"/>
            </w:tcMar>
          </w:tcPr>
          <w:p w14:paraId="6BB995B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5B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5B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Efficiency</w:t>
            </w:r>
          </w:p>
        </w:tc>
        <w:tc>
          <w:tcPr>
            <w:tcW w:w="851" w:type="dxa"/>
            <w:tcMar>
              <w:top w:w="100" w:type="dxa"/>
              <w:left w:w="100" w:type="dxa"/>
              <w:bottom w:w="100" w:type="dxa"/>
              <w:right w:w="100" w:type="dxa"/>
            </w:tcMar>
          </w:tcPr>
          <w:p w14:paraId="6BB995B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CA" w14:textId="77777777" w:rsidTr="006D15F7">
        <w:trPr>
          <w:trHeight w:val="830"/>
        </w:trPr>
        <w:tc>
          <w:tcPr>
            <w:tcW w:w="1276" w:type="dxa"/>
            <w:tcMar>
              <w:top w:w="100" w:type="dxa"/>
              <w:left w:w="100" w:type="dxa"/>
              <w:bottom w:w="100" w:type="dxa"/>
              <w:right w:w="100" w:type="dxa"/>
            </w:tcMar>
          </w:tcPr>
          <w:p w14:paraId="6BB995C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lastRenderedPageBreak/>
              <w:t>INOV</w:t>
            </w:r>
          </w:p>
        </w:tc>
        <w:tc>
          <w:tcPr>
            <w:tcW w:w="1135" w:type="dxa"/>
            <w:tcMar>
              <w:top w:w="100" w:type="dxa"/>
              <w:left w:w="100" w:type="dxa"/>
              <w:bottom w:w="100" w:type="dxa"/>
              <w:right w:w="100" w:type="dxa"/>
            </w:tcMar>
          </w:tcPr>
          <w:p w14:paraId="6BB995C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ICII</w:t>
            </w:r>
          </w:p>
        </w:tc>
        <w:tc>
          <w:tcPr>
            <w:tcW w:w="1417" w:type="dxa"/>
            <w:tcMar>
              <w:top w:w="100" w:type="dxa"/>
              <w:left w:w="100" w:type="dxa"/>
              <w:bottom w:w="100" w:type="dxa"/>
              <w:right w:w="100" w:type="dxa"/>
            </w:tcMar>
          </w:tcPr>
          <w:p w14:paraId="6BB995C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Institutional capacity</w:t>
            </w:r>
          </w:p>
        </w:tc>
        <w:tc>
          <w:tcPr>
            <w:tcW w:w="1418" w:type="dxa"/>
            <w:tcMar>
              <w:top w:w="100" w:type="dxa"/>
              <w:left w:w="100" w:type="dxa"/>
              <w:bottom w:w="100" w:type="dxa"/>
              <w:right w:w="100" w:type="dxa"/>
            </w:tcMar>
          </w:tcPr>
          <w:p w14:paraId="6BB995C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Execution</w:t>
            </w:r>
          </w:p>
        </w:tc>
        <w:tc>
          <w:tcPr>
            <w:tcW w:w="1559" w:type="dxa"/>
            <w:tcMar>
              <w:top w:w="100" w:type="dxa"/>
              <w:left w:w="100" w:type="dxa"/>
              <w:bottom w:w="100" w:type="dxa"/>
              <w:right w:w="100" w:type="dxa"/>
            </w:tcMar>
          </w:tcPr>
          <w:p w14:paraId="6BB995C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(WORLD BANK, 2021)</w:t>
            </w:r>
          </w:p>
        </w:tc>
        <w:tc>
          <w:tcPr>
            <w:tcW w:w="992" w:type="dxa"/>
            <w:tcMar>
              <w:top w:w="100" w:type="dxa"/>
              <w:left w:w="100" w:type="dxa"/>
              <w:bottom w:w="100" w:type="dxa"/>
              <w:right w:w="100" w:type="dxa"/>
            </w:tcMar>
          </w:tcPr>
          <w:p w14:paraId="6BB995C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Structure</w:t>
            </w:r>
          </w:p>
        </w:tc>
        <w:tc>
          <w:tcPr>
            <w:tcW w:w="1418" w:type="dxa"/>
            <w:tcMar>
              <w:top w:w="100" w:type="dxa"/>
              <w:left w:w="100" w:type="dxa"/>
              <w:bottom w:w="100" w:type="dxa"/>
              <w:right w:w="100" w:type="dxa"/>
            </w:tcMar>
          </w:tcPr>
          <w:p w14:paraId="6BB995C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5C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Support</w:t>
            </w:r>
          </w:p>
        </w:tc>
        <w:tc>
          <w:tcPr>
            <w:tcW w:w="851" w:type="dxa"/>
            <w:tcMar>
              <w:top w:w="100" w:type="dxa"/>
              <w:left w:w="100" w:type="dxa"/>
              <w:bottom w:w="100" w:type="dxa"/>
              <w:right w:w="100" w:type="dxa"/>
            </w:tcMar>
          </w:tcPr>
          <w:p w14:paraId="6BB995C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D4" w14:textId="77777777" w:rsidTr="006D15F7">
        <w:trPr>
          <w:trHeight w:val="830"/>
        </w:trPr>
        <w:tc>
          <w:tcPr>
            <w:tcW w:w="1276" w:type="dxa"/>
            <w:tcMar>
              <w:top w:w="100" w:type="dxa"/>
              <w:left w:w="100" w:type="dxa"/>
              <w:bottom w:w="100" w:type="dxa"/>
              <w:right w:w="100" w:type="dxa"/>
            </w:tcMar>
          </w:tcPr>
          <w:p w14:paraId="6BB995C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INOV</w:t>
            </w:r>
          </w:p>
        </w:tc>
        <w:tc>
          <w:tcPr>
            <w:tcW w:w="1135" w:type="dxa"/>
            <w:tcMar>
              <w:top w:w="100" w:type="dxa"/>
              <w:left w:w="100" w:type="dxa"/>
              <w:bottom w:w="100" w:type="dxa"/>
              <w:right w:w="100" w:type="dxa"/>
            </w:tcMar>
          </w:tcPr>
          <w:p w14:paraId="6BB995C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IIM</w:t>
            </w:r>
          </w:p>
        </w:tc>
        <w:tc>
          <w:tcPr>
            <w:tcW w:w="1417" w:type="dxa"/>
            <w:tcMar>
              <w:top w:w="100" w:type="dxa"/>
              <w:left w:w="100" w:type="dxa"/>
              <w:bottom w:w="100" w:type="dxa"/>
              <w:right w:w="100" w:type="dxa"/>
            </w:tcMar>
          </w:tcPr>
          <w:p w14:paraId="6BB995C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Multi-sector integration</w:t>
            </w:r>
          </w:p>
        </w:tc>
        <w:tc>
          <w:tcPr>
            <w:tcW w:w="1418" w:type="dxa"/>
            <w:tcMar>
              <w:top w:w="100" w:type="dxa"/>
              <w:left w:w="100" w:type="dxa"/>
              <w:bottom w:w="100" w:type="dxa"/>
              <w:right w:w="100" w:type="dxa"/>
            </w:tcMar>
          </w:tcPr>
          <w:p w14:paraId="6BB995C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Cooperation</w:t>
            </w:r>
          </w:p>
        </w:tc>
        <w:tc>
          <w:tcPr>
            <w:tcW w:w="1559" w:type="dxa"/>
            <w:tcMar>
              <w:top w:w="100" w:type="dxa"/>
              <w:left w:w="100" w:type="dxa"/>
              <w:bottom w:w="100" w:type="dxa"/>
              <w:right w:w="100" w:type="dxa"/>
            </w:tcMar>
          </w:tcPr>
          <w:p w14:paraId="6BB995C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(ETZKOWITZ, 2000)</w:t>
            </w:r>
          </w:p>
        </w:tc>
        <w:tc>
          <w:tcPr>
            <w:tcW w:w="992" w:type="dxa"/>
            <w:tcMar>
              <w:top w:w="100" w:type="dxa"/>
              <w:left w:w="100" w:type="dxa"/>
              <w:bottom w:w="100" w:type="dxa"/>
              <w:right w:w="100" w:type="dxa"/>
            </w:tcMar>
          </w:tcPr>
          <w:p w14:paraId="6BB995D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Networks</w:t>
            </w:r>
          </w:p>
        </w:tc>
        <w:tc>
          <w:tcPr>
            <w:tcW w:w="1418" w:type="dxa"/>
            <w:tcMar>
              <w:top w:w="100" w:type="dxa"/>
              <w:left w:w="100" w:type="dxa"/>
              <w:bottom w:w="100" w:type="dxa"/>
              <w:right w:w="100" w:type="dxa"/>
            </w:tcMar>
          </w:tcPr>
          <w:p w14:paraId="6BB995D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All</w:t>
            </w:r>
          </w:p>
        </w:tc>
        <w:tc>
          <w:tcPr>
            <w:tcW w:w="1417" w:type="dxa"/>
            <w:tcMar>
              <w:top w:w="100" w:type="dxa"/>
              <w:left w:w="100" w:type="dxa"/>
              <w:bottom w:w="100" w:type="dxa"/>
              <w:right w:w="100" w:type="dxa"/>
            </w:tcMar>
          </w:tcPr>
          <w:p w14:paraId="6BB995D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Synergy</w:t>
            </w:r>
          </w:p>
        </w:tc>
        <w:tc>
          <w:tcPr>
            <w:tcW w:w="851" w:type="dxa"/>
            <w:tcMar>
              <w:top w:w="100" w:type="dxa"/>
              <w:left w:w="100" w:type="dxa"/>
              <w:bottom w:w="100" w:type="dxa"/>
              <w:right w:w="100" w:type="dxa"/>
            </w:tcMar>
          </w:tcPr>
          <w:p w14:paraId="6BB995D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DE" w14:textId="77777777" w:rsidTr="006D15F7">
        <w:trPr>
          <w:trHeight w:val="530"/>
        </w:trPr>
        <w:tc>
          <w:tcPr>
            <w:tcW w:w="1276" w:type="dxa"/>
            <w:tcMar>
              <w:top w:w="100" w:type="dxa"/>
              <w:left w:w="100" w:type="dxa"/>
              <w:bottom w:w="100" w:type="dxa"/>
              <w:right w:w="100" w:type="dxa"/>
            </w:tcMar>
          </w:tcPr>
          <w:p w14:paraId="6BB995D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INOV</w:t>
            </w:r>
          </w:p>
        </w:tc>
        <w:tc>
          <w:tcPr>
            <w:tcW w:w="1135" w:type="dxa"/>
            <w:tcMar>
              <w:top w:w="100" w:type="dxa"/>
              <w:left w:w="100" w:type="dxa"/>
              <w:bottom w:w="100" w:type="dxa"/>
              <w:right w:w="100" w:type="dxa"/>
            </w:tcMar>
          </w:tcPr>
          <w:p w14:paraId="6BB995D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LEFT</w:t>
            </w:r>
          </w:p>
        </w:tc>
        <w:tc>
          <w:tcPr>
            <w:tcW w:w="1417" w:type="dxa"/>
            <w:tcMar>
              <w:top w:w="100" w:type="dxa"/>
              <w:left w:w="100" w:type="dxa"/>
              <w:bottom w:w="100" w:type="dxa"/>
              <w:right w:w="100" w:type="dxa"/>
            </w:tcMar>
          </w:tcPr>
          <w:p w14:paraId="6BB995D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Urban assets</w:t>
            </w:r>
          </w:p>
        </w:tc>
        <w:tc>
          <w:tcPr>
            <w:tcW w:w="1418" w:type="dxa"/>
            <w:tcMar>
              <w:top w:w="100" w:type="dxa"/>
              <w:left w:w="100" w:type="dxa"/>
              <w:bottom w:w="100" w:type="dxa"/>
              <w:right w:w="100" w:type="dxa"/>
            </w:tcMar>
          </w:tcPr>
          <w:p w14:paraId="6BB995D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Knowledge</w:t>
            </w:r>
          </w:p>
        </w:tc>
        <w:tc>
          <w:tcPr>
            <w:tcW w:w="1559" w:type="dxa"/>
            <w:tcMar>
              <w:top w:w="100" w:type="dxa"/>
              <w:left w:w="100" w:type="dxa"/>
              <w:bottom w:w="100" w:type="dxa"/>
              <w:right w:w="100" w:type="dxa"/>
            </w:tcMar>
          </w:tcPr>
          <w:p w14:paraId="6BB995D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(WIPO, 2023)</w:t>
            </w:r>
          </w:p>
        </w:tc>
        <w:tc>
          <w:tcPr>
            <w:tcW w:w="992" w:type="dxa"/>
            <w:tcMar>
              <w:top w:w="100" w:type="dxa"/>
              <w:left w:w="100" w:type="dxa"/>
              <w:bottom w:w="100" w:type="dxa"/>
              <w:right w:w="100" w:type="dxa"/>
            </w:tcMar>
          </w:tcPr>
          <w:p w14:paraId="6BB995D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5D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Companies</w:t>
            </w:r>
          </w:p>
        </w:tc>
        <w:tc>
          <w:tcPr>
            <w:tcW w:w="1417" w:type="dxa"/>
            <w:tcMar>
              <w:top w:w="100" w:type="dxa"/>
              <w:left w:w="100" w:type="dxa"/>
              <w:bottom w:w="100" w:type="dxa"/>
              <w:right w:w="100" w:type="dxa"/>
            </w:tcMar>
          </w:tcPr>
          <w:p w14:paraId="6BB995D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Growth</w:t>
            </w:r>
          </w:p>
        </w:tc>
        <w:tc>
          <w:tcPr>
            <w:tcW w:w="851" w:type="dxa"/>
            <w:tcMar>
              <w:top w:w="100" w:type="dxa"/>
              <w:left w:w="100" w:type="dxa"/>
              <w:bottom w:w="100" w:type="dxa"/>
              <w:right w:w="100" w:type="dxa"/>
            </w:tcMar>
          </w:tcPr>
          <w:p w14:paraId="6BB995D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E8" w14:textId="77777777" w:rsidTr="006D15F7">
        <w:trPr>
          <w:trHeight w:val="830"/>
        </w:trPr>
        <w:tc>
          <w:tcPr>
            <w:tcW w:w="1276" w:type="dxa"/>
            <w:tcMar>
              <w:top w:w="100" w:type="dxa"/>
              <w:left w:w="100" w:type="dxa"/>
              <w:bottom w:w="100" w:type="dxa"/>
              <w:right w:w="100" w:type="dxa"/>
            </w:tcMar>
          </w:tcPr>
          <w:p w14:paraId="6BB995D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SUPPORT</w:t>
            </w:r>
          </w:p>
        </w:tc>
        <w:tc>
          <w:tcPr>
            <w:tcW w:w="1135" w:type="dxa"/>
            <w:tcMar>
              <w:top w:w="100" w:type="dxa"/>
              <w:left w:w="100" w:type="dxa"/>
              <w:bottom w:w="100" w:type="dxa"/>
              <w:right w:w="100" w:type="dxa"/>
            </w:tcMar>
          </w:tcPr>
          <w:p w14:paraId="6BB995E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IMIS</w:t>
            </w:r>
          </w:p>
        </w:tc>
        <w:tc>
          <w:tcPr>
            <w:tcW w:w="1417" w:type="dxa"/>
            <w:tcMar>
              <w:top w:w="100" w:type="dxa"/>
              <w:left w:w="100" w:type="dxa"/>
              <w:bottom w:w="100" w:type="dxa"/>
              <w:right w:w="100" w:type="dxa"/>
            </w:tcMar>
          </w:tcPr>
          <w:p w14:paraId="6BB995E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Sustainable mobility</w:t>
            </w:r>
          </w:p>
        </w:tc>
        <w:tc>
          <w:tcPr>
            <w:tcW w:w="1418" w:type="dxa"/>
            <w:tcMar>
              <w:top w:w="100" w:type="dxa"/>
              <w:left w:w="100" w:type="dxa"/>
              <w:bottom w:w="100" w:type="dxa"/>
              <w:right w:w="100" w:type="dxa"/>
            </w:tcMar>
          </w:tcPr>
          <w:p w14:paraId="6BB995E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SDG 11</w:t>
            </w:r>
          </w:p>
        </w:tc>
        <w:tc>
          <w:tcPr>
            <w:tcW w:w="1559" w:type="dxa"/>
            <w:tcMar>
              <w:top w:w="100" w:type="dxa"/>
              <w:left w:w="100" w:type="dxa"/>
              <w:bottom w:w="100" w:type="dxa"/>
              <w:right w:w="100" w:type="dxa"/>
            </w:tcMar>
          </w:tcPr>
          <w:p w14:paraId="6BB995E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(UNITED NATIONS, 2015)</w:t>
            </w:r>
          </w:p>
        </w:tc>
        <w:tc>
          <w:tcPr>
            <w:tcW w:w="992" w:type="dxa"/>
            <w:tcMar>
              <w:top w:w="100" w:type="dxa"/>
              <w:left w:w="100" w:type="dxa"/>
              <w:bottom w:w="100" w:type="dxa"/>
              <w:right w:w="100" w:type="dxa"/>
            </w:tcMar>
          </w:tcPr>
          <w:p w14:paraId="6BB995E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5E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5E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Sustainability</w:t>
            </w:r>
          </w:p>
        </w:tc>
        <w:tc>
          <w:tcPr>
            <w:tcW w:w="851" w:type="dxa"/>
            <w:tcMar>
              <w:top w:w="100" w:type="dxa"/>
              <w:left w:w="100" w:type="dxa"/>
              <w:bottom w:w="100" w:type="dxa"/>
              <w:right w:w="100" w:type="dxa"/>
            </w:tcMar>
          </w:tcPr>
          <w:p w14:paraId="6BB995E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F2" w14:textId="77777777" w:rsidTr="006D15F7">
        <w:trPr>
          <w:trHeight w:val="830"/>
        </w:trPr>
        <w:tc>
          <w:tcPr>
            <w:tcW w:w="1276" w:type="dxa"/>
            <w:tcMar>
              <w:top w:w="100" w:type="dxa"/>
              <w:left w:w="100" w:type="dxa"/>
              <w:bottom w:w="100" w:type="dxa"/>
              <w:right w:w="100" w:type="dxa"/>
            </w:tcMar>
          </w:tcPr>
          <w:p w14:paraId="6BB995E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SUPPORT</w:t>
            </w:r>
          </w:p>
        </w:tc>
        <w:tc>
          <w:tcPr>
            <w:tcW w:w="1135" w:type="dxa"/>
            <w:tcMar>
              <w:top w:w="100" w:type="dxa"/>
              <w:left w:w="100" w:type="dxa"/>
              <w:bottom w:w="100" w:type="dxa"/>
              <w:right w:w="100" w:type="dxa"/>
            </w:tcMar>
          </w:tcPr>
          <w:p w14:paraId="6BB995E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IEEI</w:t>
            </w:r>
          </w:p>
        </w:tc>
        <w:tc>
          <w:tcPr>
            <w:tcW w:w="1417" w:type="dxa"/>
            <w:tcMar>
              <w:top w:w="100" w:type="dxa"/>
              <w:left w:w="100" w:type="dxa"/>
              <w:bottom w:w="100" w:type="dxa"/>
              <w:right w:w="100" w:type="dxa"/>
            </w:tcMar>
          </w:tcPr>
          <w:p w14:paraId="6BB995E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Energy efficiency</w:t>
            </w:r>
          </w:p>
        </w:tc>
        <w:tc>
          <w:tcPr>
            <w:tcW w:w="1418" w:type="dxa"/>
            <w:tcMar>
              <w:top w:w="100" w:type="dxa"/>
              <w:left w:w="100" w:type="dxa"/>
              <w:bottom w:w="100" w:type="dxa"/>
              <w:right w:w="100" w:type="dxa"/>
            </w:tcMar>
          </w:tcPr>
          <w:p w14:paraId="6BB995E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SDG 7</w:t>
            </w:r>
          </w:p>
        </w:tc>
        <w:tc>
          <w:tcPr>
            <w:tcW w:w="1559" w:type="dxa"/>
            <w:tcMar>
              <w:top w:w="100" w:type="dxa"/>
              <w:left w:w="100" w:type="dxa"/>
              <w:bottom w:w="100" w:type="dxa"/>
              <w:right w:w="100" w:type="dxa"/>
            </w:tcMar>
          </w:tcPr>
          <w:p w14:paraId="6BB995E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(UNITED NATIONS, 2015)</w:t>
            </w:r>
          </w:p>
        </w:tc>
        <w:tc>
          <w:tcPr>
            <w:tcW w:w="992" w:type="dxa"/>
            <w:tcMar>
              <w:top w:w="100" w:type="dxa"/>
              <w:left w:w="100" w:type="dxa"/>
              <w:bottom w:w="100" w:type="dxa"/>
              <w:right w:w="100" w:type="dxa"/>
            </w:tcMar>
          </w:tcPr>
          <w:p w14:paraId="6BB995E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Infrastructure</w:t>
            </w:r>
          </w:p>
        </w:tc>
        <w:tc>
          <w:tcPr>
            <w:tcW w:w="1418" w:type="dxa"/>
            <w:tcMar>
              <w:top w:w="100" w:type="dxa"/>
              <w:left w:w="100" w:type="dxa"/>
              <w:bottom w:w="100" w:type="dxa"/>
              <w:right w:w="100" w:type="dxa"/>
            </w:tcMar>
          </w:tcPr>
          <w:p w14:paraId="6BB995E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Companies</w:t>
            </w:r>
          </w:p>
        </w:tc>
        <w:tc>
          <w:tcPr>
            <w:tcW w:w="1417" w:type="dxa"/>
            <w:tcMar>
              <w:top w:w="100" w:type="dxa"/>
              <w:left w:w="100" w:type="dxa"/>
              <w:bottom w:w="100" w:type="dxa"/>
              <w:right w:w="100" w:type="dxa"/>
            </w:tcMar>
          </w:tcPr>
          <w:p w14:paraId="6BB995F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Efficiency</w:t>
            </w:r>
          </w:p>
        </w:tc>
        <w:tc>
          <w:tcPr>
            <w:tcW w:w="851" w:type="dxa"/>
            <w:tcMar>
              <w:top w:w="100" w:type="dxa"/>
              <w:left w:w="100" w:type="dxa"/>
              <w:bottom w:w="100" w:type="dxa"/>
              <w:right w:w="100" w:type="dxa"/>
            </w:tcMar>
          </w:tcPr>
          <w:p w14:paraId="6BB995F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5FC" w14:textId="77777777" w:rsidTr="006D15F7">
        <w:trPr>
          <w:trHeight w:val="530"/>
        </w:trPr>
        <w:tc>
          <w:tcPr>
            <w:tcW w:w="1276" w:type="dxa"/>
            <w:tcMar>
              <w:top w:w="100" w:type="dxa"/>
              <w:left w:w="100" w:type="dxa"/>
              <w:bottom w:w="100" w:type="dxa"/>
              <w:right w:w="100" w:type="dxa"/>
            </w:tcMar>
          </w:tcPr>
          <w:p w14:paraId="6BB995F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SUPPORT</w:t>
            </w:r>
          </w:p>
        </w:tc>
        <w:tc>
          <w:tcPr>
            <w:tcW w:w="1135" w:type="dxa"/>
            <w:tcMar>
              <w:top w:w="100" w:type="dxa"/>
              <w:left w:w="100" w:type="dxa"/>
              <w:bottom w:w="100" w:type="dxa"/>
              <w:right w:w="100" w:type="dxa"/>
            </w:tcMar>
          </w:tcPr>
          <w:p w14:paraId="6BB995F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IRS</w:t>
            </w:r>
          </w:p>
        </w:tc>
        <w:tc>
          <w:tcPr>
            <w:tcW w:w="1417" w:type="dxa"/>
            <w:tcMar>
              <w:top w:w="100" w:type="dxa"/>
              <w:left w:w="100" w:type="dxa"/>
              <w:bottom w:w="100" w:type="dxa"/>
              <w:right w:w="100" w:type="dxa"/>
            </w:tcMar>
          </w:tcPr>
          <w:p w14:paraId="6BB995F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Traceability</w:t>
            </w:r>
          </w:p>
        </w:tc>
        <w:tc>
          <w:tcPr>
            <w:tcW w:w="1418" w:type="dxa"/>
            <w:tcMar>
              <w:top w:w="100" w:type="dxa"/>
              <w:left w:w="100" w:type="dxa"/>
              <w:bottom w:w="100" w:type="dxa"/>
              <w:right w:w="100" w:type="dxa"/>
            </w:tcMar>
          </w:tcPr>
          <w:p w14:paraId="6BB995F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ESG</w:t>
            </w:r>
          </w:p>
        </w:tc>
        <w:tc>
          <w:tcPr>
            <w:tcW w:w="1559" w:type="dxa"/>
            <w:tcMar>
              <w:top w:w="100" w:type="dxa"/>
              <w:left w:w="100" w:type="dxa"/>
              <w:bottom w:w="100" w:type="dxa"/>
              <w:right w:w="100" w:type="dxa"/>
            </w:tcMar>
          </w:tcPr>
          <w:p w14:paraId="6BB995F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2020)</w:t>
            </w:r>
          </w:p>
        </w:tc>
        <w:tc>
          <w:tcPr>
            <w:tcW w:w="992" w:type="dxa"/>
            <w:tcMar>
              <w:top w:w="100" w:type="dxa"/>
              <w:left w:w="100" w:type="dxa"/>
              <w:bottom w:w="100" w:type="dxa"/>
              <w:right w:w="100" w:type="dxa"/>
            </w:tcMar>
          </w:tcPr>
          <w:p w14:paraId="6BB995F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5F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Industry</w:t>
            </w:r>
          </w:p>
        </w:tc>
        <w:tc>
          <w:tcPr>
            <w:tcW w:w="1417" w:type="dxa"/>
            <w:tcMar>
              <w:top w:w="100" w:type="dxa"/>
              <w:left w:w="100" w:type="dxa"/>
              <w:bottom w:w="100" w:type="dxa"/>
              <w:right w:w="100" w:type="dxa"/>
            </w:tcMar>
          </w:tcPr>
          <w:p w14:paraId="6BB995F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Transparency</w:t>
            </w:r>
          </w:p>
        </w:tc>
        <w:tc>
          <w:tcPr>
            <w:tcW w:w="851" w:type="dxa"/>
            <w:tcMar>
              <w:top w:w="100" w:type="dxa"/>
              <w:left w:w="100" w:type="dxa"/>
              <w:bottom w:w="100" w:type="dxa"/>
              <w:right w:w="100" w:type="dxa"/>
            </w:tcMar>
          </w:tcPr>
          <w:p w14:paraId="6BB995F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06" w14:textId="77777777" w:rsidTr="006D15F7">
        <w:trPr>
          <w:trHeight w:val="830"/>
        </w:trPr>
        <w:tc>
          <w:tcPr>
            <w:tcW w:w="1276" w:type="dxa"/>
            <w:tcMar>
              <w:top w:w="100" w:type="dxa"/>
              <w:left w:w="100" w:type="dxa"/>
              <w:bottom w:w="100" w:type="dxa"/>
              <w:right w:w="100" w:type="dxa"/>
            </w:tcMar>
          </w:tcPr>
          <w:p w14:paraId="6BB995F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SUPPORT</w:t>
            </w:r>
          </w:p>
        </w:tc>
        <w:tc>
          <w:tcPr>
            <w:tcW w:w="1135" w:type="dxa"/>
            <w:tcMar>
              <w:top w:w="100" w:type="dxa"/>
              <w:left w:w="100" w:type="dxa"/>
              <w:bottom w:w="100" w:type="dxa"/>
              <w:right w:w="100" w:type="dxa"/>
            </w:tcMar>
          </w:tcPr>
          <w:p w14:paraId="6BB995F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IRP</w:t>
            </w:r>
          </w:p>
        </w:tc>
        <w:tc>
          <w:tcPr>
            <w:tcW w:w="1417" w:type="dxa"/>
            <w:tcMar>
              <w:top w:w="100" w:type="dxa"/>
              <w:left w:w="100" w:type="dxa"/>
              <w:bottom w:w="100" w:type="dxa"/>
              <w:right w:w="100" w:type="dxa"/>
            </w:tcMar>
          </w:tcPr>
          <w:p w14:paraId="6BB995F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Predictive resilience</w:t>
            </w:r>
          </w:p>
        </w:tc>
        <w:tc>
          <w:tcPr>
            <w:tcW w:w="1418" w:type="dxa"/>
            <w:tcMar>
              <w:top w:w="100" w:type="dxa"/>
              <w:left w:w="100" w:type="dxa"/>
              <w:bottom w:w="100" w:type="dxa"/>
              <w:right w:w="100" w:type="dxa"/>
            </w:tcMar>
          </w:tcPr>
          <w:p w14:paraId="6BB9960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Climate</w:t>
            </w:r>
          </w:p>
        </w:tc>
        <w:tc>
          <w:tcPr>
            <w:tcW w:w="1559" w:type="dxa"/>
            <w:tcMar>
              <w:top w:w="100" w:type="dxa"/>
              <w:left w:w="100" w:type="dxa"/>
              <w:bottom w:w="100" w:type="dxa"/>
              <w:right w:w="100" w:type="dxa"/>
            </w:tcMar>
          </w:tcPr>
          <w:p w14:paraId="6BB9960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(KITCHIN, 2014)</w:t>
            </w:r>
          </w:p>
        </w:tc>
        <w:tc>
          <w:tcPr>
            <w:tcW w:w="992" w:type="dxa"/>
            <w:tcMar>
              <w:top w:w="100" w:type="dxa"/>
              <w:left w:w="100" w:type="dxa"/>
              <w:bottom w:w="100" w:type="dxa"/>
              <w:right w:w="100" w:type="dxa"/>
            </w:tcMar>
          </w:tcPr>
          <w:p w14:paraId="6BB9960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w:t>
            </w:r>
          </w:p>
        </w:tc>
        <w:tc>
          <w:tcPr>
            <w:tcW w:w="1418" w:type="dxa"/>
            <w:tcMar>
              <w:top w:w="100" w:type="dxa"/>
              <w:left w:w="100" w:type="dxa"/>
              <w:bottom w:w="100" w:type="dxa"/>
              <w:right w:w="100" w:type="dxa"/>
            </w:tcMar>
          </w:tcPr>
          <w:p w14:paraId="6BB9960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0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Prevention</w:t>
            </w:r>
          </w:p>
        </w:tc>
        <w:tc>
          <w:tcPr>
            <w:tcW w:w="851" w:type="dxa"/>
            <w:tcMar>
              <w:top w:w="100" w:type="dxa"/>
              <w:left w:w="100" w:type="dxa"/>
              <w:bottom w:w="100" w:type="dxa"/>
              <w:right w:w="100" w:type="dxa"/>
            </w:tcMar>
          </w:tcPr>
          <w:p w14:paraId="6BB9960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10" w14:textId="77777777" w:rsidTr="006D15F7">
        <w:trPr>
          <w:trHeight w:val="830"/>
        </w:trPr>
        <w:tc>
          <w:tcPr>
            <w:tcW w:w="1276" w:type="dxa"/>
            <w:tcMar>
              <w:top w:w="100" w:type="dxa"/>
              <w:left w:w="100" w:type="dxa"/>
              <w:bottom w:w="100" w:type="dxa"/>
              <w:right w:w="100" w:type="dxa"/>
            </w:tcMar>
          </w:tcPr>
          <w:p w14:paraId="6BB9960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SUPPORT</w:t>
            </w:r>
          </w:p>
        </w:tc>
        <w:tc>
          <w:tcPr>
            <w:tcW w:w="1135" w:type="dxa"/>
            <w:tcMar>
              <w:top w:w="100" w:type="dxa"/>
              <w:left w:w="100" w:type="dxa"/>
              <w:bottom w:w="100" w:type="dxa"/>
              <w:right w:w="100" w:type="dxa"/>
            </w:tcMar>
          </w:tcPr>
          <w:p w14:paraId="6BB9960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TRU</w:t>
            </w:r>
          </w:p>
        </w:tc>
        <w:tc>
          <w:tcPr>
            <w:tcW w:w="1417" w:type="dxa"/>
            <w:tcMar>
              <w:top w:w="100" w:type="dxa"/>
              <w:left w:w="100" w:type="dxa"/>
              <w:bottom w:w="100" w:type="dxa"/>
              <w:right w:w="100" w:type="dxa"/>
            </w:tcMar>
          </w:tcPr>
          <w:p w14:paraId="6BB9960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Recovery time</w:t>
            </w:r>
          </w:p>
        </w:tc>
        <w:tc>
          <w:tcPr>
            <w:tcW w:w="1418" w:type="dxa"/>
            <w:tcMar>
              <w:top w:w="100" w:type="dxa"/>
              <w:left w:w="100" w:type="dxa"/>
              <w:bottom w:w="100" w:type="dxa"/>
              <w:right w:w="100" w:type="dxa"/>
            </w:tcMar>
          </w:tcPr>
          <w:p w14:paraId="6BB9960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Resilience</w:t>
            </w:r>
          </w:p>
        </w:tc>
        <w:tc>
          <w:tcPr>
            <w:tcW w:w="1559" w:type="dxa"/>
            <w:tcMar>
              <w:top w:w="100" w:type="dxa"/>
              <w:left w:w="100" w:type="dxa"/>
              <w:bottom w:w="100" w:type="dxa"/>
              <w:right w:w="100" w:type="dxa"/>
            </w:tcMar>
          </w:tcPr>
          <w:p w14:paraId="6BB9960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(ISO, 2019)</w:t>
            </w:r>
          </w:p>
        </w:tc>
        <w:tc>
          <w:tcPr>
            <w:tcW w:w="992" w:type="dxa"/>
            <w:tcMar>
              <w:top w:w="100" w:type="dxa"/>
              <w:left w:w="100" w:type="dxa"/>
              <w:bottom w:w="100" w:type="dxa"/>
              <w:right w:w="100" w:type="dxa"/>
            </w:tcMar>
          </w:tcPr>
          <w:p w14:paraId="6BB9960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0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Civil defense</w:t>
            </w:r>
          </w:p>
        </w:tc>
        <w:tc>
          <w:tcPr>
            <w:tcW w:w="1417" w:type="dxa"/>
            <w:tcMar>
              <w:top w:w="100" w:type="dxa"/>
              <w:left w:w="100" w:type="dxa"/>
              <w:bottom w:w="100" w:type="dxa"/>
              <w:right w:w="100" w:type="dxa"/>
            </w:tcMar>
          </w:tcPr>
          <w:p w14:paraId="6BB9960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Continuity</w:t>
            </w:r>
          </w:p>
        </w:tc>
        <w:tc>
          <w:tcPr>
            <w:tcW w:w="851" w:type="dxa"/>
            <w:tcMar>
              <w:top w:w="100" w:type="dxa"/>
              <w:left w:w="100" w:type="dxa"/>
              <w:bottom w:w="100" w:type="dxa"/>
              <w:right w:w="100" w:type="dxa"/>
            </w:tcMar>
          </w:tcPr>
          <w:p w14:paraId="6BB9960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1A" w14:textId="77777777" w:rsidTr="006D15F7">
        <w:trPr>
          <w:trHeight w:val="830"/>
        </w:trPr>
        <w:tc>
          <w:tcPr>
            <w:tcW w:w="1276" w:type="dxa"/>
            <w:tcMar>
              <w:top w:w="100" w:type="dxa"/>
              <w:left w:w="100" w:type="dxa"/>
              <w:bottom w:w="100" w:type="dxa"/>
              <w:right w:w="100" w:type="dxa"/>
            </w:tcMar>
          </w:tcPr>
          <w:p w14:paraId="6BB9961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ETHICS</w:t>
            </w:r>
          </w:p>
        </w:tc>
        <w:tc>
          <w:tcPr>
            <w:tcW w:w="1135" w:type="dxa"/>
            <w:tcMar>
              <w:top w:w="100" w:type="dxa"/>
              <w:left w:w="100" w:type="dxa"/>
              <w:bottom w:w="100" w:type="dxa"/>
              <w:right w:w="100" w:type="dxa"/>
            </w:tcMar>
          </w:tcPr>
          <w:p w14:paraId="6BB9961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ICTU</w:t>
            </w:r>
          </w:p>
        </w:tc>
        <w:tc>
          <w:tcPr>
            <w:tcW w:w="1417" w:type="dxa"/>
            <w:tcMar>
              <w:top w:w="100" w:type="dxa"/>
              <w:left w:w="100" w:type="dxa"/>
              <w:bottom w:w="100" w:type="dxa"/>
              <w:right w:w="100" w:type="dxa"/>
            </w:tcMar>
          </w:tcPr>
          <w:p w14:paraId="6BB9961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Technology confidence</w:t>
            </w:r>
          </w:p>
        </w:tc>
        <w:tc>
          <w:tcPr>
            <w:tcW w:w="1418" w:type="dxa"/>
            <w:tcMar>
              <w:top w:w="100" w:type="dxa"/>
              <w:left w:w="100" w:type="dxa"/>
              <w:bottom w:w="100" w:type="dxa"/>
              <w:right w:w="100" w:type="dxa"/>
            </w:tcMar>
          </w:tcPr>
          <w:p w14:paraId="6BB9961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Acceptance</w:t>
            </w:r>
          </w:p>
        </w:tc>
        <w:tc>
          <w:tcPr>
            <w:tcW w:w="1559" w:type="dxa"/>
            <w:tcMar>
              <w:top w:w="100" w:type="dxa"/>
              <w:left w:w="100" w:type="dxa"/>
              <w:bottom w:w="100" w:type="dxa"/>
              <w:right w:w="100" w:type="dxa"/>
            </w:tcMar>
          </w:tcPr>
          <w:p w14:paraId="6BB9961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2019)</w:t>
            </w:r>
          </w:p>
        </w:tc>
        <w:tc>
          <w:tcPr>
            <w:tcW w:w="992" w:type="dxa"/>
            <w:tcMar>
              <w:top w:w="100" w:type="dxa"/>
              <w:left w:w="100" w:type="dxa"/>
              <w:bottom w:w="100" w:type="dxa"/>
              <w:right w:w="100" w:type="dxa"/>
            </w:tcMar>
          </w:tcPr>
          <w:p w14:paraId="6BB9961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Survey</w:t>
            </w:r>
          </w:p>
        </w:tc>
        <w:tc>
          <w:tcPr>
            <w:tcW w:w="1418" w:type="dxa"/>
            <w:tcMar>
              <w:top w:w="100" w:type="dxa"/>
              <w:left w:w="100" w:type="dxa"/>
              <w:bottom w:w="100" w:type="dxa"/>
              <w:right w:w="100" w:type="dxa"/>
            </w:tcMar>
          </w:tcPr>
          <w:p w14:paraId="6BB9961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Population</w:t>
            </w:r>
          </w:p>
        </w:tc>
        <w:tc>
          <w:tcPr>
            <w:tcW w:w="1417" w:type="dxa"/>
            <w:tcMar>
              <w:top w:w="100" w:type="dxa"/>
              <w:left w:w="100" w:type="dxa"/>
              <w:bottom w:w="100" w:type="dxa"/>
              <w:right w:w="100" w:type="dxa"/>
            </w:tcMar>
          </w:tcPr>
          <w:p w14:paraId="6BB9961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Legitimacy</w:t>
            </w:r>
          </w:p>
        </w:tc>
        <w:tc>
          <w:tcPr>
            <w:tcW w:w="851" w:type="dxa"/>
            <w:tcMar>
              <w:top w:w="100" w:type="dxa"/>
              <w:left w:w="100" w:type="dxa"/>
              <w:bottom w:w="100" w:type="dxa"/>
              <w:right w:w="100" w:type="dxa"/>
            </w:tcMar>
          </w:tcPr>
          <w:p w14:paraId="6BB9961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0,25</w:t>
            </w:r>
          </w:p>
        </w:tc>
      </w:tr>
      <w:tr w:rsidR="00120C68" w14:paraId="6BB99624" w14:textId="77777777" w:rsidTr="006D15F7">
        <w:trPr>
          <w:trHeight w:val="830"/>
        </w:trPr>
        <w:tc>
          <w:tcPr>
            <w:tcW w:w="1276" w:type="dxa"/>
            <w:tcMar>
              <w:top w:w="100" w:type="dxa"/>
              <w:left w:w="100" w:type="dxa"/>
              <w:bottom w:w="100" w:type="dxa"/>
              <w:right w:w="100" w:type="dxa"/>
            </w:tcMar>
          </w:tcPr>
          <w:p w14:paraId="6BB9961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ETHICS</w:t>
            </w:r>
          </w:p>
        </w:tc>
        <w:tc>
          <w:tcPr>
            <w:tcW w:w="1135" w:type="dxa"/>
            <w:tcMar>
              <w:top w:w="100" w:type="dxa"/>
              <w:left w:w="100" w:type="dxa"/>
              <w:bottom w:w="100" w:type="dxa"/>
              <w:right w:w="100" w:type="dxa"/>
            </w:tcMar>
          </w:tcPr>
          <w:p w14:paraId="6BB9961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TSPD</w:t>
            </w:r>
          </w:p>
        </w:tc>
        <w:tc>
          <w:tcPr>
            <w:tcW w:w="1417" w:type="dxa"/>
            <w:tcMar>
              <w:top w:w="100" w:type="dxa"/>
              <w:left w:w="100" w:type="dxa"/>
              <w:bottom w:w="100" w:type="dxa"/>
              <w:right w:w="100" w:type="dxa"/>
            </w:tcMar>
          </w:tcPr>
          <w:p w14:paraId="6BB9961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 security</w:t>
            </w:r>
          </w:p>
        </w:tc>
        <w:tc>
          <w:tcPr>
            <w:tcW w:w="1418" w:type="dxa"/>
            <w:tcMar>
              <w:top w:w="100" w:type="dxa"/>
              <w:left w:w="100" w:type="dxa"/>
              <w:bottom w:w="100" w:type="dxa"/>
              <w:right w:w="100" w:type="dxa"/>
            </w:tcMar>
          </w:tcPr>
          <w:p w14:paraId="6BB9961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Protection</w:t>
            </w:r>
          </w:p>
        </w:tc>
        <w:tc>
          <w:tcPr>
            <w:tcW w:w="1559" w:type="dxa"/>
            <w:tcMar>
              <w:top w:w="100" w:type="dxa"/>
              <w:left w:w="100" w:type="dxa"/>
              <w:bottom w:w="100" w:type="dxa"/>
              <w:right w:w="100" w:type="dxa"/>
            </w:tcMar>
          </w:tcPr>
          <w:p w14:paraId="6BB9961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(WORLD BANK, 2021)</w:t>
            </w:r>
          </w:p>
        </w:tc>
        <w:tc>
          <w:tcPr>
            <w:tcW w:w="992" w:type="dxa"/>
            <w:tcMar>
              <w:top w:w="100" w:type="dxa"/>
              <w:left w:w="100" w:type="dxa"/>
              <w:bottom w:w="100" w:type="dxa"/>
              <w:right w:w="100" w:type="dxa"/>
            </w:tcMar>
          </w:tcPr>
          <w:p w14:paraId="6BB9962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IT</w:t>
            </w:r>
          </w:p>
        </w:tc>
        <w:tc>
          <w:tcPr>
            <w:tcW w:w="1418" w:type="dxa"/>
            <w:tcMar>
              <w:top w:w="100" w:type="dxa"/>
              <w:left w:w="100" w:type="dxa"/>
              <w:bottom w:w="100" w:type="dxa"/>
              <w:right w:w="100" w:type="dxa"/>
            </w:tcMar>
          </w:tcPr>
          <w:p w14:paraId="6BB9962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2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Security</w:t>
            </w:r>
          </w:p>
        </w:tc>
        <w:tc>
          <w:tcPr>
            <w:tcW w:w="851" w:type="dxa"/>
            <w:tcMar>
              <w:top w:w="100" w:type="dxa"/>
              <w:left w:w="100" w:type="dxa"/>
              <w:bottom w:w="100" w:type="dxa"/>
              <w:right w:w="100" w:type="dxa"/>
            </w:tcMar>
          </w:tcPr>
          <w:p w14:paraId="6BB9962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2E" w14:textId="77777777" w:rsidTr="006D15F7">
        <w:trPr>
          <w:trHeight w:val="830"/>
        </w:trPr>
        <w:tc>
          <w:tcPr>
            <w:tcW w:w="1276" w:type="dxa"/>
            <w:tcMar>
              <w:top w:w="100" w:type="dxa"/>
              <w:left w:w="100" w:type="dxa"/>
              <w:bottom w:w="100" w:type="dxa"/>
              <w:right w:w="100" w:type="dxa"/>
            </w:tcMar>
          </w:tcPr>
          <w:p w14:paraId="6BB9962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ETHICS</w:t>
            </w:r>
          </w:p>
        </w:tc>
        <w:tc>
          <w:tcPr>
            <w:tcW w:w="1135" w:type="dxa"/>
            <w:tcMar>
              <w:top w:w="100" w:type="dxa"/>
              <w:left w:w="100" w:type="dxa"/>
              <w:bottom w:w="100" w:type="dxa"/>
              <w:right w:w="100" w:type="dxa"/>
            </w:tcMar>
          </w:tcPr>
          <w:p w14:paraId="6BB9962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ICA</w:t>
            </w:r>
          </w:p>
        </w:tc>
        <w:tc>
          <w:tcPr>
            <w:tcW w:w="1417" w:type="dxa"/>
            <w:tcMar>
              <w:top w:w="100" w:type="dxa"/>
              <w:left w:w="100" w:type="dxa"/>
              <w:bottom w:w="100" w:type="dxa"/>
              <w:right w:w="100" w:type="dxa"/>
            </w:tcMar>
          </w:tcPr>
          <w:p w14:paraId="6BB9962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 Reliability</w:t>
            </w:r>
          </w:p>
        </w:tc>
        <w:tc>
          <w:tcPr>
            <w:tcW w:w="1418" w:type="dxa"/>
            <w:tcMar>
              <w:top w:w="100" w:type="dxa"/>
              <w:left w:w="100" w:type="dxa"/>
              <w:bottom w:w="100" w:type="dxa"/>
              <w:right w:w="100" w:type="dxa"/>
            </w:tcMar>
          </w:tcPr>
          <w:p w14:paraId="6BB9962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Accuracy</w:t>
            </w:r>
          </w:p>
        </w:tc>
        <w:tc>
          <w:tcPr>
            <w:tcW w:w="1559" w:type="dxa"/>
            <w:tcMar>
              <w:top w:w="100" w:type="dxa"/>
              <w:left w:w="100" w:type="dxa"/>
              <w:bottom w:w="100" w:type="dxa"/>
              <w:right w:w="100" w:type="dxa"/>
            </w:tcMar>
          </w:tcPr>
          <w:p w14:paraId="6BB9962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(FLORIDI et al., 2018)</w:t>
            </w:r>
          </w:p>
        </w:tc>
        <w:tc>
          <w:tcPr>
            <w:tcW w:w="992" w:type="dxa"/>
            <w:tcMar>
              <w:top w:w="100" w:type="dxa"/>
              <w:left w:w="100" w:type="dxa"/>
              <w:bottom w:w="100" w:type="dxa"/>
              <w:right w:w="100" w:type="dxa"/>
            </w:tcMar>
          </w:tcPr>
          <w:p w14:paraId="6BB9962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w:t>
            </w:r>
          </w:p>
        </w:tc>
        <w:tc>
          <w:tcPr>
            <w:tcW w:w="1418" w:type="dxa"/>
            <w:tcMar>
              <w:top w:w="100" w:type="dxa"/>
              <w:left w:w="100" w:type="dxa"/>
              <w:bottom w:w="100" w:type="dxa"/>
              <w:right w:w="100" w:type="dxa"/>
            </w:tcMar>
          </w:tcPr>
          <w:p w14:paraId="6BB9962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2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Security</w:t>
            </w:r>
          </w:p>
        </w:tc>
        <w:tc>
          <w:tcPr>
            <w:tcW w:w="851" w:type="dxa"/>
            <w:tcMar>
              <w:top w:w="100" w:type="dxa"/>
              <w:left w:w="100" w:type="dxa"/>
              <w:bottom w:w="100" w:type="dxa"/>
              <w:right w:w="100" w:type="dxa"/>
            </w:tcMar>
          </w:tcPr>
          <w:p w14:paraId="6BB9962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38" w14:textId="77777777" w:rsidTr="006D15F7">
        <w:trPr>
          <w:trHeight w:val="830"/>
        </w:trPr>
        <w:tc>
          <w:tcPr>
            <w:tcW w:w="1276" w:type="dxa"/>
            <w:tcMar>
              <w:top w:w="100" w:type="dxa"/>
              <w:left w:w="100" w:type="dxa"/>
              <w:bottom w:w="100" w:type="dxa"/>
              <w:right w:w="100" w:type="dxa"/>
            </w:tcMar>
          </w:tcPr>
          <w:p w14:paraId="6BB9962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ETHICS</w:t>
            </w:r>
          </w:p>
        </w:tc>
        <w:tc>
          <w:tcPr>
            <w:tcW w:w="1135" w:type="dxa"/>
            <w:tcMar>
              <w:top w:w="100" w:type="dxa"/>
              <w:left w:w="100" w:type="dxa"/>
              <w:bottom w:w="100" w:type="dxa"/>
              <w:right w:w="100" w:type="dxa"/>
            </w:tcMar>
          </w:tcPr>
          <w:p w14:paraId="6BB9963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IAR</w:t>
            </w:r>
          </w:p>
        </w:tc>
        <w:tc>
          <w:tcPr>
            <w:tcW w:w="1417" w:type="dxa"/>
            <w:tcMar>
              <w:top w:w="100" w:type="dxa"/>
              <w:left w:w="100" w:type="dxa"/>
              <w:bottom w:w="100" w:type="dxa"/>
              <w:right w:w="100" w:type="dxa"/>
            </w:tcMar>
          </w:tcPr>
          <w:p w14:paraId="6BB9963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Regulatory adaptability</w:t>
            </w:r>
          </w:p>
        </w:tc>
        <w:tc>
          <w:tcPr>
            <w:tcW w:w="1418" w:type="dxa"/>
            <w:tcMar>
              <w:top w:w="100" w:type="dxa"/>
              <w:left w:w="100" w:type="dxa"/>
              <w:bottom w:w="100" w:type="dxa"/>
              <w:right w:w="100" w:type="dxa"/>
            </w:tcMar>
          </w:tcPr>
          <w:p w14:paraId="6BB9963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Innovation</w:t>
            </w:r>
          </w:p>
        </w:tc>
        <w:tc>
          <w:tcPr>
            <w:tcW w:w="1559" w:type="dxa"/>
            <w:tcMar>
              <w:top w:w="100" w:type="dxa"/>
              <w:left w:w="100" w:type="dxa"/>
              <w:bottom w:w="100" w:type="dxa"/>
              <w:right w:w="100" w:type="dxa"/>
            </w:tcMar>
          </w:tcPr>
          <w:p w14:paraId="6BB9963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2020)</w:t>
            </w:r>
          </w:p>
        </w:tc>
        <w:tc>
          <w:tcPr>
            <w:tcW w:w="992" w:type="dxa"/>
            <w:tcMar>
              <w:top w:w="100" w:type="dxa"/>
              <w:left w:w="100" w:type="dxa"/>
              <w:bottom w:w="100" w:type="dxa"/>
              <w:right w:w="100" w:type="dxa"/>
            </w:tcMar>
          </w:tcPr>
          <w:p w14:paraId="6BB9963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Standards</w:t>
            </w:r>
          </w:p>
        </w:tc>
        <w:tc>
          <w:tcPr>
            <w:tcW w:w="1418" w:type="dxa"/>
            <w:tcMar>
              <w:top w:w="100" w:type="dxa"/>
              <w:left w:w="100" w:type="dxa"/>
              <w:bottom w:w="100" w:type="dxa"/>
              <w:right w:w="100" w:type="dxa"/>
            </w:tcMar>
          </w:tcPr>
          <w:p w14:paraId="6BB9963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State</w:t>
            </w:r>
          </w:p>
        </w:tc>
        <w:tc>
          <w:tcPr>
            <w:tcW w:w="1417" w:type="dxa"/>
            <w:tcMar>
              <w:top w:w="100" w:type="dxa"/>
              <w:left w:w="100" w:type="dxa"/>
              <w:bottom w:w="100" w:type="dxa"/>
              <w:right w:w="100" w:type="dxa"/>
            </w:tcMar>
          </w:tcPr>
          <w:p w14:paraId="6BB9963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Update</w:t>
            </w:r>
          </w:p>
        </w:tc>
        <w:tc>
          <w:tcPr>
            <w:tcW w:w="851" w:type="dxa"/>
            <w:tcMar>
              <w:top w:w="100" w:type="dxa"/>
              <w:left w:w="100" w:type="dxa"/>
              <w:bottom w:w="100" w:type="dxa"/>
              <w:right w:w="100" w:type="dxa"/>
            </w:tcMar>
          </w:tcPr>
          <w:p w14:paraId="6BB9963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42" w14:textId="77777777" w:rsidTr="006D15F7">
        <w:trPr>
          <w:trHeight w:val="830"/>
        </w:trPr>
        <w:tc>
          <w:tcPr>
            <w:tcW w:w="1276" w:type="dxa"/>
            <w:tcMar>
              <w:top w:w="100" w:type="dxa"/>
              <w:left w:w="100" w:type="dxa"/>
              <w:bottom w:w="100" w:type="dxa"/>
              <w:right w:w="100" w:type="dxa"/>
            </w:tcMar>
          </w:tcPr>
          <w:p w14:paraId="6BB9963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ETHICS</w:t>
            </w:r>
          </w:p>
        </w:tc>
        <w:tc>
          <w:tcPr>
            <w:tcW w:w="1135" w:type="dxa"/>
            <w:tcMar>
              <w:top w:w="100" w:type="dxa"/>
              <w:left w:w="100" w:type="dxa"/>
              <w:bottom w:w="100" w:type="dxa"/>
              <w:right w:w="100" w:type="dxa"/>
            </w:tcMar>
          </w:tcPr>
          <w:p w14:paraId="6BB9963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IIST</w:t>
            </w:r>
          </w:p>
        </w:tc>
        <w:tc>
          <w:tcPr>
            <w:tcW w:w="1417" w:type="dxa"/>
            <w:tcMar>
              <w:top w:w="100" w:type="dxa"/>
              <w:left w:w="100" w:type="dxa"/>
              <w:bottom w:w="100" w:type="dxa"/>
              <w:right w:w="100" w:type="dxa"/>
            </w:tcMar>
          </w:tcPr>
          <w:p w14:paraId="6BB9963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Socio-technical impact</w:t>
            </w:r>
          </w:p>
        </w:tc>
        <w:tc>
          <w:tcPr>
            <w:tcW w:w="1418" w:type="dxa"/>
            <w:tcMar>
              <w:top w:w="100" w:type="dxa"/>
              <w:left w:w="100" w:type="dxa"/>
              <w:bottom w:w="100" w:type="dxa"/>
              <w:right w:w="100" w:type="dxa"/>
            </w:tcMar>
          </w:tcPr>
          <w:p w14:paraId="6BB9963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AI+society</w:t>
            </w:r>
          </w:p>
        </w:tc>
        <w:tc>
          <w:tcPr>
            <w:tcW w:w="1559" w:type="dxa"/>
            <w:tcMar>
              <w:top w:w="100" w:type="dxa"/>
              <w:left w:w="100" w:type="dxa"/>
              <w:bottom w:w="100" w:type="dxa"/>
              <w:right w:w="100" w:type="dxa"/>
            </w:tcMar>
          </w:tcPr>
          <w:p w14:paraId="6BB9963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(KITCHIN, 2014)</w:t>
            </w:r>
          </w:p>
        </w:tc>
        <w:tc>
          <w:tcPr>
            <w:tcW w:w="992" w:type="dxa"/>
            <w:tcMar>
              <w:top w:w="100" w:type="dxa"/>
              <w:left w:w="100" w:type="dxa"/>
              <w:bottom w:w="100" w:type="dxa"/>
              <w:right w:w="100" w:type="dxa"/>
            </w:tcMar>
          </w:tcPr>
          <w:p w14:paraId="6BB9963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3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Society</w:t>
            </w:r>
          </w:p>
        </w:tc>
        <w:tc>
          <w:tcPr>
            <w:tcW w:w="1417" w:type="dxa"/>
            <w:tcMar>
              <w:top w:w="100" w:type="dxa"/>
              <w:left w:w="100" w:type="dxa"/>
              <w:bottom w:w="100" w:type="dxa"/>
              <w:right w:w="100" w:type="dxa"/>
            </w:tcMar>
          </w:tcPr>
          <w:p w14:paraId="6BB9964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Wellness</w:t>
            </w:r>
          </w:p>
        </w:tc>
        <w:tc>
          <w:tcPr>
            <w:tcW w:w="851" w:type="dxa"/>
            <w:tcMar>
              <w:top w:w="100" w:type="dxa"/>
              <w:left w:w="100" w:type="dxa"/>
              <w:bottom w:w="100" w:type="dxa"/>
              <w:right w:w="100" w:type="dxa"/>
            </w:tcMar>
          </w:tcPr>
          <w:p w14:paraId="6BB9964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0,15</w:t>
            </w:r>
          </w:p>
        </w:tc>
      </w:tr>
      <w:tr w:rsidR="00120C68" w14:paraId="6BB9964C" w14:textId="77777777" w:rsidTr="006D15F7">
        <w:trPr>
          <w:trHeight w:val="830"/>
        </w:trPr>
        <w:tc>
          <w:tcPr>
            <w:tcW w:w="1276" w:type="dxa"/>
            <w:tcMar>
              <w:top w:w="100" w:type="dxa"/>
              <w:left w:w="100" w:type="dxa"/>
              <w:bottom w:w="100" w:type="dxa"/>
              <w:right w:w="100" w:type="dxa"/>
            </w:tcMar>
          </w:tcPr>
          <w:p w14:paraId="6BB9964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MÉT</w:t>
            </w:r>
          </w:p>
        </w:tc>
        <w:tc>
          <w:tcPr>
            <w:tcW w:w="1135" w:type="dxa"/>
            <w:tcMar>
              <w:top w:w="100" w:type="dxa"/>
              <w:left w:w="100" w:type="dxa"/>
              <w:bottom w:w="100" w:type="dxa"/>
              <w:right w:w="100" w:type="dxa"/>
            </w:tcMar>
          </w:tcPr>
          <w:p w14:paraId="6BB9964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ICP</w:t>
            </w:r>
          </w:p>
        </w:tc>
        <w:tc>
          <w:tcPr>
            <w:tcW w:w="1417" w:type="dxa"/>
            <w:tcMar>
              <w:top w:w="100" w:type="dxa"/>
              <w:left w:w="100" w:type="dxa"/>
              <w:bottom w:w="100" w:type="dxa"/>
              <w:right w:w="100" w:type="dxa"/>
            </w:tcMar>
          </w:tcPr>
          <w:p w14:paraId="6BB9964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Perceptual consensus</w:t>
            </w:r>
          </w:p>
        </w:tc>
        <w:tc>
          <w:tcPr>
            <w:tcW w:w="1418" w:type="dxa"/>
            <w:tcMar>
              <w:top w:w="100" w:type="dxa"/>
              <w:left w:w="100" w:type="dxa"/>
              <w:bottom w:w="100" w:type="dxa"/>
              <w:right w:w="100" w:type="dxa"/>
            </w:tcMar>
          </w:tcPr>
          <w:p w14:paraId="6BB9964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Validity</w:t>
            </w:r>
          </w:p>
        </w:tc>
        <w:tc>
          <w:tcPr>
            <w:tcW w:w="1559" w:type="dxa"/>
            <w:tcMar>
              <w:top w:w="100" w:type="dxa"/>
              <w:left w:w="100" w:type="dxa"/>
              <w:bottom w:w="100" w:type="dxa"/>
              <w:right w:w="100" w:type="dxa"/>
            </w:tcMar>
          </w:tcPr>
          <w:p w14:paraId="6BB9964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(FIELD, 2013)</w:t>
            </w:r>
          </w:p>
        </w:tc>
        <w:tc>
          <w:tcPr>
            <w:tcW w:w="992" w:type="dxa"/>
            <w:tcMar>
              <w:top w:w="100" w:type="dxa"/>
              <w:left w:w="100" w:type="dxa"/>
              <w:bottom w:w="100" w:type="dxa"/>
              <w:right w:w="100" w:type="dxa"/>
            </w:tcMar>
          </w:tcPr>
          <w:p w14:paraId="6BB9964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Survey</w:t>
            </w:r>
          </w:p>
        </w:tc>
        <w:tc>
          <w:tcPr>
            <w:tcW w:w="1418" w:type="dxa"/>
            <w:tcMar>
              <w:top w:w="100" w:type="dxa"/>
              <w:left w:w="100" w:type="dxa"/>
              <w:bottom w:w="100" w:type="dxa"/>
              <w:right w:w="100" w:type="dxa"/>
            </w:tcMar>
          </w:tcPr>
          <w:p w14:paraId="6BB9964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Research</w:t>
            </w:r>
          </w:p>
        </w:tc>
        <w:tc>
          <w:tcPr>
            <w:tcW w:w="1417" w:type="dxa"/>
            <w:tcMar>
              <w:top w:w="100" w:type="dxa"/>
              <w:left w:w="100" w:type="dxa"/>
              <w:bottom w:w="100" w:type="dxa"/>
              <w:right w:w="100" w:type="dxa"/>
            </w:tcMar>
          </w:tcPr>
          <w:p w14:paraId="6BB9964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Robustness</w:t>
            </w:r>
          </w:p>
        </w:tc>
        <w:tc>
          <w:tcPr>
            <w:tcW w:w="851" w:type="dxa"/>
            <w:tcMar>
              <w:top w:w="100" w:type="dxa"/>
              <w:left w:w="100" w:type="dxa"/>
              <w:bottom w:w="100" w:type="dxa"/>
              <w:right w:w="100" w:type="dxa"/>
            </w:tcMar>
          </w:tcPr>
          <w:p w14:paraId="6BB9964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56" w14:textId="77777777" w:rsidTr="006D15F7">
        <w:trPr>
          <w:trHeight w:val="830"/>
        </w:trPr>
        <w:tc>
          <w:tcPr>
            <w:tcW w:w="1276" w:type="dxa"/>
            <w:tcMar>
              <w:top w:w="100" w:type="dxa"/>
              <w:left w:w="100" w:type="dxa"/>
              <w:bottom w:w="100" w:type="dxa"/>
              <w:right w:w="100" w:type="dxa"/>
            </w:tcMar>
          </w:tcPr>
          <w:p w14:paraId="6BB9964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lastRenderedPageBreak/>
              <w:t>MÉT</w:t>
            </w:r>
          </w:p>
        </w:tc>
        <w:tc>
          <w:tcPr>
            <w:tcW w:w="1135" w:type="dxa"/>
            <w:tcMar>
              <w:top w:w="100" w:type="dxa"/>
              <w:left w:w="100" w:type="dxa"/>
              <w:bottom w:w="100" w:type="dxa"/>
              <w:right w:w="100" w:type="dxa"/>
            </w:tcMar>
          </w:tcPr>
          <w:p w14:paraId="6BB9964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ICL</w:t>
            </w:r>
          </w:p>
        </w:tc>
        <w:tc>
          <w:tcPr>
            <w:tcW w:w="1417" w:type="dxa"/>
            <w:tcMar>
              <w:top w:w="100" w:type="dxa"/>
              <w:left w:w="100" w:type="dxa"/>
              <w:bottom w:w="100" w:type="dxa"/>
              <w:right w:w="100" w:type="dxa"/>
            </w:tcMar>
          </w:tcPr>
          <w:p w14:paraId="6BB9964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Latent coherence</w:t>
            </w:r>
          </w:p>
        </w:tc>
        <w:tc>
          <w:tcPr>
            <w:tcW w:w="1418" w:type="dxa"/>
            <w:tcMar>
              <w:top w:w="100" w:type="dxa"/>
              <w:left w:w="100" w:type="dxa"/>
              <w:bottom w:w="100" w:type="dxa"/>
              <w:right w:w="100" w:type="dxa"/>
            </w:tcMar>
          </w:tcPr>
          <w:p w14:paraId="6BB9965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Construct</w:t>
            </w:r>
          </w:p>
        </w:tc>
        <w:tc>
          <w:tcPr>
            <w:tcW w:w="1559" w:type="dxa"/>
            <w:tcMar>
              <w:top w:w="100" w:type="dxa"/>
              <w:left w:w="100" w:type="dxa"/>
              <w:bottom w:w="100" w:type="dxa"/>
              <w:right w:w="100" w:type="dxa"/>
            </w:tcMar>
          </w:tcPr>
          <w:p w14:paraId="6BB9965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(HAIR et al., 2010)</w:t>
            </w:r>
          </w:p>
        </w:tc>
        <w:tc>
          <w:tcPr>
            <w:tcW w:w="992" w:type="dxa"/>
            <w:tcMar>
              <w:top w:w="100" w:type="dxa"/>
              <w:left w:w="100" w:type="dxa"/>
              <w:bottom w:w="100" w:type="dxa"/>
              <w:right w:w="100" w:type="dxa"/>
            </w:tcMar>
          </w:tcPr>
          <w:p w14:paraId="6BB9965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5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Academics</w:t>
            </w:r>
          </w:p>
        </w:tc>
        <w:tc>
          <w:tcPr>
            <w:tcW w:w="1417" w:type="dxa"/>
            <w:tcMar>
              <w:top w:w="100" w:type="dxa"/>
              <w:left w:w="100" w:type="dxa"/>
              <w:bottom w:w="100" w:type="dxa"/>
              <w:right w:w="100" w:type="dxa"/>
            </w:tcMar>
          </w:tcPr>
          <w:p w14:paraId="6BB9965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Quality</w:t>
            </w:r>
          </w:p>
        </w:tc>
        <w:tc>
          <w:tcPr>
            <w:tcW w:w="851" w:type="dxa"/>
            <w:tcMar>
              <w:top w:w="100" w:type="dxa"/>
              <w:left w:w="100" w:type="dxa"/>
              <w:bottom w:w="100" w:type="dxa"/>
              <w:right w:w="100" w:type="dxa"/>
            </w:tcMar>
          </w:tcPr>
          <w:p w14:paraId="6BB9965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60" w14:textId="77777777" w:rsidTr="006D15F7">
        <w:trPr>
          <w:trHeight w:val="830"/>
        </w:trPr>
        <w:tc>
          <w:tcPr>
            <w:tcW w:w="1276" w:type="dxa"/>
            <w:tcMar>
              <w:top w:w="100" w:type="dxa"/>
              <w:left w:w="100" w:type="dxa"/>
              <w:bottom w:w="100" w:type="dxa"/>
              <w:right w:w="100" w:type="dxa"/>
            </w:tcMar>
          </w:tcPr>
          <w:p w14:paraId="6BB9965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MÉT</w:t>
            </w:r>
          </w:p>
        </w:tc>
        <w:tc>
          <w:tcPr>
            <w:tcW w:w="1135" w:type="dxa"/>
            <w:tcMar>
              <w:top w:w="100" w:type="dxa"/>
              <w:left w:w="100" w:type="dxa"/>
              <w:bottom w:w="100" w:type="dxa"/>
              <w:right w:w="100" w:type="dxa"/>
            </w:tcMar>
          </w:tcPr>
          <w:p w14:paraId="6BB9965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IQEM</w:t>
            </w:r>
          </w:p>
        </w:tc>
        <w:tc>
          <w:tcPr>
            <w:tcW w:w="1417" w:type="dxa"/>
            <w:tcMar>
              <w:top w:w="100" w:type="dxa"/>
              <w:left w:w="100" w:type="dxa"/>
              <w:bottom w:w="100" w:type="dxa"/>
              <w:right w:w="100" w:type="dxa"/>
            </w:tcMar>
          </w:tcPr>
          <w:p w14:paraId="6BB9965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Model quality</w:t>
            </w:r>
          </w:p>
        </w:tc>
        <w:tc>
          <w:tcPr>
            <w:tcW w:w="1418" w:type="dxa"/>
            <w:tcMar>
              <w:top w:w="100" w:type="dxa"/>
              <w:left w:w="100" w:type="dxa"/>
              <w:bottom w:w="100" w:type="dxa"/>
              <w:right w:w="100" w:type="dxa"/>
            </w:tcMar>
          </w:tcPr>
          <w:p w14:paraId="6BB9965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Rigor</w:t>
            </w:r>
          </w:p>
        </w:tc>
        <w:tc>
          <w:tcPr>
            <w:tcW w:w="1559" w:type="dxa"/>
            <w:tcMar>
              <w:top w:w="100" w:type="dxa"/>
              <w:left w:w="100" w:type="dxa"/>
              <w:bottom w:w="100" w:type="dxa"/>
              <w:right w:w="100" w:type="dxa"/>
            </w:tcMar>
          </w:tcPr>
          <w:p w14:paraId="6BB9965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(HAIR et al., 2010)</w:t>
            </w:r>
          </w:p>
        </w:tc>
        <w:tc>
          <w:tcPr>
            <w:tcW w:w="992" w:type="dxa"/>
            <w:tcMar>
              <w:top w:w="100" w:type="dxa"/>
              <w:left w:w="100" w:type="dxa"/>
              <w:bottom w:w="100" w:type="dxa"/>
              <w:right w:w="100" w:type="dxa"/>
            </w:tcMar>
          </w:tcPr>
          <w:p w14:paraId="6BB9965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Base</w:t>
            </w:r>
          </w:p>
        </w:tc>
        <w:tc>
          <w:tcPr>
            <w:tcW w:w="1418" w:type="dxa"/>
            <w:tcMar>
              <w:top w:w="100" w:type="dxa"/>
              <w:left w:w="100" w:type="dxa"/>
              <w:bottom w:w="100" w:type="dxa"/>
              <w:right w:w="100" w:type="dxa"/>
            </w:tcMar>
          </w:tcPr>
          <w:p w14:paraId="6BB9965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Research</w:t>
            </w:r>
          </w:p>
        </w:tc>
        <w:tc>
          <w:tcPr>
            <w:tcW w:w="1417" w:type="dxa"/>
            <w:tcMar>
              <w:top w:w="100" w:type="dxa"/>
              <w:left w:w="100" w:type="dxa"/>
              <w:bottom w:w="100" w:type="dxa"/>
              <w:right w:w="100" w:type="dxa"/>
            </w:tcMar>
          </w:tcPr>
          <w:p w14:paraId="6BB9965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Credibility</w:t>
            </w:r>
          </w:p>
        </w:tc>
        <w:tc>
          <w:tcPr>
            <w:tcW w:w="851" w:type="dxa"/>
            <w:tcMar>
              <w:top w:w="100" w:type="dxa"/>
              <w:left w:w="100" w:type="dxa"/>
              <w:bottom w:w="100" w:type="dxa"/>
              <w:right w:w="100" w:type="dxa"/>
            </w:tcMar>
          </w:tcPr>
          <w:p w14:paraId="6BB9965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6A" w14:textId="77777777" w:rsidTr="006D15F7">
        <w:trPr>
          <w:trHeight w:val="830"/>
        </w:trPr>
        <w:tc>
          <w:tcPr>
            <w:tcW w:w="1276" w:type="dxa"/>
            <w:tcMar>
              <w:top w:w="100" w:type="dxa"/>
              <w:left w:w="100" w:type="dxa"/>
              <w:bottom w:w="100" w:type="dxa"/>
              <w:right w:w="100" w:type="dxa"/>
            </w:tcMar>
          </w:tcPr>
          <w:p w14:paraId="6BB9966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MÉT</w:t>
            </w:r>
          </w:p>
        </w:tc>
        <w:tc>
          <w:tcPr>
            <w:tcW w:w="1135" w:type="dxa"/>
            <w:tcMar>
              <w:top w:w="100" w:type="dxa"/>
              <w:left w:w="100" w:type="dxa"/>
              <w:bottom w:w="100" w:type="dxa"/>
              <w:right w:w="100" w:type="dxa"/>
            </w:tcMar>
          </w:tcPr>
          <w:p w14:paraId="6BB9966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IRCX</w:t>
            </w:r>
          </w:p>
        </w:tc>
        <w:tc>
          <w:tcPr>
            <w:tcW w:w="1417" w:type="dxa"/>
            <w:tcMar>
              <w:top w:w="100" w:type="dxa"/>
              <w:left w:w="100" w:type="dxa"/>
              <w:bottom w:w="100" w:type="dxa"/>
              <w:right w:w="100" w:type="dxa"/>
            </w:tcMar>
          </w:tcPr>
          <w:p w14:paraId="6BB9966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Reduced complexity</w:t>
            </w:r>
          </w:p>
        </w:tc>
        <w:tc>
          <w:tcPr>
            <w:tcW w:w="1418" w:type="dxa"/>
            <w:tcMar>
              <w:top w:w="100" w:type="dxa"/>
              <w:left w:w="100" w:type="dxa"/>
              <w:bottom w:w="100" w:type="dxa"/>
              <w:right w:w="100" w:type="dxa"/>
            </w:tcMar>
          </w:tcPr>
          <w:p w14:paraId="6BB9966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Summary</w:t>
            </w:r>
          </w:p>
        </w:tc>
        <w:tc>
          <w:tcPr>
            <w:tcW w:w="1559" w:type="dxa"/>
            <w:tcMar>
              <w:top w:w="100" w:type="dxa"/>
              <w:left w:w="100" w:type="dxa"/>
              <w:bottom w:w="100" w:type="dxa"/>
              <w:right w:w="100" w:type="dxa"/>
            </w:tcMar>
          </w:tcPr>
          <w:p w14:paraId="6BB9966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(JANNUZZI, 2012)</w:t>
            </w:r>
          </w:p>
        </w:tc>
        <w:tc>
          <w:tcPr>
            <w:tcW w:w="992" w:type="dxa"/>
            <w:tcMar>
              <w:top w:w="100" w:type="dxa"/>
              <w:left w:w="100" w:type="dxa"/>
              <w:bottom w:w="100" w:type="dxa"/>
              <w:right w:w="100" w:type="dxa"/>
            </w:tcMar>
          </w:tcPr>
          <w:p w14:paraId="6BB9966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6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Research</w:t>
            </w:r>
          </w:p>
        </w:tc>
        <w:tc>
          <w:tcPr>
            <w:tcW w:w="1417" w:type="dxa"/>
            <w:tcMar>
              <w:top w:w="100" w:type="dxa"/>
              <w:left w:w="100" w:type="dxa"/>
              <w:bottom w:w="100" w:type="dxa"/>
              <w:right w:w="100" w:type="dxa"/>
            </w:tcMar>
          </w:tcPr>
          <w:p w14:paraId="6BB9966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Clarity</w:t>
            </w:r>
          </w:p>
        </w:tc>
        <w:tc>
          <w:tcPr>
            <w:tcW w:w="851" w:type="dxa"/>
            <w:tcMar>
              <w:top w:w="100" w:type="dxa"/>
              <w:left w:w="100" w:type="dxa"/>
              <w:bottom w:w="100" w:type="dxa"/>
              <w:right w:w="100" w:type="dxa"/>
            </w:tcMar>
          </w:tcPr>
          <w:p w14:paraId="6BB9966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74" w14:textId="77777777" w:rsidTr="006D15F7">
        <w:trPr>
          <w:trHeight w:val="530"/>
        </w:trPr>
        <w:tc>
          <w:tcPr>
            <w:tcW w:w="1276" w:type="dxa"/>
            <w:tcMar>
              <w:top w:w="100" w:type="dxa"/>
              <w:left w:w="100" w:type="dxa"/>
              <w:bottom w:w="100" w:type="dxa"/>
              <w:right w:w="100" w:type="dxa"/>
            </w:tcMar>
          </w:tcPr>
          <w:p w14:paraId="6BB9966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MÉT</w:t>
            </w:r>
          </w:p>
        </w:tc>
        <w:tc>
          <w:tcPr>
            <w:tcW w:w="1135" w:type="dxa"/>
            <w:tcMar>
              <w:top w:w="100" w:type="dxa"/>
              <w:left w:w="100" w:type="dxa"/>
              <w:bottom w:w="100" w:type="dxa"/>
              <w:right w:w="100" w:type="dxa"/>
            </w:tcMar>
          </w:tcPr>
          <w:p w14:paraId="6BB9966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IEP</w:t>
            </w:r>
          </w:p>
        </w:tc>
        <w:tc>
          <w:tcPr>
            <w:tcW w:w="1417" w:type="dxa"/>
            <w:tcMar>
              <w:top w:w="100" w:type="dxa"/>
              <w:left w:w="100" w:type="dxa"/>
              <w:bottom w:w="100" w:type="dxa"/>
              <w:right w:w="100" w:type="dxa"/>
            </w:tcMar>
          </w:tcPr>
          <w:p w14:paraId="6BB9966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Stability</w:t>
            </w:r>
          </w:p>
        </w:tc>
        <w:tc>
          <w:tcPr>
            <w:tcW w:w="1418" w:type="dxa"/>
            <w:tcMar>
              <w:top w:w="100" w:type="dxa"/>
              <w:left w:w="100" w:type="dxa"/>
              <w:bottom w:w="100" w:type="dxa"/>
              <w:right w:w="100" w:type="dxa"/>
            </w:tcMar>
          </w:tcPr>
          <w:p w14:paraId="6BB9966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Consistency</w:t>
            </w:r>
          </w:p>
        </w:tc>
        <w:tc>
          <w:tcPr>
            <w:tcW w:w="1559" w:type="dxa"/>
            <w:tcMar>
              <w:top w:w="100" w:type="dxa"/>
              <w:left w:w="100" w:type="dxa"/>
              <w:bottom w:w="100" w:type="dxa"/>
              <w:right w:w="100" w:type="dxa"/>
            </w:tcMar>
          </w:tcPr>
          <w:p w14:paraId="6BB9966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(FIELD, 2013)</w:t>
            </w:r>
          </w:p>
        </w:tc>
        <w:tc>
          <w:tcPr>
            <w:tcW w:w="992" w:type="dxa"/>
            <w:tcMar>
              <w:top w:w="100" w:type="dxa"/>
              <w:left w:w="100" w:type="dxa"/>
              <w:bottom w:w="100" w:type="dxa"/>
              <w:right w:w="100" w:type="dxa"/>
            </w:tcMar>
          </w:tcPr>
          <w:p w14:paraId="6BB9967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7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Research</w:t>
            </w:r>
          </w:p>
        </w:tc>
        <w:tc>
          <w:tcPr>
            <w:tcW w:w="1417" w:type="dxa"/>
            <w:tcMar>
              <w:top w:w="100" w:type="dxa"/>
              <w:left w:w="100" w:type="dxa"/>
              <w:bottom w:w="100" w:type="dxa"/>
              <w:right w:w="100" w:type="dxa"/>
            </w:tcMar>
          </w:tcPr>
          <w:p w14:paraId="6BB9967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Reliability</w:t>
            </w:r>
          </w:p>
        </w:tc>
        <w:tc>
          <w:tcPr>
            <w:tcW w:w="851" w:type="dxa"/>
            <w:tcMar>
              <w:top w:w="100" w:type="dxa"/>
              <w:left w:w="100" w:type="dxa"/>
              <w:bottom w:w="100" w:type="dxa"/>
              <w:right w:w="100" w:type="dxa"/>
            </w:tcMar>
          </w:tcPr>
          <w:p w14:paraId="6BB9967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7E" w14:textId="77777777" w:rsidTr="006D15F7">
        <w:trPr>
          <w:trHeight w:val="830"/>
        </w:trPr>
        <w:tc>
          <w:tcPr>
            <w:tcW w:w="1276" w:type="dxa"/>
            <w:tcMar>
              <w:top w:w="100" w:type="dxa"/>
              <w:left w:w="100" w:type="dxa"/>
              <w:bottom w:w="100" w:type="dxa"/>
              <w:right w:w="100" w:type="dxa"/>
            </w:tcMar>
          </w:tcPr>
          <w:p w14:paraId="6BB9967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SINT</w:t>
            </w:r>
          </w:p>
        </w:tc>
        <w:tc>
          <w:tcPr>
            <w:tcW w:w="1135" w:type="dxa"/>
            <w:tcMar>
              <w:top w:w="100" w:type="dxa"/>
              <w:left w:w="100" w:type="dxa"/>
              <w:bottom w:w="100" w:type="dxa"/>
              <w:right w:w="100" w:type="dxa"/>
            </w:tcMar>
          </w:tcPr>
          <w:p w14:paraId="6BB9967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IMSU</w:t>
            </w:r>
          </w:p>
        </w:tc>
        <w:tc>
          <w:tcPr>
            <w:tcW w:w="1417" w:type="dxa"/>
            <w:tcMar>
              <w:top w:w="100" w:type="dxa"/>
              <w:left w:w="100" w:type="dxa"/>
              <w:bottom w:w="100" w:type="dxa"/>
              <w:right w:w="100" w:type="dxa"/>
            </w:tcMar>
          </w:tcPr>
          <w:p w14:paraId="6BB9967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Overall maturity</w:t>
            </w:r>
          </w:p>
        </w:tc>
        <w:tc>
          <w:tcPr>
            <w:tcW w:w="1418" w:type="dxa"/>
            <w:tcMar>
              <w:top w:w="100" w:type="dxa"/>
              <w:left w:w="100" w:type="dxa"/>
              <w:bottom w:w="100" w:type="dxa"/>
              <w:right w:w="100" w:type="dxa"/>
            </w:tcMar>
          </w:tcPr>
          <w:p w14:paraId="6BB9967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Integration</w:t>
            </w:r>
          </w:p>
        </w:tc>
        <w:tc>
          <w:tcPr>
            <w:tcW w:w="1559" w:type="dxa"/>
            <w:tcMar>
              <w:top w:w="100" w:type="dxa"/>
              <w:left w:w="100" w:type="dxa"/>
              <w:bottom w:w="100" w:type="dxa"/>
              <w:right w:w="100" w:type="dxa"/>
            </w:tcMar>
          </w:tcPr>
          <w:p w14:paraId="6BB9967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(COHEN, 2014)</w:t>
            </w:r>
          </w:p>
        </w:tc>
        <w:tc>
          <w:tcPr>
            <w:tcW w:w="992" w:type="dxa"/>
            <w:tcMar>
              <w:top w:w="100" w:type="dxa"/>
              <w:left w:w="100" w:type="dxa"/>
              <w:bottom w:w="100" w:type="dxa"/>
              <w:right w:w="100" w:type="dxa"/>
            </w:tcMar>
          </w:tcPr>
          <w:p w14:paraId="6BB9967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7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All</w:t>
            </w:r>
          </w:p>
        </w:tc>
        <w:tc>
          <w:tcPr>
            <w:tcW w:w="1417" w:type="dxa"/>
            <w:tcMar>
              <w:top w:w="100" w:type="dxa"/>
              <w:left w:w="100" w:type="dxa"/>
              <w:bottom w:w="100" w:type="dxa"/>
              <w:right w:w="100" w:type="dxa"/>
            </w:tcMar>
          </w:tcPr>
          <w:p w14:paraId="6BB9967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Evaluation</w:t>
            </w:r>
          </w:p>
        </w:tc>
        <w:tc>
          <w:tcPr>
            <w:tcW w:w="851" w:type="dxa"/>
            <w:tcMar>
              <w:top w:w="100" w:type="dxa"/>
              <w:left w:w="100" w:type="dxa"/>
              <w:bottom w:w="100" w:type="dxa"/>
              <w:right w:w="100" w:type="dxa"/>
            </w:tcMar>
          </w:tcPr>
          <w:p w14:paraId="6BB9967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0,25</w:t>
            </w:r>
          </w:p>
        </w:tc>
      </w:tr>
      <w:tr w:rsidR="00120C68" w14:paraId="6BB99688" w14:textId="77777777" w:rsidTr="006D15F7">
        <w:trPr>
          <w:trHeight w:val="830"/>
        </w:trPr>
        <w:tc>
          <w:tcPr>
            <w:tcW w:w="1276" w:type="dxa"/>
            <w:tcMar>
              <w:top w:w="100" w:type="dxa"/>
              <w:left w:w="100" w:type="dxa"/>
              <w:bottom w:w="100" w:type="dxa"/>
              <w:right w:w="100" w:type="dxa"/>
            </w:tcMar>
          </w:tcPr>
          <w:p w14:paraId="6BB9967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SINT</w:t>
            </w:r>
          </w:p>
        </w:tc>
        <w:tc>
          <w:tcPr>
            <w:tcW w:w="1135" w:type="dxa"/>
            <w:tcMar>
              <w:top w:w="100" w:type="dxa"/>
              <w:left w:w="100" w:type="dxa"/>
              <w:bottom w:w="100" w:type="dxa"/>
              <w:right w:w="100" w:type="dxa"/>
            </w:tcMar>
          </w:tcPr>
          <w:p w14:paraId="6BB9968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IGIPU</w:t>
            </w:r>
          </w:p>
        </w:tc>
        <w:tc>
          <w:tcPr>
            <w:tcW w:w="1417" w:type="dxa"/>
            <w:tcMar>
              <w:top w:w="100" w:type="dxa"/>
              <w:left w:w="100" w:type="dxa"/>
              <w:bottom w:w="100" w:type="dxa"/>
              <w:right w:w="100" w:type="dxa"/>
            </w:tcMar>
          </w:tcPr>
          <w:p w14:paraId="6BB9968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Urban IP governance</w:t>
            </w:r>
          </w:p>
        </w:tc>
        <w:tc>
          <w:tcPr>
            <w:tcW w:w="1418" w:type="dxa"/>
            <w:tcMar>
              <w:top w:w="100" w:type="dxa"/>
              <w:left w:w="100" w:type="dxa"/>
              <w:bottom w:w="100" w:type="dxa"/>
              <w:right w:w="100" w:type="dxa"/>
            </w:tcMar>
          </w:tcPr>
          <w:p w14:paraId="6BB9968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IA+PI</w:t>
            </w:r>
          </w:p>
        </w:tc>
        <w:tc>
          <w:tcPr>
            <w:tcW w:w="1559" w:type="dxa"/>
            <w:tcMar>
              <w:top w:w="100" w:type="dxa"/>
              <w:left w:w="100" w:type="dxa"/>
              <w:bottom w:w="100" w:type="dxa"/>
              <w:right w:w="100" w:type="dxa"/>
            </w:tcMar>
          </w:tcPr>
          <w:p w14:paraId="6BB9968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(WIPO, 2023)</w:t>
            </w:r>
          </w:p>
        </w:tc>
        <w:tc>
          <w:tcPr>
            <w:tcW w:w="992" w:type="dxa"/>
            <w:tcMar>
              <w:top w:w="100" w:type="dxa"/>
              <w:left w:w="100" w:type="dxa"/>
              <w:bottom w:w="100" w:type="dxa"/>
              <w:right w:w="100" w:type="dxa"/>
            </w:tcMar>
          </w:tcPr>
          <w:p w14:paraId="6BB9968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8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8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Strategy</w:t>
            </w:r>
          </w:p>
        </w:tc>
        <w:tc>
          <w:tcPr>
            <w:tcW w:w="851" w:type="dxa"/>
            <w:tcMar>
              <w:top w:w="100" w:type="dxa"/>
              <w:left w:w="100" w:type="dxa"/>
              <w:bottom w:w="100" w:type="dxa"/>
              <w:right w:w="100" w:type="dxa"/>
            </w:tcMar>
          </w:tcPr>
          <w:p w14:paraId="6BB9968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92" w14:textId="77777777" w:rsidTr="006D15F7">
        <w:trPr>
          <w:trHeight w:val="830"/>
        </w:trPr>
        <w:tc>
          <w:tcPr>
            <w:tcW w:w="1276" w:type="dxa"/>
            <w:tcMar>
              <w:top w:w="100" w:type="dxa"/>
              <w:left w:w="100" w:type="dxa"/>
              <w:bottom w:w="100" w:type="dxa"/>
              <w:right w:w="100" w:type="dxa"/>
            </w:tcMar>
          </w:tcPr>
          <w:p w14:paraId="6BB9968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SINT</w:t>
            </w:r>
          </w:p>
        </w:tc>
        <w:tc>
          <w:tcPr>
            <w:tcW w:w="1135" w:type="dxa"/>
            <w:tcMar>
              <w:top w:w="100" w:type="dxa"/>
              <w:left w:w="100" w:type="dxa"/>
              <w:bottom w:w="100" w:type="dxa"/>
              <w:right w:w="100" w:type="dxa"/>
            </w:tcMar>
          </w:tcPr>
          <w:p w14:paraId="6BB9968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IID-PI</w:t>
            </w:r>
          </w:p>
        </w:tc>
        <w:tc>
          <w:tcPr>
            <w:tcW w:w="1417" w:type="dxa"/>
            <w:tcMar>
              <w:top w:w="100" w:type="dxa"/>
              <w:left w:w="100" w:type="dxa"/>
              <w:bottom w:w="100" w:type="dxa"/>
              <w:right w:w="100" w:type="dxa"/>
            </w:tcMar>
          </w:tcPr>
          <w:p w14:paraId="6BB9968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PI Implementation</w:t>
            </w:r>
          </w:p>
        </w:tc>
        <w:tc>
          <w:tcPr>
            <w:tcW w:w="1418" w:type="dxa"/>
            <w:tcMar>
              <w:top w:w="100" w:type="dxa"/>
              <w:left w:w="100" w:type="dxa"/>
              <w:bottom w:w="100" w:type="dxa"/>
              <w:right w:w="100" w:type="dxa"/>
            </w:tcMar>
          </w:tcPr>
          <w:p w14:paraId="6BB9968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Application</w:t>
            </w:r>
          </w:p>
        </w:tc>
        <w:tc>
          <w:tcPr>
            <w:tcW w:w="1559" w:type="dxa"/>
            <w:tcMar>
              <w:top w:w="100" w:type="dxa"/>
              <w:left w:w="100" w:type="dxa"/>
              <w:bottom w:w="100" w:type="dxa"/>
              <w:right w:w="100" w:type="dxa"/>
            </w:tcMar>
          </w:tcPr>
          <w:p w14:paraId="6BB9968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(WIPO, 2023)</w:t>
            </w:r>
          </w:p>
        </w:tc>
        <w:tc>
          <w:tcPr>
            <w:tcW w:w="992" w:type="dxa"/>
            <w:tcMar>
              <w:top w:w="100" w:type="dxa"/>
              <w:left w:w="100" w:type="dxa"/>
              <w:bottom w:w="100" w:type="dxa"/>
              <w:right w:w="100" w:type="dxa"/>
            </w:tcMar>
          </w:tcPr>
          <w:p w14:paraId="6BB9968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Standards</w:t>
            </w:r>
          </w:p>
        </w:tc>
        <w:tc>
          <w:tcPr>
            <w:tcW w:w="1418" w:type="dxa"/>
            <w:tcMar>
              <w:top w:w="100" w:type="dxa"/>
              <w:left w:w="100" w:type="dxa"/>
              <w:bottom w:w="100" w:type="dxa"/>
              <w:right w:w="100" w:type="dxa"/>
            </w:tcMar>
          </w:tcPr>
          <w:p w14:paraId="6BB9968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State</w:t>
            </w:r>
          </w:p>
        </w:tc>
        <w:tc>
          <w:tcPr>
            <w:tcW w:w="1417" w:type="dxa"/>
            <w:tcMar>
              <w:top w:w="100" w:type="dxa"/>
              <w:left w:w="100" w:type="dxa"/>
              <w:bottom w:w="100" w:type="dxa"/>
              <w:right w:w="100" w:type="dxa"/>
            </w:tcMar>
          </w:tcPr>
          <w:p w14:paraId="6BB9969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Effectiveness</w:t>
            </w:r>
          </w:p>
        </w:tc>
        <w:tc>
          <w:tcPr>
            <w:tcW w:w="851" w:type="dxa"/>
            <w:tcMar>
              <w:top w:w="100" w:type="dxa"/>
              <w:left w:w="100" w:type="dxa"/>
              <w:bottom w:w="100" w:type="dxa"/>
              <w:right w:w="100" w:type="dxa"/>
            </w:tcMar>
          </w:tcPr>
          <w:p w14:paraId="6BB9969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0,15</w:t>
            </w:r>
          </w:p>
        </w:tc>
      </w:tr>
      <w:tr w:rsidR="00120C68" w14:paraId="6BB9969C" w14:textId="77777777" w:rsidTr="006D15F7">
        <w:trPr>
          <w:trHeight w:val="830"/>
        </w:trPr>
        <w:tc>
          <w:tcPr>
            <w:tcW w:w="1276" w:type="dxa"/>
            <w:tcMar>
              <w:top w:w="100" w:type="dxa"/>
              <w:left w:w="100" w:type="dxa"/>
              <w:bottom w:w="100" w:type="dxa"/>
              <w:right w:w="100" w:type="dxa"/>
            </w:tcMar>
          </w:tcPr>
          <w:p w14:paraId="6BB9969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SINT</w:t>
            </w:r>
          </w:p>
        </w:tc>
        <w:tc>
          <w:tcPr>
            <w:tcW w:w="1135" w:type="dxa"/>
            <w:tcMar>
              <w:top w:w="100" w:type="dxa"/>
              <w:left w:w="100" w:type="dxa"/>
              <w:bottom w:w="100" w:type="dxa"/>
              <w:right w:w="100" w:type="dxa"/>
            </w:tcMar>
          </w:tcPr>
          <w:p w14:paraId="6BB9969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TAI</w:t>
            </w:r>
          </w:p>
        </w:tc>
        <w:tc>
          <w:tcPr>
            <w:tcW w:w="1417" w:type="dxa"/>
            <w:tcMar>
              <w:top w:w="100" w:type="dxa"/>
              <w:left w:w="100" w:type="dxa"/>
              <w:bottom w:w="100" w:type="dxa"/>
              <w:right w:w="100" w:type="dxa"/>
            </w:tcMar>
          </w:tcPr>
          <w:p w14:paraId="6BB9969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Institutional adoption</w:t>
            </w:r>
          </w:p>
        </w:tc>
        <w:tc>
          <w:tcPr>
            <w:tcW w:w="1418" w:type="dxa"/>
            <w:tcMar>
              <w:top w:w="100" w:type="dxa"/>
              <w:left w:w="100" w:type="dxa"/>
              <w:bottom w:w="100" w:type="dxa"/>
              <w:right w:w="100" w:type="dxa"/>
            </w:tcMar>
          </w:tcPr>
          <w:p w14:paraId="6BB9969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Diffusion</w:t>
            </w:r>
          </w:p>
        </w:tc>
        <w:tc>
          <w:tcPr>
            <w:tcW w:w="1559" w:type="dxa"/>
            <w:tcMar>
              <w:top w:w="100" w:type="dxa"/>
              <w:left w:w="100" w:type="dxa"/>
              <w:bottom w:w="100" w:type="dxa"/>
              <w:right w:w="100" w:type="dxa"/>
            </w:tcMar>
          </w:tcPr>
          <w:p w14:paraId="6BB9969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(WORLD BANK, 2021)</w:t>
            </w:r>
          </w:p>
        </w:tc>
        <w:tc>
          <w:tcPr>
            <w:tcW w:w="992" w:type="dxa"/>
            <w:tcMar>
              <w:top w:w="100" w:type="dxa"/>
              <w:left w:w="100" w:type="dxa"/>
              <w:bottom w:w="100" w:type="dxa"/>
              <w:right w:w="100" w:type="dxa"/>
            </w:tcMar>
          </w:tcPr>
          <w:p w14:paraId="6BB9969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Structure</w:t>
            </w:r>
          </w:p>
        </w:tc>
        <w:tc>
          <w:tcPr>
            <w:tcW w:w="1418" w:type="dxa"/>
            <w:tcMar>
              <w:top w:w="100" w:type="dxa"/>
              <w:left w:w="100" w:type="dxa"/>
              <w:bottom w:w="100" w:type="dxa"/>
              <w:right w:w="100" w:type="dxa"/>
            </w:tcMar>
          </w:tcPr>
          <w:p w14:paraId="6BB9969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Institutions</w:t>
            </w:r>
          </w:p>
        </w:tc>
        <w:tc>
          <w:tcPr>
            <w:tcW w:w="1417" w:type="dxa"/>
            <w:tcMar>
              <w:top w:w="100" w:type="dxa"/>
              <w:left w:w="100" w:type="dxa"/>
              <w:bottom w:w="100" w:type="dxa"/>
              <w:right w:w="100" w:type="dxa"/>
            </w:tcMar>
          </w:tcPr>
          <w:p w14:paraId="6BB9969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Scale</w:t>
            </w:r>
          </w:p>
        </w:tc>
        <w:tc>
          <w:tcPr>
            <w:tcW w:w="851" w:type="dxa"/>
            <w:tcMar>
              <w:top w:w="100" w:type="dxa"/>
              <w:left w:w="100" w:type="dxa"/>
              <w:bottom w:w="100" w:type="dxa"/>
              <w:right w:w="100" w:type="dxa"/>
            </w:tcMar>
          </w:tcPr>
          <w:p w14:paraId="6BB9969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A6" w14:textId="77777777" w:rsidTr="006D15F7">
        <w:trPr>
          <w:trHeight w:val="830"/>
        </w:trPr>
        <w:tc>
          <w:tcPr>
            <w:tcW w:w="1276" w:type="dxa"/>
            <w:tcMar>
              <w:top w:w="100" w:type="dxa"/>
              <w:left w:w="100" w:type="dxa"/>
              <w:bottom w:w="100" w:type="dxa"/>
              <w:right w:w="100" w:type="dxa"/>
            </w:tcMar>
          </w:tcPr>
          <w:p w14:paraId="6BB9969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SINT</w:t>
            </w:r>
          </w:p>
        </w:tc>
        <w:tc>
          <w:tcPr>
            <w:tcW w:w="1135" w:type="dxa"/>
            <w:tcMar>
              <w:top w:w="100" w:type="dxa"/>
              <w:left w:w="100" w:type="dxa"/>
              <w:bottom w:w="100" w:type="dxa"/>
              <w:right w:w="100" w:type="dxa"/>
            </w:tcMar>
          </w:tcPr>
          <w:p w14:paraId="6BB9969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BMI</w:t>
            </w:r>
          </w:p>
        </w:tc>
        <w:tc>
          <w:tcPr>
            <w:tcW w:w="1417" w:type="dxa"/>
            <w:tcMar>
              <w:top w:w="100" w:type="dxa"/>
              <w:left w:w="100" w:type="dxa"/>
              <w:bottom w:w="100" w:type="dxa"/>
              <w:right w:w="100" w:type="dxa"/>
            </w:tcMar>
          </w:tcPr>
          <w:p w14:paraId="6BB9969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Continuous monitoring</w:t>
            </w:r>
          </w:p>
        </w:tc>
        <w:tc>
          <w:tcPr>
            <w:tcW w:w="1418" w:type="dxa"/>
            <w:tcMar>
              <w:top w:w="100" w:type="dxa"/>
              <w:left w:w="100" w:type="dxa"/>
              <w:bottom w:w="100" w:type="dxa"/>
              <w:right w:w="100" w:type="dxa"/>
            </w:tcMar>
          </w:tcPr>
          <w:p w14:paraId="6BB996A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Control</w:t>
            </w:r>
          </w:p>
        </w:tc>
        <w:tc>
          <w:tcPr>
            <w:tcW w:w="1559" w:type="dxa"/>
            <w:tcMar>
              <w:top w:w="100" w:type="dxa"/>
              <w:left w:w="100" w:type="dxa"/>
              <w:bottom w:w="100" w:type="dxa"/>
              <w:right w:w="100" w:type="dxa"/>
            </w:tcMar>
          </w:tcPr>
          <w:p w14:paraId="6BB996A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2020)</w:t>
            </w:r>
          </w:p>
        </w:tc>
        <w:tc>
          <w:tcPr>
            <w:tcW w:w="992" w:type="dxa"/>
            <w:tcMar>
              <w:top w:w="100" w:type="dxa"/>
              <w:left w:w="100" w:type="dxa"/>
              <w:bottom w:w="100" w:type="dxa"/>
              <w:right w:w="100" w:type="dxa"/>
            </w:tcMar>
          </w:tcPr>
          <w:p w14:paraId="6BB996A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Systems</w:t>
            </w:r>
          </w:p>
        </w:tc>
        <w:tc>
          <w:tcPr>
            <w:tcW w:w="1418" w:type="dxa"/>
            <w:tcMar>
              <w:top w:w="100" w:type="dxa"/>
              <w:left w:w="100" w:type="dxa"/>
              <w:bottom w:w="100" w:type="dxa"/>
              <w:right w:w="100" w:type="dxa"/>
            </w:tcMar>
          </w:tcPr>
          <w:p w14:paraId="6BB996A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A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Adjustments</w:t>
            </w:r>
          </w:p>
        </w:tc>
        <w:tc>
          <w:tcPr>
            <w:tcW w:w="851" w:type="dxa"/>
            <w:tcMar>
              <w:top w:w="100" w:type="dxa"/>
              <w:left w:w="100" w:type="dxa"/>
              <w:bottom w:w="100" w:type="dxa"/>
              <w:right w:w="100" w:type="dxa"/>
            </w:tcMar>
          </w:tcPr>
          <w:p w14:paraId="6BB996A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0,20</w:t>
            </w:r>
          </w:p>
        </w:tc>
      </w:tr>
      <w:tr w:rsidR="00120C68" w14:paraId="6BB996B0" w14:textId="77777777" w:rsidTr="006D15F7">
        <w:trPr>
          <w:trHeight w:val="830"/>
        </w:trPr>
        <w:tc>
          <w:tcPr>
            <w:tcW w:w="1276" w:type="dxa"/>
            <w:tcMar>
              <w:top w:w="100" w:type="dxa"/>
              <w:left w:w="100" w:type="dxa"/>
              <w:bottom w:w="100" w:type="dxa"/>
              <w:right w:w="100" w:type="dxa"/>
            </w:tcMar>
          </w:tcPr>
          <w:p w14:paraId="6BB996A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w:t>
            </w:r>
          </w:p>
        </w:tc>
        <w:tc>
          <w:tcPr>
            <w:tcW w:w="1135" w:type="dxa"/>
            <w:tcMar>
              <w:top w:w="100" w:type="dxa"/>
              <w:left w:w="100" w:type="dxa"/>
              <w:bottom w:w="100" w:type="dxa"/>
              <w:right w:w="100" w:type="dxa"/>
            </w:tcMar>
          </w:tcPr>
          <w:p w14:paraId="6BB996A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BAD</w:t>
            </w:r>
          </w:p>
        </w:tc>
        <w:tc>
          <w:tcPr>
            <w:tcW w:w="1417" w:type="dxa"/>
            <w:tcMar>
              <w:top w:w="100" w:type="dxa"/>
              <w:left w:w="100" w:type="dxa"/>
              <w:bottom w:w="100" w:type="dxa"/>
              <w:right w:w="100" w:type="dxa"/>
            </w:tcMar>
          </w:tcPr>
          <w:p w14:paraId="6BB996A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 Readiness</w:t>
            </w:r>
          </w:p>
        </w:tc>
        <w:tc>
          <w:tcPr>
            <w:tcW w:w="1418" w:type="dxa"/>
            <w:tcMar>
              <w:top w:w="100" w:type="dxa"/>
              <w:left w:w="100" w:type="dxa"/>
              <w:bottom w:w="100" w:type="dxa"/>
              <w:right w:w="100" w:type="dxa"/>
            </w:tcMar>
          </w:tcPr>
          <w:p w14:paraId="6BB996A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Actual capacity</w:t>
            </w:r>
          </w:p>
        </w:tc>
        <w:tc>
          <w:tcPr>
            <w:tcW w:w="1559" w:type="dxa"/>
            <w:tcMar>
              <w:top w:w="100" w:type="dxa"/>
              <w:left w:w="100" w:type="dxa"/>
              <w:bottom w:w="100" w:type="dxa"/>
              <w:right w:w="100" w:type="dxa"/>
            </w:tcMar>
          </w:tcPr>
          <w:p w14:paraId="6BB996A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2019)</w:t>
            </w:r>
          </w:p>
        </w:tc>
        <w:tc>
          <w:tcPr>
            <w:tcW w:w="992" w:type="dxa"/>
            <w:tcMar>
              <w:top w:w="100" w:type="dxa"/>
              <w:left w:w="100" w:type="dxa"/>
              <w:bottom w:w="100" w:type="dxa"/>
              <w:right w:w="100" w:type="dxa"/>
            </w:tcMar>
          </w:tcPr>
          <w:p w14:paraId="6BB996A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Infrastructure</w:t>
            </w:r>
          </w:p>
        </w:tc>
        <w:tc>
          <w:tcPr>
            <w:tcW w:w="1418" w:type="dxa"/>
            <w:tcMar>
              <w:top w:w="100" w:type="dxa"/>
              <w:left w:w="100" w:type="dxa"/>
              <w:bottom w:w="100" w:type="dxa"/>
              <w:right w:w="100" w:type="dxa"/>
            </w:tcMar>
          </w:tcPr>
          <w:p w14:paraId="6BB996A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A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Implementation</w:t>
            </w:r>
          </w:p>
        </w:tc>
        <w:tc>
          <w:tcPr>
            <w:tcW w:w="851" w:type="dxa"/>
            <w:tcMar>
              <w:top w:w="100" w:type="dxa"/>
              <w:left w:w="100" w:type="dxa"/>
              <w:bottom w:w="100" w:type="dxa"/>
              <w:right w:w="100" w:type="dxa"/>
            </w:tcMar>
          </w:tcPr>
          <w:p w14:paraId="6BB996A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r w:rsidR="00120C68" w14:paraId="6BB996BA" w14:textId="77777777" w:rsidTr="006D15F7">
        <w:trPr>
          <w:trHeight w:val="830"/>
        </w:trPr>
        <w:tc>
          <w:tcPr>
            <w:tcW w:w="1276" w:type="dxa"/>
            <w:tcMar>
              <w:top w:w="100" w:type="dxa"/>
              <w:left w:w="100" w:type="dxa"/>
              <w:bottom w:w="100" w:type="dxa"/>
              <w:right w:w="100" w:type="dxa"/>
            </w:tcMar>
          </w:tcPr>
          <w:p w14:paraId="6BB996B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w:t>
            </w:r>
          </w:p>
        </w:tc>
        <w:tc>
          <w:tcPr>
            <w:tcW w:w="1135" w:type="dxa"/>
            <w:tcMar>
              <w:top w:w="100" w:type="dxa"/>
              <w:left w:w="100" w:type="dxa"/>
              <w:bottom w:w="100" w:type="dxa"/>
              <w:right w:w="100" w:type="dxa"/>
            </w:tcMar>
          </w:tcPr>
          <w:p w14:paraId="6BB996B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IAP-IA</w:t>
            </w:r>
          </w:p>
        </w:tc>
        <w:tc>
          <w:tcPr>
            <w:tcW w:w="1417" w:type="dxa"/>
            <w:tcMar>
              <w:top w:w="100" w:type="dxa"/>
              <w:left w:w="100" w:type="dxa"/>
              <w:bottom w:w="100" w:type="dxa"/>
              <w:right w:w="100" w:type="dxa"/>
            </w:tcMar>
          </w:tcPr>
          <w:p w14:paraId="6BB996B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Perceptual asymmetry</w:t>
            </w:r>
          </w:p>
        </w:tc>
        <w:tc>
          <w:tcPr>
            <w:tcW w:w="1418" w:type="dxa"/>
            <w:tcMar>
              <w:top w:w="100" w:type="dxa"/>
              <w:left w:w="100" w:type="dxa"/>
              <w:bottom w:w="100" w:type="dxa"/>
              <w:right w:w="100" w:type="dxa"/>
            </w:tcMar>
          </w:tcPr>
          <w:p w14:paraId="6BB996B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Differences</w:t>
            </w:r>
          </w:p>
        </w:tc>
        <w:tc>
          <w:tcPr>
            <w:tcW w:w="1559" w:type="dxa"/>
            <w:tcMar>
              <w:top w:w="100" w:type="dxa"/>
              <w:left w:w="100" w:type="dxa"/>
              <w:bottom w:w="100" w:type="dxa"/>
              <w:right w:w="100" w:type="dxa"/>
            </w:tcMar>
          </w:tcPr>
          <w:p w14:paraId="6BB996B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2020)</w:t>
            </w:r>
          </w:p>
        </w:tc>
        <w:tc>
          <w:tcPr>
            <w:tcW w:w="992" w:type="dxa"/>
            <w:tcMar>
              <w:top w:w="100" w:type="dxa"/>
              <w:left w:w="100" w:type="dxa"/>
              <w:bottom w:w="100" w:type="dxa"/>
              <w:right w:w="100" w:type="dxa"/>
            </w:tcMar>
          </w:tcPr>
          <w:p w14:paraId="6BB996B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Survey</w:t>
            </w:r>
          </w:p>
        </w:tc>
        <w:tc>
          <w:tcPr>
            <w:tcW w:w="1418" w:type="dxa"/>
            <w:tcMar>
              <w:top w:w="100" w:type="dxa"/>
              <w:left w:w="100" w:type="dxa"/>
              <w:bottom w:w="100" w:type="dxa"/>
              <w:right w:w="100" w:type="dxa"/>
            </w:tcMar>
          </w:tcPr>
          <w:p w14:paraId="6BB996B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Society</w:t>
            </w:r>
          </w:p>
        </w:tc>
        <w:tc>
          <w:tcPr>
            <w:tcW w:w="1417" w:type="dxa"/>
            <w:tcMar>
              <w:top w:w="100" w:type="dxa"/>
              <w:left w:w="100" w:type="dxa"/>
              <w:bottom w:w="100" w:type="dxa"/>
              <w:right w:w="100" w:type="dxa"/>
            </w:tcMar>
          </w:tcPr>
          <w:p w14:paraId="6BB996B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Inclusion</w:t>
            </w:r>
          </w:p>
        </w:tc>
        <w:tc>
          <w:tcPr>
            <w:tcW w:w="851" w:type="dxa"/>
            <w:tcMar>
              <w:top w:w="100" w:type="dxa"/>
              <w:left w:w="100" w:type="dxa"/>
              <w:bottom w:w="100" w:type="dxa"/>
              <w:right w:w="100" w:type="dxa"/>
            </w:tcMar>
          </w:tcPr>
          <w:p w14:paraId="6BB996B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r w:rsidR="00120C68" w14:paraId="6BB996C4" w14:textId="77777777" w:rsidTr="006D15F7">
        <w:trPr>
          <w:trHeight w:val="830"/>
        </w:trPr>
        <w:tc>
          <w:tcPr>
            <w:tcW w:w="1276" w:type="dxa"/>
            <w:tcMar>
              <w:top w:w="100" w:type="dxa"/>
              <w:left w:w="100" w:type="dxa"/>
              <w:bottom w:w="100" w:type="dxa"/>
              <w:right w:w="100" w:type="dxa"/>
            </w:tcMar>
          </w:tcPr>
          <w:p w14:paraId="6BB996B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w:t>
            </w:r>
          </w:p>
        </w:tc>
        <w:tc>
          <w:tcPr>
            <w:tcW w:w="1135" w:type="dxa"/>
            <w:tcMar>
              <w:top w:w="100" w:type="dxa"/>
              <w:left w:w="100" w:type="dxa"/>
              <w:bottom w:w="100" w:type="dxa"/>
              <w:right w:w="100" w:type="dxa"/>
            </w:tcMar>
          </w:tcPr>
          <w:p w14:paraId="6BB996B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IDT-IA</w:t>
            </w:r>
          </w:p>
        </w:tc>
        <w:tc>
          <w:tcPr>
            <w:tcW w:w="1417" w:type="dxa"/>
            <w:tcMar>
              <w:top w:w="100" w:type="dxa"/>
              <w:left w:w="100" w:type="dxa"/>
              <w:bottom w:w="100" w:type="dxa"/>
              <w:right w:w="100" w:type="dxa"/>
            </w:tcMar>
          </w:tcPr>
          <w:p w14:paraId="6BB996B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Technological dependence</w:t>
            </w:r>
          </w:p>
        </w:tc>
        <w:tc>
          <w:tcPr>
            <w:tcW w:w="1418" w:type="dxa"/>
            <w:tcMar>
              <w:top w:w="100" w:type="dxa"/>
              <w:left w:w="100" w:type="dxa"/>
              <w:bottom w:w="100" w:type="dxa"/>
              <w:right w:w="100" w:type="dxa"/>
            </w:tcMar>
          </w:tcPr>
          <w:p w14:paraId="6BB996B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Sovereignty</w:t>
            </w:r>
          </w:p>
        </w:tc>
        <w:tc>
          <w:tcPr>
            <w:tcW w:w="1559" w:type="dxa"/>
            <w:tcMar>
              <w:top w:w="100" w:type="dxa"/>
              <w:left w:w="100" w:type="dxa"/>
              <w:bottom w:w="100" w:type="dxa"/>
              <w:right w:w="100" w:type="dxa"/>
            </w:tcMar>
          </w:tcPr>
          <w:p w14:paraId="6BB996B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(WORLD BANK, 2021)</w:t>
            </w:r>
          </w:p>
        </w:tc>
        <w:tc>
          <w:tcPr>
            <w:tcW w:w="992" w:type="dxa"/>
            <w:tcMar>
              <w:top w:w="100" w:type="dxa"/>
              <w:left w:w="100" w:type="dxa"/>
              <w:bottom w:w="100" w:type="dxa"/>
              <w:right w:w="100" w:type="dxa"/>
            </w:tcMar>
          </w:tcPr>
          <w:p w14:paraId="6BB996C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C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C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Autonomy</w:t>
            </w:r>
          </w:p>
        </w:tc>
        <w:tc>
          <w:tcPr>
            <w:tcW w:w="851" w:type="dxa"/>
            <w:tcMar>
              <w:top w:w="100" w:type="dxa"/>
              <w:left w:w="100" w:type="dxa"/>
              <w:bottom w:w="100" w:type="dxa"/>
              <w:right w:w="100" w:type="dxa"/>
            </w:tcMar>
          </w:tcPr>
          <w:p w14:paraId="6BB996C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r w:rsidR="00120C68" w14:paraId="6BB996CE" w14:textId="77777777" w:rsidTr="006D15F7">
        <w:trPr>
          <w:trHeight w:val="1130"/>
        </w:trPr>
        <w:tc>
          <w:tcPr>
            <w:tcW w:w="1276" w:type="dxa"/>
            <w:tcMar>
              <w:top w:w="100" w:type="dxa"/>
              <w:left w:w="100" w:type="dxa"/>
              <w:bottom w:w="100" w:type="dxa"/>
              <w:right w:w="100" w:type="dxa"/>
            </w:tcMar>
          </w:tcPr>
          <w:p w14:paraId="6BB996C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w:t>
            </w:r>
          </w:p>
        </w:tc>
        <w:tc>
          <w:tcPr>
            <w:tcW w:w="1135" w:type="dxa"/>
            <w:tcMar>
              <w:top w:w="100" w:type="dxa"/>
              <w:left w:w="100" w:type="dxa"/>
              <w:bottom w:w="100" w:type="dxa"/>
              <w:right w:w="100" w:type="dxa"/>
            </w:tcMar>
          </w:tcPr>
          <w:p w14:paraId="6BB996C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IMDA-AI</w:t>
            </w:r>
          </w:p>
        </w:tc>
        <w:tc>
          <w:tcPr>
            <w:tcW w:w="1417" w:type="dxa"/>
            <w:tcMar>
              <w:top w:w="100" w:type="dxa"/>
              <w:left w:w="100" w:type="dxa"/>
              <w:bottom w:w="100" w:type="dxa"/>
              <w:right w:w="100" w:type="dxa"/>
            </w:tcMar>
          </w:tcPr>
          <w:p w14:paraId="6BB996C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AI-powered decision</w:t>
            </w:r>
          </w:p>
        </w:tc>
        <w:tc>
          <w:tcPr>
            <w:tcW w:w="1418" w:type="dxa"/>
            <w:tcMar>
              <w:top w:w="100" w:type="dxa"/>
              <w:left w:w="100" w:type="dxa"/>
              <w:bottom w:w="100" w:type="dxa"/>
              <w:right w:w="100" w:type="dxa"/>
            </w:tcMar>
          </w:tcPr>
          <w:p w14:paraId="6BB996C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Automation</w:t>
            </w:r>
          </w:p>
        </w:tc>
        <w:tc>
          <w:tcPr>
            <w:tcW w:w="1559" w:type="dxa"/>
            <w:tcMar>
              <w:top w:w="100" w:type="dxa"/>
              <w:left w:w="100" w:type="dxa"/>
              <w:bottom w:w="100" w:type="dxa"/>
              <w:right w:w="100" w:type="dxa"/>
            </w:tcMar>
          </w:tcPr>
          <w:p w14:paraId="6BB996C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(EUROPEAN COMMISSION, 2021)</w:t>
            </w:r>
          </w:p>
        </w:tc>
        <w:tc>
          <w:tcPr>
            <w:tcW w:w="992" w:type="dxa"/>
            <w:tcMar>
              <w:top w:w="100" w:type="dxa"/>
              <w:left w:w="100" w:type="dxa"/>
              <w:bottom w:w="100" w:type="dxa"/>
              <w:right w:w="100" w:type="dxa"/>
            </w:tcMar>
          </w:tcPr>
          <w:p w14:paraId="6BB996C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w:t>
            </w:r>
          </w:p>
        </w:tc>
        <w:tc>
          <w:tcPr>
            <w:tcW w:w="1418" w:type="dxa"/>
            <w:tcMar>
              <w:top w:w="100" w:type="dxa"/>
              <w:left w:w="100" w:type="dxa"/>
              <w:bottom w:w="100" w:type="dxa"/>
              <w:right w:w="100" w:type="dxa"/>
            </w:tcMar>
          </w:tcPr>
          <w:p w14:paraId="6BB996C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C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Efficiency</w:t>
            </w:r>
          </w:p>
        </w:tc>
        <w:tc>
          <w:tcPr>
            <w:tcW w:w="851" w:type="dxa"/>
            <w:tcMar>
              <w:top w:w="100" w:type="dxa"/>
              <w:left w:w="100" w:type="dxa"/>
              <w:bottom w:w="100" w:type="dxa"/>
              <w:right w:w="100" w:type="dxa"/>
            </w:tcMar>
          </w:tcPr>
          <w:p w14:paraId="6BB996C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r w:rsidR="00120C68" w14:paraId="6BB996D8" w14:textId="77777777" w:rsidTr="006D15F7">
        <w:trPr>
          <w:trHeight w:val="830"/>
        </w:trPr>
        <w:tc>
          <w:tcPr>
            <w:tcW w:w="1276" w:type="dxa"/>
            <w:tcMar>
              <w:top w:w="100" w:type="dxa"/>
              <w:left w:w="100" w:type="dxa"/>
              <w:bottom w:w="100" w:type="dxa"/>
              <w:right w:w="100" w:type="dxa"/>
            </w:tcMar>
          </w:tcPr>
          <w:p w14:paraId="6BB996C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lastRenderedPageBreak/>
              <w:t>ADAPT</w:t>
            </w:r>
          </w:p>
        </w:tc>
        <w:tc>
          <w:tcPr>
            <w:tcW w:w="1135" w:type="dxa"/>
            <w:tcMar>
              <w:top w:w="100" w:type="dxa"/>
              <w:left w:w="100" w:type="dxa"/>
              <w:bottom w:w="100" w:type="dxa"/>
              <w:right w:w="100" w:type="dxa"/>
            </w:tcMar>
          </w:tcPr>
          <w:p w14:paraId="6BB996D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IRP-IA</w:t>
            </w:r>
          </w:p>
        </w:tc>
        <w:tc>
          <w:tcPr>
            <w:tcW w:w="1417" w:type="dxa"/>
            <w:tcMar>
              <w:top w:w="100" w:type="dxa"/>
              <w:left w:w="100" w:type="dxa"/>
              <w:bottom w:w="100" w:type="dxa"/>
              <w:right w:w="100" w:type="dxa"/>
            </w:tcMar>
          </w:tcPr>
          <w:p w14:paraId="6BB996D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IA Risk</w:t>
            </w:r>
          </w:p>
        </w:tc>
        <w:tc>
          <w:tcPr>
            <w:tcW w:w="1418" w:type="dxa"/>
            <w:tcMar>
              <w:top w:w="100" w:type="dxa"/>
              <w:left w:w="100" w:type="dxa"/>
              <w:bottom w:w="100" w:type="dxa"/>
              <w:right w:w="100" w:type="dxa"/>
            </w:tcMar>
          </w:tcPr>
          <w:p w14:paraId="6BB996D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Perception</w:t>
            </w:r>
          </w:p>
        </w:tc>
        <w:tc>
          <w:tcPr>
            <w:tcW w:w="1559" w:type="dxa"/>
            <w:tcMar>
              <w:top w:w="100" w:type="dxa"/>
              <w:left w:w="100" w:type="dxa"/>
              <w:bottom w:w="100" w:type="dxa"/>
              <w:right w:w="100" w:type="dxa"/>
            </w:tcMar>
          </w:tcPr>
          <w:p w14:paraId="6BB996D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(FLORIDI et al., 2018)</w:t>
            </w:r>
          </w:p>
        </w:tc>
        <w:tc>
          <w:tcPr>
            <w:tcW w:w="992" w:type="dxa"/>
            <w:tcMar>
              <w:top w:w="100" w:type="dxa"/>
              <w:left w:w="100" w:type="dxa"/>
              <w:bottom w:w="100" w:type="dxa"/>
              <w:right w:w="100" w:type="dxa"/>
            </w:tcMar>
          </w:tcPr>
          <w:p w14:paraId="6BB996D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Survey</w:t>
            </w:r>
          </w:p>
        </w:tc>
        <w:tc>
          <w:tcPr>
            <w:tcW w:w="1418" w:type="dxa"/>
            <w:tcMar>
              <w:top w:w="100" w:type="dxa"/>
              <w:left w:w="100" w:type="dxa"/>
              <w:bottom w:w="100" w:type="dxa"/>
              <w:right w:w="100" w:type="dxa"/>
            </w:tcMar>
          </w:tcPr>
          <w:p w14:paraId="6BB996D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Society</w:t>
            </w:r>
          </w:p>
        </w:tc>
        <w:tc>
          <w:tcPr>
            <w:tcW w:w="1417" w:type="dxa"/>
            <w:tcMar>
              <w:top w:w="100" w:type="dxa"/>
              <w:left w:w="100" w:type="dxa"/>
              <w:bottom w:w="100" w:type="dxa"/>
              <w:right w:w="100" w:type="dxa"/>
            </w:tcMar>
          </w:tcPr>
          <w:p w14:paraId="6BB996D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Regulation</w:t>
            </w:r>
          </w:p>
        </w:tc>
        <w:tc>
          <w:tcPr>
            <w:tcW w:w="851" w:type="dxa"/>
            <w:tcMar>
              <w:top w:w="100" w:type="dxa"/>
              <w:left w:w="100" w:type="dxa"/>
              <w:bottom w:w="100" w:type="dxa"/>
              <w:right w:w="100" w:type="dxa"/>
            </w:tcMar>
          </w:tcPr>
          <w:p w14:paraId="6BB996D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r w:rsidR="00120C68" w14:paraId="6BB996E2" w14:textId="77777777" w:rsidTr="006D15F7">
        <w:trPr>
          <w:trHeight w:val="1130"/>
        </w:trPr>
        <w:tc>
          <w:tcPr>
            <w:tcW w:w="1276" w:type="dxa"/>
            <w:tcMar>
              <w:top w:w="100" w:type="dxa"/>
              <w:left w:w="100" w:type="dxa"/>
              <w:bottom w:w="100" w:type="dxa"/>
              <w:right w:w="100" w:type="dxa"/>
            </w:tcMar>
          </w:tcPr>
          <w:p w14:paraId="6BB996D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w:t>
            </w:r>
          </w:p>
        </w:tc>
        <w:tc>
          <w:tcPr>
            <w:tcW w:w="1135" w:type="dxa"/>
            <w:tcMar>
              <w:top w:w="100" w:type="dxa"/>
              <w:left w:w="100" w:type="dxa"/>
              <w:bottom w:w="100" w:type="dxa"/>
              <w:right w:w="100" w:type="dxa"/>
            </w:tcMar>
          </w:tcPr>
          <w:p w14:paraId="6BB996D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ICR</w:t>
            </w:r>
          </w:p>
        </w:tc>
        <w:tc>
          <w:tcPr>
            <w:tcW w:w="1417" w:type="dxa"/>
            <w:tcMar>
              <w:top w:w="100" w:type="dxa"/>
              <w:left w:w="100" w:type="dxa"/>
              <w:bottom w:w="100" w:type="dxa"/>
              <w:right w:w="100" w:type="dxa"/>
            </w:tcMar>
          </w:tcPr>
          <w:p w14:paraId="6BB996D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Regulatory complexity</w:t>
            </w:r>
          </w:p>
        </w:tc>
        <w:tc>
          <w:tcPr>
            <w:tcW w:w="1418" w:type="dxa"/>
            <w:tcMar>
              <w:top w:w="100" w:type="dxa"/>
              <w:left w:w="100" w:type="dxa"/>
              <w:bottom w:w="100" w:type="dxa"/>
              <w:right w:w="100" w:type="dxa"/>
            </w:tcMar>
          </w:tcPr>
          <w:p w14:paraId="6BB996D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Law</w:t>
            </w:r>
          </w:p>
        </w:tc>
        <w:tc>
          <w:tcPr>
            <w:tcW w:w="1559" w:type="dxa"/>
            <w:tcMar>
              <w:top w:w="100" w:type="dxa"/>
              <w:left w:w="100" w:type="dxa"/>
              <w:bottom w:w="100" w:type="dxa"/>
              <w:right w:w="100" w:type="dxa"/>
            </w:tcMar>
          </w:tcPr>
          <w:p w14:paraId="6BB996D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(EUROPEAN COMMISSION, 2021)</w:t>
            </w:r>
          </w:p>
        </w:tc>
        <w:tc>
          <w:tcPr>
            <w:tcW w:w="992" w:type="dxa"/>
            <w:tcMar>
              <w:top w:w="100" w:type="dxa"/>
              <w:left w:w="100" w:type="dxa"/>
              <w:bottom w:w="100" w:type="dxa"/>
              <w:right w:w="100" w:type="dxa"/>
            </w:tcMar>
          </w:tcPr>
          <w:p w14:paraId="6BB996D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Standards</w:t>
            </w:r>
          </w:p>
        </w:tc>
        <w:tc>
          <w:tcPr>
            <w:tcW w:w="1418" w:type="dxa"/>
            <w:tcMar>
              <w:top w:w="100" w:type="dxa"/>
              <w:left w:w="100" w:type="dxa"/>
              <w:bottom w:w="100" w:type="dxa"/>
              <w:right w:w="100" w:type="dxa"/>
            </w:tcMar>
          </w:tcPr>
          <w:p w14:paraId="6BB996D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State</w:t>
            </w:r>
          </w:p>
        </w:tc>
        <w:tc>
          <w:tcPr>
            <w:tcW w:w="1417" w:type="dxa"/>
            <w:tcMar>
              <w:top w:w="100" w:type="dxa"/>
              <w:left w:w="100" w:type="dxa"/>
              <w:bottom w:w="100" w:type="dxa"/>
              <w:right w:w="100" w:type="dxa"/>
            </w:tcMar>
          </w:tcPr>
          <w:p w14:paraId="6BB996E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Security</w:t>
            </w:r>
          </w:p>
        </w:tc>
        <w:tc>
          <w:tcPr>
            <w:tcW w:w="851" w:type="dxa"/>
            <w:tcMar>
              <w:top w:w="100" w:type="dxa"/>
              <w:left w:w="100" w:type="dxa"/>
              <w:bottom w:w="100" w:type="dxa"/>
              <w:right w:w="100" w:type="dxa"/>
            </w:tcMar>
          </w:tcPr>
          <w:p w14:paraId="6BB996E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r w:rsidR="00120C68" w14:paraId="6BB996EC" w14:textId="77777777" w:rsidTr="006D15F7">
        <w:trPr>
          <w:trHeight w:val="830"/>
        </w:trPr>
        <w:tc>
          <w:tcPr>
            <w:tcW w:w="1276" w:type="dxa"/>
            <w:tcMar>
              <w:top w:w="100" w:type="dxa"/>
              <w:left w:w="100" w:type="dxa"/>
              <w:bottom w:w="100" w:type="dxa"/>
              <w:right w:w="100" w:type="dxa"/>
            </w:tcMar>
          </w:tcPr>
          <w:p w14:paraId="6BB996E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w:t>
            </w:r>
          </w:p>
        </w:tc>
        <w:tc>
          <w:tcPr>
            <w:tcW w:w="1135" w:type="dxa"/>
            <w:tcMar>
              <w:top w:w="100" w:type="dxa"/>
              <w:left w:w="100" w:type="dxa"/>
              <w:bottom w:w="100" w:type="dxa"/>
              <w:right w:w="100" w:type="dxa"/>
            </w:tcMar>
          </w:tcPr>
          <w:p w14:paraId="6BB996E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IIUD</w:t>
            </w:r>
          </w:p>
        </w:tc>
        <w:tc>
          <w:tcPr>
            <w:tcW w:w="1417" w:type="dxa"/>
            <w:tcMar>
              <w:top w:w="100" w:type="dxa"/>
              <w:left w:w="100" w:type="dxa"/>
              <w:bottom w:w="100" w:type="dxa"/>
              <w:right w:w="100" w:type="dxa"/>
            </w:tcMar>
          </w:tcPr>
          <w:p w14:paraId="6BB996E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Data-intensive</w:t>
            </w:r>
          </w:p>
        </w:tc>
        <w:tc>
          <w:tcPr>
            <w:tcW w:w="1418" w:type="dxa"/>
            <w:tcMar>
              <w:top w:w="100" w:type="dxa"/>
              <w:left w:w="100" w:type="dxa"/>
              <w:bottom w:w="100" w:type="dxa"/>
              <w:right w:w="100" w:type="dxa"/>
            </w:tcMar>
          </w:tcPr>
          <w:p w14:paraId="6BB996E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Data-driven</w:t>
            </w:r>
          </w:p>
        </w:tc>
        <w:tc>
          <w:tcPr>
            <w:tcW w:w="1559" w:type="dxa"/>
            <w:tcMar>
              <w:top w:w="100" w:type="dxa"/>
              <w:left w:w="100" w:type="dxa"/>
              <w:bottom w:w="100" w:type="dxa"/>
              <w:right w:w="100" w:type="dxa"/>
            </w:tcMar>
          </w:tcPr>
          <w:p w14:paraId="6BB996E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(WORLD BANK, 2021)</w:t>
            </w:r>
          </w:p>
        </w:tc>
        <w:tc>
          <w:tcPr>
            <w:tcW w:w="992" w:type="dxa"/>
            <w:tcMar>
              <w:top w:w="100" w:type="dxa"/>
              <w:left w:w="100" w:type="dxa"/>
              <w:bottom w:w="100" w:type="dxa"/>
              <w:right w:w="100" w:type="dxa"/>
            </w:tcMar>
          </w:tcPr>
          <w:p w14:paraId="6BB996E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E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E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Efficiency</w:t>
            </w:r>
          </w:p>
        </w:tc>
        <w:tc>
          <w:tcPr>
            <w:tcW w:w="851" w:type="dxa"/>
            <w:tcMar>
              <w:top w:w="100" w:type="dxa"/>
              <w:left w:w="100" w:type="dxa"/>
              <w:bottom w:w="100" w:type="dxa"/>
              <w:right w:w="100" w:type="dxa"/>
            </w:tcMar>
          </w:tcPr>
          <w:p w14:paraId="6BB996E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r w:rsidR="00120C68" w14:paraId="6BB996F6" w14:textId="77777777" w:rsidTr="006D15F7">
        <w:trPr>
          <w:trHeight w:val="830"/>
        </w:trPr>
        <w:tc>
          <w:tcPr>
            <w:tcW w:w="1276" w:type="dxa"/>
            <w:tcMar>
              <w:top w:w="100" w:type="dxa"/>
              <w:left w:w="100" w:type="dxa"/>
              <w:bottom w:w="100" w:type="dxa"/>
              <w:right w:w="100" w:type="dxa"/>
            </w:tcMar>
          </w:tcPr>
          <w:p w14:paraId="6BB996E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w:t>
            </w:r>
          </w:p>
        </w:tc>
        <w:tc>
          <w:tcPr>
            <w:tcW w:w="1135" w:type="dxa"/>
            <w:tcMar>
              <w:top w:w="100" w:type="dxa"/>
              <w:left w:w="100" w:type="dxa"/>
              <w:bottom w:w="100" w:type="dxa"/>
              <w:right w:w="100" w:type="dxa"/>
            </w:tcMar>
          </w:tcPr>
          <w:p w14:paraId="6BB996E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ICAU</w:t>
            </w:r>
          </w:p>
        </w:tc>
        <w:tc>
          <w:tcPr>
            <w:tcW w:w="1417" w:type="dxa"/>
            <w:tcMar>
              <w:top w:w="100" w:type="dxa"/>
              <w:left w:w="100" w:type="dxa"/>
              <w:bottom w:w="100" w:type="dxa"/>
              <w:right w:w="100" w:type="dxa"/>
            </w:tcMar>
          </w:tcPr>
          <w:p w14:paraId="6BB996E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Adaptive capacity</w:t>
            </w:r>
          </w:p>
        </w:tc>
        <w:tc>
          <w:tcPr>
            <w:tcW w:w="1418" w:type="dxa"/>
            <w:tcMar>
              <w:top w:w="100" w:type="dxa"/>
              <w:left w:w="100" w:type="dxa"/>
              <w:bottom w:w="100" w:type="dxa"/>
              <w:right w:w="100" w:type="dxa"/>
            </w:tcMar>
          </w:tcPr>
          <w:p w14:paraId="6BB996F0"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Resilience</w:t>
            </w:r>
          </w:p>
        </w:tc>
        <w:tc>
          <w:tcPr>
            <w:tcW w:w="1559" w:type="dxa"/>
            <w:tcMar>
              <w:top w:w="100" w:type="dxa"/>
              <w:left w:w="100" w:type="dxa"/>
              <w:bottom w:w="100" w:type="dxa"/>
              <w:right w:w="100" w:type="dxa"/>
            </w:tcMar>
          </w:tcPr>
          <w:p w14:paraId="6BB996F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(KITCHIN, 2014)</w:t>
            </w:r>
          </w:p>
        </w:tc>
        <w:tc>
          <w:tcPr>
            <w:tcW w:w="992" w:type="dxa"/>
            <w:tcMar>
              <w:top w:w="100" w:type="dxa"/>
              <w:left w:w="100" w:type="dxa"/>
              <w:bottom w:w="100" w:type="dxa"/>
              <w:right w:w="100" w:type="dxa"/>
            </w:tcMar>
          </w:tcPr>
          <w:p w14:paraId="6BB996F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AI</w:t>
            </w:r>
          </w:p>
        </w:tc>
        <w:tc>
          <w:tcPr>
            <w:tcW w:w="1418" w:type="dxa"/>
            <w:tcMar>
              <w:top w:w="100" w:type="dxa"/>
              <w:left w:w="100" w:type="dxa"/>
              <w:bottom w:w="100" w:type="dxa"/>
              <w:right w:w="100" w:type="dxa"/>
            </w:tcMar>
          </w:tcPr>
          <w:p w14:paraId="6BB996F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Government</w:t>
            </w:r>
          </w:p>
        </w:tc>
        <w:tc>
          <w:tcPr>
            <w:tcW w:w="1417" w:type="dxa"/>
            <w:tcMar>
              <w:top w:w="100" w:type="dxa"/>
              <w:left w:w="100" w:type="dxa"/>
              <w:bottom w:w="100" w:type="dxa"/>
              <w:right w:w="100" w:type="dxa"/>
            </w:tcMar>
          </w:tcPr>
          <w:p w14:paraId="6BB996F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Adjustment</w:t>
            </w:r>
          </w:p>
        </w:tc>
        <w:tc>
          <w:tcPr>
            <w:tcW w:w="851" w:type="dxa"/>
            <w:tcMar>
              <w:top w:w="100" w:type="dxa"/>
              <w:left w:w="100" w:type="dxa"/>
              <w:bottom w:w="100" w:type="dxa"/>
              <w:right w:w="100" w:type="dxa"/>
            </w:tcMar>
          </w:tcPr>
          <w:p w14:paraId="6BB996F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r w:rsidR="00120C68" w14:paraId="6BB99700" w14:textId="77777777" w:rsidTr="006D15F7">
        <w:trPr>
          <w:trHeight w:val="830"/>
        </w:trPr>
        <w:tc>
          <w:tcPr>
            <w:tcW w:w="1276" w:type="dxa"/>
            <w:tcMar>
              <w:top w:w="100" w:type="dxa"/>
              <w:left w:w="100" w:type="dxa"/>
              <w:bottom w:w="100" w:type="dxa"/>
              <w:right w:w="100" w:type="dxa"/>
            </w:tcMar>
          </w:tcPr>
          <w:p w14:paraId="6BB996F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w:t>
            </w:r>
          </w:p>
        </w:tc>
        <w:tc>
          <w:tcPr>
            <w:tcW w:w="1135" w:type="dxa"/>
            <w:tcMar>
              <w:top w:w="100" w:type="dxa"/>
              <w:left w:w="100" w:type="dxa"/>
              <w:bottom w:w="100" w:type="dxa"/>
              <w:right w:w="100" w:type="dxa"/>
            </w:tcMar>
          </w:tcPr>
          <w:p w14:paraId="6BB996F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IVP-IA</w:t>
            </w:r>
          </w:p>
        </w:tc>
        <w:tc>
          <w:tcPr>
            <w:tcW w:w="1417" w:type="dxa"/>
            <w:tcMar>
              <w:top w:w="100" w:type="dxa"/>
              <w:left w:w="100" w:type="dxa"/>
              <w:bottom w:w="100" w:type="dxa"/>
              <w:right w:w="100" w:type="dxa"/>
            </w:tcMar>
          </w:tcPr>
          <w:p w14:paraId="6BB996F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Public value AI</w:t>
            </w:r>
          </w:p>
        </w:tc>
        <w:tc>
          <w:tcPr>
            <w:tcW w:w="1418" w:type="dxa"/>
            <w:tcMar>
              <w:top w:w="100" w:type="dxa"/>
              <w:left w:w="100" w:type="dxa"/>
              <w:bottom w:w="100" w:type="dxa"/>
              <w:right w:w="100" w:type="dxa"/>
            </w:tcMar>
          </w:tcPr>
          <w:p w14:paraId="6BB996FA"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Wellness</w:t>
            </w:r>
          </w:p>
        </w:tc>
        <w:tc>
          <w:tcPr>
            <w:tcW w:w="1559" w:type="dxa"/>
            <w:tcMar>
              <w:top w:w="100" w:type="dxa"/>
              <w:left w:w="100" w:type="dxa"/>
              <w:bottom w:w="100" w:type="dxa"/>
              <w:right w:w="100" w:type="dxa"/>
            </w:tcMar>
          </w:tcPr>
          <w:p w14:paraId="6BB996FB"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(OECD, 2019)</w:t>
            </w:r>
          </w:p>
        </w:tc>
        <w:tc>
          <w:tcPr>
            <w:tcW w:w="992" w:type="dxa"/>
            <w:tcMar>
              <w:top w:w="100" w:type="dxa"/>
              <w:left w:w="100" w:type="dxa"/>
              <w:bottom w:w="100" w:type="dxa"/>
              <w:right w:w="100" w:type="dxa"/>
            </w:tcMar>
          </w:tcPr>
          <w:p w14:paraId="6BB996FC"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6FD"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Society</w:t>
            </w:r>
          </w:p>
        </w:tc>
        <w:tc>
          <w:tcPr>
            <w:tcW w:w="1417" w:type="dxa"/>
            <w:tcMar>
              <w:top w:w="100" w:type="dxa"/>
              <w:left w:w="100" w:type="dxa"/>
              <w:bottom w:w="100" w:type="dxa"/>
              <w:right w:w="100" w:type="dxa"/>
            </w:tcMar>
          </w:tcPr>
          <w:p w14:paraId="6BB996FE"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Impact</w:t>
            </w:r>
          </w:p>
        </w:tc>
        <w:tc>
          <w:tcPr>
            <w:tcW w:w="851" w:type="dxa"/>
            <w:tcMar>
              <w:top w:w="100" w:type="dxa"/>
              <w:left w:w="100" w:type="dxa"/>
              <w:bottom w:w="100" w:type="dxa"/>
              <w:right w:w="100" w:type="dxa"/>
            </w:tcMar>
          </w:tcPr>
          <w:p w14:paraId="6BB996FF"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r w:rsidR="00120C68" w14:paraId="6BB9970A" w14:textId="77777777" w:rsidTr="006D15F7">
        <w:trPr>
          <w:trHeight w:val="830"/>
        </w:trPr>
        <w:tc>
          <w:tcPr>
            <w:tcW w:w="1276" w:type="dxa"/>
            <w:tcMar>
              <w:top w:w="100" w:type="dxa"/>
              <w:left w:w="100" w:type="dxa"/>
              <w:bottom w:w="100" w:type="dxa"/>
              <w:right w:w="100" w:type="dxa"/>
            </w:tcMar>
          </w:tcPr>
          <w:p w14:paraId="6BB99701"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ADAPT</w:t>
            </w:r>
          </w:p>
        </w:tc>
        <w:tc>
          <w:tcPr>
            <w:tcW w:w="1135" w:type="dxa"/>
            <w:tcMar>
              <w:top w:w="100" w:type="dxa"/>
              <w:left w:w="100" w:type="dxa"/>
              <w:bottom w:w="100" w:type="dxa"/>
              <w:right w:w="100" w:type="dxa"/>
            </w:tcMar>
          </w:tcPr>
          <w:p w14:paraId="6BB99702"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 DID</w:t>
            </w:r>
          </w:p>
        </w:tc>
        <w:tc>
          <w:tcPr>
            <w:tcW w:w="1417" w:type="dxa"/>
            <w:tcMar>
              <w:top w:w="100" w:type="dxa"/>
              <w:left w:w="100" w:type="dxa"/>
              <w:bottom w:w="100" w:type="dxa"/>
              <w:right w:w="100" w:type="dxa"/>
            </w:tcMar>
          </w:tcPr>
          <w:p w14:paraId="6BB99703"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Innovation ecosystem</w:t>
            </w:r>
          </w:p>
        </w:tc>
        <w:tc>
          <w:tcPr>
            <w:tcW w:w="1418" w:type="dxa"/>
            <w:tcMar>
              <w:top w:w="100" w:type="dxa"/>
              <w:left w:w="100" w:type="dxa"/>
              <w:bottom w:w="100" w:type="dxa"/>
              <w:right w:w="100" w:type="dxa"/>
            </w:tcMar>
          </w:tcPr>
          <w:p w14:paraId="6BB99704"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Triple helix</w:t>
            </w:r>
          </w:p>
        </w:tc>
        <w:tc>
          <w:tcPr>
            <w:tcW w:w="1559" w:type="dxa"/>
            <w:tcMar>
              <w:top w:w="100" w:type="dxa"/>
              <w:left w:w="100" w:type="dxa"/>
              <w:bottom w:w="100" w:type="dxa"/>
              <w:right w:w="100" w:type="dxa"/>
            </w:tcMar>
          </w:tcPr>
          <w:p w14:paraId="6BB99705"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(ETZKOWITZ, 2000)</w:t>
            </w:r>
          </w:p>
        </w:tc>
        <w:tc>
          <w:tcPr>
            <w:tcW w:w="992" w:type="dxa"/>
            <w:tcMar>
              <w:top w:w="100" w:type="dxa"/>
              <w:left w:w="100" w:type="dxa"/>
              <w:bottom w:w="100" w:type="dxa"/>
              <w:right w:w="100" w:type="dxa"/>
            </w:tcMar>
          </w:tcPr>
          <w:p w14:paraId="6BB99706"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Data</w:t>
            </w:r>
          </w:p>
        </w:tc>
        <w:tc>
          <w:tcPr>
            <w:tcW w:w="1418" w:type="dxa"/>
            <w:tcMar>
              <w:top w:w="100" w:type="dxa"/>
              <w:left w:w="100" w:type="dxa"/>
              <w:bottom w:w="100" w:type="dxa"/>
              <w:right w:w="100" w:type="dxa"/>
            </w:tcMar>
          </w:tcPr>
          <w:p w14:paraId="6BB99707"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Universities</w:t>
            </w:r>
          </w:p>
        </w:tc>
        <w:tc>
          <w:tcPr>
            <w:tcW w:w="1417" w:type="dxa"/>
            <w:tcMar>
              <w:top w:w="100" w:type="dxa"/>
              <w:left w:w="100" w:type="dxa"/>
              <w:bottom w:w="100" w:type="dxa"/>
              <w:right w:w="100" w:type="dxa"/>
            </w:tcMar>
          </w:tcPr>
          <w:p w14:paraId="6BB99708"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Growth</w:t>
            </w:r>
          </w:p>
        </w:tc>
        <w:tc>
          <w:tcPr>
            <w:tcW w:w="851" w:type="dxa"/>
            <w:tcMar>
              <w:top w:w="100" w:type="dxa"/>
              <w:left w:w="100" w:type="dxa"/>
              <w:bottom w:w="100" w:type="dxa"/>
              <w:right w:w="100" w:type="dxa"/>
            </w:tcMar>
          </w:tcPr>
          <w:p w14:paraId="6BB99709" w14:textId="77777777" w:rsidR="00120C68" w:rsidRPr="006D15F7" w:rsidRDefault="0091690A" w:rsidP="0091690A">
            <w:pPr>
              <w:spacing w:line="240" w:lineRule="auto"/>
              <w:jc w:val="center"/>
              <w:rPr>
                <w:rFonts w:ascii="Times New Roman" w:eastAsia="Times New Roman" w:hAnsi="Times New Roman" w:cs="Times New Roman"/>
                <w:color w:val="000000" w:themeColor="text1"/>
                <w:sz w:val="18"/>
                <w:szCs w:val="18"/>
              </w:rPr>
            </w:pPr>
            <w:r w:rsidRPr="006D15F7">
              <w:rPr>
                <w:rFonts w:ascii="Times New Roman" w:eastAsia="Times New Roman" w:hAnsi="Times New Roman" w:cs="Times New Roman"/>
                <w:color w:val="000000" w:themeColor="text1"/>
                <w:sz w:val="18"/>
                <w:szCs w:val="18"/>
              </w:rPr>
              <w:t>0,10</w:t>
            </w:r>
          </w:p>
        </w:tc>
      </w:tr>
    </w:tbl>
    <w:p w14:paraId="6BB9970B" w14:textId="77777777" w:rsidR="00120C68" w:rsidRDefault="00120C68">
      <w:pPr>
        <w:spacing w:after="200" w:line="360" w:lineRule="auto"/>
        <w:jc w:val="both"/>
        <w:rPr>
          <w:rFonts w:ascii="Times New Roman" w:eastAsia="Times New Roman" w:hAnsi="Times New Roman" w:cs="Times New Roman"/>
          <w:b/>
          <w:bCs/>
          <w:color w:val="0000FF"/>
          <w:sz w:val="24"/>
          <w:szCs w:val="24"/>
          <w:highlight w:val="yellow"/>
        </w:rPr>
      </w:pPr>
    </w:p>
    <w:p w14:paraId="6BB9970C" w14:textId="77777777" w:rsidR="00120C68" w:rsidRDefault="0091690A">
      <w:pPr>
        <w:spacing w:after="200" w:line="360" w:lineRule="auto"/>
        <w:ind w:firstLine="284"/>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results presented show consistent patterns and significant relationships between the indicators analyzed, especially those with greater weight in the model. Based on these findings, the following section deepens the interpretation of the results in the light of the literature, seeking to understand their theoretical and practical implications in the context of smart cities, with emphasis on the integration between Artificial Intelligence, Intellectual Property, data governance and social trust.</w:t>
      </w:r>
    </w:p>
    <w:p w14:paraId="6BB9970D" w14:textId="77777777" w:rsidR="00120C68" w:rsidRDefault="0091690A">
      <w:pPr>
        <w:spacing w:before="280" w:after="280" w:line="240" w:lineRule="auto"/>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DISCUSSIONS</w:t>
      </w:r>
    </w:p>
    <w:p w14:paraId="6BB9970E" w14:textId="77777777" w:rsidR="00120C68" w:rsidRPr="00430054" w:rsidRDefault="0091690A">
      <w:pPr>
        <w:spacing w:before="280" w:after="280" w:line="360" w:lineRule="auto"/>
        <w:ind w:firstLine="283"/>
        <w:jc w:val="both"/>
        <w:rPr>
          <w:rFonts w:ascii="Times New Roman" w:eastAsia="Times New Roman" w:hAnsi="Times New Roman" w:cs="Times New Roman"/>
          <w:sz w:val="24"/>
          <w:szCs w:val="24"/>
          <w:highlight w:val="white"/>
          <w:lang w:val="en-US"/>
        </w:rPr>
      </w:pPr>
      <w:r w:rsidRPr="00430054">
        <w:rPr>
          <w:rFonts w:ascii="Times New Roman" w:eastAsia="Times New Roman" w:hAnsi="Times New Roman" w:cs="Times New Roman"/>
          <w:sz w:val="24"/>
          <w:szCs w:val="24"/>
          <w:highlight w:val="white"/>
          <w:lang w:val="en-US"/>
        </w:rPr>
        <w:t>From the results presented, it is possible to move on to an integrated analysis of the indicators, seeking to understand how their interrelations structure the proposed model. In this sense, the discussion focuses on the identification of the central pillars that support the socio-technical maturity of smart cities, evidencing the articulation between technological, economic, institutional and social dimensions.</w:t>
      </w:r>
    </w:p>
    <w:p w14:paraId="6D9CBA6A" w14:textId="77777777" w:rsidR="00430054" w:rsidRDefault="00430054">
      <w:pPr>
        <w:spacing w:before="280" w:after="280" w:line="360" w:lineRule="auto"/>
        <w:ind w:firstLine="283"/>
        <w:jc w:val="both"/>
        <w:rPr>
          <w:rFonts w:ascii="Times New Roman" w:eastAsia="Times New Roman" w:hAnsi="Times New Roman" w:cs="Times New Roman"/>
          <w:sz w:val="24"/>
          <w:szCs w:val="24"/>
          <w:highlight w:val="white"/>
          <w:lang w:val="en-US"/>
        </w:rPr>
      </w:pPr>
    </w:p>
    <w:p w14:paraId="478CD324" w14:textId="77777777" w:rsidR="00430054" w:rsidRPr="00430054" w:rsidRDefault="00430054">
      <w:pPr>
        <w:spacing w:before="280" w:after="280" w:line="360" w:lineRule="auto"/>
        <w:ind w:firstLine="283"/>
        <w:jc w:val="both"/>
        <w:rPr>
          <w:rFonts w:ascii="Times New Roman" w:eastAsia="Times New Roman" w:hAnsi="Times New Roman" w:cs="Times New Roman"/>
          <w:sz w:val="24"/>
          <w:szCs w:val="24"/>
          <w:highlight w:val="white"/>
          <w:lang w:val="en-US"/>
        </w:rPr>
      </w:pPr>
    </w:p>
    <w:p w14:paraId="6BB9970F" w14:textId="77777777" w:rsidR="00120C68" w:rsidRPr="00430054" w:rsidRDefault="0091690A">
      <w:pPr>
        <w:pStyle w:val="Ttulo1"/>
        <w:keepNext w:val="0"/>
        <w:keepLines w:val="0"/>
        <w:numPr>
          <w:ilvl w:val="0"/>
          <w:numId w:val="1"/>
        </w:numPr>
        <w:spacing w:before="480" w:line="360" w:lineRule="auto"/>
        <w:rPr>
          <w:rFonts w:ascii="Times New Roman" w:eastAsia="Times New Roman" w:hAnsi="Times New Roman" w:cs="Times New Roman"/>
          <w:b/>
          <w:bCs/>
          <w:sz w:val="24"/>
          <w:szCs w:val="24"/>
          <w:highlight w:val="white"/>
          <w:lang w:val="en-US"/>
        </w:rPr>
      </w:pPr>
      <w:bookmarkStart w:id="2" w:name="_ps3wf58gdlcb" w:colFirst="0" w:colLast="0"/>
      <w:bookmarkEnd w:id="2"/>
      <w:r w:rsidRPr="00430054">
        <w:rPr>
          <w:rFonts w:ascii="Times New Roman" w:eastAsia="Times New Roman" w:hAnsi="Times New Roman" w:cs="Times New Roman"/>
          <w:b/>
          <w:bCs/>
          <w:sz w:val="24"/>
          <w:szCs w:val="24"/>
          <w:highlight w:val="white"/>
          <w:lang w:val="en-US"/>
        </w:rPr>
        <w:lastRenderedPageBreak/>
        <w:t>Analytical synthesis of the structural pillars of the model</w:t>
      </w:r>
    </w:p>
    <w:p w14:paraId="6BB99710" w14:textId="77777777" w:rsidR="00120C68" w:rsidRDefault="0091690A">
      <w:pPr>
        <w:spacing w:before="240" w:after="240" w:line="360"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integrated analysis of the indicators allows us to identify that the proposed model is organized based on four interdependent central pillars, which structure the understanding of smart cities as complex socio-technical systems: technological, economic, institutional and social. These pillars do not operate in isolation, but are dynamically articulated, being integrated by the Sociotechnical Maturity Index (IMSU), which acts as a synthesis indicator.</w:t>
      </w:r>
    </w:p>
    <w:p w14:paraId="6BB99711" w14:textId="77777777" w:rsidR="00120C68" w:rsidRDefault="0091690A">
      <w:pPr>
        <w:spacing w:before="240" w:after="240" w:line="360"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technological pillar, represented by the IMPIA (Artificial Intelligence maturity), IGDU (urban data governance) and IIS-IA (systemic integration of AI) indicators, shows that digital infrastructure and the capacity to process and use data constitute the operational basis of smart cities. As Kitchin (2014) argues, data and digital technologies are configured as structuring elements of contemporary urban management, enabling monitoring, automation, and evidence-based decision-making processes. In this context, Artificial Intelligence emerges as a general-purpose technology, capable of enhancing the efficiency and responsiveness of urban systems (OECD, 2019).</w:t>
      </w:r>
    </w:p>
    <w:p w14:paraId="6BB99712" w14:textId="77777777" w:rsidR="00120C68" w:rsidRDefault="0091690A">
      <w:pPr>
        <w:spacing w:before="240" w:after="240" w:line="360" w:lineRule="auto"/>
        <w:ind w:firstLine="28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economic pillar, anchored in the IGEAI (management of intangible assets) and IPG-PI (potential for generating intellectual property) indicators, reflects the centrality of the knowledge economy in smart cities. The valuation of intangible assets, such as algorithms, software, and databases, evidences the transition to productive models based on innovation and technology. According to the World Intellectual Property Organization (WIPO, 2023), intellectual property plays a fundamental role in structuring innovative ecosystems, functioning as a mechanism for protecting, encouraging, and disseminating technological knowledge.</w:t>
      </w:r>
    </w:p>
    <w:p w14:paraId="6BB99713"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institutional pillar, represented by the ICII (institutional capacity), ICRIA (Artificial Intelligence regulation) and IAR (regulatory adaptability) indicators, highlights the importance of governance structures and state capacity to implement, regulate and adapt public policies in contexts of rapid technological transformation. The literature emphasizes that the effectiveness of smart cities depends on the existence of robust institutions, capable of integrating innovation, regulation, and multisectoral coordination (WORLD BANK, 2021; OECD, 2020). Regulatory adaptability, in particular, is relevant in the face of the speed of evolution of AI, requiring flexible and responsive regulatory frameworks.</w:t>
      </w:r>
    </w:p>
    <w:p w14:paraId="6BB99714"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Finally, the social pillar, composed of the ICTU (urban technological trust) and IVP-IA (public value of Artificial Intelligence) indicators, shows that legitimacy and social acceptance </w:t>
      </w:r>
      <w:r w:rsidRPr="00430054">
        <w:rPr>
          <w:rFonts w:ascii="Times New Roman" w:eastAsia="Times New Roman" w:hAnsi="Times New Roman" w:cs="Times New Roman"/>
          <w:sz w:val="24"/>
          <w:szCs w:val="24"/>
          <w:lang w:val="en-US"/>
        </w:rPr>
        <w:lastRenderedPageBreak/>
        <w:t>are essential conditions for the consolidation of smart cities. The population's trust in technologies and in the institutions that use them is directly associated with transparency, ethics, and the perception of concrete benefits generated by innovation (FLORIDI et al., 2018; OECD, 2019). In addition, the generation of public value through AI reinforces the need to guide technological development towards collective well-being and the reduction of inequalities, in line with the Sustainable Development Goals (UNITED NATIONS, 2015).</w:t>
      </w:r>
    </w:p>
    <w:p w14:paraId="6BB99715"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articulation of these four pillars is summarized by the Sociotechnical Maturity Index (IMSU), which integrates the technological, economic, institutional, and social dimensions into a single metric, allowing the systemic evaluation of urban intelligence. As Jannuzzi (2012) points out, synthetic indicators are fundamental instruments for the analysis of complex phenomena, as they enable the aggregation of multiple variables in a coherent interpretative structure. In this sense, the IMSU not only consolidates the empirical results, but also offers an analytical tool for the comparison between urban contexts and for supporting evidence-based decision-making.</w:t>
      </w:r>
    </w:p>
    <w:p w14:paraId="6BB99716"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this way, the analytical synthesis shows that the development of smart cities depends on the convergence between technology, economic innovation, institutional capacity and social legitimacy, configuring an integrated model that goes beyond fragmented approaches and reinforces the multidimensional nature of urban intelligence. Also, the analysis of the weights attributed to the indicators shows the centrality of four structuring dimensions: data governance, management of intangible assets, socio-technical maturity and technological trust. These elements constitute the core of the proposed model, being complemented by strategic indicators related to artificial intelligence, urban innovation and institutional capacity, which, together, support the integrated understanding of smart cities as sociotechnical systems driven by data and innovation.</w:t>
      </w:r>
    </w:p>
    <w:p w14:paraId="6BB99717" w14:textId="77777777" w:rsidR="00120C68" w:rsidRPr="00430054" w:rsidRDefault="0091690A">
      <w:pPr>
        <w:pStyle w:val="Ttulo1"/>
        <w:keepNext w:val="0"/>
        <w:keepLines w:val="0"/>
        <w:numPr>
          <w:ilvl w:val="0"/>
          <w:numId w:val="1"/>
        </w:numPr>
        <w:spacing w:before="480" w:line="360" w:lineRule="auto"/>
        <w:rPr>
          <w:rFonts w:ascii="Times New Roman" w:eastAsia="Times New Roman" w:hAnsi="Times New Roman" w:cs="Times New Roman"/>
          <w:b/>
          <w:bCs/>
          <w:sz w:val="24"/>
          <w:szCs w:val="24"/>
          <w:lang w:val="en-US"/>
        </w:rPr>
      </w:pPr>
      <w:bookmarkStart w:id="3" w:name="_y9lpqvt41zmv" w:colFirst="0" w:colLast="0"/>
      <w:bookmarkEnd w:id="3"/>
      <w:r w:rsidRPr="00430054">
        <w:rPr>
          <w:rFonts w:ascii="Times New Roman" w:eastAsia="Times New Roman" w:hAnsi="Times New Roman" w:cs="Times New Roman"/>
          <w:b/>
          <w:bCs/>
          <w:sz w:val="24"/>
          <w:szCs w:val="24"/>
          <w:lang w:val="en-US"/>
        </w:rPr>
        <w:t xml:space="preserve"> Analysis of the model's most important core weight indicators</w:t>
      </w:r>
    </w:p>
    <w:p w14:paraId="6BB99718"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analysis of the results shows the existence of a structuring core composed of four central indicators, which concentrate the greatest weights in the proposed analytical model: the Sociotechnical Maturity Index (IMSU), the Intangible Asset Management Index (IGEAI), the Urban Data Governance Index (IGDU) and the Urban Technological Confidence Index (ICTU). These indicators are fundamental pillars for understanding smart cities as complex socio-technical systems, driven by data, innovation and governance.</w:t>
      </w:r>
    </w:p>
    <w:p w14:paraId="6BB99719"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lastRenderedPageBreak/>
        <w:t>The IMSU (Sociotechnical Maturity Index) plays a central role in synthesizing the multiple dimensions of the model, integrating technological, institutional and social aspects. This perspective is supported by the literature that understands smart cities as interdependent ecosystems, in which digital infrastructure, human capital, and governance interact dynamically (COHEN, 2014; CARAGLIU; DEL BO; NIJKAMP, 2011). Sociotechnical maturity, in this sense, is not limited to technological adoption, but reflects the ability to articulate between actors, systems and public policies, reinforcing the idea of urban intelligence as an integrated phenomenon.</w:t>
      </w:r>
    </w:p>
    <w:p w14:paraId="6BB9971A"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the economic and legal field, the IGEAI (Intangible Asset Management Index) stands out as a structuring element by highlighting the role of intellectual property in the organization and valorization of urban innovation. Contemporary literature points out that, in knowledge-based economies, intangible assets — including patents, software, algorithms, and databases — constitute the main vector of competitiveness and development (WIPO, 2023; OECD, 2019). In this context, the efficient management of these assets becomes a necessary condition for the consolidation of innovative urban ecosystems, especially when articulated with Artificial Intelligence.</w:t>
      </w:r>
    </w:p>
    <w:p w14:paraId="6BB9971B"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Additionally, the IGDU (Urban Data Governance Index) reveals the centrality of data as an essential infrastructure of smart cities. Data governance involves not only the collection and processing of information, but also aspects related to interoperability, security, transparency, and ethical use (ISO, 2019; WORLD BANK, 2021). As highlighted by Kitchin (2014), urban data are configured as a structuring element of contemporary dynamics, enabling everything from the efficient management of public services to evidence-based decision-making. Thus, the quality of data governance directly impacts the ability to implement intelligent and adaptive policies.</w:t>
      </w:r>
    </w:p>
    <w:p w14:paraId="6BB9971C"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turn, the ICTU (Urban Technological Confidence Index) introduces the social dimension at the core of the model, by measuring the level of confidence of the population in relation to the technologies implemented in the urban context. Trust is an indispensable element for the legitimization of digital governance and for the social acceptance of Artificial Intelligence, especially in scenarios that involve massive data collection and decision-making automation (OECD, 2019; FLORIDI et al., 2018). Without trust, technological adoption tends to face resistance, compromising the effectiveness of public policies and the sustainability of intelligent systems.</w:t>
      </w:r>
    </w:p>
    <w:p w14:paraId="6BB9971D"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lastRenderedPageBreak/>
        <w:t>The integration of these four indicators shows the existence of four interdependent structuring dimensions: technological (data), economic (intangible assets), institutional (socio-technical maturity) and social (trust). This configuration reinforces the multidimensional approach to smart cities, aligned with the principles of the 2030 Agenda and contemporary debates on digital governance, innovation, and sustainability (UNITED NATIONS, 2015).</w:t>
      </w:r>
    </w:p>
    <w:p w14:paraId="6BB9971E"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this way, the nucleus formed by IMSU, IGEAI, IGDU and ICTU not only synthesizes the empirical results of the research, but also offers a robust analytical framework for the understanding and evaluation of urban intelligence, showing that the development of smart cities depends on the convergence between technology, regulation, innovation and social legitimacy.</w:t>
      </w:r>
    </w:p>
    <w:p w14:paraId="6BB9971F"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Additionally, it is noteworthy that the Sociotechnical Maturity Index (IMSU), by assuming the function of a synthetic indicator of the model, consolidates and integrates the multiple dimensions analyzed, operating as an aggregating metric of urban intelligence. Its construction allows not only the isolated reading of variables, but above all the systemic understanding of the interactions between data governance, management of intangible assets, technological adoption, and social trust. This approach is supported by contemporary models of urban evaluation that emphasize the need for composite indicators to capture complex and multidimensional phenomena (COHEN, 2014; JANNUZZI, 2012). In this sense, the IMSU plays a strategic role by enabling comparisons between urban contexts, supporting decision-making processes and guiding the formulation of evidence-based public policies, configuring itself as a key element for the operationalization of the concept of smart cities as integrated socio-technical systems.</w:t>
      </w:r>
    </w:p>
    <w:p w14:paraId="6BB99720" w14:textId="77777777" w:rsidR="00120C68" w:rsidRPr="00430054" w:rsidRDefault="0091690A">
      <w:pPr>
        <w:spacing w:before="240" w:after="240" w:line="360" w:lineRule="auto"/>
        <w:ind w:firstLine="283"/>
        <w:jc w:val="both"/>
        <w:rPr>
          <w:rFonts w:ascii="Times New Roman" w:eastAsia="Times New Roman" w:hAnsi="Times New Roman" w:cs="Times New Roman"/>
          <w:b/>
          <w:bCs/>
          <w:sz w:val="24"/>
          <w:szCs w:val="24"/>
          <w:lang w:val="en-US"/>
        </w:rPr>
      </w:pPr>
      <w:r w:rsidRPr="00430054">
        <w:rPr>
          <w:rFonts w:ascii="Times New Roman" w:eastAsia="Times New Roman" w:hAnsi="Times New Roman" w:cs="Times New Roman"/>
          <w:sz w:val="24"/>
          <w:szCs w:val="24"/>
          <w:lang w:val="en-US"/>
        </w:rPr>
        <w:t>Before concluding, it should be noted that, although the set of indicators proposed presents high internal coherence and explanatory capacity, its application involves limitations inherent to the perceptual nature of the data and the sample size, which may influence the generalization of the results (FIELD, 2013; HAIR et al., 2010). Even so, the construction of synthetic and multidimensional indicators proved to be adequate to capture the complexity of smart cities, allowing the integration of technological, economic, institutional and social dimensions in a consistent analytical structure (JANNUZZI, 2012). In addition, the findings reinforce the relevance of Artificial Intelligence as a structuring technology and intellectual property as a mechanism for organizing innovation, while highlighting the centrality of data governance and social trust for the effectiveness of urban policies (OECD, 2019; WIPO, 2023).</w:t>
      </w:r>
    </w:p>
    <w:p w14:paraId="6BB99721" w14:textId="77777777" w:rsidR="00120C68" w:rsidRPr="00430054" w:rsidRDefault="0091690A">
      <w:pPr>
        <w:spacing w:before="280" w:after="280" w:line="240" w:lineRule="auto"/>
        <w:rPr>
          <w:rFonts w:ascii="Times New Roman" w:eastAsia="Times New Roman" w:hAnsi="Times New Roman" w:cs="Times New Roman"/>
          <w:b/>
          <w:bCs/>
          <w:sz w:val="24"/>
          <w:szCs w:val="24"/>
          <w:lang w:val="en-US"/>
        </w:rPr>
      </w:pPr>
      <w:r w:rsidRPr="00430054">
        <w:rPr>
          <w:rFonts w:ascii="Times New Roman" w:eastAsia="Times New Roman" w:hAnsi="Times New Roman" w:cs="Times New Roman"/>
          <w:b/>
          <w:bCs/>
          <w:sz w:val="24"/>
          <w:szCs w:val="24"/>
          <w:lang w:val="en-US"/>
        </w:rPr>
        <w:lastRenderedPageBreak/>
        <w:t>CONCLUSION</w:t>
      </w:r>
    </w:p>
    <w:p w14:paraId="6BB99722"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present work consolidated the proposition of an indicator model aimed at the assessment of socio-technical maturity in smart cities, structured from a multidimensional approach that integrates Artificial Intelligence, Intellectual Property, data governance and institutional and social dimensions. The construction of the model allowed the systematic organization of complex variables in a coherent analytical framework, capable of reflecting the dynamic and interdependent nature of contemporary urban systems.</w:t>
      </w:r>
    </w:p>
    <w:p w14:paraId="6BB99723"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The analysis showed that the maturity of smart cities cannot be understood in isolation or strictly technologically, but must be interpreted as a result of the articulation between institutional capacities, regulatory frameworks, management of intangible assets, data infrastructure and levels of social trust. In this sense, the proposed model contributes by offering an integrated reading of these elements, overcoming fragmented approaches and allowing greater precision in the evaluation of different urban contexts.</w:t>
      </w:r>
    </w:p>
    <w:p w14:paraId="6BB99724"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addition, the use of synthetic indicators proved to be relevant for the reduction of analytical complexity and for the construction of comparable metrics, while maintaining the interpretative depth necessary for the analysis of sociotechnical phenomena (JANNUZZI, 2012). The integration of the different axes through an aggregator index reinforces the potential of the model as an instrument to support decision-making, strategic planning and the formulation of evidence-based public policies.</w:t>
      </w:r>
    </w:p>
    <w:p w14:paraId="6BB99725"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In this context, the centrality of the most important indicators — especially the Sociotechnical Maturity Index (IMSU), the Intangible Asset Management Index (IGEAI), the Urban Data Governance Index (IGDU) and the Urban Technological Confidence Index (ICTU) — as structuring elements of the analytical model stands out. These indicators show that the development of smart cities does not depend exclusively on technological adoption, but on the articulation between institutional capacities, strategic innovation management, data infrastructure, and social legitimacy.</w:t>
      </w:r>
    </w:p>
    <w:p w14:paraId="6BB99726"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The analytical synthesis revealed the existence of four fundamental pillars — technological, economic, institutional and social — whose integration is a necessary condition for the consolidation of smart urban ecosystems. In this sense, Artificial Intelligence asserts itself as a structuring technology, capable of enhancing the efficiency and predictive capacity of urban management (OECD, 2019), while intellectual property acts as a mechanism for organizing and </w:t>
      </w:r>
      <w:r w:rsidRPr="00430054">
        <w:rPr>
          <w:rFonts w:ascii="Times New Roman" w:eastAsia="Times New Roman" w:hAnsi="Times New Roman" w:cs="Times New Roman"/>
          <w:sz w:val="24"/>
          <w:szCs w:val="24"/>
          <w:lang w:val="en-US"/>
        </w:rPr>
        <w:lastRenderedPageBreak/>
        <w:t>valuing innovation, especially in data-driven contexts (WIPO, 2023). At the same time, data governance and social trust emerge as critical dimensions, conditioning the effectiveness and sustainability of the technological solutions implemented (KITCHIN, 2014; FLORIDI et al., 2018).</w:t>
      </w:r>
    </w:p>
    <w:p w14:paraId="6BB99727" w14:textId="77777777" w:rsidR="00120C68" w:rsidRPr="00430054" w:rsidRDefault="0091690A">
      <w:pPr>
        <w:spacing w:before="240" w:after="240" w:line="360" w:lineRule="auto"/>
        <w:ind w:firstLine="283"/>
        <w:jc w:val="both"/>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Finally, the model of sociotechnical maturity indicators presents itself as a theoretical-methodological contribution to the field of smart cities, by articulating technological, economic, institutional and social dimensions in a unified analytical structure. Such an approach expands the possibilities of analysis and intervention in urban contexts, offering subsidies for the development of more efficient, innovative, inclusive and sustainable cities.</w:t>
      </w:r>
    </w:p>
    <w:p w14:paraId="6BB99728" w14:textId="77777777" w:rsidR="00120C68" w:rsidRPr="00430054" w:rsidRDefault="0091690A">
      <w:pPr>
        <w:spacing w:before="280" w:after="280" w:line="360" w:lineRule="auto"/>
        <w:rPr>
          <w:rFonts w:ascii="Times New Roman" w:eastAsia="Times New Roman" w:hAnsi="Times New Roman" w:cs="Times New Roman"/>
          <w:sz w:val="46"/>
          <w:szCs w:val="46"/>
          <w:lang w:val="en-US"/>
        </w:rPr>
      </w:pPr>
      <w:r w:rsidRPr="00430054">
        <w:rPr>
          <w:rFonts w:ascii="Times New Roman" w:eastAsia="Times New Roman" w:hAnsi="Times New Roman" w:cs="Times New Roman"/>
          <w:b/>
          <w:bCs/>
          <w:sz w:val="24"/>
          <w:szCs w:val="24"/>
          <w:lang w:val="en-US"/>
        </w:rPr>
        <w:t>REFERENCES</w:t>
      </w:r>
    </w:p>
    <w:p w14:paraId="6BB99729" w14:textId="77777777" w:rsidR="00120C68" w:rsidRPr="00430054"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ABNT. </w:t>
      </w:r>
      <w:r w:rsidRPr="00430054">
        <w:rPr>
          <w:rFonts w:ascii="Times New Roman" w:eastAsia="Times New Roman" w:hAnsi="Times New Roman" w:cs="Times New Roman"/>
          <w:i/>
          <w:iCs/>
          <w:sz w:val="24"/>
          <w:szCs w:val="24"/>
          <w:lang w:val="en-US"/>
        </w:rPr>
        <w:t>NBR ISO 14001:2015</w:t>
      </w:r>
      <w:r w:rsidRPr="00430054">
        <w:rPr>
          <w:rFonts w:ascii="Times New Roman" w:eastAsia="Times New Roman" w:hAnsi="Times New Roman" w:cs="Times New Roman"/>
          <w:sz w:val="24"/>
          <w:szCs w:val="24"/>
          <w:lang w:val="en-US"/>
        </w:rPr>
        <w:t xml:space="preserve"> – Environmental management systems: requirements with guidelines for use. Rio de Janeiro: ABNT, 2015.</w:t>
      </w:r>
    </w:p>
    <w:p w14:paraId="6BB9972A" w14:textId="77777777" w:rsidR="00120C68" w:rsidRPr="00430054"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ABNT. </w:t>
      </w:r>
      <w:r w:rsidRPr="00430054">
        <w:rPr>
          <w:rFonts w:ascii="Times New Roman" w:eastAsia="Times New Roman" w:hAnsi="Times New Roman" w:cs="Times New Roman"/>
          <w:i/>
          <w:iCs/>
          <w:sz w:val="24"/>
          <w:szCs w:val="24"/>
          <w:lang w:val="en-US"/>
        </w:rPr>
        <w:t>NBR ISO 14040:2009</w:t>
      </w:r>
      <w:r w:rsidRPr="00430054">
        <w:rPr>
          <w:rFonts w:ascii="Times New Roman" w:eastAsia="Times New Roman" w:hAnsi="Times New Roman" w:cs="Times New Roman"/>
          <w:sz w:val="24"/>
          <w:szCs w:val="24"/>
          <w:lang w:val="en-US"/>
        </w:rPr>
        <w:t xml:space="preserve"> – Environmental management: life cycle assessment – principles and structure. Rio de Janeiro: ABNT, 2009.</w:t>
      </w:r>
    </w:p>
    <w:p w14:paraId="6BB9972B" w14:textId="77777777" w:rsidR="00120C68" w:rsidRPr="00430054"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ABNT. </w:t>
      </w:r>
      <w:r w:rsidRPr="00430054">
        <w:rPr>
          <w:rFonts w:ascii="Times New Roman" w:eastAsia="Times New Roman" w:hAnsi="Times New Roman" w:cs="Times New Roman"/>
          <w:i/>
          <w:iCs/>
          <w:sz w:val="24"/>
          <w:szCs w:val="24"/>
          <w:lang w:val="en-US"/>
        </w:rPr>
        <w:t>NBR ISO 14044:2009</w:t>
      </w:r>
      <w:r w:rsidRPr="00430054">
        <w:rPr>
          <w:rFonts w:ascii="Times New Roman" w:eastAsia="Times New Roman" w:hAnsi="Times New Roman" w:cs="Times New Roman"/>
          <w:sz w:val="24"/>
          <w:szCs w:val="24"/>
          <w:lang w:val="en-US"/>
        </w:rPr>
        <w:t xml:space="preserve"> – Environmental management: life cycle assessment – requirements and guidelines. Rio de Janeiro: ABNT, 2009.</w:t>
      </w:r>
    </w:p>
    <w:p w14:paraId="6BB9972C" w14:textId="77777777" w:rsidR="00120C68" w:rsidRPr="00430054"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ABNT. </w:t>
      </w:r>
      <w:r w:rsidRPr="00430054">
        <w:rPr>
          <w:rFonts w:ascii="Times New Roman" w:eastAsia="Times New Roman" w:hAnsi="Times New Roman" w:cs="Times New Roman"/>
          <w:i/>
          <w:iCs/>
          <w:sz w:val="24"/>
          <w:szCs w:val="24"/>
          <w:lang w:val="en-US"/>
        </w:rPr>
        <w:t>NBR ISO 37120:2021</w:t>
      </w:r>
      <w:r w:rsidRPr="00430054">
        <w:rPr>
          <w:rFonts w:ascii="Times New Roman" w:eastAsia="Times New Roman" w:hAnsi="Times New Roman" w:cs="Times New Roman"/>
          <w:sz w:val="24"/>
          <w:szCs w:val="24"/>
          <w:lang w:val="en-US"/>
        </w:rPr>
        <w:t xml:space="preserve"> – Sustainable development of communities: indicators for urban services and quality of life. Rio de Janeiro: ABNT, 2021.</w:t>
      </w:r>
    </w:p>
    <w:p w14:paraId="6BB9972D" w14:textId="77777777" w:rsidR="00120C68" w:rsidRDefault="0091690A">
      <w:pPr>
        <w:spacing w:before="240" w:after="240" w:line="360" w:lineRule="auto"/>
        <w:rPr>
          <w:rFonts w:ascii="Times New Roman" w:eastAsia="Times New Roman" w:hAnsi="Times New Roman" w:cs="Times New Roman"/>
          <w:sz w:val="24"/>
          <w:szCs w:val="24"/>
        </w:rPr>
      </w:pPr>
      <w:r w:rsidRPr="00430054">
        <w:rPr>
          <w:rFonts w:ascii="Times New Roman" w:eastAsia="Times New Roman" w:hAnsi="Times New Roman" w:cs="Times New Roman"/>
          <w:sz w:val="24"/>
          <w:szCs w:val="24"/>
          <w:lang w:val="en-US"/>
        </w:rPr>
        <w:t xml:space="preserve">ABNT. </w:t>
      </w:r>
      <w:r w:rsidRPr="00430054">
        <w:rPr>
          <w:rFonts w:ascii="Times New Roman" w:eastAsia="Times New Roman" w:hAnsi="Times New Roman" w:cs="Times New Roman"/>
          <w:i/>
          <w:iCs/>
          <w:sz w:val="24"/>
          <w:szCs w:val="24"/>
          <w:lang w:val="en-US"/>
        </w:rPr>
        <w:t>NBR ISO 37122:2020</w:t>
      </w:r>
      <w:r w:rsidRPr="00430054">
        <w:rPr>
          <w:rFonts w:ascii="Times New Roman" w:eastAsia="Times New Roman" w:hAnsi="Times New Roman" w:cs="Times New Roman"/>
          <w:sz w:val="24"/>
          <w:szCs w:val="24"/>
          <w:lang w:val="en-US"/>
        </w:rPr>
        <w:t xml:space="preserve"> – Smart cities: indicators for smart cities. </w:t>
      </w:r>
      <w:r>
        <w:rPr>
          <w:rFonts w:ascii="Times New Roman" w:eastAsia="Times New Roman" w:hAnsi="Times New Roman" w:cs="Times New Roman"/>
          <w:sz w:val="24"/>
          <w:szCs w:val="24"/>
        </w:rPr>
        <w:t>Rio de Janeiro: ABNT, 2020.</w:t>
      </w:r>
    </w:p>
    <w:p w14:paraId="6BB9972E" w14:textId="77777777" w:rsidR="00120C68" w:rsidRDefault="0091690A">
      <w:pPr>
        <w:spacing w:before="240" w:after="24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ABNT. </w:t>
      </w:r>
      <w:r>
        <w:rPr>
          <w:rFonts w:ascii="Times New Roman" w:eastAsia="Times New Roman" w:hAnsi="Times New Roman" w:cs="Times New Roman"/>
          <w:i/>
          <w:iCs/>
          <w:sz w:val="24"/>
          <w:szCs w:val="24"/>
        </w:rPr>
        <w:t>NBR ISO 37123:2019</w:t>
      </w:r>
      <w:r>
        <w:rPr>
          <w:rFonts w:ascii="Times New Roman" w:eastAsia="Times New Roman" w:hAnsi="Times New Roman" w:cs="Times New Roman"/>
          <w:sz w:val="24"/>
          <w:szCs w:val="24"/>
        </w:rPr>
        <w:t xml:space="preserve"> – Resilient cities: indicators for resilient cities. Rio de Janeiro: ABNT, 2019.</w:t>
      </w:r>
    </w:p>
    <w:p w14:paraId="6BB9972F" w14:textId="77777777" w:rsidR="00120C68" w:rsidRPr="00430054"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BRAZIL. </w:t>
      </w:r>
      <w:r w:rsidRPr="00430054">
        <w:rPr>
          <w:rFonts w:ascii="Times New Roman" w:eastAsia="Times New Roman" w:hAnsi="Times New Roman" w:cs="Times New Roman"/>
          <w:i/>
          <w:iCs/>
          <w:sz w:val="24"/>
          <w:szCs w:val="24"/>
          <w:lang w:val="en-US"/>
        </w:rPr>
        <w:t>Law No. 12,305, of August 2, 2010</w:t>
      </w:r>
      <w:r w:rsidRPr="00430054">
        <w:rPr>
          <w:rFonts w:ascii="Times New Roman" w:eastAsia="Times New Roman" w:hAnsi="Times New Roman" w:cs="Times New Roman"/>
          <w:sz w:val="24"/>
          <w:szCs w:val="24"/>
          <w:lang w:val="en-US"/>
        </w:rPr>
        <w:t>. National Solid Waste Policy. Federal Official Gazette: Brasília, DF, 2010.</w:t>
      </w:r>
    </w:p>
    <w:p w14:paraId="6BB99730" w14:textId="77777777" w:rsidR="00120C68" w:rsidRPr="00430054"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BRAZIL. </w:t>
      </w:r>
      <w:r w:rsidRPr="00430054">
        <w:rPr>
          <w:rFonts w:ascii="Times New Roman" w:eastAsia="Times New Roman" w:hAnsi="Times New Roman" w:cs="Times New Roman"/>
          <w:i/>
          <w:iCs/>
          <w:sz w:val="24"/>
          <w:szCs w:val="24"/>
          <w:lang w:val="en-US"/>
        </w:rPr>
        <w:t>Law No. 12,587, of January 3, 2012</w:t>
      </w:r>
      <w:r w:rsidRPr="00430054">
        <w:rPr>
          <w:rFonts w:ascii="Times New Roman" w:eastAsia="Times New Roman" w:hAnsi="Times New Roman" w:cs="Times New Roman"/>
          <w:sz w:val="24"/>
          <w:szCs w:val="24"/>
          <w:lang w:val="en-US"/>
        </w:rPr>
        <w:t>. National Policy for Urban Mobility. Official Gazette of the Union: Brasília, DF, 2012.</w:t>
      </w:r>
    </w:p>
    <w:p w14:paraId="6BB99731" w14:textId="77777777" w:rsidR="00120C68" w:rsidRPr="00430054"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lastRenderedPageBreak/>
        <w:t xml:space="preserve">BRAZIL. </w:t>
      </w:r>
      <w:r w:rsidRPr="00430054">
        <w:rPr>
          <w:rFonts w:ascii="Times New Roman" w:eastAsia="Times New Roman" w:hAnsi="Times New Roman" w:cs="Times New Roman"/>
          <w:i/>
          <w:iCs/>
          <w:sz w:val="24"/>
          <w:szCs w:val="24"/>
          <w:lang w:val="en-US"/>
        </w:rPr>
        <w:t>Law No. 13,709, of August 14, 2018</w:t>
      </w:r>
      <w:r w:rsidRPr="00430054">
        <w:rPr>
          <w:rFonts w:ascii="Times New Roman" w:eastAsia="Times New Roman" w:hAnsi="Times New Roman" w:cs="Times New Roman"/>
          <w:sz w:val="24"/>
          <w:szCs w:val="24"/>
          <w:lang w:val="en-US"/>
        </w:rPr>
        <w:t>. General Law for the Protection of Personal Data (LGPD). Official Gazette of the Union: Brasília, DF, 2018.</w:t>
      </w:r>
    </w:p>
    <w:p w14:paraId="6BB99732" w14:textId="77777777" w:rsidR="00120C68" w:rsidRDefault="0091690A">
      <w:pPr>
        <w:spacing w:before="240" w:after="240" w:line="360" w:lineRule="auto"/>
        <w:rPr>
          <w:rFonts w:ascii="Times New Roman" w:eastAsia="Times New Roman" w:hAnsi="Times New Roman" w:cs="Times New Roman"/>
          <w:sz w:val="24"/>
          <w:szCs w:val="24"/>
        </w:rPr>
      </w:pPr>
      <w:r w:rsidRPr="00430054">
        <w:rPr>
          <w:rFonts w:ascii="Times New Roman" w:eastAsia="Times New Roman" w:hAnsi="Times New Roman" w:cs="Times New Roman"/>
          <w:sz w:val="24"/>
          <w:szCs w:val="24"/>
          <w:lang w:val="en-US"/>
        </w:rPr>
        <w:t xml:space="preserve">BRAZIL. </w:t>
      </w:r>
      <w:r w:rsidRPr="00430054">
        <w:rPr>
          <w:rFonts w:ascii="Times New Roman" w:eastAsia="Times New Roman" w:hAnsi="Times New Roman" w:cs="Times New Roman"/>
          <w:i/>
          <w:iCs/>
          <w:sz w:val="24"/>
          <w:szCs w:val="24"/>
          <w:lang w:val="en-US"/>
        </w:rPr>
        <w:t>Bill No. 2,338/2023</w:t>
      </w:r>
      <w:r w:rsidRPr="00430054">
        <w:rPr>
          <w:rFonts w:ascii="Times New Roman" w:eastAsia="Times New Roman" w:hAnsi="Times New Roman" w:cs="Times New Roman"/>
          <w:sz w:val="24"/>
          <w:szCs w:val="24"/>
          <w:lang w:val="en-US"/>
        </w:rPr>
        <w:t xml:space="preserve">. Legal Framework for Artificial Intelligence in Brazil. </w:t>
      </w:r>
      <w:r>
        <w:rPr>
          <w:rFonts w:ascii="Times New Roman" w:eastAsia="Times New Roman" w:hAnsi="Times New Roman" w:cs="Times New Roman"/>
          <w:sz w:val="24"/>
          <w:szCs w:val="24"/>
        </w:rPr>
        <w:t>Brasília, DF: National Congress, 2023.</w:t>
      </w:r>
    </w:p>
    <w:p w14:paraId="6BB99733"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6D15F7">
        <w:rPr>
          <w:rFonts w:ascii="Times New Roman" w:eastAsia="Times New Roman" w:hAnsi="Times New Roman" w:cs="Times New Roman"/>
          <w:sz w:val="24"/>
          <w:szCs w:val="24"/>
        </w:rPr>
        <w:t xml:space="preserve">CARAGLIU, Andrea; DEL BO, Chiara; NIJKAMP, Peter. </w:t>
      </w:r>
      <w:r w:rsidRPr="00430054">
        <w:rPr>
          <w:rFonts w:ascii="Times New Roman" w:eastAsia="Times New Roman" w:hAnsi="Times New Roman" w:cs="Times New Roman"/>
          <w:sz w:val="24"/>
          <w:szCs w:val="24"/>
          <w:lang w:val="en-US"/>
        </w:rPr>
        <w:t xml:space="preserve">Smart cities in Europe. </w:t>
      </w:r>
      <w:r w:rsidRPr="00430054">
        <w:rPr>
          <w:rFonts w:ascii="Times New Roman" w:eastAsia="Times New Roman" w:hAnsi="Times New Roman" w:cs="Times New Roman"/>
          <w:i/>
          <w:iCs/>
          <w:sz w:val="24"/>
          <w:szCs w:val="24"/>
          <w:lang w:val="en-US"/>
        </w:rPr>
        <w:t>Journal of Urban Technology</w:t>
      </w:r>
      <w:r w:rsidRPr="00430054">
        <w:rPr>
          <w:rFonts w:ascii="Times New Roman" w:eastAsia="Times New Roman" w:hAnsi="Times New Roman" w:cs="Times New Roman"/>
          <w:sz w:val="24"/>
          <w:szCs w:val="24"/>
          <w:lang w:val="en-US"/>
        </w:rPr>
        <w:t>, v. 18, no. 2, p. 65–82, 2011.</w:t>
      </w:r>
    </w:p>
    <w:p w14:paraId="6BB99734"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CHEN, Min et al. Smart cities: definitions, architectures, technologies, and applications. </w:t>
      </w:r>
      <w:r w:rsidRPr="00430054">
        <w:rPr>
          <w:rFonts w:ascii="Times New Roman" w:eastAsia="Times New Roman" w:hAnsi="Times New Roman" w:cs="Times New Roman"/>
          <w:i/>
          <w:iCs/>
          <w:sz w:val="24"/>
          <w:szCs w:val="24"/>
          <w:lang w:val="en-US"/>
        </w:rPr>
        <w:t>IEEE Internet of Things Journal</w:t>
      </w:r>
      <w:r w:rsidRPr="00430054">
        <w:rPr>
          <w:rFonts w:ascii="Times New Roman" w:eastAsia="Times New Roman" w:hAnsi="Times New Roman" w:cs="Times New Roman"/>
          <w:sz w:val="24"/>
          <w:szCs w:val="24"/>
          <w:lang w:val="en-US"/>
        </w:rPr>
        <w:t>, v. 4, n. 2, p. 1–14, 2017.</w:t>
      </w:r>
    </w:p>
    <w:p w14:paraId="6BB99735"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COHEN, Boyd. </w:t>
      </w:r>
      <w:r w:rsidRPr="00430054">
        <w:rPr>
          <w:rFonts w:ascii="Times New Roman" w:eastAsia="Times New Roman" w:hAnsi="Times New Roman" w:cs="Times New Roman"/>
          <w:i/>
          <w:iCs/>
          <w:sz w:val="24"/>
          <w:szCs w:val="24"/>
          <w:lang w:val="en-US"/>
        </w:rPr>
        <w:t>The Smart City Wheel: a framework for smart city development</w:t>
      </w:r>
      <w:r w:rsidRPr="00430054">
        <w:rPr>
          <w:rFonts w:ascii="Times New Roman" w:eastAsia="Times New Roman" w:hAnsi="Times New Roman" w:cs="Times New Roman"/>
          <w:sz w:val="24"/>
          <w:szCs w:val="24"/>
          <w:lang w:val="en-US"/>
        </w:rPr>
        <w:t>. 2014.</w:t>
      </w:r>
    </w:p>
    <w:p w14:paraId="6BB99736"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ELKINGTON, John. </w:t>
      </w:r>
      <w:r w:rsidRPr="00430054">
        <w:rPr>
          <w:rFonts w:ascii="Times New Roman" w:eastAsia="Times New Roman" w:hAnsi="Times New Roman" w:cs="Times New Roman"/>
          <w:i/>
          <w:iCs/>
          <w:sz w:val="24"/>
          <w:szCs w:val="24"/>
          <w:lang w:val="en-US"/>
        </w:rPr>
        <w:t>Cannibals with forks: the triple bottom line of 21st century business</w:t>
      </w:r>
      <w:r w:rsidRPr="00430054">
        <w:rPr>
          <w:rFonts w:ascii="Times New Roman" w:eastAsia="Times New Roman" w:hAnsi="Times New Roman" w:cs="Times New Roman"/>
          <w:sz w:val="24"/>
          <w:szCs w:val="24"/>
          <w:lang w:val="en-US"/>
        </w:rPr>
        <w:t>. Oxford: Capstone, 1997.</w:t>
      </w:r>
    </w:p>
    <w:p w14:paraId="6BB99737"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EUROPEAN COMMISSION. </w:t>
      </w:r>
      <w:r w:rsidRPr="00430054">
        <w:rPr>
          <w:rFonts w:ascii="Times New Roman" w:eastAsia="Times New Roman" w:hAnsi="Times New Roman" w:cs="Times New Roman"/>
          <w:i/>
          <w:iCs/>
          <w:sz w:val="24"/>
          <w:szCs w:val="24"/>
          <w:lang w:val="en-US"/>
        </w:rPr>
        <w:t>A European strategy for data</w:t>
      </w:r>
      <w:r w:rsidRPr="00430054">
        <w:rPr>
          <w:rFonts w:ascii="Times New Roman" w:eastAsia="Times New Roman" w:hAnsi="Times New Roman" w:cs="Times New Roman"/>
          <w:sz w:val="24"/>
          <w:szCs w:val="24"/>
          <w:lang w:val="en-US"/>
        </w:rPr>
        <w:t>. Brussels, 2020.</w:t>
      </w:r>
    </w:p>
    <w:p w14:paraId="6BB99738"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FLORIDI, Luciano et al. AI4People—An ethical framework for a good AI society. </w:t>
      </w:r>
      <w:r w:rsidRPr="00430054">
        <w:rPr>
          <w:rFonts w:ascii="Times New Roman" w:eastAsia="Times New Roman" w:hAnsi="Times New Roman" w:cs="Times New Roman"/>
          <w:i/>
          <w:iCs/>
          <w:sz w:val="24"/>
          <w:szCs w:val="24"/>
          <w:lang w:val="en-US"/>
        </w:rPr>
        <w:t>Minds and Machines</w:t>
      </w:r>
      <w:r w:rsidRPr="00430054">
        <w:rPr>
          <w:rFonts w:ascii="Times New Roman" w:eastAsia="Times New Roman" w:hAnsi="Times New Roman" w:cs="Times New Roman"/>
          <w:sz w:val="24"/>
          <w:szCs w:val="24"/>
          <w:lang w:val="en-US"/>
        </w:rPr>
        <w:t>, vol. 28, no. 4, p. 689–707 (2018).</w:t>
      </w:r>
    </w:p>
    <w:p w14:paraId="6BB99739"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GARTNER. </w:t>
      </w:r>
      <w:r w:rsidRPr="00430054">
        <w:rPr>
          <w:rFonts w:ascii="Times New Roman" w:eastAsia="Times New Roman" w:hAnsi="Times New Roman" w:cs="Times New Roman"/>
          <w:i/>
          <w:iCs/>
          <w:sz w:val="24"/>
          <w:szCs w:val="24"/>
          <w:lang w:val="en-US"/>
        </w:rPr>
        <w:t>Top strategic technology trends</w:t>
      </w:r>
      <w:r w:rsidRPr="00430054">
        <w:rPr>
          <w:rFonts w:ascii="Times New Roman" w:eastAsia="Times New Roman" w:hAnsi="Times New Roman" w:cs="Times New Roman"/>
          <w:sz w:val="24"/>
          <w:szCs w:val="24"/>
          <w:lang w:val="en-US"/>
        </w:rPr>
        <w:t>. Stamford: Gartner Research, 2023.</w:t>
      </w:r>
    </w:p>
    <w:p w14:paraId="6BB9973A"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ISO. International Organization for Standardization. </w:t>
      </w:r>
      <w:r w:rsidRPr="00430054">
        <w:rPr>
          <w:rFonts w:ascii="Times New Roman" w:eastAsia="Times New Roman" w:hAnsi="Times New Roman" w:cs="Times New Roman"/>
          <w:i/>
          <w:iCs/>
          <w:sz w:val="24"/>
          <w:szCs w:val="24"/>
          <w:lang w:val="en-US"/>
        </w:rPr>
        <w:t>ISO 37122: Sustainable cities and communities — Indicators for smart cities</w:t>
      </w:r>
      <w:r w:rsidRPr="00430054">
        <w:rPr>
          <w:rFonts w:ascii="Times New Roman" w:eastAsia="Times New Roman" w:hAnsi="Times New Roman" w:cs="Times New Roman"/>
          <w:sz w:val="24"/>
          <w:szCs w:val="24"/>
          <w:lang w:val="en-US"/>
        </w:rPr>
        <w:t>. Geneva, 2019.</w:t>
      </w:r>
    </w:p>
    <w:p w14:paraId="6BB9973B"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KITCHIN, Rob. The real-time city? Big data and smart urbanism. </w:t>
      </w:r>
      <w:r w:rsidRPr="00430054">
        <w:rPr>
          <w:rFonts w:ascii="Times New Roman" w:eastAsia="Times New Roman" w:hAnsi="Times New Roman" w:cs="Times New Roman"/>
          <w:i/>
          <w:iCs/>
          <w:sz w:val="24"/>
          <w:szCs w:val="24"/>
          <w:lang w:val="en-US"/>
        </w:rPr>
        <w:t>GeoJournal</w:t>
      </w:r>
      <w:r w:rsidRPr="00430054">
        <w:rPr>
          <w:rFonts w:ascii="Times New Roman" w:eastAsia="Times New Roman" w:hAnsi="Times New Roman" w:cs="Times New Roman"/>
          <w:sz w:val="24"/>
          <w:szCs w:val="24"/>
          <w:lang w:val="en-US"/>
        </w:rPr>
        <w:t>, v. 79, n. 1, p. 1–14, 2014.</w:t>
      </w:r>
    </w:p>
    <w:p w14:paraId="6BB9973C"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KITCHIN, Rob. </w:t>
      </w:r>
      <w:r w:rsidRPr="00430054">
        <w:rPr>
          <w:rFonts w:ascii="Times New Roman" w:eastAsia="Times New Roman" w:hAnsi="Times New Roman" w:cs="Times New Roman"/>
          <w:i/>
          <w:iCs/>
          <w:sz w:val="24"/>
          <w:szCs w:val="24"/>
          <w:lang w:val="en-US"/>
        </w:rPr>
        <w:t>The Data Revolution: Big Data, Open Data, Data Infrastructures and Their Consequences</w:t>
      </w:r>
      <w:r w:rsidRPr="00430054">
        <w:rPr>
          <w:rFonts w:ascii="Times New Roman" w:eastAsia="Times New Roman" w:hAnsi="Times New Roman" w:cs="Times New Roman"/>
          <w:sz w:val="24"/>
          <w:szCs w:val="24"/>
          <w:lang w:val="en-US"/>
        </w:rPr>
        <w:t>. London: Sage, 2014.</w:t>
      </w:r>
    </w:p>
    <w:p w14:paraId="6BB9973D"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OECD. </w:t>
      </w:r>
      <w:r w:rsidRPr="00430054">
        <w:rPr>
          <w:rFonts w:ascii="Times New Roman" w:eastAsia="Times New Roman" w:hAnsi="Times New Roman" w:cs="Times New Roman"/>
          <w:i/>
          <w:iCs/>
          <w:sz w:val="24"/>
          <w:szCs w:val="24"/>
          <w:lang w:val="en-US"/>
        </w:rPr>
        <w:t>Artificial Intelligence in Society</w:t>
      </w:r>
      <w:r w:rsidRPr="00430054">
        <w:rPr>
          <w:rFonts w:ascii="Times New Roman" w:eastAsia="Times New Roman" w:hAnsi="Times New Roman" w:cs="Times New Roman"/>
          <w:sz w:val="24"/>
          <w:szCs w:val="24"/>
          <w:lang w:val="en-US"/>
        </w:rPr>
        <w:t>. Paris: OECD Publishing, 2019.</w:t>
      </w:r>
    </w:p>
    <w:p w14:paraId="6BB9973E"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OECD. </w:t>
      </w:r>
      <w:r w:rsidRPr="00430054">
        <w:rPr>
          <w:rFonts w:ascii="Times New Roman" w:eastAsia="Times New Roman" w:hAnsi="Times New Roman" w:cs="Times New Roman"/>
          <w:i/>
          <w:iCs/>
          <w:sz w:val="24"/>
          <w:szCs w:val="24"/>
          <w:lang w:val="en-US"/>
        </w:rPr>
        <w:t>Smart cities and inclusive growth</w:t>
      </w:r>
      <w:r w:rsidRPr="00430054">
        <w:rPr>
          <w:rFonts w:ascii="Times New Roman" w:eastAsia="Times New Roman" w:hAnsi="Times New Roman" w:cs="Times New Roman"/>
          <w:sz w:val="24"/>
          <w:szCs w:val="24"/>
          <w:lang w:val="en-US"/>
        </w:rPr>
        <w:t>. Paris: OECD Publishing, 2020.</w:t>
      </w:r>
    </w:p>
    <w:p w14:paraId="6BB9973F"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OECD. </w:t>
      </w:r>
      <w:r w:rsidRPr="00430054">
        <w:rPr>
          <w:rFonts w:ascii="Times New Roman" w:eastAsia="Times New Roman" w:hAnsi="Times New Roman" w:cs="Times New Roman"/>
          <w:i/>
          <w:iCs/>
          <w:sz w:val="24"/>
          <w:szCs w:val="24"/>
          <w:lang w:val="en-US"/>
        </w:rPr>
        <w:t>The OECD Digital Government Policy Framework</w:t>
      </w:r>
      <w:r w:rsidRPr="00430054">
        <w:rPr>
          <w:rFonts w:ascii="Times New Roman" w:eastAsia="Times New Roman" w:hAnsi="Times New Roman" w:cs="Times New Roman"/>
          <w:sz w:val="24"/>
          <w:szCs w:val="24"/>
          <w:lang w:val="en-US"/>
        </w:rPr>
        <w:t>. Paris: OECD Publishing, 2020.</w:t>
      </w:r>
    </w:p>
    <w:p w14:paraId="6BB99740"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lastRenderedPageBreak/>
        <w:t xml:space="preserve">PORTER, Michael E.; KRAMER, Mark R. Creating shared value. </w:t>
      </w:r>
      <w:r w:rsidRPr="00430054">
        <w:rPr>
          <w:rFonts w:ascii="Times New Roman" w:eastAsia="Times New Roman" w:hAnsi="Times New Roman" w:cs="Times New Roman"/>
          <w:i/>
          <w:iCs/>
          <w:sz w:val="24"/>
          <w:szCs w:val="24"/>
          <w:lang w:val="en-US"/>
        </w:rPr>
        <w:t>Harvard Business Review</w:t>
      </w:r>
      <w:r w:rsidRPr="00430054">
        <w:rPr>
          <w:rFonts w:ascii="Times New Roman" w:eastAsia="Times New Roman" w:hAnsi="Times New Roman" w:cs="Times New Roman"/>
          <w:sz w:val="24"/>
          <w:szCs w:val="24"/>
          <w:lang w:val="en-US"/>
        </w:rPr>
        <w:t>, v. 89, n. 1-2, p. 62–77, 2011.</w:t>
      </w:r>
    </w:p>
    <w:p w14:paraId="6BB99741"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UNITED NATIONS. </w:t>
      </w:r>
      <w:r w:rsidRPr="00430054">
        <w:rPr>
          <w:rFonts w:ascii="Times New Roman" w:eastAsia="Times New Roman" w:hAnsi="Times New Roman" w:cs="Times New Roman"/>
          <w:i/>
          <w:iCs/>
          <w:sz w:val="24"/>
          <w:szCs w:val="24"/>
          <w:lang w:val="en-US"/>
        </w:rPr>
        <w:t>Transforming our world: the 2030 Agenda for Sustainable Development</w:t>
      </w:r>
      <w:r w:rsidRPr="00430054">
        <w:rPr>
          <w:rFonts w:ascii="Times New Roman" w:eastAsia="Times New Roman" w:hAnsi="Times New Roman" w:cs="Times New Roman"/>
          <w:sz w:val="24"/>
          <w:szCs w:val="24"/>
          <w:lang w:val="en-US"/>
        </w:rPr>
        <w:t>. New York: UN, 2015.</w:t>
      </w:r>
    </w:p>
    <w:p w14:paraId="6BB99742"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WIPO. World Intellectual Property Organization. </w:t>
      </w:r>
      <w:r w:rsidRPr="00430054">
        <w:rPr>
          <w:rFonts w:ascii="Times New Roman" w:eastAsia="Times New Roman" w:hAnsi="Times New Roman" w:cs="Times New Roman"/>
          <w:i/>
          <w:iCs/>
          <w:sz w:val="24"/>
          <w:szCs w:val="24"/>
          <w:lang w:val="en-US"/>
        </w:rPr>
        <w:t>World Intellectual Property Report 2023: The Direction of Innovation</w:t>
      </w:r>
      <w:r w:rsidRPr="00430054">
        <w:rPr>
          <w:rFonts w:ascii="Times New Roman" w:eastAsia="Times New Roman" w:hAnsi="Times New Roman" w:cs="Times New Roman"/>
          <w:sz w:val="24"/>
          <w:szCs w:val="24"/>
          <w:lang w:val="en-US"/>
        </w:rPr>
        <w:t>. Geneva, 2023.</w:t>
      </w:r>
    </w:p>
    <w:p w14:paraId="6BB99743" w14:textId="77777777" w:rsidR="00120C68" w:rsidRPr="006D15F7" w:rsidRDefault="0091690A">
      <w:pPr>
        <w:spacing w:before="240" w:after="240" w:line="360" w:lineRule="auto"/>
        <w:rPr>
          <w:rFonts w:ascii="Times New Roman" w:eastAsia="Times New Roman" w:hAnsi="Times New Roman" w:cs="Times New Roman"/>
          <w:sz w:val="24"/>
          <w:szCs w:val="24"/>
          <w:lang w:val="en-US"/>
        </w:rPr>
      </w:pPr>
      <w:r w:rsidRPr="00430054">
        <w:rPr>
          <w:rFonts w:ascii="Times New Roman" w:eastAsia="Times New Roman" w:hAnsi="Times New Roman" w:cs="Times New Roman"/>
          <w:sz w:val="24"/>
          <w:szCs w:val="24"/>
          <w:lang w:val="en-US"/>
        </w:rPr>
        <w:t xml:space="preserve">WORLD BANK. </w:t>
      </w:r>
      <w:r w:rsidRPr="00430054">
        <w:rPr>
          <w:rFonts w:ascii="Times New Roman" w:eastAsia="Times New Roman" w:hAnsi="Times New Roman" w:cs="Times New Roman"/>
          <w:i/>
          <w:iCs/>
          <w:sz w:val="24"/>
          <w:szCs w:val="24"/>
          <w:lang w:val="en-US"/>
        </w:rPr>
        <w:t>World Development Report 2021: Data for Better Lives</w:t>
      </w:r>
      <w:r w:rsidRPr="00430054">
        <w:rPr>
          <w:rFonts w:ascii="Times New Roman" w:eastAsia="Times New Roman" w:hAnsi="Times New Roman" w:cs="Times New Roman"/>
          <w:sz w:val="24"/>
          <w:szCs w:val="24"/>
          <w:lang w:val="en-US"/>
        </w:rPr>
        <w:t>. Washington, DC, 2021.</w:t>
      </w:r>
    </w:p>
    <w:p w14:paraId="6BB99744" w14:textId="77777777" w:rsidR="00120C68" w:rsidRDefault="0091690A">
      <w:pPr>
        <w:spacing w:before="240" w:after="240" w:line="360" w:lineRule="auto"/>
        <w:rPr>
          <w:rFonts w:ascii="Times New Roman" w:eastAsia="Times New Roman" w:hAnsi="Times New Roman" w:cs="Times New Roman"/>
          <w:sz w:val="24"/>
          <w:szCs w:val="24"/>
        </w:rPr>
      </w:pPr>
      <w:r w:rsidRPr="00430054">
        <w:rPr>
          <w:rFonts w:ascii="Times New Roman" w:eastAsia="Times New Roman" w:hAnsi="Times New Roman" w:cs="Times New Roman"/>
          <w:sz w:val="24"/>
          <w:szCs w:val="24"/>
          <w:lang w:val="en-US"/>
        </w:rPr>
        <w:t xml:space="preserve">WORLD ECONOMIC FORUM. </w:t>
      </w:r>
      <w:r w:rsidRPr="00430054">
        <w:rPr>
          <w:rFonts w:ascii="Times New Roman" w:eastAsia="Times New Roman" w:hAnsi="Times New Roman" w:cs="Times New Roman"/>
          <w:i/>
          <w:iCs/>
          <w:sz w:val="24"/>
          <w:szCs w:val="24"/>
          <w:lang w:val="en-US"/>
        </w:rPr>
        <w:t>Blockchain for supply chain traceability</w:t>
      </w:r>
      <w:r w:rsidRPr="00430054">
        <w:rPr>
          <w:rFonts w:ascii="Times New Roman" w:eastAsia="Times New Roman" w:hAnsi="Times New Roman" w:cs="Times New Roman"/>
          <w:sz w:val="24"/>
          <w:szCs w:val="24"/>
          <w:lang w:val="en-US"/>
        </w:rPr>
        <w:t xml:space="preserve">. </w:t>
      </w:r>
      <w:r w:rsidRPr="006D15F7">
        <w:rPr>
          <w:rFonts w:ascii="Times New Roman" w:eastAsia="Times New Roman" w:hAnsi="Times New Roman" w:cs="Times New Roman"/>
          <w:sz w:val="24"/>
          <w:szCs w:val="24"/>
        </w:rPr>
        <w:t>Geneva: WEF, 2019.</w:t>
      </w:r>
    </w:p>
    <w:p w14:paraId="6BB99745" w14:textId="77777777" w:rsidR="00120C68" w:rsidRDefault="00120C68">
      <w:pPr>
        <w:spacing w:before="240" w:after="240" w:line="360" w:lineRule="auto"/>
        <w:rPr>
          <w:rFonts w:ascii="Times New Roman" w:eastAsia="Times New Roman" w:hAnsi="Times New Roman" w:cs="Times New Roman"/>
          <w:b/>
          <w:bCs/>
          <w:sz w:val="24"/>
          <w:szCs w:val="24"/>
        </w:rPr>
      </w:pPr>
    </w:p>
    <w:p w14:paraId="6BB99746" w14:textId="5FE29870" w:rsidR="00120C68" w:rsidRDefault="00120C68"/>
    <w:sectPr w:rsidR="00120C68">
      <w:pgSz w:w="11906" w:h="16838"/>
      <w:pgMar w:top="1700" w:right="1133" w:bottom="1133" w:left="170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9E6BF0B-EAD5-4FF7-9F2F-80E871F6E6A9}"/>
  </w:font>
  <w:font w:name="Cambria">
    <w:panose1 w:val="02040503050406030204"/>
    <w:charset w:val="00"/>
    <w:family w:val="roman"/>
    <w:pitch w:val="variable"/>
    <w:sig w:usb0="E00006FF" w:usb1="420024FF" w:usb2="02000000" w:usb3="00000000" w:csb0="0000019F" w:csb1="00000000"/>
    <w:embedRegular r:id="rId2" w:fontKey="{CDD418B9-38C9-4BE8-ACF6-40B00D88DD9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921EB7"/>
    <w:multiLevelType w:val="multilevel"/>
    <w:tmpl w:val="755CC9C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3450580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TrueTypeFonts/>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0C68"/>
    <w:rsid w:val="00120C68"/>
    <w:rsid w:val="00430054"/>
    <w:rsid w:val="00582F63"/>
    <w:rsid w:val="006D15F7"/>
    <w:rsid w:val="007A39B7"/>
    <w:rsid w:val="007C7A1F"/>
    <w:rsid w:val="0091690A"/>
    <w:rsid w:val="00E37FD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B994EA"/>
  <w15:docId w15:val="{B14F5188-02C7-41AC-9FD5-EAE1DEFD7E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character" w:styleId="TextodoEspaoReservado">
    <w:name w:val="Placeholder Text"/>
    <w:basedOn w:val="Fontepargpadro"/>
    <w:uiPriority w:val="99"/>
    <w:semiHidden/>
    <w:rsid w:val="00430054"/>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86B9D4-D91F-4BCC-A9AE-44C4E5E3C0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Pages>
  <Words>4697</Words>
  <Characters>30768</Characters>
  <Application>Microsoft Office Word</Application>
  <DocSecurity>0</DocSecurity>
  <Lines>932</Lines>
  <Paragraphs>611</Paragraphs>
  <ScaleCrop>false</ScaleCrop>
  <Company/>
  <LinksUpToDate>false</LinksUpToDate>
  <CharactersWithSpaces>34854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GIOVANNA SAMPAIO</cp:lastModifiedBy>
  <cp:revision>1</cp:revision>
  <dcterms:created xsi:type="dcterms:W3CDTF">2026-05-12T00:01:00Z</dcterms:created>
  <dcterms:modified xsi:type="dcterms:W3CDTF">2026-05-12T00:54:00Z</dcterms:modified>
</cp:coreProperties>
</file>