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B0EB" w14:textId="5A8C5D92" w:rsidR="00750A9B" w:rsidRPr="00440A37" w:rsidRDefault="00750A9B">
      <w:pPr>
        <w:spacing w:line="30" w:lineRule="exact"/>
        <w:ind w:left="-33" w:right="-29"/>
        <w:rPr>
          <w:sz w:val="3"/>
        </w:rPr>
      </w:pPr>
    </w:p>
    <w:p w14:paraId="0F9B5119" w14:textId="77777777" w:rsidR="00D75EFB" w:rsidRDefault="00D75EFB" w:rsidP="006A2C96">
      <w:pPr>
        <w:spacing w:before="234" w:after="240"/>
        <w:ind w:left="399" w:right="3"/>
        <w:jc w:val="center"/>
        <w:rPr>
          <w:b/>
          <w:bCs/>
          <w:spacing w:val="-10"/>
          <w:sz w:val="36"/>
          <w:szCs w:val="36"/>
        </w:rPr>
      </w:pPr>
      <w:r w:rsidRPr="00D75EFB">
        <w:rPr>
          <w:b/>
          <w:bCs/>
          <w:spacing w:val="-10"/>
          <w:sz w:val="36"/>
          <w:szCs w:val="36"/>
        </w:rPr>
        <w:t xml:space="preserve">Community Empowerment through QRIS-Based Digital Financial Recording and </w:t>
      </w:r>
      <w:proofErr w:type="spellStart"/>
      <w:r w:rsidRPr="00D75EFB">
        <w:rPr>
          <w:b/>
          <w:bCs/>
          <w:spacing w:val="-10"/>
          <w:sz w:val="36"/>
          <w:szCs w:val="36"/>
        </w:rPr>
        <w:t>Coretax</w:t>
      </w:r>
      <w:proofErr w:type="spellEnd"/>
      <w:r w:rsidRPr="00D75EFB">
        <w:rPr>
          <w:b/>
          <w:bCs/>
          <w:spacing w:val="-10"/>
          <w:sz w:val="36"/>
          <w:szCs w:val="36"/>
        </w:rPr>
        <w:t xml:space="preserve"> Literacy for Strengthening MSME Tax Compliance in </w:t>
      </w:r>
      <w:proofErr w:type="spellStart"/>
      <w:r w:rsidRPr="00D75EFB">
        <w:rPr>
          <w:b/>
          <w:bCs/>
          <w:spacing w:val="-10"/>
          <w:sz w:val="36"/>
          <w:szCs w:val="36"/>
        </w:rPr>
        <w:t>Penglipuran</w:t>
      </w:r>
      <w:proofErr w:type="spellEnd"/>
      <w:r w:rsidRPr="00D75EFB">
        <w:rPr>
          <w:b/>
          <w:bCs/>
          <w:spacing w:val="-10"/>
          <w:sz w:val="36"/>
          <w:szCs w:val="36"/>
        </w:rPr>
        <w:t xml:space="preserve"> Tourism Village</w:t>
      </w:r>
    </w:p>
    <w:p w14:paraId="5E5E0260" w14:textId="3DAF77FF" w:rsidR="00750A9B" w:rsidRPr="006A2C96" w:rsidRDefault="00FA6EB3" w:rsidP="006A2C96">
      <w:pPr>
        <w:spacing w:before="234" w:after="240"/>
        <w:ind w:left="399" w:right="3"/>
        <w:jc w:val="center"/>
        <w:rPr>
          <w:bCs/>
          <w:sz w:val="24"/>
        </w:rPr>
      </w:pPr>
      <w:r w:rsidRPr="006A2C96">
        <w:rPr>
          <w:bCs/>
          <w:sz w:val="24"/>
        </w:rPr>
        <w:t/>
      </w:r>
      <w:r w:rsidR="00000000" w:rsidRPr="006A2C96">
        <w:rPr>
          <w:bCs/>
          <w:sz w:val="24"/>
          <w:vertAlign w:val="superscript"/>
        </w:rPr>
        <w:t/>
      </w:r>
      <w:r w:rsidR="006A2C96" w:rsidRPr="006A2C96">
        <w:rPr>
          <w:bCs/>
          <w:sz w:val="24"/>
          <w:vertAlign w:val="superscript"/>
        </w:rPr>
        <w:t/>
      </w:r>
      <w:r w:rsidR="00000000" w:rsidRPr="006A2C96">
        <w:rPr>
          <w:bCs/>
          <w:sz w:val="24"/>
        </w:rPr>
        <w:t xml:space="preserve"/>
      </w:r>
      <w:proofErr w:type="spellStart"/>
      <w:r w:rsidRPr="006A2C96">
        <w:rPr>
          <w:bCs/>
          <w:sz w:val="24"/>
        </w:rPr>
        <w:t/>
      </w:r>
      <w:proofErr w:type="spellEnd"/>
      <w:r w:rsidRPr="006A2C96">
        <w:rPr>
          <w:bCs/>
          <w:sz w:val="24"/>
        </w:rPr>
        <w:t xml:space="preserve"/>
      </w:r>
      <w:r w:rsidR="00000000" w:rsidRPr="006A2C96">
        <w:rPr>
          <w:bCs/>
          <w:sz w:val="24"/>
          <w:vertAlign w:val="superscript"/>
        </w:rPr>
        <w:t/>
      </w:r>
      <w:r w:rsidR="00000000" w:rsidRPr="006A2C96">
        <w:rPr>
          <w:bCs/>
          <w:sz w:val="24"/>
        </w:rPr>
        <w:t/>
      </w:r>
      <w:r w:rsidR="00000000" w:rsidRPr="006A2C96">
        <w:rPr>
          <w:bCs/>
          <w:spacing w:val="-5"/>
          <w:sz w:val="24"/>
        </w:rPr>
        <w:t xml:space="preserve"/>
      </w:r>
      <w:proofErr w:type="spellStart"/>
      <w:r w:rsidRPr="006A2C96">
        <w:rPr>
          <w:bCs/>
          <w:sz w:val="24"/>
        </w:rPr>
        <w:t/>
      </w:r>
      <w:proofErr w:type="spellEnd"/>
      <w:r w:rsidRPr="006A2C96">
        <w:rPr>
          <w:bCs/>
          <w:sz w:val="24"/>
        </w:rPr>
        <w:t xml:space="preserve"/>
      </w:r>
      <w:r w:rsidR="00000000" w:rsidRPr="006A2C96">
        <w:rPr>
          <w:bCs/>
          <w:sz w:val="24"/>
          <w:vertAlign w:val="superscript"/>
        </w:rPr>
        <w:t/>
      </w:r>
      <w:r w:rsidR="00000000" w:rsidRPr="006A2C96">
        <w:rPr>
          <w:bCs/>
          <w:sz w:val="24"/>
        </w:rPr>
        <w:t/>
      </w:r>
      <w:r w:rsidRPr="006A2C96">
        <w:rPr>
          <w:bCs/>
          <w:sz w:val="24"/>
        </w:rPr>
        <w:t xml:space="preserve"/>
      </w:r>
      <w:proofErr w:type="spellStart"/>
      <w:r w:rsidRPr="006A2C96">
        <w:rPr>
          <w:bCs/>
          <w:sz w:val="24"/>
        </w:rPr>
        <w:t/>
      </w:r>
      <w:proofErr w:type="spellEnd"/>
      <w:r w:rsidRPr="006A2C96">
        <w:rPr>
          <w:bCs/>
          <w:sz w:val="24"/>
        </w:rPr>
        <w:t xml:space="preserve"/>
      </w:r>
      <w:r w:rsidR="00000000" w:rsidRPr="006A2C96">
        <w:rPr>
          <w:bCs/>
          <w:sz w:val="24"/>
          <w:vertAlign w:val="superscript"/>
        </w:rPr>
        <w:t/>
      </w:r>
      <w:r w:rsidR="00000000" w:rsidRPr="006A2C96">
        <w:rPr>
          <w:bCs/>
          <w:sz w:val="24"/>
        </w:rPr>
        <w:t/>
      </w:r>
      <w:r w:rsidR="00000000" w:rsidRPr="006A2C96">
        <w:rPr>
          <w:bCs/>
          <w:spacing w:val="-5"/>
          <w:sz w:val="24"/>
        </w:rPr>
        <w:t xml:space="preserve"/>
      </w:r>
      <w:r w:rsidRPr="006A2C96">
        <w:rPr>
          <w:bCs/>
          <w:spacing w:val="-2"/>
          <w:sz w:val="24"/>
        </w:rPr>
        <w:t/>
      </w:r>
      <w:r w:rsidR="00000000" w:rsidRPr="006A2C96">
        <w:rPr>
          <w:bCs/>
          <w:spacing w:val="-2"/>
          <w:sz w:val="24"/>
          <w:vertAlign w:val="superscript"/>
        </w:rPr>
        <w:t/>
      </w:r>
      <w:r w:rsidRPr="006A2C96">
        <w:rPr>
          <w:bCs/>
          <w:spacing w:val="-2"/>
          <w:sz w:val="24"/>
        </w:rPr>
        <w:t xml:space="preserve"/>
      </w:r>
      <w:r w:rsidR="00D57705" w:rsidRPr="006A2C96">
        <w:rPr>
          <w:bCs/>
          <w:spacing w:val="-2"/>
          <w:sz w:val="24"/>
        </w:rPr>
        <w:t/>
      </w:r>
      <w:r w:rsidR="00D57705" w:rsidRPr="006A2C96">
        <w:rPr>
          <w:bCs/>
          <w:spacing w:val="-2"/>
          <w:sz w:val="24"/>
          <w:vertAlign w:val="superscript"/>
        </w:rPr>
        <w:t/>
      </w:r>
      <w:r w:rsidR="00D57705" w:rsidRPr="006A2C96">
        <w:rPr>
          <w:bCs/>
          <w:spacing w:val="-2"/>
          <w:sz w:val="24"/>
        </w:rPr>
        <w:t xml:space="preserve"/>
      </w:r>
      <w:r w:rsidRPr="006A2C96">
        <w:rPr>
          <w:bCs/>
          <w:spacing w:val="-2"/>
          <w:sz w:val="24"/>
        </w:rPr>
        <w:t xml:space="preserve"/>
      </w:r>
      <w:proofErr w:type="spellStart"/>
      <w:r w:rsidRPr="006A2C96">
        <w:rPr>
          <w:bCs/>
          <w:spacing w:val="-2"/>
          <w:sz w:val="24"/>
        </w:rPr>
        <w:t/>
      </w:r>
      <w:proofErr w:type="spellEnd"/>
      <w:r w:rsidRPr="006A2C96">
        <w:rPr>
          <w:bCs/>
          <w:spacing w:val="-2"/>
          <w:sz w:val="24"/>
        </w:rPr>
        <w:t xml:space="preserve"/>
      </w:r>
      <w:r w:rsidR="00D57705" w:rsidRPr="006A2C96">
        <w:rPr>
          <w:bCs/>
          <w:spacing w:val="-2"/>
          <w:sz w:val="24"/>
          <w:vertAlign w:val="superscript"/>
        </w:rPr>
        <w:t/>
      </w:r>
      <w:r w:rsidR="00D57705" w:rsidRPr="006A2C96">
        <w:rPr>
          <w:bCs/>
          <w:spacing w:val="-2"/>
          <w:sz w:val="24"/>
        </w:rPr>
        <w:t xml:space="preserve"/>
      </w:r>
      <w:proofErr w:type="spellStart"/>
      <w:r w:rsidR="00EF776F" w:rsidRPr="006A2C96">
        <w:rPr>
          <w:bCs/>
          <w:spacing w:val="-2"/>
          <w:sz w:val="24"/>
        </w:rPr>
        <w:t/>
      </w:r>
      <w:proofErr w:type="spellEnd"/>
      <w:r w:rsidR="00EF776F" w:rsidRPr="006A2C96">
        <w:rPr>
          <w:bCs/>
          <w:spacing w:val="-2"/>
          <w:sz w:val="24"/>
        </w:rPr>
        <w:t xml:space="preserve"/>
      </w:r>
      <w:r w:rsidR="00EF776F" w:rsidRPr="006A2C96">
        <w:rPr>
          <w:bCs/>
          <w:spacing w:val="-2"/>
          <w:sz w:val="24"/>
          <w:vertAlign w:val="superscript"/>
        </w:rPr>
        <w:t/>
      </w:r>
      <w:r w:rsidR="00EF776F" w:rsidRPr="006A2C96">
        <w:rPr>
          <w:bCs/>
          <w:spacing w:val="-2"/>
          <w:sz w:val="24"/>
        </w:rPr>
        <w:t/>
      </w:r>
      <w:r w:rsidR="00EF776F" w:rsidRPr="006A2C96">
        <w:rPr>
          <w:bCs/>
          <w:spacing w:val="-2"/>
          <w:sz w:val="24"/>
          <w:vertAlign w:val="superscript"/>
        </w:rPr>
        <w:t/>
      </w:r>
    </w:p>
    <w:p w14:paraId="578E077F" w14:textId="1F1F6408" w:rsidR="00F9153B" w:rsidRPr="006A2C96" w:rsidRDefault="00000000" w:rsidP="006A2C96">
      <w:pPr>
        <w:spacing w:line="448" w:lineRule="auto"/>
        <w:ind w:left="3327" w:right="2931"/>
        <w:jc w:val="center"/>
        <w:rPr>
          <w:bCs/>
          <w:sz w:val="24"/>
        </w:rPr>
      </w:pPr>
      <w:r w:rsidRPr="006A2C96">
        <w:rPr>
          <w:bCs/>
          <w:sz w:val="24"/>
          <w:vertAlign w:val="superscript"/>
        </w:rPr>
        <w:t/>
      </w:r>
      <w:r w:rsidR="00EF776F" w:rsidRPr="006A2C96">
        <w:rPr>
          <w:bCs/>
          <w:sz w:val="24"/>
          <w:vertAlign w:val="superscript"/>
        </w:rPr>
        <w:t/>
      </w:r>
      <w:r w:rsidR="006A2C96">
        <w:rPr>
          <w:bCs/>
          <w:sz w:val="24"/>
          <w:vertAlign w:val="superscript"/>
        </w:rPr>
        <w:t xml:space="preserve"/>
      </w:r>
      <w:r w:rsidRPr="006A2C96">
        <w:rPr>
          <w:bCs/>
          <w:sz w:val="24"/>
        </w:rPr>
        <w:t/>
      </w:r>
      <w:r w:rsidRPr="006A2C96">
        <w:rPr>
          <w:bCs/>
          <w:spacing w:val="-15"/>
          <w:sz w:val="24"/>
        </w:rPr>
        <w:t xml:space="preserve"/>
      </w:r>
      <w:r w:rsidRPr="006A2C96">
        <w:rPr>
          <w:bCs/>
          <w:sz w:val="24"/>
        </w:rPr>
        <w:t/>
      </w:r>
      <w:r w:rsidRPr="006A2C96">
        <w:rPr>
          <w:bCs/>
          <w:spacing w:val="-14"/>
          <w:sz w:val="24"/>
        </w:rPr>
        <w:t xml:space="preserve"/>
      </w:r>
      <w:r w:rsidRPr="006A2C96">
        <w:rPr>
          <w:bCs/>
          <w:sz w:val="24"/>
        </w:rPr>
        <w:t/>
      </w:r>
      <w:r w:rsidRPr="006A2C96">
        <w:rPr>
          <w:bCs/>
          <w:spacing w:val="-12"/>
          <w:sz w:val="24"/>
        </w:rPr>
        <w:t xml:space="preserve"/>
      </w:r>
      <w:r w:rsidRPr="006A2C96">
        <w:rPr>
          <w:bCs/>
          <w:sz w:val="24"/>
        </w:rPr>
        <w:t/>
      </w:r>
    </w:p>
    <w:p w14:paraId="29BD95D4" w14:textId="1AADF868" w:rsidR="006A2C96" w:rsidRPr="006A2C96" w:rsidRDefault="006A2C96" w:rsidP="006A2C96">
      <w:pPr>
        <w:spacing w:line="448" w:lineRule="auto"/>
        <w:ind w:left="2835" w:right="2556"/>
        <w:jc w:val="center"/>
        <w:rPr>
          <w:bCs/>
          <w:sz w:val="24"/>
        </w:rPr>
      </w:pPr>
      <w:r w:rsidRPr="006A2C96">
        <w:rPr>
          <w:bCs/>
          <w:sz w:val="24"/>
        </w:rPr>
        <w:t/>
      </w:r>
    </w:p>
    <w:p w14:paraId="609DADA0" w14:textId="77777777" w:rsidR="00750A9B" w:rsidRPr="00440A37" w:rsidRDefault="00000000">
      <w:pPr>
        <w:pStyle w:val="Heading1"/>
        <w:spacing w:before="239"/>
      </w:pPr>
      <w:bookmarkStart w:id="0" w:name="ABSTRACT"/>
      <w:bookmarkEnd w:id="0"/>
      <w:r w:rsidRPr="00440A37">
        <w:rPr>
          <w:spacing w:val="-2"/>
        </w:rPr>
        <w:t>ABSTRACT</w:t>
      </w:r>
    </w:p>
    <w:p w14:paraId="43BA48AF" w14:textId="77777777" w:rsidR="009A5286" w:rsidRPr="00440A37" w:rsidRDefault="009A5286">
      <w:pPr>
        <w:pStyle w:val="BodyText"/>
        <w:spacing w:before="247" w:line="237" w:lineRule="auto"/>
        <w:ind w:right="46"/>
      </w:pPr>
      <w:r w:rsidRPr="00440A37">
        <w:t xml:space="preserve">Micro, Small, and Medium Enterprises (MSMEs) play a significant role in supporting local economic growth, particularly in tourism-based communities. </w:t>
      </w:r>
      <w:proofErr w:type="spellStart"/>
      <w:r w:rsidRPr="00440A37">
        <w:t>Penglipuran</w:t>
      </w:r>
      <w:proofErr w:type="spellEnd"/>
      <w:r w:rsidRPr="00440A37">
        <w:t xml:space="preserve"> Tourism Village has successfully established a comprehensive cashless financial ecosystem through the widespread adoption of Quick Response Code Indonesian Standard (QRIS). However, many MSMEs have not fully utilized digital transaction data for systematic financial recording and tax administration, limiting their readiness to comply with Indonesia’s digital tax system. This community service program aimed to strengthen MSME tax compliance by integrating digital financial recording with </w:t>
      </w:r>
      <w:proofErr w:type="spellStart"/>
      <w:r w:rsidRPr="00440A37">
        <w:t>Coretax</w:t>
      </w:r>
      <w:proofErr w:type="spellEnd"/>
      <w:r w:rsidRPr="00440A37">
        <w:t xml:space="preserve">-based tax literacy, thereby supporting Sustainable Development Goals (SDGs) 8 and 17. The program employed a participatory observation approach involving direct observation and documentation to identify community needs and evaluate program outcomes. The activities were implemented through four stages: initial observation, training, mentoring, and evaluation. The results demonstrated significant improvements in participants’ financial literacy, tax awareness, and bookkeeping practices. MSME owners became more capable of utilizing QRIS-generated transaction data to produce structured financial records, better understood their tax obligations through </w:t>
      </w:r>
      <w:proofErr w:type="spellStart"/>
      <w:r w:rsidRPr="00440A37">
        <w:t>Coretax</w:t>
      </w:r>
      <w:proofErr w:type="spellEnd"/>
      <w:r w:rsidRPr="00440A37">
        <w:t xml:space="preserve">, and showed greater readiness to integrate digital financial information into business management and tax administration. This program contributes a practical community empowerment model that connects an existing digital payment ecosystem with digital financial recording, </w:t>
      </w:r>
      <w:proofErr w:type="spellStart"/>
      <w:r w:rsidRPr="00440A37">
        <w:t>Coretax</w:t>
      </w:r>
      <w:proofErr w:type="spellEnd"/>
      <w:r w:rsidRPr="00440A37">
        <w:t>-based tax literacy, and participatory mentoring. The findings indicate that optimizing digital transaction data through continuous assistance is essential for strengthening MSME tax compliance, improving business governance, and supporting sustainable local economic resilience.</w:t>
      </w:r>
    </w:p>
    <w:p w14:paraId="47AC42EB" w14:textId="484098ED" w:rsidR="00750A9B" w:rsidRPr="00440A37" w:rsidRDefault="00000000">
      <w:pPr>
        <w:pStyle w:val="BodyText"/>
        <w:spacing w:before="247" w:line="237" w:lineRule="auto"/>
        <w:ind w:right="46"/>
      </w:pPr>
      <w:r w:rsidRPr="00440A37">
        <w:rPr>
          <w:b/>
        </w:rPr>
        <w:t>Keywords</w:t>
      </w:r>
      <w:r w:rsidRPr="00440A37">
        <w:t xml:space="preserve">: </w:t>
      </w:r>
      <w:r w:rsidR="009A5286" w:rsidRPr="00440A37">
        <w:t xml:space="preserve">Community </w:t>
      </w:r>
      <w:r w:rsidR="009A5286" w:rsidRPr="00440A37">
        <w:t>E</w:t>
      </w:r>
      <w:r w:rsidR="009A5286" w:rsidRPr="00440A37">
        <w:t xml:space="preserve">mpowerment; </w:t>
      </w:r>
      <w:proofErr w:type="spellStart"/>
      <w:r w:rsidR="009A5286" w:rsidRPr="00440A37">
        <w:t>Coretax</w:t>
      </w:r>
      <w:proofErr w:type="spellEnd"/>
      <w:r w:rsidR="009A5286" w:rsidRPr="00440A37">
        <w:t xml:space="preserve">; Digital </w:t>
      </w:r>
      <w:r w:rsidR="009A5286" w:rsidRPr="00440A37">
        <w:t>F</w:t>
      </w:r>
      <w:r w:rsidR="009A5286" w:rsidRPr="00440A37">
        <w:t xml:space="preserve">inancial </w:t>
      </w:r>
      <w:r w:rsidR="009A5286" w:rsidRPr="00440A37">
        <w:t>R</w:t>
      </w:r>
      <w:r w:rsidR="009A5286" w:rsidRPr="00440A37">
        <w:t xml:space="preserve">ecording; MSME </w:t>
      </w:r>
      <w:r w:rsidR="009A5286" w:rsidRPr="00440A37">
        <w:t>T</w:t>
      </w:r>
      <w:r w:rsidR="009A5286" w:rsidRPr="00440A37">
        <w:t xml:space="preserve">ax </w:t>
      </w:r>
      <w:r w:rsidR="009A5286" w:rsidRPr="00440A37">
        <w:t>C</w:t>
      </w:r>
      <w:r w:rsidR="009A5286" w:rsidRPr="00440A37">
        <w:t xml:space="preserve">ompliance; Sustainable </w:t>
      </w:r>
      <w:r w:rsidR="009A5286" w:rsidRPr="00440A37">
        <w:t>D</w:t>
      </w:r>
      <w:r w:rsidR="009A5286" w:rsidRPr="00440A37">
        <w:t xml:space="preserve">evelopment </w:t>
      </w:r>
      <w:r w:rsidR="009A5286" w:rsidRPr="00440A37">
        <w:t>G</w:t>
      </w:r>
      <w:r w:rsidR="009A5286" w:rsidRPr="00440A37">
        <w:t>oals</w:t>
      </w:r>
    </w:p>
    <w:p w14:paraId="36900990" w14:textId="33B34BD5" w:rsidR="00750A9B" w:rsidRPr="00440A37" w:rsidRDefault="00000000" w:rsidP="0063087C">
      <w:pPr>
        <w:pStyle w:val="Heading1"/>
        <w:numPr>
          <w:ilvl w:val="0"/>
          <w:numId w:val="8"/>
        </w:numPr>
        <w:spacing w:before="249"/>
      </w:pPr>
      <w:bookmarkStart w:id="1" w:name="INTRODUCTION"/>
      <w:bookmarkEnd w:id="1"/>
      <w:r w:rsidRPr="00440A37">
        <w:rPr>
          <w:spacing w:val="-2"/>
        </w:rPr>
        <w:t>INTRODUCTION</w:t>
      </w:r>
    </w:p>
    <w:p w14:paraId="3294AB41" w14:textId="77777777" w:rsidR="00960D79" w:rsidRPr="00440A37" w:rsidRDefault="00960D79" w:rsidP="00960D79">
      <w:pPr>
        <w:pStyle w:val="BodyText"/>
      </w:pPr>
      <w:bookmarkStart w:id="2" w:name="Literature_review"/>
      <w:bookmarkEnd w:id="2"/>
      <w:r w:rsidRPr="00440A37">
        <w:t xml:space="preserve">Micro, Small, and Medium Enterprises (MSMEs) play a strategic role in promoting economic growth, job creation, and community welfare in developing countries. In Indonesia, MSMEs contribute significantly to national economic resilience and local economic sustainability, particularly in tourism-based areas. </w:t>
      </w:r>
      <w:proofErr w:type="spellStart"/>
      <w:r w:rsidRPr="00440A37">
        <w:t>Penglipuran</w:t>
      </w:r>
      <w:proofErr w:type="spellEnd"/>
      <w:r w:rsidRPr="00440A37">
        <w:t xml:space="preserve"> Tourism Village, recognized as one of Indonesia’s leading tourism destinations, has developed a vibrant local economy through MSMEs engaged in culinary products, handicrafts, and creative industries. These enterprises contribute directly to local economic development while supporting Sustainable Development Goal (SDG) 8, which promotes inclusive and sustainable economic growth, productive employment, and decent work (United Nations, 2024).</w:t>
      </w:r>
    </w:p>
    <w:p w14:paraId="0C7AA586" w14:textId="77777777" w:rsidR="00960D79" w:rsidRPr="00440A37" w:rsidRDefault="00960D79" w:rsidP="00960D79">
      <w:pPr>
        <w:pStyle w:val="BodyText"/>
      </w:pPr>
    </w:p>
    <w:p w14:paraId="582CAF0A" w14:textId="77777777" w:rsidR="00960D79" w:rsidRPr="00440A37" w:rsidRDefault="00960D79" w:rsidP="00960D79">
      <w:pPr>
        <w:pStyle w:val="BodyText"/>
      </w:pPr>
      <w:r w:rsidRPr="00440A37">
        <w:t xml:space="preserve">In recent years, </w:t>
      </w:r>
      <w:proofErr w:type="spellStart"/>
      <w:r w:rsidRPr="00440A37">
        <w:t>Penglipuran</w:t>
      </w:r>
      <w:proofErr w:type="spellEnd"/>
      <w:r w:rsidRPr="00440A37">
        <w:t xml:space="preserve"> Tourism Village has become an example of community-level digital transformation by implementing a comprehensive cashless financial ecosystem. Tourism-related transactions, including entrance ticket purchases and MSME product sales, are conducted through the Quick Response Code Indonesian Standard (QRIS). In addition, village financial administration has adopted digital payment systems for operational management and community incentive distribution, demonstrating a high level of digital payment integration within the local economy. The widespread adoption of QRIS has strengthened financial inclusion and created opportunities for MSMEs to utilize digital transaction data to improve financial management and tax compliance (Bank Indonesia, 2024).</w:t>
      </w:r>
    </w:p>
    <w:p w14:paraId="4543F6A9" w14:textId="77777777" w:rsidR="00960D79" w:rsidRPr="00440A37" w:rsidRDefault="00960D79" w:rsidP="00960D79">
      <w:pPr>
        <w:pStyle w:val="BodyText"/>
      </w:pPr>
    </w:p>
    <w:p w14:paraId="5B5A9E0A" w14:textId="77777777" w:rsidR="00960D79" w:rsidRPr="00440A37" w:rsidRDefault="00960D79" w:rsidP="00960D79">
      <w:pPr>
        <w:pStyle w:val="BodyText"/>
      </w:pPr>
      <w:r w:rsidRPr="00440A37">
        <w:t>Despite these favorable conditions, many MSMEs continue to face significant challenges in financial management and tax compliance. One of the most persistent problems is inadequate bookkeeping practices, which hinder business owners from accurately measuring profitability, managing cash flow, and fulfilling tax obligations. Although digital payment transactions are routinely conducted, many MSMEs still record financial transactions manually or inconsistently and rarely utilize digital transaction data as the basis for financial reporting or tax administration. Weak financial literacy and poor accounting practices therefore remain major barriers to improving tax compliance among MSMEs (World Bank, 2024; OECD, 2024).</w:t>
      </w:r>
    </w:p>
    <w:p w14:paraId="3E6DCE02" w14:textId="77777777" w:rsidR="00960D79" w:rsidRPr="00440A37" w:rsidRDefault="00960D79" w:rsidP="00960D79">
      <w:pPr>
        <w:pStyle w:val="BodyText"/>
      </w:pPr>
    </w:p>
    <w:p w14:paraId="1584FD8B" w14:textId="77777777" w:rsidR="00960D79" w:rsidRPr="00440A37" w:rsidRDefault="00960D79" w:rsidP="00960D79">
      <w:pPr>
        <w:pStyle w:val="BodyText"/>
      </w:pPr>
      <w:r w:rsidRPr="00440A37">
        <w:t>Digital transformation has emerged as a strategic approach to strengthening MSME financial governance and compliance behavior. Beyond facilitating cashless transactions, digital financial recording systems enable businesses to organize transaction data systematically, improve financial transparency, enhance operational efficiency, and support evidence-based decision-making. Previous studies have demonstrated that digital financial management contributes to improved business sustainability, stronger governance, and greater compliance capacity among MSMEs operating in dynamic economic environments (Kraus et al., 2022; Soto-Acosta, 2023).</w:t>
      </w:r>
    </w:p>
    <w:p w14:paraId="29FF76AB" w14:textId="77777777" w:rsidR="00960D79" w:rsidRPr="00440A37" w:rsidRDefault="00960D79" w:rsidP="00960D79">
      <w:pPr>
        <w:pStyle w:val="BodyText"/>
      </w:pPr>
    </w:p>
    <w:p w14:paraId="4878484D" w14:textId="77777777" w:rsidR="00960D79" w:rsidRPr="00440A37" w:rsidRDefault="00960D79" w:rsidP="00960D79">
      <w:pPr>
        <w:pStyle w:val="BodyText"/>
      </w:pPr>
      <w:r w:rsidRPr="00440A37">
        <w:t xml:space="preserve">In response to increasing economic digitalization, the Indonesian government has accelerated tax administration modernization through the implementation of </w:t>
      </w:r>
      <w:proofErr w:type="spellStart"/>
      <w:r w:rsidRPr="00440A37">
        <w:t>Coretax</w:t>
      </w:r>
      <w:proofErr w:type="spellEnd"/>
      <w:r w:rsidRPr="00440A37">
        <w:t xml:space="preserve">, an integrated digital tax administration system designed to improve efficiency, transparency, service quality, and taxpayer compliance by integrating registration, tax reporting, payment, and administrative services into a unified digital platform. The implementation of digital tax administration has been shown to improve administrative efficiency and create opportunities to strengthen taxpayer compliance. However, the effectiveness of </w:t>
      </w:r>
      <w:proofErr w:type="spellStart"/>
      <w:r w:rsidRPr="00440A37">
        <w:t>Coretax</w:t>
      </w:r>
      <w:proofErr w:type="spellEnd"/>
      <w:r w:rsidRPr="00440A37">
        <w:t xml:space="preserve"> depends not only on digital infrastructure but also on taxpayers’ ability to maintain accurate and systematic financial records that support digital tax administration (OECD, 2024; </w:t>
      </w:r>
      <w:proofErr w:type="spellStart"/>
      <w:r w:rsidRPr="00440A37">
        <w:t>Okunogbe</w:t>
      </w:r>
      <w:proofErr w:type="spellEnd"/>
      <w:r w:rsidRPr="00440A37">
        <w:t xml:space="preserve"> &amp; Pouliquen, 2022).</w:t>
      </w:r>
    </w:p>
    <w:p w14:paraId="497A8511" w14:textId="77777777" w:rsidR="00960D79" w:rsidRPr="00440A37" w:rsidRDefault="00960D79" w:rsidP="00960D79">
      <w:pPr>
        <w:pStyle w:val="BodyText"/>
      </w:pPr>
    </w:p>
    <w:p w14:paraId="7C4FC7DF" w14:textId="77777777" w:rsidR="00960D79" w:rsidRPr="00440A37" w:rsidRDefault="00960D79" w:rsidP="00960D79">
      <w:pPr>
        <w:pStyle w:val="BodyText"/>
      </w:pPr>
      <w:r w:rsidRPr="00440A37">
        <w:t>Although many MSMEs operating in tourism villages have adopted digital payment technologies, the transition from digital payments to comprehensive digital financial management remains incomplete. In many cases, QRIS is utilized solely as a payment instrument, while transaction data are not systematically transformed into bookkeeping records or financial reports that support taxation. Consequently, limitations in accounting knowledge, financial literacy, and tax awareness continue to prevent MSMEs from fully benefiting from digital financial ecosystems. Without continuous mentoring and practical assistance, digital payment adoption alone is unlikely to strengthen financial governance or improve tax compliance (</w:t>
      </w:r>
      <w:proofErr w:type="spellStart"/>
      <w:r w:rsidRPr="00440A37">
        <w:t>Nuseir</w:t>
      </w:r>
      <w:proofErr w:type="spellEnd"/>
      <w:r w:rsidRPr="00440A37">
        <w:t>, 2023).</w:t>
      </w:r>
    </w:p>
    <w:p w14:paraId="1BB3A907" w14:textId="77777777" w:rsidR="00960D79" w:rsidRPr="00440A37" w:rsidRDefault="00960D79" w:rsidP="00960D79">
      <w:pPr>
        <w:pStyle w:val="BodyText"/>
      </w:pPr>
    </w:p>
    <w:p w14:paraId="5668447D" w14:textId="77777777" w:rsidR="00960D79" w:rsidRPr="00440A37" w:rsidRDefault="00960D79" w:rsidP="00960D79">
      <w:pPr>
        <w:pStyle w:val="BodyText"/>
      </w:pPr>
      <w:r w:rsidRPr="00440A37">
        <w:t>Recent studies emphasize that integrated interventions combining digital financial recording, tax literacy, and participatory mentoring produce stronger outcomes in improving MSME governance and compliance. Community empowerment programs involving collaboration among universities, local communities, and government institutions have also proven effective in strengthening MSME capabilities while supporting sustainable local economic development. Such collaborative initiatives strongly align with SDG 17, which highlights multi-stakeholder partnerships as an essential mechanism for achieving sustainable development (United Nations, 2024).</w:t>
      </w:r>
    </w:p>
    <w:p w14:paraId="79184C2B" w14:textId="77777777" w:rsidR="00960D79" w:rsidRPr="00440A37" w:rsidRDefault="00960D79" w:rsidP="00960D79">
      <w:pPr>
        <w:pStyle w:val="BodyText"/>
      </w:pPr>
    </w:p>
    <w:p w14:paraId="342F08E1" w14:textId="77777777" w:rsidR="00960D79" w:rsidRPr="00440A37" w:rsidRDefault="00960D79" w:rsidP="00960D79">
      <w:pPr>
        <w:pStyle w:val="BodyText"/>
      </w:pPr>
      <w:r w:rsidRPr="00440A37">
        <w:t xml:space="preserve">Despite the growing literature on MSME digital transformation and tax compliance, community service programs that specifically optimize existing digital payment ecosystems for financial recording and </w:t>
      </w:r>
      <w:proofErr w:type="spellStart"/>
      <w:r w:rsidRPr="00440A37">
        <w:t>Coretax</w:t>
      </w:r>
      <w:proofErr w:type="spellEnd"/>
      <w:r w:rsidRPr="00440A37">
        <w:t>-based tax compliance remain limited, particularly in tourism villages. Most previous initiatives have focused separately on digital payment adoption, financial literacy, or tax education, without integrating digital transaction data into systematic bookkeeping practices that support digital tax administration. This gap highlights the need for a more comprehensive community empowerment approach that bridges digital payment systems with financial management and tax compliance (Soto-Acosta, 2023; OECD, 2024).</w:t>
      </w:r>
    </w:p>
    <w:p w14:paraId="0B7471F0" w14:textId="77777777" w:rsidR="00960D79" w:rsidRPr="00440A37" w:rsidRDefault="00960D79" w:rsidP="00960D79">
      <w:pPr>
        <w:pStyle w:val="BodyText"/>
      </w:pPr>
    </w:p>
    <w:p w14:paraId="08E04B46" w14:textId="7B68153A" w:rsidR="003C4DB5" w:rsidRPr="00440A37" w:rsidRDefault="00960D79" w:rsidP="00960D79">
      <w:pPr>
        <w:pStyle w:val="BodyText"/>
      </w:pPr>
      <w:r w:rsidRPr="00440A37">
        <w:t xml:space="preserve">This community service program addresses this gap by integrating four complementary dimensions: an existing digital payment ecosystem, digital financial recording, </w:t>
      </w:r>
      <w:proofErr w:type="spellStart"/>
      <w:r w:rsidRPr="00440A37">
        <w:t>Coretax</w:t>
      </w:r>
      <w:proofErr w:type="spellEnd"/>
      <w:r w:rsidRPr="00440A37">
        <w:t xml:space="preserve">-based tax literacy, and participatory mentoring for tourism village MSMEs. Rather than introducing digital payment technologies, the program focuses on optimizing the utilization of QRIS-generated transaction data to produce structured financial records that support business governance and tax compliance. This integrated approach is expected to strengthen financial literacy, </w:t>
      </w:r>
      <w:r w:rsidRPr="00440A37">
        <w:lastRenderedPageBreak/>
        <w:t>improve tax awareness, enhance MSMEs’ capacity to utilize digital financial information, and promote sustainable local economic development in alignment with SDG 8 and SDG 17.</w:t>
      </w:r>
    </w:p>
    <w:p w14:paraId="0E8647E4" w14:textId="77399383" w:rsidR="00750A9B" w:rsidRPr="00440A37" w:rsidRDefault="0063087C" w:rsidP="00D81034">
      <w:pPr>
        <w:pStyle w:val="Heading1"/>
        <w:spacing w:before="244"/>
        <w:jc w:val="both"/>
      </w:pPr>
      <w:r w:rsidRPr="00440A37">
        <w:t xml:space="preserve">2. </w:t>
      </w:r>
      <w:r w:rsidR="00000000" w:rsidRPr="00440A37">
        <w:t>LITERATURE</w:t>
      </w:r>
      <w:r w:rsidR="00000000" w:rsidRPr="00440A37">
        <w:rPr>
          <w:spacing w:val="-12"/>
        </w:rPr>
        <w:t xml:space="preserve"> </w:t>
      </w:r>
      <w:r w:rsidR="00000000" w:rsidRPr="00440A37">
        <w:rPr>
          <w:spacing w:val="-2"/>
        </w:rPr>
        <w:t>REVIEW</w:t>
      </w:r>
    </w:p>
    <w:p w14:paraId="54AB50EB" w14:textId="12FBADAF" w:rsidR="0063087C" w:rsidRPr="00440A37" w:rsidRDefault="0063087C" w:rsidP="0063087C">
      <w:pPr>
        <w:pStyle w:val="Heading2"/>
      </w:pPr>
      <w:bookmarkStart w:id="3" w:name="methods"/>
      <w:bookmarkEnd w:id="3"/>
      <w:r w:rsidRPr="00440A37">
        <w:t>2.1 Digital Financial Recording and MSME Financial Governance</w:t>
      </w:r>
    </w:p>
    <w:p w14:paraId="5A9D3DEB" w14:textId="77777777" w:rsidR="00960D79" w:rsidRPr="00440A37" w:rsidRDefault="00960D79" w:rsidP="00960D79">
      <w:pPr>
        <w:pStyle w:val="BodyText"/>
        <w:rPr>
          <w:b/>
          <w:bCs/>
        </w:rPr>
      </w:pPr>
      <w:r w:rsidRPr="00440A37">
        <w:t>Digital financial recording has become an essential component of modern MSME management. Compared with conventional bookkeeping, digital financial recording enables business owners to organize financial transactions systematically, improve transparency, and generate reliable financial information for decision-making. Well-structured financial records support business sustainability by facilitating cash flow monitoring, profitability analysis, and financial planning. Furthermore, digital bookkeeping reduces human error and provides accurate financial information that can be utilized for taxation and business evaluation. Digital accounting systems also enhance operational efficiency and support evidence-based managerial decisions, particularly among small businesses undergoing digital transformation. Previous studies have shown that MSMEs adopting digital financial recording demonstrate better financial performance and stronger organizational governance than those relying solely on manual bookkeeping (OECD, 2024; World Bank, 2024).</w:t>
      </w:r>
    </w:p>
    <w:p w14:paraId="57119C2E" w14:textId="3CE28F38" w:rsidR="0063087C" w:rsidRPr="00440A37" w:rsidRDefault="0063087C" w:rsidP="0063087C">
      <w:pPr>
        <w:pStyle w:val="Heading2"/>
      </w:pPr>
      <w:r w:rsidRPr="00440A37">
        <w:t xml:space="preserve">2.2 </w:t>
      </w:r>
      <w:proofErr w:type="spellStart"/>
      <w:r w:rsidRPr="00440A37">
        <w:t>Coretax</w:t>
      </w:r>
      <w:proofErr w:type="spellEnd"/>
      <w:r w:rsidRPr="00440A37">
        <w:t xml:space="preserve"> and Digital Tax Administration</w:t>
      </w:r>
    </w:p>
    <w:p w14:paraId="312CA9D6" w14:textId="77777777" w:rsidR="00960D79" w:rsidRPr="00440A37" w:rsidRDefault="00960D79" w:rsidP="00960D79">
      <w:pPr>
        <w:pStyle w:val="BodyText"/>
        <w:rPr>
          <w:b/>
          <w:bCs/>
        </w:rPr>
      </w:pPr>
      <w:r w:rsidRPr="00440A37">
        <w:t xml:space="preserve">The Indonesian government has accelerated tax administration reform through the implementation of </w:t>
      </w:r>
      <w:proofErr w:type="spellStart"/>
      <w:r w:rsidRPr="00440A37">
        <w:t>Coretax</w:t>
      </w:r>
      <w:proofErr w:type="spellEnd"/>
      <w:r w:rsidRPr="00440A37">
        <w:t xml:space="preserve">, an integrated digital tax administration system designed to improve efficiency, transparency, and taxpayer compliance. </w:t>
      </w:r>
      <w:proofErr w:type="spellStart"/>
      <w:r w:rsidRPr="00440A37">
        <w:t>Coretax</w:t>
      </w:r>
      <w:proofErr w:type="spellEnd"/>
      <w:r w:rsidRPr="00440A37">
        <w:t xml:space="preserve"> integrates taxpayer registration, tax reporting, payment, and administrative services into a unified digital platform. The implementation of digital tax administration not only simplifies tax procedures but also enhances government capacity to monitor tax compliance. Nevertheless, the effectiveness of digital taxation depends largely on taxpayers' readiness to maintain accurate financial records that support tax reporting. Therefore, financial literacy and systematic bookkeeping remain fundamental prerequisites for successful </w:t>
      </w:r>
      <w:proofErr w:type="spellStart"/>
      <w:r w:rsidRPr="00440A37">
        <w:t>Coretax</w:t>
      </w:r>
      <w:proofErr w:type="spellEnd"/>
      <w:r w:rsidRPr="00440A37">
        <w:t xml:space="preserve"> implementation among MSMEs (</w:t>
      </w:r>
      <w:proofErr w:type="spellStart"/>
      <w:r w:rsidRPr="00440A37">
        <w:t>Okunogbe</w:t>
      </w:r>
      <w:proofErr w:type="spellEnd"/>
      <w:r w:rsidRPr="00440A37">
        <w:t xml:space="preserve"> &amp; Pouliquen, 2022; OECD, 2024).</w:t>
      </w:r>
    </w:p>
    <w:p w14:paraId="5BC753E9" w14:textId="0E38B962" w:rsidR="0063087C" w:rsidRPr="00440A37" w:rsidRDefault="0063087C" w:rsidP="0063087C">
      <w:pPr>
        <w:pStyle w:val="Heading2"/>
      </w:pPr>
      <w:r w:rsidRPr="00440A37">
        <w:t>2.3 QRIS and the Digital Financial Ecosystem</w:t>
      </w:r>
    </w:p>
    <w:p w14:paraId="3C9DD63A" w14:textId="77777777" w:rsidR="00960D79" w:rsidRPr="00440A37" w:rsidRDefault="00960D79" w:rsidP="00960D79">
      <w:pPr>
        <w:pStyle w:val="BodyText"/>
        <w:rPr>
          <w:b/>
          <w:bCs/>
        </w:rPr>
      </w:pPr>
      <w:r w:rsidRPr="00440A37">
        <w:t>The Quick Response Code Indonesian Standard (QRIS) has become one of Indonesia's major digital payment innovations for promoting financial inclusion and supporting the digital economy. QRIS enables standardized cashless transactions across various financial service providers while improving transaction efficiency for businesses and consumers. Beyond facilitating payments, QRIS generates digital transaction records that can serve as valuable financial information for bookkeeping and business analysis. However, many MSMEs continue to utilize QRIS primarily as a payment instrument without integrating transaction data into financial recording systems. Consequently, the potential of QRIS to strengthen financial governance and tax compliance has not been fully realized (Bank Indonesia, 2024; Bank for International Settlements, 2023).</w:t>
      </w:r>
    </w:p>
    <w:p w14:paraId="160CEE98" w14:textId="4914C386" w:rsidR="0063087C" w:rsidRPr="00440A37" w:rsidRDefault="0063087C" w:rsidP="0063087C">
      <w:pPr>
        <w:pStyle w:val="Heading2"/>
      </w:pPr>
      <w:r w:rsidRPr="00440A37">
        <w:t>2.4 Community Empowerment for MSME Digital Transformation</w:t>
      </w:r>
    </w:p>
    <w:p w14:paraId="22602649" w14:textId="77777777" w:rsidR="00960D79" w:rsidRPr="00440A37" w:rsidRDefault="00960D79" w:rsidP="00960D79">
      <w:pPr>
        <w:pStyle w:val="BodyText"/>
        <w:rPr>
          <w:b/>
          <w:bCs/>
        </w:rPr>
      </w:pPr>
      <w:r w:rsidRPr="00440A37">
        <w:t xml:space="preserve">Community empowerment emphasizes participatory approaches that actively involve beneficiaries throughout the planning, implementation, and evaluation processes. In MSME development, participatory empowerment combines capacity building, practical mentoring, and continuous assistance to improve business capabilities. Previous studies have demonstrated that mentoring-based interventions produce more sustainable behavioral changes than one-time training because participants directly apply newly acquired knowledge to their business activities. Integrating digital financial recording, tax literacy, and participatory mentoring is therefore expected to strengthen MSMEs' financial governance, improve tax compliance, and support sustainable local economic development. Such collaborative initiatives are also aligned with Sustainable Development Goal (SDG) 8, which promotes sustainable economic growth and productive employment, and SDG 17, which emphasizes multi-stakeholder partnerships for sustainable development (United Nations, 2024; United Nations Development </w:t>
      </w:r>
      <w:proofErr w:type="spellStart"/>
      <w:r w:rsidRPr="00440A37">
        <w:t>Programme</w:t>
      </w:r>
      <w:proofErr w:type="spellEnd"/>
      <w:r w:rsidRPr="00440A37">
        <w:t>, 2023).</w:t>
      </w:r>
    </w:p>
    <w:p w14:paraId="0F9E7AAE" w14:textId="4F3E4169" w:rsidR="00750A9B" w:rsidRPr="00440A37" w:rsidRDefault="0063087C" w:rsidP="0063087C">
      <w:pPr>
        <w:pStyle w:val="Heading1"/>
      </w:pPr>
      <w:r w:rsidRPr="00440A37">
        <w:rPr>
          <w:spacing w:val="-2"/>
        </w:rPr>
        <w:t xml:space="preserve">3. </w:t>
      </w:r>
      <w:r w:rsidR="00000000" w:rsidRPr="00440A37">
        <w:rPr>
          <w:spacing w:val="-2"/>
        </w:rPr>
        <w:t>METHODS</w:t>
      </w:r>
    </w:p>
    <w:p w14:paraId="07A94A74" w14:textId="77777777" w:rsidR="00960D79" w:rsidRPr="00440A37" w:rsidRDefault="00960D79" w:rsidP="00960D79">
      <w:pPr>
        <w:pStyle w:val="BodyText"/>
      </w:pPr>
      <w:bookmarkStart w:id="4" w:name="RESULTS"/>
      <w:bookmarkEnd w:id="4"/>
      <w:r w:rsidRPr="00440A37">
        <w:t xml:space="preserve">This community service program employed a participatory observation approach to identify community needs, understand existing financial management practices, and evaluate the implementation of the intervention program. Participatory observation was selected because it enables researchers to interact directly with community members while observing real business practices within their natural setting. This approach provides contextual insights into MSMEs' financial management, tax compliance behavior, and utilization of digital </w:t>
      </w:r>
      <w:r w:rsidRPr="00440A37">
        <w:lastRenderedPageBreak/>
        <w:t>financial systems (Creswell &amp; Guetterman, 2021; Yin, 2023).</w:t>
      </w:r>
    </w:p>
    <w:p w14:paraId="0499FE5D" w14:textId="77777777" w:rsidR="00960D79" w:rsidRPr="00440A37" w:rsidRDefault="00960D79" w:rsidP="00960D79">
      <w:pPr>
        <w:pStyle w:val="BodyText"/>
        <w:ind w:left="0"/>
      </w:pPr>
    </w:p>
    <w:p w14:paraId="22BFEE6F" w14:textId="77777777" w:rsidR="00960D79" w:rsidRPr="00440A37" w:rsidRDefault="00960D79" w:rsidP="00960D79">
      <w:pPr>
        <w:pStyle w:val="BodyText"/>
      </w:pPr>
      <w:r w:rsidRPr="00440A37">
        <w:t xml:space="preserve">The program was conducted in </w:t>
      </w:r>
      <w:proofErr w:type="spellStart"/>
      <w:r w:rsidRPr="00440A37">
        <w:t>Penglipuran</w:t>
      </w:r>
      <w:proofErr w:type="spellEnd"/>
      <w:r w:rsidRPr="00440A37">
        <w:t xml:space="preserve"> Tourism Village, Bali, Indonesia, in July 2026. The location was selected because of its strong tourism-based economy, the significant number of MSMEs operating in culinary, handicraft, and local creative industries, and its well-established digital payment ecosystem. </w:t>
      </w:r>
      <w:proofErr w:type="spellStart"/>
      <w:r w:rsidRPr="00440A37">
        <w:t>Penglipuran</w:t>
      </w:r>
      <w:proofErr w:type="spellEnd"/>
      <w:r w:rsidRPr="00440A37">
        <w:t xml:space="preserve"> has widely implemented Quick Response Code Indonesian Standard (QRIS) as the primary payment method for tourism-related transactions, providing an appropriate context for examining how digital transaction data can be utilized to strengthen financial recording and tax compliance among tourism-based MSMEs.</w:t>
      </w:r>
    </w:p>
    <w:p w14:paraId="382AD817" w14:textId="77777777" w:rsidR="00960D79" w:rsidRPr="00440A37" w:rsidRDefault="00960D79" w:rsidP="00960D79">
      <w:pPr>
        <w:pStyle w:val="BodyText"/>
      </w:pPr>
    </w:p>
    <w:p w14:paraId="5EB0B3EF" w14:textId="77777777" w:rsidR="00960D79" w:rsidRPr="00440A37" w:rsidRDefault="00960D79" w:rsidP="00960D79">
      <w:pPr>
        <w:pStyle w:val="BodyText"/>
      </w:pPr>
      <w:r w:rsidRPr="00440A37">
        <w:t>The participants consisted of MSME owners and business operators who voluntarily participated in the community empowerment program. Program implementation followed four sequential stages: (1) initial observation, (2) training, (3) mentoring, and (4) evaluation.</w:t>
      </w:r>
    </w:p>
    <w:p w14:paraId="3BF3BFE6" w14:textId="77777777" w:rsidR="00960D79" w:rsidRPr="00440A37" w:rsidRDefault="00960D79" w:rsidP="00960D79">
      <w:pPr>
        <w:pStyle w:val="BodyText"/>
      </w:pPr>
    </w:p>
    <w:p w14:paraId="1115BFDC" w14:textId="77777777" w:rsidR="00960D79" w:rsidRPr="00440A37" w:rsidRDefault="00960D79" w:rsidP="00960D79">
      <w:pPr>
        <w:pStyle w:val="BodyText"/>
      </w:pPr>
      <w:r w:rsidRPr="00440A37">
        <w:t xml:space="preserve">Data were collected through participatory observation and documentation. Initial observations focused on participants’ bookkeeping practices, financial management behavior, tax compliance awareness, digital financial literacy, and the utilization of digital transaction systems in daily business activities. In addition, observations examined the implementation of </w:t>
      </w:r>
      <w:proofErr w:type="spellStart"/>
      <w:r w:rsidRPr="00440A37">
        <w:t>Penglipuran’s</w:t>
      </w:r>
      <w:proofErr w:type="spellEnd"/>
      <w:r w:rsidRPr="00440A37">
        <w:t xml:space="preserve"> digital financial ecosystem, including the use of QRIS for tourism services, MSME transactions, and village financial administration, to understand how existing digital payment practices could support financial recording and digital tax administration.</w:t>
      </w:r>
    </w:p>
    <w:p w14:paraId="0A6E2494" w14:textId="77777777" w:rsidR="00960D79" w:rsidRPr="00440A37" w:rsidRDefault="00960D79" w:rsidP="00960D79">
      <w:pPr>
        <w:pStyle w:val="BodyText"/>
      </w:pPr>
    </w:p>
    <w:p w14:paraId="3E7E0A72" w14:textId="77777777" w:rsidR="00960D79" w:rsidRPr="00440A37" w:rsidRDefault="00960D79" w:rsidP="00960D79">
      <w:pPr>
        <w:pStyle w:val="BodyText"/>
      </w:pPr>
      <w:r w:rsidRPr="00440A37">
        <w:t>Documentation was collected throughout the program, including attendance records, training materials, mentoring activities, participants’ bookkeeping practices, photographs of activities, and supporting evidence related to the implementation of QRIS-based transactions and digital financial administration. These documents served to validate observations and support program evaluation.</w:t>
      </w:r>
    </w:p>
    <w:p w14:paraId="0463989A" w14:textId="77777777" w:rsidR="00960D79" w:rsidRPr="00440A37" w:rsidRDefault="00960D79" w:rsidP="00960D79">
      <w:pPr>
        <w:pStyle w:val="BodyText"/>
      </w:pPr>
    </w:p>
    <w:p w14:paraId="7BE1EF9C" w14:textId="77777777" w:rsidR="00960D79" w:rsidRPr="00440A37" w:rsidRDefault="00960D79" w:rsidP="00960D79">
      <w:pPr>
        <w:pStyle w:val="BodyText"/>
      </w:pPr>
      <w:r w:rsidRPr="00440A37">
        <w:t>The research instruments consisted of observation sheets, field notes, and documentation records. Observation sheets were designed to assess four indicators: (1) financial recording practices, (2) tax awareness, (3) digital financial literacy, and (4) utilization of digital transaction systems. Field notes were used to document contextual findings, participant responses, and implementation challenges encountered during the program.</w:t>
      </w:r>
    </w:p>
    <w:p w14:paraId="25B21F32" w14:textId="77777777" w:rsidR="00960D79" w:rsidRPr="00440A37" w:rsidRDefault="00960D79" w:rsidP="00960D79">
      <w:pPr>
        <w:pStyle w:val="BodyText"/>
      </w:pPr>
    </w:p>
    <w:p w14:paraId="3D638DD1" w14:textId="77777777" w:rsidR="00960D79" w:rsidRPr="00440A37" w:rsidRDefault="00960D79" w:rsidP="00960D79">
      <w:pPr>
        <w:pStyle w:val="BodyText"/>
      </w:pPr>
      <w:r w:rsidRPr="00440A37">
        <w:t xml:space="preserve">Data were analyzed using descriptive qualitative analysis following an interactive qualitative analysis process involving data condensation, data display, and conclusion drawing, which enables researchers to interpret field findings systematically (Miles et al., 2020; Yin, 2023). Data reduction involved selecting findings relevant to financial recording, tax literacy, utilization of digital payment systems, and </w:t>
      </w:r>
      <w:proofErr w:type="spellStart"/>
      <w:r w:rsidRPr="00440A37">
        <w:t>Coretax</w:t>
      </w:r>
      <w:proofErr w:type="spellEnd"/>
      <w:r w:rsidRPr="00440A37">
        <w:t xml:space="preserve"> readiness. The findings were subsequently presented through descriptive narratives and comparative summaries before conclusions were drawn regarding the effectiveness of the community empowerment program.</w:t>
      </w:r>
    </w:p>
    <w:p w14:paraId="2F445DCC" w14:textId="77777777" w:rsidR="00960D79" w:rsidRPr="00440A37" w:rsidRDefault="00960D79" w:rsidP="00960D79">
      <w:pPr>
        <w:pStyle w:val="BodyText"/>
      </w:pPr>
    </w:p>
    <w:p w14:paraId="6CCF30E6" w14:textId="77777777" w:rsidR="00960D79" w:rsidRPr="00440A37" w:rsidRDefault="00960D79" w:rsidP="00960D79">
      <w:pPr>
        <w:pStyle w:val="BodyText"/>
      </w:pPr>
      <w:r w:rsidRPr="00440A37">
        <w:t xml:space="preserve">The initial observations revealed two contrasting conditions. At the institutional level, </w:t>
      </w:r>
      <w:proofErr w:type="spellStart"/>
      <w:r w:rsidRPr="00440A37">
        <w:t>Penglipuran</w:t>
      </w:r>
      <w:proofErr w:type="spellEnd"/>
      <w:r w:rsidRPr="00440A37">
        <w:t xml:space="preserve"> Tourism Village had successfully established a comprehensive cashless financial ecosystem through QRIS-based transactions and digital village financial administration. Tourism revenue generated from entrance tickets was managed under a formal revenue-sharing mechanism between </w:t>
      </w:r>
      <w:proofErr w:type="spellStart"/>
      <w:r w:rsidRPr="00440A37">
        <w:t>Penglipuran</w:t>
      </w:r>
      <w:proofErr w:type="spellEnd"/>
      <w:r w:rsidRPr="00440A37">
        <w:t xml:space="preserve"> Traditional Village and the Bangli Regency Government, while village revenues were allocated to operational activities, public facility maintenance, cultural preservation, and traditional religious ceremonies. However, at the MSME level, many business owners continued to rely on manual bookkeeping, demonstrated limited understanding of digital financial recording, and had low awareness of </w:t>
      </w:r>
      <w:proofErr w:type="spellStart"/>
      <w:r w:rsidRPr="00440A37">
        <w:t>Coretax</w:t>
      </w:r>
      <w:proofErr w:type="spellEnd"/>
      <w:r w:rsidRPr="00440A37">
        <w:t xml:space="preserve"> despite routinely using digital payment facilities. Most participants had not yet transformed digital transaction data into structured financial records that could support tax reporting and business decision-making.</w:t>
      </w:r>
    </w:p>
    <w:p w14:paraId="6393E6EE" w14:textId="77777777" w:rsidR="00960D79" w:rsidRPr="00440A37" w:rsidRDefault="00960D79" w:rsidP="00960D79">
      <w:pPr>
        <w:pStyle w:val="BodyText"/>
      </w:pPr>
    </w:p>
    <w:p w14:paraId="560ACDB6" w14:textId="3C0F3092" w:rsidR="0063087C" w:rsidRPr="00440A37" w:rsidRDefault="00960D79" w:rsidP="00960D79">
      <w:pPr>
        <w:pStyle w:val="BodyText"/>
      </w:pPr>
      <w:r w:rsidRPr="00440A37">
        <w:t xml:space="preserve">Based on these observations, the community service program was designed to provide training and participatory mentoring on digital financial recording and </w:t>
      </w:r>
      <w:proofErr w:type="spellStart"/>
      <w:r w:rsidRPr="00440A37">
        <w:t>Coretax</w:t>
      </w:r>
      <w:proofErr w:type="spellEnd"/>
      <w:r w:rsidRPr="00440A37">
        <w:t xml:space="preserve">-based tax literacy. Rather than introducing digital payment technologies, the intervention focused on optimizing the utilization of existing QRIS transaction data to produce systematic financial records that support business governance and digital tax administration. The expected outcomes included improved financial literacy, more structured bookkeeping practices, enhanced tax awareness, greater readiness to utilize </w:t>
      </w:r>
      <w:proofErr w:type="spellStart"/>
      <w:r w:rsidRPr="00440A37">
        <w:t>Coretax</w:t>
      </w:r>
      <w:proofErr w:type="spellEnd"/>
      <w:r w:rsidRPr="00440A37">
        <w:t>, and stronger integration of digital financial information into MSME business management.</w:t>
      </w:r>
    </w:p>
    <w:p w14:paraId="512257EE" w14:textId="09BE69BB" w:rsidR="00750A9B" w:rsidRPr="00440A37" w:rsidRDefault="0063087C">
      <w:pPr>
        <w:pStyle w:val="Heading1"/>
      </w:pPr>
      <w:r w:rsidRPr="00440A37">
        <w:rPr>
          <w:spacing w:val="-2"/>
        </w:rPr>
        <w:lastRenderedPageBreak/>
        <w:t xml:space="preserve">4. </w:t>
      </w:r>
      <w:r w:rsidR="00000000" w:rsidRPr="00440A37">
        <w:rPr>
          <w:spacing w:val="-2"/>
        </w:rPr>
        <w:t>RESULTS</w:t>
      </w:r>
    </w:p>
    <w:p w14:paraId="4F1E1820" w14:textId="0ACCBC14" w:rsidR="00C327D2" w:rsidRPr="00440A37" w:rsidRDefault="0063087C" w:rsidP="0063087C">
      <w:pPr>
        <w:pStyle w:val="Heading2"/>
      </w:pPr>
      <w:r w:rsidRPr="00440A37">
        <w:t xml:space="preserve">4.1 </w:t>
      </w:r>
      <w:r w:rsidR="00C327D2" w:rsidRPr="00440A37">
        <w:t>Initial Community Conditions Before Program Implementation</w:t>
      </w:r>
    </w:p>
    <w:p w14:paraId="50905479" w14:textId="77777777" w:rsidR="00C327D2" w:rsidRPr="00440A37" w:rsidRDefault="00C327D2" w:rsidP="00C327D2">
      <w:pPr>
        <w:pStyle w:val="Heading1"/>
        <w:spacing w:before="244"/>
        <w:jc w:val="both"/>
        <w:rPr>
          <w:b w:val="0"/>
          <w:bCs w:val="0"/>
          <w:sz w:val="24"/>
          <w:szCs w:val="24"/>
        </w:rPr>
      </w:pPr>
      <w:r w:rsidRPr="00440A37">
        <w:rPr>
          <w:b w:val="0"/>
          <w:bCs w:val="0"/>
          <w:sz w:val="24"/>
          <w:szCs w:val="24"/>
        </w:rPr>
        <w:t xml:space="preserve">The initial observation revealed several challenges faced by MSMEs in </w:t>
      </w:r>
      <w:proofErr w:type="spellStart"/>
      <w:r w:rsidRPr="00440A37">
        <w:rPr>
          <w:b w:val="0"/>
          <w:bCs w:val="0"/>
          <w:sz w:val="24"/>
          <w:szCs w:val="24"/>
        </w:rPr>
        <w:t>Penglipuran</w:t>
      </w:r>
      <w:proofErr w:type="spellEnd"/>
      <w:r w:rsidRPr="00440A37">
        <w:rPr>
          <w:b w:val="0"/>
          <w:bCs w:val="0"/>
          <w:sz w:val="24"/>
          <w:szCs w:val="24"/>
        </w:rPr>
        <w:t xml:space="preserve"> Tourism Village related to financial management and tax compliance. Most MSME owners still relied on conventional bookkeeping practices, with financial transactions recorded manually in notebooks or not recorded consistently. This condition created difficulties in monitoring cash flow, calculating business profits, preparing financial statements, and supporting tax reporting.</w:t>
      </w:r>
    </w:p>
    <w:p w14:paraId="4C057F6C" w14:textId="77777777" w:rsidR="00C327D2" w:rsidRPr="00440A37" w:rsidRDefault="00C327D2" w:rsidP="00C327D2">
      <w:pPr>
        <w:pStyle w:val="Heading1"/>
        <w:spacing w:before="244"/>
        <w:jc w:val="both"/>
        <w:rPr>
          <w:b w:val="0"/>
          <w:bCs w:val="0"/>
          <w:sz w:val="24"/>
          <w:szCs w:val="24"/>
        </w:rPr>
      </w:pPr>
      <w:r w:rsidRPr="00440A37">
        <w:rPr>
          <w:b w:val="0"/>
          <w:bCs w:val="0"/>
          <w:sz w:val="24"/>
          <w:szCs w:val="24"/>
        </w:rPr>
        <w:t xml:space="preserve">In addition, tax compliance awareness among participants was relatively low. Most participants had limited understanding of tax obligations, tax reporting procedures, and digital tax administration systems, particularly </w:t>
      </w:r>
      <w:proofErr w:type="spellStart"/>
      <w:r w:rsidRPr="00440A37">
        <w:rPr>
          <w:b w:val="0"/>
          <w:bCs w:val="0"/>
          <w:sz w:val="24"/>
          <w:szCs w:val="24"/>
        </w:rPr>
        <w:t>Coretax</w:t>
      </w:r>
      <w:proofErr w:type="spellEnd"/>
      <w:r w:rsidRPr="00440A37">
        <w:rPr>
          <w:b w:val="0"/>
          <w:bCs w:val="0"/>
          <w:sz w:val="24"/>
          <w:szCs w:val="24"/>
        </w:rPr>
        <w:t>. Several participants stated that tax reporting was often perceived as complicated due to limited knowledge and the absence of continuous technical assistance.</w:t>
      </w:r>
    </w:p>
    <w:p w14:paraId="09F6276E" w14:textId="77777777" w:rsidR="00C327D2" w:rsidRPr="00440A37" w:rsidRDefault="00C327D2" w:rsidP="00C327D2">
      <w:pPr>
        <w:pStyle w:val="Heading1"/>
        <w:spacing w:before="244"/>
        <w:jc w:val="both"/>
        <w:rPr>
          <w:b w:val="0"/>
          <w:bCs w:val="0"/>
          <w:sz w:val="24"/>
          <w:szCs w:val="24"/>
        </w:rPr>
      </w:pPr>
      <w:r w:rsidRPr="00440A37">
        <w:rPr>
          <w:b w:val="0"/>
          <w:bCs w:val="0"/>
          <w:sz w:val="24"/>
          <w:szCs w:val="24"/>
        </w:rPr>
        <w:t xml:space="preserve">The observations also revealed an interesting contrast between the village-level digital ecosystem and MSME financial management practices. </w:t>
      </w:r>
      <w:proofErr w:type="spellStart"/>
      <w:r w:rsidRPr="00440A37">
        <w:rPr>
          <w:b w:val="0"/>
          <w:bCs w:val="0"/>
          <w:sz w:val="24"/>
          <w:szCs w:val="24"/>
        </w:rPr>
        <w:t>Penglipuran</w:t>
      </w:r>
      <w:proofErr w:type="spellEnd"/>
      <w:r w:rsidRPr="00440A37">
        <w:rPr>
          <w:b w:val="0"/>
          <w:bCs w:val="0"/>
          <w:sz w:val="24"/>
          <w:szCs w:val="24"/>
        </w:rPr>
        <w:t xml:space="preserve"> Tourism Village has successfully implemented a comprehensive cashless financial ecosystem through the widespread adoption of Quick Response Code Indonesian Standard (QRIS). Cashless transactions have become the standard payment method for entrance tickets, purchases of handicrafts, culinary products, and other MSME products. Furthermore, village financial administration, including operational management and incentive payments to local residents, has also been conducted digitally. Revenue generated from tourism entrance tickets is distributed under a formal revenue-sharing agreement, allocating 60% to </w:t>
      </w:r>
      <w:proofErr w:type="spellStart"/>
      <w:r w:rsidRPr="00440A37">
        <w:rPr>
          <w:b w:val="0"/>
          <w:bCs w:val="0"/>
          <w:sz w:val="24"/>
          <w:szCs w:val="24"/>
        </w:rPr>
        <w:t>Penglipuran</w:t>
      </w:r>
      <w:proofErr w:type="spellEnd"/>
      <w:r w:rsidRPr="00440A37">
        <w:rPr>
          <w:b w:val="0"/>
          <w:bCs w:val="0"/>
          <w:sz w:val="24"/>
          <w:szCs w:val="24"/>
        </w:rPr>
        <w:t xml:space="preserve"> Traditional Village and 40% to the Bangli Regency Government. The village utilizes its revenue allocation to finance operational activities, improve public facilities, preserve cultural heritage, and support traditional religious ceremonies.</w:t>
      </w:r>
    </w:p>
    <w:p w14:paraId="43536E98" w14:textId="77777777" w:rsidR="00C327D2" w:rsidRPr="00440A37" w:rsidRDefault="00C327D2" w:rsidP="00C327D2">
      <w:pPr>
        <w:pStyle w:val="Heading1"/>
        <w:spacing w:before="244"/>
        <w:jc w:val="both"/>
        <w:rPr>
          <w:b w:val="0"/>
          <w:bCs w:val="0"/>
          <w:sz w:val="24"/>
          <w:szCs w:val="24"/>
        </w:rPr>
      </w:pPr>
      <w:r w:rsidRPr="00440A37">
        <w:rPr>
          <w:b w:val="0"/>
          <w:bCs w:val="0"/>
          <w:sz w:val="24"/>
          <w:szCs w:val="24"/>
        </w:rPr>
        <w:t>Despite the existence of this mature digital payment ecosystem, many MSME actors had not yet utilized digital transaction data to produce structured financial records or support tax administration. Although participants were familiar with smartphones and QRIS-based payments, digital tools were rarely used for bookkeeping, financial reporting, or tax management. This finding indicates that the primary challenge was no longer the adoption of digital payment technology, but rather the optimization of digital transaction data to improve financial governance and tax compliance.</w:t>
      </w:r>
    </w:p>
    <w:p w14:paraId="45988366" w14:textId="2188566D" w:rsidR="00C327D2" w:rsidRPr="00440A37" w:rsidRDefault="0063087C" w:rsidP="0063087C">
      <w:pPr>
        <w:pStyle w:val="Heading2"/>
      </w:pPr>
      <w:r w:rsidRPr="00440A37">
        <w:t xml:space="preserve">4.2 </w:t>
      </w:r>
      <w:r w:rsidR="00C327D2" w:rsidRPr="00440A37">
        <w:t>Implementation of Community Empowerment Activities</w:t>
      </w:r>
    </w:p>
    <w:p w14:paraId="06F5C67C" w14:textId="77777777" w:rsidR="00C327D2" w:rsidRPr="00440A37" w:rsidRDefault="00C327D2" w:rsidP="00C327D2">
      <w:pPr>
        <w:pStyle w:val="Heading1"/>
        <w:spacing w:before="244"/>
        <w:jc w:val="both"/>
        <w:rPr>
          <w:b w:val="0"/>
          <w:bCs w:val="0"/>
          <w:sz w:val="24"/>
          <w:szCs w:val="24"/>
        </w:rPr>
      </w:pPr>
      <w:r w:rsidRPr="00440A37">
        <w:rPr>
          <w:b w:val="0"/>
          <w:bCs w:val="0"/>
          <w:sz w:val="24"/>
          <w:szCs w:val="24"/>
        </w:rPr>
        <w:t>The community service program was implemented through four main stages: initial observation, training, mentoring, and evaluation.</w:t>
      </w:r>
    </w:p>
    <w:p w14:paraId="1DCC4224" w14:textId="77777777" w:rsidR="00C327D2" w:rsidRPr="00440A37" w:rsidRDefault="00C327D2" w:rsidP="00C327D2">
      <w:pPr>
        <w:pStyle w:val="Heading1"/>
        <w:spacing w:before="244"/>
        <w:jc w:val="both"/>
        <w:rPr>
          <w:b w:val="0"/>
          <w:bCs w:val="0"/>
          <w:sz w:val="24"/>
          <w:szCs w:val="24"/>
        </w:rPr>
      </w:pPr>
      <w:r w:rsidRPr="00440A37">
        <w:rPr>
          <w:b w:val="0"/>
          <w:bCs w:val="0"/>
          <w:sz w:val="24"/>
          <w:szCs w:val="24"/>
        </w:rPr>
        <w:t xml:space="preserve">The first stage involved direct observation and problem identification to understand the actual challenges experienced by MSME actors. Besides assessing bookkeeping practices and tax literacy, the observation documented the implementation of </w:t>
      </w:r>
      <w:proofErr w:type="spellStart"/>
      <w:r w:rsidRPr="00440A37">
        <w:rPr>
          <w:b w:val="0"/>
          <w:bCs w:val="0"/>
          <w:sz w:val="24"/>
          <w:szCs w:val="24"/>
        </w:rPr>
        <w:t>Penglipuran's</w:t>
      </w:r>
      <w:proofErr w:type="spellEnd"/>
      <w:r w:rsidRPr="00440A37">
        <w:rPr>
          <w:b w:val="0"/>
          <w:bCs w:val="0"/>
          <w:sz w:val="24"/>
          <w:szCs w:val="24"/>
        </w:rPr>
        <w:t xml:space="preserve"> digital financial ecosystem, including QRIS-based payment systems and digital village financial administration. These findings enabled the implementation team to design interventions that addressed the actual gap between digital payment adoption and financial management practices.</w:t>
      </w:r>
    </w:p>
    <w:p w14:paraId="4012104E" w14:textId="77777777" w:rsidR="00C327D2" w:rsidRPr="00440A37" w:rsidRDefault="00C327D2" w:rsidP="00C327D2">
      <w:pPr>
        <w:pStyle w:val="Heading1"/>
        <w:spacing w:before="244"/>
        <w:jc w:val="both"/>
        <w:rPr>
          <w:b w:val="0"/>
          <w:bCs w:val="0"/>
          <w:sz w:val="24"/>
          <w:szCs w:val="24"/>
        </w:rPr>
      </w:pPr>
      <w:r w:rsidRPr="00440A37">
        <w:rPr>
          <w:b w:val="0"/>
          <w:bCs w:val="0"/>
          <w:sz w:val="24"/>
          <w:szCs w:val="24"/>
        </w:rPr>
        <w:t xml:space="preserve">The second stage focused on training related to digital financial recording and tax literacy. Participants were introduced to the importance of structured bookkeeping, separation of personal and business finances, and the role of accurate financial records in supporting tax compliance. The training also provided practical explanations regarding </w:t>
      </w:r>
      <w:proofErr w:type="spellStart"/>
      <w:r w:rsidRPr="00440A37">
        <w:rPr>
          <w:b w:val="0"/>
          <w:bCs w:val="0"/>
          <w:sz w:val="24"/>
          <w:szCs w:val="24"/>
        </w:rPr>
        <w:t>Coretax</w:t>
      </w:r>
      <w:proofErr w:type="spellEnd"/>
      <w:r w:rsidRPr="00440A37">
        <w:rPr>
          <w:b w:val="0"/>
          <w:bCs w:val="0"/>
          <w:sz w:val="24"/>
          <w:szCs w:val="24"/>
        </w:rPr>
        <w:t xml:space="preserve"> and demonstrated how digital transaction data generated through QRIS could be transformed into organized financial records to facilitate tax administration.</w:t>
      </w:r>
    </w:p>
    <w:p w14:paraId="10086724" w14:textId="77777777" w:rsidR="00C327D2" w:rsidRPr="00440A37" w:rsidRDefault="00C327D2" w:rsidP="00C327D2">
      <w:pPr>
        <w:pStyle w:val="Heading1"/>
        <w:spacing w:before="244"/>
        <w:jc w:val="both"/>
        <w:rPr>
          <w:b w:val="0"/>
          <w:bCs w:val="0"/>
          <w:sz w:val="24"/>
          <w:szCs w:val="24"/>
        </w:rPr>
      </w:pPr>
      <w:r w:rsidRPr="00440A37">
        <w:rPr>
          <w:b w:val="0"/>
          <w:bCs w:val="0"/>
          <w:sz w:val="24"/>
          <w:szCs w:val="24"/>
        </w:rPr>
        <w:t>The third stage consisted of intensive mentoring sessions. Participants practiced recording daily business transactions using digital bookkeeping tools while utilizing actual QRIS transaction data generated from their businesses. They also learned how systematic financial records could support tax reporting and improve business decision-making. Interactive discussions enabled participants to identify practical challenges and receive direct assistance in implementing digital bookkeeping practices.</w:t>
      </w:r>
    </w:p>
    <w:p w14:paraId="451F224A" w14:textId="174754F4" w:rsidR="00C327D2" w:rsidRPr="00440A37" w:rsidRDefault="00C327D2" w:rsidP="00C327D2">
      <w:pPr>
        <w:pStyle w:val="Heading1"/>
        <w:spacing w:before="244"/>
        <w:jc w:val="both"/>
        <w:rPr>
          <w:b w:val="0"/>
          <w:bCs w:val="0"/>
          <w:sz w:val="24"/>
          <w:szCs w:val="24"/>
        </w:rPr>
      </w:pPr>
      <w:r w:rsidRPr="00440A37">
        <w:rPr>
          <w:b w:val="0"/>
          <w:bCs w:val="0"/>
          <w:sz w:val="24"/>
          <w:szCs w:val="24"/>
        </w:rPr>
        <w:lastRenderedPageBreak/>
        <w:t>The final stage involved program evaluation to assess improvements in financial literacy, bookkeeping practices, tax awareness, digital readiness, and participants' ability to utilize digital transaction data for financial management and tax compliance.</w:t>
      </w:r>
    </w:p>
    <w:p w14:paraId="5673598E" w14:textId="31EB3A4F" w:rsidR="00C327D2" w:rsidRPr="00440A37" w:rsidRDefault="0063087C" w:rsidP="0063087C">
      <w:pPr>
        <w:pStyle w:val="Heading2"/>
      </w:pPr>
      <w:r w:rsidRPr="00440A37">
        <w:t xml:space="preserve">4.3 </w:t>
      </w:r>
      <w:r w:rsidR="00C327D2" w:rsidRPr="00440A37">
        <w:t>Results After Program Implementation</w:t>
      </w:r>
    </w:p>
    <w:p w14:paraId="223F9346" w14:textId="77777777" w:rsidR="00C327D2" w:rsidRPr="00440A37" w:rsidRDefault="00C327D2" w:rsidP="00C327D2">
      <w:pPr>
        <w:pStyle w:val="Heading1"/>
        <w:spacing w:before="244"/>
        <w:jc w:val="both"/>
        <w:rPr>
          <w:b w:val="0"/>
          <w:bCs w:val="0"/>
          <w:sz w:val="24"/>
          <w:szCs w:val="24"/>
        </w:rPr>
      </w:pPr>
      <w:r w:rsidRPr="00440A37">
        <w:rPr>
          <w:b w:val="0"/>
          <w:bCs w:val="0"/>
          <w:sz w:val="24"/>
          <w:szCs w:val="24"/>
        </w:rPr>
        <w:t>The program produced significant improvements in participants’ financial management capabilities and tax compliance readiness. Following the training and mentoring activities, MSME owners demonstrated a better understanding of structured financial recording and recognized its importance for business sustainability. Participants became more capable of recording income, expenses, and daily business transactions systematically using digital bookkeeping methods.</w:t>
      </w:r>
    </w:p>
    <w:p w14:paraId="7C01B37A" w14:textId="77777777" w:rsidR="00C327D2" w:rsidRPr="00440A37" w:rsidRDefault="00C327D2" w:rsidP="00C327D2">
      <w:pPr>
        <w:pStyle w:val="Heading1"/>
        <w:spacing w:before="244"/>
        <w:jc w:val="both"/>
        <w:rPr>
          <w:b w:val="0"/>
          <w:bCs w:val="0"/>
          <w:sz w:val="24"/>
          <w:szCs w:val="24"/>
        </w:rPr>
      </w:pPr>
      <w:r w:rsidRPr="00440A37">
        <w:rPr>
          <w:b w:val="0"/>
          <w:bCs w:val="0"/>
          <w:sz w:val="24"/>
          <w:szCs w:val="24"/>
        </w:rPr>
        <w:t xml:space="preserve">Substantial improvement was also observed in tax literacy. Participants demonstrated greater awareness of tax obligations and improved understanding of </w:t>
      </w:r>
      <w:proofErr w:type="spellStart"/>
      <w:r w:rsidRPr="00440A37">
        <w:rPr>
          <w:b w:val="0"/>
          <w:bCs w:val="0"/>
          <w:sz w:val="24"/>
          <w:szCs w:val="24"/>
        </w:rPr>
        <w:t>Coretax</w:t>
      </w:r>
      <w:proofErr w:type="spellEnd"/>
      <w:r w:rsidRPr="00440A37">
        <w:rPr>
          <w:b w:val="0"/>
          <w:bCs w:val="0"/>
          <w:sz w:val="24"/>
          <w:szCs w:val="24"/>
        </w:rPr>
        <w:t xml:space="preserve"> as Indonesia's digital tax administration system. They expressed increased confidence in managing tax-related responsibilities and acknowledged that accurate financial records simplify tax reporting and strengthen business credibility.</w:t>
      </w:r>
    </w:p>
    <w:p w14:paraId="684F415C" w14:textId="77777777" w:rsidR="00C327D2" w:rsidRPr="00440A37" w:rsidRDefault="00C327D2" w:rsidP="00C327D2">
      <w:pPr>
        <w:pStyle w:val="Heading1"/>
        <w:spacing w:before="244"/>
        <w:jc w:val="both"/>
        <w:rPr>
          <w:b w:val="0"/>
          <w:bCs w:val="0"/>
          <w:sz w:val="24"/>
          <w:szCs w:val="24"/>
        </w:rPr>
      </w:pPr>
      <w:r w:rsidRPr="00440A37">
        <w:rPr>
          <w:b w:val="0"/>
          <w:bCs w:val="0"/>
          <w:sz w:val="24"/>
          <w:szCs w:val="24"/>
        </w:rPr>
        <w:t>Another important outcome was the optimization of the existing digital payment ecosystem. Prior to the program, QRIS was primarily used as a payment facility without being integrated into financial recording practices. After the intervention, participants began utilizing digital transaction data generated through QRIS as the basis for bookkeeping and financial reporting. This change represents an important shift from merely adopting digital payment technology to leveraging digital financial information for better business governance and tax compliance.</w:t>
      </w:r>
    </w:p>
    <w:p w14:paraId="0EE25F5D" w14:textId="42A8D9B9" w:rsidR="00BE105E" w:rsidRPr="00440A37" w:rsidRDefault="00BE105E" w:rsidP="00BE105E">
      <w:pPr>
        <w:pStyle w:val="Heading1"/>
        <w:spacing w:before="244"/>
        <w:jc w:val="center"/>
        <w:rPr>
          <w:b w:val="0"/>
          <w:bCs w:val="0"/>
          <w:sz w:val="24"/>
          <w:szCs w:val="24"/>
        </w:rPr>
      </w:pPr>
      <w:r w:rsidRPr="00440A37">
        <w:rPr>
          <w:b w:val="0"/>
          <w:bCs w:val="0"/>
          <w:sz w:val="24"/>
          <w:szCs w:val="24"/>
        </w:rPr>
        <w:drawing>
          <wp:inline distT="0" distB="0" distL="0" distR="0" wp14:anchorId="62B57096" wp14:editId="41FD7971">
            <wp:extent cx="2960649" cy="2058428"/>
            <wp:effectExtent l="0" t="0" r="0" b="0"/>
            <wp:docPr id="214351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18158" name=""/>
                    <pic:cNvPicPr/>
                  </pic:nvPicPr>
                  <pic:blipFill>
                    <a:blip r:embed="rId7"/>
                    <a:stretch>
                      <a:fillRect/>
                    </a:stretch>
                  </pic:blipFill>
                  <pic:spPr>
                    <a:xfrm>
                      <a:off x="0" y="0"/>
                      <a:ext cx="2980383" cy="2072149"/>
                    </a:xfrm>
                    <a:prstGeom prst="rect">
                      <a:avLst/>
                    </a:prstGeom>
                  </pic:spPr>
                </pic:pic>
              </a:graphicData>
            </a:graphic>
          </wp:inline>
        </w:drawing>
      </w:r>
    </w:p>
    <w:p w14:paraId="168216AE" w14:textId="77777777" w:rsidR="00C327D2" w:rsidRPr="00440A37" w:rsidRDefault="00C327D2" w:rsidP="00C327D2">
      <w:pPr>
        <w:pStyle w:val="Heading1"/>
        <w:spacing w:before="244"/>
        <w:jc w:val="both"/>
        <w:rPr>
          <w:b w:val="0"/>
          <w:bCs w:val="0"/>
          <w:sz w:val="24"/>
          <w:szCs w:val="24"/>
        </w:rPr>
      </w:pPr>
      <w:r w:rsidRPr="00440A37">
        <w:rPr>
          <w:b w:val="0"/>
          <w:bCs w:val="0"/>
          <w:sz w:val="24"/>
          <w:szCs w:val="24"/>
        </w:rPr>
        <w:t xml:space="preserve">Overall, the program demonstrated that integrating digital financial recording with </w:t>
      </w:r>
      <w:proofErr w:type="spellStart"/>
      <w:r w:rsidRPr="00440A37">
        <w:rPr>
          <w:b w:val="0"/>
          <w:bCs w:val="0"/>
          <w:sz w:val="24"/>
          <w:szCs w:val="24"/>
        </w:rPr>
        <w:t>Coretax</w:t>
      </w:r>
      <w:proofErr w:type="spellEnd"/>
      <w:r w:rsidRPr="00440A37">
        <w:rPr>
          <w:b w:val="0"/>
          <w:bCs w:val="0"/>
          <w:sz w:val="24"/>
          <w:szCs w:val="24"/>
        </w:rPr>
        <w:t xml:space="preserve">-based tax literacy effectively complements </w:t>
      </w:r>
      <w:proofErr w:type="spellStart"/>
      <w:r w:rsidRPr="00440A37">
        <w:rPr>
          <w:b w:val="0"/>
          <w:bCs w:val="0"/>
          <w:sz w:val="24"/>
          <w:szCs w:val="24"/>
        </w:rPr>
        <w:t>Penglipuran's</w:t>
      </w:r>
      <w:proofErr w:type="spellEnd"/>
      <w:r w:rsidRPr="00440A37">
        <w:rPr>
          <w:b w:val="0"/>
          <w:bCs w:val="0"/>
          <w:sz w:val="24"/>
          <w:szCs w:val="24"/>
        </w:rPr>
        <w:t xml:space="preserve"> existing cashless ecosystem. The intervention strengthened MSMEs' capacity to transform digital transactions into organized financial information that supports business sustainability and tax compliance.</w:t>
      </w:r>
    </w:p>
    <w:p w14:paraId="3BFEC8BE" w14:textId="39884165" w:rsidR="00750A9B" w:rsidRPr="00440A37" w:rsidRDefault="0063087C" w:rsidP="00C327D2">
      <w:pPr>
        <w:pStyle w:val="Heading1"/>
        <w:spacing w:before="244"/>
      </w:pPr>
      <w:r w:rsidRPr="00440A37">
        <w:rPr>
          <w:spacing w:val="-2"/>
        </w:rPr>
        <w:t xml:space="preserve">5. </w:t>
      </w:r>
      <w:r w:rsidR="00000000" w:rsidRPr="00440A37">
        <w:rPr>
          <w:spacing w:val="-2"/>
        </w:rPr>
        <w:t>DISCUSSION</w:t>
      </w:r>
    </w:p>
    <w:p w14:paraId="7C91A9FD" w14:textId="77777777" w:rsidR="005458A5" w:rsidRPr="00440A37" w:rsidRDefault="005458A5" w:rsidP="005458A5">
      <w:pPr>
        <w:pStyle w:val="BodyText"/>
      </w:pPr>
      <w:bookmarkStart w:id="5" w:name="Conclusion"/>
      <w:bookmarkEnd w:id="5"/>
      <w:r w:rsidRPr="00440A37">
        <w:t xml:space="preserve">The results indicate that integrating digital financial recording with </w:t>
      </w:r>
      <w:proofErr w:type="spellStart"/>
      <w:r w:rsidRPr="00440A37">
        <w:t>Coretax</w:t>
      </w:r>
      <w:proofErr w:type="spellEnd"/>
      <w:r w:rsidRPr="00440A37">
        <w:t xml:space="preserve">-based tax literacy effectively improved MSMEs' readiness for tax compliance. The program successfully addressed key challenges related to financial recording, tax literacy, and the utilization of digital transaction data for business governance. These findings demonstrate that strengthening financial management capabilities is an essential prerequisite for improving tax compliance among MSMEs. Similar findings have been reported by Okunogbe, </w:t>
      </w:r>
      <w:proofErr w:type="spellStart"/>
      <w:r w:rsidRPr="00440A37">
        <w:t>Oyebola</w:t>
      </w:r>
      <w:proofErr w:type="spellEnd"/>
      <w:r w:rsidRPr="00440A37">
        <w:t xml:space="preserve"> and Pouliquen, Victor (2022), who concluded that accurate financial records and digital tax administration significantly improve voluntary tax compliance by reducing administrative complexity and increasing transparency.</w:t>
      </w:r>
    </w:p>
    <w:p w14:paraId="7B333795" w14:textId="77777777" w:rsidR="005458A5" w:rsidRPr="00440A37" w:rsidRDefault="005458A5" w:rsidP="005458A5">
      <w:pPr>
        <w:pStyle w:val="BodyText"/>
      </w:pPr>
    </w:p>
    <w:p w14:paraId="76E845E3" w14:textId="77777777" w:rsidR="005458A5" w:rsidRPr="00440A37" w:rsidRDefault="005458A5" w:rsidP="005458A5">
      <w:pPr>
        <w:pStyle w:val="BodyText"/>
      </w:pPr>
      <w:r w:rsidRPr="00440A37">
        <w:t xml:space="preserve">An important contextual finding from the initial observation is that </w:t>
      </w:r>
      <w:proofErr w:type="spellStart"/>
      <w:r w:rsidRPr="00440A37">
        <w:t>Penglipuran</w:t>
      </w:r>
      <w:proofErr w:type="spellEnd"/>
      <w:r w:rsidRPr="00440A37">
        <w:t xml:space="preserve"> Tourism Village has already established a mature digital financial ecosystem through the widespread implementation of QRIS-based cashless transactions. Digital payments have become the standard method for tourism-related transactions and village financial administration. However, the observation revealed that although digital payment infrastructure was well </w:t>
      </w:r>
      <w:r w:rsidRPr="00440A37">
        <w:lastRenderedPageBreak/>
        <w:t>established, many MSMEs had not yet transformed digital transaction records into structured financial reports or utilized them to support tax administration. This finding highlights that the existence of digital payment technology alone does not automatically improve financial governance or tax compliance. This observation is consistent with the OECD Digital Economy Outlook 2024, which emphasizes that digital infrastructure must be accompanied by organizational capability and digital skills to generate tangible improvements in business performance (OECD, 2024).</w:t>
      </w:r>
    </w:p>
    <w:p w14:paraId="47CE11EC" w14:textId="77777777" w:rsidR="005458A5" w:rsidRPr="00440A37" w:rsidRDefault="005458A5" w:rsidP="005458A5">
      <w:pPr>
        <w:pStyle w:val="BodyText"/>
      </w:pPr>
    </w:p>
    <w:p w14:paraId="47925956" w14:textId="77777777" w:rsidR="005458A5" w:rsidRPr="00440A37" w:rsidRDefault="005458A5" w:rsidP="005458A5">
      <w:pPr>
        <w:pStyle w:val="BodyText"/>
      </w:pPr>
      <w:r w:rsidRPr="00440A37">
        <w:t xml:space="preserve">One of the most significant outcomes of the program was the successful optimization of the existing digital ecosystem. Rather than introducing new payment technologies, the intervention focused on enabling MSME owners to convert QRIS-generated transaction data into systematic digital financial records. Participants gradually recognized that structured bookkeeping not only supports internal business management and financial decision-making but also simplifies tax reporting and facilitates compliance with the </w:t>
      </w:r>
      <w:proofErr w:type="spellStart"/>
      <w:r w:rsidRPr="00440A37">
        <w:t>Coretax</w:t>
      </w:r>
      <w:proofErr w:type="spellEnd"/>
      <w:r w:rsidRPr="00440A37">
        <w:t xml:space="preserve"> system. This finding emphasizes the strategic relationship between financial literacy, digital bookkeeping, and tax compliance behavior. Similar conclusions have been highlighted by the World Bank (2024), which identifies financial management capability as one of the principal determinants of MSME resilience and long-term business sustainability.</w:t>
      </w:r>
    </w:p>
    <w:p w14:paraId="547A0079" w14:textId="77777777" w:rsidR="005458A5" w:rsidRPr="00440A37" w:rsidRDefault="005458A5" w:rsidP="005458A5">
      <w:pPr>
        <w:pStyle w:val="BodyText"/>
      </w:pPr>
    </w:p>
    <w:p w14:paraId="6770FFB1" w14:textId="77777777" w:rsidR="005458A5" w:rsidRPr="00440A37" w:rsidRDefault="005458A5" w:rsidP="005458A5">
      <w:pPr>
        <w:pStyle w:val="BodyText"/>
      </w:pPr>
      <w:r w:rsidRPr="00440A37">
        <w:t xml:space="preserve">Another important finding was the positive response toward digital transformation when accompanied by continuous mentoring and practical guidance. Although participants were already accustomed to using digital payment applications, many had limited experience in applying digital tools for bookkeeping and tax management. The mentoring process accelerated their ability to integrate digital transaction data into daily financial recording practices, suggesting that successful digital transformation depends not only on technology availability but also on sustained capacity-building and user-centered assistance. This finding aligns with the United Nations Development </w:t>
      </w:r>
      <w:proofErr w:type="spellStart"/>
      <w:r w:rsidRPr="00440A37">
        <w:t>Programme</w:t>
      </w:r>
      <w:proofErr w:type="spellEnd"/>
      <w:r w:rsidRPr="00440A37">
        <w:t xml:space="preserve"> (2023), which emphasizes that digital inclusion initiatives are most effective when technology adoption is complemented by continuous capacity development and community empowerment.</w:t>
      </w:r>
    </w:p>
    <w:p w14:paraId="750E0C0E" w14:textId="77777777" w:rsidR="005458A5" w:rsidRPr="00440A37" w:rsidRDefault="005458A5" w:rsidP="005458A5">
      <w:pPr>
        <w:pStyle w:val="BodyText"/>
      </w:pPr>
    </w:p>
    <w:p w14:paraId="36F15E5C" w14:textId="77777777" w:rsidR="005458A5" w:rsidRPr="00440A37" w:rsidRDefault="005458A5" w:rsidP="005458A5">
      <w:pPr>
        <w:pStyle w:val="BodyText"/>
      </w:pPr>
      <w:r w:rsidRPr="00440A37">
        <w:t>Community participation was another major factor contributing to the program's success. MSME actors actively participated throughout the observation, training, mentoring, and evaluation stages, enabling the implementation team to design solutions that directly addressed local needs. This participatory approach enhanced knowledge transfer, strengthened participants' confidence in applying digital financial practices, and increased the sustainability of the intervention. Previous studies have similarly demonstrated that participatory community empowerment promotes stronger ownership, knowledge transfer, and sustainable behavioral change among MSMEs (United Nations, 2024).</w:t>
      </w:r>
    </w:p>
    <w:p w14:paraId="64BDD134" w14:textId="77777777" w:rsidR="005458A5" w:rsidRPr="00440A37" w:rsidRDefault="005458A5" w:rsidP="005458A5">
      <w:pPr>
        <w:pStyle w:val="BodyText"/>
      </w:pPr>
    </w:p>
    <w:p w14:paraId="610F934D" w14:textId="77777777" w:rsidR="005458A5" w:rsidRPr="00440A37" w:rsidRDefault="005458A5" w:rsidP="005458A5">
      <w:pPr>
        <w:pStyle w:val="BodyText"/>
      </w:pPr>
      <w:r w:rsidRPr="00440A37">
        <w:t xml:space="preserve">The program also generated broader impacts on the local community. Improved financial recording practices are expected to strengthen business sustainability, increase financial transparency, support better managerial decision-making, and enhance the resilience of MSMEs operating in </w:t>
      </w:r>
      <w:proofErr w:type="spellStart"/>
      <w:r w:rsidRPr="00440A37">
        <w:t>Penglipuran</w:t>
      </w:r>
      <w:proofErr w:type="spellEnd"/>
      <w:r w:rsidRPr="00440A37">
        <w:t xml:space="preserve"> Tourism Village. Furthermore, improved tax literacy and the ability to utilize digital financial records contribute to stronger integration of MSMEs into Indonesia's formal tax system, supporting more effective tax administration. These outcomes support the recommendations of the OECD Tax Administration 2024, which highlights that digital bookkeeping and taxpayer capability are fundamental components of effective digital tax administration (OECD, 2024).</w:t>
      </w:r>
    </w:p>
    <w:p w14:paraId="2D92E1E4" w14:textId="77777777" w:rsidR="005458A5" w:rsidRPr="00440A37" w:rsidRDefault="005458A5" w:rsidP="005458A5">
      <w:pPr>
        <w:pStyle w:val="BodyText"/>
      </w:pPr>
    </w:p>
    <w:p w14:paraId="49BE3030" w14:textId="77777777" w:rsidR="005458A5" w:rsidRPr="00440A37" w:rsidRDefault="005458A5" w:rsidP="005458A5">
      <w:pPr>
        <w:pStyle w:val="BodyText"/>
        <w:rPr>
          <w:b/>
          <w:bCs/>
        </w:rPr>
      </w:pPr>
      <w:r w:rsidRPr="00440A37">
        <w:t xml:space="preserve">Overall, the findings demonstrate that the digital transformation of MSMEs requires more than the availability of digital payment infrastructure. The </w:t>
      </w:r>
      <w:proofErr w:type="spellStart"/>
      <w:r w:rsidRPr="00440A37">
        <w:t>Penglipuran</w:t>
      </w:r>
      <w:proofErr w:type="spellEnd"/>
      <w:r w:rsidRPr="00440A37">
        <w:t xml:space="preserve"> case illustrates that even within a village that has successfully implemented a comprehensive cashless ecosystem, MSMEs still require assistance in converting digital transaction data into meaningful financial information that supports tax compliance. Therefore, integrating digital financial recording with </w:t>
      </w:r>
      <w:proofErr w:type="spellStart"/>
      <w:r w:rsidRPr="00440A37">
        <w:t>Coretax</w:t>
      </w:r>
      <w:proofErr w:type="spellEnd"/>
      <w:r w:rsidRPr="00440A37">
        <w:t>-based tax literacy represents an effective community empowerment model that complements existing digital ecosystems while strengthening MSME governance. These outcomes contribute directly to SDG 8 by promoting sustainable economic growth and decent work, and to SDG 17 by strengthening collaborative partnerships between higher education institutions, local communities, and government stakeholders (United Nations, 2024).</w:t>
      </w:r>
    </w:p>
    <w:p w14:paraId="3633685A" w14:textId="0BB8C084" w:rsidR="00750A9B" w:rsidRPr="00440A37" w:rsidRDefault="0063087C" w:rsidP="005458A5">
      <w:pPr>
        <w:pStyle w:val="Heading1"/>
      </w:pPr>
      <w:r w:rsidRPr="00440A37">
        <w:rPr>
          <w:spacing w:val="-2"/>
        </w:rPr>
        <w:t xml:space="preserve">6. </w:t>
      </w:r>
      <w:r w:rsidR="00000000" w:rsidRPr="00440A37">
        <w:rPr>
          <w:spacing w:val="-2"/>
        </w:rPr>
        <w:t>CONCLUSION</w:t>
      </w:r>
    </w:p>
    <w:p w14:paraId="53851349" w14:textId="77777777" w:rsidR="006745A9" w:rsidRPr="00440A37" w:rsidRDefault="006745A9" w:rsidP="00D57705">
      <w:pPr>
        <w:pStyle w:val="BodyText"/>
      </w:pPr>
      <w:r w:rsidRPr="00440A37">
        <w:t xml:space="preserve">This community service program demonstrated that integrating digital financial recording with </w:t>
      </w:r>
      <w:proofErr w:type="spellStart"/>
      <w:r w:rsidRPr="00440A37">
        <w:t>Coretax</w:t>
      </w:r>
      <w:proofErr w:type="spellEnd"/>
      <w:r w:rsidRPr="00440A37">
        <w:t xml:space="preserve">-based </w:t>
      </w:r>
      <w:r w:rsidRPr="00440A37">
        <w:lastRenderedPageBreak/>
        <w:t xml:space="preserve">tax literacy effectively improved tax compliance readiness among MSMEs in </w:t>
      </w:r>
      <w:proofErr w:type="spellStart"/>
      <w:r w:rsidRPr="00440A37">
        <w:t>Penglipuran</w:t>
      </w:r>
      <w:proofErr w:type="spellEnd"/>
      <w:r w:rsidRPr="00440A37">
        <w:t xml:space="preserve"> Tourism Village. Rather than introducing digital payment technology, the program addressed the critical gap between the village's well-established cashless ecosystem and the limited utilization of digital transaction data for financial recording and tax administration. The intervention successfully strengthened MSMEs' capacity to transform digital transactions into structured financial information that supports both business management and tax compliance.</w:t>
      </w:r>
    </w:p>
    <w:p w14:paraId="398E6455" w14:textId="77777777" w:rsidR="00D57705" w:rsidRDefault="00D57705" w:rsidP="00D57705">
      <w:pPr>
        <w:pStyle w:val="BodyText"/>
      </w:pPr>
    </w:p>
    <w:p w14:paraId="3341AD2A" w14:textId="573223A5" w:rsidR="006745A9" w:rsidRPr="00440A37" w:rsidRDefault="006745A9" w:rsidP="00D57705">
      <w:pPr>
        <w:pStyle w:val="BodyText"/>
      </w:pPr>
      <w:r w:rsidRPr="00440A37">
        <w:t xml:space="preserve">The findings showed significant improvements in participants' financial management capabilities, tax awareness, and understanding of </w:t>
      </w:r>
      <w:proofErr w:type="spellStart"/>
      <w:r w:rsidRPr="00440A37">
        <w:t>Coretax</w:t>
      </w:r>
      <w:proofErr w:type="spellEnd"/>
      <w:r w:rsidRPr="00440A37">
        <w:t xml:space="preserve"> following the implementation of the program. MSME owners became more capable of recording business transactions systematically, utilizing QRIS-generated transaction data for bookkeeping, and recognizing the importance of accurate financial records in fulfilling tax obligations. These improvements demonstrate that digital payment infrastructure alone is insufficient to strengthen tax compliance unless it is accompanied by adequate financial literacy, digital bookkeeping skills, and continuous mentoring.</w:t>
      </w:r>
    </w:p>
    <w:p w14:paraId="799CEF55" w14:textId="77777777" w:rsidR="006745A9" w:rsidRDefault="006745A9" w:rsidP="00D57705">
      <w:pPr>
        <w:pStyle w:val="BodyText"/>
      </w:pPr>
      <w:r w:rsidRPr="00440A37">
        <w:t xml:space="preserve">The impacts of this community empowerment program extend beyond improvements in individual business performance. Better financial recording practices enhance business sustainability, improve financial transparency, support evidence-based decision-making, and strengthen MSMEs' readiness to participate in Indonesia's digital tax administration system. At the community level, these outcomes contribute to greater economic resilience in </w:t>
      </w:r>
      <w:proofErr w:type="spellStart"/>
      <w:r w:rsidRPr="00440A37">
        <w:t>Penglipuran</w:t>
      </w:r>
      <w:proofErr w:type="spellEnd"/>
      <w:r w:rsidRPr="00440A37">
        <w:t xml:space="preserve"> Tourism Village while reinforcing the sustainability of its digitally integrated tourism ecosystem.</w:t>
      </w:r>
    </w:p>
    <w:p w14:paraId="2A7330A5" w14:textId="77777777" w:rsidR="00D57705" w:rsidRPr="00440A37" w:rsidRDefault="00D57705" w:rsidP="00D57705">
      <w:pPr>
        <w:pStyle w:val="BodyText"/>
      </w:pPr>
    </w:p>
    <w:p w14:paraId="1496903C" w14:textId="77777777" w:rsidR="006745A9" w:rsidRDefault="006745A9" w:rsidP="00D57705">
      <w:pPr>
        <w:pStyle w:val="BodyText"/>
      </w:pPr>
      <w:r w:rsidRPr="00440A37">
        <w:t xml:space="preserve">This program also produced a practical community empowerment model that integrates four complementary dimensions: an existing digital payment ecosystem, digital financial recording, </w:t>
      </w:r>
      <w:proofErr w:type="spellStart"/>
      <w:r w:rsidRPr="00440A37">
        <w:t>Coretax</w:t>
      </w:r>
      <w:proofErr w:type="spellEnd"/>
      <w:r w:rsidRPr="00440A37">
        <w:t>-based tax literacy, and participatory mentoring. The findings suggest that successful MSME digital transformation requires not only access to digital infrastructure but also the capacity to convert digital transaction data into meaningful financial information that supports business governance and tax compliance. This integrated model may serve as a replicable framework for community empowerment initiatives in other tourism villages and MSME-based communities that have adopted digital payment systems but continue to face challenges in financial management and taxation.</w:t>
      </w:r>
    </w:p>
    <w:p w14:paraId="382DFC3B" w14:textId="77777777" w:rsidR="00D57705" w:rsidRPr="00440A37" w:rsidRDefault="00D57705" w:rsidP="00D57705">
      <w:pPr>
        <w:pStyle w:val="BodyText"/>
      </w:pPr>
    </w:p>
    <w:p w14:paraId="0FDC7E4F" w14:textId="77777777" w:rsidR="006745A9" w:rsidRPr="00440A37" w:rsidRDefault="006745A9" w:rsidP="00D57705">
      <w:pPr>
        <w:pStyle w:val="BodyText"/>
        <w:rPr>
          <w:b/>
          <w:bCs/>
        </w:rPr>
      </w:pPr>
      <w:r w:rsidRPr="00440A37">
        <w:t>For future community service programs, it is recommended to extend the mentoring period, strengthen collaboration with local governments, tax authorities, and financial institutions, and incorporate more advanced digital bookkeeping applications integrated with digital payment platforms. Future initiatives may also evaluate the long-term impact of integrating digital payment ecosystems with financial recording and tax administration across different tourism destinations and MSME sectors. Such efforts will further support the achievement of SDG 8 through sustainable economic growth and decent work, as well as SDG 17 by fostering stronger partnerships among universities, government institutions, and local communities.</w:t>
      </w:r>
    </w:p>
    <w:p w14:paraId="38B31BEF" w14:textId="43985841" w:rsidR="005458A5" w:rsidRPr="00440A37" w:rsidRDefault="00000000" w:rsidP="00440A37">
      <w:pPr>
        <w:pStyle w:val="Heading1"/>
      </w:pPr>
      <w:r w:rsidRPr="00440A37">
        <w:rPr>
          <w:spacing w:val="-2"/>
        </w:rPr>
        <w:t>REFERENCES</w:t>
      </w:r>
    </w:p>
    <w:p w14:paraId="012D7CBA" w14:textId="77777777" w:rsidR="00440A37" w:rsidRPr="00440A37" w:rsidRDefault="00440A37" w:rsidP="005458A5">
      <w:pPr>
        <w:pStyle w:val="ListParagraph"/>
        <w:numPr>
          <w:ilvl w:val="0"/>
          <w:numId w:val="1"/>
        </w:numPr>
        <w:tabs>
          <w:tab w:val="left" w:pos="615"/>
        </w:tabs>
        <w:ind w:right="36"/>
        <w:rPr>
          <w:sz w:val="24"/>
        </w:rPr>
      </w:pPr>
      <w:r w:rsidRPr="00440A37">
        <w:rPr>
          <w:sz w:val="24"/>
        </w:rPr>
        <w:t>Bank for International Settlements (BIS). (2023). Annual Economic Report 2023: Digital Payments and Financial Innovation. https://www.bis.org/publ/arpdf/ar2023e.htm</w:t>
      </w:r>
    </w:p>
    <w:p w14:paraId="491697DA" w14:textId="77777777" w:rsidR="00440A37" w:rsidRPr="00440A37" w:rsidRDefault="00440A37" w:rsidP="005458A5">
      <w:pPr>
        <w:pStyle w:val="ListParagraph"/>
        <w:numPr>
          <w:ilvl w:val="0"/>
          <w:numId w:val="1"/>
        </w:numPr>
        <w:tabs>
          <w:tab w:val="left" w:pos="615"/>
        </w:tabs>
        <w:ind w:right="36"/>
        <w:rPr>
          <w:sz w:val="24"/>
        </w:rPr>
      </w:pPr>
      <w:r w:rsidRPr="00440A37">
        <w:rPr>
          <w:sz w:val="24"/>
        </w:rPr>
        <w:t xml:space="preserve">Bank Indonesia. (2024). Blueprint </w:t>
      </w:r>
      <w:proofErr w:type="spellStart"/>
      <w:r w:rsidRPr="00440A37">
        <w:rPr>
          <w:sz w:val="24"/>
        </w:rPr>
        <w:t>Sistem</w:t>
      </w:r>
      <w:proofErr w:type="spellEnd"/>
      <w:r w:rsidRPr="00440A37">
        <w:rPr>
          <w:sz w:val="24"/>
        </w:rPr>
        <w:t xml:space="preserve"> </w:t>
      </w:r>
      <w:proofErr w:type="spellStart"/>
      <w:r w:rsidRPr="00440A37">
        <w:rPr>
          <w:sz w:val="24"/>
        </w:rPr>
        <w:t>Pembayaran</w:t>
      </w:r>
      <w:proofErr w:type="spellEnd"/>
      <w:r w:rsidRPr="00440A37">
        <w:rPr>
          <w:sz w:val="24"/>
        </w:rPr>
        <w:t xml:space="preserve"> Indonesia (BSPI) 2030. https://www.bi.go.id/id/fungsi-utama/sistem-pembayaran/default.aspx</w:t>
      </w:r>
    </w:p>
    <w:p w14:paraId="02CC6D74" w14:textId="77777777" w:rsidR="00440A37" w:rsidRPr="00440A37" w:rsidRDefault="00440A37" w:rsidP="005458A5">
      <w:pPr>
        <w:pStyle w:val="ListParagraph"/>
        <w:numPr>
          <w:ilvl w:val="0"/>
          <w:numId w:val="1"/>
        </w:numPr>
        <w:tabs>
          <w:tab w:val="left" w:pos="615"/>
        </w:tabs>
        <w:ind w:right="36"/>
        <w:rPr>
          <w:sz w:val="24"/>
        </w:rPr>
      </w:pPr>
      <w:r w:rsidRPr="00440A37">
        <w:rPr>
          <w:sz w:val="24"/>
        </w:rPr>
        <w:t>Creswell, John W., J. W., &amp; Guetterman, Timothy C., T. C. (2021). Educational Research: Planning, Conducting, and Evaluating Quantitative and Qualitative Research (6th ed.). Pearson.</w:t>
      </w:r>
    </w:p>
    <w:p w14:paraId="778F9F41" w14:textId="77777777" w:rsidR="00440A37" w:rsidRPr="00440A37" w:rsidRDefault="00440A37" w:rsidP="005458A5">
      <w:pPr>
        <w:pStyle w:val="ListParagraph"/>
        <w:numPr>
          <w:ilvl w:val="0"/>
          <w:numId w:val="1"/>
        </w:numPr>
        <w:tabs>
          <w:tab w:val="left" w:pos="615"/>
        </w:tabs>
        <w:ind w:right="36"/>
        <w:rPr>
          <w:sz w:val="24"/>
        </w:rPr>
      </w:pPr>
      <w:r w:rsidRPr="00440A37">
        <w:rPr>
          <w:sz w:val="24"/>
        </w:rPr>
        <w:t>Miles, Matthew B., M. B., Huberman, A. Michael, A. M., &amp; Saldaña, Johnny, J. (2020). Qualitative Data Analysis: A Methods Sourcebook (4th ed.). SAGE Publications.</w:t>
      </w:r>
    </w:p>
    <w:p w14:paraId="5BDD6F95" w14:textId="77777777" w:rsidR="00440A37" w:rsidRPr="00440A37" w:rsidRDefault="00440A37" w:rsidP="005458A5">
      <w:pPr>
        <w:pStyle w:val="ListParagraph"/>
        <w:numPr>
          <w:ilvl w:val="0"/>
          <w:numId w:val="1"/>
        </w:numPr>
        <w:tabs>
          <w:tab w:val="left" w:pos="615"/>
        </w:tabs>
        <w:ind w:right="36"/>
        <w:rPr>
          <w:sz w:val="24"/>
        </w:rPr>
      </w:pPr>
      <w:proofErr w:type="spellStart"/>
      <w:r w:rsidRPr="00440A37">
        <w:rPr>
          <w:sz w:val="24"/>
        </w:rPr>
        <w:t>Nuseir</w:t>
      </w:r>
      <w:proofErr w:type="spellEnd"/>
      <w:r w:rsidRPr="00440A37">
        <w:rPr>
          <w:sz w:val="24"/>
        </w:rPr>
        <w:t xml:space="preserve">, Muhammad T., M. T. (2023). The impact of entrepreneurial orientation, knowledge management, and </w:t>
      </w:r>
      <w:proofErr w:type="spellStart"/>
      <w:r w:rsidRPr="00440A37">
        <w:rPr>
          <w:sz w:val="24"/>
        </w:rPr>
        <w:t>digitalisation</w:t>
      </w:r>
      <w:proofErr w:type="spellEnd"/>
      <w:r w:rsidRPr="00440A37">
        <w:rPr>
          <w:sz w:val="24"/>
        </w:rPr>
        <w:t xml:space="preserve"> on </w:t>
      </w:r>
      <w:proofErr w:type="spellStart"/>
      <w:r w:rsidRPr="00440A37">
        <w:rPr>
          <w:sz w:val="24"/>
        </w:rPr>
        <w:t>organisational</w:t>
      </w:r>
      <w:proofErr w:type="spellEnd"/>
      <w:r w:rsidRPr="00440A37">
        <w:rPr>
          <w:sz w:val="24"/>
        </w:rPr>
        <w:t xml:space="preserve"> performance: A perspective from SMEs. Sustainability, 15, Article 4167. https://doi.org/10.3390/su15054167</w:t>
      </w:r>
    </w:p>
    <w:p w14:paraId="590E9858" w14:textId="77777777" w:rsidR="00440A37" w:rsidRPr="00440A37" w:rsidRDefault="00440A37" w:rsidP="005458A5">
      <w:pPr>
        <w:pStyle w:val="ListParagraph"/>
        <w:numPr>
          <w:ilvl w:val="0"/>
          <w:numId w:val="1"/>
        </w:numPr>
        <w:tabs>
          <w:tab w:val="left" w:pos="615"/>
        </w:tabs>
        <w:ind w:right="36"/>
        <w:rPr>
          <w:sz w:val="24"/>
        </w:rPr>
      </w:pPr>
      <w:r w:rsidRPr="00440A37">
        <w:rPr>
          <w:sz w:val="24"/>
        </w:rPr>
        <w:t xml:space="preserve">OECD. (2024). OECD Digital Economy Outlook 2024. </w:t>
      </w:r>
    </w:p>
    <w:p w14:paraId="1FF7536B" w14:textId="77777777" w:rsidR="00440A37" w:rsidRPr="00440A37" w:rsidRDefault="00440A37" w:rsidP="005458A5">
      <w:pPr>
        <w:pStyle w:val="ListParagraph"/>
        <w:numPr>
          <w:ilvl w:val="0"/>
          <w:numId w:val="1"/>
        </w:numPr>
        <w:tabs>
          <w:tab w:val="left" w:pos="615"/>
        </w:tabs>
        <w:ind w:right="36"/>
        <w:rPr>
          <w:sz w:val="24"/>
        </w:rPr>
      </w:pPr>
      <w:r w:rsidRPr="00440A37">
        <w:rPr>
          <w:sz w:val="24"/>
        </w:rPr>
        <w:t xml:space="preserve">OECD. (2024). Tax Administration 2024: Comparative Information on OECD and Other Advanced and Emerging Economies. </w:t>
      </w:r>
    </w:p>
    <w:p w14:paraId="6E47F57A" w14:textId="77777777" w:rsidR="00440A37" w:rsidRPr="00440A37" w:rsidRDefault="00440A37" w:rsidP="005458A5">
      <w:pPr>
        <w:pStyle w:val="ListParagraph"/>
        <w:numPr>
          <w:ilvl w:val="0"/>
          <w:numId w:val="1"/>
        </w:numPr>
        <w:tabs>
          <w:tab w:val="left" w:pos="615"/>
        </w:tabs>
        <w:ind w:right="36"/>
        <w:rPr>
          <w:sz w:val="24"/>
        </w:rPr>
      </w:pPr>
      <w:proofErr w:type="spellStart"/>
      <w:r w:rsidRPr="00440A37">
        <w:rPr>
          <w:sz w:val="24"/>
        </w:rPr>
        <w:t>Okunogbe</w:t>
      </w:r>
      <w:proofErr w:type="spellEnd"/>
      <w:r w:rsidRPr="00440A37">
        <w:rPr>
          <w:sz w:val="24"/>
        </w:rPr>
        <w:t>, O., &amp; Pouliquen, V. (2022). Technology, Taxation, and Tax Compliance. Annual Review of Economics, 14, 745–769. https://doi.org/10.1146/annurev-economics-051520-021303</w:t>
      </w:r>
    </w:p>
    <w:p w14:paraId="59A13FB5" w14:textId="77777777" w:rsidR="00440A37" w:rsidRPr="00440A37" w:rsidRDefault="00440A37" w:rsidP="005458A5">
      <w:pPr>
        <w:pStyle w:val="ListParagraph"/>
        <w:numPr>
          <w:ilvl w:val="0"/>
          <w:numId w:val="1"/>
        </w:numPr>
        <w:tabs>
          <w:tab w:val="left" w:pos="615"/>
        </w:tabs>
        <w:ind w:right="36"/>
        <w:rPr>
          <w:sz w:val="24"/>
        </w:rPr>
      </w:pPr>
      <w:r w:rsidRPr="00440A37">
        <w:rPr>
          <w:sz w:val="24"/>
        </w:rPr>
        <w:t>Soto-Acosta, P. (2023). Digital transformation for SMEs: A systematic review. Technological Forecasting and Social Change.</w:t>
      </w:r>
    </w:p>
    <w:p w14:paraId="1A15DC4C" w14:textId="77777777" w:rsidR="00440A37" w:rsidRPr="00440A37" w:rsidRDefault="00440A37" w:rsidP="005458A5">
      <w:pPr>
        <w:pStyle w:val="ListParagraph"/>
        <w:numPr>
          <w:ilvl w:val="0"/>
          <w:numId w:val="1"/>
        </w:numPr>
        <w:tabs>
          <w:tab w:val="left" w:pos="615"/>
        </w:tabs>
        <w:ind w:right="36"/>
        <w:rPr>
          <w:sz w:val="24"/>
        </w:rPr>
      </w:pPr>
      <w:r w:rsidRPr="00440A37">
        <w:rPr>
          <w:sz w:val="24"/>
        </w:rPr>
        <w:lastRenderedPageBreak/>
        <w:t xml:space="preserve">United Nations Development </w:t>
      </w:r>
      <w:proofErr w:type="spellStart"/>
      <w:r w:rsidRPr="00440A37">
        <w:rPr>
          <w:sz w:val="24"/>
        </w:rPr>
        <w:t>Programme</w:t>
      </w:r>
      <w:proofErr w:type="spellEnd"/>
      <w:r w:rsidRPr="00440A37">
        <w:rPr>
          <w:sz w:val="24"/>
        </w:rPr>
        <w:t xml:space="preserve"> (UNDP). (2023). Human Development Report 2023/2024. https://hdr.undp.org</w:t>
      </w:r>
    </w:p>
    <w:p w14:paraId="53B10568" w14:textId="77777777" w:rsidR="00440A37" w:rsidRPr="00440A37" w:rsidRDefault="00440A37" w:rsidP="005458A5">
      <w:pPr>
        <w:pStyle w:val="ListParagraph"/>
        <w:numPr>
          <w:ilvl w:val="0"/>
          <w:numId w:val="1"/>
        </w:numPr>
        <w:tabs>
          <w:tab w:val="left" w:pos="615"/>
        </w:tabs>
        <w:ind w:right="36"/>
        <w:rPr>
          <w:sz w:val="24"/>
        </w:rPr>
      </w:pPr>
      <w:r w:rsidRPr="00440A37">
        <w:rPr>
          <w:sz w:val="24"/>
        </w:rPr>
        <w:t>United Nations. (2024). The Sustainable Development Goals Report 2024. https://unstats.un.org/sdgs/report/2024/</w:t>
      </w:r>
    </w:p>
    <w:p w14:paraId="492950A8" w14:textId="77777777" w:rsidR="00440A37" w:rsidRPr="00440A37" w:rsidRDefault="00440A37" w:rsidP="00440A37">
      <w:pPr>
        <w:pStyle w:val="ListParagraph"/>
        <w:numPr>
          <w:ilvl w:val="0"/>
          <w:numId w:val="1"/>
        </w:numPr>
        <w:rPr>
          <w:sz w:val="24"/>
        </w:rPr>
      </w:pPr>
      <w:r w:rsidRPr="00440A37">
        <w:rPr>
          <w:sz w:val="24"/>
        </w:rPr>
        <w:t>Verhoef, Peter C., P. C., Broekhuizen, T., Bart, Y., Bhattacharya, A., Dong, J. Q., Fabian, N., &amp; Haenlein, M. (2021). Digital transformation: A multidisciplinary reflection and research agenda. Journal of Business Research, 122, 889–901. https://doi.org/10.1016/j.jbusres.2019.09.022</w:t>
      </w:r>
    </w:p>
    <w:p w14:paraId="510809C2" w14:textId="77777777" w:rsidR="00440A37" w:rsidRPr="00440A37" w:rsidRDefault="00440A37" w:rsidP="00440A37">
      <w:pPr>
        <w:pStyle w:val="ListParagraph"/>
        <w:numPr>
          <w:ilvl w:val="0"/>
          <w:numId w:val="1"/>
        </w:numPr>
        <w:tabs>
          <w:tab w:val="left" w:pos="615"/>
        </w:tabs>
        <w:ind w:right="36"/>
        <w:rPr>
          <w:sz w:val="24"/>
        </w:rPr>
      </w:pPr>
      <w:r w:rsidRPr="00440A37">
        <w:rPr>
          <w:sz w:val="24"/>
        </w:rPr>
        <w:t>Vial, Gregory, G. (2021). Understanding digital transformation: A review and a research agenda. The Journal of Strategic Information Systems, 30(2), 101622. https://doi.org/10.1016/j.jsis.2020.101622</w:t>
      </w:r>
    </w:p>
    <w:p w14:paraId="3C6B3151" w14:textId="77777777" w:rsidR="00440A37" w:rsidRPr="00440A37" w:rsidRDefault="00440A37" w:rsidP="005458A5">
      <w:pPr>
        <w:pStyle w:val="ListParagraph"/>
        <w:numPr>
          <w:ilvl w:val="0"/>
          <w:numId w:val="1"/>
        </w:numPr>
        <w:tabs>
          <w:tab w:val="left" w:pos="615"/>
        </w:tabs>
        <w:ind w:right="36"/>
        <w:rPr>
          <w:sz w:val="24"/>
        </w:rPr>
      </w:pPr>
      <w:r w:rsidRPr="00440A37">
        <w:rPr>
          <w:sz w:val="24"/>
        </w:rPr>
        <w:t>World Bank. (2024). Business Ready (B-READY) Report 2024. https://www.worldbank.org/en/businessready</w:t>
      </w:r>
    </w:p>
    <w:p w14:paraId="774FC218" w14:textId="77777777" w:rsidR="00440A37" w:rsidRPr="00440A37" w:rsidRDefault="00440A37" w:rsidP="00440A37">
      <w:pPr>
        <w:pStyle w:val="ListParagraph"/>
        <w:numPr>
          <w:ilvl w:val="0"/>
          <w:numId w:val="1"/>
        </w:numPr>
        <w:tabs>
          <w:tab w:val="left" w:pos="615"/>
        </w:tabs>
        <w:ind w:right="36"/>
        <w:rPr>
          <w:sz w:val="24"/>
        </w:rPr>
      </w:pPr>
      <w:r w:rsidRPr="00440A37">
        <w:rPr>
          <w:sz w:val="24"/>
        </w:rPr>
        <w:t xml:space="preserve">Yin, Robert K., R. K. (2018). Case Study Research and Applications: Design and Methods (6th ed.). SAGE Publications. </w:t>
      </w:r>
      <w:hyperlink r:id="rId8" w:history="1">
        <w:r w:rsidRPr="00440A37">
          <w:rPr>
            <w:rStyle w:val="Hyperlink"/>
            <w:color w:val="auto"/>
            <w:sz w:val="24"/>
            <w:u w:val="none"/>
          </w:rPr>
          <w:t>https://us.sagepub.com/en-us/nam/case-study-research-and-applications/book250150</w:t>
        </w:r>
      </w:hyperlink>
    </w:p>
    <w:sectPr w:rsidR="00440A37" w:rsidRPr="00440A37">
      <w:headerReference w:type="default" r:id="rId9"/>
      <w:footerReference w:type="default" r:id="rId10"/>
      <w:pgSz w:w="11910" w:h="16840"/>
      <w:pgMar w:top="960" w:right="566" w:bottom="520" w:left="566" w:header="65"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E2E7" w14:textId="77777777" w:rsidR="004E1218" w:rsidRDefault="004E1218">
      <w:r>
        <w:separator/>
      </w:r>
    </w:p>
  </w:endnote>
  <w:endnote w:type="continuationSeparator" w:id="0">
    <w:p w14:paraId="5EFBFE02" w14:textId="77777777" w:rsidR="004E1218" w:rsidRDefault="004E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F33" w14:textId="27A594BE" w:rsidR="00750A9B" w:rsidRDefault="00000000">
    <w:pPr>
      <w:pStyle w:val="BodyText"/>
      <w:spacing w:line="14" w:lineRule="auto"/>
      <w:ind w:left="0"/>
      <w:jc w:val="left"/>
      <w:rPr>
        <w:sz w:val="20"/>
      </w:rPr>
    </w:pPr>
    <w:r>
      <w:rPr>
        <w:noProof/>
        <w:sz w:val="20"/>
      </w:rPr>
      <mc:AlternateContent>
        <mc:Choice Requires="wps">
          <w:drawing>
            <wp:anchor distT="0" distB="0" distL="0" distR="0" simplePos="0" relativeHeight="487403520" behindDoc="1" locked="0" layoutInCell="1" allowOverlap="1" wp14:anchorId="643764A6" wp14:editId="1648155E">
              <wp:simplePos x="0" y="0"/>
              <wp:positionH relativeFrom="page">
                <wp:posOffset>429564</wp:posOffset>
              </wp:positionH>
              <wp:positionV relativeFrom="page">
                <wp:posOffset>10312623</wp:posOffset>
              </wp:positionV>
              <wp:extent cx="535940" cy="1676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940" cy="167640"/>
                      </a:xfrm>
                      <a:prstGeom prst="rect">
                        <a:avLst/>
                      </a:prstGeom>
                    </wps:spPr>
                    <wps:txbx>
                      <w:txbxContent>
                        <w:p w14:paraId="3E9B600B" w14:textId="77777777" w:rsidR="00750A9B" w:rsidRDefault="00000000">
                          <w:pPr>
                            <w:spacing w:before="13"/>
                            <w:ind w:left="2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194</w:t>
                          </w:r>
                          <w:r>
                            <w:rPr>
                              <w:spacing w:val="-5"/>
                              <w:sz w:val="20"/>
                            </w:rPr>
                            <w:fldChar w:fldCharType="end"/>
                          </w:r>
                        </w:p>
                      </w:txbxContent>
                    </wps:txbx>
                    <wps:bodyPr wrap="square" lIns="0" tIns="0" rIns="0" bIns="0" rtlCol="0">
                      <a:noAutofit/>
                    </wps:bodyPr>
                  </wps:wsp>
                </a:graphicData>
              </a:graphic>
            </wp:anchor>
          </w:drawing>
        </mc:Choice>
        <mc:Fallback>
          <w:pict>
            <v:shapetype w14:anchorId="643764A6" id="_x0000_t202" coordsize="21600,21600" o:spt="202" path="m,l,21600r21600,l21600,xe">
              <v:stroke joinstyle="miter"/>
              <v:path gradientshapeok="t" o:connecttype="rect"/>
            </v:shapetype>
            <v:shape id="Textbox 39" o:spid="_x0000_s1026" type="#_x0000_t202" style="position:absolute;margin-left:33.8pt;margin-top:812pt;width:42.2pt;height:13.2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" filled="f" stroked="f">
              <v:textbox inset="0,0,0,0">
                <w:txbxContent>
                  <w:p w14:paraId="3E9B600B" w14:textId="77777777" w:rsidR="00750A9B" w:rsidRDefault="00000000">
                    <w:pPr>
                      <w:spacing w:before="13"/>
                      <w:ind w:left="2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194</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76F1" w14:textId="77777777" w:rsidR="004E1218" w:rsidRDefault="004E1218">
      <w:r>
        <w:separator/>
      </w:r>
    </w:p>
  </w:footnote>
  <w:footnote w:type="continuationSeparator" w:id="0">
    <w:p w14:paraId="20AB7154" w14:textId="77777777" w:rsidR="004E1218" w:rsidRDefault="004E1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0580" w14:textId="1F85DE85" w:rsidR="00750A9B" w:rsidRDefault="00750A9B">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AEA"/>
    <w:multiLevelType w:val="hybridMultilevel"/>
    <w:tmpl w:val="93B64C02"/>
    <w:lvl w:ilvl="0" w:tplc="740C89DA">
      <w:start w:val="1"/>
      <w:numFmt w:val="decimal"/>
      <w:lvlText w:val="%1."/>
      <w:lvlJc w:val="left"/>
      <w:pPr>
        <w:ind w:left="284" w:hanging="245"/>
      </w:pPr>
      <w:rPr>
        <w:rFonts w:ascii="Times New Roman" w:eastAsia="Times New Roman" w:hAnsi="Times New Roman" w:cs="Times New Roman" w:hint="default"/>
        <w:b/>
        <w:bCs/>
        <w:i w:val="0"/>
        <w:iCs w:val="0"/>
        <w:spacing w:val="0"/>
        <w:w w:val="100"/>
        <w:sz w:val="24"/>
        <w:szCs w:val="24"/>
        <w:lang w:val="en-US" w:eastAsia="en-US" w:bidi="ar-SA"/>
      </w:rPr>
    </w:lvl>
    <w:lvl w:ilvl="1" w:tplc="DD884A98">
      <w:start w:val="1"/>
      <w:numFmt w:val="lowerRoman"/>
      <w:lvlText w:val="(%2)"/>
      <w:lvlJc w:val="left"/>
      <w:pPr>
        <w:ind w:left="1119" w:hanging="720"/>
      </w:pPr>
      <w:rPr>
        <w:rFonts w:ascii="Times New Roman" w:eastAsia="Times New Roman" w:hAnsi="Times New Roman" w:cs="Times New Roman" w:hint="default"/>
        <w:b w:val="0"/>
        <w:bCs w:val="0"/>
        <w:i w:val="0"/>
        <w:iCs w:val="0"/>
        <w:spacing w:val="-10"/>
        <w:w w:val="100"/>
        <w:sz w:val="24"/>
        <w:szCs w:val="24"/>
        <w:lang w:val="en-US" w:eastAsia="en-US" w:bidi="ar-SA"/>
      </w:rPr>
    </w:lvl>
    <w:lvl w:ilvl="2" w:tplc="1436DF04">
      <w:numFmt w:val="bullet"/>
      <w:lvlText w:val="•"/>
      <w:lvlJc w:val="left"/>
      <w:pPr>
        <w:ind w:left="2192" w:hanging="720"/>
      </w:pPr>
      <w:rPr>
        <w:rFonts w:hint="default"/>
        <w:lang w:val="en-US" w:eastAsia="en-US" w:bidi="ar-SA"/>
      </w:rPr>
    </w:lvl>
    <w:lvl w:ilvl="3" w:tplc="16809932">
      <w:numFmt w:val="bullet"/>
      <w:lvlText w:val="•"/>
      <w:lvlJc w:val="left"/>
      <w:pPr>
        <w:ind w:left="3265" w:hanging="720"/>
      </w:pPr>
      <w:rPr>
        <w:rFonts w:hint="default"/>
        <w:lang w:val="en-US" w:eastAsia="en-US" w:bidi="ar-SA"/>
      </w:rPr>
    </w:lvl>
    <w:lvl w:ilvl="4" w:tplc="A1C48E54">
      <w:numFmt w:val="bullet"/>
      <w:lvlText w:val="•"/>
      <w:lvlJc w:val="left"/>
      <w:pPr>
        <w:ind w:left="4338" w:hanging="720"/>
      </w:pPr>
      <w:rPr>
        <w:rFonts w:hint="default"/>
        <w:lang w:val="en-US" w:eastAsia="en-US" w:bidi="ar-SA"/>
      </w:rPr>
    </w:lvl>
    <w:lvl w:ilvl="5" w:tplc="9266F1A8">
      <w:numFmt w:val="bullet"/>
      <w:lvlText w:val="•"/>
      <w:lvlJc w:val="left"/>
      <w:pPr>
        <w:ind w:left="5411" w:hanging="720"/>
      </w:pPr>
      <w:rPr>
        <w:rFonts w:hint="default"/>
        <w:lang w:val="en-US" w:eastAsia="en-US" w:bidi="ar-SA"/>
      </w:rPr>
    </w:lvl>
    <w:lvl w:ilvl="6" w:tplc="7286DC62">
      <w:numFmt w:val="bullet"/>
      <w:lvlText w:val="•"/>
      <w:lvlJc w:val="left"/>
      <w:pPr>
        <w:ind w:left="6484" w:hanging="720"/>
      </w:pPr>
      <w:rPr>
        <w:rFonts w:hint="default"/>
        <w:lang w:val="en-US" w:eastAsia="en-US" w:bidi="ar-SA"/>
      </w:rPr>
    </w:lvl>
    <w:lvl w:ilvl="7" w:tplc="30744E22">
      <w:numFmt w:val="bullet"/>
      <w:lvlText w:val="•"/>
      <w:lvlJc w:val="left"/>
      <w:pPr>
        <w:ind w:left="7557" w:hanging="720"/>
      </w:pPr>
      <w:rPr>
        <w:rFonts w:hint="default"/>
        <w:lang w:val="en-US" w:eastAsia="en-US" w:bidi="ar-SA"/>
      </w:rPr>
    </w:lvl>
    <w:lvl w:ilvl="8" w:tplc="07CC8312">
      <w:numFmt w:val="bullet"/>
      <w:lvlText w:val="•"/>
      <w:lvlJc w:val="left"/>
      <w:pPr>
        <w:ind w:left="8630" w:hanging="720"/>
      </w:pPr>
      <w:rPr>
        <w:rFonts w:hint="default"/>
        <w:lang w:val="en-US" w:eastAsia="en-US" w:bidi="ar-SA"/>
      </w:rPr>
    </w:lvl>
  </w:abstractNum>
  <w:abstractNum w:abstractNumId="1" w15:restartNumberingAfterBreak="0">
    <w:nsid w:val="123773CD"/>
    <w:multiLevelType w:val="hybridMultilevel"/>
    <w:tmpl w:val="38C2DCEC"/>
    <w:lvl w:ilvl="0" w:tplc="9D8EEB58">
      <w:start w:val="1"/>
      <w:numFmt w:val="upperRoman"/>
      <w:lvlText w:val="%1."/>
      <w:lvlJc w:val="left"/>
      <w:pPr>
        <w:ind w:left="759" w:hanging="720"/>
      </w:pPr>
      <w:rPr>
        <w:rFonts w:hint="default"/>
      </w:rPr>
    </w:lvl>
    <w:lvl w:ilvl="1" w:tplc="38090019" w:tentative="1">
      <w:start w:val="1"/>
      <w:numFmt w:val="lowerLetter"/>
      <w:lvlText w:val="%2."/>
      <w:lvlJc w:val="left"/>
      <w:pPr>
        <w:ind w:left="1119" w:hanging="360"/>
      </w:pPr>
    </w:lvl>
    <w:lvl w:ilvl="2" w:tplc="3809001B" w:tentative="1">
      <w:start w:val="1"/>
      <w:numFmt w:val="lowerRoman"/>
      <w:lvlText w:val="%3."/>
      <w:lvlJc w:val="right"/>
      <w:pPr>
        <w:ind w:left="1839" w:hanging="180"/>
      </w:pPr>
    </w:lvl>
    <w:lvl w:ilvl="3" w:tplc="3809000F" w:tentative="1">
      <w:start w:val="1"/>
      <w:numFmt w:val="decimal"/>
      <w:lvlText w:val="%4."/>
      <w:lvlJc w:val="left"/>
      <w:pPr>
        <w:ind w:left="2559" w:hanging="360"/>
      </w:pPr>
    </w:lvl>
    <w:lvl w:ilvl="4" w:tplc="38090019" w:tentative="1">
      <w:start w:val="1"/>
      <w:numFmt w:val="lowerLetter"/>
      <w:lvlText w:val="%5."/>
      <w:lvlJc w:val="left"/>
      <w:pPr>
        <w:ind w:left="3279" w:hanging="360"/>
      </w:pPr>
    </w:lvl>
    <w:lvl w:ilvl="5" w:tplc="3809001B" w:tentative="1">
      <w:start w:val="1"/>
      <w:numFmt w:val="lowerRoman"/>
      <w:lvlText w:val="%6."/>
      <w:lvlJc w:val="right"/>
      <w:pPr>
        <w:ind w:left="3999" w:hanging="180"/>
      </w:pPr>
    </w:lvl>
    <w:lvl w:ilvl="6" w:tplc="3809000F" w:tentative="1">
      <w:start w:val="1"/>
      <w:numFmt w:val="decimal"/>
      <w:lvlText w:val="%7."/>
      <w:lvlJc w:val="left"/>
      <w:pPr>
        <w:ind w:left="4719" w:hanging="360"/>
      </w:pPr>
    </w:lvl>
    <w:lvl w:ilvl="7" w:tplc="38090019" w:tentative="1">
      <w:start w:val="1"/>
      <w:numFmt w:val="lowerLetter"/>
      <w:lvlText w:val="%8."/>
      <w:lvlJc w:val="left"/>
      <w:pPr>
        <w:ind w:left="5439" w:hanging="360"/>
      </w:pPr>
    </w:lvl>
    <w:lvl w:ilvl="8" w:tplc="3809001B" w:tentative="1">
      <w:start w:val="1"/>
      <w:numFmt w:val="lowerRoman"/>
      <w:lvlText w:val="%9."/>
      <w:lvlJc w:val="right"/>
      <w:pPr>
        <w:ind w:left="6159" w:hanging="180"/>
      </w:pPr>
    </w:lvl>
  </w:abstractNum>
  <w:abstractNum w:abstractNumId="2" w15:restartNumberingAfterBreak="0">
    <w:nsid w:val="148C68E9"/>
    <w:multiLevelType w:val="hybridMultilevel"/>
    <w:tmpl w:val="061CBDCA"/>
    <w:lvl w:ilvl="0" w:tplc="67D4AA48">
      <w:start w:val="1"/>
      <w:numFmt w:val="decimal"/>
      <w:lvlText w:val="%1."/>
      <w:lvlJc w:val="left"/>
      <w:pPr>
        <w:ind w:left="284" w:hanging="245"/>
      </w:pPr>
      <w:rPr>
        <w:rFonts w:ascii="Times New Roman" w:eastAsia="Times New Roman" w:hAnsi="Times New Roman" w:cs="Times New Roman" w:hint="default"/>
        <w:b/>
        <w:bCs/>
        <w:i w:val="0"/>
        <w:iCs w:val="0"/>
        <w:spacing w:val="0"/>
        <w:w w:val="100"/>
        <w:sz w:val="24"/>
        <w:szCs w:val="24"/>
        <w:lang w:val="en-US" w:eastAsia="en-US" w:bidi="ar-SA"/>
      </w:rPr>
    </w:lvl>
    <w:lvl w:ilvl="1" w:tplc="15DAB5F0">
      <w:numFmt w:val="bullet"/>
      <w:lvlText w:val="•"/>
      <w:lvlJc w:val="left"/>
      <w:pPr>
        <w:ind w:left="1329" w:hanging="245"/>
      </w:pPr>
      <w:rPr>
        <w:rFonts w:hint="default"/>
        <w:lang w:val="en-US" w:eastAsia="en-US" w:bidi="ar-SA"/>
      </w:rPr>
    </w:lvl>
    <w:lvl w:ilvl="2" w:tplc="4886AC9E">
      <w:numFmt w:val="bullet"/>
      <w:lvlText w:val="•"/>
      <w:lvlJc w:val="left"/>
      <w:pPr>
        <w:ind w:left="2379" w:hanging="245"/>
      </w:pPr>
      <w:rPr>
        <w:rFonts w:hint="default"/>
        <w:lang w:val="en-US" w:eastAsia="en-US" w:bidi="ar-SA"/>
      </w:rPr>
    </w:lvl>
    <w:lvl w:ilvl="3" w:tplc="948058B8">
      <w:numFmt w:val="bullet"/>
      <w:lvlText w:val="•"/>
      <w:lvlJc w:val="left"/>
      <w:pPr>
        <w:ind w:left="3429" w:hanging="245"/>
      </w:pPr>
      <w:rPr>
        <w:rFonts w:hint="default"/>
        <w:lang w:val="en-US" w:eastAsia="en-US" w:bidi="ar-SA"/>
      </w:rPr>
    </w:lvl>
    <w:lvl w:ilvl="4" w:tplc="FAB806F6">
      <w:numFmt w:val="bullet"/>
      <w:lvlText w:val="•"/>
      <w:lvlJc w:val="left"/>
      <w:pPr>
        <w:ind w:left="4478" w:hanging="245"/>
      </w:pPr>
      <w:rPr>
        <w:rFonts w:hint="default"/>
        <w:lang w:val="en-US" w:eastAsia="en-US" w:bidi="ar-SA"/>
      </w:rPr>
    </w:lvl>
    <w:lvl w:ilvl="5" w:tplc="6D642C62">
      <w:numFmt w:val="bullet"/>
      <w:lvlText w:val="•"/>
      <w:lvlJc w:val="left"/>
      <w:pPr>
        <w:ind w:left="5528" w:hanging="245"/>
      </w:pPr>
      <w:rPr>
        <w:rFonts w:hint="default"/>
        <w:lang w:val="en-US" w:eastAsia="en-US" w:bidi="ar-SA"/>
      </w:rPr>
    </w:lvl>
    <w:lvl w:ilvl="6" w:tplc="1282516E">
      <w:numFmt w:val="bullet"/>
      <w:lvlText w:val="•"/>
      <w:lvlJc w:val="left"/>
      <w:pPr>
        <w:ind w:left="6578" w:hanging="245"/>
      </w:pPr>
      <w:rPr>
        <w:rFonts w:hint="default"/>
        <w:lang w:val="en-US" w:eastAsia="en-US" w:bidi="ar-SA"/>
      </w:rPr>
    </w:lvl>
    <w:lvl w:ilvl="7" w:tplc="37D65CE8">
      <w:numFmt w:val="bullet"/>
      <w:lvlText w:val="•"/>
      <w:lvlJc w:val="left"/>
      <w:pPr>
        <w:ind w:left="7627" w:hanging="245"/>
      </w:pPr>
      <w:rPr>
        <w:rFonts w:hint="default"/>
        <w:lang w:val="en-US" w:eastAsia="en-US" w:bidi="ar-SA"/>
      </w:rPr>
    </w:lvl>
    <w:lvl w:ilvl="8" w:tplc="BE3E00AE">
      <w:numFmt w:val="bullet"/>
      <w:lvlText w:val="•"/>
      <w:lvlJc w:val="left"/>
      <w:pPr>
        <w:ind w:left="8677" w:hanging="245"/>
      </w:pPr>
      <w:rPr>
        <w:rFonts w:hint="default"/>
        <w:lang w:val="en-US" w:eastAsia="en-US" w:bidi="ar-SA"/>
      </w:rPr>
    </w:lvl>
  </w:abstractNum>
  <w:abstractNum w:abstractNumId="3" w15:restartNumberingAfterBreak="0">
    <w:nsid w:val="151460BD"/>
    <w:multiLevelType w:val="hybridMultilevel"/>
    <w:tmpl w:val="DEA4C2F2"/>
    <w:lvl w:ilvl="0" w:tplc="5C5E16D4">
      <w:start w:val="1"/>
      <w:numFmt w:val="decimal"/>
      <w:lvlText w:val="%1."/>
      <w:lvlJc w:val="left"/>
      <w:pPr>
        <w:ind w:left="61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B8A6DA6">
      <w:numFmt w:val="bullet"/>
      <w:lvlText w:val="•"/>
      <w:lvlJc w:val="left"/>
      <w:pPr>
        <w:ind w:left="1635" w:hanging="360"/>
      </w:pPr>
      <w:rPr>
        <w:rFonts w:hint="default"/>
        <w:lang w:val="en-US" w:eastAsia="en-US" w:bidi="ar-SA"/>
      </w:rPr>
    </w:lvl>
    <w:lvl w:ilvl="2" w:tplc="F11A1578">
      <w:numFmt w:val="bullet"/>
      <w:lvlText w:val="•"/>
      <w:lvlJc w:val="left"/>
      <w:pPr>
        <w:ind w:left="2651" w:hanging="360"/>
      </w:pPr>
      <w:rPr>
        <w:rFonts w:hint="default"/>
        <w:lang w:val="en-US" w:eastAsia="en-US" w:bidi="ar-SA"/>
      </w:rPr>
    </w:lvl>
    <w:lvl w:ilvl="3" w:tplc="E740012E">
      <w:numFmt w:val="bullet"/>
      <w:lvlText w:val="•"/>
      <w:lvlJc w:val="left"/>
      <w:pPr>
        <w:ind w:left="3667" w:hanging="360"/>
      </w:pPr>
      <w:rPr>
        <w:rFonts w:hint="default"/>
        <w:lang w:val="en-US" w:eastAsia="en-US" w:bidi="ar-SA"/>
      </w:rPr>
    </w:lvl>
    <w:lvl w:ilvl="4" w:tplc="9506A512">
      <w:numFmt w:val="bullet"/>
      <w:lvlText w:val="•"/>
      <w:lvlJc w:val="left"/>
      <w:pPr>
        <w:ind w:left="4682" w:hanging="360"/>
      </w:pPr>
      <w:rPr>
        <w:rFonts w:hint="default"/>
        <w:lang w:val="en-US" w:eastAsia="en-US" w:bidi="ar-SA"/>
      </w:rPr>
    </w:lvl>
    <w:lvl w:ilvl="5" w:tplc="159AF1A4">
      <w:numFmt w:val="bullet"/>
      <w:lvlText w:val="•"/>
      <w:lvlJc w:val="left"/>
      <w:pPr>
        <w:ind w:left="5698" w:hanging="360"/>
      </w:pPr>
      <w:rPr>
        <w:rFonts w:hint="default"/>
        <w:lang w:val="en-US" w:eastAsia="en-US" w:bidi="ar-SA"/>
      </w:rPr>
    </w:lvl>
    <w:lvl w:ilvl="6" w:tplc="A92EBAA4">
      <w:numFmt w:val="bullet"/>
      <w:lvlText w:val="•"/>
      <w:lvlJc w:val="left"/>
      <w:pPr>
        <w:ind w:left="6714" w:hanging="360"/>
      </w:pPr>
      <w:rPr>
        <w:rFonts w:hint="default"/>
        <w:lang w:val="en-US" w:eastAsia="en-US" w:bidi="ar-SA"/>
      </w:rPr>
    </w:lvl>
    <w:lvl w:ilvl="7" w:tplc="B43281E4">
      <w:numFmt w:val="bullet"/>
      <w:lvlText w:val="•"/>
      <w:lvlJc w:val="left"/>
      <w:pPr>
        <w:ind w:left="7729" w:hanging="360"/>
      </w:pPr>
      <w:rPr>
        <w:rFonts w:hint="default"/>
        <w:lang w:val="en-US" w:eastAsia="en-US" w:bidi="ar-SA"/>
      </w:rPr>
    </w:lvl>
    <w:lvl w:ilvl="8" w:tplc="7DF81344">
      <w:numFmt w:val="bullet"/>
      <w:lvlText w:val="•"/>
      <w:lvlJc w:val="left"/>
      <w:pPr>
        <w:ind w:left="8745" w:hanging="360"/>
      </w:pPr>
      <w:rPr>
        <w:rFonts w:hint="default"/>
        <w:lang w:val="en-US" w:eastAsia="en-US" w:bidi="ar-SA"/>
      </w:rPr>
    </w:lvl>
  </w:abstractNum>
  <w:abstractNum w:abstractNumId="4" w15:restartNumberingAfterBreak="0">
    <w:nsid w:val="30BF416A"/>
    <w:multiLevelType w:val="hybridMultilevel"/>
    <w:tmpl w:val="8B0A817C"/>
    <w:lvl w:ilvl="0" w:tplc="FF949440">
      <w:start w:val="1"/>
      <w:numFmt w:val="decimal"/>
      <w:lvlText w:val="%1."/>
      <w:lvlJc w:val="left"/>
      <w:pPr>
        <w:ind w:left="284" w:hanging="245"/>
      </w:pPr>
      <w:rPr>
        <w:rFonts w:ascii="Times New Roman" w:eastAsia="Times New Roman" w:hAnsi="Times New Roman" w:cs="Times New Roman" w:hint="default"/>
        <w:b/>
        <w:bCs/>
        <w:i w:val="0"/>
        <w:iCs w:val="0"/>
        <w:spacing w:val="0"/>
        <w:w w:val="100"/>
        <w:sz w:val="24"/>
        <w:szCs w:val="24"/>
        <w:lang w:val="en-US" w:eastAsia="en-US" w:bidi="ar-SA"/>
      </w:rPr>
    </w:lvl>
    <w:lvl w:ilvl="1" w:tplc="F684B264">
      <w:numFmt w:val="bullet"/>
      <w:lvlText w:val="•"/>
      <w:lvlJc w:val="left"/>
      <w:pPr>
        <w:ind w:left="1329" w:hanging="245"/>
      </w:pPr>
      <w:rPr>
        <w:rFonts w:hint="default"/>
        <w:lang w:val="en-US" w:eastAsia="en-US" w:bidi="ar-SA"/>
      </w:rPr>
    </w:lvl>
    <w:lvl w:ilvl="2" w:tplc="16869238">
      <w:numFmt w:val="bullet"/>
      <w:lvlText w:val="•"/>
      <w:lvlJc w:val="left"/>
      <w:pPr>
        <w:ind w:left="2379" w:hanging="245"/>
      </w:pPr>
      <w:rPr>
        <w:rFonts w:hint="default"/>
        <w:lang w:val="en-US" w:eastAsia="en-US" w:bidi="ar-SA"/>
      </w:rPr>
    </w:lvl>
    <w:lvl w:ilvl="3" w:tplc="EE0E4998">
      <w:numFmt w:val="bullet"/>
      <w:lvlText w:val="•"/>
      <w:lvlJc w:val="left"/>
      <w:pPr>
        <w:ind w:left="3429" w:hanging="245"/>
      </w:pPr>
      <w:rPr>
        <w:rFonts w:hint="default"/>
        <w:lang w:val="en-US" w:eastAsia="en-US" w:bidi="ar-SA"/>
      </w:rPr>
    </w:lvl>
    <w:lvl w:ilvl="4" w:tplc="AD00775C">
      <w:numFmt w:val="bullet"/>
      <w:lvlText w:val="•"/>
      <w:lvlJc w:val="left"/>
      <w:pPr>
        <w:ind w:left="4478" w:hanging="245"/>
      </w:pPr>
      <w:rPr>
        <w:rFonts w:hint="default"/>
        <w:lang w:val="en-US" w:eastAsia="en-US" w:bidi="ar-SA"/>
      </w:rPr>
    </w:lvl>
    <w:lvl w:ilvl="5" w:tplc="9322F5A8">
      <w:numFmt w:val="bullet"/>
      <w:lvlText w:val="•"/>
      <w:lvlJc w:val="left"/>
      <w:pPr>
        <w:ind w:left="5528" w:hanging="245"/>
      </w:pPr>
      <w:rPr>
        <w:rFonts w:hint="default"/>
        <w:lang w:val="en-US" w:eastAsia="en-US" w:bidi="ar-SA"/>
      </w:rPr>
    </w:lvl>
    <w:lvl w:ilvl="6" w:tplc="E4FA0F9A">
      <w:numFmt w:val="bullet"/>
      <w:lvlText w:val="•"/>
      <w:lvlJc w:val="left"/>
      <w:pPr>
        <w:ind w:left="6578" w:hanging="245"/>
      </w:pPr>
      <w:rPr>
        <w:rFonts w:hint="default"/>
        <w:lang w:val="en-US" w:eastAsia="en-US" w:bidi="ar-SA"/>
      </w:rPr>
    </w:lvl>
    <w:lvl w:ilvl="7" w:tplc="F98C1156">
      <w:numFmt w:val="bullet"/>
      <w:lvlText w:val="•"/>
      <w:lvlJc w:val="left"/>
      <w:pPr>
        <w:ind w:left="7627" w:hanging="245"/>
      </w:pPr>
      <w:rPr>
        <w:rFonts w:hint="default"/>
        <w:lang w:val="en-US" w:eastAsia="en-US" w:bidi="ar-SA"/>
      </w:rPr>
    </w:lvl>
    <w:lvl w:ilvl="8" w:tplc="73945C0E">
      <w:numFmt w:val="bullet"/>
      <w:lvlText w:val="•"/>
      <w:lvlJc w:val="left"/>
      <w:pPr>
        <w:ind w:left="8677" w:hanging="245"/>
      </w:pPr>
      <w:rPr>
        <w:rFonts w:hint="default"/>
        <w:lang w:val="en-US" w:eastAsia="en-US" w:bidi="ar-SA"/>
      </w:rPr>
    </w:lvl>
  </w:abstractNum>
  <w:abstractNum w:abstractNumId="5" w15:restartNumberingAfterBreak="0">
    <w:nsid w:val="77606773"/>
    <w:multiLevelType w:val="hybridMultilevel"/>
    <w:tmpl w:val="0BDC4294"/>
    <w:lvl w:ilvl="0" w:tplc="9E023CDA">
      <w:start w:val="1"/>
      <w:numFmt w:val="decimal"/>
      <w:lvlText w:val="%1."/>
      <w:lvlJc w:val="left"/>
      <w:pPr>
        <w:ind w:left="399" w:hanging="360"/>
      </w:pPr>
      <w:rPr>
        <w:rFonts w:hint="default"/>
      </w:rPr>
    </w:lvl>
    <w:lvl w:ilvl="1" w:tplc="38090019" w:tentative="1">
      <w:start w:val="1"/>
      <w:numFmt w:val="lowerLetter"/>
      <w:lvlText w:val="%2."/>
      <w:lvlJc w:val="left"/>
      <w:pPr>
        <w:ind w:left="1119" w:hanging="360"/>
      </w:pPr>
    </w:lvl>
    <w:lvl w:ilvl="2" w:tplc="3809001B" w:tentative="1">
      <w:start w:val="1"/>
      <w:numFmt w:val="lowerRoman"/>
      <w:lvlText w:val="%3."/>
      <w:lvlJc w:val="right"/>
      <w:pPr>
        <w:ind w:left="1839" w:hanging="180"/>
      </w:pPr>
    </w:lvl>
    <w:lvl w:ilvl="3" w:tplc="3809000F" w:tentative="1">
      <w:start w:val="1"/>
      <w:numFmt w:val="decimal"/>
      <w:lvlText w:val="%4."/>
      <w:lvlJc w:val="left"/>
      <w:pPr>
        <w:ind w:left="2559" w:hanging="360"/>
      </w:pPr>
    </w:lvl>
    <w:lvl w:ilvl="4" w:tplc="38090019" w:tentative="1">
      <w:start w:val="1"/>
      <w:numFmt w:val="lowerLetter"/>
      <w:lvlText w:val="%5."/>
      <w:lvlJc w:val="left"/>
      <w:pPr>
        <w:ind w:left="3279" w:hanging="360"/>
      </w:pPr>
    </w:lvl>
    <w:lvl w:ilvl="5" w:tplc="3809001B" w:tentative="1">
      <w:start w:val="1"/>
      <w:numFmt w:val="lowerRoman"/>
      <w:lvlText w:val="%6."/>
      <w:lvlJc w:val="right"/>
      <w:pPr>
        <w:ind w:left="3999" w:hanging="180"/>
      </w:pPr>
    </w:lvl>
    <w:lvl w:ilvl="6" w:tplc="3809000F" w:tentative="1">
      <w:start w:val="1"/>
      <w:numFmt w:val="decimal"/>
      <w:lvlText w:val="%7."/>
      <w:lvlJc w:val="left"/>
      <w:pPr>
        <w:ind w:left="4719" w:hanging="360"/>
      </w:pPr>
    </w:lvl>
    <w:lvl w:ilvl="7" w:tplc="38090019" w:tentative="1">
      <w:start w:val="1"/>
      <w:numFmt w:val="lowerLetter"/>
      <w:lvlText w:val="%8."/>
      <w:lvlJc w:val="left"/>
      <w:pPr>
        <w:ind w:left="5439" w:hanging="360"/>
      </w:pPr>
    </w:lvl>
    <w:lvl w:ilvl="8" w:tplc="3809001B" w:tentative="1">
      <w:start w:val="1"/>
      <w:numFmt w:val="lowerRoman"/>
      <w:lvlText w:val="%9."/>
      <w:lvlJc w:val="right"/>
      <w:pPr>
        <w:ind w:left="6159" w:hanging="180"/>
      </w:pPr>
    </w:lvl>
  </w:abstractNum>
  <w:abstractNum w:abstractNumId="6" w15:restartNumberingAfterBreak="0">
    <w:nsid w:val="7D5F0033"/>
    <w:multiLevelType w:val="hybridMultilevel"/>
    <w:tmpl w:val="A04E5110"/>
    <w:lvl w:ilvl="0" w:tplc="5862415C">
      <w:start w:val="2"/>
      <w:numFmt w:val="lowerRoman"/>
      <w:lvlText w:val="(%1)"/>
      <w:lvlJc w:val="left"/>
      <w:pPr>
        <w:ind w:left="393" w:hanging="355"/>
      </w:pPr>
      <w:rPr>
        <w:rFonts w:ascii="Times New Roman" w:eastAsia="Times New Roman" w:hAnsi="Times New Roman" w:cs="Times New Roman" w:hint="default"/>
        <w:b w:val="0"/>
        <w:bCs w:val="0"/>
        <w:i w:val="0"/>
        <w:iCs w:val="0"/>
        <w:spacing w:val="-10"/>
        <w:w w:val="100"/>
        <w:sz w:val="24"/>
        <w:szCs w:val="24"/>
        <w:lang w:val="en-US" w:eastAsia="en-US" w:bidi="ar-SA"/>
      </w:rPr>
    </w:lvl>
    <w:lvl w:ilvl="1" w:tplc="D9A2B6F8">
      <w:numFmt w:val="bullet"/>
      <w:lvlText w:val="•"/>
      <w:lvlJc w:val="left"/>
      <w:pPr>
        <w:ind w:left="1437" w:hanging="355"/>
      </w:pPr>
      <w:rPr>
        <w:rFonts w:hint="default"/>
        <w:lang w:val="en-US" w:eastAsia="en-US" w:bidi="ar-SA"/>
      </w:rPr>
    </w:lvl>
    <w:lvl w:ilvl="2" w:tplc="F9525C64">
      <w:numFmt w:val="bullet"/>
      <w:lvlText w:val="•"/>
      <w:lvlJc w:val="left"/>
      <w:pPr>
        <w:ind w:left="2475" w:hanging="355"/>
      </w:pPr>
      <w:rPr>
        <w:rFonts w:hint="default"/>
        <w:lang w:val="en-US" w:eastAsia="en-US" w:bidi="ar-SA"/>
      </w:rPr>
    </w:lvl>
    <w:lvl w:ilvl="3" w:tplc="F2AEC1C8">
      <w:numFmt w:val="bullet"/>
      <w:lvlText w:val="•"/>
      <w:lvlJc w:val="left"/>
      <w:pPr>
        <w:ind w:left="3513" w:hanging="355"/>
      </w:pPr>
      <w:rPr>
        <w:rFonts w:hint="default"/>
        <w:lang w:val="en-US" w:eastAsia="en-US" w:bidi="ar-SA"/>
      </w:rPr>
    </w:lvl>
    <w:lvl w:ilvl="4" w:tplc="AD866046">
      <w:numFmt w:val="bullet"/>
      <w:lvlText w:val="•"/>
      <w:lvlJc w:val="left"/>
      <w:pPr>
        <w:ind w:left="4550" w:hanging="355"/>
      </w:pPr>
      <w:rPr>
        <w:rFonts w:hint="default"/>
        <w:lang w:val="en-US" w:eastAsia="en-US" w:bidi="ar-SA"/>
      </w:rPr>
    </w:lvl>
    <w:lvl w:ilvl="5" w:tplc="C5223E9A">
      <w:numFmt w:val="bullet"/>
      <w:lvlText w:val="•"/>
      <w:lvlJc w:val="left"/>
      <w:pPr>
        <w:ind w:left="5588" w:hanging="355"/>
      </w:pPr>
      <w:rPr>
        <w:rFonts w:hint="default"/>
        <w:lang w:val="en-US" w:eastAsia="en-US" w:bidi="ar-SA"/>
      </w:rPr>
    </w:lvl>
    <w:lvl w:ilvl="6" w:tplc="ED0EB02A">
      <w:numFmt w:val="bullet"/>
      <w:lvlText w:val="•"/>
      <w:lvlJc w:val="left"/>
      <w:pPr>
        <w:ind w:left="6626" w:hanging="355"/>
      </w:pPr>
      <w:rPr>
        <w:rFonts w:hint="default"/>
        <w:lang w:val="en-US" w:eastAsia="en-US" w:bidi="ar-SA"/>
      </w:rPr>
    </w:lvl>
    <w:lvl w:ilvl="7" w:tplc="DAB029C8">
      <w:numFmt w:val="bullet"/>
      <w:lvlText w:val="•"/>
      <w:lvlJc w:val="left"/>
      <w:pPr>
        <w:ind w:left="7663" w:hanging="355"/>
      </w:pPr>
      <w:rPr>
        <w:rFonts w:hint="default"/>
        <w:lang w:val="en-US" w:eastAsia="en-US" w:bidi="ar-SA"/>
      </w:rPr>
    </w:lvl>
    <w:lvl w:ilvl="8" w:tplc="63F07190">
      <w:numFmt w:val="bullet"/>
      <w:lvlText w:val="•"/>
      <w:lvlJc w:val="left"/>
      <w:pPr>
        <w:ind w:left="8701" w:hanging="355"/>
      </w:pPr>
      <w:rPr>
        <w:rFonts w:hint="default"/>
        <w:lang w:val="en-US" w:eastAsia="en-US" w:bidi="ar-SA"/>
      </w:rPr>
    </w:lvl>
  </w:abstractNum>
  <w:abstractNum w:abstractNumId="7" w15:restartNumberingAfterBreak="0">
    <w:nsid w:val="7FE11DAB"/>
    <w:multiLevelType w:val="hybridMultilevel"/>
    <w:tmpl w:val="B92682DC"/>
    <w:lvl w:ilvl="0" w:tplc="B6C65E30">
      <w:start w:val="1"/>
      <w:numFmt w:val="decimal"/>
      <w:lvlText w:val="%1."/>
      <w:lvlJc w:val="left"/>
      <w:pPr>
        <w:ind w:left="284" w:hanging="245"/>
      </w:pPr>
      <w:rPr>
        <w:rFonts w:ascii="Times New Roman" w:eastAsia="Times New Roman" w:hAnsi="Times New Roman" w:cs="Times New Roman" w:hint="default"/>
        <w:b/>
        <w:bCs/>
        <w:i w:val="0"/>
        <w:iCs w:val="0"/>
        <w:spacing w:val="0"/>
        <w:w w:val="100"/>
        <w:sz w:val="24"/>
        <w:szCs w:val="24"/>
        <w:lang w:val="en-US" w:eastAsia="en-US" w:bidi="ar-SA"/>
      </w:rPr>
    </w:lvl>
    <w:lvl w:ilvl="1" w:tplc="EA820F74">
      <w:numFmt w:val="bullet"/>
      <w:lvlText w:val="•"/>
      <w:lvlJc w:val="left"/>
      <w:pPr>
        <w:ind w:left="1329" w:hanging="245"/>
      </w:pPr>
      <w:rPr>
        <w:rFonts w:hint="default"/>
        <w:lang w:val="en-US" w:eastAsia="en-US" w:bidi="ar-SA"/>
      </w:rPr>
    </w:lvl>
    <w:lvl w:ilvl="2" w:tplc="40A68474">
      <w:numFmt w:val="bullet"/>
      <w:lvlText w:val="•"/>
      <w:lvlJc w:val="left"/>
      <w:pPr>
        <w:ind w:left="2379" w:hanging="245"/>
      </w:pPr>
      <w:rPr>
        <w:rFonts w:hint="default"/>
        <w:lang w:val="en-US" w:eastAsia="en-US" w:bidi="ar-SA"/>
      </w:rPr>
    </w:lvl>
    <w:lvl w:ilvl="3" w:tplc="BFDE2F12">
      <w:numFmt w:val="bullet"/>
      <w:lvlText w:val="•"/>
      <w:lvlJc w:val="left"/>
      <w:pPr>
        <w:ind w:left="3429" w:hanging="245"/>
      </w:pPr>
      <w:rPr>
        <w:rFonts w:hint="default"/>
        <w:lang w:val="en-US" w:eastAsia="en-US" w:bidi="ar-SA"/>
      </w:rPr>
    </w:lvl>
    <w:lvl w:ilvl="4" w:tplc="545A8BB6">
      <w:numFmt w:val="bullet"/>
      <w:lvlText w:val="•"/>
      <w:lvlJc w:val="left"/>
      <w:pPr>
        <w:ind w:left="4478" w:hanging="245"/>
      </w:pPr>
      <w:rPr>
        <w:rFonts w:hint="default"/>
        <w:lang w:val="en-US" w:eastAsia="en-US" w:bidi="ar-SA"/>
      </w:rPr>
    </w:lvl>
    <w:lvl w:ilvl="5" w:tplc="70447798">
      <w:numFmt w:val="bullet"/>
      <w:lvlText w:val="•"/>
      <w:lvlJc w:val="left"/>
      <w:pPr>
        <w:ind w:left="5528" w:hanging="245"/>
      </w:pPr>
      <w:rPr>
        <w:rFonts w:hint="default"/>
        <w:lang w:val="en-US" w:eastAsia="en-US" w:bidi="ar-SA"/>
      </w:rPr>
    </w:lvl>
    <w:lvl w:ilvl="6" w:tplc="778222D4">
      <w:numFmt w:val="bullet"/>
      <w:lvlText w:val="•"/>
      <w:lvlJc w:val="left"/>
      <w:pPr>
        <w:ind w:left="6578" w:hanging="245"/>
      </w:pPr>
      <w:rPr>
        <w:rFonts w:hint="default"/>
        <w:lang w:val="en-US" w:eastAsia="en-US" w:bidi="ar-SA"/>
      </w:rPr>
    </w:lvl>
    <w:lvl w:ilvl="7" w:tplc="7E4A4DEC">
      <w:numFmt w:val="bullet"/>
      <w:lvlText w:val="•"/>
      <w:lvlJc w:val="left"/>
      <w:pPr>
        <w:ind w:left="7627" w:hanging="245"/>
      </w:pPr>
      <w:rPr>
        <w:rFonts w:hint="default"/>
        <w:lang w:val="en-US" w:eastAsia="en-US" w:bidi="ar-SA"/>
      </w:rPr>
    </w:lvl>
    <w:lvl w:ilvl="8" w:tplc="DCBEFD70">
      <w:numFmt w:val="bullet"/>
      <w:lvlText w:val="•"/>
      <w:lvlJc w:val="left"/>
      <w:pPr>
        <w:ind w:left="8677" w:hanging="245"/>
      </w:pPr>
      <w:rPr>
        <w:rFonts w:hint="default"/>
        <w:lang w:val="en-US" w:eastAsia="en-US" w:bidi="ar-SA"/>
      </w:rPr>
    </w:lvl>
  </w:abstractNum>
  <w:num w:numId="1" w16cid:durableId="711340858">
    <w:abstractNumId w:val="3"/>
  </w:num>
  <w:num w:numId="2" w16cid:durableId="1738431930">
    <w:abstractNumId w:val="7"/>
  </w:num>
  <w:num w:numId="3" w16cid:durableId="278534917">
    <w:abstractNumId w:val="6"/>
  </w:num>
  <w:num w:numId="4" w16cid:durableId="869301703">
    <w:abstractNumId w:val="2"/>
  </w:num>
  <w:num w:numId="5" w16cid:durableId="1785806095">
    <w:abstractNumId w:val="0"/>
  </w:num>
  <w:num w:numId="6" w16cid:durableId="1530339259">
    <w:abstractNumId w:val="4"/>
  </w:num>
  <w:num w:numId="7" w16cid:durableId="1530752843">
    <w:abstractNumId w:val="1"/>
  </w:num>
  <w:num w:numId="8" w16cid:durableId="971249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A9B"/>
    <w:rsid w:val="00047BB1"/>
    <w:rsid w:val="00081CCE"/>
    <w:rsid w:val="00155E3D"/>
    <w:rsid w:val="00245658"/>
    <w:rsid w:val="002C194C"/>
    <w:rsid w:val="003C4DB5"/>
    <w:rsid w:val="00431D55"/>
    <w:rsid w:val="00440A37"/>
    <w:rsid w:val="004E1218"/>
    <w:rsid w:val="005458A5"/>
    <w:rsid w:val="00550061"/>
    <w:rsid w:val="0063087C"/>
    <w:rsid w:val="006745A9"/>
    <w:rsid w:val="006A2C96"/>
    <w:rsid w:val="00750A9B"/>
    <w:rsid w:val="008F2110"/>
    <w:rsid w:val="008F2BAE"/>
    <w:rsid w:val="00960D79"/>
    <w:rsid w:val="009A5286"/>
    <w:rsid w:val="009C5E43"/>
    <w:rsid w:val="00A84937"/>
    <w:rsid w:val="00BE105E"/>
    <w:rsid w:val="00C327D2"/>
    <w:rsid w:val="00D57705"/>
    <w:rsid w:val="00D75EFB"/>
    <w:rsid w:val="00D81034"/>
    <w:rsid w:val="00EF776F"/>
    <w:rsid w:val="00F9153B"/>
    <w:rsid w:val="00FA6EB3"/>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9DBD2"/>
  <w15:docId w15:val="{465821FA-CFD2-43B9-A68A-5EA2E2D2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6"/>
      <w:ind w:left="39"/>
      <w:outlineLvl w:val="0"/>
    </w:pPr>
    <w:rPr>
      <w:b/>
      <w:bCs/>
      <w:sz w:val="28"/>
      <w:szCs w:val="28"/>
    </w:rPr>
  </w:style>
  <w:style w:type="paragraph" w:styleId="Heading2">
    <w:name w:val="heading 2"/>
    <w:basedOn w:val="Normal"/>
    <w:uiPriority w:val="9"/>
    <w:unhideWhenUsed/>
    <w:qFormat/>
    <w:pPr>
      <w:spacing w:before="243"/>
      <w:ind w:left="3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
      <w:jc w:val="both"/>
    </w:pPr>
    <w:rPr>
      <w:sz w:val="24"/>
      <w:szCs w:val="24"/>
    </w:rPr>
  </w:style>
  <w:style w:type="paragraph" w:styleId="Title">
    <w:name w:val="Title"/>
    <w:basedOn w:val="Normal"/>
    <w:uiPriority w:val="10"/>
    <w:qFormat/>
    <w:pPr>
      <w:spacing w:before="96"/>
      <w:ind w:left="18"/>
      <w:jc w:val="center"/>
    </w:pPr>
    <w:rPr>
      <w:b/>
      <w:bCs/>
      <w:sz w:val="36"/>
      <w:szCs w:val="36"/>
    </w:rPr>
  </w:style>
  <w:style w:type="paragraph" w:styleId="ListParagraph">
    <w:name w:val="List Paragraph"/>
    <w:basedOn w:val="Normal"/>
    <w:uiPriority w:val="1"/>
    <w:qFormat/>
    <w:pPr>
      <w:ind w:left="61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4DB5"/>
    <w:pPr>
      <w:tabs>
        <w:tab w:val="center" w:pos="4513"/>
        <w:tab w:val="right" w:pos="9026"/>
      </w:tabs>
    </w:pPr>
  </w:style>
  <w:style w:type="character" w:customStyle="1" w:styleId="HeaderChar">
    <w:name w:val="Header Char"/>
    <w:basedOn w:val="DefaultParagraphFont"/>
    <w:link w:val="Header"/>
    <w:uiPriority w:val="99"/>
    <w:rsid w:val="003C4DB5"/>
    <w:rPr>
      <w:rFonts w:ascii="Times New Roman" w:eastAsia="Times New Roman" w:hAnsi="Times New Roman" w:cs="Times New Roman"/>
    </w:rPr>
  </w:style>
  <w:style w:type="paragraph" w:styleId="Footer">
    <w:name w:val="footer"/>
    <w:basedOn w:val="Normal"/>
    <w:link w:val="FooterChar"/>
    <w:uiPriority w:val="99"/>
    <w:unhideWhenUsed/>
    <w:rsid w:val="003C4DB5"/>
    <w:pPr>
      <w:tabs>
        <w:tab w:val="center" w:pos="4513"/>
        <w:tab w:val="right" w:pos="9026"/>
      </w:tabs>
    </w:pPr>
  </w:style>
  <w:style w:type="character" w:customStyle="1" w:styleId="FooterChar">
    <w:name w:val="Footer Char"/>
    <w:basedOn w:val="DefaultParagraphFont"/>
    <w:link w:val="Footer"/>
    <w:uiPriority w:val="99"/>
    <w:rsid w:val="003C4DB5"/>
    <w:rPr>
      <w:rFonts w:ascii="Times New Roman" w:eastAsia="Times New Roman" w:hAnsi="Times New Roman" w:cs="Times New Roman"/>
    </w:rPr>
  </w:style>
  <w:style w:type="character" w:styleId="Hyperlink">
    <w:name w:val="Hyperlink"/>
    <w:basedOn w:val="DefaultParagraphFont"/>
    <w:uiPriority w:val="99"/>
    <w:unhideWhenUsed/>
    <w:rsid w:val="00440A37"/>
    <w:rPr>
      <w:color w:val="0000FF" w:themeColor="hyperlink"/>
      <w:u w:val="single"/>
    </w:rPr>
  </w:style>
  <w:style w:type="character" w:styleId="UnresolvedMention">
    <w:name w:val="Unresolved Mention"/>
    <w:basedOn w:val="DefaultParagraphFont"/>
    <w:uiPriority w:val="99"/>
    <w:semiHidden/>
    <w:unhideWhenUsed/>
    <w:rsid w:val="00440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sagepub.com/en-us/nam/case-study-research-and-applications/book25015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9</Pages>
  <Words>5425</Words>
  <Characters>30929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ΕΜΜΑΝΟΥΗΛ TΖΟΥΒΕΛΕΚΑΣ</dc:creator>
  <cp:lastModifiedBy>Surya Anugrah</cp:lastModifiedBy>
  <cp:revision>28</cp:revision>
  <dcterms:created xsi:type="dcterms:W3CDTF">2026-07-06T10:27:00Z</dcterms:created>
  <dcterms:modified xsi:type="dcterms:W3CDTF">2026-07-06T13:16:00Z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2026-07-02T00:00:00Z</vt:filetime>
  </property>
  <property fmtid="{D5CDD505-2E9C-101B-9397-08002B2CF9AE}" pid="4" name="Creator">
    <vt:lpwstr>Microsoft® Word 2016</vt:lpwstr>
  </property>
  <property fmtid="{D5CDD505-2E9C-101B-9397-08002B2CF9AE}" pid="5" name="LastSaved">
    <vt:filetime>2026-07-06T00:00:00Z</vt:filetime>
  </property>
  <property fmtid="{D5CDD505-2E9C-101B-9397-08002B2CF9AE}" pid="6" name="Producer">
    <vt:lpwstr>www.ilovepdf.com</vt:lpwstr>
  </property>
</Properties>
</file>