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59" w:lineRule="auto" w:before="22"/>
        <w:ind w:left="1306" w:hanging="979"/>
      </w:pPr>
      <w:r>
        <w:rPr/>
        <w:t>Isolation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Identification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Microbial</w:t>
      </w:r>
      <w:r>
        <w:rPr>
          <w:spacing w:val="-6"/>
        </w:rPr>
        <w:t> </w:t>
      </w:r>
      <w:r>
        <w:rPr/>
        <w:t>Flora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Fresh</w:t>
      </w:r>
      <w:r>
        <w:rPr>
          <w:spacing w:val="-6"/>
        </w:rPr>
        <w:t> </w:t>
      </w:r>
      <w:r>
        <w:rPr/>
        <w:t>Vegeta</w:t>
      </w:r>
      <w:r>
        <w:rPr/>
        <w:t>ble</w:t>
      </w:r>
      <w:r>
        <w:rPr/>
        <w:t> (Brinjal and Tomato)</w:t>
      </w:r>
      <w:r>
        <w:rPr>
          <w:spacing w:val="40"/>
        </w:rPr>
        <w:t> </w:t>
      </w:r>
      <w:r>
        <w:rPr/>
        <w:t>and fruit(Apple and Mango) samples</w:t>
      </w:r>
    </w:p>
    <w:p>
      <w:pPr>
        <w:spacing w:line="390" w:lineRule="exact" w:before="0"/>
        <w:ind w:left="3097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/>
      </w:r>
      <w:r>
        <w:rPr>
          <w:rFonts w:ascii="Calibri"/>
          <w:b/>
          <w:spacing w:val="-4"/>
          <w:sz w:val="32"/>
        </w:rPr>
        <w:t/>
      </w:r>
      <w:r>
        <w:rPr>
          <w:rFonts w:ascii="Calibri"/>
          <w:b/>
          <w:sz w:val="32"/>
        </w:rPr>
        <w:t/>
      </w:r>
      <w:r>
        <w:rPr>
          <w:rFonts w:ascii="Calibri"/>
          <w:b/>
          <w:spacing w:val="-3"/>
          <w:sz w:val="32"/>
        </w:rPr>
        <w:t/>
      </w:r>
      <w:r>
        <w:rPr>
          <w:rFonts w:ascii="Calibri"/>
          <w:b/>
          <w:sz w:val="32"/>
        </w:rPr>
        <w:t/>
      </w:r>
      <w:r>
        <w:rPr>
          <w:rFonts w:ascii="Calibri"/>
          <w:b/>
          <w:spacing w:val="-3"/>
          <w:sz w:val="32"/>
        </w:rPr>
        <w:t/>
      </w:r>
      <w:r>
        <w:rPr>
          <w:rFonts w:ascii="Calibri"/>
          <w:b/>
          <w:spacing w:val="-2"/>
          <w:sz w:val="32"/>
        </w:rPr>
        <w:t/>
      </w:r>
    </w:p>
    <w:p>
      <w:pPr>
        <w:spacing w:before="191"/>
        <w:ind w:left="678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/>
      </w:r>
      <w:r>
        <w:rPr>
          <w:rFonts w:ascii="Calibri"/>
          <w:spacing w:val="-9"/>
          <w:sz w:val="32"/>
        </w:rPr>
        <w:t/>
      </w:r>
      <w:r>
        <w:rPr>
          <w:rFonts w:ascii="Calibri"/>
          <w:sz w:val="32"/>
        </w:rPr>
        <w:t/>
      </w:r>
      <w:r>
        <w:rPr>
          <w:rFonts w:ascii="Calibri"/>
          <w:spacing w:val="-2"/>
          <w:sz w:val="32"/>
        </w:rPr>
        <w:t/>
      </w:r>
      <w:r>
        <w:rPr>
          <w:rFonts w:ascii="Calibri"/>
          <w:sz w:val="32"/>
          <w:vertAlign w:val="superscript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4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z w:val="32"/>
          <w:vertAlign w:val="superscript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4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4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z w:val="32"/>
          <w:vertAlign w:val="superscript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25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3"/>
          <w:sz w:val="32"/>
          <w:vertAlign w:val="baseline"/>
        </w:rPr>
        <w:t/>
      </w:r>
      <w:r>
        <w:rPr>
          <w:rFonts w:ascii="Calibri"/>
          <w:spacing w:val="-2"/>
          <w:sz w:val="32"/>
          <w:vertAlign w:val="baseline"/>
        </w:rPr>
        <w:t/>
      </w:r>
      <w:r>
        <w:rPr>
          <w:rFonts w:ascii="Calibri"/>
          <w:spacing w:val="-2"/>
          <w:sz w:val="32"/>
          <w:vertAlign w:val="superscript"/>
        </w:rPr>
        <w:t/>
      </w:r>
    </w:p>
    <w:p>
      <w:pPr>
        <w:pStyle w:val="BodyText"/>
        <w:spacing w:before="250"/>
        <w:ind w:left="0"/>
        <w:rPr>
          <w:rFonts w:ascii="Calibri"/>
          <w:sz w:val="32"/>
        </w:rPr>
      </w:pPr>
    </w:p>
    <w:p>
      <w:pPr>
        <w:spacing w:line="357" w:lineRule="auto" w:before="0"/>
        <w:ind w:left="271" w:right="127" w:firstLine="0"/>
        <w:jc w:val="center"/>
        <w:rPr>
          <w:rFonts w:ascii="Calibri"/>
          <w:sz w:val="32"/>
        </w:rPr>
      </w:pPr>
      <w:r>
        <w:rPr>
          <w:rFonts w:ascii="Calibri"/>
          <w:sz w:val="32"/>
        </w:rPr>
        <w:t/>
      </w:r>
      <w:r>
        <w:rPr>
          <w:rFonts w:ascii="Calibri"/>
          <w:sz w:val="32"/>
          <w:vertAlign w:val="superscript"/>
        </w:rPr>
        <w:t/>
      </w:r>
      <w:r>
        <w:rPr>
          <w:rFonts w:ascii="Calibri"/>
          <w:sz w:val="32"/>
          <w:vertAlign w:val="baseline"/>
        </w:rPr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5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5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5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5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5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5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5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-5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z w:val="32"/>
          <w:vertAlign w:val="superscript"/>
        </w:rPr>
        <w:t/>
      </w:r>
      <w:r>
        <w:rPr>
          <w:rFonts w:ascii="Calibri"/>
          <w:sz w:val="32"/>
          <w:vertAlign w:val="baseline"/>
        </w:rPr>
      </w:r>
      <w:r>
        <w:rPr>
          <w:rFonts w:ascii="Calibri"/>
          <w:sz w:val="32"/>
          <w:vertAlign w:val="baseline"/>
        </w:rPr>
        <w:t/>
      </w:r>
      <w:r>
        <w:rPr>
          <w:rFonts w:ascii="Calibri"/>
          <w:spacing w:val="40"/>
          <w:sz w:val="32"/>
          <w:vertAlign w:val="baseline"/>
        </w:rPr>
        <w:t/>
      </w:r>
      <w:r>
        <w:rPr>
          <w:rFonts w:ascii="Calibri"/>
          <w:sz w:val="32"/>
          <w:vertAlign w:val="baseline"/>
        </w:rPr>
        <w:t/>
      </w:r>
      <w:hyperlink r:id="rId5">
        <w:r>
          <w:rPr>
            <w:rFonts w:ascii="Calibri"/>
            <w:sz w:val="32"/>
            <w:vertAlign w:val="baseline"/>
          </w:rPr>
          <w:t/>
        </w:r>
        <w:r>
          <w:rPr>
            <w:rFonts w:ascii="Calibri"/>
            <w:color w:val="0562C1"/>
            <w:sz w:val="32"/>
            <w:u w:val="single" w:color="0562C1"/>
            <w:vertAlign w:val="baseline"/>
          </w:rPr>
          <w:t/>
        </w:r>
      </w:hyperlink>
    </w:p>
    <w:p>
      <w:pPr>
        <w:pStyle w:val="Heading1"/>
        <w:spacing w:before="118"/>
        <w:rPr>
          <w:rFonts w:ascii="Times New Roman"/>
        </w:rPr>
      </w:pPr>
      <w:r>
        <w:rPr>
          <w:rFonts w:ascii="Times New Roman"/>
          <w:spacing w:val="-2"/>
        </w:rPr>
        <w:t>Abstract</w:t>
      </w:r>
    </w:p>
    <w:p>
      <w:pPr>
        <w:pStyle w:val="BodyText"/>
        <w:ind w:right="168"/>
        <w:jc w:val="both"/>
      </w:pPr>
      <w:r>
        <w:rPr/>
        <w:t>Fresh fruits and vegetables are a significant part of the human diet worldwid</w:t>
      </w:r>
      <w:r>
        <w:rPr/>
        <w:t>e.</w:t>
      </w:r>
      <w:r>
        <w:rPr/>
        <w:t> However, since they are characteristically consumed raw in many parts of t</w:t>
      </w:r>
      <w:r>
        <w:rPr/>
        <w:t>he</w:t>
      </w:r>
      <w:r>
        <w:rPr/>
        <w:t> world and often without suitable thermal treatment or rigorous washing, th</w:t>
      </w:r>
      <w:r>
        <w:rPr/>
        <w:t>ey</w:t>
      </w:r>
      <w:r>
        <w:rPr>
          <w:spacing w:val="40"/>
        </w:rPr>
        <w:t> </w:t>
      </w:r>
      <w:r>
        <w:rPr/>
        <w:t>are prone to serve as vectors for the transmission of pathogenic microorganis</w:t>
      </w:r>
      <w:r>
        <w:rPr/>
        <w:t>ms</w:t>
      </w:r>
      <w:r>
        <w:rPr/>
        <w:t> which are often associated with severe human diseases , affecting majority </w:t>
      </w:r>
      <w:r>
        <w:rPr/>
        <w:t>of</w:t>
      </w:r>
      <w:r>
        <w:rPr/>
        <w:t> population .The current study aimed at isolating and identifying the microb</w:t>
      </w:r>
      <w:r>
        <w:rPr/>
        <w:t>ial</w:t>
      </w:r>
      <w:r>
        <w:rPr/>
        <w:t> flora found in</w:t>
      </w:r>
      <w:r>
        <w:rPr>
          <w:spacing w:val="40"/>
        </w:rPr>
        <w:t> </w:t>
      </w:r>
      <w:r>
        <w:rPr/>
        <w:t>fresh fruits</w:t>
      </w:r>
      <w:r>
        <w:rPr>
          <w:spacing w:val="40"/>
        </w:rPr>
        <w:t> </w:t>
      </w:r>
      <w:r>
        <w:rPr/>
        <w:t>(Mango and Apple) and vegetable (Tomato </w:t>
      </w:r>
      <w:r>
        <w:rPr/>
        <w:t>and</w:t>
      </w:r>
      <w:r>
        <w:rPr/>
        <w:t> Brinjal)samples</w:t>
      </w:r>
      <w:r>
        <w:rPr>
          <w:spacing w:val="40"/>
        </w:rPr>
        <w:t> </w:t>
      </w:r>
      <w:r>
        <w:rPr/>
        <w:t>sold in the local open markets of Bilaspur city, Chhattisg</w:t>
      </w:r>
      <w:r>
        <w:rPr/>
        <w:t>arh.</w:t>
      </w:r>
      <w:r>
        <w:rPr/>
        <w:t> The samples were collected under strict aseptic conditions from different r</w:t>
      </w:r>
      <w:r>
        <w:rPr/>
        <w:t>etail</w:t>
      </w:r>
      <w:r>
        <w:rPr/>
        <w:t> vendors. Specific selective and non-selective culture media, including Nutrie</w:t>
      </w:r>
      <w:r>
        <w:rPr/>
        <w:t>nt</w:t>
      </w:r>
      <w:r>
        <w:rPr/>
        <w:t> Agar, Potato Dextrose Agar, MacConkey Agar, and Eosin Methylene Bl</w:t>
      </w:r>
      <w:r>
        <w:rPr/>
        <w:t>ue</w:t>
      </w:r>
      <w:r>
        <w:rPr/>
        <w:t> Agar, were used to isolate and enumerate the microbial load. All the iso</w:t>
      </w:r>
      <w:r>
        <w:rPr/>
        <w:t>lated</w:t>
      </w:r>
      <w:r>
        <w:rPr/>
        <w:t> species were further identified on the basis of their morpholog</w:t>
      </w:r>
      <w:r>
        <w:rPr/>
        <w:t>ical</w:t>
      </w:r>
      <w:r>
        <w:rPr/>
        <w:t> characteristics, selective differential culture media, and biochemical tes</w:t>
      </w:r>
      <w:r>
        <w:rPr/>
        <w:t>ts</w:t>
      </w:r>
      <w:r>
        <w:rPr/>
        <w:t> (IMViC). The findings specified that the fresh produce was sever</w:t>
      </w:r>
      <w:r>
        <w:rPr/>
        <w:t>ely</w:t>
      </w:r>
      <w:r>
        <w:rPr/>
        <w:t> contaminated with numerous bacterial and fungal strains. This high microb</w:t>
      </w:r>
      <w:r>
        <w:rPr/>
        <w:t>ial</w:t>
      </w:r>
      <w:r>
        <w:rPr/>
        <w:t> load suggested unhygienic handling practices and environmental contamin</w:t>
      </w:r>
      <w:r>
        <w:rPr/>
        <w:t>ation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local</w:t>
      </w:r>
      <w:r>
        <w:rPr>
          <w:spacing w:val="-3"/>
        </w:rPr>
        <w:t> </w:t>
      </w:r>
      <w:r>
        <w:rPr/>
        <w:t>markets.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highlight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serious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concern</w:t>
      </w:r>
      <w:r>
        <w:rPr>
          <w:spacing w:val="-3"/>
        </w:rPr>
        <w:t> </w:t>
      </w:r>
      <w:r>
        <w:rPr/>
        <w:t>for</w:t>
      </w:r>
      <w:r>
        <w:rPr/>
        <w:t> the people of the Bilaspur region and emphasize the need to create an extensi</w:t>
      </w:r>
      <w:r>
        <w:rPr/>
        <w:t>ve</w:t>
      </w:r>
      <w:r>
        <w:rPr/>
        <w:t> awareness regarding proper hygienic practices during the harves</w:t>
      </w:r>
      <w:r>
        <w:rPr/>
        <w:t>ting,</w:t>
      </w:r>
      <w:r>
        <w:rPr/>
        <w:t> distribution, selling, and consumption of fresh produce.</w:t>
      </w:r>
    </w:p>
    <w:p>
      <w:pPr>
        <w:pStyle w:val="BodyText"/>
        <w:jc w:val="both"/>
      </w:pPr>
      <w:r>
        <w:rPr>
          <w:b/>
        </w:rPr>
        <w:t>Keywords:</w:t>
      </w:r>
      <w:r>
        <w:rPr>
          <w:b/>
          <w:spacing w:val="-6"/>
        </w:rPr>
        <w:t> </w:t>
      </w:r>
      <w:r>
        <w:rPr/>
        <w:t>Microbial</w:t>
      </w:r>
      <w:r>
        <w:rPr>
          <w:spacing w:val="-3"/>
        </w:rPr>
        <w:t> </w:t>
      </w:r>
      <w:r>
        <w:rPr/>
        <w:t>flora,</w:t>
      </w:r>
      <w:r>
        <w:rPr>
          <w:spacing w:val="-3"/>
        </w:rPr>
        <w:t> </w:t>
      </w:r>
      <w:r>
        <w:rPr/>
        <w:t>Pathogenic</w:t>
      </w:r>
      <w:r>
        <w:rPr>
          <w:spacing w:val="-4"/>
        </w:rPr>
        <w:t> </w:t>
      </w:r>
      <w:r>
        <w:rPr/>
        <w:t>bacteria,</w:t>
      </w:r>
      <w:r>
        <w:rPr>
          <w:spacing w:val="-3"/>
        </w:rPr>
        <w:t> </w:t>
      </w:r>
      <w:r>
        <w:rPr/>
        <w:t>Fruits,</w:t>
      </w:r>
      <w:r>
        <w:rPr>
          <w:spacing w:val="-3"/>
        </w:rPr>
        <w:t> </w:t>
      </w:r>
      <w:r>
        <w:rPr/>
        <w:t>Vegetables,</w:t>
      </w:r>
      <w:r>
        <w:rPr>
          <w:spacing w:val="-3"/>
        </w:rPr>
        <w:t> </w:t>
      </w:r>
      <w:r>
        <w:rPr>
          <w:spacing w:val="-2"/>
        </w:rPr>
        <w:t>Bilaspur.</w:t>
      </w:r>
    </w:p>
    <w:p>
      <w:pPr>
        <w:pStyle w:val="BodyText"/>
        <w:spacing w:before="220"/>
        <w:ind w:left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914400</wp:posOffset>
                </wp:positionH>
                <wp:positionV relativeFrom="paragraph">
                  <wp:posOffset>300977</wp:posOffset>
                </wp:positionV>
                <wp:extent cx="1270" cy="1905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2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23.699024pt;width:.1pt;height:1.5pt;mso-position-horizontal-relative:page;mso-position-vertical-relative:paragraph;z-index:-15728640;mso-wrap-distance-left:0;mso-wrap-distance-right:0" id="docshape1" coordorigin="1440,474" coordsize="0,30" path="m1440,474l1440,504,1440,474xe" filled="true" fillcolor="#9f9f9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400" w:bottom="280" w:left="1133" w:right="1275"/>
        </w:sectPr>
      </w:pPr>
    </w:p>
    <w:p>
      <w:pPr>
        <w:pStyle w:val="Heading1"/>
        <w:spacing w:before="62"/>
        <w:rPr>
          <w:rFonts w:ascii="Times New Roman"/>
        </w:rPr>
      </w:pPr>
      <w:r>
        <w:rPr>
          <w:rFonts w:ascii="Times New Roman"/>
          <w:spacing w:val="-2"/>
        </w:rPr>
        <w:t>Introduction</w:t>
      </w:r>
    </w:p>
    <w:p>
      <w:pPr>
        <w:pStyle w:val="BodyText"/>
        <w:ind w:right="167"/>
        <w:jc w:val="both"/>
      </w:pPr>
      <w:r>
        <w:rPr/>
        <w:t>Fresh fruits and vegetables are globally recognized as critical components of </w:t>
      </w:r>
      <w:r>
        <w:rPr/>
        <w:t>a</w:t>
      </w:r>
      <w:r>
        <w:rPr/>
        <w:t> balanced human diet. It is prerequisite to include them in the diet as they are </w:t>
      </w:r>
      <w:r>
        <w:rPr/>
        <w:t>an</w:t>
      </w:r>
      <w:r>
        <w:rPr/>
        <w:t> excellent source essential nutrients which are required to maintain a h</w:t>
      </w:r>
      <w:r>
        <w:rPr/>
        <w:t>ealthy</w:t>
      </w:r>
      <w:r>
        <w:rPr/>
        <w:t> lifestyle.</w:t>
      </w:r>
      <w:r>
        <w:rPr>
          <w:spacing w:val="-3"/>
        </w:rPr>
        <w:t> </w:t>
      </w:r>
      <w:r>
        <w:rPr/>
        <w:t>Fruits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vegetables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consumed</w:t>
      </w:r>
      <w:r>
        <w:rPr>
          <w:spacing w:val="80"/>
        </w:rPr>
        <w:t> </w:t>
      </w:r>
      <w:r>
        <w:rPr/>
        <w:t>in</w:t>
      </w:r>
      <w:r>
        <w:rPr>
          <w:spacing w:val="-3"/>
        </w:rPr>
        <w:t> </w:t>
      </w:r>
      <w:r>
        <w:rPr/>
        <w:t>huge</w:t>
      </w:r>
      <w:r>
        <w:rPr>
          <w:spacing w:val="-3"/>
        </w:rPr>
        <w:t> </w:t>
      </w:r>
      <w:r>
        <w:rPr/>
        <w:t>amounts</w:t>
      </w:r>
      <w:r>
        <w:rPr>
          <w:spacing w:val="-3"/>
        </w:rPr>
        <w:t> </w:t>
      </w:r>
      <w:r>
        <w:rPr/>
        <w:t>worldwide</w:t>
      </w:r>
      <w:r>
        <w:rPr>
          <w:spacing w:val="-3"/>
        </w:rPr>
        <w:t> </w:t>
      </w:r>
      <w:r>
        <w:rPr/>
        <w:t>Th</w:t>
      </w:r>
      <w:r>
        <w:rPr/>
        <w:t>ey</w:t>
      </w:r>
      <w:r>
        <w:rPr/>
        <w:t> deliver a rich source of vital vitamins, dietary minerals, fibres, and antioxidan</w:t>
      </w:r>
      <w:r>
        <w:rPr/>
        <w:t>ts,</w:t>
      </w:r>
      <w:r>
        <w:rPr/>
        <w:t> which are highly advantageous for the maintenance of finest health and t</w:t>
      </w:r>
      <w:r>
        <w:rPr/>
        <w:t>he</w:t>
      </w:r>
      <w:r>
        <w:rPr/>
        <w:t> deterrence of chronic diseases, (Slavin, J. L., &amp; Lloyd, B. ,2012). However, </w:t>
      </w:r>
      <w:r>
        <w:rPr/>
        <w:t>in</w:t>
      </w:r>
      <w:r>
        <w:rPr/>
        <w:t> recent times, the rising consumption of raw and minimally processed produ</w:t>
      </w:r>
      <w:r>
        <w:rPr/>
        <w:t>ce</w:t>
      </w:r>
      <w:r>
        <w:rPr/>
        <w:t> has been directly linked to an amplified occurrence of foodborne hu</w:t>
      </w:r>
      <w:r>
        <w:rPr/>
        <w:t>man</w:t>
      </w:r>
      <w:r>
        <w:rPr/>
        <w:t> infections. Fresh fruits and vegetables if not washed properly can harbour </w:t>
      </w:r>
      <w:r>
        <w:rPr/>
        <w:t>a</w:t>
      </w:r>
      <w:r>
        <w:rPr/>
        <w:t> great number of germs that can further become the cause many fatal diseas</w:t>
      </w:r>
      <w:r>
        <w:rPr/>
        <w:t>es,</w:t>
      </w:r>
      <w:r>
        <w:rPr/>
        <w:t> (Hedberg C.W. etal. 1994). Because commodities like apples, mangoes, carro</w:t>
      </w:r>
      <w:r>
        <w:rPr/>
        <w:t>ts,</w:t>
      </w:r>
      <w:r>
        <w:rPr/>
        <w:t> radish, and tomatoes etc. are frequently consumed raw without any h</w:t>
      </w:r>
      <w:r>
        <w:rPr/>
        <w:t>eat</w:t>
      </w:r>
      <w:r>
        <w:rPr/>
        <w:t> treatment as a consequence microbial contamination present on their surf</w:t>
      </w:r>
      <w:r>
        <w:rPr/>
        <w:t>aces</w:t>
      </w:r>
      <w:r>
        <w:rPr/>
        <w:t> can directly lead to the gastrointestinal diseases, (Schuenzel, K. M., &amp; Harr</w:t>
      </w:r>
      <w:r>
        <w:rPr/>
        <w:t>ison,</w:t>
      </w:r>
      <w:r>
        <w:rPr/>
        <w:t> M. A. ,2002).</w:t>
      </w:r>
    </w:p>
    <w:p>
      <w:pPr>
        <w:pStyle w:val="BodyText"/>
        <w:ind w:right="167"/>
        <w:jc w:val="both"/>
      </w:pPr>
      <w:r>
        <w:rPr/>
        <w:t>The microbial profile of fresh produce is highly variable and depends on </w:t>
      </w:r>
      <w:r>
        <w:rPr/>
        <w:t>a</w:t>
      </w:r>
      <w:r>
        <w:rPr/>
        <w:t> multitude of environmental and human factors. Cultivation in open fiel</w:t>
      </w:r>
      <w:r>
        <w:rPr/>
        <w:t>ds</w:t>
      </w:r>
      <w:r>
        <w:rPr/>
        <w:t> directly exposes the yields to a varied range of microorganisms instigating </w:t>
      </w:r>
      <w:r>
        <w:rPr/>
        <w:t>from</w:t>
      </w:r>
      <w:r>
        <w:rPr/>
        <w:t> soil microflora, the application of raw animal manure as fertilizer, and the </w:t>
      </w:r>
      <w:r>
        <w:rPr/>
        <w:t>use</w:t>
      </w:r>
      <w:r>
        <w:rPr>
          <w:spacing w:val="80"/>
        </w:rPr>
        <w:t> </w:t>
      </w:r>
      <w:r>
        <w:rPr/>
        <w:t>of untreated irrigation water can also lead to increased enhancements (Beuch</w:t>
      </w:r>
      <w:r>
        <w:rPr/>
        <w:t>at,</w:t>
      </w:r>
      <w:r>
        <w:rPr/>
        <w:t> L. R.,2002). Furthermore, post-harvest handling drastically increases t</w:t>
      </w:r>
      <w:r>
        <w:rPr/>
        <w:t>he</w:t>
      </w:r>
      <w:r>
        <w:rPr/>
        <w:t> microbial load. During harvesting, transportation and demonstration of su</w:t>
      </w:r>
      <w:r>
        <w:rPr/>
        <w:t>ch</w:t>
      </w:r>
      <w:r>
        <w:rPr/>
        <w:t> produce in open markets, often exposes them</w:t>
      </w:r>
      <w:r>
        <w:rPr>
          <w:spacing w:val="40"/>
        </w:rPr>
        <w:t> </w:t>
      </w:r>
      <w:r>
        <w:rPr/>
        <w:t>to airborne spores, dust, </w:t>
      </w:r>
      <w:r>
        <w:rPr/>
        <w:t>and</w:t>
      </w:r>
      <w:r>
        <w:rPr/>
        <w:t> insensible handling by agricultural workers and retail vendors furth</w:t>
      </w:r>
      <w:r>
        <w:rPr/>
        <w:t>er</w:t>
      </w:r>
      <w:r>
        <w:rPr/>
        <w:t> deteriorates the condition, (Nguyen-the, C., &amp; Carlin, F.,1994). The phys</w:t>
      </w:r>
      <w:r>
        <w:rPr/>
        <w:t>ical</w:t>
      </w:r>
      <w:r>
        <w:rPr/>
        <w:t> characteristics of the produce also play a crucial role; for instance, the d</w:t>
      </w:r>
      <w:r>
        <w:rPr/>
        <w:t>elicate</w:t>
      </w:r>
      <w:r>
        <w:rPr/>
        <w:t> skin of tomatoes and apples is prone to microscopic abrasions, while the </w:t>
      </w:r>
      <w:r>
        <w:rPr/>
        <w:t>rough</w:t>
      </w:r>
      <w:r>
        <w:rPr/>
        <w:t> calyx of brinjals easily traps dirt and moisture, providing an id</w:t>
      </w:r>
      <w:r>
        <w:rPr/>
        <w:t>eal</w:t>
      </w:r>
      <w:r>
        <w:rPr/>
        <w:t> microenvironment for pathogenic survival (Kumar, S., Singh, R., &amp; Maurya, </w:t>
      </w:r>
      <w:r>
        <w:rPr/>
        <w:t>V.</w:t>
      </w:r>
      <w:r>
        <w:rPr/>
        <w:t> K. ,2019).</w:t>
      </w:r>
    </w:p>
    <w:p>
      <w:pPr>
        <w:pStyle w:val="BodyText"/>
        <w:ind w:right="167"/>
        <w:jc w:val="both"/>
      </w:pPr>
      <w:r>
        <w:rPr/>
        <w:t>In developing regions, the deficiency of strict microbiological investigati</w:t>
      </w:r>
      <w:r>
        <w:rPr/>
        <w:t>ons</w:t>
      </w:r>
      <w:r>
        <w:rPr>
          <w:spacing w:val="40"/>
        </w:rPr>
        <w:t> </w:t>
      </w:r>
      <w:r>
        <w:rPr/>
        <w:t>and insufficient sanitary practices in local markets further complicates the r</w:t>
      </w:r>
      <w:r>
        <w:rPr/>
        <w:t>isk</w:t>
      </w:r>
      <w:r>
        <w:rPr/>
        <w:t> of contamination, (Eni, A. O.,etal., 2010). Open-air markets often lack prop</w:t>
      </w:r>
      <w:r>
        <w:rPr/>
        <w:t>er</w:t>
      </w:r>
      <w:r>
        <w:rPr/>
        <w:t> cold-chain infrastructure, creating a highly favourable environment for t</w:t>
      </w:r>
      <w:r>
        <w:rPr/>
        <w:t>he</w:t>
      </w:r>
      <w:r>
        <w:rPr/>
        <w:t> speedy multiplication of both spoilage and pathogenic microorganisms on t</w:t>
      </w:r>
      <w:r>
        <w:rPr/>
        <w:t>he</w:t>
      </w:r>
      <w:r>
        <w:rPr/>
        <w:t> surface of the produce, (Garg, N., Churey, J., &amp; Splittstoesser, D. </w:t>
      </w:r>
      <w:r>
        <w:rPr/>
        <w:t>F.,1990).</w:t>
      </w:r>
      <w:r>
        <w:rPr/>
        <w:t> Consequently, raw vegetables and fruits host a variety of pathogenic bacter</w:t>
      </w:r>
      <w:r>
        <w:rPr/>
        <w:t>ia</w:t>
      </w:r>
      <w:r>
        <w:rPr/>
        <w:t> and</w:t>
      </w:r>
      <w:r>
        <w:rPr>
          <w:spacing w:val="5"/>
        </w:rPr>
        <w:t> </w:t>
      </w:r>
      <w:r>
        <w:rPr/>
        <w:t>fungi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may</w:t>
      </w:r>
      <w:r>
        <w:rPr>
          <w:spacing w:val="7"/>
        </w:rPr>
        <w:t> </w:t>
      </w:r>
      <w:r>
        <w:rPr/>
        <w:t>spread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plant</w:t>
      </w:r>
      <w:r>
        <w:rPr>
          <w:spacing w:val="7"/>
        </w:rPr>
        <w:t> </w:t>
      </w:r>
      <w:r>
        <w:rPr/>
        <w:t>exterior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form</w:t>
      </w:r>
      <w:r>
        <w:rPr>
          <w:spacing w:val="7"/>
        </w:rPr>
        <w:t> </w:t>
      </w:r>
      <w:r>
        <w:rPr/>
        <w:t>micro-colonies</w:t>
      </w:r>
      <w:r>
        <w:rPr>
          <w:spacing w:val="7"/>
        </w:rPr>
        <w:t> </w:t>
      </w:r>
      <w:r>
        <w:rPr>
          <w:spacing w:val="-2"/>
        </w:rPr>
        <w:t>within</w:t>
      </w:r>
    </w:p>
    <w:p>
      <w:pPr>
        <w:pStyle w:val="BodyText"/>
        <w:spacing w:after="0"/>
        <w:jc w:val="both"/>
        <w:sectPr>
          <w:pgSz w:w="11910" w:h="16840"/>
          <w:pgMar w:top="1360" w:bottom="280" w:left="1133" w:right="1275"/>
        </w:sectPr>
      </w:pPr>
    </w:p>
    <w:p>
      <w:pPr>
        <w:pStyle w:val="BodyText"/>
        <w:spacing w:before="62"/>
        <w:ind w:right="167"/>
        <w:jc w:val="both"/>
      </w:pPr>
      <w:r>
        <w:rPr/>
        <w:t>the plant tissues, (Nipa, M. N., et al. ,2011). Despite the high consumption r</w:t>
      </w:r>
      <w:r>
        <w:rPr/>
        <w:t>ate</w:t>
      </w:r>
      <w:r>
        <w:rPr/>
        <w:t> of fresh produce in the rapidly growing urban districts like </w:t>
      </w:r>
      <w:r>
        <w:rPr/>
        <w:t>Bilaspur,</w:t>
      </w:r>
      <w:r>
        <w:rPr/>
        <w:t> Chhattisgarh, most foodborne outbreaks remain undetected due to </w:t>
      </w:r>
      <w:r>
        <w:rPr/>
        <w:t>limited</w:t>
      </w:r>
      <w:r>
        <w:rPr/>
        <w:t> localized research, (Amoah, P., et al. ,2006).</w:t>
      </w:r>
    </w:p>
    <w:p>
      <w:pPr>
        <w:pStyle w:val="BodyText"/>
        <w:ind w:right="166"/>
        <w:jc w:val="both"/>
      </w:pPr>
      <w:r>
        <w:rPr/>
        <w:t>A major conducive factor to the perseverance of these pathogens is the h</w:t>
      </w:r>
      <w:r>
        <w:rPr/>
        <w:t>igh</w:t>
      </w:r>
      <w:r>
        <w:rPr/>
        <w:t> moisture content and nutrient-rich content of these crops, which act as </w:t>
      </w:r>
      <w:r>
        <w:rPr/>
        <w:t>an</w:t>
      </w:r>
      <w:r>
        <w:rPr/>
        <w:t> excellent growth medium for microbes, (Singh, A., &amp; Singh, </w:t>
      </w:r>
      <w:r>
        <w:rPr/>
        <w:t>B.,2021).</w:t>
      </w:r>
      <w:r>
        <w:rPr/>
        <w:t> Identifying the specific initial microbial population and its species compos</w:t>
      </w:r>
      <w:r>
        <w:rPr/>
        <w:t>ition</w:t>
      </w:r>
      <w:r>
        <w:rPr/>
        <w:t> is highly valuable for determining appropriate sanitizing practices </w:t>
      </w:r>
      <w:r>
        <w:rPr/>
        <w:t>and</w:t>
      </w:r>
      <w:r>
        <w:rPr>
          <w:spacing w:val="40"/>
        </w:rPr>
        <w:t> </w:t>
      </w:r>
      <w:r>
        <w:rPr/>
        <w:t>protecting human health (Fan, L., &amp; Song, J. , 2008). Therefore, this prese</w:t>
      </w:r>
      <w:r>
        <w:rPr/>
        <w:t>nt</w:t>
      </w:r>
      <w:r>
        <w:rPr/>
        <w:t> study was undertaken to assess the microbiological safety of highly consu</w:t>
      </w:r>
      <w:r>
        <w:rPr/>
        <w:t>med</w:t>
      </w:r>
      <w:r>
        <w:rPr/>
        <w:t> local produce. Specifically, the objective is to isolate and identify the microb</w:t>
      </w:r>
      <w:r>
        <w:rPr/>
        <w:t>ial</w:t>
      </w:r>
      <w:r>
        <w:rPr/>
        <w:t> flora from fresh fruits (Mango and Apple) and vegetables (Tomato and Brin</w:t>
      </w:r>
      <w:r>
        <w:rPr/>
        <w:t>jal)</w:t>
      </w:r>
      <w:r>
        <w:rPr/>
        <w:t> sourced from the open markets of Bilaspur, Chhattisgarh (Boeing, H., et </w:t>
      </w:r>
      <w:r>
        <w:rPr/>
        <w:t>al.</w:t>
      </w:r>
      <w:r>
        <w:rPr/>
        <w:t> </w:t>
      </w:r>
      <w:r>
        <w:rPr>
          <w:spacing w:val="-2"/>
        </w:rPr>
        <w:t>2012).</w:t>
      </w:r>
    </w:p>
    <w:p>
      <w:pPr>
        <w:pStyle w:val="Heading1"/>
        <w:jc w:val="both"/>
        <w:rPr>
          <w:rFonts w:ascii="Times New Roman"/>
        </w:rPr>
      </w:pPr>
      <w:r>
        <w:rPr>
          <w:rFonts w:ascii="Times New Roman"/>
        </w:rPr>
        <w:t>Materials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> Methods</w:t>
      </w:r>
    </w:p>
    <w:p>
      <w:pPr>
        <w:pStyle w:val="Heading2"/>
      </w:pPr>
      <w:r>
        <w:rPr/>
        <w:t>Sample</w:t>
      </w:r>
      <w:r>
        <w:rPr>
          <w:spacing w:val="-4"/>
        </w:rPr>
        <w:t> </w:t>
      </w:r>
      <w:r>
        <w:rPr>
          <w:spacing w:val="-2"/>
        </w:rPr>
        <w:t>Collection</w:t>
      </w:r>
    </w:p>
    <w:p>
      <w:pPr>
        <w:pStyle w:val="BodyText"/>
        <w:ind w:left="306" w:right="164"/>
        <w:jc w:val="both"/>
      </w:pPr>
      <w:r>
        <w:rPr/>
        <w:t>A total of four distinct types of fresh produce, comprising two fruits—M</w:t>
      </w:r>
      <w:r>
        <w:rPr/>
        <w:t>ango</w:t>
      </w:r>
      <w:r>
        <w:rPr/>
        <w:t> (</w:t>
      </w:r>
      <w:r>
        <w:rPr>
          <w:i/>
        </w:rPr>
        <w:t>Mangifera indica</w:t>
      </w:r>
      <w:r>
        <w:rPr/>
        <w:t>) and Apple (</w:t>
      </w:r>
      <w:r>
        <w:rPr>
          <w:i/>
        </w:rPr>
        <w:t>Malus domestica</w:t>
      </w:r>
      <w:r>
        <w:rPr/>
        <w:t>)—and two vegetables</w:t>
      </w:r>
      <w:r>
        <w:rPr/>
        <w:t>—</w:t>
      </w:r>
      <w:r>
        <w:rPr/>
        <w:t> Tomato (</w:t>
      </w:r>
      <w:r>
        <w:rPr>
          <w:i/>
        </w:rPr>
        <w:t>Solanum lycopersicum</w:t>
      </w:r>
      <w:r>
        <w:rPr/>
        <w:t>) and Brinjal (</w:t>
      </w:r>
      <w:r>
        <w:rPr>
          <w:i/>
        </w:rPr>
        <w:t>Solanum melongena</w:t>
      </w:r>
      <w:r>
        <w:rPr/>
        <w:t>)—we</w:t>
      </w:r>
      <w:r>
        <w:rPr/>
        <w:t>re</w:t>
      </w:r>
      <w:r>
        <w:rPr/>
        <w:t> collected from the major open markets of Bilaspur city, Chhattisgarh. To ave</w:t>
      </w:r>
      <w:r>
        <w:rPr/>
        <w:t>rt</w:t>
      </w:r>
      <w:r>
        <w:rPr/>
        <w:t> any external cross-contamination during transport, all samples were carefu</w:t>
      </w:r>
      <w:r>
        <w:rPr/>
        <w:t>lly</w:t>
      </w:r>
      <w:r>
        <w:rPr/>
        <w:t> collected in sterile, polythene bags. The collected samples were immed</w:t>
      </w:r>
      <w:r>
        <w:rPr/>
        <w:t>iately</w:t>
      </w:r>
      <w:r>
        <w:rPr/>
        <w:t> placed in an insulated icebox to maintain a low-temperature environme</w:t>
      </w:r>
      <w:r>
        <w:rPr/>
        <w:t>nt</w:t>
      </w:r>
      <w:r>
        <w:rPr/>
        <w:t> ranging from 4°C to 6°C and were transported to the Microbiology Labor</w:t>
      </w:r>
      <w:r>
        <w:rPr/>
        <w:t>atory</w:t>
      </w:r>
      <w:r>
        <w:rPr/>
        <w:t> for analysis within one hour of collection (Viswanathan, P., &amp; Kaur, R. 2001).</w:t>
      </w:r>
    </w:p>
    <w:p>
      <w:pPr>
        <w:pStyle w:val="Heading2"/>
        <w:ind w:left="306"/>
      </w:pPr>
      <w:r>
        <w:rPr/>
        <w:t>Preparation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Samples</w:t>
      </w:r>
    </w:p>
    <w:p>
      <w:pPr>
        <w:pStyle w:val="BodyText"/>
        <w:ind w:left="306" w:right="168"/>
        <w:jc w:val="both"/>
      </w:pPr>
      <w:r>
        <w:rPr/>
        <w:t>Within an hour of reaching the laboratory, the samples were individu</w:t>
      </w:r>
      <w:r>
        <w:rPr/>
        <w:t>ally</w:t>
      </w:r>
      <w:r>
        <w:rPr/>
        <w:t> processed. Each fruit and vegetable sample were methodically rinsed with </w:t>
      </w:r>
      <w:r>
        <w:rPr/>
        <w:t>100</w:t>
      </w:r>
      <w:r>
        <w:rPr/>
        <w:t> ml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sterile</w:t>
      </w:r>
      <w:r>
        <w:rPr>
          <w:spacing w:val="6"/>
        </w:rPr>
        <w:t> </w:t>
      </w:r>
      <w:r>
        <w:rPr/>
        <w:t>distilled</w:t>
      </w:r>
      <w:r>
        <w:rPr>
          <w:spacing w:val="7"/>
        </w:rPr>
        <w:t> </w:t>
      </w:r>
      <w:r>
        <w:rPr/>
        <w:t>water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extract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surface</w:t>
      </w:r>
      <w:r>
        <w:rPr>
          <w:spacing w:val="6"/>
        </w:rPr>
        <w:t> </w:t>
      </w:r>
      <w:r>
        <w:rPr/>
        <w:t>microflora.</w:t>
      </w:r>
      <w:r>
        <w:rPr>
          <w:spacing w:val="7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this,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0"/>
        </w:rPr>
        <w:t>5</w:t>
      </w:r>
    </w:p>
    <w:p>
      <w:pPr>
        <w:pStyle w:val="BodyText"/>
        <w:spacing w:before="0"/>
        <w:ind w:left="306" w:right="167"/>
        <w:jc w:val="both"/>
      </w:pPr>
      <w:r>
        <w:rPr/>
        <w:t>-fold serial dilution was performed. To supplement the bacterial population, </w:t>
      </w:r>
      <w:r>
        <w:rPr/>
        <w:t>10</w:t>
      </w:r>
      <w:r>
        <w:rPr/>
        <w:t> ml of the washed aqueous suspension from each sample was inoculated into </w:t>
      </w:r>
      <w:r>
        <w:rPr/>
        <w:t>90</w:t>
      </w:r>
      <w:r>
        <w:rPr/>
        <w:t> ml of Luria Bertani (LB) broth. These inoculated broth cultures were th</w:t>
      </w:r>
      <w:r>
        <w:rPr/>
        <w:t>en</w:t>
      </w:r>
      <w:r>
        <w:rPr/>
        <w:t> incubated for 24 hours at 37°C. This overnight enriched culture in LB bro</w:t>
      </w:r>
      <w:r>
        <w:rPr/>
        <w:t>th</w:t>
      </w:r>
      <w:r>
        <w:rPr/>
        <w:t> aided</w:t>
      </w:r>
      <w:r>
        <w:rPr>
          <w:spacing w:val="-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succeeding</w:t>
      </w:r>
      <w:r>
        <w:rPr>
          <w:spacing w:val="-2"/>
        </w:rPr>
        <w:t> </w:t>
      </w:r>
      <w:r>
        <w:rPr/>
        <w:t>isolation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microb</w:t>
      </w:r>
      <w:r>
        <w:rPr/>
        <w:t>ial</w:t>
      </w:r>
      <w:r>
        <w:rPr/>
        <w:t> strains using the streak plate technique Kuroya, M., Ouchi, N., &amp; Katsuno, </w:t>
      </w:r>
      <w:r>
        <w:rPr/>
        <w:t>M.</w:t>
      </w:r>
      <w:r>
        <w:rPr/>
        <w:t> </w:t>
      </w:r>
      <w:r>
        <w:rPr>
          <w:spacing w:val="-2"/>
        </w:rPr>
        <w:t>(1952).</w:t>
      </w:r>
    </w:p>
    <w:p>
      <w:pPr>
        <w:pStyle w:val="BodyText"/>
        <w:spacing w:after="0"/>
        <w:jc w:val="both"/>
        <w:sectPr>
          <w:pgSz w:w="11910" w:h="16840"/>
          <w:pgMar w:top="1360" w:bottom="280" w:left="1133" w:right="1275"/>
        </w:sectPr>
      </w:pPr>
    </w:p>
    <w:p>
      <w:pPr>
        <w:pStyle w:val="Heading2"/>
        <w:spacing w:before="62"/>
      </w:pPr>
      <w:r>
        <w:rPr/>
        <w:t>Isolation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Microorganisms</w:t>
      </w:r>
    </w:p>
    <w:p>
      <w:pPr>
        <w:pStyle w:val="BodyText"/>
        <w:ind w:right="164"/>
        <w:jc w:val="both"/>
      </w:pPr>
      <w:r>
        <w:rPr/>
        <w:t>The microorganisms were isolated and enumerated by growing them on specif</w:t>
      </w:r>
      <w:r>
        <w:rPr/>
        <w:t>ic</w:t>
      </w:r>
      <w:r>
        <w:rPr/>
        <w:t> selective and non-selective culture media. Nutrient Agar (NA) was utilized </w:t>
      </w:r>
      <w:r>
        <w:rPr/>
        <w:t>to</w:t>
      </w:r>
      <w:r>
        <w:rPr/>
        <w:t> determine the Total Viable Bacterial Count (TVBC), while Potato Dext</w:t>
      </w:r>
      <w:r>
        <w:rPr/>
        <w:t>rose</w:t>
      </w:r>
      <w:r>
        <w:rPr/>
        <w:t> Agar (PDA) was employed specifically for the isolation and enumeration </w:t>
      </w:r>
      <w:r>
        <w:rPr/>
        <w:t>of</w:t>
      </w:r>
      <w:r>
        <w:rPr/>
        <w:t> fungal species. For the detection of specific enteric bacteria, MacConkey Ag</w:t>
      </w:r>
      <w:r>
        <w:rPr/>
        <w:t>ar</w:t>
      </w:r>
      <w:r>
        <w:rPr/>
        <w:t> was used to isolate total coliforms, and Eosin Methylene Blue (EMB) agar w</w:t>
      </w:r>
      <w:r>
        <w:rPr/>
        <w:t>as</w:t>
      </w:r>
      <w:r>
        <w:rPr/>
        <w:t> used for the selective isolation of </w:t>
      </w:r>
      <w:r>
        <w:rPr>
          <w:i/>
        </w:rPr>
        <w:t>Escherichia coli </w:t>
      </w:r>
      <w:r>
        <w:rPr/>
        <w:t>(Pandey AR, &amp;Ankita </w:t>
      </w:r>
      <w:r>
        <w:rPr/>
        <w:t>B</w:t>
      </w:r>
      <w:r>
        <w:rPr/>
        <w:t> </w:t>
      </w:r>
      <w:r>
        <w:rPr>
          <w:spacing w:val="-2"/>
        </w:rPr>
        <w:t>2024).</w:t>
      </w:r>
    </w:p>
    <w:p>
      <w:pPr>
        <w:pStyle w:val="BodyText"/>
        <w:ind w:right="166"/>
        <w:jc w:val="both"/>
      </w:pPr>
      <w:r>
        <w:rPr/>
        <w:t>One loopful of the overnight LB broth culture (and aqueous suspension </w:t>
      </w:r>
      <w:r>
        <w:rPr/>
        <w:t>for</w:t>
      </w:r>
      <w:r>
        <w:rPr/>
        <w:t> fungi) was streaked over these respective media plates. The NA, MacConk</w:t>
      </w:r>
      <w:r>
        <w:rPr/>
        <w:t>ey,</w:t>
      </w:r>
      <w:r>
        <w:rPr/>
        <w:t> and EMB plates were incubated at 37°C for 24-48 hours, whereas PDA p</w:t>
      </w:r>
      <w:r>
        <w:rPr/>
        <w:t>lates</w:t>
      </w:r>
      <w:r>
        <w:rPr/>
        <w:t> were incubated at 25°C for 3-5 days. Following incubation, distinct colon</w:t>
      </w:r>
      <w:r>
        <w:rPr/>
        <w:t>ies</w:t>
      </w:r>
      <w:r>
        <w:rPr/>
        <w:t> were examined for their cultural and morphological characteristics. </w:t>
      </w:r>
      <w:r>
        <w:rPr/>
        <w:t>For</w:t>
      </w:r>
      <w:r>
        <w:rPr/>
        <w:t> definitive confirmation of the isolated bacterial species, standard bioch</w:t>
      </w:r>
      <w:r>
        <w:rPr/>
        <w:t>emical</w:t>
      </w:r>
      <w:r>
        <w:rPr/>
        <w:t> assessments, specifically the IMViC (Indole, Methyl Red, Voges-Proskau</w:t>
      </w:r>
      <w:r>
        <w:rPr/>
        <w:t>er,</w:t>
      </w:r>
      <w:r>
        <w:rPr>
          <w:spacing w:val="40"/>
        </w:rPr>
        <w:t> </w:t>
      </w:r>
      <w:r>
        <w:rPr/>
        <w:t>and</w:t>
      </w:r>
      <w:r>
        <w:rPr>
          <w:spacing w:val="-2"/>
        </w:rPr>
        <w:t> </w:t>
      </w:r>
      <w:r>
        <w:rPr/>
        <w:t>Citrate)</w:t>
      </w:r>
      <w:r>
        <w:rPr>
          <w:spacing w:val="-2"/>
        </w:rPr>
        <w:t> </w:t>
      </w:r>
      <w:r>
        <w:rPr/>
        <w:t>tests,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performed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every</w:t>
      </w:r>
      <w:r>
        <w:rPr>
          <w:spacing w:val="-2"/>
        </w:rPr>
        <w:t> </w:t>
      </w:r>
      <w:r>
        <w:rPr/>
        <w:t>distinct</w:t>
      </w:r>
      <w:r>
        <w:rPr>
          <w:spacing w:val="-2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isolate(</w:t>
      </w:r>
      <w:r>
        <w:rPr>
          <w:spacing w:val="-2"/>
        </w:rPr>
        <w:t> </w:t>
      </w:r>
      <w:r>
        <w:rPr/>
        <w:t>Powers,</w:t>
      </w:r>
      <w:r>
        <w:rPr>
          <w:spacing w:val="-2"/>
        </w:rPr>
        <w:t> </w:t>
      </w:r>
      <w:r>
        <w:rPr/>
        <w:t>E.</w:t>
      </w:r>
      <w:r>
        <w:rPr/>
        <w:t> M., &amp; Latt, T. G. 1977).</w:t>
      </w:r>
    </w:p>
    <w:p>
      <w:pPr>
        <w:pStyle w:val="BodyText"/>
        <w:ind w:right="166"/>
        <w:jc w:val="both"/>
      </w:pPr>
      <w:r>
        <w:rPr>
          <w:b/>
        </w:rPr>
        <w:t>Table 1</w:t>
      </w:r>
      <w:r>
        <w:rPr/>
        <w:t>. Showing total bacterial count in cfu/ml found in fr</w:t>
      </w:r>
      <w:r>
        <w:rPr/>
        <w:t>esh</w:t>
      </w:r>
      <w:r>
        <w:rPr/>
        <w:t> vegetable(brinjal) on different</w:t>
      </w:r>
      <w:r>
        <w:rPr>
          <w:spacing w:val="40"/>
        </w:rPr>
        <w:t> </w:t>
      </w:r>
      <w:r>
        <w:rPr/>
        <w:t>culture</w:t>
      </w:r>
      <w:r>
        <w:rPr>
          <w:spacing w:val="40"/>
        </w:rPr>
        <w:t> </w:t>
      </w:r>
      <w:r>
        <w:rPr/>
        <w:t>media</w:t>
      </w:r>
      <w:r>
        <w:rPr>
          <w:spacing w:val="40"/>
        </w:rPr>
        <w:t> </w:t>
      </w:r>
      <w:r>
        <w:rPr/>
        <w:t>.</w:t>
      </w:r>
    </w:p>
    <w:p>
      <w:pPr>
        <w:pStyle w:val="BodyText"/>
        <w:spacing w:before="45"/>
        <w:ind w:left="0"/>
        <w:rPr>
          <w:sz w:val="20"/>
        </w:rPr>
      </w:pPr>
    </w:p>
    <w:tbl>
      <w:tblPr>
        <w:tblW w:w="0" w:type="auto"/>
        <w:jc w:val="left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1134"/>
        <w:gridCol w:w="1276"/>
        <w:gridCol w:w="1276"/>
        <w:gridCol w:w="1564"/>
        <w:gridCol w:w="1503"/>
      </w:tblGrid>
      <w:tr>
        <w:trPr>
          <w:trHeight w:val="321" w:hRule="atLeast"/>
        </w:trPr>
        <w:tc>
          <w:tcPr>
            <w:tcW w:w="2263" w:type="dxa"/>
            <w:vMerge w:val="restart"/>
          </w:tcPr>
          <w:p>
            <w:pPr>
              <w:pStyle w:val="TableParagraph"/>
              <w:spacing w:line="320" w:lineRule="atLeast" w:before="0"/>
              <w:ind w:left="489" w:hanging="339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Sampl</w:t>
            </w:r>
            <w:r>
              <w:rPr>
                <w:b/>
                <w:sz w:val="28"/>
              </w:rPr>
              <w:t>e</w:t>
            </w:r>
            <w:r>
              <w:rPr>
                <w:b/>
                <w:sz w:val="28"/>
              </w:rPr>
              <w:t> and Media</w:t>
            </w:r>
          </w:p>
        </w:tc>
        <w:tc>
          <w:tcPr>
            <w:tcW w:w="6753" w:type="dxa"/>
            <w:gridSpan w:val="5"/>
          </w:tcPr>
          <w:p>
            <w:pPr>
              <w:pStyle w:val="TableParagraph"/>
              <w:ind w:left="1996"/>
              <w:rPr>
                <w:b/>
                <w:sz w:val="28"/>
              </w:rPr>
            </w:pPr>
            <w:r>
              <w:rPr>
                <w:b/>
                <w:sz w:val="28"/>
              </w:rPr>
              <w:t>No. of </w:t>
            </w:r>
            <w:r>
              <w:rPr>
                <w:b/>
                <w:spacing w:val="-2"/>
                <w:sz w:val="28"/>
              </w:rPr>
              <w:t>Colonies(cfu/ml)</w:t>
            </w:r>
          </w:p>
        </w:tc>
      </w:tr>
      <w:tr>
        <w:trPr>
          <w:trHeight w:val="321" w:hRule="atLeast"/>
        </w:trPr>
        <w:tc>
          <w:tcPr>
            <w:tcW w:w="2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53" w:lineRule="auto" w:before="58"/>
              <w:ind w:left="352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153" w:lineRule="auto" w:before="58"/>
              <w:ind w:left="423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line="153" w:lineRule="auto" w:before="58"/>
              <w:ind w:left="423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564" w:type="dxa"/>
          </w:tcPr>
          <w:p>
            <w:pPr>
              <w:pStyle w:val="TableParagraph"/>
              <w:spacing w:line="153" w:lineRule="auto" w:before="5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503" w:type="dxa"/>
          </w:tcPr>
          <w:p>
            <w:pPr>
              <w:pStyle w:val="TableParagraph"/>
              <w:spacing w:line="153" w:lineRule="auto" w:before="5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Brinjal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69"/>
                <w:sz w:val="28"/>
              </w:rPr>
              <w:t> </w:t>
            </w:r>
            <w:r>
              <w:rPr>
                <w:spacing w:val="-5"/>
                <w:sz w:val="28"/>
              </w:rPr>
              <w:t>PDA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Brinjal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NAM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245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Brinjal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EMB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325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170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170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</w:tr>
      <w:tr>
        <w:trPr>
          <w:trHeight w:val="643" w:hRule="atLeast"/>
        </w:trPr>
        <w:tc>
          <w:tcPr>
            <w:tcW w:w="2263" w:type="dxa"/>
          </w:tcPr>
          <w:p>
            <w:pPr>
              <w:pStyle w:val="TableParagraph"/>
              <w:spacing w:line="320" w:lineRule="atLeast" w:before="0"/>
              <w:rPr>
                <w:sz w:val="28"/>
              </w:rPr>
            </w:pPr>
            <w:r>
              <w:rPr>
                <w:sz w:val="28"/>
              </w:rPr>
              <w:t>Brinjal </w:t>
            </w:r>
            <w:r>
              <w:rPr>
                <w:sz w:val="28"/>
              </w:rPr>
              <w:t>in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Macckonkey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195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190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190</w:t>
            </w:r>
          </w:p>
        </w:tc>
      </w:tr>
    </w:tbl>
    <w:p>
      <w:pPr>
        <w:pStyle w:val="TableParagraph"/>
        <w:spacing w:after="0" w:line="240" w:lineRule="auto"/>
        <w:rPr>
          <w:sz w:val="28"/>
        </w:rPr>
        <w:sectPr>
          <w:pgSz w:w="11910" w:h="16840"/>
          <w:pgMar w:top="1360" w:bottom="280" w:left="1133" w:right="1275"/>
        </w:sectPr>
      </w:pPr>
    </w:p>
    <w:p>
      <w:pPr>
        <w:pStyle w:val="BodyText"/>
        <w:spacing w:before="0"/>
        <w:ind w:left="337"/>
        <w:rPr>
          <w:sz w:val="20"/>
        </w:rPr>
      </w:pPr>
      <w:r>
        <w:rPr>
          <w:sz w:val="20"/>
        </w:rPr>
        <w:drawing>
          <wp:inline distT="0" distB="0" distL="0" distR="0">
            <wp:extent cx="4691408" cy="317658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408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8"/>
        <w:ind w:left="2763" w:hanging="2042"/>
      </w:pPr>
      <w:r>
        <w:rPr>
          <w:b/>
        </w:rPr>
        <w:t>Table</w:t>
      </w:r>
      <w:r>
        <w:rPr>
          <w:b/>
          <w:spacing w:val="-4"/>
        </w:rPr>
        <w:t> </w:t>
      </w:r>
      <w:r>
        <w:rPr>
          <w:b/>
        </w:rPr>
        <w:t>2</w:t>
      </w:r>
      <w:r>
        <w:rPr/>
        <w:t>.</w:t>
      </w:r>
      <w:r>
        <w:rPr>
          <w:spacing w:val="-4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bacterial</w:t>
      </w:r>
      <w:r>
        <w:rPr>
          <w:spacing w:val="-4"/>
        </w:rPr>
        <w:t> </w:t>
      </w:r>
      <w:r>
        <w:rPr/>
        <w:t>count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cfu/ml</w:t>
      </w:r>
      <w:r>
        <w:rPr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fresh</w:t>
      </w:r>
      <w:r>
        <w:rPr>
          <w:spacing w:val="-4"/>
        </w:rPr>
        <w:t> </w:t>
      </w:r>
      <w:r>
        <w:rPr/>
        <w:t>vegetab</w:t>
      </w:r>
      <w:r>
        <w:rPr/>
        <w:t>le</w:t>
      </w:r>
      <w:r>
        <w:rPr/>
        <w:t> (Tomato) on different culture media.</w:t>
      </w:r>
    </w:p>
    <w:p>
      <w:pPr>
        <w:pStyle w:val="BodyText"/>
        <w:spacing w:before="45"/>
        <w:ind w:left="0"/>
        <w:rPr>
          <w:sz w:val="20"/>
        </w:rPr>
      </w:pPr>
    </w:p>
    <w:tbl>
      <w:tblPr>
        <w:tblW w:w="0" w:type="auto"/>
        <w:jc w:val="left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1134"/>
        <w:gridCol w:w="1276"/>
        <w:gridCol w:w="1276"/>
        <w:gridCol w:w="1564"/>
        <w:gridCol w:w="1503"/>
      </w:tblGrid>
      <w:tr>
        <w:trPr>
          <w:trHeight w:val="321" w:hRule="atLeast"/>
        </w:trPr>
        <w:tc>
          <w:tcPr>
            <w:tcW w:w="2263" w:type="dxa"/>
            <w:vMerge w:val="restart"/>
          </w:tcPr>
          <w:p>
            <w:pPr>
              <w:pStyle w:val="TableParagraph"/>
              <w:spacing w:line="320" w:lineRule="atLeast" w:before="0"/>
              <w:ind w:left="489" w:hanging="339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Sampl</w:t>
            </w:r>
            <w:r>
              <w:rPr>
                <w:b/>
                <w:sz w:val="28"/>
              </w:rPr>
              <w:t>e</w:t>
            </w:r>
            <w:r>
              <w:rPr>
                <w:b/>
                <w:sz w:val="28"/>
              </w:rPr>
              <w:t> and Media</w:t>
            </w:r>
          </w:p>
        </w:tc>
        <w:tc>
          <w:tcPr>
            <w:tcW w:w="6753" w:type="dxa"/>
            <w:gridSpan w:val="5"/>
          </w:tcPr>
          <w:p>
            <w:pPr>
              <w:pStyle w:val="TableParagraph"/>
              <w:ind w:left="1996"/>
              <w:rPr>
                <w:b/>
                <w:sz w:val="28"/>
              </w:rPr>
            </w:pPr>
            <w:r>
              <w:rPr>
                <w:b/>
                <w:sz w:val="28"/>
              </w:rPr>
              <w:t>No. of </w:t>
            </w:r>
            <w:r>
              <w:rPr>
                <w:b/>
                <w:spacing w:val="-2"/>
                <w:sz w:val="28"/>
              </w:rPr>
              <w:t>Colonies(cfu/ml)</w:t>
            </w:r>
          </w:p>
        </w:tc>
      </w:tr>
      <w:tr>
        <w:trPr>
          <w:trHeight w:val="321" w:hRule="atLeast"/>
        </w:trPr>
        <w:tc>
          <w:tcPr>
            <w:tcW w:w="2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53" w:lineRule="auto" w:before="58"/>
              <w:ind w:left="352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153" w:lineRule="auto" w:before="58"/>
              <w:ind w:left="423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line="153" w:lineRule="auto" w:before="58"/>
              <w:ind w:left="423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564" w:type="dxa"/>
          </w:tcPr>
          <w:p>
            <w:pPr>
              <w:pStyle w:val="TableParagraph"/>
              <w:spacing w:line="153" w:lineRule="auto" w:before="5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503" w:type="dxa"/>
          </w:tcPr>
          <w:p>
            <w:pPr>
              <w:pStyle w:val="TableParagraph"/>
              <w:spacing w:line="153" w:lineRule="auto" w:before="5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ind w:left="0" w:right="176"/>
              <w:jc w:val="center"/>
              <w:rPr>
                <w:sz w:val="28"/>
              </w:rPr>
            </w:pPr>
            <w:r>
              <w:rPr>
                <w:sz w:val="28"/>
              </w:rPr>
              <w:t>Tomato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0"/>
                <w:sz w:val="28"/>
              </w:rPr>
              <w:t> </w:t>
            </w:r>
            <w:r>
              <w:rPr>
                <w:spacing w:val="-5"/>
                <w:sz w:val="28"/>
              </w:rPr>
              <w:t>PDA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ind w:left="93" w:right="176"/>
              <w:jc w:val="center"/>
              <w:rPr>
                <w:sz w:val="28"/>
              </w:rPr>
            </w:pPr>
            <w:r>
              <w:rPr>
                <w:sz w:val="28"/>
              </w:rPr>
              <w:t>Tomato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0"/>
                <w:sz w:val="28"/>
              </w:rPr>
              <w:t> </w:t>
            </w:r>
            <w:r>
              <w:rPr>
                <w:spacing w:val="-5"/>
                <w:sz w:val="28"/>
              </w:rPr>
              <w:t>NAM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450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ind w:left="46" w:right="176"/>
              <w:jc w:val="center"/>
              <w:rPr>
                <w:sz w:val="28"/>
              </w:rPr>
            </w:pPr>
            <w:r>
              <w:rPr>
                <w:sz w:val="28"/>
              </w:rPr>
              <w:t>Tomato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0"/>
                <w:sz w:val="28"/>
              </w:rPr>
              <w:t> </w:t>
            </w:r>
            <w:r>
              <w:rPr>
                <w:spacing w:val="-5"/>
                <w:sz w:val="28"/>
              </w:rPr>
              <w:t>EMB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440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230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220</w:t>
            </w:r>
          </w:p>
        </w:tc>
      </w:tr>
      <w:tr>
        <w:trPr>
          <w:trHeight w:val="643" w:hRule="atLeast"/>
        </w:trPr>
        <w:tc>
          <w:tcPr>
            <w:tcW w:w="2263" w:type="dxa"/>
          </w:tcPr>
          <w:p>
            <w:pPr>
              <w:pStyle w:val="TableParagraph"/>
              <w:spacing w:line="320" w:lineRule="atLeast" w:before="0"/>
              <w:rPr>
                <w:sz w:val="28"/>
              </w:rPr>
            </w:pPr>
            <w:r>
              <w:rPr>
                <w:sz w:val="28"/>
              </w:rPr>
              <w:t>Tomato </w:t>
            </w:r>
            <w:r>
              <w:rPr>
                <w:sz w:val="28"/>
              </w:rPr>
              <w:t>in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Macckonkey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550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455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</w:tr>
    </w:tbl>
    <w:p>
      <w:pPr>
        <w:pStyle w:val="TableParagraph"/>
        <w:spacing w:after="0" w:line="240" w:lineRule="auto"/>
        <w:rPr>
          <w:sz w:val="28"/>
        </w:rPr>
        <w:sectPr>
          <w:pgSz w:w="11910" w:h="16840"/>
          <w:pgMar w:top="1420" w:bottom="280" w:left="1133" w:right="1275"/>
        </w:sectPr>
      </w:pPr>
    </w:p>
    <w:p>
      <w:pPr>
        <w:pStyle w:val="BodyText"/>
        <w:spacing w:before="0"/>
        <w:rPr>
          <w:sz w:val="20"/>
        </w:rPr>
      </w:pPr>
      <w:r>
        <w:rPr>
          <w:sz w:val="20"/>
        </w:rPr>
        <w:drawing>
          <wp:inline distT="0" distB="0" distL="0" distR="0">
            <wp:extent cx="5367919" cy="356235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919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ind w:left="0"/>
      </w:pPr>
    </w:p>
    <w:p>
      <w:pPr>
        <w:pStyle w:val="BodyText"/>
        <w:spacing w:before="239"/>
        <w:ind w:left="0"/>
      </w:pPr>
    </w:p>
    <w:p>
      <w:pPr>
        <w:pStyle w:val="BodyText"/>
        <w:spacing w:before="0"/>
      </w:pPr>
      <w:r>
        <w:rPr>
          <w:b/>
        </w:rPr>
        <w:t>Table</w:t>
      </w:r>
      <w:r>
        <w:rPr>
          <w:b/>
          <w:spacing w:val="-4"/>
        </w:rPr>
        <w:t> </w:t>
      </w:r>
      <w:r>
        <w:rPr>
          <w:b/>
        </w:rPr>
        <w:t>3</w:t>
      </w:r>
      <w:r>
        <w:rPr/>
        <w:t>.</w:t>
      </w:r>
      <w:r>
        <w:rPr>
          <w:spacing w:val="-4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bacterial</w:t>
      </w:r>
      <w:r>
        <w:rPr>
          <w:spacing w:val="-4"/>
        </w:rPr>
        <w:t> </w:t>
      </w:r>
      <w:r>
        <w:rPr/>
        <w:t>count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cfu/ml</w:t>
      </w:r>
      <w:r>
        <w:rPr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fresh</w:t>
      </w:r>
      <w:r>
        <w:rPr>
          <w:spacing w:val="-4"/>
        </w:rPr>
        <w:t> </w:t>
      </w:r>
      <w:r>
        <w:rPr/>
        <w:t>fruit(apple)</w:t>
      </w:r>
      <w:r>
        <w:rPr>
          <w:spacing w:val="-4"/>
        </w:rPr>
        <w:t> </w:t>
      </w:r>
      <w:r>
        <w:rPr/>
        <w:t>on</w:t>
      </w:r>
      <w:r>
        <w:rPr/>
        <w:t> different culture media.</w:t>
      </w:r>
    </w:p>
    <w:p>
      <w:pPr>
        <w:pStyle w:val="BodyText"/>
        <w:spacing w:before="45"/>
        <w:ind w:left="0"/>
        <w:rPr>
          <w:sz w:val="20"/>
        </w:rPr>
      </w:pPr>
    </w:p>
    <w:tbl>
      <w:tblPr>
        <w:tblW w:w="0" w:type="auto"/>
        <w:jc w:val="left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1134"/>
        <w:gridCol w:w="1276"/>
        <w:gridCol w:w="1276"/>
        <w:gridCol w:w="1564"/>
        <w:gridCol w:w="1503"/>
      </w:tblGrid>
      <w:tr>
        <w:trPr>
          <w:trHeight w:val="321" w:hRule="atLeast"/>
        </w:trPr>
        <w:tc>
          <w:tcPr>
            <w:tcW w:w="2263" w:type="dxa"/>
            <w:vMerge w:val="restart"/>
          </w:tcPr>
          <w:p>
            <w:pPr>
              <w:pStyle w:val="TableParagraph"/>
              <w:spacing w:line="320" w:lineRule="atLeast" w:before="0"/>
              <w:ind w:left="489" w:hanging="339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Sampl</w:t>
            </w:r>
            <w:r>
              <w:rPr>
                <w:b/>
                <w:sz w:val="28"/>
              </w:rPr>
              <w:t>e</w:t>
            </w:r>
            <w:r>
              <w:rPr>
                <w:b/>
                <w:sz w:val="28"/>
              </w:rPr>
              <w:t> and Media</w:t>
            </w:r>
          </w:p>
        </w:tc>
        <w:tc>
          <w:tcPr>
            <w:tcW w:w="6753" w:type="dxa"/>
            <w:gridSpan w:val="5"/>
          </w:tcPr>
          <w:p>
            <w:pPr>
              <w:pStyle w:val="TableParagraph"/>
              <w:ind w:left="1996"/>
              <w:rPr>
                <w:b/>
                <w:sz w:val="28"/>
              </w:rPr>
            </w:pPr>
            <w:r>
              <w:rPr>
                <w:b/>
                <w:sz w:val="28"/>
              </w:rPr>
              <w:t>No. of </w:t>
            </w:r>
            <w:r>
              <w:rPr>
                <w:b/>
                <w:spacing w:val="-2"/>
                <w:sz w:val="28"/>
              </w:rPr>
              <w:t>Colonies(cfu/ml)</w:t>
            </w:r>
          </w:p>
        </w:tc>
      </w:tr>
      <w:tr>
        <w:trPr>
          <w:trHeight w:val="321" w:hRule="atLeast"/>
        </w:trPr>
        <w:tc>
          <w:tcPr>
            <w:tcW w:w="2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53" w:lineRule="auto" w:before="58"/>
              <w:ind w:left="352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153" w:lineRule="auto" w:before="58"/>
              <w:ind w:left="423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line="153" w:lineRule="auto" w:before="58"/>
              <w:ind w:left="423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564" w:type="dxa"/>
          </w:tcPr>
          <w:p>
            <w:pPr>
              <w:pStyle w:val="TableParagraph"/>
              <w:spacing w:line="153" w:lineRule="auto" w:before="5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503" w:type="dxa"/>
          </w:tcPr>
          <w:p>
            <w:pPr>
              <w:pStyle w:val="TableParagraph"/>
              <w:spacing w:line="153" w:lineRule="auto" w:before="5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Apple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68"/>
                <w:sz w:val="28"/>
              </w:rPr>
              <w:t> </w:t>
            </w:r>
            <w:r>
              <w:rPr>
                <w:spacing w:val="-5"/>
                <w:sz w:val="28"/>
              </w:rPr>
              <w:t>PDA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Apple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NAM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355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325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Apple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EMB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360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</w:tr>
      <w:tr>
        <w:trPr>
          <w:trHeight w:val="643" w:hRule="atLeast"/>
        </w:trPr>
        <w:tc>
          <w:tcPr>
            <w:tcW w:w="2263" w:type="dxa"/>
          </w:tcPr>
          <w:p>
            <w:pPr>
              <w:pStyle w:val="TableParagraph"/>
              <w:spacing w:line="320" w:lineRule="atLeast" w:before="0"/>
              <w:rPr>
                <w:sz w:val="28"/>
              </w:rPr>
            </w:pPr>
            <w:r>
              <w:rPr>
                <w:sz w:val="28"/>
              </w:rPr>
              <w:t>Apple </w:t>
            </w:r>
            <w:r>
              <w:rPr>
                <w:sz w:val="28"/>
              </w:rPr>
              <w:t>in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Macckonkey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430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315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230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170</w:t>
            </w:r>
          </w:p>
        </w:tc>
      </w:tr>
    </w:tbl>
    <w:p>
      <w:pPr>
        <w:pStyle w:val="TableParagraph"/>
        <w:spacing w:after="0" w:line="240" w:lineRule="auto"/>
        <w:rPr>
          <w:sz w:val="28"/>
        </w:rPr>
        <w:sectPr>
          <w:pgSz w:w="11910" w:h="16840"/>
          <w:pgMar w:top="1420" w:bottom="280" w:left="1133" w:right="1275"/>
        </w:sectPr>
      </w:pPr>
    </w:p>
    <w:p>
      <w:pPr>
        <w:pStyle w:val="BodyText"/>
        <w:spacing w:before="0"/>
        <w:rPr>
          <w:sz w:val="20"/>
        </w:rPr>
      </w:pPr>
      <w:r>
        <w:rPr>
          <w:sz w:val="20"/>
        </w:rPr>
        <w:drawing>
          <wp:inline distT="0" distB="0" distL="0" distR="0">
            <wp:extent cx="5088040" cy="337661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40" cy="33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ind w:left="0"/>
      </w:pPr>
    </w:p>
    <w:p>
      <w:pPr>
        <w:pStyle w:val="BodyText"/>
        <w:spacing w:before="196"/>
        <w:ind w:left="0"/>
      </w:pPr>
    </w:p>
    <w:p>
      <w:pPr>
        <w:pStyle w:val="BodyText"/>
        <w:spacing w:before="0"/>
      </w:pPr>
      <w:r>
        <w:rPr>
          <w:b/>
        </w:rPr>
        <w:t>Table</w:t>
      </w:r>
      <w:r>
        <w:rPr>
          <w:b/>
          <w:spacing w:val="-4"/>
        </w:rPr>
        <w:t> </w:t>
      </w:r>
      <w:r>
        <w:rPr>
          <w:b/>
        </w:rPr>
        <w:t>4</w:t>
      </w:r>
      <w:r>
        <w:rPr/>
        <w:t>.</w:t>
      </w:r>
      <w:r>
        <w:rPr>
          <w:spacing w:val="-4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bacterial</w:t>
      </w:r>
      <w:r>
        <w:rPr>
          <w:spacing w:val="-4"/>
        </w:rPr>
        <w:t> </w:t>
      </w:r>
      <w:r>
        <w:rPr/>
        <w:t>count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cfu/ml</w:t>
      </w:r>
      <w:r>
        <w:rPr>
          <w:spacing w:val="-4"/>
        </w:rPr>
        <w:t> </w:t>
      </w:r>
      <w:r>
        <w:rPr/>
        <w:t>found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fresh</w:t>
      </w:r>
      <w:r>
        <w:rPr>
          <w:spacing w:val="-4"/>
        </w:rPr>
        <w:t> </w:t>
      </w:r>
      <w:r>
        <w:rPr/>
        <w:t>fruit(mango)</w:t>
      </w:r>
      <w:r>
        <w:rPr>
          <w:spacing w:val="-4"/>
        </w:rPr>
        <w:t> </w:t>
      </w:r>
      <w:r>
        <w:rPr/>
        <w:t>on</w:t>
      </w:r>
      <w:r>
        <w:rPr/>
        <w:t> different culture media.</w:t>
      </w:r>
    </w:p>
    <w:p>
      <w:pPr>
        <w:pStyle w:val="BodyText"/>
        <w:spacing w:before="45"/>
        <w:ind w:left="0"/>
        <w:rPr>
          <w:sz w:val="20"/>
        </w:rPr>
      </w:pPr>
    </w:p>
    <w:tbl>
      <w:tblPr>
        <w:tblW w:w="0" w:type="auto"/>
        <w:jc w:val="left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1134"/>
        <w:gridCol w:w="1276"/>
        <w:gridCol w:w="1276"/>
        <w:gridCol w:w="1564"/>
        <w:gridCol w:w="1503"/>
      </w:tblGrid>
      <w:tr>
        <w:trPr>
          <w:trHeight w:val="321" w:hRule="atLeast"/>
        </w:trPr>
        <w:tc>
          <w:tcPr>
            <w:tcW w:w="2263" w:type="dxa"/>
            <w:vMerge w:val="restart"/>
          </w:tcPr>
          <w:p>
            <w:pPr>
              <w:pStyle w:val="TableParagraph"/>
              <w:spacing w:line="320" w:lineRule="atLeast" w:before="0"/>
              <w:ind w:left="489" w:hanging="339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Sampl</w:t>
            </w:r>
            <w:r>
              <w:rPr>
                <w:b/>
                <w:sz w:val="28"/>
              </w:rPr>
              <w:t>e</w:t>
            </w:r>
            <w:r>
              <w:rPr>
                <w:b/>
                <w:sz w:val="28"/>
              </w:rPr>
              <w:t> and Media</w:t>
            </w:r>
          </w:p>
        </w:tc>
        <w:tc>
          <w:tcPr>
            <w:tcW w:w="6753" w:type="dxa"/>
            <w:gridSpan w:val="5"/>
          </w:tcPr>
          <w:p>
            <w:pPr>
              <w:pStyle w:val="TableParagraph"/>
              <w:ind w:left="1996"/>
              <w:rPr>
                <w:b/>
                <w:sz w:val="28"/>
              </w:rPr>
            </w:pPr>
            <w:r>
              <w:rPr>
                <w:b/>
                <w:sz w:val="28"/>
              </w:rPr>
              <w:t>No. of </w:t>
            </w:r>
            <w:r>
              <w:rPr>
                <w:b/>
                <w:spacing w:val="-2"/>
                <w:sz w:val="28"/>
              </w:rPr>
              <w:t>Colonies(cfu/ml)</w:t>
            </w:r>
          </w:p>
        </w:tc>
      </w:tr>
      <w:tr>
        <w:trPr>
          <w:trHeight w:val="321" w:hRule="atLeast"/>
        </w:trPr>
        <w:tc>
          <w:tcPr>
            <w:tcW w:w="2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53" w:lineRule="auto" w:before="58"/>
              <w:ind w:left="352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153" w:lineRule="auto" w:before="58"/>
              <w:ind w:left="423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line="153" w:lineRule="auto" w:before="58"/>
              <w:ind w:left="423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564" w:type="dxa"/>
          </w:tcPr>
          <w:p>
            <w:pPr>
              <w:pStyle w:val="TableParagraph"/>
              <w:spacing w:line="153" w:lineRule="auto" w:before="5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503" w:type="dxa"/>
          </w:tcPr>
          <w:p>
            <w:pPr>
              <w:pStyle w:val="TableParagraph"/>
              <w:spacing w:line="153" w:lineRule="auto" w:before="5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position w:val="-9"/>
                <w:sz w:val="28"/>
              </w:rPr>
              <w:t>10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Mango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0"/>
                <w:sz w:val="28"/>
              </w:rPr>
              <w:t> </w:t>
            </w:r>
            <w:r>
              <w:rPr>
                <w:spacing w:val="-5"/>
                <w:sz w:val="28"/>
              </w:rPr>
              <w:t>PDA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Mango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 </w:t>
            </w:r>
            <w:r>
              <w:rPr>
                <w:spacing w:val="-5"/>
                <w:sz w:val="28"/>
              </w:rPr>
              <w:t>NAM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420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335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230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</w:tr>
      <w:tr>
        <w:trPr>
          <w:trHeight w:val="321" w:hRule="atLeast"/>
        </w:trPr>
        <w:tc>
          <w:tcPr>
            <w:tcW w:w="226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Mango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 </w:t>
            </w:r>
            <w:r>
              <w:rPr>
                <w:spacing w:val="-5"/>
                <w:sz w:val="28"/>
              </w:rPr>
              <w:t>EMB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550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430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340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</w:tr>
      <w:tr>
        <w:trPr>
          <w:trHeight w:val="643" w:hRule="atLeast"/>
        </w:trPr>
        <w:tc>
          <w:tcPr>
            <w:tcW w:w="2263" w:type="dxa"/>
          </w:tcPr>
          <w:p>
            <w:pPr>
              <w:pStyle w:val="TableParagraph"/>
              <w:spacing w:line="320" w:lineRule="atLeast" w:before="0"/>
              <w:rPr>
                <w:sz w:val="28"/>
              </w:rPr>
            </w:pPr>
            <w:r>
              <w:rPr>
                <w:sz w:val="28"/>
              </w:rPr>
              <w:t>Mango </w:t>
            </w:r>
            <w:r>
              <w:rPr>
                <w:sz w:val="28"/>
              </w:rPr>
              <w:t>in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Macckonkey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450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415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360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315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</w:tr>
    </w:tbl>
    <w:p>
      <w:pPr>
        <w:pStyle w:val="TableParagraph"/>
        <w:spacing w:after="0" w:line="240" w:lineRule="auto"/>
        <w:rPr>
          <w:sz w:val="28"/>
        </w:rPr>
        <w:sectPr>
          <w:pgSz w:w="11910" w:h="16840"/>
          <w:pgMar w:top="1420" w:bottom="280" w:left="1133" w:right="1275"/>
        </w:sectPr>
      </w:pPr>
    </w:p>
    <w:p>
      <w:pPr>
        <w:pStyle w:val="BodyText"/>
        <w:spacing w:before="0"/>
        <w:rPr>
          <w:sz w:val="20"/>
        </w:rPr>
      </w:pPr>
      <w:r>
        <w:rPr>
          <w:sz w:val="20"/>
        </w:rPr>
        <w:drawing>
          <wp:inline distT="0" distB="0" distL="0" distR="0">
            <wp:extent cx="5730130" cy="395763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30" cy="395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3"/>
        <w:rPr>
          <w:rFonts w:ascii="Times New Roman"/>
        </w:rPr>
      </w:pPr>
      <w:r>
        <w:rPr>
          <w:rFonts w:ascii="Times New Roman"/>
        </w:rPr>
        <w:t>Result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77"/>
        </w:rPr>
        <w:t> </w:t>
      </w:r>
      <w:r>
        <w:rPr>
          <w:rFonts w:ascii="Times New Roman"/>
          <w:spacing w:val="-2"/>
        </w:rPr>
        <w:t>Discussion:</w:t>
      </w:r>
    </w:p>
    <w:p>
      <w:pPr>
        <w:pStyle w:val="Heading2"/>
        <w:jc w:val="left"/>
      </w:pPr>
      <w:r>
        <w:rPr/>
        <w:t>Total</w:t>
      </w:r>
      <w:r>
        <w:rPr>
          <w:spacing w:val="-3"/>
        </w:rPr>
        <w:t> </w:t>
      </w:r>
      <w:r>
        <w:rPr/>
        <w:t>Viable</w:t>
      </w:r>
      <w:r>
        <w:rPr>
          <w:spacing w:val="-3"/>
        </w:rPr>
        <w:t> </w:t>
      </w:r>
      <w:r>
        <w:rPr>
          <w:spacing w:val="-2"/>
        </w:rPr>
        <w:t>Count</w:t>
      </w:r>
    </w:p>
    <w:p>
      <w:pPr>
        <w:pStyle w:val="BodyText"/>
        <w:ind w:right="166"/>
        <w:jc w:val="both"/>
      </w:pPr>
      <w:r>
        <w:rPr/>
        <w:t>In this study, all sampled fruits and vegetables collected from the local mark</w:t>
      </w:r>
      <w:r>
        <w:rPr/>
        <w:t>ets</w:t>
      </w:r>
      <w:r>
        <w:rPr/>
        <w:t> of Bilaspur were found to be contaminated. The microbial load var</w:t>
      </w:r>
      <w:r>
        <w:rPr/>
        <w:t>ied</w:t>
      </w:r>
      <w:r>
        <w:rPr/>
        <w:t> significantly depending on the type of produce.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278" w:after="0"/>
        <w:ind w:left="1027" w:right="636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total</w:t>
      </w:r>
      <w:r>
        <w:rPr>
          <w:spacing w:val="-4"/>
          <w:sz w:val="28"/>
        </w:rPr>
        <w:t> </w:t>
      </w:r>
      <w:r>
        <w:rPr>
          <w:sz w:val="28"/>
        </w:rPr>
        <w:t>viable</w:t>
      </w:r>
      <w:r>
        <w:rPr>
          <w:spacing w:val="-4"/>
          <w:sz w:val="28"/>
        </w:rPr>
        <w:t> </w:t>
      </w:r>
      <w:r>
        <w:rPr>
          <w:sz w:val="28"/>
        </w:rPr>
        <w:t>count(cfu/ml)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brinjal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40"/>
          <w:sz w:val="28"/>
        </w:rPr>
        <w:t> </w:t>
      </w:r>
      <w:r>
        <w:rPr>
          <w:sz w:val="28"/>
        </w:rPr>
        <w:t>Nutrient</w:t>
      </w:r>
      <w:r>
        <w:rPr>
          <w:spacing w:val="-4"/>
          <w:sz w:val="28"/>
        </w:rPr>
        <w:t> </w:t>
      </w:r>
      <w:r>
        <w:rPr>
          <w:sz w:val="28"/>
        </w:rPr>
        <w:t>Agar,</w:t>
      </w:r>
      <w:r>
        <w:rPr>
          <w:spacing w:val="-4"/>
          <w:sz w:val="28"/>
        </w:rPr>
        <w:t> </w:t>
      </w:r>
      <w:r>
        <w:rPr>
          <w:sz w:val="28"/>
        </w:rPr>
        <w:t>EMB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z w:val="28"/>
        </w:rPr>
        <w:t> Macconkey are</w:t>
      </w:r>
      <w:r>
        <w:rPr>
          <w:spacing w:val="40"/>
          <w:sz w:val="28"/>
        </w:rPr>
        <w:t> </w:t>
      </w:r>
      <w:r>
        <w:rPr>
          <w:sz w:val="28"/>
        </w:rPr>
        <w:t>shown in Table no.1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0" w:after="0"/>
        <w:ind w:left="1027" w:right="658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total</w:t>
      </w:r>
      <w:r>
        <w:rPr>
          <w:spacing w:val="-4"/>
          <w:sz w:val="28"/>
        </w:rPr>
        <w:t> </w:t>
      </w:r>
      <w:r>
        <w:rPr>
          <w:sz w:val="28"/>
        </w:rPr>
        <w:t>viable</w:t>
      </w:r>
      <w:r>
        <w:rPr>
          <w:spacing w:val="-4"/>
          <w:sz w:val="28"/>
        </w:rPr>
        <w:t> </w:t>
      </w:r>
      <w:r>
        <w:rPr>
          <w:sz w:val="28"/>
        </w:rPr>
        <w:t>count(cfu/ml)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tomato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-4"/>
          <w:sz w:val="28"/>
        </w:rPr>
        <w:t> </w:t>
      </w:r>
      <w:r>
        <w:rPr>
          <w:sz w:val="28"/>
        </w:rPr>
        <w:t>Nutrient</w:t>
      </w:r>
      <w:r>
        <w:rPr>
          <w:spacing w:val="-4"/>
          <w:sz w:val="28"/>
        </w:rPr>
        <w:t> </w:t>
      </w:r>
      <w:r>
        <w:rPr>
          <w:sz w:val="28"/>
        </w:rPr>
        <w:t>Agar,</w:t>
      </w:r>
      <w:r>
        <w:rPr>
          <w:spacing w:val="-4"/>
          <w:sz w:val="28"/>
        </w:rPr>
        <w:t> </w:t>
      </w:r>
      <w:r>
        <w:rPr>
          <w:sz w:val="28"/>
        </w:rPr>
        <w:t>EMB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z w:val="28"/>
        </w:rPr>
        <w:t> Macconkey are</w:t>
      </w:r>
      <w:r>
        <w:rPr>
          <w:spacing w:val="40"/>
          <w:sz w:val="28"/>
        </w:rPr>
        <w:t> </w:t>
      </w:r>
      <w:r>
        <w:rPr>
          <w:sz w:val="28"/>
        </w:rPr>
        <w:t>shown in Table no.2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0" w:after="0"/>
        <w:ind w:left="1027" w:right="760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total</w:t>
      </w:r>
      <w:r>
        <w:rPr>
          <w:spacing w:val="-4"/>
          <w:sz w:val="28"/>
        </w:rPr>
        <w:t> </w:t>
      </w:r>
      <w:r>
        <w:rPr>
          <w:sz w:val="28"/>
        </w:rPr>
        <w:t>viable</w:t>
      </w:r>
      <w:r>
        <w:rPr>
          <w:spacing w:val="-4"/>
          <w:sz w:val="28"/>
        </w:rPr>
        <w:t> </w:t>
      </w:r>
      <w:r>
        <w:rPr>
          <w:sz w:val="28"/>
        </w:rPr>
        <w:t>count(cfu/ml)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apple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40"/>
          <w:sz w:val="28"/>
        </w:rPr>
        <w:t> </w:t>
      </w:r>
      <w:r>
        <w:rPr>
          <w:sz w:val="28"/>
        </w:rPr>
        <w:t>Nutrient</w:t>
      </w:r>
      <w:r>
        <w:rPr>
          <w:spacing w:val="-4"/>
          <w:sz w:val="28"/>
        </w:rPr>
        <w:t> </w:t>
      </w:r>
      <w:r>
        <w:rPr>
          <w:sz w:val="28"/>
        </w:rPr>
        <w:t>Agar,</w:t>
      </w:r>
      <w:r>
        <w:rPr>
          <w:spacing w:val="-4"/>
          <w:sz w:val="28"/>
        </w:rPr>
        <w:t> </w:t>
      </w:r>
      <w:r>
        <w:rPr>
          <w:sz w:val="28"/>
        </w:rPr>
        <w:t>EMB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z w:val="28"/>
        </w:rPr>
        <w:t> Macconkey are</w:t>
      </w:r>
      <w:r>
        <w:rPr>
          <w:spacing w:val="40"/>
          <w:sz w:val="28"/>
        </w:rPr>
        <w:t> </w:t>
      </w:r>
      <w:r>
        <w:rPr>
          <w:sz w:val="28"/>
        </w:rPr>
        <w:t>shown in Table no.3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40" w:lineRule="auto" w:before="0" w:after="0"/>
        <w:ind w:left="1027" w:right="604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total</w:t>
      </w:r>
      <w:r>
        <w:rPr>
          <w:spacing w:val="-4"/>
          <w:sz w:val="28"/>
        </w:rPr>
        <w:t> </w:t>
      </w:r>
      <w:r>
        <w:rPr>
          <w:sz w:val="28"/>
        </w:rPr>
        <w:t>viable</w:t>
      </w:r>
      <w:r>
        <w:rPr>
          <w:spacing w:val="-4"/>
          <w:sz w:val="28"/>
        </w:rPr>
        <w:t> </w:t>
      </w:r>
      <w:r>
        <w:rPr>
          <w:sz w:val="28"/>
        </w:rPr>
        <w:t>count(cfu/ml)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mango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40"/>
          <w:sz w:val="28"/>
        </w:rPr>
        <w:t> </w:t>
      </w:r>
      <w:r>
        <w:rPr>
          <w:sz w:val="28"/>
        </w:rPr>
        <w:t>Nutrient</w:t>
      </w:r>
      <w:r>
        <w:rPr>
          <w:spacing w:val="-4"/>
          <w:sz w:val="28"/>
        </w:rPr>
        <w:t> </w:t>
      </w:r>
      <w:r>
        <w:rPr>
          <w:sz w:val="28"/>
        </w:rPr>
        <w:t>Agar,</w:t>
      </w:r>
      <w:r>
        <w:rPr>
          <w:spacing w:val="-4"/>
          <w:sz w:val="28"/>
        </w:rPr>
        <w:t> </w:t>
      </w:r>
      <w:r>
        <w:rPr>
          <w:sz w:val="28"/>
        </w:rPr>
        <w:t>EMB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z w:val="28"/>
        </w:rPr>
        <w:t> Macconkey are</w:t>
      </w:r>
      <w:r>
        <w:rPr>
          <w:spacing w:val="40"/>
          <w:sz w:val="28"/>
        </w:rPr>
        <w:t> </w:t>
      </w:r>
      <w:r>
        <w:rPr>
          <w:sz w:val="28"/>
        </w:rPr>
        <w:t>shown in Table no.4</w:t>
      </w:r>
    </w:p>
    <w:p>
      <w:pPr>
        <w:pStyle w:val="BodyText"/>
        <w:spacing w:before="277"/>
        <w:ind w:right="298" w:firstLine="70"/>
        <w:jc w:val="both"/>
      </w:pPr>
      <w:r>
        <w:rPr/>
        <w:t>Furthermore,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fungal</w:t>
      </w:r>
      <w:r>
        <w:rPr>
          <w:spacing w:val="-2"/>
        </w:rPr>
        <w:t> </w:t>
      </w:r>
      <w:r>
        <w:rPr/>
        <w:t>growth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Potato</w:t>
      </w:r>
      <w:r>
        <w:rPr>
          <w:spacing w:val="-2"/>
        </w:rPr>
        <w:t> </w:t>
      </w:r>
      <w:r>
        <w:rPr/>
        <w:t>Dextrose</w:t>
      </w:r>
      <w:r>
        <w:rPr>
          <w:spacing w:val="-2"/>
        </w:rPr>
        <w:t> </w:t>
      </w:r>
      <w:r>
        <w:rPr/>
        <w:t>Ag</w:t>
      </w:r>
      <w:r>
        <w:rPr/>
        <w:t>ar</w:t>
      </w:r>
      <w:r>
        <w:rPr/>
        <w:t> for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samples.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fresh</w:t>
      </w:r>
      <w:r>
        <w:rPr>
          <w:spacing w:val="-4"/>
        </w:rPr>
        <w:t> </w:t>
      </w:r>
      <w:r>
        <w:rPr/>
        <w:t>fruits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vegetables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heavily</w:t>
      </w:r>
      <w:r>
        <w:rPr>
          <w:spacing w:val="-4"/>
        </w:rPr>
        <w:t> </w:t>
      </w:r>
      <w:r>
        <w:rPr/>
        <w:t>contaminated</w:t>
      </w:r>
      <w:r>
        <w:rPr>
          <w:spacing w:val="-4"/>
        </w:rPr>
        <w:t> </w:t>
      </w:r>
      <w:r>
        <w:rPr/>
        <w:t>w</w:t>
      </w:r>
      <w:r>
        <w:rPr/>
        <w:t>ith</w:t>
      </w:r>
      <w:r>
        <w:rPr/>
        <w:t> coliforms, indicating severe unhygienic exposure.</w:t>
      </w:r>
    </w:p>
    <w:p>
      <w:pPr>
        <w:spacing w:before="280"/>
        <w:ind w:left="307" w:right="0" w:firstLine="0"/>
        <w:jc w:val="both"/>
        <w:rPr>
          <w:sz w:val="24"/>
        </w:rPr>
      </w:pPr>
      <w:r>
        <w:rPr>
          <w:b/>
          <w:sz w:val="28"/>
        </w:rPr>
        <w:t>Fig1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colonies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PDA</w:t>
      </w:r>
      <w:r>
        <w:rPr>
          <w:spacing w:val="-2"/>
          <w:sz w:val="24"/>
        </w:rPr>
        <w:t> </w:t>
      </w:r>
      <w:r>
        <w:rPr>
          <w:sz w:val="24"/>
        </w:rPr>
        <w:t>plates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vegetable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fruit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samples.</w:t>
      </w:r>
    </w:p>
    <w:p>
      <w:pPr>
        <w:spacing w:after="0"/>
        <w:jc w:val="both"/>
        <w:rPr>
          <w:sz w:val="24"/>
        </w:rPr>
        <w:sectPr>
          <w:pgSz w:w="11910" w:h="16840"/>
          <w:pgMar w:top="1420" w:bottom="280" w:left="1133" w:right="1275"/>
        </w:sectPr>
      </w:pPr>
    </w:p>
    <w:p>
      <w:pPr>
        <w:tabs>
          <w:tab w:pos="6692" w:val="left" w:leader="none"/>
        </w:tabs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84299" cy="1290637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299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384905" cy="13716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9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885" w:val="left" w:leader="none"/>
        </w:tabs>
        <w:spacing w:before="285"/>
        <w:ind w:left="1356"/>
      </w:pPr>
      <w:r>
        <w:rPr/>
        <w:t>(Brinjal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Tomato)</w:t>
      </w:r>
      <w:r>
        <w:rPr/>
        <w:tab/>
        <w:t>(Apple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Mango)</w:t>
      </w:r>
    </w:p>
    <w:p>
      <w:pPr>
        <w:pStyle w:val="BodyText"/>
        <w:ind w:left="306"/>
      </w:pPr>
      <w:r>
        <w:rPr>
          <w:b/>
        </w:rPr>
        <w:t>Fig2.</w:t>
      </w:r>
      <w:r>
        <w:rPr>
          <w:b/>
          <w:spacing w:val="-4"/>
        </w:rPr>
        <w:t> </w:t>
      </w:r>
      <w:r>
        <w:rPr/>
        <w:t>Showing</w:t>
      </w:r>
      <w:r>
        <w:rPr>
          <w:spacing w:val="-2"/>
        </w:rPr>
        <w:t> </w:t>
      </w:r>
      <w:r>
        <w:rPr/>
        <w:t>colonies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Nutrient</w:t>
      </w:r>
      <w:r>
        <w:rPr>
          <w:spacing w:val="-2"/>
        </w:rPr>
        <w:t> </w:t>
      </w:r>
      <w:r>
        <w:rPr/>
        <w:t>agar</w:t>
      </w:r>
      <w:r>
        <w:rPr>
          <w:spacing w:val="-2"/>
        </w:rPr>
        <w:t> </w:t>
      </w:r>
      <w:r>
        <w:rPr/>
        <w:t>plate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fruit</w:t>
      </w:r>
      <w:r>
        <w:rPr>
          <w:spacing w:val="-1"/>
        </w:rPr>
        <w:t> </w:t>
      </w:r>
      <w:r>
        <w:rPr>
          <w:spacing w:val="-2"/>
        </w:rPr>
        <w:t>samples</w:t>
      </w:r>
    </w:p>
    <w:p>
      <w:pPr>
        <w:pStyle w:val="BodyText"/>
        <w:spacing w:before="25"/>
        <w:ind w:left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958848</wp:posOffset>
                </wp:positionH>
                <wp:positionV relativeFrom="paragraph">
                  <wp:posOffset>198980</wp:posOffset>
                </wp:positionV>
                <wp:extent cx="2275840" cy="126365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2275840" cy="1263650"/>
                          <a:chExt cx="2275840" cy="126365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07" cy="1263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555" y="251815"/>
                            <a:ext cx="967736" cy="1011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499901pt;margin-top:15.667734pt;width:179.2pt;height:99.5pt;mso-position-horizontal-relative:page;mso-position-vertical-relative:paragraph;z-index:-15728128;mso-wrap-distance-left:0;mso-wrap-distance-right:0" id="docshapegroup2" coordorigin="1510,313" coordsize="3584,1990">
                <v:shape style="position:absolute;left:1510;top:313;width:1990;height:1990" type="#_x0000_t75" id="docshape3" stroked="false">
                  <v:imagedata r:id="rId12" o:title=""/>
                </v:shape>
                <v:shape style="position:absolute;left:3569;top:709;width:1524;height:1593" type="#_x0000_t75" id="docshape4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5323217</wp:posOffset>
            </wp:positionH>
            <wp:positionV relativeFrom="paragraph">
              <wp:posOffset>177682</wp:posOffset>
            </wp:positionV>
            <wp:extent cx="1149339" cy="128587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39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745" w:val="left" w:leader="none"/>
          <w:tab w:pos="8275" w:val="left" w:leader="none"/>
        </w:tabs>
        <w:spacing w:before="277"/>
        <w:ind w:left="726"/>
      </w:pPr>
      <w:r>
        <w:rPr/>
        <w:t>(Brinjal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Tomato)</w:t>
      </w:r>
      <w:r>
        <w:rPr/>
        <w:tab/>
        <w:t>(Apple</w:t>
      </w:r>
      <w:r>
        <w:rPr>
          <w:spacing w:val="-4"/>
        </w:rPr>
        <w:t> </w:t>
      </w:r>
      <w:r>
        <w:rPr>
          <w:spacing w:val="-5"/>
        </w:rPr>
        <w:t>and</w:t>
      </w:r>
      <w:r>
        <w:rPr/>
        <w:tab/>
      </w:r>
      <w:r>
        <w:rPr>
          <w:spacing w:val="-2"/>
        </w:rPr>
        <w:t>Mango)</w:t>
      </w:r>
    </w:p>
    <w:p>
      <w:pPr>
        <w:pStyle w:val="BodyText"/>
      </w:pPr>
      <w:r>
        <w:rPr>
          <w:b/>
        </w:rPr>
        <w:t>Fig3.</w:t>
      </w:r>
      <w:r>
        <w:rPr/>
        <w:t>Showing</w:t>
      </w:r>
      <w:r>
        <w:rPr>
          <w:spacing w:val="-2"/>
        </w:rPr>
        <w:t> </w:t>
      </w:r>
      <w:r>
        <w:rPr/>
        <w:t>colonies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EMB</w:t>
      </w:r>
      <w:r>
        <w:rPr>
          <w:spacing w:val="-2"/>
        </w:rPr>
        <w:t> </w:t>
      </w:r>
      <w:r>
        <w:rPr/>
        <w:t>agar</w:t>
      </w:r>
      <w:r>
        <w:rPr>
          <w:spacing w:val="-1"/>
        </w:rPr>
        <w:t> </w:t>
      </w:r>
      <w:r>
        <w:rPr/>
        <w:t>plate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vegetable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fruit</w:t>
      </w:r>
      <w:r>
        <w:rPr>
          <w:spacing w:val="-1"/>
        </w:rPr>
        <w:t> </w:t>
      </w:r>
      <w:r>
        <w:rPr>
          <w:spacing w:val="-2"/>
        </w:rPr>
        <w:t>samples.</w:t>
      </w:r>
    </w:p>
    <w:p>
      <w:pPr>
        <w:pStyle w:val="BodyText"/>
        <w:spacing w:before="26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914400</wp:posOffset>
            </wp:positionH>
            <wp:positionV relativeFrom="paragraph">
              <wp:posOffset>189150</wp:posOffset>
            </wp:positionV>
            <wp:extent cx="1252533" cy="1252537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533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5145684</wp:posOffset>
            </wp:positionH>
            <wp:positionV relativeFrom="paragraph">
              <wp:posOffset>178228</wp:posOffset>
            </wp:positionV>
            <wp:extent cx="1233155" cy="126206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55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955" w:val="left" w:leader="none"/>
        </w:tabs>
        <w:spacing w:before="281"/>
        <w:ind w:left="376"/>
      </w:pPr>
      <w:r>
        <w:rPr/>
        <w:t>(Brinjal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Tomato)</w:t>
      </w:r>
      <w:r>
        <w:rPr/>
        <w:tab/>
        <w:t>(Apple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Mango)</w:t>
      </w:r>
    </w:p>
    <w:p>
      <w:pPr>
        <w:pStyle w:val="BodyText"/>
        <w:ind w:right="282"/>
      </w:pPr>
      <w:r>
        <w:rPr/>
        <w:t>Fig4.</w:t>
      </w:r>
      <w:r>
        <w:rPr>
          <w:spacing w:val="-4"/>
        </w:rPr>
        <w:t> </w:t>
      </w:r>
      <w:r>
        <w:rPr/>
        <w:t>Showing</w:t>
      </w:r>
      <w:r>
        <w:rPr>
          <w:spacing w:val="-4"/>
        </w:rPr>
        <w:t> </w:t>
      </w:r>
      <w:r>
        <w:rPr/>
        <w:t>colonies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Macconkey</w:t>
      </w:r>
      <w:r>
        <w:rPr>
          <w:spacing w:val="-4"/>
        </w:rPr>
        <w:t> </w:t>
      </w:r>
      <w:r>
        <w:rPr/>
        <w:t>agar</w:t>
      </w:r>
      <w:r>
        <w:rPr>
          <w:spacing w:val="-4"/>
        </w:rPr>
        <w:t> </w:t>
      </w:r>
      <w:r>
        <w:rPr/>
        <w:t>plate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vegetable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fru</w:t>
      </w:r>
      <w:r>
        <w:rPr/>
        <w:t>it</w:t>
      </w:r>
      <w:r>
        <w:rPr/>
        <w:t> </w:t>
      </w:r>
      <w:r>
        <w:rPr>
          <w:spacing w:val="-2"/>
        </w:rPr>
        <w:t>samples.</w:t>
      </w:r>
    </w:p>
    <w:p>
      <w:pPr>
        <w:pStyle w:val="BodyText"/>
        <w:spacing w:before="26"/>
        <w:ind w:left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914400</wp:posOffset>
                </wp:positionH>
                <wp:positionV relativeFrom="paragraph">
                  <wp:posOffset>194781</wp:posOffset>
                </wp:positionV>
                <wp:extent cx="2383790" cy="1403985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383790" cy="1403985"/>
                          <a:chExt cx="2383790" cy="140398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78" cy="1403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925" y="434632"/>
                            <a:ext cx="493275" cy="9689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5.337102pt;width:187.7pt;height:110.55pt;mso-position-horizontal-relative:page;mso-position-vertical-relative:paragraph;z-index:-15726080;mso-wrap-distance-left:0;mso-wrap-distance-right:0" id="docshapegroup5" coordorigin="1440,307" coordsize="3754,2211">
                <v:shape style="position:absolute;left:1440;top:306;width:2907;height:2211" type="#_x0000_t75" id="docshape6" stroked="false">
                  <v:imagedata r:id="rId17" o:title=""/>
                </v:shape>
                <v:shape style="position:absolute;left:4416;top:991;width:777;height:1526" type="#_x0000_t75" id="docshape7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4542154</wp:posOffset>
            </wp:positionH>
            <wp:positionV relativeFrom="paragraph">
              <wp:posOffset>177852</wp:posOffset>
            </wp:positionV>
            <wp:extent cx="1424604" cy="1419225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60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255" w:val="left" w:leader="none"/>
        </w:tabs>
        <w:ind w:left="376"/>
      </w:pPr>
      <w:r>
        <w:rPr/>
        <w:t>(Brinjal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Tomato)</w:t>
      </w:r>
      <w:r>
        <w:rPr/>
        <w:tab/>
        <w:t>(Apple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Mango)</w:t>
      </w:r>
    </w:p>
    <w:p>
      <w:pPr>
        <w:pStyle w:val="BodyText"/>
        <w:spacing w:after="0"/>
        <w:sectPr>
          <w:pgSz w:w="11910" w:h="16840"/>
          <w:pgMar w:top="1420" w:bottom="280" w:left="1133" w:right="1275"/>
        </w:sectPr>
      </w:pPr>
    </w:p>
    <w:p>
      <w:pPr>
        <w:pStyle w:val="BodyText"/>
        <w:spacing w:before="62"/>
        <w:ind w:left="306" w:right="165"/>
        <w:jc w:val="both"/>
      </w:pPr>
      <w:r>
        <w:rPr/>
        <w:t>Distinct microbial colonies were isolated from the samples and identified bas</w:t>
      </w:r>
      <w:r>
        <w:rPr/>
        <w:t>ed</w:t>
      </w:r>
      <w:r>
        <w:rPr/>
        <w:t> on their cultural, morphological, and biochemical characteristics. On t</w:t>
      </w:r>
      <w:r>
        <w:rPr/>
        <w:t>he</w:t>
      </w:r>
      <w:r>
        <w:rPr>
          <w:spacing w:val="40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selective</w:t>
      </w:r>
      <w:r>
        <w:rPr>
          <w:spacing w:val="-1"/>
        </w:rPr>
        <w:t> </w:t>
      </w:r>
      <w:r>
        <w:rPr/>
        <w:t>media, </w:t>
      </w:r>
      <w:r>
        <w:rPr>
          <w:i/>
        </w:rPr>
        <w:t>E.</w:t>
      </w:r>
      <w:r>
        <w:rPr>
          <w:i/>
          <w:spacing w:val="-1"/>
        </w:rPr>
        <w:t> </w:t>
      </w:r>
      <w:r>
        <w:rPr>
          <w:i/>
        </w:rPr>
        <w:t>coli</w:t>
      </w:r>
      <w:r>
        <w:rPr>
          <w:i/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colonies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distinct</w:t>
      </w:r>
      <w:r>
        <w:rPr>
          <w:spacing w:val="-1"/>
        </w:rPr>
        <w:t> </w:t>
      </w:r>
      <w:r>
        <w:rPr/>
        <w:t>metallic</w:t>
      </w:r>
      <w:r>
        <w:rPr>
          <w:spacing w:val="-1"/>
        </w:rPr>
        <w:t> </w:t>
      </w:r>
      <w:r>
        <w:rPr/>
        <w:t>sh</w:t>
      </w:r>
      <w:r>
        <w:rPr/>
        <w:t>een</w:t>
      </w:r>
      <w:r>
        <w:rPr/>
        <w:t> on EMB agar. MacConkey agar yielded pink, mucoid colonies characteristic </w:t>
      </w:r>
      <w:r>
        <w:rPr/>
        <w:t>of</w:t>
      </w:r>
      <w:r>
        <w:rPr/>
        <w:t> </w:t>
      </w:r>
      <w:r>
        <w:rPr>
          <w:i/>
        </w:rPr>
        <w:t>Klebsiella</w:t>
      </w:r>
      <w:r>
        <w:rPr>
          <w:i/>
          <w:spacing w:val="-2"/>
        </w:rPr>
        <w:t> </w:t>
      </w:r>
      <w:r>
        <w:rPr/>
        <w:t>spp.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i/>
        </w:rPr>
        <w:t>Enterobacter</w:t>
      </w:r>
      <w:r>
        <w:rPr>
          <w:i/>
          <w:spacing w:val="-2"/>
        </w:rPr>
        <w:t> </w:t>
      </w:r>
      <w:r>
        <w:rPr/>
        <w:t>spp.,</w:t>
      </w:r>
      <w:r>
        <w:rPr>
          <w:spacing w:val="-3"/>
        </w:rPr>
        <w:t> </w:t>
      </w:r>
      <w:r>
        <w:rPr/>
        <w:t>confirming</w:t>
      </w:r>
      <w:r>
        <w:rPr>
          <w:spacing w:val="-3"/>
        </w:rPr>
        <w:t> </w:t>
      </w:r>
      <w:r>
        <w:rPr/>
        <w:t>coliform</w:t>
      </w:r>
      <w:r>
        <w:rPr>
          <w:spacing w:val="-3"/>
        </w:rPr>
        <w:t> </w:t>
      </w:r>
      <w:r>
        <w:rPr/>
        <w:t>contamination.</w:t>
      </w:r>
      <w:r>
        <w:rPr>
          <w:spacing w:val="-3"/>
        </w:rPr>
        <w:t> </w:t>
      </w:r>
      <w:r>
        <w:rPr/>
        <w:t>PDA</w:t>
      </w:r>
      <w:r>
        <w:rPr/>
        <w:t> plates supported the growth of prominent fungal flora, morpholog</w:t>
      </w:r>
      <w:r>
        <w:rPr/>
        <w:t>ically</w:t>
      </w:r>
      <w:r>
        <w:rPr/>
        <w:t> identified as </w:t>
      </w:r>
      <w:r>
        <w:rPr>
          <w:i/>
        </w:rPr>
        <w:t>Aspergillus </w:t>
      </w:r>
      <w:r>
        <w:rPr/>
        <w:t>spp. and </w:t>
      </w:r>
      <w:r>
        <w:rPr>
          <w:i/>
        </w:rPr>
        <w:t>Saccharomyces </w:t>
      </w:r>
      <w:r>
        <w:rPr/>
        <w:t>spp.</w:t>
      </w:r>
    </w:p>
    <w:p>
      <w:pPr>
        <w:pStyle w:val="Heading2"/>
        <w:ind w:left="306"/>
      </w:pPr>
      <w:r>
        <w:rPr/>
        <w:t>Table</w:t>
      </w:r>
      <w:r>
        <w:rPr>
          <w:spacing w:val="-5"/>
        </w:rPr>
        <w:t> </w:t>
      </w:r>
      <w:r>
        <w:rPr/>
        <w:t>5:</w:t>
      </w:r>
      <w:r>
        <w:rPr>
          <w:spacing w:val="-3"/>
        </w:rPr>
        <w:t> </w:t>
      </w:r>
      <w:r>
        <w:rPr/>
        <w:t>Biochemical</w:t>
      </w:r>
      <w:r>
        <w:rPr>
          <w:spacing w:val="-3"/>
        </w:rPr>
        <w:t> </w:t>
      </w:r>
      <w:r>
        <w:rPr/>
        <w:t>characterization</w:t>
      </w:r>
      <w:r>
        <w:rPr>
          <w:spacing w:val="-3"/>
        </w:rPr>
        <w:t> </w:t>
      </w:r>
      <w:r>
        <w:rPr/>
        <w:t>(IMViC)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isolated</w:t>
      </w:r>
      <w:r>
        <w:rPr>
          <w:spacing w:val="-3"/>
        </w:rPr>
        <w:t> </w:t>
      </w:r>
      <w:r>
        <w:rPr/>
        <w:t>bacterial</w:t>
      </w:r>
      <w:r>
        <w:rPr>
          <w:spacing w:val="-3"/>
        </w:rPr>
        <w:t> </w:t>
      </w:r>
      <w:r>
        <w:rPr>
          <w:spacing w:val="-2"/>
        </w:rPr>
        <w:t>strains</w:t>
      </w:r>
    </w:p>
    <w:p>
      <w:pPr>
        <w:pStyle w:val="BodyText"/>
        <w:spacing w:before="42"/>
        <w:ind w:left="0"/>
        <w:rPr>
          <w:b/>
          <w:sz w:val="20"/>
        </w:rPr>
      </w:pPr>
    </w:p>
    <w:tbl>
      <w:tblPr>
        <w:tblW w:w="0" w:type="auto"/>
        <w:jc w:val="left"/>
        <w:tblInd w:w="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8"/>
        <w:gridCol w:w="2538"/>
        <w:gridCol w:w="1065"/>
        <w:gridCol w:w="1364"/>
        <w:gridCol w:w="1898"/>
        <w:gridCol w:w="1173"/>
      </w:tblGrid>
      <w:tr>
        <w:trPr>
          <w:trHeight w:val="1153" w:hRule="atLeast"/>
        </w:trPr>
        <w:tc>
          <w:tcPr>
            <w:tcW w:w="1108" w:type="dxa"/>
          </w:tcPr>
          <w:p>
            <w:pPr>
              <w:pStyle w:val="TableParagraph"/>
              <w:spacing w:line="240" w:lineRule="auto" w:before="22"/>
              <w:ind w:left="14" w:right="27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Isol</w:t>
            </w:r>
            <w:r>
              <w:rPr>
                <w:b/>
                <w:spacing w:val="-2"/>
                <w:sz w:val="28"/>
              </w:rPr>
              <w:t>ate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No.</w:t>
            </w:r>
          </w:p>
        </w:tc>
        <w:tc>
          <w:tcPr>
            <w:tcW w:w="2538" w:type="dxa"/>
          </w:tcPr>
          <w:p>
            <w:pPr>
              <w:pStyle w:val="TableParagraph"/>
              <w:spacing w:line="240" w:lineRule="auto" w:before="183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Isolated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strain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22"/>
              <w:ind w:left="14" w:right="26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Indo</w:t>
            </w:r>
            <w:r>
              <w:rPr>
                <w:b/>
                <w:spacing w:val="-2"/>
                <w:sz w:val="28"/>
              </w:rPr>
              <w:t>le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test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22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Methyl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re</w:t>
            </w:r>
            <w:r>
              <w:rPr>
                <w:b/>
                <w:sz w:val="28"/>
              </w:rPr>
              <w:t>d</w:t>
            </w:r>
            <w:r>
              <w:rPr>
                <w:b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test</w:t>
            </w:r>
          </w:p>
        </w:tc>
        <w:tc>
          <w:tcPr>
            <w:tcW w:w="1898" w:type="dxa"/>
          </w:tcPr>
          <w:p>
            <w:pPr>
              <w:pStyle w:val="TableParagraph"/>
              <w:spacing w:line="240" w:lineRule="auto" w:before="22"/>
              <w:ind w:left="14" w:right="13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Voges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</w:r>
            <w:r>
              <w:rPr>
                <w:b/>
                <w:sz w:val="28"/>
              </w:rPr>
              <w:t>Proskauer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test</w:t>
            </w:r>
          </w:p>
        </w:tc>
        <w:tc>
          <w:tcPr>
            <w:tcW w:w="1173" w:type="dxa"/>
          </w:tcPr>
          <w:p>
            <w:pPr>
              <w:pStyle w:val="TableParagraph"/>
              <w:spacing w:line="240" w:lineRule="auto" w:before="22"/>
              <w:ind w:left="14" w:right="28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Citr</w:t>
            </w:r>
            <w:r>
              <w:rPr>
                <w:b/>
                <w:spacing w:val="-2"/>
                <w:sz w:val="28"/>
              </w:rPr>
              <w:t>ate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test</w:t>
            </w:r>
          </w:p>
        </w:tc>
      </w:tr>
      <w:tr>
        <w:trPr>
          <w:trHeight w:val="1153" w:hRule="atLeast"/>
        </w:trPr>
        <w:tc>
          <w:tcPr>
            <w:tcW w:w="1108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2538" w:type="dxa"/>
          </w:tcPr>
          <w:p>
            <w:pPr>
              <w:pStyle w:val="TableParagraph"/>
              <w:spacing w:line="240" w:lineRule="auto" w:before="22"/>
              <w:ind w:left="14"/>
              <w:rPr>
                <w:sz w:val="28"/>
              </w:rPr>
            </w:pPr>
            <w:r>
              <w:rPr>
                <w:sz w:val="28"/>
              </w:rPr>
              <w:t>B1(Brinjal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sample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z w:val="28"/>
              </w:rPr>
              <w:t>n</w:t>
            </w:r>
            <w:r>
              <w:rPr>
                <w:sz w:val="28"/>
              </w:rPr>
              <w:t> </w:t>
            </w:r>
            <w:r>
              <w:rPr>
                <w:spacing w:val="-4"/>
                <w:sz w:val="28"/>
              </w:rPr>
              <w:t>NAM)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  <w:tc>
          <w:tcPr>
            <w:tcW w:w="1898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  <w:tc>
          <w:tcPr>
            <w:tcW w:w="1173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</w:tr>
      <w:tr>
        <w:trPr>
          <w:trHeight w:val="1153" w:hRule="atLeast"/>
        </w:trPr>
        <w:tc>
          <w:tcPr>
            <w:tcW w:w="1108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2538" w:type="dxa"/>
          </w:tcPr>
          <w:p>
            <w:pPr>
              <w:pStyle w:val="TableParagraph"/>
              <w:spacing w:line="240" w:lineRule="auto" w:before="22"/>
              <w:ind w:left="14"/>
              <w:rPr>
                <w:sz w:val="28"/>
              </w:rPr>
            </w:pPr>
            <w:r>
              <w:rPr>
                <w:sz w:val="28"/>
              </w:rPr>
              <w:t>B2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(Brinjal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sample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z w:val="28"/>
              </w:rPr>
              <w:t>n</w:t>
            </w:r>
            <w:r>
              <w:rPr>
                <w:sz w:val="28"/>
              </w:rPr>
              <w:t> </w:t>
            </w:r>
            <w:r>
              <w:rPr>
                <w:spacing w:val="-4"/>
                <w:sz w:val="28"/>
              </w:rPr>
              <w:t>EMB)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  <w:tc>
          <w:tcPr>
            <w:tcW w:w="1898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  <w:tc>
          <w:tcPr>
            <w:tcW w:w="1173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</w:tr>
      <w:tr>
        <w:trPr>
          <w:trHeight w:val="1153" w:hRule="atLeast"/>
        </w:trPr>
        <w:tc>
          <w:tcPr>
            <w:tcW w:w="1108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03</w:t>
            </w:r>
          </w:p>
        </w:tc>
        <w:tc>
          <w:tcPr>
            <w:tcW w:w="2538" w:type="dxa"/>
          </w:tcPr>
          <w:p>
            <w:pPr>
              <w:pStyle w:val="TableParagraph"/>
              <w:spacing w:line="240" w:lineRule="auto" w:before="22"/>
              <w:ind w:left="14"/>
              <w:rPr>
                <w:sz w:val="28"/>
              </w:rPr>
            </w:pPr>
            <w:r>
              <w:rPr>
                <w:sz w:val="28"/>
              </w:rPr>
              <w:t>B3(Brinjal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sample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z w:val="28"/>
              </w:rPr>
              <w:t>n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Macconkey)</w:t>
            </w:r>
          </w:p>
        </w:tc>
        <w:tc>
          <w:tcPr>
            <w:tcW w:w="1065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  <w:tc>
          <w:tcPr>
            <w:tcW w:w="1898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  <w:tc>
          <w:tcPr>
            <w:tcW w:w="1173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</w:tr>
    </w:tbl>
    <w:p>
      <w:pPr>
        <w:spacing w:before="291"/>
        <w:ind w:left="307" w:right="31" w:firstLine="0"/>
        <w:jc w:val="left"/>
        <w:rPr>
          <w:i/>
          <w:sz w:val="28"/>
        </w:rPr>
      </w:pPr>
      <w:r>
        <w:rPr>
          <w:i/>
          <w:sz w:val="28"/>
        </w:rPr>
        <w:t>(Note: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Fungal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isolates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PDA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identified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morphologically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thus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are</w:t>
      </w:r>
      <w:r>
        <w:rPr>
          <w:i/>
          <w:sz w:val="28"/>
        </w:rPr>
        <w:t> not included in the bacterial biochemical test table).</w:t>
      </w:r>
    </w:p>
    <w:p>
      <w:pPr>
        <w:spacing w:before="280"/>
        <w:ind w:left="307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6: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Biochemical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characterization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(IMViC)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isolated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bacterial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strains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1360" w:bottom="280" w:left="1133" w:right="1275"/>
        </w:sectPr>
      </w:pPr>
    </w:p>
    <w:tbl>
      <w:tblPr>
        <w:tblW w:w="0" w:type="auto"/>
        <w:jc w:val="left"/>
        <w:tblInd w:w="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2558"/>
        <w:gridCol w:w="1063"/>
        <w:gridCol w:w="1359"/>
        <w:gridCol w:w="1891"/>
        <w:gridCol w:w="1170"/>
      </w:tblGrid>
      <w:tr>
        <w:trPr>
          <w:trHeight w:val="1153" w:hRule="atLeast"/>
        </w:trPr>
        <w:tc>
          <w:tcPr>
            <w:tcW w:w="1105" w:type="dxa"/>
          </w:tcPr>
          <w:p>
            <w:pPr>
              <w:pStyle w:val="TableParagraph"/>
              <w:spacing w:line="240" w:lineRule="auto" w:before="22"/>
              <w:ind w:left="14" w:right="2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Isol</w:t>
            </w:r>
            <w:r>
              <w:rPr>
                <w:b/>
                <w:spacing w:val="-2"/>
                <w:sz w:val="28"/>
              </w:rPr>
              <w:t>ate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No.</w:t>
            </w:r>
          </w:p>
        </w:tc>
        <w:tc>
          <w:tcPr>
            <w:tcW w:w="2558" w:type="dxa"/>
          </w:tcPr>
          <w:p>
            <w:pPr>
              <w:pStyle w:val="TableParagraph"/>
              <w:spacing w:line="240" w:lineRule="auto" w:before="183"/>
              <w:ind w:left="84"/>
              <w:rPr>
                <w:b/>
                <w:sz w:val="28"/>
              </w:rPr>
            </w:pPr>
            <w:r>
              <w:rPr>
                <w:b/>
                <w:sz w:val="28"/>
              </w:rPr>
              <w:t>Isolated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strain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22"/>
              <w:ind w:left="14" w:right="26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Indo</w:t>
            </w:r>
            <w:r>
              <w:rPr>
                <w:b/>
                <w:spacing w:val="-2"/>
                <w:sz w:val="28"/>
              </w:rPr>
              <w:t>le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test</w:t>
            </w:r>
          </w:p>
        </w:tc>
        <w:tc>
          <w:tcPr>
            <w:tcW w:w="1359" w:type="dxa"/>
          </w:tcPr>
          <w:p>
            <w:pPr>
              <w:pStyle w:val="TableParagraph"/>
              <w:spacing w:line="240" w:lineRule="auto" w:before="22"/>
              <w:ind w:left="14" w:right="10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Me</w:t>
            </w:r>
            <w:r>
              <w:rPr>
                <w:b/>
                <w:spacing w:val="-2"/>
                <w:sz w:val="28"/>
              </w:rPr>
              <w:t>thyl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red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test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22"/>
              <w:ind w:left="14" w:right="12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Voges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</w:r>
            <w:r>
              <w:rPr>
                <w:b/>
                <w:sz w:val="28"/>
              </w:rPr>
              <w:t>Proskauer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test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22"/>
              <w:ind w:left="14" w:right="27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Citr</w:t>
            </w:r>
            <w:r>
              <w:rPr>
                <w:b/>
                <w:spacing w:val="-2"/>
                <w:sz w:val="28"/>
              </w:rPr>
              <w:t>ate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test</w:t>
            </w:r>
          </w:p>
        </w:tc>
      </w:tr>
      <w:tr>
        <w:trPr>
          <w:trHeight w:val="1153" w:hRule="atLeast"/>
        </w:trPr>
        <w:tc>
          <w:tcPr>
            <w:tcW w:w="1105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2558" w:type="dxa"/>
          </w:tcPr>
          <w:p>
            <w:pPr>
              <w:pStyle w:val="TableParagraph"/>
              <w:spacing w:line="240" w:lineRule="auto" w:before="22"/>
              <w:ind w:left="14"/>
              <w:rPr>
                <w:sz w:val="28"/>
              </w:rPr>
            </w:pPr>
            <w:r>
              <w:rPr>
                <w:sz w:val="28"/>
              </w:rPr>
              <w:t>T1(Tomato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sample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z w:val="28"/>
              </w:rPr>
              <w:t>n</w:t>
            </w:r>
            <w:r>
              <w:rPr>
                <w:sz w:val="28"/>
              </w:rPr>
              <w:t> </w:t>
            </w:r>
            <w:r>
              <w:rPr>
                <w:spacing w:val="-4"/>
                <w:sz w:val="28"/>
              </w:rPr>
              <w:t>NAM)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  <w:tc>
          <w:tcPr>
            <w:tcW w:w="1359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</w:tr>
      <w:tr>
        <w:trPr>
          <w:trHeight w:val="1153" w:hRule="atLeast"/>
        </w:trPr>
        <w:tc>
          <w:tcPr>
            <w:tcW w:w="1105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2558" w:type="dxa"/>
          </w:tcPr>
          <w:p>
            <w:pPr>
              <w:pStyle w:val="TableParagraph"/>
              <w:spacing w:line="240" w:lineRule="auto" w:before="22"/>
              <w:ind w:left="14"/>
              <w:rPr>
                <w:sz w:val="28"/>
              </w:rPr>
            </w:pPr>
            <w:r>
              <w:rPr>
                <w:sz w:val="28"/>
              </w:rPr>
              <w:t>T2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(Tomato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sample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z w:val="28"/>
              </w:rPr>
              <w:t>n</w:t>
            </w:r>
            <w:r>
              <w:rPr>
                <w:sz w:val="28"/>
              </w:rPr>
              <w:t> </w:t>
            </w:r>
            <w:r>
              <w:rPr>
                <w:spacing w:val="-4"/>
                <w:sz w:val="28"/>
              </w:rPr>
              <w:t>EMB)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  <w:tc>
          <w:tcPr>
            <w:tcW w:w="1359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</w:tr>
      <w:tr>
        <w:trPr>
          <w:trHeight w:val="1153" w:hRule="atLeast"/>
        </w:trPr>
        <w:tc>
          <w:tcPr>
            <w:tcW w:w="1105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03</w:t>
            </w:r>
          </w:p>
        </w:tc>
        <w:tc>
          <w:tcPr>
            <w:tcW w:w="2558" w:type="dxa"/>
          </w:tcPr>
          <w:p>
            <w:pPr>
              <w:pStyle w:val="TableParagraph"/>
              <w:spacing w:line="240" w:lineRule="auto" w:before="22"/>
              <w:ind w:left="14"/>
              <w:rPr>
                <w:sz w:val="28"/>
              </w:rPr>
            </w:pPr>
            <w:r>
              <w:rPr>
                <w:sz w:val="28"/>
              </w:rPr>
              <w:t>T3(Tomato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sample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z w:val="28"/>
              </w:rPr>
              <w:t>n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Macconkey)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2"/>
                <w:sz w:val="28"/>
              </w:rPr>
              <w:t>-</w:t>
            </w:r>
            <w:r>
              <w:rPr>
                <w:spacing w:val="-5"/>
                <w:sz w:val="28"/>
              </w:rPr>
              <w:t>ve</w:t>
            </w:r>
          </w:p>
        </w:tc>
        <w:tc>
          <w:tcPr>
            <w:tcW w:w="1359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183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+ve</w:t>
            </w:r>
          </w:p>
        </w:tc>
      </w:tr>
    </w:tbl>
    <w:p>
      <w:pPr>
        <w:pStyle w:val="BodyText"/>
        <w:spacing w:before="0"/>
        <w:ind w:left="0"/>
        <w:rPr>
          <w:b/>
          <w:sz w:val="32"/>
        </w:rPr>
      </w:pPr>
    </w:p>
    <w:p>
      <w:pPr>
        <w:pStyle w:val="BodyText"/>
        <w:spacing w:before="0"/>
        <w:ind w:left="0"/>
        <w:rPr>
          <w:b/>
          <w:sz w:val="32"/>
        </w:rPr>
      </w:pPr>
    </w:p>
    <w:p>
      <w:pPr>
        <w:pStyle w:val="BodyText"/>
        <w:spacing w:before="313"/>
        <w:ind w:left="0"/>
        <w:rPr>
          <w:b/>
          <w:sz w:val="32"/>
        </w:rPr>
      </w:pPr>
    </w:p>
    <w:p>
      <w:pPr>
        <w:pStyle w:val="Heading1"/>
        <w:spacing w:before="1"/>
        <w:rPr>
          <w:rFonts w:ascii="Times New Roman"/>
        </w:rPr>
      </w:pPr>
      <w:r>
        <w:rPr>
          <w:rFonts w:ascii="Times New Roman"/>
          <w:spacing w:val="-2"/>
        </w:rPr>
        <w:t>Discussion</w:t>
      </w:r>
    </w:p>
    <w:p>
      <w:pPr>
        <w:pStyle w:val="BodyText"/>
        <w:ind w:right="166"/>
        <w:jc w:val="both"/>
      </w:pPr>
      <w:r>
        <w:rPr/>
        <w:t>During cultivation in fields, harvesting, post-harvest handling, and distribu</w:t>
      </w:r>
      <w:r>
        <w:rPr/>
        <w:t>tion,</w:t>
      </w:r>
      <w:r>
        <w:rPr/>
        <w:t> vegetables and fruits are highly prone to infection by pathogen</w:t>
      </w:r>
      <w:r>
        <w:rPr/>
        <w:t>ic</w:t>
      </w:r>
      <w:r>
        <w:rPr/>
        <w:t> microorganisms (Chai, L. C., et al. 2007). The presence of diverse bacterial </w:t>
      </w:r>
      <w:r>
        <w:rPr/>
        <w:t>and</w:t>
      </w:r>
      <w:r>
        <w:rPr/>
        <w:t> fungal types in the fruit and vegetable samples evaluated in this study is a dir</w:t>
      </w:r>
      <w:r>
        <w:rPr/>
        <w:t>ect</w:t>
      </w:r>
      <w:r>
        <w:rPr/>
        <w:t> reflection of the prevailing sanitary conditions in the retail outlets of </w:t>
      </w:r>
      <w:r>
        <w:rPr/>
        <w:t>Bilaspur.</w:t>
      </w:r>
      <w:r>
        <w:rPr/>
        <w:t> This result highlights the critical fact that fresh, raw produce can act as a dir</w:t>
      </w:r>
      <w:r>
        <w:rPr/>
        <w:t>ect</w:t>
      </w:r>
      <w:r>
        <w:rPr/>
        <w:t> transmission vehicle for many foodborne diseases (Tunung, R., et al. 2010).</w:t>
      </w:r>
    </w:p>
    <w:p>
      <w:pPr>
        <w:pStyle w:val="BodyText"/>
        <w:ind w:right="163"/>
        <w:jc w:val="both"/>
      </w:pPr>
      <w:r>
        <w:rPr/>
        <w:t>The prevalence of high microbial counts in daily consumed items like tomato</w:t>
      </w:r>
      <w:r>
        <w:rPr/>
        <w:t>es</w:t>
      </w:r>
      <w:r>
        <w:rPr/>
        <w:t> and mangoes clearly indicates the unhygienic state of the open markets. T</w:t>
      </w:r>
      <w:r>
        <w:rPr/>
        <w:t>he</w:t>
      </w:r>
      <w:r>
        <w:rPr/>
        <w:t> detection of coliforms such as </w:t>
      </w:r>
      <w:r>
        <w:rPr>
          <w:i/>
        </w:rPr>
        <w:t>E. coli </w:t>
      </w:r>
      <w:r>
        <w:rPr/>
        <w:t>and </w:t>
      </w:r>
      <w:r>
        <w:rPr>
          <w:i/>
        </w:rPr>
        <w:t>Klebsiella </w:t>
      </w:r>
      <w:r>
        <w:rPr/>
        <w:t>spp. on EMB </w:t>
      </w:r>
      <w:r>
        <w:rPr/>
        <w:t>and</w:t>
      </w:r>
      <w:r>
        <w:rPr/>
        <w:t> MacConkey agar is of particular concern, as these are primary indicators </w:t>
      </w:r>
      <w:r>
        <w:rPr/>
        <w:t>of</w:t>
      </w:r>
      <w:r>
        <w:rPr>
          <w:spacing w:val="40"/>
        </w:rPr>
        <w:t> </w:t>
      </w:r>
      <w:r>
        <w:rPr/>
        <w:t>fecal contamination and poor sanitation. Furthermore, the isolation of fung</w:t>
      </w:r>
      <w:r>
        <w:rPr/>
        <w:t>al</w:t>
      </w:r>
      <w:r>
        <w:rPr/>
        <w:t> species on PDA signifies potential post-harvest spoilage risks. It is evident th</w:t>
      </w:r>
      <w:r>
        <w:rPr/>
        <w:t>at</w:t>
      </w:r>
      <w:r>
        <w:rPr/>
        <w:t> samples from these local wet markets yielded a higher proportion of microb</w:t>
      </w:r>
      <w:r>
        <w:rPr/>
        <w:t>es</w:t>
      </w:r>
      <w:r>
        <w:rPr/>
        <w:t> because the vegetables and fruits are openly displayed, allowing dust </w:t>
      </w:r>
      <w:r>
        <w:rPr/>
        <w:t>and</w:t>
      </w:r>
      <w:r>
        <w:rPr/>
        <w:t> airborne contaminants to settle on them. The handlers rarely use protecti</w:t>
      </w:r>
      <w:r>
        <w:rPr/>
        <w:t>ve</w:t>
      </w:r>
      <w:r>
        <w:rPr/>
        <w:t> gloves, and the produce is often sprinkled with untreated water to maintain </w:t>
      </w:r>
      <w:r>
        <w:rPr/>
        <w:t>a</w:t>
      </w:r>
      <w:r>
        <w:rPr/>
        <w:t> fresh appearance, which exacerbates microbial accumulation (Olayemi, A. </w:t>
      </w:r>
      <w:r>
        <w:rPr/>
        <w:t>J.</w:t>
      </w:r>
      <w:r>
        <w:rPr/>
        <w:t> </w:t>
      </w:r>
      <w:r>
        <w:rPr>
          <w:spacing w:val="-2"/>
        </w:rPr>
        <w:t>1997).</w:t>
      </w:r>
    </w:p>
    <w:p>
      <w:pPr>
        <w:pStyle w:val="Heading1"/>
        <w:rPr>
          <w:rFonts w:ascii="Times New Roman"/>
        </w:rPr>
      </w:pPr>
      <w:r>
        <w:rPr>
          <w:rFonts w:ascii="Times New Roman"/>
          <w:spacing w:val="-2"/>
        </w:rPr>
        <w:t>Conclusion</w:t>
      </w:r>
    </w:p>
    <w:p>
      <w:pPr>
        <w:pStyle w:val="Heading1"/>
        <w:spacing w:after="0"/>
        <w:rPr>
          <w:rFonts w:ascii="Times New Roman"/>
        </w:rPr>
        <w:sectPr>
          <w:pgSz w:w="11910" w:h="16840"/>
          <w:pgMar w:top="1400" w:bottom="280" w:left="1133" w:right="1275"/>
        </w:sectPr>
      </w:pPr>
    </w:p>
    <w:p>
      <w:pPr>
        <w:pStyle w:val="BodyText"/>
        <w:spacing w:before="62"/>
        <w:ind w:right="167"/>
        <w:jc w:val="both"/>
      </w:pPr>
      <w:r>
        <w:rPr/>
        <w:t>This study demonstrated an alarming presence of microbial flora, includ</w:t>
      </w:r>
      <w:r>
        <w:rPr/>
        <w:t>ing</w:t>
      </w:r>
      <w:r>
        <w:rPr/>
        <w:t> coliforms and spoilage fungi, among the most popular fresh fruits (M</w:t>
      </w:r>
      <w:r>
        <w:rPr/>
        <w:t>ango,</w:t>
      </w:r>
      <w:r>
        <w:rPr/>
        <w:t> Apple) and vegetables (Tomato, Brinjal) sold in Bilaspur, Chhattisgarh. T</w:t>
      </w:r>
      <w:r>
        <w:rPr/>
        <w:t>he</w:t>
      </w:r>
      <w:r>
        <w:rPr/>
        <w:t> results serve as a clear indicator of the compromised hygiene conditions in t</w:t>
      </w:r>
      <w:r>
        <w:rPr/>
        <w:t>he</w:t>
      </w:r>
      <w:r>
        <w:rPr/>
        <w:t> local selling and buying zones. Identifying these microbial strains provides </w:t>
      </w:r>
      <w:r>
        <w:rPr/>
        <w:t>a</w:t>
      </w:r>
      <w:r>
        <w:rPr/>
        <w:t> necessary baseline overview of the microbiological quality of fresh produce </w:t>
      </w:r>
      <w:r>
        <w:rPr/>
        <w:t>in</w:t>
      </w:r>
      <w:r>
        <w:rPr/>
        <w:t> this region. The findings strongly suggest that immediate steps must be taken </w:t>
      </w:r>
      <w:r>
        <w:rPr/>
        <w:t>to</w:t>
      </w:r>
      <w:r>
        <w:rPr/>
        <w:t> create public awareness and enforce better hygienic practices among ve</w:t>
      </w:r>
      <w:r>
        <w:rPr/>
        <w:t>ndors</w:t>
      </w:r>
      <w:r>
        <w:rPr/>
        <w:t> and consumers to prevent potential outbreaks of foodborne pathogens </w:t>
      </w:r>
      <w:r>
        <w:rPr/>
        <w:t>and</w:t>
      </w:r>
      <w:r>
        <w:rPr/>
        <w:t> reduce post-harvest spoilage.</w:t>
      </w:r>
    </w:p>
    <w:p>
      <w:pPr>
        <w:pStyle w:val="BodyText"/>
        <w:spacing w:before="220"/>
        <w:ind w:left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914400</wp:posOffset>
                </wp:positionH>
                <wp:positionV relativeFrom="paragraph">
                  <wp:posOffset>301023</wp:posOffset>
                </wp:positionV>
                <wp:extent cx="1270" cy="1905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23.702671pt;width:.1pt;height:1.5pt;mso-position-horizontal-relative:page;mso-position-vertical-relative:paragraph;z-index:-15725056;mso-wrap-distance-left:0;mso-wrap-distance-right:0" id="docshape8" coordorigin="1440,474" coordsize="0,30" path="m1440,474l1440,504,1440,474xe" filled="true" fillcolor="#9f9f9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Heading1"/>
        <w:rPr>
          <w:rFonts w:ascii="Times New Roman"/>
        </w:rPr>
      </w:pPr>
      <w:r>
        <w:rPr>
          <w:rFonts w:ascii="Times New Roman"/>
          <w:spacing w:val="-2"/>
        </w:rPr>
        <w:t>References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278" w:after="0"/>
        <w:ind w:left="1027" w:right="166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Amoah, P., et al. (2006). </w:t>
      </w:r>
      <w:r>
        <w:rPr>
          <w:sz w:val="28"/>
        </w:rPr>
        <w:t>Pathogen contamination of vegetables in urb</w:t>
      </w:r>
      <w:r>
        <w:rPr>
          <w:sz w:val="28"/>
        </w:rPr>
        <w:t>an</w:t>
      </w:r>
      <w:r>
        <w:rPr>
          <w:sz w:val="28"/>
        </w:rPr>
        <w:t> markets. Archives of Environmental Contamination, 50(1), 1-6.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9" w:after="0"/>
        <w:ind w:left="1027" w:right="166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Beuchat, L. R. (2002). </w:t>
      </w:r>
      <w:r>
        <w:rPr>
          <w:sz w:val="28"/>
        </w:rPr>
        <w:t>Ecological factors influencing survival of hu</w:t>
      </w:r>
      <w:r>
        <w:rPr>
          <w:sz w:val="28"/>
        </w:rPr>
        <w:t>man</w:t>
      </w:r>
      <w:r>
        <w:rPr>
          <w:sz w:val="28"/>
        </w:rPr>
        <w:t> pathogens on raw fruits. Microbes and Infection, 4(4), 413-423.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8" w:after="0"/>
        <w:ind w:left="1027" w:right="165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Boeing, H., et al. (2012). </w:t>
      </w:r>
      <w:r>
        <w:rPr>
          <w:sz w:val="28"/>
        </w:rPr>
        <w:t>Vegetables and fruit in the prevention </w:t>
      </w:r>
      <w:r>
        <w:rPr>
          <w:sz w:val="28"/>
        </w:rPr>
        <w:t>of</w:t>
      </w:r>
      <w:r>
        <w:rPr>
          <w:sz w:val="28"/>
        </w:rPr>
        <w:t> chronic diseases. European Journal of Nutrition, 51(6), 637-663.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8" w:after="0"/>
        <w:ind w:left="1027" w:right="165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Chai, L. C., et al. (2007). </w:t>
      </w:r>
      <w:r>
        <w:rPr>
          <w:sz w:val="28"/>
        </w:rPr>
        <w:t>Thermophilic Campylobacter spp. in s</w:t>
      </w:r>
      <w:r>
        <w:rPr>
          <w:sz w:val="28"/>
        </w:rPr>
        <w:t>alad</w:t>
      </w:r>
      <w:r>
        <w:rPr>
          <w:sz w:val="28"/>
        </w:rPr>
        <w:t> vegetables in Malaysia. International Journal of Food Microbio</w:t>
      </w:r>
      <w:r>
        <w:rPr>
          <w:sz w:val="28"/>
        </w:rPr>
        <w:t>logy,</w:t>
      </w:r>
      <w:r>
        <w:rPr>
          <w:sz w:val="28"/>
        </w:rPr>
        <w:t> 117(1), 106-111.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8" w:after="0"/>
        <w:ind w:left="1027" w:right="163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Eni, A. O., Oluwawemitan, I. A., &amp; Solomon, O. U. (2010). </w:t>
      </w:r>
      <w:r>
        <w:rPr>
          <w:sz w:val="28"/>
        </w:rPr>
        <w:t>Microb</w:t>
      </w:r>
      <w:r>
        <w:rPr>
          <w:sz w:val="28"/>
        </w:rPr>
        <w:t>ial</w:t>
      </w:r>
      <w:r>
        <w:rPr>
          <w:sz w:val="28"/>
        </w:rPr>
        <w:t> quality of fruits and vegetables sold in Nigeria. African Journal of </w:t>
      </w:r>
      <w:r>
        <w:rPr>
          <w:sz w:val="28"/>
        </w:rPr>
        <w:t>Food</w:t>
      </w:r>
      <w:r>
        <w:rPr>
          <w:sz w:val="28"/>
        </w:rPr>
        <w:t> Science, 4(5), 291-296.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8" w:after="0"/>
        <w:ind w:left="1027" w:right="165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Fan, L., &amp; Song, J. (2008). </w:t>
      </w:r>
      <w:r>
        <w:rPr>
          <w:sz w:val="28"/>
        </w:rPr>
        <w:t>Microbial quality assessment methods </w:t>
      </w:r>
      <w:r>
        <w:rPr>
          <w:sz w:val="28"/>
        </w:rPr>
        <w:t>for</w:t>
      </w:r>
      <w:r>
        <w:rPr>
          <w:sz w:val="28"/>
        </w:rPr>
        <w:t> fresh-cut fruits. Stewart Postharvest Review, 4(3), 1-9.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8" w:after="0"/>
        <w:ind w:left="1027" w:right="163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Garg, N., Churey, J., &amp; Splittstoesser, D. F. (1990). </w:t>
      </w:r>
      <w:r>
        <w:rPr>
          <w:sz w:val="28"/>
        </w:rPr>
        <w:t>Effect </w:t>
      </w:r>
      <w:r>
        <w:rPr>
          <w:sz w:val="28"/>
        </w:rPr>
        <w:t>of</w:t>
      </w:r>
      <w:r>
        <w:rPr>
          <w:sz w:val="28"/>
        </w:rPr>
        <w:t> processing conditions on the microflora of fresh vegetables. Journal </w:t>
      </w:r>
      <w:r>
        <w:rPr>
          <w:sz w:val="28"/>
        </w:rPr>
        <w:t>of</w:t>
      </w:r>
      <w:r>
        <w:rPr>
          <w:sz w:val="28"/>
        </w:rPr>
        <w:t> Food Protection, 53(8), 701-703.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8" w:after="0"/>
        <w:ind w:left="1027" w:right="165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Hedberg, C. W., MacDonald, K. L., &amp; Osterholm, M. T. </w:t>
      </w:r>
      <w:r>
        <w:rPr>
          <w:b/>
          <w:sz w:val="28"/>
        </w:rPr>
        <w:t>(1994).</w:t>
      </w:r>
      <w:r>
        <w:rPr>
          <w:b/>
          <w:sz w:val="28"/>
        </w:rPr>
        <w:t> </w:t>
      </w:r>
      <w:r>
        <w:rPr>
          <w:sz w:val="28"/>
        </w:rPr>
        <w:t>Changing epidemiology of food-borne disease. Clinical Infecti</w:t>
      </w:r>
      <w:r>
        <w:rPr>
          <w:sz w:val="28"/>
        </w:rPr>
        <w:t>ous</w:t>
      </w:r>
      <w:r>
        <w:rPr>
          <w:sz w:val="28"/>
        </w:rPr>
        <w:t> Diseases, 18(5), 671-680.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8" w:after="0"/>
        <w:ind w:left="1027" w:right="165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Kumar, S., Singh, R., &amp; Maurya, V. K. (2019). </w:t>
      </w:r>
      <w:r>
        <w:rPr>
          <w:sz w:val="28"/>
        </w:rPr>
        <w:t>Post-harvest microb</w:t>
      </w:r>
      <w:r>
        <w:rPr>
          <w:sz w:val="28"/>
        </w:rPr>
        <w:t>ial</w:t>
      </w:r>
      <w:r>
        <w:rPr>
          <w:sz w:val="28"/>
        </w:rPr>
        <w:t> pathogens in fresh tomatoes. Journal of Applied Microbiology, 5(2), 45</w:t>
      </w:r>
      <w:r>
        <w:rPr>
          <w:sz w:val="28"/>
        </w:rPr>
        <w:t>-</w:t>
      </w:r>
      <w:r>
        <w:rPr>
          <w:sz w:val="28"/>
        </w:rPr>
      </w:r>
      <w:r>
        <w:rPr>
          <w:spacing w:val="-4"/>
          <w:sz w:val="28"/>
        </w:rPr>
        <w:t>52.</w:t>
      </w:r>
    </w:p>
    <w:p>
      <w:pPr>
        <w:pStyle w:val="ListParagraph"/>
        <w:spacing w:after="0" w:line="259" w:lineRule="auto"/>
        <w:jc w:val="both"/>
        <w:rPr>
          <w:rFonts w:ascii="Arial" w:hAnsi="Arial"/>
          <w:sz w:val="28"/>
        </w:rPr>
        <w:sectPr>
          <w:pgSz w:w="11910" w:h="16840"/>
          <w:pgMar w:top="1360" w:bottom="280" w:left="1133" w:right="1275"/>
        </w:sectPr>
      </w:pP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60" w:after="0"/>
        <w:ind w:left="1027" w:right="163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Kuroya, M., Ouchi, N., &amp; Katsuno, M. (1952)</w:t>
      </w:r>
      <w:r>
        <w:rPr>
          <w:sz w:val="28"/>
        </w:rPr>
        <w:t>. Classification </w:t>
      </w:r>
      <w:r>
        <w:rPr>
          <w:sz w:val="28"/>
        </w:rPr>
        <w:t>of</w:t>
      </w:r>
      <w:r>
        <w:rPr>
          <w:sz w:val="28"/>
        </w:rPr>
        <w:t> antibiotic actinomyces by streak plate method. Tohoku Journal </w:t>
      </w:r>
      <w:r>
        <w:rPr>
          <w:sz w:val="28"/>
        </w:rPr>
        <w:t>of</w:t>
      </w:r>
      <w:r>
        <w:rPr>
          <w:sz w:val="28"/>
        </w:rPr>
        <w:t> Experimental Medicine, 55(2), 203-207.</w:t>
      </w:r>
    </w:p>
    <w:p>
      <w:pPr>
        <w:pStyle w:val="ListParagraph"/>
        <w:numPr>
          <w:ilvl w:val="0"/>
          <w:numId w:val="2"/>
        </w:numPr>
        <w:tabs>
          <w:tab w:pos="1026" w:val="left" w:leader="none"/>
        </w:tabs>
        <w:spacing w:line="259" w:lineRule="auto" w:before="158" w:after="0"/>
        <w:ind w:left="1026" w:right="164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Leff, J. W., &amp; Fierer, N. (2013). </w:t>
      </w:r>
      <w:r>
        <w:rPr>
          <w:sz w:val="28"/>
        </w:rPr>
        <w:t>Bacterial communities associated w</w:t>
      </w:r>
      <w:r>
        <w:rPr>
          <w:sz w:val="28"/>
        </w:rPr>
        <w:t>ith</w:t>
      </w:r>
      <w:r>
        <w:rPr>
          <w:sz w:val="28"/>
        </w:rPr>
        <w:t> the surfaces of fresh fruits and vegetables. PLoS One, 8(3), e59310.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9" w:after="0"/>
        <w:ind w:left="1027" w:right="164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Nguyen-the, C., &amp; Carlin, F. (1994). </w:t>
      </w:r>
      <w:r>
        <w:rPr>
          <w:sz w:val="28"/>
        </w:rPr>
        <w:t>Microbiology of min</w:t>
      </w:r>
      <w:r>
        <w:rPr>
          <w:sz w:val="28"/>
        </w:rPr>
        <w:t>imally</w:t>
      </w:r>
      <w:r>
        <w:rPr>
          <w:sz w:val="28"/>
        </w:rPr>
        <w:t> processed fresh fruits and vegetables. Critical Reviews in Food Scien</w:t>
      </w:r>
      <w:r>
        <w:rPr>
          <w:sz w:val="28"/>
        </w:rPr>
        <w:t>ce,</w:t>
      </w:r>
      <w:r>
        <w:rPr>
          <w:sz w:val="28"/>
        </w:rPr>
        <w:t> 34(4), 371-401.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8" w:after="0"/>
        <w:ind w:left="1027" w:right="165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Nipa, M. N., et al. (2011)</w:t>
      </w:r>
      <w:r>
        <w:rPr>
          <w:sz w:val="28"/>
        </w:rPr>
        <w:t>. Prevalence of multi-drug resistant bacteria </w:t>
      </w:r>
      <w:r>
        <w:rPr>
          <w:sz w:val="28"/>
        </w:rPr>
        <w:t>on</w:t>
      </w:r>
      <w:r>
        <w:rPr>
          <w:sz w:val="28"/>
        </w:rPr>
        <w:t> raw salad vegetables. Middle-East Journal of Scientific Research, </w:t>
      </w:r>
      <w:r>
        <w:rPr>
          <w:sz w:val="28"/>
        </w:rPr>
        <w:t>10(1),</w:t>
      </w:r>
      <w:r>
        <w:rPr>
          <w:sz w:val="28"/>
        </w:rPr>
        <w:t> </w:t>
      </w:r>
      <w:r>
        <w:rPr>
          <w:spacing w:val="-2"/>
          <w:sz w:val="28"/>
        </w:rPr>
        <w:t>70-77.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59" w:lineRule="auto" w:before="158" w:after="0"/>
        <w:ind w:left="1027" w:right="165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Olayemi, A. J. (1997). </w:t>
      </w:r>
      <w:r>
        <w:rPr>
          <w:sz w:val="28"/>
        </w:rPr>
        <w:t>Microbiological hazards associated w</w:t>
      </w:r>
      <w:r>
        <w:rPr>
          <w:sz w:val="28"/>
        </w:rPr>
        <w:t>ith</w:t>
      </w:r>
      <w:r>
        <w:rPr>
          <w:sz w:val="28"/>
        </w:rPr>
        <w:t> agricultural utilization of urban polluted river water. International Journ</w:t>
      </w:r>
      <w:r>
        <w:rPr>
          <w:sz w:val="28"/>
        </w:rPr>
        <w:t>al</w:t>
      </w:r>
      <w:r>
        <w:rPr>
          <w:sz w:val="28"/>
        </w:rPr>
        <w:t> of Environmental Health, 7(2), 149-154.</w:t>
      </w:r>
    </w:p>
    <w:p>
      <w:pPr>
        <w:pStyle w:val="ListParagraph"/>
        <w:numPr>
          <w:ilvl w:val="0"/>
          <w:numId w:val="2"/>
        </w:numPr>
        <w:tabs>
          <w:tab w:pos="1026" w:val="left" w:leader="none"/>
        </w:tabs>
        <w:spacing w:line="259" w:lineRule="auto" w:before="158" w:after="0"/>
        <w:ind w:left="1026" w:right="165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Pandey AR, Ankita B. (2024). </w:t>
      </w:r>
      <w:r>
        <w:rPr>
          <w:sz w:val="28"/>
        </w:rPr>
        <w:t>A Comparative Investigation on t</w:t>
      </w:r>
      <w:r>
        <w:rPr>
          <w:sz w:val="28"/>
        </w:rPr>
        <w:t>he</w:t>
      </w:r>
      <w:r>
        <w:rPr>
          <w:sz w:val="28"/>
        </w:rPr>
        <w:t> Assessment of Microbial Count Present in Commercially Packed Fru</w:t>
      </w:r>
      <w:r>
        <w:rPr>
          <w:sz w:val="28"/>
        </w:rPr>
        <w:t>it</w:t>
      </w:r>
      <w:r>
        <w:rPr>
          <w:sz w:val="28"/>
        </w:rPr>
        <w:t> Juices and Fresh Street Fruit Juices Available in Bilaspur City. Ind</w:t>
      </w:r>
      <w:r>
        <w:rPr>
          <w:sz w:val="28"/>
        </w:rPr>
        <w:t>ian</w:t>
      </w:r>
      <w:r>
        <w:rPr>
          <w:sz w:val="28"/>
        </w:rPr>
        <w:t> Journal of Nutrition, 11(2): 300-304.</w:t>
      </w:r>
    </w:p>
    <w:p>
      <w:pPr>
        <w:pStyle w:val="ListParagraph"/>
        <w:numPr>
          <w:ilvl w:val="0"/>
          <w:numId w:val="2"/>
        </w:numPr>
        <w:tabs>
          <w:tab w:pos="1026" w:val="left" w:leader="none"/>
        </w:tabs>
        <w:spacing w:line="259" w:lineRule="auto" w:before="157" w:after="0"/>
        <w:ind w:left="1026" w:right="164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Powers, E. M., &amp; Latt, T. G. (1977). </w:t>
      </w:r>
      <w:r>
        <w:rPr>
          <w:sz w:val="28"/>
        </w:rPr>
        <w:t>Simplified 48-hour IMViC test: </w:t>
      </w:r>
      <w:r>
        <w:rPr>
          <w:sz w:val="28"/>
        </w:rPr>
        <w:t>an</w:t>
      </w:r>
      <w:r>
        <w:rPr>
          <w:sz w:val="28"/>
        </w:rPr>
        <w:t> agar plate method. Applied and Environmental Microbiology, 34(3), 274</w:t>
      </w:r>
      <w:r>
        <w:rPr>
          <w:sz w:val="28"/>
        </w:rPr>
        <w:t>-</w:t>
      </w:r>
      <w:r>
        <w:rPr>
          <w:sz w:val="28"/>
        </w:rPr>
      </w:r>
      <w:r>
        <w:rPr>
          <w:spacing w:val="-4"/>
          <w:sz w:val="28"/>
        </w:rPr>
        <w:t>279.</w:t>
      </w:r>
    </w:p>
    <w:p>
      <w:pPr>
        <w:pStyle w:val="ListParagraph"/>
        <w:numPr>
          <w:ilvl w:val="0"/>
          <w:numId w:val="2"/>
        </w:numPr>
        <w:tabs>
          <w:tab w:pos="1026" w:val="left" w:leader="none"/>
        </w:tabs>
        <w:spacing w:line="259" w:lineRule="auto" w:before="158" w:after="0"/>
        <w:ind w:left="1026" w:right="165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Schuenzel, K. M., &amp; Harrison, M. A. (2002). </w:t>
      </w:r>
      <w:r>
        <w:rPr>
          <w:sz w:val="28"/>
        </w:rPr>
        <w:t>Microbial antagonists </w:t>
      </w:r>
      <w:r>
        <w:rPr>
          <w:sz w:val="28"/>
        </w:rPr>
        <w:t>of</w:t>
      </w:r>
      <w:r>
        <w:rPr>
          <w:sz w:val="28"/>
        </w:rPr>
        <w:t> foodborne pathogens on minimally processed vegetables. Journal of </w:t>
      </w:r>
      <w:r>
        <w:rPr>
          <w:sz w:val="28"/>
        </w:rPr>
        <w:t>Food</w:t>
      </w:r>
      <w:r>
        <w:rPr>
          <w:sz w:val="28"/>
        </w:rPr>
        <w:t> Protection, 65(12), 1909-1915.</w:t>
      </w:r>
    </w:p>
    <w:p>
      <w:pPr>
        <w:pStyle w:val="ListParagraph"/>
        <w:numPr>
          <w:ilvl w:val="0"/>
          <w:numId w:val="2"/>
        </w:numPr>
        <w:tabs>
          <w:tab w:pos="1026" w:val="left" w:leader="none"/>
        </w:tabs>
        <w:spacing w:line="259" w:lineRule="auto" w:before="158" w:after="0"/>
        <w:ind w:left="1026" w:right="164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Singh, A., &amp; Singh, B. (2021). </w:t>
      </w:r>
      <w:r>
        <w:rPr>
          <w:sz w:val="28"/>
        </w:rPr>
        <w:t>Microbial ecology of the calyx </w:t>
      </w:r>
      <w:r>
        <w:rPr>
          <w:sz w:val="28"/>
        </w:rPr>
        <w:t>and</w:t>
      </w:r>
      <w:r>
        <w:rPr>
          <w:sz w:val="28"/>
        </w:rPr>
        <w:t> surface flora of brinjal. Horticultural Microbiology Reports, 7(1), 33-41.</w:t>
      </w:r>
    </w:p>
    <w:p>
      <w:pPr>
        <w:pStyle w:val="ListParagraph"/>
        <w:numPr>
          <w:ilvl w:val="0"/>
          <w:numId w:val="2"/>
        </w:numPr>
        <w:tabs>
          <w:tab w:pos="1026" w:val="left" w:leader="none"/>
        </w:tabs>
        <w:spacing w:line="259" w:lineRule="auto" w:before="158" w:after="0"/>
        <w:ind w:left="1026" w:right="164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Slavin, J. L., &amp; Lloyd, B. (2012). </w:t>
      </w:r>
      <w:r>
        <w:rPr>
          <w:sz w:val="28"/>
        </w:rPr>
        <w:t>Health benefits of fruits </w:t>
      </w:r>
      <w:r>
        <w:rPr>
          <w:sz w:val="28"/>
        </w:rPr>
        <w:t>and</w:t>
      </w:r>
      <w:r>
        <w:rPr>
          <w:sz w:val="28"/>
        </w:rPr>
        <w:t> vegetables. Advances in Nutrition, 3(4), 506-516.</w:t>
      </w:r>
    </w:p>
    <w:p>
      <w:pPr>
        <w:pStyle w:val="ListParagraph"/>
        <w:numPr>
          <w:ilvl w:val="0"/>
          <w:numId w:val="2"/>
        </w:numPr>
        <w:tabs>
          <w:tab w:pos="1026" w:val="left" w:leader="none"/>
        </w:tabs>
        <w:spacing w:line="259" w:lineRule="auto" w:before="159" w:after="0"/>
        <w:ind w:left="1026" w:right="166" w:hanging="360"/>
        <w:jc w:val="both"/>
        <w:rPr>
          <w:rFonts w:ascii="Arial" w:hAnsi="Arial"/>
          <w:sz w:val="28"/>
        </w:rPr>
      </w:pPr>
      <w:r>
        <w:rPr>
          <w:b/>
          <w:sz w:val="28"/>
        </w:rPr>
        <w:t>Tunung, R., et al. (2010). </w:t>
      </w:r>
      <w:r>
        <w:rPr>
          <w:sz w:val="28"/>
        </w:rPr>
        <w:t>Prevalence of pathogenic bacteria in raw s</w:t>
      </w:r>
      <w:r>
        <w:rPr>
          <w:sz w:val="28"/>
        </w:rPr>
        <w:t>alad</w:t>
      </w:r>
      <w:r>
        <w:rPr>
          <w:sz w:val="28"/>
        </w:rPr>
        <w:t> vegetables at retail level. Food Control, 20(2), 391-396.</w:t>
      </w:r>
    </w:p>
    <w:p>
      <w:pPr>
        <w:pStyle w:val="ListParagraph"/>
        <w:numPr>
          <w:ilvl w:val="0"/>
          <w:numId w:val="2"/>
        </w:numPr>
        <w:tabs>
          <w:tab w:pos="1026" w:val="left" w:leader="none"/>
        </w:tabs>
        <w:spacing w:line="254" w:lineRule="auto" w:before="120" w:after="0"/>
        <w:ind w:left="1026" w:right="164" w:hanging="360"/>
        <w:jc w:val="both"/>
        <w:rPr>
          <w:rFonts w:ascii="Arial" w:hAnsi="Arial"/>
          <w:sz w:val="32"/>
        </w:rPr>
      </w:pPr>
      <w:r>
        <w:rPr>
          <w:b/>
          <w:sz w:val="28"/>
        </w:rPr>
        <w:t>Viswanathan, P., &amp; Kaur, R. (2001). </w:t>
      </w:r>
      <w:r>
        <w:rPr>
          <w:sz w:val="28"/>
        </w:rPr>
        <w:t>Prevalence and growth </w:t>
      </w:r>
      <w:r>
        <w:rPr>
          <w:sz w:val="28"/>
        </w:rPr>
        <w:t>of</w:t>
      </w:r>
      <w:r>
        <w:rPr>
          <w:sz w:val="28"/>
        </w:rPr>
        <w:t> pathogens on salad vegetables and fruits. International Journal </w:t>
      </w:r>
      <w:r>
        <w:rPr>
          <w:sz w:val="28"/>
        </w:rPr>
        <w:t>of</w:t>
      </w:r>
      <w:r>
        <w:rPr>
          <w:sz w:val="28"/>
        </w:rPr>
        <w:t> Hygiene, 203(3), 205-213.</w:t>
      </w:r>
    </w:p>
    <w:p>
      <w:pPr>
        <w:pStyle w:val="ListParagraph"/>
        <w:spacing w:after="0" w:line="254" w:lineRule="auto"/>
        <w:jc w:val="both"/>
        <w:rPr>
          <w:rFonts w:ascii="Arial" w:hAnsi="Arial"/>
          <w:sz w:val="32"/>
        </w:rPr>
        <w:sectPr>
          <w:pgSz w:w="11910" w:h="16840"/>
          <w:pgMar w:top="1360" w:bottom="280" w:left="1133" w:right="1275"/>
        </w:sectPr>
      </w:pPr>
    </w:p>
    <w:p>
      <w:pPr>
        <w:pStyle w:val="BodyText"/>
        <w:spacing w:before="4"/>
        <w:ind w:left="0"/>
        <w:rPr>
          <w:sz w:val="17"/>
        </w:rPr>
      </w:pPr>
    </w:p>
    <w:sectPr>
      <w:pgSz w:w="11910" w:h="16840"/>
      <w:pgMar w:top="1920" w:bottom="280" w:left="1133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027" w:hanging="360"/>
      </w:pPr>
      <w:rPr>
        <w:rFonts w:hint="default" w:ascii="Arial" w:hAnsi="Arial" w:eastAsia="Arial" w:cs="Arial"/>
        <w:spacing w:val="0"/>
        <w:w w:val="1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2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027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2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280"/>
      <w:ind w:left="307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80"/>
      <w:ind w:left="307"/>
      <w:outlineLvl w:val="1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80"/>
      <w:ind w:left="307"/>
      <w:jc w:val="both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58"/>
      <w:ind w:left="1027" w:right="165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 w:line="297" w:lineRule="exact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archupandey02@gmail.com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2026-05-26T10:30:30Z</dcterms:created>
  <dcterms:modified xsi:type="dcterms:W3CDTF">2026-05-26T10:30:30Z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LastSaved">
    <vt:filetime>2026-05-26T00:00:00Z</vt:filetime>
  </property>
  <property fmtid="{D5CDD505-2E9C-101B-9397-08002B2CF9AE}" pid="4" name="Producer">
    <vt:lpwstr>3-Heights(TM) PDF Security Shell 4.8.25.2 (http://www.pdf-tools.com)</vt:lpwstr>
  </property>
</Properties>
</file>