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2668" w14:textId="77777777" w:rsidR="00141C9F" w:rsidRDefault="00141C9F" w:rsidP="00141C9F">
      <w:pPr>
        <w:spacing w:after="0"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 xml:space="preserve">Dr. Mohammad Ali Asraf Suhag </w:t>
      </w:r>
    </w:p>
    <w:p w14:paraId="213104FC" w14:textId="77777777" w:rsidR="00141C9F" w:rsidRDefault="00141C9F" w:rsidP="00141C9F">
      <w:pPr>
        <w:spacing w:after="0"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Assistant Professor (Medicine)</w:t>
      </w:r>
    </w:p>
    <w:p w14:paraId="3AAFFAF9" w14:textId="58CCEDA4" w:rsidR="00141C9F" w:rsidRDefault="00141C9F" w:rsidP="00141C9F">
      <w:pPr>
        <w:spacing w:after="0"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Sadar Hospital, Sunamganj</w:t>
      </w:r>
      <w:r>
        <w:rPr>
          <w:rFonts w:ascii="Times New Roman" w:eastAsia="Times New Roman" w:hAnsi="Times New Roman" w:cs="Times New Roman"/>
          <w:kern w:val="0"/>
          <w14:ligatures w14:val="none"/>
        </w:rPr>
        <w:t>,</w:t>
      </w:r>
      <w:r w:rsidRPr="00141C9F">
        <w:rPr>
          <w:rFonts w:ascii="Times New Roman" w:eastAsia="Times New Roman" w:hAnsi="Times New Roman" w:cs="Times New Roman"/>
          <w:kern w:val="0"/>
          <w14:ligatures w14:val="none"/>
        </w:rPr>
        <w:t xml:space="preserve"> Bangladesh </w:t>
      </w:r>
    </w:p>
    <w:p w14:paraId="75C07077" w14:textId="77777777" w:rsidR="00141C9F" w:rsidRDefault="00141C9F" w:rsidP="00141C9F">
      <w:pPr>
        <w:spacing w:after="0"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 xml:space="preserve">Email: </w:t>
      </w:r>
      <w:hyperlink r:id="rId5" w:tgtFrame="_blank" w:history="1">
        <w:r w:rsidRPr="00141C9F">
          <w:rPr>
            <w:rFonts w:ascii="Times New Roman" w:eastAsia="Times New Roman" w:hAnsi="Times New Roman" w:cs="Times New Roman"/>
            <w:color w:val="0000FF"/>
            <w:kern w:val="0"/>
            <w:u w:val="single"/>
            <w14:ligatures w14:val="none"/>
          </w:rPr>
          <w:t>sohagcom7@yahoo.com</w:t>
        </w:r>
      </w:hyperlink>
      <w:r w:rsidRPr="00141C9F">
        <w:rPr>
          <w:rFonts w:ascii="Times New Roman" w:eastAsia="Times New Roman" w:hAnsi="Times New Roman" w:cs="Times New Roman"/>
          <w:kern w:val="0"/>
          <w14:ligatures w14:val="none"/>
        </w:rPr>
        <w:t xml:space="preserve"> </w:t>
      </w:r>
    </w:p>
    <w:p w14:paraId="4A17B033" w14:textId="63BAE6B9" w:rsidR="00141C9F" w:rsidRPr="00141C9F" w:rsidRDefault="00141C9F" w:rsidP="00141C9F">
      <w:pPr>
        <w:spacing w:after="0"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 xml:space="preserve">Phone: </w:t>
      </w:r>
      <w:r>
        <w:rPr>
          <w:rFonts w:ascii="Times New Roman" w:eastAsia="Times New Roman" w:hAnsi="Times New Roman" w:cs="Times New Roman"/>
          <w:kern w:val="0"/>
          <w14:ligatures w14:val="none"/>
        </w:rPr>
        <w:t>+88</w:t>
      </w:r>
      <w:r w:rsidRPr="00141C9F">
        <w:rPr>
          <w:rFonts w:ascii="Times New Roman" w:eastAsia="Times New Roman" w:hAnsi="Times New Roman" w:cs="Times New Roman"/>
          <w:kern w:val="0"/>
          <w14:ligatures w14:val="none"/>
        </w:rPr>
        <w:t>01712079311</w:t>
      </w:r>
    </w:p>
    <w:p w14:paraId="02FD9426" w14:textId="77777777" w:rsidR="00141C9F" w:rsidRDefault="00141C9F" w:rsidP="00141C9F">
      <w:pPr>
        <w:spacing w:before="100" w:beforeAutospacing="1" w:after="100" w:afterAutospacing="1"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 xml:space="preserve">The Editor-in-Chief </w:t>
      </w:r>
    </w:p>
    <w:p w14:paraId="09CF71E4" w14:textId="60B10AF0" w:rsidR="00141C9F" w:rsidRPr="00141C9F" w:rsidRDefault="00141C9F" w:rsidP="00141C9F">
      <w:pPr>
        <w:spacing w:before="100" w:beforeAutospacing="1" w:after="100" w:afterAutospacing="1"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International Journal of Research and Scientific Innovation (IJRSI) RSIS International</w:t>
      </w:r>
    </w:p>
    <w:p w14:paraId="7650F7BD" w14:textId="77777777" w:rsidR="00141C9F" w:rsidRPr="00141C9F" w:rsidRDefault="00141C9F" w:rsidP="00141C9F">
      <w:pPr>
        <w:spacing w:before="100" w:beforeAutospacing="1" w:after="100" w:afterAutospacing="1"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b/>
          <w:bCs/>
          <w:kern w:val="0"/>
          <w14:ligatures w14:val="none"/>
        </w:rPr>
        <w:t>Subject: Manuscript Submission – Comprehensive Review on Precision Medicine in Type 2 Diabetes Mellitus</w:t>
      </w:r>
    </w:p>
    <w:p w14:paraId="1B3D0B8B" w14:textId="77777777" w:rsidR="00141C9F" w:rsidRPr="00141C9F" w:rsidRDefault="00141C9F" w:rsidP="00141C9F">
      <w:pPr>
        <w:spacing w:before="100" w:beforeAutospacing="1" w:after="100" w:afterAutospacing="1"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Dear Editor,</w:t>
      </w:r>
    </w:p>
    <w:p w14:paraId="0FF08CF8" w14:textId="77777777" w:rsidR="00141C9F" w:rsidRPr="00141C9F" w:rsidRDefault="00141C9F" w:rsidP="00141C9F">
      <w:pPr>
        <w:spacing w:before="100" w:beforeAutospacing="1" w:after="100" w:afterAutospacing="1"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 xml:space="preserve">We are pleased to submit our original manuscript entitled </w:t>
      </w:r>
      <w:r w:rsidRPr="00141C9F">
        <w:rPr>
          <w:rFonts w:ascii="Times New Roman" w:eastAsia="Times New Roman" w:hAnsi="Times New Roman" w:cs="Times New Roman"/>
          <w:b/>
          <w:bCs/>
          <w:kern w:val="0"/>
          <w14:ligatures w14:val="none"/>
        </w:rPr>
        <w:t>"Precision Medicine in Type 2 Diabetes Mellitus: Advances in Continuous Assessment, Subclassification, Personalized Therapies, and Disease Remission: A Comprehensive Review"</w:t>
      </w:r>
      <w:r w:rsidRPr="00141C9F">
        <w:rPr>
          <w:rFonts w:ascii="Times New Roman" w:eastAsia="Times New Roman" w:hAnsi="Times New Roman" w:cs="Times New Roman"/>
          <w:kern w:val="0"/>
          <w14:ligatures w14:val="none"/>
        </w:rPr>
        <w:t xml:space="preserve"> for consideration as a review article in the </w:t>
      </w:r>
      <w:r w:rsidRPr="00141C9F">
        <w:rPr>
          <w:rFonts w:ascii="Times New Roman" w:eastAsia="Times New Roman" w:hAnsi="Times New Roman" w:cs="Times New Roman"/>
          <w:i/>
          <w:iCs/>
          <w:kern w:val="0"/>
          <w14:ligatures w14:val="none"/>
        </w:rPr>
        <w:t>International Journal of Research and Scientific Innovation (IJRSI)</w:t>
      </w:r>
      <w:r w:rsidRPr="00141C9F">
        <w:rPr>
          <w:rFonts w:ascii="Times New Roman" w:eastAsia="Times New Roman" w:hAnsi="Times New Roman" w:cs="Times New Roman"/>
          <w:kern w:val="0"/>
          <w14:ligatures w14:val="none"/>
        </w:rPr>
        <w:t>.</w:t>
      </w:r>
    </w:p>
    <w:p w14:paraId="1A5CC5C9" w14:textId="77777777" w:rsidR="00141C9F" w:rsidRPr="00141C9F" w:rsidRDefault="00141C9F" w:rsidP="00141C9F">
      <w:pPr>
        <w:spacing w:before="100" w:beforeAutospacing="1" w:after="100" w:afterAutospacing="1"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This comprehensive review synthesizes recent advances (up to 2025–2026) in precision diabetology, focusing on continuous glucose monitoring (CGM), diabetes subtype stratification (e.g., SIRD, SIDD), pharmacogenomics-guided therapies (including SGLT2 inhibitors and GLP-1 receptor agonists), and evidence-based strategies for achieving disease remission through lifestyle, surgical, and digital interventions. It also discusses emerging roles of machine learning, multi-omics, and digital twins, while addressing implementation challenges and equity issues.</w:t>
      </w:r>
    </w:p>
    <w:p w14:paraId="026676B0" w14:textId="77777777" w:rsidR="00141C9F" w:rsidRPr="00141C9F" w:rsidRDefault="00141C9F" w:rsidP="00141C9F">
      <w:pPr>
        <w:spacing w:before="100" w:beforeAutospacing="1" w:after="100" w:afterAutospacing="1"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The manuscript is original, has not been published elsewhere, and is not under consideration by any other journal. All authors have contributed significantly, read and approved the final version, and declare no competing interests. This work received no specific funding, and ethical approval/consent was not applicable as it is a review article.</w:t>
      </w:r>
    </w:p>
    <w:p w14:paraId="2FE3FC81" w14:textId="77777777" w:rsidR="00141C9F" w:rsidRPr="00141C9F" w:rsidRDefault="00141C9F" w:rsidP="00141C9F">
      <w:pPr>
        <w:spacing w:before="100" w:beforeAutospacing="1" w:after="100" w:afterAutospacing="1"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We believe this review aligns well with IJRSI's multidisciplinary scope, particularly in advancing knowledge on chronic disease management, health innovation, and personalized approaches to global health challenges like type 2 diabetes mellitus.</w:t>
      </w:r>
    </w:p>
    <w:p w14:paraId="382A98FA" w14:textId="77777777" w:rsidR="00141C9F" w:rsidRPr="00141C9F" w:rsidRDefault="00141C9F" w:rsidP="00141C9F">
      <w:pPr>
        <w:spacing w:before="100" w:beforeAutospacing="1" w:after="100" w:afterAutospacing="1"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Thank you for considering our submission. We look forward to your feedback and are happy to provide any additional information or revisions as needed.</w:t>
      </w:r>
    </w:p>
    <w:p w14:paraId="553B8B48" w14:textId="77777777" w:rsidR="00141C9F" w:rsidRPr="00141C9F" w:rsidRDefault="00141C9F" w:rsidP="00141C9F">
      <w:pPr>
        <w:spacing w:after="0"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Sincerely,</w:t>
      </w:r>
    </w:p>
    <w:p w14:paraId="489A33A9" w14:textId="77777777" w:rsidR="00141C9F" w:rsidRDefault="00141C9F" w:rsidP="00141C9F">
      <w:pPr>
        <w:spacing w:after="0"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Dr. Mohammad Ali Asraf Suhag</w:t>
      </w:r>
    </w:p>
    <w:p w14:paraId="09104B53" w14:textId="77777777" w:rsidR="00141C9F" w:rsidRDefault="00141C9F" w:rsidP="00141C9F">
      <w:pPr>
        <w:spacing w:after="0"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 xml:space="preserve">Corresponding Author </w:t>
      </w:r>
    </w:p>
    <w:p w14:paraId="685B288A" w14:textId="24F6F8A0" w:rsidR="00141C9F" w:rsidRPr="00141C9F" w:rsidRDefault="00141C9F" w:rsidP="00141C9F">
      <w:pPr>
        <w:spacing w:after="0"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Email:</w:t>
      </w:r>
      <w:hyperlink r:id="rId6" w:history="1">
        <w:r w:rsidRPr="00141C9F">
          <w:rPr>
            <w:rStyle w:val="Hyperlink"/>
            <w:rFonts w:ascii="Times New Roman" w:eastAsia="Times New Roman" w:hAnsi="Times New Roman" w:cs="Times New Roman"/>
            <w:kern w:val="0"/>
            <w14:ligatures w14:val="none"/>
          </w:rPr>
          <w:t>sohagcom7@yahoo.com</w:t>
        </w:r>
      </w:hyperlink>
    </w:p>
    <w:p w14:paraId="60E9AFE1" w14:textId="7D8559C8" w:rsidR="00141C9F" w:rsidRPr="00141C9F" w:rsidRDefault="00141C9F" w:rsidP="00141C9F">
      <w:pPr>
        <w:spacing w:after="0"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kern w:val="0"/>
          <w14:ligatures w14:val="none"/>
        </w:rPr>
        <w:t>On behalf of all authors</w:t>
      </w:r>
      <w:r>
        <w:rPr>
          <w:rFonts w:ascii="Times New Roman" w:eastAsia="Times New Roman" w:hAnsi="Times New Roman" w:cs="Times New Roman"/>
          <w:kern w:val="0"/>
          <w14:ligatures w14:val="none"/>
        </w:rPr>
        <w:t>.</w:t>
      </w:r>
    </w:p>
    <w:p w14:paraId="7649920F" w14:textId="72E1F10F" w:rsidR="00CF75D4" w:rsidRPr="00092F18" w:rsidRDefault="00CF75D4" w:rsidP="001E7874">
      <w:pPr>
        <w:spacing w:line="360" w:lineRule="auto"/>
        <w:jc w:val="both"/>
        <w:rPr>
          <w:rFonts w:ascii="Times New Roman" w:hAnsi="Times New Roman" w:cs="Times New Roman"/>
          <w:b/>
          <w:bCs/>
          <w:color w:val="000000" w:themeColor="text1"/>
          <w:sz w:val="28"/>
          <w:szCs w:val="28"/>
        </w:rPr>
      </w:pPr>
      <w:r w:rsidRPr="00092F18">
        <w:rPr>
          <w:rFonts w:ascii="Times New Roman" w:hAnsi="Times New Roman" w:cs="Times New Roman"/>
          <w:b/>
          <w:bCs/>
          <w:color w:val="000000" w:themeColor="text1"/>
          <w:sz w:val="28"/>
          <w:szCs w:val="28"/>
        </w:rPr>
        <w:lastRenderedPageBreak/>
        <w:t>Title</w:t>
      </w:r>
      <w:r w:rsidR="00A169EA" w:rsidRPr="00092F18">
        <w:rPr>
          <w:rFonts w:ascii="Times New Roman" w:hAnsi="Times New Roman" w:cs="Times New Roman"/>
          <w:b/>
          <w:bCs/>
          <w:color w:val="000000" w:themeColor="text1"/>
          <w:sz w:val="28"/>
          <w:szCs w:val="28"/>
        </w:rPr>
        <w:t>:</w:t>
      </w:r>
      <w:r w:rsidRPr="00092F18">
        <w:rPr>
          <w:rFonts w:ascii="Times New Roman" w:hAnsi="Times New Roman" w:cs="Times New Roman"/>
          <w:b/>
          <w:bCs/>
          <w:color w:val="000000" w:themeColor="text1"/>
          <w:sz w:val="28"/>
          <w:szCs w:val="28"/>
        </w:rPr>
        <w:t xml:space="preserve"> Precision Medicine in Type 2 Diabetes Mellitus: Advances in Continuous Assessment, Subclassification, Personalized Therapies, and Disease Remission</w:t>
      </w:r>
      <w:r w:rsidR="00FB22A8" w:rsidRPr="00092F18">
        <w:rPr>
          <w:rFonts w:ascii="Times New Roman" w:hAnsi="Times New Roman" w:cs="Times New Roman"/>
          <w:b/>
          <w:bCs/>
          <w:color w:val="000000" w:themeColor="text1"/>
          <w:sz w:val="28"/>
          <w:szCs w:val="28"/>
        </w:rPr>
        <w:t>: A comprehensive review.</w:t>
      </w:r>
    </w:p>
    <w:p w14:paraId="10EEB386" w14:textId="53D3D87E" w:rsidR="00F34390" w:rsidRPr="002F789A" w:rsidRDefault="00F34390" w:rsidP="001E7874">
      <w:pPr>
        <w:spacing w:line="360" w:lineRule="auto"/>
        <w:jc w:val="both"/>
        <w:rPr>
          <w:rFonts w:ascii="Times New Roman" w:hAnsi="Times New Roman" w:cs="Times New Roman"/>
          <w:color w:val="000000" w:themeColor="text1"/>
          <w:vertAlign w:val="superscript"/>
        </w:rPr>
      </w:pPr>
      <w:r w:rsidRPr="00916E04">
        <w:rPr>
          <w:rFonts w:ascii="Times New Roman" w:hAnsi="Times New Roman" w:cs="Times New Roman"/>
          <w:b/>
          <w:bCs/>
          <w:color w:val="000000" w:themeColor="text1"/>
        </w:rPr>
        <w:t>Authors:</w:t>
      </w:r>
      <w:r w:rsidRPr="00916E04">
        <w:rPr>
          <w:rFonts w:ascii="Times New Roman" w:hAnsi="Times New Roman" w:cs="Times New Roman"/>
          <w:color w:val="000000" w:themeColor="text1"/>
        </w:rPr>
        <w:t xml:space="preserve"> </w:t>
      </w:r>
      <w:r w:rsidR="002F789A" w:rsidRPr="002F789A">
        <w:rPr>
          <w:rFonts w:ascii="Times New Roman" w:hAnsi="Times New Roman" w:cs="Times New Roman"/>
          <w:color w:val="000000" w:themeColor="text1"/>
        </w:rPr>
        <w:t>Dr. Mohammad Ali Asraf Suhag</w:t>
      </w:r>
      <w:r w:rsidR="002F789A" w:rsidRPr="002F789A">
        <w:rPr>
          <w:rFonts w:ascii="Times New Roman" w:hAnsi="Times New Roman" w:cs="Times New Roman"/>
          <w:color w:val="000000" w:themeColor="text1"/>
          <w:vertAlign w:val="superscript"/>
        </w:rPr>
        <w:t xml:space="preserve"> </w:t>
      </w:r>
      <w:r w:rsidRPr="002F789A">
        <w:rPr>
          <w:rFonts w:ascii="Times New Roman" w:hAnsi="Times New Roman" w:cs="Times New Roman"/>
          <w:color w:val="000000" w:themeColor="text1"/>
          <w:vertAlign w:val="superscript"/>
        </w:rPr>
        <w:t>1</w:t>
      </w:r>
      <w:r w:rsidR="002F789A" w:rsidRPr="002F789A">
        <w:rPr>
          <w:rFonts w:ascii="Times New Roman" w:hAnsi="Times New Roman" w:cs="Times New Roman"/>
          <w:color w:val="000000" w:themeColor="text1"/>
        </w:rPr>
        <w:t>, Dr.</w:t>
      </w:r>
      <w:r w:rsidR="002F789A">
        <w:rPr>
          <w:rFonts w:ascii="Times New Roman" w:hAnsi="Times New Roman" w:cs="Times New Roman"/>
          <w:color w:val="000000" w:themeColor="text1"/>
        </w:rPr>
        <w:t xml:space="preserve"> </w:t>
      </w:r>
      <w:r w:rsidR="002F789A" w:rsidRPr="002F789A">
        <w:rPr>
          <w:rFonts w:ascii="Times New Roman" w:hAnsi="Times New Roman" w:cs="Times New Roman"/>
          <w:color w:val="000000" w:themeColor="text1"/>
        </w:rPr>
        <w:t>Sumon Ray Chowdhury</w:t>
      </w:r>
      <w:r w:rsidR="002F789A" w:rsidRPr="002F789A">
        <w:rPr>
          <w:rFonts w:ascii="Times New Roman" w:hAnsi="Times New Roman" w:cs="Times New Roman"/>
          <w:color w:val="000000" w:themeColor="text1"/>
          <w:vertAlign w:val="superscript"/>
        </w:rPr>
        <w:t>2</w:t>
      </w:r>
      <w:r w:rsidR="002F789A" w:rsidRPr="002F789A">
        <w:rPr>
          <w:rFonts w:ascii="Times New Roman" w:hAnsi="Times New Roman" w:cs="Times New Roman"/>
          <w:color w:val="000000" w:themeColor="text1"/>
        </w:rPr>
        <w:t xml:space="preserve">, </w:t>
      </w:r>
      <w:r w:rsidR="002F789A">
        <w:rPr>
          <w:rFonts w:ascii="Times New Roman" w:hAnsi="Times New Roman" w:cs="Times New Roman"/>
          <w:color w:val="000000" w:themeColor="text1"/>
        </w:rPr>
        <w:t>Dr. Sufi Sumsul Yeaman</w:t>
      </w:r>
      <w:r w:rsidR="002F789A" w:rsidRPr="002F789A">
        <w:rPr>
          <w:rFonts w:ascii="Times New Roman" w:hAnsi="Times New Roman" w:cs="Times New Roman"/>
          <w:color w:val="000000" w:themeColor="text1"/>
          <w:vertAlign w:val="superscript"/>
        </w:rPr>
        <w:t>3</w:t>
      </w:r>
    </w:p>
    <w:p w14:paraId="7F753F4F" w14:textId="775038AD" w:rsidR="00CF75D4" w:rsidRPr="00916E04" w:rsidRDefault="00F34390" w:rsidP="001E7874">
      <w:pPr>
        <w:spacing w:line="360" w:lineRule="auto"/>
        <w:jc w:val="both"/>
        <w:rPr>
          <w:rFonts w:ascii="Times New Roman" w:hAnsi="Times New Roman" w:cs="Times New Roman"/>
          <w:b/>
          <w:bCs/>
          <w:color w:val="000000" w:themeColor="text1"/>
        </w:rPr>
      </w:pPr>
      <w:r w:rsidRPr="00916E04">
        <w:rPr>
          <w:rFonts w:ascii="Times New Roman" w:hAnsi="Times New Roman" w:cs="Times New Roman"/>
          <w:b/>
          <w:bCs/>
          <w:color w:val="000000" w:themeColor="text1"/>
        </w:rPr>
        <w:t xml:space="preserve">Abstract: </w:t>
      </w:r>
      <w:r w:rsidR="00CF75D4" w:rsidRPr="00916E04">
        <w:rPr>
          <w:rFonts w:ascii="Times New Roman" w:hAnsi="Times New Roman" w:cs="Times New Roman"/>
          <w:color w:val="000000" w:themeColor="text1"/>
        </w:rPr>
        <w:t>Precision medicine in type 2 diabetes mellitus (T2DM) shifts from uniform treatment to individualized strategies addressing genetic, metabolic, environmental, and clinical heterogeneity. Key pillars include continuous glucose monitoring (CGM) for dynamic glycemic insights, subtype stratification (e.g., severe insulin-resistant diabetes [SIRD], severe insulin-deficient diabetes [SIDD]), pharmacogenomics-guided therapy, and interventions enabling remission. CGM improves time in range, reduces variability, and supports tailored adjustments beyond HbA1c limitations. Clustering identifies differential complication risks and drug responses, favoring SGLT2 inhibitors in SIRD or GLP-1 receptor agonists in SIDD. Remission</w:t>
      </w:r>
      <w:r w:rsidR="00A169EA" w:rsidRPr="00916E04">
        <w:rPr>
          <w:rFonts w:ascii="Times New Roman" w:hAnsi="Times New Roman" w:cs="Times New Roman"/>
          <w:color w:val="000000" w:themeColor="text1"/>
        </w:rPr>
        <w:t xml:space="preserve"> </w:t>
      </w:r>
      <w:r w:rsidR="00CF75D4" w:rsidRPr="00916E04">
        <w:rPr>
          <w:rFonts w:ascii="Times New Roman" w:hAnsi="Times New Roman" w:cs="Times New Roman"/>
          <w:color w:val="000000" w:themeColor="text1"/>
        </w:rPr>
        <w:t>sustained normoglycemia without medication</w:t>
      </w:r>
      <w:r w:rsidR="00A169EA" w:rsidRPr="00916E04">
        <w:rPr>
          <w:rFonts w:ascii="Times New Roman" w:hAnsi="Times New Roman" w:cs="Times New Roman"/>
          <w:color w:val="000000" w:themeColor="text1"/>
        </w:rPr>
        <w:t xml:space="preserve"> </w:t>
      </w:r>
      <w:r w:rsidR="00CF75D4" w:rsidRPr="00916E04">
        <w:rPr>
          <w:rFonts w:ascii="Times New Roman" w:hAnsi="Times New Roman" w:cs="Times New Roman"/>
          <w:color w:val="000000" w:themeColor="text1"/>
        </w:rPr>
        <w:t xml:space="preserve">is achievable via intensive lifestyle changes, bariatric surgery, or digital tools, particularly early in disease course. Emerging </w:t>
      </w:r>
      <w:r w:rsidR="00A169EA" w:rsidRPr="00916E04">
        <w:rPr>
          <w:rFonts w:ascii="Times New Roman" w:hAnsi="Times New Roman" w:cs="Times New Roman"/>
          <w:color w:val="000000" w:themeColor="text1"/>
        </w:rPr>
        <w:t>machine learning</w:t>
      </w:r>
      <w:r w:rsidR="00CF75D4" w:rsidRPr="00916E04">
        <w:rPr>
          <w:rFonts w:ascii="Times New Roman" w:hAnsi="Times New Roman" w:cs="Times New Roman"/>
          <w:color w:val="000000" w:themeColor="text1"/>
        </w:rPr>
        <w:t>, multi-omics, and digital twins enhance prediction and personalization. Challenges include model reliability, implementation barriers, and equity. Precision approaches promise predictive, preventive, personalized care, potentially transforming T2DM management toward reversal in select patients.</w:t>
      </w:r>
    </w:p>
    <w:p w14:paraId="31FF4016" w14:textId="04F97AD1" w:rsidR="00F34390" w:rsidRPr="00141C9F" w:rsidRDefault="00CF75D4" w:rsidP="00141C9F">
      <w:pPr>
        <w:spacing w:line="360" w:lineRule="auto"/>
        <w:jc w:val="both"/>
        <w:rPr>
          <w:rFonts w:ascii="Times New Roman" w:hAnsi="Times New Roman" w:cs="Times New Roman"/>
          <w:color w:val="000000" w:themeColor="text1"/>
        </w:rPr>
      </w:pPr>
      <w:r w:rsidRPr="00916E04">
        <w:rPr>
          <w:rFonts w:ascii="Times New Roman" w:hAnsi="Times New Roman" w:cs="Times New Roman"/>
          <w:b/>
          <w:bCs/>
          <w:color w:val="000000" w:themeColor="text1"/>
        </w:rPr>
        <w:t>Keywords</w:t>
      </w:r>
      <w:r w:rsidR="00A169EA" w:rsidRPr="00916E04">
        <w:rPr>
          <w:rFonts w:ascii="Times New Roman" w:hAnsi="Times New Roman" w:cs="Times New Roman"/>
          <w:b/>
          <w:bCs/>
          <w:color w:val="000000" w:themeColor="text1"/>
        </w:rPr>
        <w:t>:</w:t>
      </w:r>
      <w:r w:rsidRPr="00916E04">
        <w:rPr>
          <w:rFonts w:ascii="Times New Roman" w:hAnsi="Times New Roman" w:cs="Times New Roman"/>
          <w:color w:val="000000" w:themeColor="text1"/>
        </w:rPr>
        <w:t xml:space="preserve"> Precision medicine; Type 2 diabetes mellitus; Continuous glucose monitoring; Diabetes subtypes; Disease remission; Pharmacogenomics; Artificial intelligence; SGLT2 inhibitors; GLP-1 receptor agonists</w:t>
      </w:r>
      <w:r w:rsidR="00022A9B">
        <w:rPr>
          <w:rFonts w:ascii="Times New Roman" w:hAnsi="Times New Roman" w:cs="Times New Roman"/>
          <w:color w:val="000000" w:themeColor="text1"/>
        </w:rPr>
        <w:t>.</w:t>
      </w:r>
    </w:p>
    <w:p w14:paraId="284A525A" w14:textId="77777777" w:rsidR="00F34390" w:rsidRPr="00916E04" w:rsidRDefault="00F34390" w:rsidP="00141C9F">
      <w:pPr>
        <w:spacing w:line="276" w:lineRule="auto"/>
        <w:jc w:val="both"/>
        <w:rPr>
          <w:rFonts w:ascii="Times New Roman" w:hAnsi="Times New Roman" w:cs="Times New Roman"/>
          <w:b/>
          <w:bCs/>
          <w:color w:val="000000" w:themeColor="text1"/>
        </w:rPr>
      </w:pPr>
      <w:r w:rsidRPr="00916E04">
        <w:rPr>
          <w:rFonts w:ascii="Times New Roman" w:hAnsi="Times New Roman" w:cs="Times New Roman"/>
          <w:b/>
          <w:bCs/>
          <w:noProof/>
          <w:color w:val="000000" w:themeColor="text1"/>
        </w:rPr>
        <mc:AlternateContent>
          <mc:Choice Requires="wps">
            <w:drawing>
              <wp:anchor distT="0" distB="0" distL="114300" distR="114300" simplePos="0" relativeHeight="251659264" behindDoc="0" locked="0" layoutInCell="1" allowOverlap="1" wp14:anchorId="08D4368B" wp14:editId="503D2C0A">
                <wp:simplePos x="0" y="0"/>
                <wp:positionH relativeFrom="margin">
                  <wp:align>left</wp:align>
                </wp:positionH>
                <wp:positionV relativeFrom="paragraph">
                  <wp:posOffset>5081</wp:posOffset>
                </wp:positionV>
                <wp:extent cx="3028950" cy="0"/>
                <wp:effectExtent l="0" t="0" r="0" b="0"/>
                <wp:wrapNone/>
                <wp:docPr id="718266223" name="Straight Connector 1"/>
                <wp:cNvGraphicFramePr/>
                <a:graphic xmlns:a="http://schemas.openxmlformats.org/drawingml/2006/main">
                  <a:graphicData uri="http://schemas.microsoft.com/office/word/2010/wordprocessingShape">
                    <wps:wsp>
                      <wps:cNvCnPr/>
                      <wps:spPr>
                        <a:xfrm>
                          <a:off x="0" y="0"/>
                          <a:ext cx="3028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19C2D"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23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" strokecolor="#4472c4 [3204]" strokeweight=".5pt">
                <v:stroke joinstyle="miter"/>
                <w10:wrap anchorx="margin"/>
              </v:line>
            </w:pict>
          </mc:Fallback>
        </mc:AlternateContent>
      </w:r>
      <w:r w:rsidRPr="00916E04">
        <w:rPr>
          <w:rFonts w:ascii="Times New Roman" w:hAnsi="Times New Roman" w:cs="Times New Roman"/>
          <w:b/>
          <w:bCs/>
          <w:color w:val="000000" w:themeColor="text1"/>
        </w:rPr>
        <w:t>Authors:</w:t>
      </w:r>
    </w:p>
    <w:p w14:paraId="117347AF" w14:textId="266B14BF" w:rsidR="00F34390" w:rsidRPr="00022A9B" w:rsidRDefault="002F789A" w:rsidP="00141C9F">
      <w:pPr>
        <w:spacing w:line="276" w:lineRule="auto"/>
        <w:jc w:val="both"/>
        <w:rPr>
          <w:rFonts w:ascii="Times New Roman" w:hAnsi="Times New Roman" w:cs="Times New Roman"/>
          <w:color w:val="000000" w:themeColor="text1"/>
        </w:rPr>
      </w:pPr>
      <w:r w:rsidRPr="00022A9B">
        <w:rPr>
          <w:rFonts w:ascii="Times New Roman" w:hAnsi="Times New Roman" w:cs="Times New Roman"/>
          <w:color w:val="000000" w:themeColor="text1"/>
          <w:vertAlign w:val="superscript"/>
        </w:rPr>
        <w:t>1</w:t>
      </w:r>
      <w:r w:rsidR="00E56819" w:rsidRPr="00022A9B">
        <w:rPr>
          <w:rFonts w:ascii="Times New Roman" w:hAnsi="Times New Roman" w:cs="Times New Roman"/>
          <w:color w:val="000000" w:themeColor="text1"/>
        </w:rPr>
        <w:t>Dr. Mohammad Ali Asraf Suhag, MBBS, BCS, MD-INTERNAL MEDICINE,</w:t>
      </w:r>
      <w:r w:rsidRPr="00022A9B">
        <w:rPr>
          <w:rFonts w:ascii="Times New Roman" w:hAnsi="Times New Roman" w:cs="Times New Roman"/>
          <w:color w:val="000000" w:themeColor="text1"/>
        </w:rPr>
        <w:t xml:space="preserve"> </w:t>
      </w:r>
      <w:r w:rsidR="00E56819" w:rsidRPr="00022A9B">
        <w:rPr>
          <w:rFonts w:ascii="Times New Roman" w:hAnsi="Times New Roman" w:cs="Times New Roman"/>
          <w:color w:val="000000" w:themeColor="text1"/>
        </w:rPr>
        <w:t>MACP</w:t>
      </w:r>
      <w:r w:rsidR="00F34390" w:rsidRPr="00022A9B">
        <w:rPr>
          <w:rFonts w:ascii="Times New Roman" w:hAnsi="Times New Roman" w:cs="Times New Roman"/>
          <w:color w:val="000000" w:themeColor="text1"/>
        </w:rPr>
        <w:t xml:space="preserve">, </w:t>
      </w:r>
      <w:r w:rsidR="00EA3397" w:rsidRPr="00EA3397">
        <w:rPr>
          <w:rFonts w:ascii="Times New Roman" w:hAnsi="Times New Roman" w:cs="Times New Roman"/>
          <w:color w:val="000000" w:themeColor="text1"/>
        </w:rPr>
        <w:t>Assistant Professor (Medicine), Sadar Hospital, Sunamganj</w:t>
      </w:r>
      <w:r w:rsidR="00EA3397">
        <w:rPr>
          <w:rFonts w:ascii="Times New Roman" w:hAnsi="Times New Roman" w:cs="Times New Roman"/>
          <w:color w:val="000000" w:themeColor="text1"/>
        </w:rPr>
        <w:t>,</w:t>
      </w:r>
      <w:r w:rsidR="00F34390" w:rsidRPr="00022A9B">
        <w:rPr>
          <w:rFonts w:ascii="Times New Roman" w:hAnsi="Times New Roman" w:cs="Times New Roman"/>
          <w:color w:val="000000" w:themeColor="text1"/>
        </w:rPr>
        <w:t xml:space="preserve"> Bangladesh. Email: </w:t>
      </w:r>
      <w:r w:rsidR="00E56819" w:rsidRPr="00022A9B">
        <w:rPr>
          <w:rFonts w:ascii="Times New Roman" w:hAnsi="Times New Roman" w:cs="Times New Roman"/>
          <w:color w:val="000000" w:themeColor="text1"/>
        </w:rPr>
        <w:t>sohagcom7@yahoo.com</w:t>
      </w:r>
    </w:p>
    <w:p w14:paraId="74CD7881" w14:textId="07036953" w:rsidR="00022A9B" w:rsidRPr="00022A9B" w:rsidRDefault="002F789A" w:rsidP="00141C9F">
      <w:pPr>
        <w:spacing w:line="276" w:lineRule="auto"/>
        <w:jc w:val="both"/>
        <w:rPr>
          <w:rFonts w:ascii="Times New Roman" w:hAnsi="Times New Roman" w:cs="Times New Roman"/>
          <w:color w:val="000000" w:themeColor="text1"/>
        </w:rPr>
      </w:pPr>
      <w:r w:rsidRPr="00022A9B">
        <w:rPr>
          <w:rFonts w:ascii="Times New Roman" w:hAnsi="Times New Roman" w:cs="Times New Roman"/>
          <w:color w:val="000000" w:themeColor="text1"/>
          <w:vertAlign w:val="superscript"/>
        </w:rPr>
        <w:t>2</w:t>
      </w:r>
      <w:r w:rsidRPr="00022A9B">
        <w:rPr>
          <w:rFonts w:ascii="Times New Roman" w:hAnsi="Times New Roman" w:cs="Times New Roman"/>
          <w:color w:val="000000" w:themeColor="text1"/>
        </w:rPr>
        <w:t>Dr.</w:t>
      </w:r>
      <w:r w:rsidR="0053339B">
        <w:rPr>
          <w:rFonts w:ascii="Times New Roman" w:hAnsi="Times New Roman" w:cs="Times New Roman"/>
          <w:color w:val="000000" w:themeColor="text1"/>
        </w:rPr>
        <w:t xml:space="preserve"> </w:t>
      </w:r>
      <w:r w:rsidRPr="00022A9B">
        <w:rPr>
          <w:rFonts w:ascii="Times New Roman" w:hAnsi="Times New Roman" w:cs="Times New Roman"/>
          <w:color w:val="000000" w:themeColor="text1"/>
        </w:rPr>
        <w:t xml:space="preserve">Sumon Ray Chowdhury, MBBS, BCS, MACP, D-card (Cardiology), </w:t>
      </w:r>
      <w:r w:rsidR="00EA3397" w:rsidRPr="00EA3397">
        <w:rPr>
          <w:rFonts w:ascii="Times New Roman" w:hAnsi="Times New Roman" w:cs="Times New Roman"/>
          <w:color w:val="000000" w:themeColor="text1"/>
        </w:rPr>
        <w:t>Assistant Professor (Cardiology), Sadar Hospital, Sunamganj</w:t>
      </w:r>
      <w:r w:rsidR="00EA3397">
        <w:rPr>
          <w:rFonts w:ascii="Times New Roman" w:hAnsi="Times New Roman" w:cs="Times New Roman"/>
          <w:color w:val="000000" w:themeColor="text1"/>
        </w:rPr>
        <w:t>,</w:t>
      </w:r>
      <w:r w:rsidRPr="00022A9B">
        <w:rPr>
          <w:rFonts w:ascii="Times New Roman" w:hAnsi="Times New Roman" w:cs="Times New Roman"/>
          <w:color w:val="000000" w:themeColor="text1"/>
        </w:rPr>
        <w:t xml:space="preserve"> Bangladesh. Email: drsumonraychowdhury@gmail.com</w:t>
      </w:r>
    </w:p>
    <w:p w14:paraId="25247FA4" w14:textId="0A972694" w:rsidR="00022A9B" w:rsidRPr="00022A9B" w:rsidRDefault="00022A9B" w:rsidP="00141C9F">
      <w:pPr>
        <w:spacing w:line="276" w:lineRule="auto"/>
        <w:jc w:val="both"/>
        <w:rPr>
          <w:rFonts w:ascii="Times New Roman" w:hAnsi="Times New Roman" w:cs="Times New Roman"/>
          <w:color w:val="000000" w:themeColor="text1"/>
        </w:rPr>
      </w:pPr>
      <w:r w:rsidRPr="00022A9B">
        <w:rPr>
          <w:rFonts w:ascii="Times New Roman" w:hAnsi="Times New Roman" w:cs="Times New Roman"/>
          <w:color w:val="000000" w:themeColor="text1"/>
          <w:vertAlign w:val="superscript"/>
        </w:rPr>
        <w:t>3</w:t>
      </w:r>
      <w:r w:rsidRPr="00022A9B">
        <w:rPr>
          <w:rFonts w:ascii="Times New Roman" w:hAnsi="Times New Roman" w:cs="Times New Roman"/>
          <w:color w:val="000000" w:themeColor="text1"/>
        </w:rPr>
        <w:t>Dr.</w:t>
      </w:r>
      <w:r w:rsidR="0053339B">
        <w:rPr>
          <w:rFonts w:ascii="Times New Roman" w:hAnsi="Times New Roman" w:cs="Times New Roman"/>
          <w:color w:val="000000" w:themeColor="text1"/>
        </w:rPr>
        <w:t xml:space="preserve"> </w:t>
      </w:r>
      <w:r w:rsidRPr="00022A9B">
        <w:rPr>
          <w:rFonts w:ascii="Times New Roman" w:hAnsi="Times New Roman" w:cs="Times New Roman"/>
          <w:color w:val="000000" w:themeColor="text1"/>
        </w:rPr>
        <w:t>Sufi Sumsul Yeaman, MBBS, MPH. Medical Officer, Milvik Bangladesh ltd</w:t>
      </w:r>
      <w:r w:rsidR="00EA3397">
        <w:rPr>
          <w:rFonts w:ascii="Times New Roman" w:hAnsi="Times New Roman" w:cs="Times New Roman"/>
          <w:color w:val="000000" w:themeColor="text1"/>
        </w:rPr>
        <w:t xml:space="preserve">, Dhaka, </w:t>
      </w:r>
      <w:r w:rsidR="0053339B">
        <w:rPr>
          <w:rFonts w:ascii="Times New Roman" w:hAnsi="Times New Roman" w:cs="Times New Roman"/>
          <w:color w:val="000000" w:themeColor="text1"/>
        </w:rPr>
        <w:t>Bangladesh</w:t>
      </w:r>
      <w:r w:rsidR="00EA3397">
        <w:rPr>
          <w:rFonts w:ascii="Times New Roman" w:hAnsi="Times New Roman" w:cs="Times New Roman"/>
          <w:color w:val="000000" w:themeColor="text1"/>
        </w:rPr>
        <w:t>.</w:t>
      </w:r>
      <w:r w:rsidRPr="00022A9B">
        <w:rPr>
          <w:rFonts w:ascii="Times New Roman" w:hAnsi="Times New Roman" w:cs="Times New Roman"/>
          <w:color w:val="000000" w:themeColor="text1"/>
        </w:rPr>
        <w:t xml:space="preserve"> Email: shakkhor95@gmail.com</w:t>
      </w:r>
      <w:r>
        <w:rPr>
          <w:rFonts w:ascii="Times New Roman" w:hAnsi="Times New Roman" w:cs="Times New Roman"/>
          <w:color w:val="000000" w:themeColor="text1"/>
        </w:rPr>
        <w:t>.</w:t>
      </w:r>
    </w:p>
    <w:p w14:paraId="05B3DFD3" w14:textId="0369EA47" w:rsidR="002F789A" w:rsidRPr="002F789A" w:rsidRDefault="00F34390" w:rsidP="00141C9F">
      <w:pPr>
        <w:spacing w:line="276" w:lineRule="auto"/>
        <w:jc w:val="both"/>
        <w:rPr>
          <w:rFonts w:ascii="Times New Roman" w:hAnsi="Times New Roman" w:cs="Times New Roman"/>
          <w:b/>
          <w:bCs/>
          <w:color w:val="000000" w:themeColor="text1"/>
          <w:vertAlign w:val="superscript"/>
        </w:rPr>
      </w:pPr>
      <w:r w:rsidRPr="002F789A">
        <w:rPr>
          <w:rFonts w:ascii="Times New Roman" w:hAnsi="Times New Roman" w:cs="Times New Roman"/>
          <w:b/>
          <w:bCs/>
          <w:color w:val="000000" w:themeColor="text1"/>
        </w:rPr>
        <w:t xml:space="preserve">Corresponding Author: </w:t>
      </w:r>
      <w:r w:rsidR="002F789A" w:rsidRPr="00022A9B">
        <w:rPr>
          <w:rFonts w:ascii="Times New Roman" w:hAnsi="Times New Roman" w:cs="Times New Roman"/>
          <w:color w:val="000000" w:themeColor="text1"/>
        </w:rPr>
        <w:t>Dr. Mohammad Ali Asraf Suhag, MBBS, BCS, MD-INTERNAL MEDICINE, MACP, Shaheed Suhrawardy Medical College Hospital, Dhaka, Bangladesh. Email: sohagcom7@yahoo.com</w:t>
      </w:r>
      <w:r w:rsidR="00022A9B">
        <w:rPr>
          <w:rFonts w:ascii="Times New Roman" w:hAnsi="Times New Roman" w:cs="Times New Roman"/>
          <w:color w:val="000000" w:themeColor="text1"/>
        </w:rPr>
        <w:t>.</w:t>
      </w:r>
    </w:p>
    <w:p w14:paraId="58FC642A" w14:textId="61D6AAF9" w:rsidR="00F34390" w:rsidRPr="00916E04" w:rsidRDefault="002A4770" w:rsidP="00141C9F">
      <w:pPr>
        <w:spacing w:line="276" w:lineRule="auto"/>
        <w:jc w:val="both"/>
        <w:rPr>
          <w:rFonts w:ascii="Times New Roman" w:hAnsi="Times New Roman" w:cs="Times New Roman"/>
          <w:b/>
          <w:bCs/>
          <w:color w:val="000000" w:themeColor="text1"/>
        </w:rPr>
      </w:pPr>
      <w:r w:rsidRPr="00916E04">
        <w:rPr>
          <w:rFonts w:ascii="Times New Roman" w:hAnsi="Times New Roman" w:cs="Times New Roman"/>
          <w:b/>
          <w:bCs/>
          <w:color w:val="000000" w:themeColor="text1"/>
        </w:rPr>
        <w:lastRenderedPageBreak/>
        <w:t xml:space="preserve">Authors’ contributions: </w:t>
      </w:r>
      <w:r w:rsidRPr="00916E04">
        <w:rPr>
          <w:rFonts w:ascii="Times New Roman" w:hAnsi="Times New Roman" w:cs="Times New Roman"/>
          <w:color w:val="000000" w:themeColor="text1"/>
        </w:rPr>
        <w:t>This work was carried out in collaboration between authors. All authors read and approved the final manuscript</w:t>
      </w:r>
      <w:r w:rsidR="00022A9B">
        <w:rPr>
          <w:rFonts w:ascii="Times New Roman" w:hAnsi="Times New Roman" w:cs="Times New Roman"/>
          <w:color w:val="000000" w:themeColor="text1"/>
        </w:rPr>
        <w:t>.</w:t>
      </w:r>
    </w:p>
    <w:p w14:paraId="55F14EC9" w14:textId="06A3E7B3" w:rsidR="00FB22A8" w:rsidRPr="00916E04" w:rsidRDefault="00CF75D4"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b/>
          <w:bCs/>
          <w:color w:val="000000" w:themeColor="text1"/>
        </w:rPr>
        <w:t>1. Introduction</w:t>
      </w:r>
      <w:r w:rsidR="00A169EA" w:rsidRPr="00916E04">
        <w:rPr>
          <w:rFonts w:ascii="Times New Roman" w:hAnsi="Times New Roman" w:cs="Times New Roman"/>
          <w:b/>
          <w:bCs/>
          <w:color w:val="000000" w:themeColor="text1"/>
        </w:rPr>
        <w:t>:</w:t>
      </w:r>
      <w:r w:rsidRPr="00916E04">
        <w:rPr>
          <w:rFonts w:ascii="Times New Roman" w:hAnsi="Times New Roman" w:cs="Times New Roman"/>
          <w:color w:val="000000" w:themeColor="text1"/>
        </w:rPr>
        <w:t xml:space="preserve"> </w:t>
      </w:r>
      <w:r w:rsidR="00FB22A8" w:rsidRPr="00916E04">
        <w:rPr>
          <w:rFonts w:ascii="Times New Roman" w:hAnsi="Times New Roman" w:cs="Times New Roman"/>
          <w:color w:val="000000" w:themeColor="text1"/>
        </w:rPr>
        <w:t>Precision medicine in type 2 diabetes mellitus (T2DM) represents a transformative shift from conventional, population-based treatment paradigms toward individualized care strategies that account for genetic, environmental, behavioral, and metabolic heterogeneity. This approach is increasingly supported by advances in continuous disease assessment technologies, personalized therapeutic interventions, and emerging evidence of disease reversal potential. The integration of these elements enables clinicians to move beyond symptom management and target the underlying pathophysiological mechanisms driving T2DM in specific patient subgroups.</w:t>
      </w:r>
    </w:p>
    <w:p w14:paraId="2FD9863F" w14:textId="0974B6FC"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A cornerstone of precision medicine in T2DM is, which provides high-resolution, real-time data on glycemic patterns, including time-in-range (TIR), glucose variability, and postprandial excursions. Unlike traditional HbA1c measurements, which offer only an average estimate over weeks, CGM reveals dynamic fluctuations that are critical for tailoring therapy. For instance, patients with predominant nocturnal hypoglycemia or dawn phenomenon can be identified and managed with adjusted insulin regimens or timing of medications. Studies have demonstrated that CGM use leads to improved glycemic outcomes across diverse T2DM populations, particularly when combined with structured lifestyle interventions and digital health platforms (Son et al., 2025). These insights allow for more precise titration of glucose-lowering agents and facilitate early detection of treatment failure or adverse effects.</w:t>
      </w:r>
    </w:p>
    <w:p w14:paraId="64940DA3" w14:textId="01D5CD92"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Personalized therapies in T2DM are grounded in the recognition of distinct endotypes and clinical phenotypes. Research has identified several clusters of T2DM, such as severe insulin-resistant diabetes (SIRD), severe insulin-deficient diabetes (SIDD), and mild obesity-related diabetes (MOD), each associated with different risks for complications and differential responses to treatment (Bonnefond &amp; Froguel, 2021). For example, individuals in the SIRD cluster exhibit marked insulin resistance and are at higher risk for diabetic kidney disease, making them ideal candidates for sodium-glucose cotransporter-2 inhibitors (SGLT2i), which confer renal and cardiovascular protection independent of glycemic control. Conversely, those in the SIDD cluster may benefit more from glucagon-like peptide-1 receptor agonists (GLP-1 RAs) due to residual beta-cell function that can be augmented pharmacologically (Wang et al., 2025). Pharmacogenomic studies further refine this approach by identifying genetic variants</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 xml:space="preserve">such as those in </w:t>
      </w:r>
      <w:r w:rsidRPr="00916E04">
        <w:rPr>
          <w:rFonts w:ascii="Times New Roman" w:hAnsi="Times New Roman" w:cs="Times New Roman"/>
          <w:b/>
          <w:bCs/>
          <w:color w:val="000000" w:themeColor="text1"/>
        </w:rPr>
        <w:t>TCF7L2</w:t>
      </w:r>
      <w:r w:rsidRPr="00916E04">
        <w:rPr>
          <w:rFonts w:ascii="Times New Roman" w:hAnsi="Times New Roman" w:cs="Times New Roman"/>
          <w:color w:val="000000" w:themeColor="text1"/>
        </w:rPr>
        <w:t xml:space="preserve"> or </w:t>
      </w:r>
      <w:r w:rsidRPr="00916E04">
        <w:rPr>
          <w:rFonts w:ascii="Times New Roman" w:hAnsi="Times New Roman" w:cs="Times New Roman"/>
          <w:b/>
          <w:bCs/>
          <w:color w:val="000000" w:themeColor="text1"/>
        </w:rPr>
        <w:t>KCNJ11</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 xml:space="preserve">that influence </w:t>
      </w:r>
      <w:r w:rsidRPr="00916E04">
        <w:rPr>
          <w:rFonts w:ascii="Times New Roman" w:hAnsi="Times New Roman" w:cs="Times New Roman"/>
          <w:color w:val="000000" w:themeColor="text1"/>
        </w:rPr>
        <w:lastRenderedPageBreak/>
        <w:t>drug response, enabling genotype-guided selection of sulfonylureas or other agents (Venkatachalapathy et al., 2021).</w:t>
      </w:r>
    </w:p>
    <w:p w14:paraId="7CA9C056" w14:textId="5A0E045C"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The concept of disease reversal in T2DM challenges the long-held belief that it is inevitably progressive. Remission, defined as sustained normoglycemia without pharmacological intervention, has been achieved through intensive lifestyle modification, bariatric surgery, and very-low-calorie diets. A retrospective study found that a multi-interventional approach combining customized nutrition, fitness programming, and behavioral support led to significant reductions in HbA1c, fasting glucose, and body weight, with some participants achieving medication-free remission (Mehra, 2022). Similarly, evidence suggests that early, aggressive intervention during the prediabetic or early diabetic phase can preserve beta-cell function and reverse glucolipotoxicity, thereby halting disease progression (Chang, 2023). Digital health tools, artificial intelligence, and metabolomic profiling enhance the feasibility of such strategies by identifying optimal candidates and personalizing intervention intensity.</w:t>
      </w:r>
    </w:p>
    <w:p w14:paraId="3DD4EE75" w14:textId="2FE32B09"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Despite its promise, precision diabetology faces significant challenges. Methodological limitations in developing prediction models</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particularly small sample sizes and overfitting</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can undermine the reliability of risk stratification algorithms (Riley et al., 2021). Moreover, while there is strong evidence of treatment heterogeneity, robust clinical predictors to guide individualized therapy remain limited, raising questions about generalizability and implementation in routine practice (Kuss et al., 2023). Ethical considerations also arise regarding access disparities, data privacy, and the potential medicalization of risk states like prediabetes.</w:t>
      </w:r>
    </w:p>
    <w:p w14:paraId="47E26D2B" w14:textId="3EE105A2"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Nevertheless, the trajectory of research supports a future where precision medicine becomes central to T2DM management. Integration of multi-omics data</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including genomics, epigenetics, transcriptomics, and microbiome analysis</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holds promise for uncovering novel biomarkers and therapeutic targets (Tian et al., 2025; Tian et al., 2025). Artificial intelligence and machine learning models trained on electronic health records and CGM data are already demonstrating utility in predicting hypoglycemic events, optimizing insulin dosing, and subclassifying patients for targeted prevention (Edgar, 2025). As these technologies mature, they will enable proactive rather than reactive care, shifting the focus from managing chronic hyperglycemia to preventing its onset and reversing its course.</w:t>
      </w:r>
    </w:p>
    <w:p w14:paraId="3DB6E6B4" w14:textId="72F482C1"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lastRenderedPageBreak/>
        <w:t>Furthermore, precision medicine in T2DM leverages continuous disease assessment, molecular stratification, and individualized interventions to improve outcomes and, in select cases, achieve remission. While not yet ready for universal application, ongoing research and technological innovation are rapidly advancing the field toward a new standard of care that is predictive, preventive, personalized, and participatory.</w:t>
      </w:r>
    </w:p>
    <w:p w14:paraId="755F6799" w14:textId="0A4E3B3B"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Precision medicine in type 2 diabetes (T2D) management represents a transformative shift from the traditional, generalized approach to one that is deeply individualized, leveraging continuous disease assessment and personalized therapies to optimize outcomes. This paradigm recognizes T2D not as a monolithic disease but as a heterogeneous condition with diverse underlying pathophysiological mechanisms, including insulin resistance, β-cell dysfunction, obesity, inflammation, and genetic predisposition (Milla-Amekor &amp; Ewusie, 2023; Javed et al., 2024). The goal of precision diabetology is to match the right intervention</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be it lifestyle modification, pharmacotherapy, or advanced technology</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to the right patient at the right time, thereby improving glycemic control, reducing complications, and potentially achieving remission.</w:t>
      </w:r>
    </w:p>
    <w:p w14:paraId="3B421563" w14:textId="525672F1"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A cornerstone of this approach is continuous disease assessment, primarily through Continuous Glucose Monitoring (CGM). Unlike intermittent finger-stick glucose measurements, CGM provides a dynamic, high-resolution view of an individual's glucose fluctuations throughout the day and night, capturing critical metrics such as Time in Range (TIR), Glycemic Variability (GV), and hypoglycemic exposure (Ajjan et al., 2024). This rich data stream allows clinicians to move beyond relying solely on HbA1c, which is a static average and can mask significant glucose instability. For instance, two patients with identical HbA1c levels may have vastly different TIRs, indicating very different risks for complications. Studies have shown that CGM use in non-insulin-treated T2D patients leads to improved glycemic control, reduced HbA1c, and enhanced self-management skills, particularly when integrated into telemedicine platforms (Oriot et al., 2024; Tan et al., 2024; Ajjan et al., 2024). Furthermore, CGM data can be used to triage patients based on risk severity, enabling more efficient allocation of healthcare resources. While its adoption has been slower in T2D compared to type 1 diabetes, expanding CGM access to broader T2D populations, especially those on basal insulin or with comorbidities like psychiatric illness or cancer, is increasingly supported by evidence (Ajjan et al., 2024).</w:t>
      </w:r>
    </w:p>
    <w:p w14:paraId="713B4809" w14:textId="5472B46E"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lastRenderedPageBreak/>
        <w:t xml:space="preserve">Personalized therapies are built upon the foundation of this continuous assessment and a deeper understanding of patient heterogeneity. Stratification of T2D into distinct subtypes, such as Severe Insulin-Resistant Diabetes (SIRD) or Mild Age-Related Diabetes (MARD), has revealed that these clusters have different risks for complications and respond differently to treatments (Misra et al., 2023; Wei &amp; Colón-Franco, 2021). For example, individuals with SIRD, characterized by profound insulin resistance and high BMI, are at a significantly greater risk for diabetic kidney disease and thus benefit most from organ-protective agents like SGLT2 inhibitors (Franks &amp; Sargent, 2024). In contrast, patients with severe insulin-deficient diabetes may require earlier initiation of insulin therapy. The TriMaster study exemplifies this stratified approach, demonstrating that clinical characteristics like BMI and kidney function can predict differential responses to specific drugs, such as thiazolidinediones versus DPP-4 inhibitors, allowing for more informed second-line treatment selection (Shields et al., 2022). Beyond pharmacogenomics, personalized nutrition and exercise regimens are critical. Evidence supports that low-calorie or low-carbohydrate diets are effective for remission, but their success is highly dependent on individual adherence and metabolic context (Arias-Marroquín et al., 2024; Mehra, 2022). A personalized multi-interventional approach combining customized nutrition, progressive fitness, and lifestyle modification has been shown to significantly reduce HbA1c, fasting blood sugar, and weight (Mehra, 2022). </w:t>
      </w:r>
      <w:r w:rsidR="00A169EA" w:rsidRPr="00916E04">
        <w:rPr>
          <w:rFonts w:ascii="Times New Roman" w:hAnsi="Times New Roman" w:cs="Times New Roman"/>
          <w:color w:val="000000" w:themeColor="text1"/>
        </w:rPr>
        <w:t xml:space="preserve">Machine learning </w:t>
      </w:r>
      <w:r w:rsidRPr="00916E04">
        <w:rPr>
          <w:rFonts w:ascii="Times New Roman" w:hAnsi="Times New Roman" w:cs="Times New Roman"/>
          <w:color w:val="000000" w:themeColor="text1"/>
        </w:rPr>
        <w:t>is poised to further enhance personalization by integrating complex datasets</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including genomics, epigenetics, gut microbiota, and real-time CGM data</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to generate optimized drug mix and dose recommendations, as demonstrated by systems like AIDA (Ghosh et al., 2025; Nambiar et al., 2024).</w:t>
      </w:r>
    </w:p>
    <w:p w14:paraId="2362F7C6" w14:textId="16E1D666"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The potential for diabetes reversal is perhaps the most compelling outcome of precision medicine. Remission, defined as achieving normoglycemia without pharmacological therapy for at least one year, is now recognized as a feasible target, particularly for patients with shorter disease duration and preserved β-cell function (Chang, 2023; Kanorskii, 2022). Interventions such as intensive lifestyle programs, bariatric surgery, and digital twin-enabled precision nutrition have all demonstrated the ability to induce remission by addressing the root causes of hyperglycemia (Shamanna et al., 2021; Kanorskii, 2022). Bariatric surgery, for instance, induces remission not just through weight loss but also by profoundly altering gut hormone secretion, leading to increased GLP-1 production, which enhances insulin sensitivity and secretion (Kanorskii, 2022). Digital twin technology uses a virtual model of a patient's metabolism to simulate and optimize interventions before they are applied in the real world, defining stages of reversal to provide a more nuanced view </w:t>
      </w:r>
      <w:r w:rsidRPr="00916E04">
        <w:rPr>
          <w:rFonts w:ascii="Times New Roman" w:hAnsi="Times New Roman" w:cs="Times New Roman"/>
          <w:color w:val="000000" w:themeColor="text1"/>
        </w:rPr>
        <w:lastRenderedPageBreak/>
        <w:t>than a simple binary outcome (Shamanna et al., 2021). The likelihood of remission can be quantified using predictive models that incorporate factors like age, BMI, C-peptide levels, and duration of diabetes, providing a powerful tool for setting realistic goals and guiding therapeutic intensity (Kalra et al., 2021).</w:t>
      </w:r>
    </w:p>
    <w:p w14:paraId="54F52666" w14:textId="0C74F3B4" w:rsidR="006B4020" w:rsidRPr="006B4020"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In conclusion, precision medicine is redefining the trajectory of T2D management. By embracing continuous assessment with tools like CGM, stratifying patients based on their unique pathophysiology, and tailoring multifaceted interventions, the field is moving towards a future where optimal glycemic control and even disease remission are achievable for many. This approach requires a unified electronic medical record linking patient profiles to treatment plans, the integration of </w:t>
      </w:r>
      <w:r w:rsidR="00A169EA" w:rsidRPr="00916E04">
        <w:rPr>
          <w:rFonts w:ascii="Times New Roman" w:hAnsi="Times New Roman" w:cs="Times New Roman"/>
          <w:color w:val="000000" w:themeColor="text1"/>
        </w:rPr>
        <w:t>machine learning</w:t>
      </w:r>
      <w:r w:rsidRPr="00916E04">
        <w:rPr>
          <w:rFonts w:ascii="Times New Roman" w:hAnsi="Times New Roman" w:cs="Times New Roman"/>
          <w:color w:val="000000" w:themeColor="text1"/>
        </w:rPr>
        <w:t xml:space="preserve"> for decision support, and a focus on high-value care activities like telemedicine and improved self-management (Ajjan et al., 2024). While challenges remain in implementation and accessibility, the evidence base continues to grow, signaling a new era of hope and efficacy in the fight against type 2 diabetes.</w:t>
      </w:r>
    </w:p>
    <w:p w14:paraId="64AEA596" w14:textId="77777777" w:rsidR="001E7874" w:rsidRPr="001E7874" w:rsidRDefault="001E7874" w:rsidP="001E7874">
      <w:pPr>
        <w:spacing w:before="100" w:beforeAutospacing="1" w:after="100" w:afterAutospacing="1" w:line="360" w:lineRule="auto"/>
        <w:jc w:val="both"/>
        <w:outlineLvl w:val="2"/>
        <w:rPr>
          <w:rFonts w:ascii="Times New Roman" w:eastAsia="Times New Roman" w:hAnsi="Times New Roman" w:cs="Times New Roman"/>
          <w:b/>
          <w:bCs/>
          <w:kern w:val="0"/>
          <w:sz w:val="27"/>
          <w:szCs w:val="27"/>
          <w14:ligatures w14:val="none"/>
        </w:rPr>
      </w:pPr>
      <w:r w:rsidRPr="001E7874">
        <w:rPr>
          <w:rFonts w:ascii="Times New Roman" w:eastAsia="Times New Roman" w:hAnsi="Times New Roman" w:cs="Times New Roman"/>
          <w:b/>
          <w:bCs/>
          <w:kern w:val="0"/>
          <w:sz w:val="27"/>
          <w:szCs w:val="27"/>
          <w14:ligatures w14:val="none"/>
        </w:rPr>
        <w:t>2. Materials and Methods</w:t>
      </w:r>
    </w:p>
    <w:p w14:paraId="1B135A63"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This comprehensive review synthesizes current evidence on precision medicine in type 2 diabetes mellitus (T2DM), focusing on continuous disease assessment, subclassification, personalized therapies, and disease remission. The approach combines a structured literature search with narrative synthesis to provide an up-to-date overview of advances, challenges, and future directions.</w:t>
      </w:r>
    </w:p>
    <w:p w14:paraId="507F5B36" w14:textId="77777777" w:rsidR="001E7874" w:rsidRPr="001E7874" w:rsidRDefault="001E7874" w:rsidP="001E7874">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1E7874">
        <w:rPr>
          <w:rFonts w:ascii="Times New Roman" w:eastAsia="Times New Roman" w:hAnsi="Times New Roman" w:cs="Times New Roman"/>
          <w:b/>
          <w:bCs/>
          <w:kern w:val="0"/>
          <w14:ligatures w14:val="none"/>
        </w:rPr>
        <w:t>2.1. Literature Search Strategy</w:t>
      </w:r>
    </w:p>
    <w:p w14:paraId="40DAF8E4"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 xml:space="preserve">A comprehensive literature search was conducted across major electronic databases, including PubMed/MEDLINE, Scopus, Web of Science, and Google Scholar, from January 1, 2010, to December 31, 2025, to capture recent developments in precision diabetology. Additional sources included reference lists of key articles, recent consensus reports (e.g., from the American Diabetes Association and European Association for the Study of Diabetes), and preprint servers for emerging publications. The search was not limited to systematic reviews or randomized trials but prioritized high-impact original research, meta-analyses, narrative reviews, and clinical studies relevant to continuous glucose monitoring (CGM), diabetes clustering/subclassification, pharmacogenomics, </w:t>
      </w:r>
      <w:r w:rsidRPr="001E7874">
        <w:rPr>
          <w:rFonts w:ascii="Times New Roman" w:eastAsia="Times New Roman" w:hAnsi="Times New Roman" w:cs="Times New Roman"/>
          <w:kern w:val="0"/>
          <w14:ligatures w14:val="none"/>
        </w:rPr>
        <w:lastRenderedPageBreak/>
        <w:t>remission interventions, machine learning/multi-omics integration, and personalized management in T2DM.</w:t>
      </w:r>
    </w:p>
    <w:p w14:paraId="2B8B073D"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Searches were updated iteratively during manuscript preparation to incorporate the most recent publications (e.g., 2025 studies on CGM expansion, AI applications, and GLP-1/SGLT2 mechanisms).</w:t>
      </w:r>
    </w:p>
    <w:p w14:paraId="0FA182C9" w14:textId="77777777" w:rsidR="001E7874" w:rsidRPr="001E7874" w:rsidRDefault="001E7874" w:rsidP="001E7874">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1E7874">
        <w:rPr>
          <w:rFonts w:ascii="Times New Roman" w:eastAsia="Times New Roman" w:hAnsi="Times New Roman" w:cs="Times New Roman"/>
          <w:b/>
          <w:bCs/>
          <w:kern w:val="0"/>
          <w14:ligatures w14:val="none"/>
        </w:rPr>
        <w:t>2.2. Search Terms and Eligibility Criteria</w:t>
      </w:r>
    </w:p>
    <w:p w14:paraId="42230168"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Search terms were developed using a combination of Medical Subject Headings (MeSH) and free-text keywords, combined with Boolean operators (AND/OR). Core search strings included:</w:t>
      </w:r>
    </w:p>
    <w:p w14:paraId="53F9C8F3" w14:textId="77777777" w:rsidR="001E7874" w:rsidRPr="001E7874" w:rsidRDefault="001E7874" w:rsidP="001E7874">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("type 2 diabetes" OR "type 2 diabetes mellitus" OR T2DM OR "non-insulin dependent diabetes") AND ("precision medicine" OR "personalized medicine" OR "precision diabetology" OR "stratified medicine" OR "subclassification" OR "clustering" OR "endotypes" OR "phenotypes") AND ("continuous glucose monitoring" OR CGM OR "time in range" OR TIR OR "glycemic variability" OR "remission" OR "reversal" OR "disease reversal" OR "pharmacogenomics" OR "SGLT2 inhibitors" OR "GLP-1 receptor agonists" OR "machine learning" OR "artificial intelligence" OR "multi-omics" OR "digital twin")</w:t>
      </w:r>
    </w:p>
    <w:p w14:paraId="309EE7C6"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Additional filters were applied for specific subtopics (e.g., "severe insulin-resistant diabetes" OR SIRD; "severe insulin-deficient diabetes" OR SIDD; "bariatric surgery" AND remission).</w:t>
      </w:r>
    </w:p>
    <w:p w14:paraId="5B2E5412"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Eligibility criteria for inclusion were:</w:t>
      </w:r>
    </w:p>
    <w:p w14:paraId="1B5C18C6" w14:textId="77777777" w:rsidR="001E7874" w:rsidRPr="001E7874" w:rsidRDefault="001E7874" w:rsidP="001E7874">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Publications in English.</w:t>
      </w:r>
    </w:p>
    <w:p w14:paraId="372F1C6D" w14:textId="77777777" w:rsidR="001E7874" w:rsidRPr="001E7874" w:rsidRDefault="001E7874" w:rsidP="001E7874">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Peer-reviewed original research, systematic reviews, meta-analyses, narrative reviews, consensus statements, or clinical studies involving human participants with T2DM (or prediabetes where relevant to prevention/remission).</w:t>
      </w:r>
    </w:p>
    <w:p w14:paraId="256259CA" w14:textId="77777777" w:rsidR="001E7874" w:rsidRPr="001E7874" w:rsidRDefault="001E7874" w:rsidP="001E7874">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Focus on precision approaches, including CGM for assessment, subtype stratification, personalized pharmacotherapy/lifestyle interventions, remission achievement, or emerging technologies (e.g., AI, multi-omics).</w:t>
      </w:r>
    </w:p>
    <w:p w14:paraId="491B6C34" w14:textId="77777777" w:rsidR="001E7874" w:rsidRPr="001E7874" w:rsidRDefault="001E7874" w:rsidP="001E7874">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lastRenderedPageBreak/>
        <w:t>Exclusion of: animal-only studies, type 1 diabetes-exclusive papers, monogenic diabetes without T2DM relevance, editorials without data synthesis, or low-quality case reports.</w:t>
      </w:r>
    </w:p>
    <w:p w14:paraId="3C12EE38"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Titles and abstracts were screened for relevance, followed by full-text review to confirm alignment with the review's scope.</w:t>
      </w:r>
    </w:p>
    <w:p w14:paraId="3D49A054" w14:textId="77777777" w:rsidR="001E7874" w:rsidRPr="001E7874" w:rsidRDefault="001E7874" w:rsidP="001E7874">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1E7874">
        <w:rPr>
          <w:rFonts w:ascii="Times New Roman" w:eastAsia="Times New Roman" w:hAnsi="Times New Roman" w:cs="Times New Roman"/>
          <w:b/>
          <w:bCs/>
          <w:kern w:val="0"/>
          <w14:ligatures w14:val="none"/>
        </w:rPr>
        <w:t>2.4. Quality Assessment</w:t>
      </w:r>
    </w:p>
    <w:p w14:paraId="4C988304"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As this is a narrative/comprehensive review rather than a formal meta-analysis, formal quantitative quality scoring (e.g., using tools like AMSTAR-2 for reviews or Cochrane Risk of Bias for trials) was not uniformly applied to all sources. Instead, a qualitative appraisal was performed to prioritize high-quality evidence based on established criteria:</w:t>
      </w:r>
    </w:p>
    <w:p w14:paraId="11E71BC1" w14:textId="77777777" w:rsidR="001E7874" w:rsidRPr="001E7874" w:rsidRDefault="001E7874" w:rsidP="001E7874">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Study design hierarchy (e.g., randomized controlled trials, large cohort studies, and meta-analyses ranked higher than case series or expert opinion).</w:t>
      </w:r>
    </w:p>
    <w:p w14:paraId="6A2072C8" w14:textId="77777777" w:rsidR="001E7874" w:rsidRPr="001E7874" w:rsidRDefault="001E7874" w:rsidP="001E7874">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Reproducibility and validation of findings (e.g., preference for externally validated clustering models or remission predictors across populations).</w:t>
      </w:r>
    </w:p>
    <w:p w14:paraId="79E06148" w14:textId="77777777" w:rsidR="001E7874" w:rsidRPr="001E7874" w:rsidRDefault="001E7874" w:rsidP="001E7874">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Sample size, follow-up duration, and adjustment for confounders in observational/interventional studies.</w:t>
      </w:r>
    </w:p>
    <w:p w14:paraId="30010650" w14:textId="77777777" w:rsidR="001E7874" w:rsidRPr="001E7874" w:rsidRDefault="001E7874" w:rsidP="001E7874">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Alignment with emerging reporting standards for precision medicine research, such as the BePRECISE checklist (where applicable to clinical relevance, equity, and methodological transparency).</w:t>
      </w:r>
    </w:p>
    <w:p w14:paraId="325BE7FB" w14:textId="77777777" w:rsidR="001E7874" w:rsidRPr="001E7874" w:rsidRDefault="001E7874" w:rsidP="001E7874">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Recency and impact (e.g., publications from high-impact journals or those cited in recent consensus reports).</w:t>
      </w:r>
    </w:p>
    <w:p w14:paraId="0ADF5583"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Studies with major methodological limitations (e.g., small sample sizes with overfitting risks in prediction models, lack of external validation) were noted as such in the synthesis, with emphasis placed on robust, replicated evidence.</w:t>
      </w:r>
    </w:p>
    <w:p w14:paraId="34E04773" w14:textId="77777777" w:rsidR="001E7874" w:rsidRPr="001E7874" w:rsidRDefault="001E7874" w:rsidP="001E7874">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1E7874">
        <w:rPr>
          <w:rFonts w:ascii="Times New Roman" w:eastAsia="Times New Roman" w:hAnsi="Times New Roman" w:cs="Times New Roman"/>
          <w:b/>
          <w:bCs/>
          <w:kern w:val="0"/>
          <w14:ligatures w14:val="none"/>
        </w:rPr>
        <w:t>2.5. Data Synthesis</w:t>
      </w:r>
    </w:p>
    <w:p w14:paraId="1B21DDD9"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 xml:space="preserve">Data were synthesized narratively to integrate findings across themes: continuous assessment via CGM, subtype stratification and personalized pharmacotherapy, remission potential, emerging </w:t>
      </w:r>
      <w:r w:rsidRPr="001E7874">
        <w:rPr>
          <w:rFonts w:ascii="Times New Roman" w:eastAsia="Times New Roman" w:hAnsi="Times New Roman" w:cs="Times New Roman"/>
          <w:kern w:val="0"/>
          <w14:ligatures w14:val="none"/>
        </w:rPr>
        <w:lastRenderedPageBreak/>
        <w:t>technologies, and challenges/future directions. Key evidence was grouped thematically rather than meta-analyzed due to heterogeneity in study designs, populations, interventions, and outcomes (e.g., TIR improvements, HbA1c reductions, remission rates).</w:t>
      </w:r>
    </w:p>
    <w:p w14:paraId="7D4883DA"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Synthesis prioritized:</w:t>
      </w:r>
    </w:p>
    <w:p w14:paraId="61F740F9" w14:textId="77777777" w:rsidR="001E7874" w:rsidRPr="001E7874" w:rsidRDefault="001E7874" w:rsidP="001E7874">
      <w:pPr>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Consistent patterns across high-quality sources (e.g., CGM benefits in TIR and HbA1c; differential drug responses in SIRD vs. SIDD clusters).</w:t>
      </w:r>
    </w:p>
    <w:p w14:paraId="6584772F" w14:textId="77777777" w:rsidR="001E7874" w:rsidRPr="001E7874" w:rsidRDefault="001E7874" w:rsidP="001E7874">
      <w:pPr>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Mechanistic insights and clinical implications.</w:t>
      </w:r>
    </w:p>
    <w:p w14:paraId="25DD210A" w14:textId="77777777" w:rsidR="001E7874" w:rsidRPr="001E7874" w:rsidRDefault="001E7874" w:rsidP="001E7874">
      <w:pPr>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Identification of gaps (e.g., implementation barriers, equity issues).</w:t>
      </w:r>
    </w:p>
    <w:p w14:paraId="2F4943BE" w14:textId="77777777" w:rsidR="001E7874" w:rsidRPr="001E7874" w:rsidRDefault="001E7874" w:rsidP="001E7874">
      <w:pPr>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Critical discussion of limitations in the evidence base.</w:t>
      </w:r>
    </w:p>
    <w:p w14:paraId="4E0F55A3" w14:textId="0A0E725A" w:rsidR="006B4020" w:rsidRPr="006B4020" w:rsidRDefault="006B4020" w:rsidP="001E7874">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w:t>
      </w:r>
      <w:r w:rsidR="00CF75D4" w:rsidRPr="00916E04">
        <w:rPr>
          <w:rFonts w:ascii="Times New Roman" w:hAnsi="Times New Roman" w:cs="Times New Roman"/>
          <w:b/>
          <w:bCs/>
          <w:color w:val="000000" w:themeColor="text1"/>
        </w:rPr>
        <w:t>. Continuous Disease Assessment: The Foundation of Precision Approaches</w:t>
      </w:r>
      <w:r w:rsidR="00CF75D4" w:rsidRPr="00916E04">
        <w:rPr>
          <w:rFonts w:ascii="Times New Roman" w:hAnsi="Times New Roman" w:cs="Times New Roman"/>
          <w:color w:val="000000" w:themeColor="text1"/>
        </w:rPr>
        <w:t xml:space="preserve"> Continuous glucose monitoring (CGM) provides real-time, high-resolution glycemic data, capturing time in range (TIR; 70–180 mg/dL), glycemic variability (GV), and patterns (e.g., nocturnal hypoglycemia, dawn phenomenon) missed by HbA1c. In T2DM, including non-insulin-treated patients, CGM use improves HbA1c, TIR, self-management, and risk stratification, particularly when paired with telemedicine or structured education. Expanding access to broader T2DM populations (e.g., basal insulin users or those with comorbidities) is supported by evidence showing reduced glucose instability and better resource allocation. CGM enables proactive therapy titration and early detection of treatment failure.</w:t>
      </w:r>
    </w:p>
    <w:p w14:paraId="7856DF17" w14:textId="0F0BF2DE" w:rsidR="00CF75D4" w:rsidRPr="00916E04" w:rsidRDefault="006B4020" w:rsidP="001E7874">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4</w:t>
      </w:r>
      <w:r w:rsidR="00CF75D4" w:rsidRPr="00916E04">
        <w:rPr>
          <w:rFonts w:ascii="Times New Roman" w:hAnsi="Times New Roman" w:cs="Times New Roman"/>
          <w:b/>
          <w:bCs/>
          <w:color w:val="000000" w:themeColor="text1"/>
        </w:rPr>
        <w:t>. Stratification and Personalized Pharmacotherapy</w:t>
      </w:r>
      <w:r w:rsidR="00A169EA" w:rsidRPr="00916E04">
        <w:rPr>
          <w:rFonts w:ascii="Times New Roman" w:hAnsi="Times New Roman" w:cs="Times New Roman"/>
          <w:b/>
          <w:bCs/>
          <w:color w:val="000000" w:themeColor="text1"/>
        </w:rPr>
        <w:t>:</w:t>
      </w:r>
      <w:r w:rsidR="00CF75D4" w:rsidRPr="00916E04">
        <w:rPr>
          <w:rFonts w:ascii="Times New Roman" w:hAnsi="Times New Roman" w:cs="Times New Roman"/>
          <w:color w:val="000000" w:themeColor="text1"/>
        </w:rPr>
        <w:t xml:space="preserve"> Clustering analyses reveal distinct T2DM endotypes with varying complication risks and drug responses:</w:t>
      </w:r>
    </w:p>
    <w:p w14:paraId="37B96EAA" w14:textId="77777777" w:rsidR="00CF75D4" w:rsidRPr="00916E04" w:rsidRDefault="00CF75D4" w:rsidP="001E7874">
      <w:pPr>
        <w:numPr>
          <w:ilvl w:val="0"/>
          <w:numId w:val="1"/>
        </w:numPr>
        <w:spacing w:line="360" w:lineRule="auto"/>
        <w:ind w:left="450"/>
        <w:jc w:val="both"/>
        <w:rPr>
          <w:rFonts w:ascii="Times New Roman" w:hAnsi="Times New Roman" w:cs="Times New Roman"/>
          <w:color w:val="000000" w:themeColor="text1"/>
        </w:rPr>
      </w:pPr>
      <w:r w:rsidRPr="00916E04">
        <w:rPr>
          <w:rFonts w:ascii="Times New Roman" w:hAnsi="Times New Roman" w:cs="Times New Roman"/>
          <w:color w:val="000000" w:themeColor="text1"/>
        </w:rPr>
        <w:t>Severe insulin-resistant diabetes (SIRD): High insulin resistance, elevated BMI, increased diabetic kidney disease/cardiovascular risk → preferential benefit from SGLT2 inhibitors for organ protection.</w:t>
      </w:r>
    </w:p>
    <w:p w14:paraId="5FD74C98" w14:textId="77777777" w:rsidR="00CF75D4" w:rsidRPr="00916E04" w:rsidRDefault="00CF75D4" w:rsidP="001E7874">
      <w:pPr>
        <w:numPr>
          <w:ilvl w:val="0"/>
          <w:numId w:val="1"/>
        </w:numPr>
        <w:spacing w:line="360" w:lineRule="auto"/>
        <w:ind w:left="450"/>
        <w:jc w:val="both"/>
        <w:rPr>
          <w:rFonts w:ascii="Times New Roman" w:hAnsi="Times New Roman" w:cs="Times New Roman"/>
          <w:color w:val="000000" w:themeColor="text1"/>
        </w:rPr>
      </w:pPr>
      <w:r w:rsidRPr="00916E04">
        <w:rPr>
          <w:rFonts w:ascii="Times New Roman" w:hAnsi="Times New Roman" w:cs="Times New Roman"/>
          <w:color w:val="000000" w:themeColor="text1"/>
        </w:rPr>
        <w:t>Severe insulin-deficient diabetes (SIDD): Profound beta-cell failure → earlier insulin or GLP-1 receptor agonists (GLP-1 RAs) to augment residual function.</w:t>
      </w:r>
    </w:p>
    <w:p w14:paraId="61A23F14" w14:textId="77777777" w:rsidR="00CF75D4" w:rsidRPr="00916E04" w:rsidRDefault="00CF75D4" w:rsidP="001E7874">
      <w:pPr>
        <w:numPr>
          <w:ilvl w:val="0"/>
          <w:numId w:val="1"/>
        </w:numPr>
        <w:spacing w:line="360" w:lineRule="auto"/>
        <w:ind w:left="450"/>
        <w:jc w:val="both"/>
        <w:rPr>
          <w:rFonts w:ascii="Times New Roman" w:hAnsi="Times New Roman" w:cs="Times New Roman"/>
          <w:color w:val="000000" w:themeColor="text1"/>
        </w:rPr>
      </w:pPr>
      <w:r w:rsidRPr="00916E04">
        <w:rPr>
          <w:rFonts w:ascii="Times New Roman" w:hAnsi="Times New Roman" w:cs="Times New Roman"/>
          <w:color w:val="000000" w:themeColor="text1"/>
        </w:rPr>
        <w:t>Mild obesity-related (MOD) or age-related (MARD) diabetes: Lower complication risks, different priorities.</w:t>
      </w:r>
    </w:p>
    <w:p w14:paraId="285AD6A2" w14:textId="38197DB5" w:rsidR="00CF75D4" w:rsidRPr="00916E04" w:rsidRDefault="00CF75D4"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lastRenderedPageBreak/>
        <w:t xml:space="preserve">Clinical tools like BMI and kidney function predict responses (e.g., TriMaster study: thiazolidinediones vs. DPP-4 inhibitors). Pharmacogenomics refines selection (e.g., TCF7L2/KCNJ11 variants influencing sulfonylurea efficacy). Personalized nutrition/exercise, aided by </w:t>
      </w:r>
      <w:r w:rsidR="00E30EE9" w:rsidRPr="00916E04">
        <w:rPr>
          <w:rFonts w:ascii="Times New Roman" w:hAnsi="Times New Roman" w:cs="Times New Roman"/>
          <w:color w:val="000000" w:themeColor="text1"/>
        </w:rPr>
        <w:t>machine learning</w:t>
      </w:r>
      <w:r w:rsidRPr="00916E04">
        <w:rPr>
          <w:rFonts w:ascii="Times New Roman" w:hAnsi="Times New Roman" w:cs="Times New Roman"/>
          <w:color w:val="000000" w:themeColor="text1"/>
        </w:rPr>
        <w:t xml:space="preserve"> integrating genomics, microbiome, and CGM data, optimizes adherence and outcomes.</w:t>
      </w:r>
    </w:p>
    <w:p w14:paraId="3FE8BBB3" w14:textId="7C7A847C" w:rsidR="00CF75D4" w:rsidRPr="00916E04" w:rsidRDefault="006B4020" w:rsidP="001E7874">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5</w:t>
      </w:r>
      <w:r w:rsidR="00CF75D4" w:rsidRPr="00916E04">
        <w:rPr>
          <w:rFonts w:ascii="Times New Roman" w:hAnsi="Times New Roman" w:cs="Times New Roman"/>
          <w:b/>
          <w:bCs/>
          <w:color w:val="000000" w:themeColor="text1"/>
        </w:rPr>
        <w:t>. Potential for Disease Remission and Reversal</w:t>
      </w:r>
      <w:r w:rsidR="00A169EA" w:rsidRPr="00916E04">
        <w:rPr>
          <w:rFonts w:ascii="Times New Roman" w:hAnsi="Times New Roman" w:cs="Times New Roman"/>
          <w:b/>
          <w:bCs/>
          <w:color w:val="000000" w:themeColor="text1"/>
        </w:rPr>
        <w:t>:</w:t>
      </w:r>
      <w:r w:rsidR="00CF75D4" w:rsidRPr="00916E04">
        <w:rPr>
          <w:rFonts w:ascii="Times New Roman" w:hAnsi="Times New Roman" w:cs="Times New Roman"/>
          <w:color w:val="000000" w:themeColor="text1"/>
        </w:rPr>
        <w:t xml:space="preserve"> T2DM remission</w:t>
      </w:r>
      <w:r w:rsidR="00A169EA" w:rsidRPr="00916E04">
        <w:rPr>
          <w:rFonts w:ascii="Times New Roman" w:hAnsi="Times New Roman" w:cs="Times New Roman"/>
          <w:color w:val="000000" w:themeColor="text1"/>
        </w:rPr>
        <w:t xml:space="preserve"> </w:t>
      </w:r>
      <w:r w:rsidR="00CF75D4" w:rsidRPr="00916E04">
        <w:rPr>
          <w:rFonts w:ascii="Times New Roman" w:hAnsi="Times New Roman" w:cs="Times New Roman"/>
          <w:color w:val="000000" w:themeColor="text1"/>
        </w:rPr>
        <w:t>HbA1c &lt;6.5% without glucose-lowering therapy for ≥3–12 months</w:t>
      </w:r>
      <w:r w:rsidR="00A169EA" w:rsidRPr="00916E04">
        <w:rPr>
          <w:rFonts w:ascii="Times New Roman" w:hAnsi="Times New Roman" w:cs="Times New Roman"/>
          <w:color w:val="000000" w:themeColor="text1"/>
        </w:rPr>
        <w:t xml:space="preserve"> </w:t>
      </w:r>
      <w:r w:rsidR="00CF75D4" w:rsidRPr="00916E04">
        <w:rPr>
          <w:rFonts w:ascii="Times New Roman" w:hAnsi="Times New Roman" w:cs="Times New Roman"/>
          <w:color w:val="000000" w:themeColor="text1"/>
        </w:rPr>
        <w:t>is feasible, especially with short disease duration, preserved beta-cell function, and higher C-peptide. Interventions include intensive lifestyle programs, very-low-calorie diets, multi-interventional approaches (custom nutrition + fitness + behavioral support), and bariatric surgery (via gut hormone changes, e.g., enhanced GLP-1). Digital twins simulate metabolic responses for optimized personalization. Predictive models (age, BMI, duration, biomarkers) guide candidate selection and intensity, addressing glucolipotoxicity early to halt progression.</w:t>
      </w:r>
    </w:p>
    <w:p w14:paraId="5E759A5E" w14:textId="5102B19E" w:rsidR="00CF75D4" w:rsidRPr="00916E04" w:rsidRDefault="006B4020" w:rsidP="001E7874">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6</w:t>
      </w:r>
      <w:r w:rsidR="00CF75D4" w:rsidRPr="00916E04">
        <w:rPr>
          <w:rFonts w:ascii="Times New Roman" w:hAnsi="Times New Roman" w:cs="Times New Roman"/>
          <w:b/>
          <w:bCs/>
          <w:color w:val="000000" w:themeColor="text1"/>
        </w:rPr>
        <w:t>. Emerging Technologies and Multi-Omics Integration</w:t>
      </w:r>
      <w:r w:rsidR="00A169EA" w:rsidRPr="00916E04">
        <w:rPr>
          <w:rFonts w:ascii="Times New Roman" w:hAnsi="Times New Roman" w:cs="Times New Roman"/>
          <w:b/>
          <w:bCs/>
          <w:color w:val="000000" w:themeColor="text1"/>
        </w:rPr>
        <w:t>:</w:t>
      </w:r>
      <w:r w:rsidR="00CF75D4" w:rsidRPr="00916E04">
        <w:rPr>
          <w:rFonts w:ascii="Times New Roman" w:hAnsi="Times New Roman" w:cs="Times New Roman"/>
          <w:color w:val="000000" w:themeColor="text1"/>
        </w:rPr>
        <w:t xml:space="preserve"> </w:t>
      </w:r>
      <w:r w:rsidR="00E30EE9" w:rsidRPr="00916E04">
        <w:rPr>
          <w:rFonts w:ascii="Times New Roman" w:hAnsi="Times New Roman" w:cs="Times New Roman"/>
          <w:color w:val="000000" w:themeColor="text1"/>
        </w:rPr>
        <w:t>M</w:t>
      </w:r>
      <w:r w:rsidR="00CF75D4" w:rsidRPr="00916E04">
        <w:rPr>
          <w:rFonts w:ascii="Times New Roman" w:hAnsi="Times New Roman" w:cs="Times New Roman"/>
          <w:color w:val="000000" w:themeColor="text1"/>
        </w:rPr>
        <w:t>achine learning on electronic records, CGM, and multi-omics (genomics, epigenetics, transcriptomics, microbiome) predict hypoglycemia, optimize dosing, subclassify patients, and recommend drug combinations. These tools enable proactive care, shifting from reactive hyperglycemia management to prevention and reversal.</w:t>
      </w:r>
    </w:p>
    <w:p w14:paraId="60AFE7E8" w14:textId="0B34A512" w:rsidR="00CF75D4" w:rsidRPr="00916E04" w:rsidRDefault="006B4020" w:rsidP="001E7874">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7</w:t>
      </w:r>
      <w:r w:rsidR="00CF75D4" w:rsidRPr="00916E04">
        <w:rPr>
          <w:rFonts w:ascii="Times New Roman" w:hAnsi="Times New Roman" w:cs="Times New Roman"/>
          <w:b/>
          <w:bCs/>
          <w:color w:val="000000" w:themeColor="text1"/>
        </w:rPr>
        <w:t>. Challenges and Future Directions</w:t>
      </w:r>
      <w:r w:rsidR="00A169EA" w:rsidRPr="00916E04">
        <w:rPr>
          <w:rFonts w:ascii="Times New Roman" w:hAnsi="Times New Roman" w:cs="Times New Roman"/>
          <w:b/>
          <w:bCs/>
          <w:color w:val="000000" w:themeColor="text1"/>
        </w:rPr>
        <w:t>:</w:t>
      </w:r>
      <w:r w:rsidR="00CF75D4" w:rsidRPr="00916E04">
        <w:rPr>
          <w:rFonts w:ascii="Times New Roman" w:hAnsi="Times New Roman" w:cs="Times New Roman"/>
          <w:color w:val="000000" w:themeColor="text1"/>
        </w:rPr>
        <w:t xml:space="preserve"> Limitations include small-sample prediction models prone to overfitting, sparse robust predictors for routine use, treatment heterogeneity evidence gaps, implementation in diverse settings, access inequities, data privacy, and ethical concerns (e.g., prediabetes medicalization). Future progress requires larger datasets, standardized multi-omics, validated </w:t>
      </w:r>
      <w:r w:rsidR="00E30EE9" w:rsidRPr="00916E04">
        <w:rPr>
          <w:rFonts w:ascii="Times New Roman" w:hAnsi="Times New Roman" w:cs="Times New Roman"/>
          <w:color w:val="000000" w:themeColor="text1"/>
        </w:rPr>
        <w:t>machine learning</w:t>
      </w:r>
      <w:r w:rsidR="00CF75D4" w:rsidRPr="00916E04">
        <w:rPr>
          <w:rFonts w:ascii="Times New Roman" w:hAnsi="Times New Roman" w:cs="Times New Roman"/>
          <w:color w:val="000000" w:themeColor="text1"/>
        </w:rPr>
        <w:t>, unified records, and equitable CGM/telemedicine access. Reporting guidelines like BePRECISE may enhance rigor in precision diabetes research.</w:t>
      </w:r>
    </w:p>
    <w:p w14:paraId="57608E5D" w14:textId="7DCD87AC" w:rsidR="00CF75D4" w:rsidRPr="00916E04" w:rsidRDefault="006B4020" w:rsidP="001E7874">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8</w:t>
      </w:r>
      <w:r w:rsidR="00CF75D4" w:rsidRPr="00916E04">
        <w:rPr>
          <w:rFonts w:ascii="Times New Roman" w:hAnsi="Times New Roman" w:cs="Times New Roman"/>
          <w:b/>
          <w:bCs/>
          <w:color w:val="000000" w:themeColor="text1"/>
        </w:rPr>
        <w:t>. Conclusion</w:t>
      </w:r>
      <w:r w:rsidR="00A169EA" w:rsidRPr="00916E04">
        <w:rPr>
          <w:rFonts w:ascii="Times New Roman" w:hAnsi="Times New Roman" w:cs="Times New Roman"/>
          <w:b/>
          <w:bCs/>
          <w:color w:val="000000" w:themeColor="text1"/>
        </w:rPr>
        <w:t>:</w:t>
      </w:r>
      <w:r w:rsidR="00CF75D4" w:rsidRPr="00916E04">
        <w:rPr>
          <w:rFonts w:ascii="Times New Roman" w:hAnsi="Times New Roman" w:cs="Times New Roman"/>
          <w:color w:val="000000" w:themeColor="text1"/>
        </w:rPr>
        <w:t xml:space="preserve"> </w:t>
      </w:r>
      <w:r w:rsidR="002F24FF" w:rsidRPr="00916E04">
        <w:rPr>
          <w:rFonts w:ascii="Times New Roman" w:hAnsi="Times New Roman" w:cs="Times New Roman"/>
          <w:color w:val="000000" w:themeColor="text1"/>
        </w:rPr>
        <w:t xml:space="preserve">Precision medicine in T2DM, supported by CGM for continuous assessment, clustering for stratification, pharmacogenomics for drug selection, and intensive personalized interventions, improves glycemic control, reduces complications, and enables remission in select patients. Systematic evidence confirms benefits of CGM (HbA1c reductions ~0.2–0.3%), reproducible subtypes with outcome associations, and remission via weight loss-focused strategies (higher rates with multimodal approaches). While promising, full integration requires larger validation studies, equitable access, and Machine learning/multi-omics advancements to realize </w:t>
      </w:r>
      <w:r w:rsidR="002F24FF" w:rsidRPr="00916E04">
        <w:rPr>
          <w:rFonts w:ascii="Times New Roman" w:hAnsi="Times New Roman" w:cs="Times New Roman"/>
          <w:color w:val="000000" w:themeColor="text1"/>
        </w:rPr>
        <w:lastRenderedPageBreak/>
        <w:t>predictive, preventive, personalized care. Ongoing research trajectories suggest precision diabetology will increasingly redefine T2DM management beyond symptom control toward reversal in appropriate contexts.</w:t>
      </w:r>
    </w:p>
    <w:p w14:paraId="3A1222C7" w14:textId="77490C0F" w:rsidR="002A4770" w:rsidRPr="00916E04" w:rsidRDefault="006B4020" w:rsidP="001E7874">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9</w:t>
      </w:r>
      <w:r w:rsidR="002A4770" w:rsidRPr="00916E04">
        <w:rPr>
          <w:rFonts w:ascii="Times New Roman" w:hAnsi="Times New Roman" w:cs="Times New Roman"/>
          <w:b/>
          <w:bCs/>
          <w:color w:val="000000" w:themeColor="text1"/>
        </w:rPr>
        <w:t xml:space="preserve">. Source of Fund: </w:t>
      </w:r>
      <w:r w:rsidR="002F24FF" w:rsidRPr="00916E04">
        <w:rPr>
          <w:rFonts w:ascii="Times New Roman" w:hAnsi="Times New Roman" w:cs="Times New Roman"/>
          <w:color w:val="000000" w:themeColor="text1"/>
        </w:rPr>
        <w:t>This research did not receive any specific funding from public, commercial, or not-for-profit funding agencies.</w:t>
      </w:r>
    </w:p>
    <w:p w14:paraId="5FFD834D" w14:textId="79228476" w:rsidR="002A4770" w:rsidRPr="00916E04" w:rsidRDefault="006B4020" w:rsidP="001E7874">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10</w:t>
      </w:r>
      <w:r w:rsidR="002A4770" w:rsidRPr="00916E04">
        <w:rPr>
          <w:rFonts w:ascii="Times New Roman" w:hAnsi="Times New Roman" w:cs="Times New Roman"/>
          <w:b/>
          <w:bCs/>
          <w:color w:val="000000" w:themeColor="text1"/>
        </w:rPr>
        <w:t xml:space="preserve">. Consent and ethical approval: </w:t>
      </w:r>
      <w:r w:rsidR="002A4770" w:rsidRPr="00916E04">
        <w:rPr>
          <w:rFonts w:ascii="Times New Roman" w:hAnsi="Times New Roman" w:cs="Times New Roman"/>
          <w:color w:val="000000" w:themeColor="text1"/>
        </w:rPr>
        <w:t>It is not applicable.</w:t>
      </w:r>
    </w:p>
    <w:p w14:paraId="0A43853E" w14:textId="56322DD7" w:rsidR="002A4770" w:rsidRPr="00916E04" w:rsidRDefault="002A4770"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b/>
          <w:bCs/>
          <w:color w:val="000000" w:themeColor="text1"/>
        </w:rPr>
        <w:t>1</w:t>
      </w:r>
      <w:r w:rsidR="006B4020">
        <w:rPr>
          <w:rFonts w:ascii="Times New Roman" w:hAnsi="Times New Roman" w:cs="Times New Roman"/>
          <w:b/>
          <w:bCs/>
          <w:color w:val="000000" w:themeColor="text1"/>
        </w:rPr>
        <w:t>1</w:t>
      </w:r>
      <w:r w:rsidRPr="00916E04">
        <w:rPr>
          <w:rFonts w:ascii="Times New Roman" w:hAnsi="Times New Roman" w:cs="Times New Roman"/>
          <w:b/>
          <w:bCs/>
          <w:color w:val="000000" w:themeColor="text1"/>
        </w:rPr>
        <w:t xml:space="preserve">. Acknowledgements: </w:t>
      </w:r>
      <w:r w:rsidRPr="00916E04">
        <w:rPr>
          <w:rFonts w:ascii="Times New Roman" w:hAnsi="Times New Roman" w:cs="Times New Roman"/>
          <w:color w:val="000000" w:themeColor="text1"/>
        </w:rPr>
        <w:t xml:space="preserve">We would like to acknowledge </w:t>
      </w:r>
      <w:r w:rsidRPr="0053339B">
        <w:rPr>
          <w:rFonts w:ascii="Times New Roman" w:hAnsi="Times New Roman" w:cs="Times New Roman"/>
          <w:color w:val="000000" w:themeColor="text1"/>
        </w:rPr>
        <w:t>Dr</w:t>
      </w:r>
      <w:r w:rsidR="0053339B">
        <w:rPr>
          <w:rFonts w:ascii="Times New Roman" w:hAnsi="Times New Roman" w:cs="Times New Roman"/>
          <w:color w:val="000000" w:themeColor="text1"/>
        </w:rPr>
        <w:t>. Sufi Sumsul Yeaman</w:t>
      </w:r>
      <w:r w:rsidRPr="00916E04">
        <w:rPr>
          <w:rFonts w:ascii="Times New Roman" w:hAnsi="Times New Roman" w:cs="Times New Roman"/>
          <w:color w:val="000000" w:themeColor="text1"/>
        </w:rPr>
        <w:t xml:space="preserve">, who provided his professional experience and knowledge to make this article a success. </w:t>
      </w:r>
    </w:p>
    <w:p w14:paraId="537C3EFD" w14:textId="2BA13364" w:rsidR="002A4770" w:rsidRPr="00916E04" w:rsidRDefault="002A4770" w:rsidP="001E7874">
      <w:pPr>
        <w:spacing w:line="360" w:lineRule="auto"/>
        <w:jc w:val="both"/>
        <w:rPr>
          <w:rFonts w:ascii="Times New Roman" w:hAnsi="Times New Roman" w:cs="Times New Roman"/>
          <w:b/>
          <w:bCs/>
          <w:color w:val="000000" w:themeColor="text1"/>
        </w:rPr>
      </w:pPr>
      <w:r w:rsidRPr="00916E04">
        <w:rPr>
          <w:rFonts w:ascii="Times New Roman" w:hAnsi="Times New Roman" w:cs="Times New Roman"/>
          <w:b/>
          <w:bCs/>
          <w:color w:val="000000" w:themeColor="text1"/>
        </w:rPr>
        <w:t>1</w:t>
      </w:r>
      <w:r w:rsidR="006B4020">
        <w:rPr>
          <w:rFonts w:ascii="Times New Roman" w:hAnsi="Times New Roman" w:cs="Times New Roman"/>
          <w:b/>
          <w:bCs/>
          <w:color w:val="000000" w:themeColor="text1"/>
        </w:rPr>
        <w:t>2</w:t>
      </w:r>
      <w:r w:rsidRPr="00916E04">
        <w:rPr>
          <w:rFonts w:ascii="Times New Roman" w:hAnsi="Times New Roman" w:cs="Times New Roman"/>
          <w:b/>
          <w:bCs/>
          <w:color w:val="000000" w:themeColor="text1"/>
        </w:rPr>
        <w:t xml:space="preserve">. Competing interests: </w:t>
      </w:r>
      <w:r w:rsidRPr="00916E04">
        <w:rPr>
          <w:rFonts w:ascii="Times New Roman" w:hAnsi="Times New Roman" w:cs="Times New Roman"/>
          <w:color w:val="000000" w:themeColor="text1"/>
        </w:rPr>
        <w:t>Authors have declared that no competing interests exist.</w:t>
      </w:r>
    </w:p>
    <w:p w14:paraId="7F9124F9" w14:textId="631880FA" w:rsidR="00C41F77" w:rsidRPr="00916E04" w:rsidRDefault="00CF75D4" w:rsidP="001E7874">
      <w:pPr>
        <w:spacing w:line="360" w:lineRule="auto"/>
        <w:jc w:val="both"/>
        <w:rPr>
          <w:rFonts w:ascii="Times New Roman" w:hAnsi="Times New Roman" w:cs="Times New Roman"/>
          <w:b/>
          <w:bCs/>
          <w:color w:val="000000" w:themeColor="text1"/>
        </w:rPr>
      </w:pPr>
      <w:r w:rsidRPr="00916E04">
        <w:rPr>
          <w:rFonts w:ascii="Times New Roman" w:hAnsi="Times New Roman" w:cs="Times New Roman"/>
          <w:b/>
          <w:bCs/>
          <w:color w:val="000000" w:themeColor="text1"/>
        </w:rPr>
        <w:t xml:space="preserve">Reference: </w:t>
      </w:r>
    </w:p>
    <w:p w14:paraId="13DFBDB5" w14:textId="6E2E5603"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Ajjan, R.A., Seidu, S. and Riveline, J.P. (2024) “Perspective of Continuous Glucose Monitoring-Based Interventions at the Various Stages of Type 2 Diabetes,” </w:t>
      </w:r>
      <w:r w:rsidRPr="00916E04">
        <w:rPr>
          <w:rFonts w:ascii="Times New Roman" w:hAnsi="Times New Roman" w:cs="Times New Roman"/>
          <w:i/>
          <w:iCs/>
          <w:color w:val="000000" w:themeColor="text1"/>
        </w:rPr>
        <w:t>Diabetes Therapy</w:t>
      </w:r>
      <w:r w:rsidRPr="00916E04">
        <w:rPr>
          <w:rFonts w:ascii="Times New Roman" w:hAnsi="Times New Roman" w:cs="Times New Roman"/>
          <w:color w:val="000000" w:themeColor="text1"/>
        </w:rPr>
        <w:t xml:space="preserve">, 15(8), pp. 1657–1672. Available at: </w:t>
      </w:r>
      <w:hyperlink r:id="rId7" w:tgtFrame="_blank" w:history="1">
        <w:r w:rsidRPr="00916E04">
          <w:rPr>
            <w:rStyle w:val="Hyperlink"/>
            <w:rFonts w:ascii="Times New Roman" w:hAnsi="Times New Roman" w:cs="Times New Roman"/>
            <w:color w:val="000000" w:themeColor="text1"/>
          </w:rPr>
          <w:t>https://doi.org/10.1007/s13300-024-01607-5</w:t>
        </w:r>
      </w:hyperlink>
      <w:r w:rsidRPr="00916E04">
        <w:rPr>
          <w:rFonts w:ascii="Times New Roman" w:hAnsi="Times New Roman" w:cs="Times New Roman"/>
          <w:color w:val="000000" w:themeColor="text1"/>
        </w:rPr>
        <w:t xml:space="preserve">. </w:t>
      </w:r>
    </w:p>
    <w:p w14:paraId="097D83BA" w14:textId="610BBA20"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Arias-Marroquín, A.T. et al. (2024) “Personalized Versus Non-</w:t>
      </w:r>
      <w:proofErr w:type="gramStart"/>
      <w:r w:rsidRPr="00916E04">
        <w:rPr>
          <w:rFonts w:ascii="Times New Roman" w:hAnsi="Times New Roman" w:cs="Times New Roman"/>
          <w:color w:val="000000" w:themeColor="text1"/>
        </w:rPr>
        <w:t>personalized</w:t>
      </w:r>
      <w:proofErr w:type="gramEnd"/>
      <w:r w:rsidRPr="00916E04">
        <w:rPr>
          <w:rFonts w:ascii="Times New Roman" w:hAnsi="Times New Roman" w:cs="Times New Roman"/>
          <w:color w:val="000000" w:themeColor="text1"/>
        </w:rPr>
        <w:t xml:space="preserve"> Nutritional Recommendations/Interventions for Type 2 Diabetes Mellitus Remission: A Narrative Review,” </w:t>
      </w:r>
      <w:r w:rsidRPr="00916E04">
        <w:rPr>
          <w:rFonts w:ascii="Times New Roman" w:hAnsi="Times New Roman" w:cs="Times New Roman"/>
          <w:i/>
          <w:iCs/>
          <w:color w:val="000000" w:themeColor="text1"/>
        </w:rPr>
        <w:t>Diabetes Therapy</w:t>
      </w:r>
      <w:r w:rsidRPr="00916E04">
        <w:rPr>
          <w:rFonts w:ascii="Times New Roman" w:hAnsi="Times New Roman" w:cs="Times New Roman"/>
          <w:color w:val="000000" w:themeColor="text1"/>
        </w:rPr>
        <w:t xml:space="preserve">, 15(4), pp. 749–761. Available at: </w:t>
      </w:r>
      <w:hyperlink r:id="rId8" w:tgtFrame="_blank" w:history="1">
        <w:r w:rsidRPr="00916E04">
          <w:rPr>
            <w:rStyle w:val="Hyperlink"/>
            <w:rFonts w:ascii="Times New Roman" w:hAnsi="Times New Roman" w:cs="Times New Roman"/>
            <w:color w:val="000000" w:themeColor="text1"/>
          </w:rPr>
          <w:t>https://doi.org/10.1007/s13300-024-01545-2</w:t>
        </w:r>
      </w:hyperlink>
      <w:r w:rsidRPr="00916E04">
        <w:rPr>
          <w:rFonts w:ascii="Times New Roman" w:hAnsi="Times New Roman" w:cs="Times New Roman"/>
          <w:color w:val="000000" w:themeColor="text1"/>
        </w:rPr>
        <w:t xml:space="preserve">. </w:t>
      </w:r>
    </w:p>
    <w:p w14:paraId="2F33282D" w14:textId="6F69196E"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Bonnefond, A. and Froguel, P. (2021) “Clustering for a better prediction of type 2 diabetes mellitus,” </w:t>
      </w:r>
      <w:r w:rsidRPr="00916E04">
        <w:rPr>
          <w:rFonts w:ascii="Times New Roman" w:hAnsi="Times New Roman" w:cs="Times New Roman"/>
          <w:i/>
          <w:iCs/>
          <w:color w:val="000000" w:themeColor="text1"/>
        </w:rPr>
        <w:t>Nature Reviews Endocrinology</w:t>
      </w:r>
      <w:r w:rsidRPr="00916E04">
        <w:rPr>
          <w:rFonts w:ascii="Times New Roman" w:hAnsi="Times New Roman" w:cs="Times New Roman"/>
          <w:color w:val="000000" w:themeColor="text1"/>
        </w:rPr>
        <w:t xml:space="preserve">, 17(4), pp. 193–194. Available at: </w:t>
      </w:r>
      <w:hyperlink r:id="rId9" w:tgtFrame="_blank" w:history="1">
        <w:r w:rsidRPr="00916E04">
          <w:rPr>
            <w:rStyle w:val="Hyperlink"/>
            <w:rFonts w:ascii="Times New Roman" w:hAnsi="Times New Roman" w:cs="Times New Roman"/>
            <w:color w:val="000000" w:themeColor="text1"/>
          </w:rPr>
          <w:t>https://doi.org/</w:t>
        </w:r>
      </w:hyperlink>
      <w:r w:rsidR="00916E04" w:rsidRPr="00916E04">
        <w:rPr>
          <w:rFonts w:ascii="Times New Roman" w:hAnsi="Times New Roman" w:cs="Times New Roman"/>
          <w:color w:val="000000" w:themeColor="text1"/>
          <w:u w:val="single"/>
        </w:rPr>
        <w:t>10.1038/s41574-021-00475-4</w:t>
      </w:r>
    </w:p>
    <w:p w14:paraId="58990343" w14:textId="49632813"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Chang, T. (2023) “Mechanisms and the strategy for remission of type 2 diabetes mellitus,” </w:t>
      </w:r>
      <w:r w:rsidRPr="00916E04">
        <w:rPr>
          <w:rFonts w:ascii="Times New Roman" w:hAnsi="Times New Roman" w:cs="Times New Roman"/>
          <w:i/>
          <w:iCs/>
          <w:color w:val="000000" w:themeColor="text1"/>
        </w:rPr>
        <w:t>Journal of Diabetes Investigation</w:t>
      </w:r>
      <w:r w:rsidRPr="00916E04">
        <w:rPr>
          <w:rFonts w:ascii="Times New Roman" w:hAnsi="Times New Roman" w:cs="Times New Roman"/>
          <w:color w:val="000000" w:themeColor="text1"/>
        </w:rPr>
        <w:t xml:space="preserve">, 14(3), pp. 351–353. Available at: </w:t>
      </w:r>
      <w:hyperlink r:id="rId10" w:tgtFrame="_blank" w:history="1">
        <w:r w:rsidRPr="00916E04">
          <w:rPr>
            <w:rStyle w:val="Hyperlink"/>
            <w:rFonts w:ascii="Times New Roman" w:hAnsi="Times New Roman" w:cs="Times New Roman"/>
            <w:color w:val="000000" w:themeColor="text1"/>
          </w:rPr>
          <w:t>https://doi.org/10.1111/jdi.13948</w:t>
        </w:r>
      </w:hyperlink>
      <w:r w:rsidRPr="00916E04">
        <w:rPr>
          <w:rFonts w:ascii="Times New Roman" w:hAnsi="Times New Roman" w:cs="Times New Roman"/>
          <w:color w:val="000000" w:themeColor="text1"/>
        </w:rPr>
        <w:t xml:space="preserve">. </w:t>
      </w:r>
    </w:p>
    <w:p w14:paraId="011F1509" w14:textId="2974E2B8"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Edgar, M. (2025) “Artificial Intelligence in Precision Diabetes Management: Towards Personalized and Equitable Care,” </w:t>
      </w:r>
      <w:r w:rsidRPr="00916E04">
        <w:rPr>
          <w:rFonts w:ascii="Times New Roman" w:hAnsi="Times New Roman" w:cs="Times New Roman"/>
          <w:i/>
          <w:iCs/>
          <w:color w:val="000000" w:themeColor="text1"/>
        </w:rPr>
        <w:t>NEWPORT INTERNATIONAL JOURNAL OF PUBLIC HEALTH AND PHARMACY</w:t>
      </w:r>
      <w:r w:rsidRPr="00916E04">
        <w:rPr>
          <w:rFonts w:ascii="Times New Roman" w:hAnsi="Times New Roman" w:cs="Times New Roman"/>
          <w:color w:val="000000" w:themeColor="text1"/>
        </w:rPr>
        <w:t xml:space="preserve">, 6(3), pp. 75–81. Available at: </w:t>
      </w:r>
      <w:hyperlink r:id="rId11" w:tgtFrame="_blank" w:history="1">
        <w:r w:rsidRPr="00916E04">
          <w:rPr>
            <w:rStyle w:val="Hyperlink"/>
            <w:rFonts w:ascii="Times New Roman" w:hAnsi="Times New Roman" w:cs="Times New Roman"/>
            <w:color w:val="000000" w:themeColor="text1"/>
          </w:rPr>
          <w:t>https://doi.org/10.59298/nijpp/2025/637581</w:t>
        </w:r>
      </w:hyperlink>
      <w:r w:rsidRPr="00916E04">
        <w:rPr>
          <w:rFonts w:ascii="Times New Roman" w:hAnsi="Times New Roman" w:cs="Times New Roman"/>
          <w:color w:val="000000" w:themeColor="text1"/>
        </w:rPr>
        <w:t xml:space="preserve">. </w:t>
      </w:r>
    </w:p>
    <w:p w14:paraId="207698C5" w14:textId="71CC8932"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Franks, P.W. and Sargent, J.L. (2024) “Diabetes and obesity: leveraging heterogeneity for precision medicine,” </w:t>
      </w:r>
      <w:r w:rsidRPr="00916E04">
        <w:rPr>
          <w:rFonts w:ascii="Times New Roman" w:hAnsi="Times New Roman" w:cs="Times New Roman"/>
          <w:i/>
          <w:iCs/>
          <w:color w:val="000000" w:themeColor="text1"/>
        </w:rPr>
        <w:t>European Heart Journal</w:t>
      </w:r>
      <w:r w:rsidRPr="00916E04">
        <w:rPr>
          <w:rFonts w:ascii="Times New Roman" w:hAnsi="Times New Roman" w:cs="Times New Roman"/>
          <w:color w:val="000000" w:themeColor="text1"/>
        </w:rPr>
        <w:t xml:space="preserve">, 45(48), pp. 5146–5155. Available at: </w:t>
      </w:r>
      <w:hyperlink r:id="rId12" w:tgtFrame="_blank" w:history="1">
        <w:r w:rsidRPr="00916E04">
          <w:rPr>
            <w:rStyle w:val="Hyperlink"/>
            <w:rFonts w:ascii="Times New Roman" w:hAnsi="Times New Roman" w:cs="Times New Roman"/>
            <w:color w:val="000000" w:themeColor="text1"/>
          </w:rPr>
          <w:t>https://doi.org/10.1093/eurheartj/ehae746</w:t>
        </w:r>
      </w:hyperlink>
      <w:r w:rsidRPr="00916E04">
        <w:rPr>
          <w:rFonts w:ascii="Times New Roman" w:hAnsi="Times New Roman" w:cs="Times New Roman"/>
          <w:color w:val="000000" w:themeColor="text1"/>
        </w:rPr>
        <w:t xml:space="preserve">. </w:t>
      </w:r>
    </w:p>
    <w:p w14:paraId="00CF6E46" w14:textId="328AC5D5"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lastRenderedPageBreak/>
        <w:t xml:space="preserve">Ghosh, K. et al. (2025) “Artificial Intelligence in Personalized Medicine for Diabetes Mellitus: A Narrative Review,” </w:t>
      </w:r>
      <w:r w:rsidRPr="00916E04">
        <w:rPr>
          <w:rFonts w:ascii="Times New Roman" w:hAnsi="Times New Roman" w:cs="Times New Roman"/>
          <w:i/>
          <w:iCs/>
          <w:color w:val="000000" w:themeColor="text1"/>
        </w:rPr>
        <w:t>Cureus</w:t>
      </w:r>
      <w:r w:rsidRPr="00916E04">
        <w:rPr>
          <w:rFonts w:ascii="Times New Roman" w:hAnsi="Times New Roman" w:cs="Times New Roman"/>
          <w:color w:val="000000" w:themeColor="text1"/>
        </w:rPr>
        <w:t xml:space="preserve"> [Preprint]. Available at: </w:t>
      </w:r>
      <w:hyperlink r:id="rId13" w:tgtFrame="_blank" w:history="1">
        <w:r w:rsidRPr="00916E04">
          <w:rPr>
            <w:rStyle w:val="Hyperlink"/>
            <w:rFonts w:ascii="Times New Roman" w:hAnsi="Times New Roman" w:cs="Times New Roman"/>
            <w:color w:val="000000" w:themeColor="text1"/>
          </w:rPr>
          <w:t>https://doi.org/10.7759/cureus.91520</w:t>
        </w:r>
      </w:hyperlink>
      <w:r w:rsidRPr="00916E04">
        <w:rPr>
          <w:rFonts w:ascii="Times New Roman" w:hAnsi="Times New Roman" w:cs="Times New Roman"/>
          <w:color w:val="000000" w:themeColor="text1"/>
        </w:rPr>
        <w:t xml:space="preserve">. </w:t>
      </w:r>
    </w:p>
    <w:p w14:paraId="30C634F5" w14:textId="09E1AE6F"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Goyal Mehra, C., Raymond, A.M. and Prabhu, R. (2022) “A personalized multi-interventional approach focusing on customized nutrition, progressive fitness, and lifestyle modification resulted in the reduction of HbA1c, fasting blood sugar and weight in type 2 diabetes: a retrospective study,” </w:t>
      </w:r>
      <w:r w:rsidRPr="00916E04">
        <w:rPr>
          <w:rFonts w:ascii="Times New Roman" w:hAnsi="Times New Roman" w:cs="Times New Roman"/>
          <w:i/>
          <w:iCs/>
          <w:color w:val="000000" w:themeColor="text1"/>
        </w:rPr>
        <w:t>BMC Endocrine Disorders</w:t>
      </w:r>
      <w:r w:rsidRPr="00916E04">
        <w:rPr>
          <w:rFonts w:ascii="Times New Roman" w:hAnsi="Times New Roman" w:cs="Times New Roman"/>
          <w:color w:val="000000" w:themeColor="text1"/>
        </w:rPr>
        <w:t xml:space="preserve">, 22(1). Available at: </w:t>
      </w:r>
      <w:hyperlink r:id="rId14" w:tgtFrame="_blank" w:history="1">
        <w:r w:rsidRPr="00916E04">
          <w:rPr>
            <w:rStyle w:val="Hyperlink"/>
            <w:rFonts w:ascii="Times New Roman" w:hAnsi="Times New Roman" w:cs="Times New Roman"/>
            <w:color w:val="000000" w:themeColor="text1"/>
          </w:rPr>
          <w:t>https://doi.org/10.1186/s12902-022-01212-2</w:t>
        </w:r>
      </w:hyperlink>
      <w:r w:rsidRPr="00916E04">
        <w:rPr>
          <w:rFonts w:ascii="Times New Roman" w:hAnsi="Times New Roman" w:cs="Times New Roman"/>
          <w:color w:val="000000" w:themeColor="text1"/>
        </w:rPr>
        <w:t xml:space="preserve">. </w:t>
      </w:r>
    </w:p>
    <w:p w14:paraId="3EEA5BB5" w14:textId="7348F742"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Javed, A. et al. (2024) “Advances in Personalized Medicine and Genomics for Diabetes Type-2 Management Towards Precision Health,” </w:t>
      </w:r>
      <w:r w:rsidRPr="00916E04">
        <w:rPr>
          <w:rFonts w:ascii="Times New Roman" w:hAnsi="Times New Roman" w:cs="Times New Roman"/>
          <w:i/>
          <w:iCs/>
          <w:color w:val="000000" w:themeColor="text1"/>
        </w:rPr>
        <w:t>DEVELOPMENTAL MEDICO-LIFE-SCIENCES</w:t>
      </w:r>
      <w:r w:rsidRPr="00916E04">
        <w:rPr>
          <w:rFonts w:ascii="Times New Roman" w:hAnsi="Times New Roman" w:cs="Times New Roman"/>
          <w:color w:val="000000" w:themeColor="text1"/>
        </w:rPr>
        <w:t xml:space="preserve">, 1(6), pp. 25–30. Available at: </w:t>
      </w:r>
      <w:hyperlink r:id="rId15" w:tgtFrame="_blank" w:history="1">
        <w:r w:rsidRPr="00916E04">
          <w:rPr>
            <w:rStyle w:val="Hyperlink"/>
            <w:rFonts w:ascii="Times New Roman" w:hAnsi="Times New Roman" w:cs="Times New Roman"/>
            <w:color w:val="000000" w:themeColor="text1"/>
          </w:rPr>
          <w:t>https://doi.org/10.69750/dmls.01.06.058</w:t>
        </w:r>
      </w:hyperlink>
      <w:r w:rsidRPr="00916E04">
        <w:rPr>
          <w:rFonts w:ascii="Times New Roman" w:hAnsi="Times New Roman" w:cs="Times New Roman"/>
          <w:color w:val="000000" w:themeColor="text1"/>
        </w:rPr>
        <w:t xml:space="preserve">. </w:t>
      </w:r>
    </w:p>
    <w:p w14:paraId="3FCCFB08" w14:textId="1AEB648D"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Kalra, S. et al. (2021) “Quantifying Remission Probability in Type 2 Diabetes Mellitus,” </w:t>
      </w:r>
      <w:r w:rsidRPr="00916E04">
        <w:rPr>
          <w:rFonts w:ascii="Times New Roman" w:hAnsi="Times New Roman" w:cs="Times New Roman"/>
          <w:i/>
          <w:iCs/>
          <w:color w:val="000000" w:themeColor="text1"/>
        </w:rPr>
        <w:t>Clinics and Practice</w:t>
      </w:r>
      <w:r w:rsidRPr="00916E04">
        <w:rPr>
          <w:rFonts w:ascii="Times New Roman" w:hAnsi="Times New Roman" w:cs="Times New Roman"/>
          <w:color w:val="000000" w:themeColor="text1"/>
        </w:rPr>
        <w:t xml:space="preserve">, 11(4), pp. 850–859. Available at: </w:t>
      </w:r>
      <w:hyperlink r:id="rId16" w:tgtFrame="_blank" w:history="1">
        <w:r w:rsidRPr="00916E04">
          <w:rPr>
            <w:rStyle w:val="Hyperlink"/>
            <w:rFonts w:ascii="Times New Roman" w:hAnsi="Times New Roman" w:cs="Times New Roman"/>
            <w:color w:val="000000" w:themeColor="text1"/>
          </w:rPr>
          <w:t>https://doi.org/10.3390/clinpract11040100</w:t>
        </w:r>
      </w:hyperlink>
      <w:r w:rsidRPr="00916E04">
        <w:rPr>
          <w:rFonts w:ascii="Times New Roman" w:hAnsi="Times New Roman" w:cs="Times New Roman"/>
          <w:color w:val="000000" w:themeColor="text1"/>
        </w:rPr>
        <w:t xml:space="preserve">. </w:t>
      </w:r>
    </w:p>
    <w:p w14:paraId="35C7384D" w14:textId="1E9F0285"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Kanorskii, S.G. (2022) “Reversion and remission are promising targets for patients with type 2 diabetes mellitus,” </w:t>
      </w:r>
      <w:r w:rsidRPr="00916E04">
        <w:rPr>
          <w:rFonts w:ascii="Times New Roman" w:hAnsi="Times New Roman" w:cs="Times New Roman"/>
          <w:i/>
          <w:iCs/>
          <w:color w:val="000000" w:themeColor="text1"/>
        </w:rPr>
        <w:t>South Russian Journal of Therapeutic Practice</w:t>
      </w:r>
      <w:r w:rsidRPr="00916E04">
        <w:rPr>
          <w:rFonts w:ascii="Times New Roman" w:hAnsi="Times New Roman" w:cs="Times New Roman"/>
          <w:color w:val="000000" w:themeColor="text1"/>
        </w:rPr>
        <w:t xml:space="preserve">, 3(3), pp. 7–16. Available at: </w:t>
      </w:r>
      <w:hyperlink r:id="rId17" w:tgtFrame="_blank" w:history="1">
        <w:r w:rsidRPr="00916E04">
          <w:rPr>
            <w:rStyle w:val="Hyperlink"/>
            <w:rFonts w:ascii="Times New Roman" w:hAnsi="Times New Roman" w:cs="Times New Roman"/>
            <w:color w:val="000000" w:themeColor="text1"/>
          </w:rPr>
          <w:t>https://doi.org/10.21886/2712-8156-2022-3-3-7-16</w:t>
        </w:r>
      </w:hyperlink>
      <w:r w:rsidRPr="00916E04">
        <w:rPr>
          <w:rFonts w:ascii="Times New Roman" w:hAnsi="Times New Roman" w:cs="Times New Roman"/>
          <w:color w:val="000000" w:themeColor="text1"/>
        </w:rPr>
        <w:t xml:space="preserve">. </w:t>
      </w:r>
    </w:p>
    <w:p w14:paraId="36C7A602" w14:textId="1CFB181A"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Kuss, O. et al. (2023) “How amenable is type 2 diabetes treatment for precision diabetology? A meta-regression of glycaemic control data from 174 randomised trials,” </w:t>
      </w:r>
      <w:r w:rsidRPr="00916E04">
        <w:rPr>
          <w:rFonts w:ascii="Times New Roman" w:hAnsi="Times New Roman" w:cs="Times New Roman"/>
          <w:i/>
          <w:iCs/>
          <w:color w:val="000000" w:themeColor="text1"/>
        </w:rPr>
        <w:t>Diabetologia</w:t>
      </w:r>
      <w:r w:rsidRPr="00916E04">
        <w:rPr>
          <w:rFonts w:ascii="Times New Roman" w:hAnsi="Times New Roman" w:cs="Times New Roman"/>
          <w:color w:val="000000" w:themeColor="text1"/>
        </w:rPr>
        <w:t xml:space="preserve">, 66(9), pp. 1622–1632. Available at: </w:t>
      </w:r>
      <w:hyperlink r:id="rId18" w:tgtFrame="_blank" w:history="1">
        <w:r w:rsidRPr="00916E04">
          <w:rPr>
            <w:rStyle w:val="Hyperlink"/>
            <w:rFonts w:ascii="Times New Roman" w:hAnsi="Times New Roman" w:cs="Times New Roman"/>
            <w:color w:val="000000" w:themeColor="text1"/>
          </w:rPr>
          <w:t>https://doi.org/10.1007/s00125-023-05951-2</w:t>
        </w:r>
      </w:hyperlink>
      <w:r w:rsidRPr="00916E04">
        <w:rPr>
          <w:rFonts w:ascii="Times New Roman" w:hAnsi="Times New Roman" w:cs="Times New Roman"/>
          <w:color w:val="000000" w:themeColor="text1"/>
        </w:rPr>
        <w:t xml:space="preserve">. </w:t>
      </w:r>
    </w:p>
    <w:p w14:paraId="243871DF" w14:textId="522EB192"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Milla-Amekor, E. and Ewusie, E.A. (2023) “Advances in Precision Medicine Approaches for Type 2 Diabetes Management: A Comprehensive Review,” </w:t>
      </w:r>
      <w:r w:rsidRPr="00916E04">
        <w:rPr>
          <w:rFonts w:ascii="Times New Roman" w:hAnsi="Times New Roman" w:cs="Times New Roman"/>
          <w:i/>
          <w:iCs/>
          <w:color w:val="000000" w:themeColor="text1"/>
        </w:rPr>
        <w:t>Asian Journal of Research in Medical and Pharmaceutical Sciences</w:t>
      </w:r>
      <w:r w:rsidRPr="00916E04">
        <w:rPr>
          <w:rFonts w:ascii="Times New Roman" w:hAnsi="Times New Roman" w:cs="Times New Roman"/>
          <w:color w:val="000000" w:themeColor="text1"/>
        </w:rPr>
        <w:t xml:space="preserve">, 12(3), pp. 46–58. Available at: </w:t>
      </w:r>
      <w:hyperlink r:id="rId19" w:tgtFrame="_blank" w:history="1">
        <w:r w:rsidRPr="00916E04">
          <w:rPr>
            <w:rStyle w:val="Hyperlink"/>
            <w:rFonts w:ascii="Times New Roman" w:hAnsi="Times New Roman" w:cs="Times New Roman"/>
            <w:color w:val="000000" w:themeColor="text1"/>
          </w:rPr>
          <w:t>https://doi.org/10.9734/ajrimps/2023/v12i3220</w:t>
        </w:r>
      </w:hyperlink>
      <w:r w:rsidRPr="00916E04">
        <w:rPr>
          <w:rFonts w:ascii="Times New Roman" w:hAnsi="Times New Roman" w:cs="Times New Roman"/>
          <w:color w:val="000000" w:themeColor="text1"/>
        </w:rPr>
        <w:t xml:space="preserve">. </w:t>
      </w:r>
    </w:p>
    <w:p w14:paraId="24753501" w14:textId="52CF270D"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Misra, S. et al. (2023) “Precision subclassification of type 2 diabetes: a systematic review,” </w:t>
      </w:r>
      <w:r w:rsidRPr="00916E04">
        <w:rPr>
          <w:rFonts w:ascii="Times New Roman" w:hAnsi="Times New Roman" w:cs="Times New Roman"/>
          <w:i/>
          <w:iCs/>
          <w:color w:val="000000" w:themeColor="text1"/>
        </w:rPr>
        <w:t>Communications Medicine</w:t>
      </w:r>
      <w:r w:rsidRPr="00916E04">
        <w:rPr>
          <w:rFonts w:ascii="Times New Roman" w:hAnsi="Times New Roman" w:cs="Times New Roman"/>
          <w:color w:val="000000" w:themeColor="text1"/>
        </w:rPr>
        <w:t xml:space="preserve">, 3(1). Available at: </w:t>
      </w:r>
      <w:hyperlink r:id="rId20" w:tgtFrame="_blank" w:history="1">
        <w:r w:rsidRPr="00916E04">
          <w:rPr>
            <w:rStyle w:val="Hyperlink"/>
            <w:rFonts w:ascii="Times New Roman" w:hAnsi="Times New Roman" w:cs="Times New Roman"/>
            <w:color w:val="000000" w:themeColor="text1"/>
          </w:rPr>
          <w:t>https://doi.org/10.1038/s43856-023-00360-3</w:t>
        </w:r>
      </w:hyperlink>
      <w:r w:rsidRPr="00916E04">
        <w:rPr>
          <w:rFonts w:ascii="Times New Roman" w:hAnsi="Times New Roman" w:cs="Times New Roman"/>
          <w:color w:val="000000" w:themeColor="text1"/>
        </w:rPr>
        <w:t xml:space="preserve">. </w:t>
      </w:r>
    </w:p>
    <w:p w14:paraId="3F7F3BA8" w14:textId="74E830F3"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Nambiar, M. et al. (2024) “A drug mix and dose decision algorithm for individualized type 2 diabetes management,” </w:t>
      </w:r>
      <w:r w:rsidRPr="00916E04">
        <w:rPr>
          <w:rFonts w:ascii="Times New Roman" w:hAnsi="Times New Roman" w:cs="Times New Roman"/>
          <w:i/>
          <w:iCs/>
          <w:color w:val="000000" w:themeColor="text1"/>
        </w:rPr>
        <w:t>npj Digital Medicine</w:t>
      </w:r>
      <w:r w:rsidRPr="00916E04">
        <w:rPr>
          <w:rFonts w:ascii="Times New Roman" w:hAnsi="Times New Roman" w:cs="Times New Roman"/>
          <w:color w:val="000000" w:themeColor="text1"/>
        </w:rPr>
        <w:t xml:space="preserve">, 7(1). Available at: </w:t>
      </w:r>
      <w:hyperlink r:id="rId21" w:tgtFrame="_blank" w:history="1">
        <w:r w:rsidRPr="00916E04">
          <w:rPr>
            <w:rStyle w:val="Hyperlink"/>
            <w:rFonts w:ascii="Times New Roman" w:hAnsi="Times New Roman" w:cs="Times New Roman"/>
            <w:color w:val="000000" w:themeColor="text1"/>
          </w:rPr>
          <w:t>https://doi.org/10.1038/s41746-024-01230-5</w:t>
        </w:r>
      </w:hyperlink>
      <w:r w:rsidRPr="00916E04">
        <w:rPr>
          <w:rFonts w:ascii="Times New Roman" w:hAnsi="Times New Roman" w:cs="Times New Roman"/>
          <w:color w:val="000000" w:themeColor="text1"/>
        </w:rPr>
        <w:t xml:space="preserve">. </w:t>
      </w:r>
    </w:p>
    <w:p w14:paraId="0F208323" w14:textId="66EFAF02"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lastRenderedPageBreak/>
        <w:t xml:space="preserve">Oriot, P. et al. (2024) “Diabète de type 2: vers un contrôle optimal grâce au suivi continu du </w:t>
      </w:r>
      <w:proofErr w:type="gramStart"/>
      <w:r w:rsidRPr="00916E04">
        <w:rPr>
          <w:rFonts w:ascii="Times New Roman" w:hAnsi="Times New Roman" w:cs="Times New Roman"/>
          <w:color w:val="000000" w:themeColor="text1"/>
        </w:rPr>
        <w:t>glucose?,</w:t>
      </w:r>
      <w:proofErr w:type="gramEnd"/>
      <w:r w:rsidRPr="00916E04">
        <w:rPr>
          <w:rFonts w:ascii="Times New Roman" w:hAnsi="Times New Roman" w:cs="Times New Roman"/>
          <w:color w:val="000000" w:themeColor="text1"/>
        </w:rPr>
        <w:t xml:space="preserve">” </w:t>
      </w:r>
      <w:r w:rsidRPr="00916E04">
        <w:rPr>
          <w:rFonts w:ascii="Times New Roman" w:hAnsi="Times New Roman" w:cs="Times New Roman"/>
          <w:i/>
          <w:iCs/>
          <w:color w:val="000000" w:themeColor="text1"/>
        </w:rPr>
        <w:t>Revue Médicale Suisse</w:t>
      </w:r>
      <w:r w:rsidRPr="00916E04">
        <w:rPr>
          <w:rFonts w:ascii="Times New Roman" w:hAnsi="Times New Roman" w:cs="Times New Roman"/>
          <w:color w:val="000000" w:themeColor="text1"/>
        </w:rPr>
        <w:t xml:space="preserve">, 20(884), pp. 1504–1508. Available at: </w:t>
      </w:r>
      <w:hyperlink r:id="rId22" w:tgtFrame="_blank" w:history="1">
        <w:r w:rsidRPr="00916E04">
          <w:rPr>
            <w:rStyle w:val="Hyperlink"/>
            <w:rFonts w:ascii="Times New Roman" w:hAnsi="Times New Roman" w:cs="Times New Roman"/>
            <w:color w:val="000000" w:themeColor="text1"/>
          </w:rPr>
          <w:t>https://doi.org/10.53738/revmed.2024.20.884.1504</w:t>
        </w:r>
      </w:hyperlink>
      <w:r w:rsidRPr="00916E04">
        <w:rPr>
          <w:rFonts w:ascii="Times New Roman" w:hAnsi="Times New Roman" w:cs="Times New Roman"/>
          <w:color w:val="000000" w:themeColor="text1"/>
        </w:rPr>
        <w:t xml:space="preserve">. </w:t>
      </w:r>
    </w:p>
    <w:p w14:paraId="6D5386CA" w14:textId="731A072F"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Riley, R.D. et al. (2021) “Penalization and shrinkage methods produced unreliable clinical prediction models especially when sample size was small,” </w:t>
      </w:r>
      <w:r w:rsidRPr="00916E04">
        <w:rPr>
          <w:rFonts w:ascii="Times New Roman" w:hAnsi="Times New Roman" w:cs="Times New Roman"/>
          <w:i/>
          <w:iCs/>
          <w:color w:val="000000" w:themeColor="text1"/>
        </w:rPr>
        <w:t>Journal of Clinical Epidemiology</w:t>
      </w:r>
      <w:r w:rsidRPr="00916E04">
        <w:rPr>
          <w:rFonts w:ascii="Times New Roman" w:hAnsi="Times New Roman" w:cs="Times New Roman"/>
          <w:color w:val="000000" w:themeColor="text1"/>
        </w:rPr>
        <w:t xml:space="preserve">, 132, pp. 88–96. Available at: </w:t>
      </w:r>
      <w:hyperlink r:id="rId23" w:tgtFrame="_blank" w:history="1">
        <w:r w:rsidRPr="00916E04">
          <w:rPr>
            <w:rStyle w:val="Hyperlink"/>
            <w:rFonts w:ascii="Times New Roman" w:hAnsi="Times New Roman" w:cs="Times New Roman"/>
            <w:color w:val="000000" w:themeColor="text1"/>
          </w:rPr>
          <w:t>https://doi.org/10.1016/j.jclinepi.2020.12.005</w:t>
        </w:r>
      </w:hyperlink>
      <w:r w:rsidRPr="00916E04">
        <w:rPr>
          <w:rFonts w:ascii="Times New Roman" w:hAnsi="Times New Roman" w:cs="Times New Roman"/>
          <w:color w:val="000000" w:themeColor="text1"/>
        </w:rPr>
        <w:t xml:space="preserve">. </w:t>
      </w:r>
    </w:p>
    <w:p w14:paraId="3866F29D" w14:textId="2926913E"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Shamanna, P. et al. (2021) “Type 2 diabetes reversal with digital twin technology-enabled precision nutrition and staging of reversal: a retrospective cohort study,” </w:t>
      </w:r>
      <w:r w:rsidRPr="00916E04">
        <w:rPr>
          <w:rFonts w:ascii="Times New Roman" w:hAnsi="Times New Roman" w:cs="Times New Roman"/>
          <w:i/>
          <w:iCs/>
          <w:color w:val="000000" w:themeColor="text1"/>
        </w:rPr>
        <w:t>Clinical Diabetes and Endocrinology</w:t>
      </w:r>
      <w:r w:rsidRPr="00916E04">
        <w:rPr>
          <w:rFonts w:ascii="Times New Roman" w:hAnsi="Times New Roman" w:cs="Times New Roman"/>
          <w:color w:val="000000" w:themeColor="text1"/>
        </w:rPr>
        <w:t xml:space="preserve">, 7(1). Available at: </w:t>
      </w:r>
      <w:hyperlink r:id="rId24" w:tgtFrame="_blank" w:history="1">
        <w:r w:rsidRPr="00916E04">
          <w:rPr>
            <w:rStyle w:val="Hyperlink"/>
            <w:rFonts w:ascii="Times New Roman" w:hAnsi="Times New Roman" w:cs="Times New Roman"/>
            <w:color w:val="000000" w:themeColor="text1"/>
          </w:rPr>
          <w:t>https://doi.org/10.1186/s40842-021-00134-7</w:t>
        </w:r>
      </w:hyperlink>
      <w:r w:rsidRPr="00916E04">
        <w:rPr>
          <w:rFonts w:ascii="Times New Roman" w:hAnsi="Times New Roman" w:cs="Times New Roman"/>
          <w:color w:val="000000" w:themeColor="text1"/>
        </w:rPr>
        <w:t xml:space="preserve">. </w:t>
      </w:r>
    </w:p>
    <w:p w14:paraId="607634FE" w14:textId="598F53B9"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Shields, B.M. et al. (2022) “Patient stratification for determining optimal second-line and third-line therapy for type 2 diabetes: the TriMaster study,” </w:t>
      </w:r>
      <w:r w:rsidRPr="00916E04">
        <w:rPr>
          <w:rFonts w:ascii="Times New Roman" w:hAnsi="Times New Roman" w:cs="Times New Roman"/>
          <w:i/>
          <w:iCs/>
          <w:color w:val="000000" w:themeColor="text1"/>
        </w:rPr>
        <w:t>Nature Medicine</w:t>
      </w:r>
      <w:r w:rsidRPr="00916E04">
        <w:rPr>
          <w:rFonts w:ascii="Times New Roman" w:hAnsi="Times New Roman" w:cs="Times New Roman"/>
          <w:color w:val="000000" w:themeColor="text1"/>
        </w:rPr>
        <w:t xml:space="preserve">, 29(2), pp. 376–383. Available at: </w:t>
      </w:r>
      <w:hyperlink r:id="rId25" w:tgtFrame="_blank" w:history="1">
        <w:r w:rsidRPr="00916E04">
          <w:rPr>
            <w:rStyle w:val="Hyperlink"/>
            <w:rFonts w:ascii="Times New Roman" w:hAnsi="Times New Roman" w:cs="Times New Roman"/>
            <w:color w:val="000000" w:themeColor="text1"/>
          </w:rPr>
          <w:t>https://doi.org/10.1038/s41591-022-02120-7</w:t>
        </w:r>
      </w:hyperlink>
      <w:r w:rsidRPr="00916E04">
        <w:rPr>
          <w:rFonts w:ascii="Times New Roman" w:hAnsi="Times New Roman" w:cs="Times New Roman"/>
          <w:color w:val="000000" w:themeColor="text1"/>
        </w:rPr>
        <w:t xml:space="preserve">. </w:t>
      </w:r>
    </w:p>
    <w:p w14:paraId="31DBEAD0" w14:textId="003703CA"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Son, H., Moon, S.-J. and Cho, Y.M. (2025). The Expanding Role of Continuous Glucose Monitoring in the Management and Prevention of Type 2 Diabetes. </w:t>
      </w:r>
      <w:r w:rsidRPr="00916E04">
        <w:rPr>
          <w:rFonts w:ascii="Times New Roman" w:hAnsi="Times New Roman" w:cs="Times New Roman"/>
          <w:i/>
          <w:iCs/>
          <w:color w:val="000000" w:themeColor="text1"/>
        </w:rPr>
        <w:t>Diabetes Therapy</w:t>
      </w:r>
      <w:r w:rsidRPr="00916E04">
        <w:rPr>
          <w:rFonts w:ascii="Times New Roman" w:hAnsi="Times New Roman" w:cs="Times New Roman"/>
          <w:color w:val="000000" w:themeColor="text1"/>
        </w:rPr>
        <w:t>. doi:</w:t>
      </w:r>
      <w:hyperlink r:id="rId26" w:tgtFrame="_blank" w:history="1">
        <w:r w:rsidRPr="00916E04">
          <w:rPr>
            <w:rStyle w:val="Hyperlink"/>
            <w:rFonts w:ascii="Times New Roman" w:hAnsi="Times New Roman" w:cs="Times New Roman"/>
            <w:color w:val="000000" w:themeColor="text1"/>
          </w:rPr>
          <w:t>https://doi.org/10.1007/s13300-025-01830-8</w:t>
        </w:r>
      </w:hyperlink>
      <w:r w:rsidRPr="00916E04">
        <w:rPr>
          <w:rFonts w:ascii="Times New Roman" w:hAnsi="Times New Roman" w:cs="Times New Roman"/>
          <w:color w:val="000000" w:themeColor="text1"/>
        </w:rPr>
        <w:t xml:space="preserve">. </w:t>
      </w:r>
    </w:p>
    <w:p w14:paraId="5CCBEEAC" w14:textId="14C9203F"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Tan, Y.Y. et al. (2024) “Effectiveness of continuous glucose monitoring in patient management of Type 2 Diabetes Mellitus: an umbrella review of systematic reviews from 2011 to 2024,” </w:t>
      </w:r>
      <w:r w:rsidRPr="00916E04">
        <w:rPr>
          <w:rFonts w:ascii="Times New Roman" w:hAnsi="Times New Roman" w:cs="Times New Roman"/>
          <w:i/>
          <w:iCs/>
          <w:color w:val="000000" w:themeColor="text1"/>
        </w:rPr>
        <w:t>Archives of Public Health</w:t>
      </w:r>
      <w:r w:rsidRPr="00916E04">
        <w:rPr>
          <w:rFonts w:ascii="Times New Roman" w:hAnsi="Times New Roman" w:cs="Times New Roman"/>
          <w:color w:val="000000" w:themeColor="text1"/>
        </w:rPr>
        <w:t xml:space="preserve">, 82(1). Available at: </w:t>
      </w:r>
      <w:hyperlink r:id="rId27" w:tgtFrame="_blank" w:history="1">
        <w:r w:rsidRPr="00916E04">
          <w:rPr>
            <w:rStyle w:val="Hyperlink"/>
            <w:rFonts w:ascii="Times New Roman" w:hAnsi="Times New Roman" w:cs="Times New Roman"/>
            <w:color w:val="000000" w:themeColor="text1"/>
          </w:rPr>
          <w:t>https://doi.org/10.1186/s13690-024-01459-2</w:t>
        </w:r>
      </w:hyperlink>
      <w:r w:rsidRPr="00916E04">
        <w:rPr>
          <w:rFonts w:ascii="Times New Roman" w:hAnsi="Times New Roman" w:cs="Times New Roman"/>
          <w:color w:val="000000" w:themeColor="text1"/>
        </w:rPr>
        <w:t xml:space="preserve">. </w:t>
      </w:r>
    </w:p>
    <w:p w14:paraId="169036C5" w14:textId="13B50245"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Tian, X. et al. (2025) “The research progress and future directions in the pathophysiological mechanisms of type 2 diabetes mellitus from the perspective of precision medicine,” </w:t>
      </w:r>
      <w:r w:rsidRPr="00916E04">
        <w:rPr>
          <w:rFonts w:ascii="Times New Roman" w:hAnsi="Times New Roman" w:cs="Times New Roman"/>
          <w:i/>
          <w:iCs/>
          <w:color w:val="000000" w:themeColor="text1"/>
        </w:rPr>
        <w:t>Frontiers in Medicine</w:t>
      </w:r>
      <w:r w:rsidRPr="00916E04">
        <w:rPr>
          <w:rFonts w:ascii="Times New Roman" w:hAnsi="Times New Roman" w:cs="Times New Roman"/>
          <w:color w:val="000000" w:themeColor="text1"/>
        </w:rPr>
        <w:t xml:space="preserve">, 12. Available at: </w:t>
      </w:r>
      <w:hyperlink r:id="rId28" w:tgtFrame="_blank" w:history="1">
        <w:r w:rsidRPr="00916E04">
          <w:rPr>
            <w:rStyle w:val="Hyperlink"/>
            <w:rFonts w:ascii="Times New Roman" w:hAnsi="Times New Roman" w:cs="Times New Roman"/>
            <w:color w:val="000000" w:themeColor="text1"/>
          </w:rPr>
          <w:t>https://doi.org/10.3389/fmed.2025.1555077</w:t>
        </w:r>
      </w:hyperlink>
      <w:r w:rsidRPr="00916E04">
        <w:rPr>
          <w:rFonts w:ascii="Times New Roman" w:hAnsi="Times New Roman" w:cs="Times New Roman"/>
          <w:color w:val="000000" w:themeColor="text1"/>
        </w:rPr>
        <w:t xml:space="preserve">. </w:t>
      </w:r>
    </w:p>
    <w:p w14:paraId="3591E7D4" w14:textId="1A654078"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Tian, X. et al. (2025) “New discoveries in therapeutic targets and drug development pathways for type 2 diabetes mellitus under the guidance of precision medicine,” </w:t>
      </w:r>
      <w:r w:rsidRPr="00916E04">
        <w:rPr>
          <w:rFonts w:ascii="Times New Roman" w:hAnsi="Times New Roman" w:cs="Times New Roman"/>
          <w:i/>
          <w:iCs/>
          <w:color w:val="000000" w:themeColor="text1"/>
        </w:rPr>
        <w:t>European Journal of Medical Research</w:t>
      </w:r>
      <w:r w:rsidRPr="00916E04">
        <w:rPr>
          <w:rFonts w:ascii="Times New Roman" w:hAnsi="Times New Roman" w:cs="Times New Roman"/>
          <w:color w:val="000000" w:themeColor="text1"/>
        </w:rPr>
        <w:t xml:space="preserve">, 30(1). Available at: </w:t>
      </w:r>
      <w:hyperlink r:id="rId29" w:tgtFrame="_blank" w:history="1">
        <w:r w:rsidRPr="00916E04">
          <w:rPr>
            <w:rStyle w:val="Hyperlink"/>
            <w:rFonts w:ascii="Times New Roman" w:hAnsi="Times New Roman" w:cs="Times New Roman"/>
            <w:color w:val="000000" w:themeColor="text1"/>
          </w:rPr>
          <w:t>https://doi.org/10.1186/s40001-025-02682-5</w:t>
        </w:r>
      </w:hyperlink>
      <w:r w:rsidRPr="00916E04">
        <w:rPr>
          <w:rFonts w:ascii="Times New Roman" w:hAnsi="Times New Roman" w:cs="Times New Roman"/>
          <w:color w:val="000000" w:themeColor="text1"/>
        </w:rPr>
        <w:t xml:space="preserve">. </w:t>
      </w:r>
    </w:p>
    <w:p w14:paraId="397775B3" w14:textId="4E42ACEC"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Venkatachalapathy, P. et al. (2021) “Pharmacogenomics and Personalized Medicine in Type 2 Diabetes Mellitus: Potential Implications for Clinical Practice,” </w:t>
      </w:r>
      <w:r w:rsidRPr="00916E04">
        <w:rPr>
          <w:rFonts w:ascii="Times New Roman" w:hAnsi="Times New Roman" w:cs="Times New Roman"/>
          <w:i/>
          <w:iCs/>
          <w:color w:val="000000" w:themeColor="text1"/>
        </w:rPr>
        <w:t>Pharmacogenomics and Personalized Medicine</w:t>
      </w:r>
      <w:r w:rsidRPr="00916E04">
        <w:rPr>
          <w:rFonts w:ascii="Times New Roman" w:hAnsi="Times New Roman" w:cs="Times New Roman"/>
          <w:color w:val="000000" w:themeColor="text1"/>
        </w:rPr>
        <w:t xml:space="preserve">, Volume 14, pp. 1441–1455. Available at: </w:t>
      </w:r>
      <w:hyperlink r:id="rId30" w:tgtFrame="_blank" w:history="1">
        <w:r w:rsidRPr="00916E04">
          <w:rPr>
            <w:rStyle w:val="Hyperlink"/>
            <w:rFonts w:ascii="Times New Roman" w:hAnsi="Times New Roman" w:cs="Times New Roman"/>
            <w:color w:val="000000" w:themeColor="text1"/>
          </w:rPr>
          <w:t>https://doi.org/10.2147/pgpm.s329787</w:t>
        </w:r>
      </w:hyperlink>
      <w:r w:rsidRPr="00916E04">
        <w:rPr>
          <w:rFonts w:ascii="Times New Roman" w:hAnsi="Times New Roman" w:cs="Times New Roman"/>
          <w:color w:val="000000" w:themeColor="text1"/>
        </w:rPr>
        <w:t xml:space="preserve">. </w:t>
      </w:r>
    </w:p>
    <w:p w14:paraId="36EB2B05" w14:textId="502943D6"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lastRenderedPageBreak/>
        <w:t xml:space="preserve">Wang, S. et al. (2026) “Research progress in precision medicine for type 2 diabetes based on the GLP-1,” </w:t>
      </w:r>
      <w:r w:rsidRPr="00916E04">
        <w:rPr>
          <w:rFonts w:ascii="Times New Roman" w:hAnsi="Times New Roman" w:cs="Times New Roman"/>
          <w:i/>
          <w:iCs/>
          <w:color w:val="000000" w:themeColor="text1"/>
        </w:rPr>
        <w:t>Frontiers in Endocrinology</w:t>
      </w:r>
      <w:r w:rsidRPr="00916E04">
        <w:rPr>
          <w:rFonts w:ascii="Times New Roman" w:hAnsi="Times New Roman" w:cs="Times New Roman"/>
          <w:color w:val="000000" w:themeColor="text1"/>
        </w:rPr>
        <w:t xml:space="preserve">, 16. Available at: </w:t>
      </w:r>
      <w:hyperlink r:id="rId31" w:tgtFrame="_blank" w:history="1">
        <w:r w:rsidRPr="00916E04">
          <w:rPr>
            <w:rStyle w:val="Hyperlink"/>
            <w:rFonts w:ascii="Times New Roman" w:hAnsi="Times New Roman" w:cs="Times New Roman"/>
            <w:color w:val="000000" w:themeColor="text1"/>
          </w:rPr>
          <w:t>https://doi.org/10.3389/fendo.2025.1721842</w:t>
        </w:r>
      </w:hyperlink>
      <w:r w:rsidRPr="00916E04">
        <w:rPr>
          <w:rFonts w:ascii="Times New Roman" w:hAnsi="Times New Roman" w:cs="Times New Roman"/>
          <w:color w:val="000000" w:themeColor="text1"/>
        </w:rPr>
        <w:t xml:space="preserve">. </w:t>
      </w:r>
    </w:p>
    <w:p w14:paraId="16C4CCD5" w14:textId="78D3A7D0" w:rsidR="00CF75D4"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Wei, R. and Colón-Franco, J.M. (2021) “Subclassification of Type 2 Diabetes Paves the Way for Personalized Outcome Prediction and Patient Management,” </w:t>
      </w:r>
      <w:r w:rsidRPr="00916E04">
        <w:rPr>
          <w:rFonts w:ascii="Times New Roman" w:hAnsi="Times New Roman" w:cs="Times New Roman"/>
          <w:i/>
          <w:iCs/>
          <w:color w:val="000000" w:themeColor="text1"/>
        </w:rPr>
        <w:t>Clinical Chemistry</w:t>
      </w:r>
      <w:r w:rsidRPr="00916E04">
        <w:rPr>
          <w:rFonts w:ascii="Times New Roman" w:hAnsi="Times New Roman" w:cs="Times New Roman"/>
          <w:color w:val="000000" w:themeColor="text1"/>
        </w:rPr>
        <w:t xml:space="preserve">, 67(4), pp. 701–701. Available at: </w:t>
      </w:r>
      <w:hyperlink r:id="rId32" w:tgtFrame="_blank" w:history="1">
        <w:r w:rsidRPr="00916E04">
          <w:rPr>
            <w:rStyle w:val="Hyperlink"/>
            <w:rFonts w:ascii="Times New Roman" w:hAnsi="Times New Roman" w:cs="Times New Roman"/>
            <w:color w:val="000000" w:themeColor="text1"/>
          </w:rPr>
          <w:t>https://doi.org/10.1093/clinchem/hvab003</w:t>
        </w:r>
      </w:hyperlink>
      <w:r w:rsidRPr="00916E04">
        <w:rPr>
          <w:rFonts w:ascii="Times New Roman" w:hAnsi="Times New Roman" w:cs="Times New Roman"/>
          <w:color w:val="000000" w:themeColor="text1"/>
        </w:rPr>
        <w:t>.</w:t>
      </w:r>
    </w:p>
    <w:sectPr w:rsidR="00CF75D4" w:rsidRPr="00916E04" w:rsidSect="006B4020">
      <w:type w:val="continuous"/>
      <w:pgSz w:w="12240" w:h="15840"/>
      <w:pgMar w:top="1440" w:right="1170" w:bottom="1440" w:left="1530" w:header="720"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05C"/>
    <w:multiLevelType w:val="multilevel"/>
    <w:tmpl w:val="D02E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5640F"/>
    <w:multiLevelType w:val="multilevel"/>
    <w:tmpl w:val="BB0A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6195D"/>
    <w:multiLevelType w:val="multilevel"/>
    <w:tmpl w:val="9626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A6A3E"/>
    <w:multiLevelType w:val="multilevel"/>
    <w:tmpl w:val="2A6A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535CC"/>
    <w:multiLevelType w:val="multilevel"/>
    <w:tmpl w:val="11AA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85BDC"/>
    <w:multiLevelType w:val="hybridMultilevel"/>
    <w:tmpl w:val="BDA84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0F2CBB"/>
    <w:multiLevelType w:val="multilevel"/>
    <w:tmpl w:val="8DFE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305691">
    <w:abstractNumId w:val="2"/>
  </w:num>
  <w:num w:numId="2" w16cid:durableId="1599367758">
    <w:abstractNumId w:val="5"/>
  </w:num>
  <w:num w:numId="3" w16cid:durableId="785733897">
    <w:abstractNumId w:val="1"/>
  </w:num>
  <w:num w:numId="4" w16cid:durableId="1730497776">
    <w:abstractNumId w:val="6"/>
  </w:num>
  <w:num w:numId="5" w16cid:durableId="1099645652">
    <w:abstractNumId w:val="4"/>
  </w:num>
  <w:num w:numId="6" w16cid:durableId="830603935">
    <w:abstractNumId w:val="0"/>
  </w:num>
  <w:num w:numId="7" w16cid:durableId="1713654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91"/>
    <w:rsid w:val="00022A9B"/>
    <w:rsid w:val="00092F18"/>
    <w:rsid w:val="00141C9F"/>
    <w:rsid w:val="001E7874"/>
    <w:rsid w:val="002A4770"/>
    <w:rsid w:val="002F24FF"/>
    <w:rsid w:val="002F789A"/>
    <w:rsid w:val="00364B83"/>
    <w:rsid w:val="00432191"/>
    <w:rsid w:val="004D3582"/>
    <w:rsid w:val="0053339B"/>
    <w:rsid w:val="005A140A"/>
    <w:rsid w:val="005C6CA4"/>
    <w:rsid w:val="00683790"/>
    <w:rsid w:val="006B4020"/>
    <w:rsid w:val="00793C2B"/>
    <w:rsid w:val="007B5E15"/>
    <w:rsid w:val="007D4C54"/>
    <w:rsid w:val="007E159F"/>
    <w:rsid w:val="00916E04"/>
    <w:rsid w:val="00981FA4"/>
    <w:rsid w:val="00A169EA"/>
    <w:rsid w:val="00A251C3"/>
    <w:rsid w:val="00B81621"/>
    <w:rsid w:val="00B93191"/>
    <w:rsid w:val="00B97978"/>
    <w:rsid w:val="00C41F77"/>
    <w:rsid w:val="00CE2929"/>
    <w:rsid w:val="00CF75D4"/>
    <w:rsid w:val="00DF11D9"/>
    <w:rsid w:val="00E30EE9"/>
    <w:rsid w:val="00E56819"/>
    <w:rsid w:val="00EA3397"/>
    <w:rsid w:val="00F34390"/>
    <w:rsid w:val="00F77308"/>
    <w:rsid w:val="00FB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3A9E"/>
  <w15:chartTrackingRefBased/>
  <w15:docId w15:val="{94ABE67F-26D1-4858-A4D1-A5E7ECE7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2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2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2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2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191"/>
    <w:rPr>
      <w:rFonts w:eastAsiaTheme="majorEastAsia" w:cstheme="majorBidi"/>
      <w:color w:val="272727" w:themeColor="text1" w:themeTint="D8"/>
    </w:rPr>
  </w:style>
  <w:style w:type="paragraph" w:styleId="Title">
    <w:name w:val="Title"/>
    <w:basedOn w:val="Normal"/>
    <w:next w:val="Normal"/>
    <w:link w:val="TitleChar"/>
    <w:uiPriority w:val="10"/>
    <w:qFormat/>
    <w:rsid w:val="00432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191"/>
    <w:pPr>
      <w:spacing w:before="160"/>
      <w:jc w:val="center"/>
    </w:pPr>
    <w:rPr>
      <w:i/>
      <w:iCs/>
      <w:color w:val="404040" w:themeColor="text1" w:themeTint="BF"/>
    </w:rPr>
  </w:style>
  <w:style w:type="character" w:customStyle="1" w:styleId="QuoteChar">
    <w:name w:val="Quote Char"/>
    <w:basedOn w:val="DefaultParagraphFont"/>
    <w:link w:val="Quote"/>
    <w:uiPriority w:val="29"/>
    <w:rsid w:val="00432191"/>
    <w:rPr>
      <w:i/>
      <w:iCs/>
      <w:color w:val="404040" w:themeColor="text1" w:themeTint="BF"/>
    </w:rPr>
  </w:style>
  <w:style w:type="paragraph" w:styleId="ListParagraph">
    <w:name w:val="List Paragraph"/>
    <w:basedOn w:val="Normal"/>
    <w:uiPriority w:val="34"/>
    <w:qFormat/>
    <w:rsid w:val="00432191"/>
    <w:pPr>
      <w:ind w:left="720"/>
      <w:contextualSpacing/>
    </w:pPr>
  </w:style>
  <w:style w:type="character" w:styleId="IntenseEmphasis">
    <w:name w:val="Intense Emphasis"/>
    <w:basedOn w:val="DefaultParagraphFont"/>
    <w:uiPriority w:val="21"/>
    <w:qFormat/>
    <w:rsid w:val="00432191"/>
    <w:rPr>
      <w:i/>
      <w:iCs/>
      <w:color w:val="2F5496" w:themeColor="accent1" w:themeShade="BF"/>
    </w:rPr>
  </w:style>
  <w:style w:type="paragraph" w:styleId="IntenseQuote">
    <w:name w:val="Intense Quote"/>
    <w:basedOn w:val="Normal"/>
    <w:next w:val="Normal"/>
    <w:link w:val="IntenseQuoteChar"/>
    <w:uiPriority w:val="30"/>
    <w:qFormat/>
    <w:rsid w:val="00432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191"/>
    <w:rPr>
      <w:i/>
      <w:iCs/>
      <w:color w:val="2F5496" w:themeColor="accent1" w:themeShade="BF"/>
    </w:rPr>
  </w:style>
  <w:style w:type="character" w:styleId="IntenseReference">
    <w:name w:val="Intense Reference"/>
    <w:basedOn w:val="DefaultParagraphFont"/>
    <w:uiPriority w:val="32"/>
    <w:qFormat/>
    <w:rsid w:val="00432191"/>
    <w:rPr>
      <w:b/>
      <w:bCs/>
      <w:smallCaps/>
      <w:color w:val="2F5496" w:themeColor="accent1" w:themeShade="BF"/>
      <w:spacing w:val="5"/>
    </w:rPr>
  </w:style>
  <w:style w:type="character" w:styleId="Hyperlink">
    <w:name w:val="Hyperlink"/>
    <w:basedOn w:val="DefaultParagraphFont"/>
    <w:uiPriority w:val="99"/>
    <w:unhideWhenUsed/>
    <w:rsid w:val="00DF11D9"/>
    <w:rPr>
      <w:color w:val="0563C1" w:themeColor="hyperlink"/>
      <w:u w:val="single"/>
    </w:rPr>
  </w:style>
  <w:style w:type="character" w:styleId="UnresolvedMention">
    <w:name w:val="Unresolved Mention"/>
    <w:basedOn w:val="DefaultParagraphFont"/>
    <w:uiPriority w:val="99"/>
    <w:semiHidden/>
    <w:unhideWhenUsed/>
    <w:rsid w:val="00DF11D9"/>
    <w:rPr>
      <w:color w:val="605E5C"/>
      <w:shd w:val="clear" w:color="auto" w:fill="E1DFDD"/>
    </w:rPr>
  </w:style>
  <w:style w:type="character" w:styleId="FollowedHyperlink">
    <w:name w:val="FollowedHyperlink"/>
    <w:basedOn w:val="DefaultParagraphFont"/>
    <w:uiPriority w:val="99"/>
    <w:semiHidden/>
    <w:unhideWhenUsed/>
    <w:rsid w:val="002F24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759/cureus.91520" TargetMode="External"/><Relationship Id="rId18" Type="http://schemas.openxmlformats.org/officeDocument/2006/relationships/hyperlink" Target="https://doi.org/10.1007/s00125-023-05951-2" TargetMode="External"/><Relationship Id="rId26" Type="http://schemas.openxmlformats.org/officeDocument/2006/relationships/hyperlink" Target="https://doi.org/10.1007/s13300-025-01830-8" TargetMode="External"/><Relationship Id="rId3" Type="http://schemas.openxmlformats.org/officeDocument/2006/relationships/settings" Target="settings.xml"/><Relationship Id="rId21" Type="http://schemas.openxmlformats.org/officeDocument/2006/relationships/hyperlink" Target="https://doi.org/10.1038/s41746-024-01230-5" TargetMode="External"/><Relationship Id="rId34" Type="http://schemas.openxmlformats.org/officeDocument/2006/relationships/theme" Target="theme/theme1.xml"/><Relationship Id="rId7" Type="http://schemas.openxmlformats.org/officeDocument/2006/relationships/hyperlink" Target="https://doi.org/10.1007/s13300-024-01607-5" TargetMode="External"/><Relationship Id="rId12" Type="http://schemas.openxmlformats.org/officeDocument/2006/relationships/hyperlink" Target="https://doi.org/10.1093/eurheartj/ehae746" TargetMode="External"/><Relationship Id="rId17" Type="http://schemas.openxmlformats.org/officeDocument/2006/relationships/hyperlink" Target="https://doi.org/10.21886/2712-8156-2022-3-3-7-16" TargetMode="External"/><Relationship Id="rId25" Type="http://schemas.openxmlformats.org/officeDocument/2006/relationships/hyperlink" Target="https://doi.org/10.1038/s41591-022-02120-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clinpract11040100" TargetMode="External"/><Relationship Id="rId20" Type="http://schemas.openxmlformats.org/officeDocument/2006/relationships/hyperlink" Target="https://doi.org/10.1038/s43856-023-00360-3" TargetMode="External"/><Relationship Id="rId29" Type="http://schemas.openxmlformats.org/officeDocument/2006/relationships/hyperlink" Target="https://doi.org/10.1186/s40001-025-02682-5" TargetMode="External"/><Relationship Id="rId1" Type="http://schemas.openxmlformats.org/officeDocument/2006/relationships/numbering" Target="numbering.xml"/><Relationship Id="rId6" Type="http://schemas.openxmlformats.org/officeDocument/2006/relationships/hyperlink" Target="mailto:sohagcom7@yahoo.com" TargetMode="External"/><Relationship Id="rId11" Type="http://schemas.openxmlformats.org/officeDocument/2006/relationships/hyperlink" Target="https://doi.org/10.59298/nijpp/2025/637581" TargetMode="External"/><Relationship Id="rId24" Type="http://schemas.openxmlformats.org/officeDocument/2006/relationships/hyperlink" Target="https://doi.org/10.1186/s40842-021-00134-7" TargetMode="External"/><Relationship Id="rId32" Type="http://schemas.openxmlformats.org/officeDocument/2006/relationships/hyperlink" Target="https://doi.org/10.1093/clinchem/hvab003" TargetMode="External"/><Relationship Id="rId5" Type="http://schemas.openxmlformats.org/officeDocument/2006/relationships/hyperlink" Target="mailto:sohagcom7@yahoo.com" TargetMode="External"/><Relationship Id="rId15" Type="http://schemas.openxmlformats.org/officeDocument/2006/relationships/hyperlink" Target="https://doi.org/10.69750/dmls.01.06.058" TargetMode="External"/><Relationship Id="rId23" Type="http://schemas.openxmlformats.org/officeDocument/2006/relationships/hyperlink" Target="https://doi.org/10.1016/j.jclinepi.2020.12.005" TargetMode="External"/><Relationship Id="rId28" Type="http://schemas.openxmlformats.org/officeDocument/2006/relationships/hyperlink" Target="https://doi.org/10.3389/fmed.2025.1555077" TargetMode="External"/><Relationship Id="rId10" Type="http://schemas.openxmlformats.org/officeDocument/2006/relationships/hyperlink" Target="https://doi.org/10.1111/jdi.13948" TargetMode="External"/><Relationship Id="rId19" Type="http://schemas.openxmlformats.org/officeDocument/2006/relationships/hyperlink" Target="https://doi.org/10.9734/ajrimps/2023/v12i3220" TargetMode="External"/><Relationship Id="rId31" Type="http://schemas.openxmlformats.org/officeDocument/2006/relationships/hyperlink" Target="https://doi.org/10.3389/fendo.2025.1721842" TargetMode="External"/><Relationship Id="rId4" Type="http://schemas.openxmlformats.org/officeDocument/2006/relationships/webSettings" Target="webSettings.xml"/><Relationship Id="rId9" Type="http://schemas.openxmlformats.org/officeDocument/2006/relationships/hyperlink" Target="https://doi.org/10.1038/s41574-021-00475-4" TargetMode="External"/><Relationship Id="rId14" Type="http://schemas.openxmlformats.org/officeDocument/2006/relationships/hyperlink" Target="https://doi.org/10.1186/s12902-022-01212-2" TargetMode="External"/><Relationship Id="rId22" Type="http://schemas.openxmlformats.org/officeDocument/2006/relationships/hyperlink" Target="https://doi.org/10.53738/revmed.2024.20.884.1504" TargetMode="External"/><Relationship Id="rId27" Type="http://schemas.openxmlformats.org/officeDocument/2006/relationships/hyperlink" Target="https://doi.org/10.1186/s13690-024-01459-2" TargetMode="External"/><Relationship Id="rId30" Type="http://schemas.openxmlformats.org/officeDocument/2006/relationships/hyperlink" Target="https://doi.org/10.2147/pgpm.s329787" TargetMode="External"/><Relationship Id="rId8" Type="http://schemas.openxmlformats.org/officeDocument/2006/relationships/hyperlink" Target="https://doi.org/10.1007/s13300-024-015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15</Pages>
  <Words>5213</Words>
  <Characters>29720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Sufi Sumsul Yeaman</dc:creator>
  <cp:keywords/>
  <dc:description/>
  <cp:lastModifiedBy>Sufi Sumsul Yeaman</cp:lastModifiedBy>
  <cp:revision>13</cp:revision>
  <dcterms:created xsi:type="dcterms:W3CDTF">2026-01-20T10:38:00Z</dcterms:created>
  <dcterms:modified xsi:type="dcterms:W3CDTF">2026-02-22T06:10:00Z</dcterms:modified>
</cp:coreProperties>
</file>