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4DD" w:rsidRDefault="00434C41" w:rsidP="000817F0">
      <w:pPr>
        <w:spacing w:before="240" w:after="240" w:line="240" w:lineRule="auto"/>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From Survival to Vitality: A Psycho-educational Framework for Longevity Readiness and Community Development in </w:t>
      </w:r>
      <w:proofErr w:type="spellStart"/>
      <w:r>
        <w:rPr>
          <w:rFonts w:ascii="Times New Roman" w:hAnsi="Times New Roman" w:cs="Times New Roman"/>
          <w:b/>
          <w:sz w:val="36"/>
          <w:szCs w:val="36"/>
          <w:lang w:val="en-US"/>
        </w:rPr>
        <w:t>Argao</w:t>
      </w:r>
      <w:proofErr w:type="spellEnd"/>
      <w:r>
        <w:rPr>
          <w:rFonts w:ascii="Times New Roman" w:hAnsi="Times New Roman" w:cs="Times New Roman"/>
          <w:b/>
          <w:sz w:val="36"/>
          <w:szCs w:val="36"/>
          <w:lang w:val="en-US"/>
        </w:rPr>
        <w:t xml:space="preserve">, Cebu </w:t>
      </w:r>
    </w:p>
    <w:p w:rsidR="000817F0" w:rsidRDefault="00434C41" w:rsidP="000817F0">
      <w:pPr>
        <w:spacing w:before="240" w:after="24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
      </w:r>
      <w:proofErr w:type="spellEnd"/>
      <w:r>
        <w:rPr>
          <w:rFonts w:ascii="Times New Roman" w:hAnsi="Times New Roman" w:cs="Times New Roman"/>
          <w:b/>
          <w:sz w:val="24"/>
          <w:szCs w:val="24"/>
          <w:lang w:val="en-US"/>
        </w:rPr>
        <w:t xml:space="preserve"/>
      </w:r>
      <w:proofErr w:type="spellStart"/>
      <w:r>
        <w:rPr>
          <w:rFonts w:ascii="Times New Roman" w:hAnsi="Times New Roman" w:cs="Times New Roman"/>
          <w:b/>
          <w:sz w:val="24"/>
          <w:szCs w:val="24"/>
          <w:lang w:val="en-US"/>
        </w:rPr>
        <w:t/>
      </w:r>
      <w:proofErr w:type="spellEnd"/>
      <w:r>
        <w:rPr>
          <w:rFonts w:ascii="Times New Roman" w:hAnsi="Times New Roman" w:cs="Times New Roman"/>
          <w:b/>
          <w:sz w:val="24"/>
          <w:szCs w:val="24"/>
          <w:lang w:val="en-US"/>
        </w:rPr>
        <w:t/>
      </w:r>
    </w:p>
    <w:p w:rsidR="00434C41" w:rsidRDefault="00434C41" w:rsidP="000817F0">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w:r>
    </w:p>
    <w:p w:rsidR="00434C41" w:rsidRDefault="00434C41" w:rsidP="000817F0">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r>
      <w:proofErr w:type="spellStart"/>
      <w:r>
        <w:rPr>
          <w:rFonts w:ascii="Times New Roman" w:hAnsi="Times New Roman" w:cs="Times New Roman"/>
          <w:b/>
          <w:sz w:val="24"/>
          <w:szCs w:val="24"/>
          <w:lang w:val="en-US"/>
        </w:rPr>
        <w:t/>
      </w:r>
      <w:proofErr w:type="spellEnd"/>
      <w:r>
        <w:rPr>
          <w:rFonts w:ascii="Times New Roman" w:hAnsi="Times New Roman" w:cs="Times New Roman"/>
          <w:b/>
          <w:sz w:val="24"/>
          <w:szCs w:val="24"/>
          <w:lang w:val="en-US"/>
        </w:rPr>
        <w:t xml:space="preserve"/>
      </w:r>
    </w:p>
    <w:p w:rsidR="00434C41" w:rsidRPr="00CA6E8D" w:rsidRDefault="00434C41" w:rsidP="00434C41">
      <w:pPr>
        <w:spacing w:before="240" w:after="240" w:line="240" w:lineRule="auto"/>
        <w:rPr>
          <w:rFonts w:ascii="Times New Roman" w:hAnsi="Times New Roman" w:cs="Times New Roman"/>
          <w:b/>
          <w:sz w:val="28"/>
          <w:szCs w:val="28"/>
          <w:lang w:val="en-US"/>
        </w:rPr>
      </w:pPr>
      <w:r w:rsidRPr="00CA6E8D">
        <w:rPr>
          <w:rFonts w:ascii="Times New Roman" w:hAnsi="Times New Roman" w:cs="Times New Roman"/>
          <w:b/>
          <w:sz w:val="28"/>
          <w:szCs w:val="28"/>
          <w:lang w:val="en-US"/>
        </w:rPr>
        <w:t>ABSTRACT</w:t>
      </w:r>
    </w:p>
    <w:p w:rsidR="00B40844" w:rsidRPr="00B40844" w:rsidRDefault="00B40844" w:rsidP="00B40844">
      <w:pPr>
        <w:jc w:val="both"/>
        <w:rPr>
          <w:rFonts w:ascii="Times New Roman" w:hAnsi="Times New Roman" w:cs="Times New Roman"/>
          <w:sz w:val="24"/>
          <w:szCs w:val="24"/>
        </w:rPr>
      </w:pPr>
      <w:r w:rsidRPr="00B40844">
        <w:rPr>
          <w:rFonts w:ascii="Times New Roman" w:hAnsi="Times New Roman" w:cs="Times New Roman"/>
          <w:sz w:val="24"/>
          <w:szCs w:val="24"/>
        </w:rPr>
        <w:t xml:space="preserve">This study examined the relationship between basic needs fulfillment and longevity readiness among adults aged 45 years and above in </w:t>
      </w:r>
      <w:proofErr w:type="spellStart"/>
      <w:r w:rsidRPr="00B40844">
        <w:rPr>
          <w:rFonts w:ascii="Times New Roman" w:hAnsi="Times New Roman" w:cs="Times New Roman"/>
          <w:sz w:val="24"/>
          <w:szCs w:val="24"/>
        </w:rPr>
        <w:t>Argao</w:t>
      </w:r>
      <w:proofErr w:type="spellEnd"/>
      <w:r w:rsidRPr="00B40844">
        <w:rPr>
          <w:rFonts w:ascii="Times New Roman" w:hAnsi="Times New Roman" w:cs="Times New Roman"/>
          <w:sz w:val="24"/>
          <w:szCs w:val="24"/>
        </w:rPr>
        <w:t xml:space="preserve">, Cebu, Philippines. Guided by Maslow’s Hierarchy of Needs Theory, Bronfenbrenner’s Ecological Systems Theory, and healthy ageing frameworks, the study utilized a descriptive-comparative and correlational research design. A total of 298 respondents from urban, coastal, and upland ecological zones participated through a researcher-developed instrument, the </w:t>
      </w:r>
      <w:proofErr w:type="spellStart"/>
      <w:r w:rsidRPr="00B40844">
        <w:rPr>
          <w:rFonts w:ascii="Times New Roman" w:hAnsi="Times New Roman" w:cs="Times New Roman"/>
          <w:sz w:val="24"/>
          <w:szCs w:val="24"/>
        </w:rPr>
        <w:t>Argao</w:t>
      </w:r>
      <w:proofErr w:type="spellEnd"/>
      <w:r w:rsidRPr="00B40844">
        <w:rPr>
          <w:rFonts w:ascii="Times New Roman" w:hAnsi="Times New Roman" w:cs="Times New Roman"/>
          <w:sz w:val="24"/>
          <w:szCs w:val="24"/>
        </w:rPr>
        <w:t xml:space="preserve"> Survival and Vitality Assessment Scale (ASVAS). Data were analyzed using frequency counts, percentages, weighted means, standard deviations, One-Way Analysis of Variance (ANOVA), and Pearson Product-Moment Correlation. Findings revealed that respondents demonstrated a satisfactory level of Basic Needs Fulfillment (M=2.94, SD=0.57) and a high level of Longevity Readiness (M=3.39, SD=0.78). No significant differences were found across ecological zones in terms of either basic needs fulfillment or longevity readiness. A statistically significant positive relationship was identified between basic needs fulfillment and longevity readiness (r=0.224, p&lt;0.05), although the correlation was negligible in strength. Psychosocial integrity emerged as the strongest dimension of longevity readiness. The findings suggest that while survival conditions contribute to healthy ageing, psychosocial resources such as purpose, family support, spirituality, and social connectedness play equally important roles in promoting longevity readiness. The study proposes the </w:t>
      </w:r>
      <w:proofErr w:type="spellStart"/>
      <w:r w:rsidRPr="00B40844">
        <w:rPr>
          <w:rFonts w:ascii="Times New Roman" w:hAnsi="Times New Roman" w:cs="Times New Roman"/>
          <w:sz w:val="24"/>
          <w:szCs w:val="24"/>
        </w:rPr>
        <w:t>Argao</w:t>
      </w:r>
      <w:proofErr w:type="spellEnd"/>
      <w:r w:rsidRPr="00B40844">
        <w:rPr>
          <w:rFonts w:ascii="Times New Roman" w:hAnsi="Times New Roman" w:cs="Times New Roman"/>
          <w:sz w:val="24"/>
          <w:szCs w:val="24"/>
        </w:rPr>
        <w:t xml:space="preserve"> Longevity Program as a community-based counseling and psychoeducational intervention to strengthen healthy ageing and community well-being.</w:t>
      </w:r>
    </w:p>
    <w:p w:rsidR="00B40844" w:rsidRPr="00DB7743" w:rsidRDefault="00B40844" w:rsidP="00DB7743">
      <w:pPr>
        <w:jc w:val="both"/>
        <w:rPr>
          <w:rFonts w:ascii="Times New Roman" w:hAnsi="Times New Roman" w:cs="Times New Roman"/>
          <w:sz w:val="24"/>
          <w:szCs w:val="24"/>
        </w:rPr>
      </w:pPr>
      <w:r w:rsidRPr="00DB7743">
        <w:rPr>
          <w:rFonts w:ascii="Times New Roman" w:hAnsi="Times New Roman" w:cs="Times New Roman"/>
          <w:b/>
          <w:sz w:val="24"/>
          <w:szCs w:val="24"/>
        </w:rPr>
        <w:t>Keywords:</w:t>
      </w:r>
      <w:r w:rsidRPr="00B40844">
        <w:rPr>
          <w:rFonts w:ascii="Times New Roman" w:hAnsi="Times New Roman" w:cs="Times New Roman"/>
          <w:sz w:val="24"/>
          <w:szCs w:val="24"/>
        </w:rPr>
        <w:t xml:space="preserve"> longevity readiness, healthy ageing, community counseling, basic needs fulfillment, psychosocial integrity, </w:t>
      </w:r>
      <w:proofErr w:type="spellStart"/>
      <w:r w:rsidRPr="00B40844">
        <w:rPr>
          <w:rFonts w:ascii="Times New Roman" w:hAnsi="Times New Roman" w:cs="Times New Roman"/>
          <w:sz w:val="24"/>
          <w:szCs w:val="24"/>
        </w:rPr>
        <w:t>Argao</w:t>
      </w:r>
      <w:proofErr w:type="spellEnd"/>
    </w:p>
    <w:p w:rsidR="00CA6E8D" w:rsidRPr="00DB7743" w:rsidRDefault="00CA6E8D" w:rsidP="00DB7743">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rsidR="00DB7743" w:rsidRPr="00DB7743" w:rsidRDefault="00DB7743" w:rsidP="00DB7743">
      <w:pPr>
        <w:jc w:val="both"/>
        <w:rPr>
          <w:rFonts w:ascii="Times New Roman" w:hAnsi="Times New Roman" w:cs="Times New Roman"/>
          <w:sz w:val="24"/>
          <w:szCs w:val="24"/>
        </w:rPr>
      </w:pPr>
      <w:r w:rsidRPr="00DB7743">
        <w:rPr>
          <w:rFonts w:ascii="Times New Roman" w:hAnsi="Times New Roman" w:cs="Times New Roman"/>
          <w:sz w:val="24"/>
          <w:szCs w:val="24"/>
        </w:rPr>
        <w:t>Population ageing has emerged as a significant global concern as life expectancy continues to increase worldwide. The World Health Organization emphasizes that healthy ageing involves more than the absence of disease; it requires the development and maintenance of functional ability, psychosocial well-being, and meaningful participation in society. While increased longevity is a positive development, many communities continue to face challenges related to poverty, health inequities, environmental vulnerability, and limited access to healthcare services.</w:t>
      </w:r>
    </w:p>
    <w:p w:rsidR="00DB7743" w:rsidRPr="00DB7743" w:rsidRDefault="00DB7743" w:rsidP="00DB7743">
      <w:pPr>
        <w:jc w:val="both"/>
        <w:rPr>
          <w:rFonts w:ascii="Times New Roman" w:hAnsi="Times New Roman" w:cs="Times New Roman"/>
          <w:sz w:val="24"/>
          <w:szCs w:val="24"/>
        </w:rPr>
      </w:pPr>
      <w:r w:rsidRPr="00DB7743">
        <w:rPr>
          <w:rFonts w:ascii="Times New Roman" w:hAnsi="Times New Roman" w:cs="Times New Roman"/>
          <w:sz w:val="24"/>
          <w:szCs w:val="24"/>
        </w:rPr>
        <w:t>In the Philippine context, healthy ageing remains influenced by socioeconomic conditions, family support systems, community relationships, and healthcare accessibility. Existing literature suggests that the fulfillment of basic needs serves as a foundation for health and well-being, while psychosocial and social resources contribute to resilience and quality of life during later adulthood. Despite these observations, limited local studies have examined the relationship between survival-related conditions and readiness for healthy ageing.</w:t>
      </w:r>
    </w:p>
    <w:p w:rsidR="00DB7743" w:rsidRPr="00DB7743" w:rsidRDefault="00DB7743" w:rsidP="00DB7743">
      <w:pPr>
        <w:jc w:val="both"/>
        <w:rPr>
          <w:rFonts w:ascii="Times New Roman" w:hAnsi="Times New Roman" w:cs="Times New Roman"/>
          <w:sz w:val="24"/>
          <w:szCs w:val="24"/>
        </w:rPr>
      </w:pPr>
      <w:r w:rsidRPr="00DB7743">
        <w:rPr>
          <w:rFonts w:ascii="Times New Roman" w:hAnsi="Times New Roman" w:cs="Times New Roman"/>
          <w:sz w:val="24"/>
          <w:szCs w:val="24"/>
        </w:rPr>
        <w:t xml:space="preserve">This study investigated the relationship between Basic Needs Fulfillment and Longevity Readiness among adults aged 45 years and above residing in </w:t>
      </w:r>
      <w:proofErr w:type="spellStart"/>
      <w:r w:rsidRPr="00DB7743">
        <w:rPr>
          <w:rFonts w:ascii="Times New Roman" w:hAnsi="Times New Roman" w:cs="Times New Roman"/>
          <w:sz w:val="24"/>
          <w:szCs w:val="24"/>
        </w:rPr>
        <w:t>Argao</w:t>
      </w:r>
      <w:proofErr w:type="spellEnd"/>
      <w:r w:rsidRPr="00DB7743">
        <w:rPr>
          <w:rFonts w:ascii="Times New Roman" w:hAnsi="Times New Roman" w:cs="Times New Roman"/>
          <w:sz w:val="24"/>
          <w:szCs w:val="24"/>
        </w:rPr>
        <w:t>, Cebu. Specifically, it assessed physiological fulfillment, environmental safety and security, and health service accessibility as dimensions of survival, and physical vitality, psychosocial integrity, and social connectivity as dimensions of longevity readiness. The findings served as the basis for developing a community-based counseling and psychoeducational longevity program.</w:t>
      </w:r>
    </w:p>
    <w:p w:rsidR="00CA6E8D" w:rsidRPr="00FC7C87" w:rsidRDefault="00DB7743" w:rsidP="00FC7C87">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METHODOLOGY</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Research Design</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The study employed a quantitative descriptive-comparative and correlational research design. The descriptive approach determined the levels of basic needs fulfillment and longevity readiness. The comparative component examined differences across ecological zones, while the correlational component assessed the relationship between the study variables.</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Research Locale and Respondents</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The study was conducted in the Municipality of </w:t>
      </w:r>
      <w:proofErr w:type="spellStart"/>
      <w:r w:rsidRPr="00FC7C87">
        <w:rPr>
          <w:rFonts w:ascii="Times New Roman" w:hAnsi="Times New Roman" w:cs="Times New Roman"/>
          <w:sz w:val="24"/>
          <w:szCs w:val="24"/>
        </w:rPr>
        <w:t>Argao</w:t>
      </w:r>
      <w:proofErr w:type="spellEnd"/>
      <w:r w:rsidRPr="00FC7C87">
        <w:rPr>
          <w:rFonts w:ascii="Times New Roman" w:hAnsi="Times New Roman" w:cs="Times New Roman"/>
          <w:sz w:val="24"/>
          <w:szCs w:val="24"/>
        </w:rPr>
        <w:t xml:space="preserve">, Cebu. Respondents consisted of 298 adults aged 45 years and above residing in fifteen barangays distributed across Urban, Coastal, and Upland ecological zones. A multi-stage purposive quota sampling procedure was utilized to ensure ecological representation. </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Research Instrument</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Data were gathered using the </w:t>
      </w:r>
      <w:proofErr w:type="spellStart"/>
      <w:r w:rsidRPr="00FC7C87">
        <w:rPr>
          <w:rFonts w:ascii="Times New Roman" w:hAnsi="Times New Roman" w:cs="Times New Roman"/>
          <w:sz w:val="24"/>
          <w:szCs w:val="24"/>
        </w:rPr>
        <w:t>Argao</w:t>
      </w:r>
      <w:proofErr w:type="spellEnd"/>
      <w:r w:rsidRPr="00FC7C87">
        <w:rPr>
          <w:rFonts w:ascii="Times New Roman" w:hAnsi="Times New Roman" w:cs="Times New Roman"/>
          <w:sz w:val="24"/>
          <w:szCs w:val="24"/>
        </w:rPr>
        <w:t xml:space="preserve"> Survival and Vitality Assessment Scale (ASVAS), a researcher-developed instrument consisting of 42 items. The instrument measured Basic Needs Fulfillment and Longevity Readiness. Reliability testing yielded Cronbach’s Alpha coefficients of 0.843 for Basic Needs Fulfillment, 0.806 for Longevity Readiness, and 0.840 for the overall instrument, indicating high reliability.</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Statistical Treatment</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Descriptive statistics including frequency, percentage, weighted mean, and standard deviation were used to describe respondent characteristics and variable levels. One-Way ANOVA was employed to determine differences across ecological zones. Pearson Product-Moment Correlation was used to determine the relationship between Basic Needs Fulfillment and Longevity Readiness.</w:t>
      </w:r>
    </w:p>
    <w:p w:rsidR="00DB7743" w:rsidRPr="00CA6E8D" w:rsidRDefault="00DB7743" w:rsidP="00DB7743">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RESULTS</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Respondent Profile</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Most respondents were aged 45-59 years (51.01%), equally represented by males and females (50% each), had elementary or high school education, had resided in </w:t>
      </w:r>
      <w:proofErr w:type="spellStart"/>
      <w:r w:rsidRPr="00FC7C87">
        <w:rPr>
          <w:rFonts w:ascii="Times New Roman" w:hAnsi="Times New Roman" w:cs="Times New Roman"/>
          <w:sz w:val="24"/>
          <w:szCs w:val="24"/>
        </w:rPr>
        <w:t>Argao</w:t>
      </w:r>
      <w:proofErr w:type="spellEnd"/>
      <w:r w:rsidRPr="00FC7C87">
        <w:rPr>
          <w:rFonts w:ascii="Times New Roman" w:hAnsi="Times New Roman" w:cs="Times New Roman"/>
          <w:sz w:val="24"/>
          <w:szCs w:val="24"/>
        </w:rPr>
        <w:t xml:space="preserve"> for more than 51 years (77.52%), and belonged to households earning below ₱10,000 monthly (62.75%).</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 xml:space="preserve">Level of Basic Needs Fulfillment </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Respondents demonstrated a satisfactory level of Basic Needs Fulfillment (M=2.94, SD=0.57). Physiological Fulfillment, Environmental Safety and Security, and Health Service Accessibility each contained a mean score of 2.94.</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Level of Longevity Readiness</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Respondents demonstrated a high level of Longevity Readiness (M=3.39, SD=0.78). Among the dimensions, Psychosocial Integrity obtained the highest rating (M=3.64), followed by Social Connectivity (M=3.33) and Physical Vitality (M=3.21).</w:t>
      </w:r>
    </w:p>
    <w:p w:rsidR="00DB7743" w:rsidRPr="00FC7C87" w:rsidRDefault="00DB7743" w:rsidP="00FC7C87">
      <w:pPr>
        <w:jc w:val="both"/>
        <w:rPr>
          <w:rFonts w:ascii="Times New Roman" w:hAnsi="Times New Roman" w:cs="Times New Roman"/>
          <w:b/>
          <w:sz w:val="24"/>
          <w:szCs w:val="24"/>
        </w:rPr>
      </w:pPr>
      <w:r w:rsidRPr="00FC7C87">
        <w:rPr>
          <w:rFonts w:ascii="Times New Roman" w:hAnsi="Times New Roman" w:cs="Times New Roman"/>
          <w:b/>
          <w:sz w:val="24"/>
          <w:szCs w:val="24"/>
        </w:rPr>
        <w:t>Differences According to Ecological Zones</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No significant differences were found in Basic Needs Fulfillment (F=0.955, p=0.386) and Longevity Readiness (F=1.667, p=0.190) across Urban, Coastal, and Upland ecological zones.</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Relationship Between Basic Needs Fulfillment and Longevity Readiness</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 </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lastRenderedPageBreak/>
        <w:t>A statistically significant positive relationship was found between Basic Needs Fulfillment and Longevity Readiness (r=0.224, p&lt;0.05). Although significant, the relationship was negligible in strength.</w:t>
      </w:r>
    </w:p>
    <w:p w:rsidR="00DB7743" w:rsidRPr="00FC7C87" w:rsidRDefault="00DB7743" w:rsidP="00FC7C87">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DISCUSSION</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The findings indicate that </w:t>
      </w:r>
      <w:proofErr w:type="spellStart"/>
      <w:r w:rsidRPr="00FC7C87">
        <w:rPr>
          <w:rFonts w:ascii="Times New Roman" w:hAnsi="Times New Roman" w:cs="Times New Roman"/>
          <w:sz w:val="24"/>
          <w:szCs w:val="24"/>
        </w:rPr>
        <w:t>Argaoanons</w:t>
      </w:r>
      <w:proofErr w:type="spellEnd"/>
      <w:r w:rsidRPr="00FC7C87">
        <w:rPr>
          <w:rFonts w:ascii="Times New Roman" w:hAnsi="Times New Roman" w:cs="Times New Roman"/>
          <w:sz w:val="24"/>
          <w:szCs w:val="24"/>
        </w:rPr>
        <w:t xml:space="preserve"> generally possess a stable survival foundation and a relatively high level of readiness for healthy ageing. The satisfactory ratings in physiological fulfillment, environmental safety, and healthcare accessibility suggest that basic needs are generally met. However, concerns related to food affordability, sleep quality, healthcare staffing, and service accessibility remain areas requiring intervention.</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The high ratings obtained for psychosocial integrity and social connectivity reveal the importance of family relationships, spirituality, community support, and sense of purpose among </w:t>
      </w:r>
      <w:proofErr w:type="spellStart"/>
      <w:r w:rsidRPr="00FC7C87">
        <w:rPr>
          <w:rFonts w:ascii="Times New Roman" w:hAnsi="Times New Roman" w:cs="Times New Roman"/>
          <w:sz w:val="24"/>
          <w:szCs w:val="24"/>
        </w:rPr>
        <w:t>Argaoanons</w:t>
      </w:r>
      <w:proofErr w:type="spellEnd"/>
      <w:r w:rsidRPr="00FC7C87">
        <w:rPr>
          <w:rFonts w:ascii="Times New Roman" w:hAnsi="Times New Roman" w:cs="Times New Roman"/>
          <w:sz w:val="24"/>
          <w:szCs w:val="24"/>
        </w:rPr>
        <w:t>. These findings support theories suggesting that healthy ageing extends beyond material resources and is significantly influenced by psychosocial and cultural factors.</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The absence of significant differences across ecological zones suggests that shared cultural values, family-oriented lifestyles, and municipal support systems may contribute to comparable levels of survival and vitality regardless of geographical location.</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The statistically significant relationship between survival and vitality supports Maslow’s assertion that basic needs provide the foundation for higher levels of functioning. However, the weak correlation indicates that longevity readiness is also shaped by other factors such as resilience, spirituality, social support, and meaning-making.</w:t>
      </w:r>
    </w:p>
    <w:p w:rsidR="00DB7743" w:rsidRPr="00FC7C87" w:rsidRDefault="00DB7743" w:rsidP="00FC7C87">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CONCLUSION</w:t>
      </w:r>
    </w:p>
    <w:p w:rsidR="00DB7743" w:rsidRPr="00FC7C87" w:rsidRDefault="00DB7743" w:rsidP="00FC7C87">
      <w:pPr>
        <w:jc w:val="both"/>
        <w:rPr>
          <w:rFonts w:ascii="Times New Roman" w:hAnsi="Times New Roman" w:cs="Times New Roman"/>
          <w:sz w:val="24"/>
          <w:szCs w:val="24"/>
        </w:rPr>
      </w:pPr>
      <w:r w:rsidRPr="00FC7C87">
        <w:rPr>
          <w:rFonts w:ascii="Times New Roman" w:hAnsi="Times New Roman" w:cs="Times New Roman"/>
          <w:sz w:val="24"/>
          <w:szCs w:val="24"/>
        </w:rPr>
        <w:t xml:space="preserve">Adults in </w:t>
      </w:r>
      <w:proofErr w:type="spellStart"/>
      <w:r w:rsidRPr="00FC7C87">
        <w:rPr>
          <w:rFonts w:ascii="Times New Roman" w:hAnsi="Times New Roman" w:cs="Times New Roman"/>
          <w:sz w:val="24"/>
          <w:szCs w:val="24"/>
        </w:rPr>
        <w:t>Argao</w:t>
      </w:r>
      <w:proofErr w:type="spellEnd"/>
      <w:r w:rsidRPr="00FC7C87">
        <w:rPr>
          <w:rFonts w:ascii="Times New Roman" w:hAnsi="Times New Roman" w:cs="Times New Roman"/>
          <w:sz w:val="24"/>
          <w:szCs w:val="24"/>
        </w:rPr>
        <w:t xml:space="preserve"> generally experience satisfactory survival conditions and high longevity readiness. Basic needs fulfillment contributes significantly to longevity readiness, but psychosocial integrity and social connectedness appear to play equally important roles in supporting healthy ageing. The findings underscore the need for community-based interventions that integrate health promotion, counseling, psychosocial support, and community participation. The proposed </w:t>
      </w:r>
      <w:proofErr w:type="spellStart"/>
      <w:r w:rsidRPr="00FC7C87">
        <w:rPr>
          <w:rFonts w:ascii="Times New Roman" w:hAnsi="Times New Roman" w:cs="Times New Roman"/>
          <w:sz w:val="24"/>
          <w:szCs w:val="24"/>
        </w:rPr>
        <w:t>Argao</w:t>
      </w:r>
      <w:proofErr w:type="spellEnd"/>
      <w:r w:rsidRPr="00FC7C87">
        <w:rPr>
          <w:rFonts w:ascii="Times New Roman" w:hAnsi="Times New Roman" w:cs="Times New Roman"/>
          <w:sz w:val="24"/>
          <w:szCs w:val="24"/>
        </w:rPr>
        <w:t xml:space="preserve"> Longevity Program offers a practical framework for advancing healthy ageing and community well-being.</w:t>
      </w:r>
    </w:p>
    <w:p w:rsidR="00DB7743" w:rsidRPr="00FC7C87" w:rsidRDefault="00FC7C87" w:rsidP="00FC7C87">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RECOMMENDATIONS</w:t>
      </w:r>
    </w:p>
    <w:p w:rsidR="00FC7C87" w:rsidRPr="00FC7C87" w:rsidRDefault="00FC7C87" w:rsidP="00FC7C87">
      <w:pPr>
        <w:rPr>
          <w:rFonts w:ascii="Times New Roman" w:hAnsi="Times New Roman" w:cs="Times New Roman"/>
          <w:sz w:val="24"/>
          <w:szCs w:val="24"/>
        </w:rPr>
      </w:pPr>
      <w:r w:rsidRPr="00FC7C87">
        <w:rPr>
          <w:rFonts w:ascii="Times New Roman" w:hAnsi="Times New Roman" w:cs="Times New Roman"/>
          <w:sz w:val="24"/>
          <w:szCs w:val="24"/>
        </w:rPr>
        <w:t xml:space="preserve">Local government units, healthcare providers, guidance counselors, and community organizations may adopt the </w:t>
      </w:r>
      <w:proofErr w:type="spellStart"/>
      <w:r w:rsidRPr="00FC7C87">
        <w:rPr>
          <w:rFonts w:ascii="Times New Roman" w:hAnsi="Times New Roman" w:cs="Times New Roman"/>
          <w:sz w:val="24"/>
          <w:szCs w:val="24"/>
        </w:rPr>
        <w:t>Argao</w:t>
      </w:r>
      <w:proofErr w:type="spellEnd"/>
      <w:r w:rsidRPr="00FC7C87">
        <w:rPr>
          <w:rFonts w:ascii="Times New Roman" w:hAnsi="Times New Roman" w:cs="Times New Roman"/>
          <w:sz w:val="24"/>
          <w:szCs w:val="24"/>
        </w:rPr>
        <w:t xml:space="preserve"> Longevity Program to strengthen healthy ageing initiatives. Future studies may examine additional predictors of longevity readiness using longitudinal and mixed-method approaches to further understand the pathways linking survival conditions and vitality among</w:t>
      </w:r>
      <w:bookmarkStart w:id="0" w:name="_GoBack"/>
      <w:bookmarkEnd w:id="0"/>
      <w:r w:rsidRPr="00FC7C87">
        <w:rPr>
          <w:rFonts w:ascii="Times New Roman" w:hAnsi="Times New Roman" w:cs="Times New Roman"/>
          <w:sz w:val="24"/>
          <w:szCs w:val="24"/>
        </w:rPr>
        <w:t xml:space="preserve"> older adults.</w:t>
      </w:r>
    </w:p>
    <w:p w:rsidR="00CA6E8D" w:rsidRPr="00C86621" w:rsidRDefault="00CA6E8D" w:rsidP="00C86621">
      <w:pPr>
        <w:spacing w:before="240" w:after="24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Albert, J. R. G., Santos, A. G. F., &amp; </w:t>
      </w:r>
      <w:proofErr w:type="spellStart"/>
      <w:r w:rsidRPr="00C86621">
        <w:rPr>
          <w:rFonts w:ascii="Times New Roman" w:eastAsia="Times New Roman" w:hAnsi="Times New Roman" w:cs="Times New Roman"/>
          <w:color w:val="000000"/>
          <w:sz w:val="24"/>
          <w:szCs w:val="24"/>
          <w:lang w:eastAsia="en-PH"/>
        </w:rPr>
        <w:t>Vizmanos</w:t>
      </w:r>
      <w:proofErr w:type="spellEnd"/>
      <w:r w:rsidRPr="00C86621">
        <w:rPr>
          <w:rFonts w:ascii="Times New Roman" w:eastAsia="Times New Roman" w:hAnsi="Times New Roman" w:cs="Times New Roman"/>
          <w:color w:val="000000"/>
          <w:sz w:val="24"/>
          <w:szCs w:val="24"/>
          <w:lang w:eastAsia="en-PH"/>
        </w:rPr>
        <w:t xml:space="preserve">, J. F. V. (2018). </w:t>
      </w:r>
      <w:r w:rsidRPr="00C86621">
        <w:rPr>
          <w:rFonts w:ascii="Times New Roman" w:eastAsia="Times New Roman" w:hAnsi="Times New Roman" w:cs="Times New Roman"/>
          <w:i/>
          <w:iCs/>
          <w:color w:val="000000"/>
          <w:sz w:val="24"/>
          <w:szCs w:val="24"/>
          <w:lang w:eastAsia="en-PH"/>
        </w:rPr>
        <w:t xml:space="preserve">Profile and determinants of the middle-income class in the Philippines </w:t>
      </w:r>
      <w:r w:rsidRPr="00C86621">
        <w:rPr>
          <w:rFonts w:ascii="Times New Roman" w:eastAsia="Times New Roman" w:hAnsi="Times New Roman" w:cs="Times New Roman"/>
          <w:color w:val="000000"/>
          <w:sz w:val="24"/>
          <w:szCs w:val="24"/>
          <w:lang w:eastAsia="en-PH"/>
        </w:rPr>
        <w:t>(PIDS Discussion Paper Series No. 2018-20). Philippine Institute for Development Studies.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American College of Lifestyle Medicine. (2024). </w:t>
      </w:r>
      <w:r w:rsidRPr="00C86621">
        <w:rPr>
          <w:rFonts w:ascii="Times New Roman" w:eastAsia="Times New Roman" w:hAnsi="Times New Roman" w:cs="Times New Roman"/>
          <w:i/>
          <w:iCs/>
          <w:color w:val="000000"/>
          <w:sz w:val="24"/>
          <w:szCs w:val="24"/>
          <w:lang w:eastAsia="en-PH"/>
        </w:rPr>
        <w:t xml:space="preserve">Lifestyle Medicine. </w:t>
      </w:r>
      <w:r w:rsidRPr="00C86621">
        <w:rPr>
          <w:rFonts w:ascii="Times New Roman" w:eastAsia="Times New Roman" w:hAnsi="Times New Roman" w:cs="Times New Roman"/>
          <w:color w:val="000000"/>
          <w:sz w:val="24"/>
          <w:szCs w:val="24"/>
          <w:lang w:eastAsia="en-PH"/>
        </w:rPr>
        <w:t>American College of Lifestyle Medicine.https://portal.lifestylemedicine.org/Portal/ACLM/About/What_is_Lifestyle_Medicine_/Lifestyle_Medicine.aspx</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Beck, A. T. (1976). </w:t>
      </w:r>
      <w:r w:rsidRPr="00C86621">
        <w:rPr>
          <w:rFonts w:ascii="Times New Roman" w:eastAsia="Times New Roman" w:hAnsi="Times New Roman" w:cs="Times New Roman"/>
          <w:i/>
          <w:iCs/>
          <w:color w:val="000000"/>
          <w:sz w:val="24"/>
          <w:szCs w:val="24"/>
          <w:lang w:eastAsia="en-PH"/>
        </w:rPr>
        <w:t xml:space="preserve">Cognitive therapy and the emotional disorders. </w:t>
      </w:r>
      <w:r w:rsidRPr="00C86621">
        <w:rPr>
          <w:rFonts w:ascii="Times New Roman" w:eastAsia="Times New Roman" w:hAnsi="Times New Roman" w:cs="Times New Roman"/>
          <w:color w:val="000000"/>
          <w:sz w:val="24"/>
          <w:szCs w:val="24"/>
          <w:lang w:eastAsia="en-PH"/>
        </w:rPr>
        <w:t>International Universities Press.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Beck, J. S. (2020). </w:t>
      </w:r>
      <w:r w:rsidRPr="00C86621">
        <w:rPr>
          <w:rFonts w:ascii="Times New Roman" w:eastAsia="Times New Roman" w:hAnsi="Times New Roman" w:cs="Times New Roman"/>
          <w:i/>
          <w:iCs/>
          <w:color w:val="000000"/>
          <w:sz w:val="24"/>
          <w:szCs w:val="24"/>
          <w:lang w:eastAsia="en-PH"/>
        </w:rPr>
        <w:t xml:space="preserve">Cognitive behavior therapy: Basics and beyond </w:t>
      </w:r>
      <w:r w:rsidRPr="00C86621">
        <w:rPr>
          <w:rFonts w:ascii="Times New Roman" w:eastAsia="Times New Roman" w:hAnsi="Times New Roman" w:cs="Times New Roman"/>
          <w:color w:val="000000"/>
          <w:sz w:val="24"/>
          <w:szCs w:val="24"/>
          <w:lang w:eastAsia="en-PH"/>
        </w:rPr>
        <w:t>(3rd ed.). Guilford Press.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lastRenderedPageBreak/>
        <w:t xml:space="preserve">Bronfenbrenner, U. (1979). </w:t>
      </w:r>
      <w:r w:rsidRPr="00C86621">
        <w:rPr>
          <w:rFonts w:ascii="Times New Roman" w:eastAsia="Times New Roman" w:hAnsi="Times New Roman" w:cs="Times New Roman"/>
          <w:i/>
          <w:iCs/>
          <w:color w:val="000000"/>
          <w:sz w:val="24"/>
          <w:szCs w:val="24"/>
          <w:lang w:eastAsia="en-PH"/>
        </w:rPr>
        <w:t xml:space="preserve">The ecology of human development: Experiments by nature and design. </w:t>
      </w:r>
      <w:r w:rsidRPr="00C86621">
        <w:rPr>
          <w:rFonts w:ascii="Times New Roman" w:eastAsia="Times New Roman" w:hAnsi="Times New Roman" w:cs="Times New Roman"/>
          <w:color w:val="000000"/>
          <w:sz w:val="24"/>
          <w:szCs w:val="24"/>
          <w:lang w:eastAsia="en-PH"/>
        </w:rPr>
        <w:t>Harvard University Press.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Bronfenbrenner, U., &amp; Morris, P.A. (2006). The bioecological model of human </w:t>
      </w:r>
      <w:r w:rsidRPr="005A323B">
        <w:rPr>
          <w:rFonts w:ascii="Times New Roman" w:eastAsia="Times New Roman" w:hAnsi="Times New Roman" w:cs="Times New Roman"/>
          <w:color w:val="000000"/>
          <w:sz w:val="24"/>
          <w:szCs w:val="24"/>
          <w:lang w:eastAsia="en-PH"/>
        </w:rPr>
        <w:t xml:space="preserve">development. In W. Damon &amp; R. M. Lerner (Eds.), </w:t>
      </w:r>
      <w:r w:rsidRPr="005A323B">
        <w:rPr>
          <w:rFonts w:ascii="Times New Roman" w:eastAsia="Times New Roman" w:hAnsi="Times New Roman" w:cs="Times New Roman"/>
          <w:i/>
          <w:iCs/>
          <w:color w:val="000000"/>
          <w:sz w:val="24"/>
          <w:szCs w:val="24"/>
          <w:lang w:eastAsia="en-PH"/>
        </w:rPr>
        <w:t xml:space="preserve">Handbook of child psychology </w:t>
      </w:r>
      <w:r w:rsidRPr="005A323B">
        <w:rPr>
          <w:rFonts w:ascii="Times New Roman" w:eastAsia="Times New Roman" w:hAnsi="Times New Roman" w:cs="Times New Roman"/>
          <w:color w:val="000000"/>
          <w:sz w:val="24"/>
          <w:szCs w:val="24"/>
          <w:lang w:eastAsia="en-PH"/>
        </w:rPr>
        <w:t>(6th ed., Vol. 1, pp. 793-828). John Wiley &amp; Sons.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Buettner, D. (2012). </w:t>
      </w:r>
      <w:r w:rsidRPr="00C86621">
        <w:rPr>
          <w:rFonts w:ascii="Times New Roman" w:eastAsia="Times New Roman" w:hAnsi="Times New Roman" w:cs="Times New Roman"/>
          <w:i/>
          <w:iCs/>
          <w:color w:val="000000"/>
          <w:sz w:val="24"/>
          <w:szCs w:val="24"/>
          <w:lang w:eastAsia="en-PH"/>
        </w:rPr>
        <w:t>The Blue Zones: 9 lessons for living longer from the people </w:t>
      </w:r>
      <w:r w:rsidRPr="005A323B">
        <w:rPr>
          <w:rFonts w:ascii="Times New Roman" w:eastAsia="Times New Roman" w:hAnsi="Times New Roman" w:cs="Times New Roman"/>
          <w:i/>
          <w:iCs/>
          <w:color w:val="000000"/>
          <w:sz w:val="24"/>
          <w:szCs w:val="24"/>
          <w:lang w:eastAsia="en-PH"/>
        </w:rPr>
        <w:t xml:space="preserve">who’ve lived the longest </w:t>
      </w:r>
      <w:r w:rsidRPr="005A323B">
        <w:rPr>
          <w:rFonts w:ascii="Times New Roman" w:eastAsia="Times New Roman" w:hAnsi="Times New Roman" w:cs="Times New Roman"/>
          <w:color w:val="000000"/>
          <w:sz w:val="24"/>
          <w:szCs w:val="24"/>
          <w:lang w:eastAsia="en-PH"/>
        </w:rPr>
        <w:t>(2nd ed.). National Geographic Society.</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Buettner, D., &amp; </w:t>
      </w:r>
      <w:proofErr w:type="spellStart"/>
      <w:r w:rsidRPr="00C86621">
        <w:rPr>
          <w:rFonts w:ascii="Times New Roman" w:eastAsia="Times New Roman" w:hAnsi="Times New Roman" w:cs="Times New Roman"/>
          <w:color w:val="000000"/>
          <w:sz w:val="24"/>
          <w:szCs w:val="24"/>
          <w:lang w:eastAsia="en-PH"/>
        </w:rPr>
        <w:t>Skemp</w:t>
      </w:r>
      <w:proofErr w:type="spellEnd"/>
      <w:r w:rsidRPr="00C86621">
        <w:rPr>
          <w:rFonts w:ascii="Times New Roman" w:eastAsia="Times New Roman" w:hAnsi="Times New Roman" w:cs="Times New Roman"/>
          <w:color w:val="000000"/>
          <w:sz w:val="24"/>
          <w:szCs w:val="24"/>
          <w:lang w:eastAsia="en-PH"/>
        </w:rPr>
        <w:t>, S.  (2016). Blue Zones: Lessons from the world’s longest </w:t>
      </w:r>
      <w:r w:rsidRPr="005A323B">
        <w:rPr>
          <w:rFonts w:ascii="Times New Roman" w:eastAsia="Times New Roman" w:hAnsi="Times New Roman" w:cs="Times New Roman"/>
          <w:color w:val="000000"/>
          <w:sz w:val="24"/>
          <w:szCs w:val="24"/>
          <w:lang w:eastAsia="en-PH"/>
        </w:rPr>
        <w:t xml:space="preserve">lived. </w:t>
      </w:r>
      <w:r w:rsidRPr="005A323B">
        <w:rPr>
          <w:rFonts w:ascii="Times New Roman" w:eastAsia="Times New Roman" w:hAnsi="Times New Roman" w:cs="Times New Roman"/>
          <w:i/>
          <w:iCs/>
          <w:color w:val="000000"/>
          <w:sz w:val="24"/>
          <w:szCs w:val="24"/>
          <w:lang w:eastAsia="en-PH"/>
        </w:rPr>
        <w:t>American Journal of Lifestyle Medicine, 10</w:t>
      </w:r>
      <w:r w:rsidRPr="005A323B">
        <w:rPr>
          <w:rFonts w:ascii="Times New Roman" w:eastAsia="Times New Roman" w:hAnsi="Times New Roman" w:cs="Times New Roman"/>
          <w:color w:val="000000"/>
          <w:sz w:val="24"/>
          <w:szCs w:val="24"/>
          <w:lang w:eastAsia="en-PH"/>
        </w:rPr>
        <w:t>(5), 318-321. https://doi.org/10.1177/1559827616637066</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t>Chansarn</w:t>
      </w:r>
      <w:proofErr w:type="spellEnd"/>
      <w:r w:rsidRPr="00C86621">
        <w:rPr>
          <w:rFonts w:ascii="Times New Roman" w:eastAsia="Times New Roman" w:hAnsi="Times New Roman" w:cs="Times New Roman"/>
          <w:color w:val="000000"/>
          <w:sz w:val="24"/>
          <w:szCs w:val="24"/>
          <w:lang w:eastAsia="en-PH"/>
        </w:rPr>
        <w:t>, S. (2012). Active Ageing of Elderly People and Its Determinants:</w:t>
      </w:r>
      <w:r w:rsidR="005A323B">
        <w:rPr>
          <w:rFonts w:ascii="Times New Roman" w:eastAsia="Times New Roman" w:hAnsi="Times New Roman" w:cs="Times New Roman"/>
          <w:color w:val="000000"/>
          <w:sz w:val="24"/>
          <w:szCs w:val="24"/>
          <w:lang w:eastAsia="en-PH"/>
        </w:rPr>
        <w:t xml:space="preserve"> </w:t>
      </w:r>
      <w:r w:rsidRPr="005A323B">
        <w:rPr>
          <w:rFonts w:ascii="Times New Roman" w:eastAsia="Times New Roman" w:hAnsi="Times New Roman" w:cs="Times New Roman"/>
          <w:color w:val="000000"/>
          <w:sz w:val="24"/>
          <w:szCs w:val="24"/>
          <w:lang w:eastAsia="en-PH"/>
        </w:rPr>
        <w:t xml:space="preserve">Empirical Evidence from Thailand. </w:t>
      </w:r>
      <w:r w:rsidRPr="005A323B">
        <w:rPr>
          <w:rFonts w:ascii="Times New Roman" w:eastAsia="Times New Roman" w:hAnsi="Times New Roman" w:cs="Times New Roman"/>
          <w:i/>
          <w:iCs/>
          <w:color w:val="000000"/>
          <w:sz w:val="24"/>
          <w:szCs w:val="24"/>
          <w:lang w:eastAsia="en-PH"/>
        </w:rPr>
        <w:t>Asia-Pacific Social Science Review, 12</w:t>
      </w:r>
      <w:r w:rsidRPr="005A323B">
        <w:rPr>
          <w:rFonts w:ascii="Times New Roman" w:eastAsia="Times New Roman" w:hAnsi="Times New Roman" w:cs="Times New Roman"/>
          <w:color w:val="000000"/>
          <w:sz w:val="24"/>
          <w:szCs w:val="24"/>
          <w:lang w:eastAsia="en-PH"/>
        </w:rPr>
        <w:t>(1).</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Cruz, G. T., Cruz, C. J. P., Saito, Y., &amp; Natividad, J. N. (2019). </w:t>
      </w:r>
      <w:r w:rsidRPr="00C86621">
        <w:rPr>
          <w:rFonts w:ascii="Times New Roman" w:eastAsia="Times New Roman" w:hAnsi="Times New Roman" w:cs="Times New Roman"/>
          <w:i/>
          <w:iCs/>
          <w:color w:val="000000"/>
          <w:sz w:val="24"/>
          <w:szCs w:val="24"/>
          <w:lang w:eastAsia="en-PH"/>
        </w:rPr>
        <w:t>Ageing and health </w:t>
      </w:r>
      <w:r w:rsidRPr="005A323B">
        <w:rPr>
          <w:rFonts w:ascii="Times New Roman" w:eastAsia="Times New Roman" w:hAnsi="Times New Roman" w:cs="Times New Roman"/>
          <w:i/>
          <w:iCs/>
          <w:color w:val="000000"/>
          <w:sz w:val="24"/>
          <w:szCs w:val="24"/>
          <w:lang w:eastAsia="en-PH"/>
        </w:rPr>
        <w:t>in the Philippines</w:t>
      </w:r>
      <w:r w:rsidRPr="005A323B">
        <w:rPr>
          <w:rFonts w:ascii="Times New Roman" w:eastAsia="Times New Roman" w:hAnsi="Times New Roman" w:cs="Times New Roman"/>
          <w:color w:val="000000"/>
          <w:sz w:val="24"/>
          <w:szCs w:val="24"/>
          <w:lang w:eastAsia="en-PH"/>
        </w:rPr>
        <w:t xml:space="preserve">. Demographic Research and </w:t>
      </w:r>
      <w:proofErr w:type="gramStart"/>
      <w:r w:rsidRPr="005A323B">
        <w:rPr>
          <w:rFonts w:ascii="Times New Roman" w:eastAsia="Times New Roman" w:hAnsi="Times New Roman" w:cs="Times New Roman"/>
          <w:color w:val="000000"/>
          <w:sz w:val="24"/>
          <w:szCs w:val="24"/>
          <w:lang w:eastAsia="en-PH"/>
        </w:rPr>
        <w:t>Development  Foundation</w:t>
      </w:r>
      <w:proofErr w:type="gramEnd"/>
      <w:r w:rsidRPr="005A323B">
        <w:rPr>
          <w:rFonts w:ascii="Times New Roman" w:eastAsia="Times New Roman" w:hAnsi="Times New Roman" w:cs="Times New Roman"/>
          <w:color w:val="000000"/>
          <w:sz w:val="24"/>
          <w:szCs w:val="24"/>
          <w:lang w:eastAsia="en-PH"/>
        </w:rPr>
        <w:t>, Inc. (DRDF), University of the Philippines Population Institute, and Economic Research Institute for ASEAN and East Asia.</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Cruz, C. J., Cruz, G. T., &amp; Saito, Y. (2023). </w:t>
      </w:r>
      <w:r w:rsidRPr="00C86621">
        <w:rPr>
          <w:rFonts w:ascii="Times New Roman" w:eastAsia="Times New Roman" w:hAnsi="Times New Roman" w:cs="Times New Roman"/>
          <w:i/>
          <w:iCs/>
          <w:color w:val="000000"/>
          <w:sz w:val="24"/>
          <w:szCs w:val="24"/>
          <w:lang w:eastAsia="en-PH"/>
        </w:rPr>
        <w:t>The longitudinal study of ageing and </w:t>
      </w:r>
      <w:r w:rsidRPr="005A323B">
        <w:rPr>
          <w:rFonts w:ascii="Times New Roman" w:eastAsia="Times New Roman" w:hAnsi="Times New Roman" w:cs="Times New Roman"/>
          <w:i/>
          <w:iCs/>
          <w:color w:val="000000"/>
          <w:sz w:val="24"/>
          <w:szCs w:val="24"/>
          <w:lang w:eastAsia="en-PH"/>
        </w:rPr>
        <w:t xml:space="preserve">health in the Philippines wave 2. </w:t>
      </w:r>
      <w:r w:rsidRPr="005A323B">
        <w:rPr>
          <w:rFonts w:ascii="Times New Roman" w:eastAsia="Times New Roman" w:hAnsi="Times New Roman" w:cs="Times New Roman"/>
          <w:color w:val="000000"/>
          <w:sz w:val="24"/>
          <w:szCs w:val="24"/>
          <w:lang w:eastAsia="en-PH"/>
        </w:rPr>
        <w:t xml:space="preserve">Demographic Research and </w:t>
      </w:r>
      <w:proofErr w:type="gramStart"/>
      <w:r w:rsidRPr="005A323B">
        <w:rPr>
          <w:rFonts w:ascii="Times New Roman" w:eastAsia="Times New Roman" w:hAnsi="Times New Roman" w:cs="Times New Roman"/>
          <w:color w:val="000000"/>
          <w:sz w:val="24"/>
          <w:szCs w:val="24"/>
          <w:lang w:eastAsia="en-PH"/>
        </w:rPr>
        <w:t>Development  Foundation</w:t>
      </w:r>
      <w:proofErr w:type="gramEnd"/>
      <w:r w:rsidRPr="005A323B">
        <w:rPr>
          <w:rFonts w:ascii="Times New Roman" w:eastAsia="Times New Roman" w:hAnsi="Times New Roman" w:cs="Times New Roman"/>
          <w:color w:val="000000"/>
          <w:sz w:val="24"/>
          <w:szCs w:val="24"/>
          <w:lang w:eastAsia="en-PH"/>
        </w:rPr>
        <w:t>, Inc. (DRDF).</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t>Dayrit</w:t>
      </w:r>
      <w:proofErr w:type="spellEnd"/>
      <w:r w:rsidRPr="00C86621">
        <w:rPr>
          <w:rFonts w:ascii="Times New Roman" w:eastAsia="Times New Roman" w:hAnsi="Times New Roman" w:cs="Times New Roman"/>
          <w:color w:val="000000"/>
          <w:sz w:val="24"/>
          <w:szCs w:val="24"/>
          <w:lang w:eastAsia="en-PH"/>
        </w:rPr>
        <w:t xml:space="preserve">, M. M., </w:t>
      </w:r>
      <w:proofErr w:type="spellStart"/>
      <w:r w:rsidRPr="00C86621">
        <w:rPr>
          <w:rFonts w:ascii="Times New Roman" w:eastAsia="Times New Roman" w:hAnsi="Times New Roman" w:cs="Times New Roman"/>
          <w:color w:val="000000"/>
          <w:sz w:val="24"/>
          <w:szCs w:val="24"/>
          <w:lang w:eastAsia="en-PH"/>
        </w:rPr>
        <w:t>Lagrada</w:t>
      </w:r>
      <w:proofErr w:type="spellEnd"/>
      <w:r w:rsidRPr="00C86621">
        <w:rPr>
          <w:rFonts w:ascii="Times New Roman" w:eastAsia="Times New Roman" w:hAnsi="Times New Roman" w:cs="Times New Roman"/>
          <w:color w:val="000000"/>
          <w:sz w:val="24"/>
          <w:szCs w:val="24"/>
          <w:lang w:eastAsia="en-PH"/>
        </w:rPr>
        <w:t xml:space="preserve">, L. P., </w:t>
      </w:r>
      <w:proofErr w:type="spellStart"/>
      <w:r w:rsidRPr="00C86621">
        <w:rPr>
          <w:rFonts w:ascii="Times New Roman" w:eastAsia="Times New Roman" w:hAnsi="Times New Roman" w:cs="Times New Roman"/>
          <w:color w:val="000000"/>
          <w:sz w:val="24"/>
          <w:szCs w:val="24"/>
          <w:lang w:eastAsia="en-PH"/>
        </w:rPr>
        <w:t>Picazo</w:t>
      </w:r>
      <w:proofErr w:type="spellEnd"/>
      <w:r w:rsidRPr="00C86621">
        <w:rPr>
          <w:rFonts w:ascii="Times New Roman" w:eastAsia="Times New Roman" w:hAnsi="Times New Roman" w:cs="Times New Roman"/>
          <w:color w:val="000000"/>
          <w:sz w:val="24"/>
          <w:szCs w:val="24"/>
          <w:lang w:eastAsia="en-PH"/>
        </w:rPr>
        <w:t xml:space="preserve">, O. F., Pons, M. C., &amp; </w:t>
      </w:r>
      <w:proofErr w:type="spellStart"/>
      <w:r w:rsidRPr="00C86621">
        <w:rPr>
          <w:rFonts w:ascii="Times New Roman" w:eastAsia="Times New Roman" w:hAnsi="Times New Roman" w:cs="Times New Roman"/>
          <w:color w:val="000000"/>
          <w:sz w:val="24"/>
          <w:szCs w:val="24"/>
          <w:lang w:eastAsia="en-PH"/>
        </w:rPr>
        <w:t>Villaverde</w:t>
      </w:r>
      <w:proofErr w:type="spellEnd"/>
      <w:r w:rsidRPr="00C86621">
        <w:rPr>
          <w:rFonts w:ascii="Times New Roman" w:eastAsia="Times New Roman" w:hAnsi="Times New Roman" w:cs="Times New Roman"/>
          <w:color w:val="000000"/>
          <w:sz w:val="24"/>
          <w:szCs w:val="24"/>
          <w:lang w:eastAsia="en-PH"/>
        </w:rPr>
        <w:t>, M. C. </w:t>
      </w:r>
      <w:r w:rsidRPr="005A323B">
        <w:rPr>
          <w:rFonts w:ascii="Times New Roman" w:eastAsia="Times New Roman" w:hAnsi="Times New Roman" w:cs="Times New Roman"/>
          <w:color w:val="000000"/>
          <w:sz w:val="24"/>
          <w:szCs w:val="24"/>
          <w:lang w:eastAsia="en-PH"/>
        </w:rPr>
        <w:t xml:space="preserve">(2018). </w:t>
      </w:r>
      <w:r w:rsidRPr="005A323B">
        <w:rPr>
          <w:rFonts w:ascii="Times New Roman" w:eastAsia="Times New Roman" w:hAnsi="Times New Roman" w:cs="Times New Roman"/>
          <w:i/>
          <w:iCs/>
          <w:color w:val="000000"/>
          <w:sz w:val="24"/>
          <w:szCs w:val="24"/>
          <w:lang w:eastAsia="en-PH"/>
        </w:rPr>
        <w:t xml:space="preserve">The Philippines health system review. </w:t>
      </w:r>
      <w:r w:rsidRPr="005A323B">
        <w:rPr>
          <w:rFonts w:ascii="Times New Roman" w:eastAsia="Times New Roman" w:hAnsi="Times New Roman" w:cs="Times New Roman"/>
          <w:color w:val="000000"/>
          <w:sz w:val="24"/>
          <w:szCs w:val="24"/>
          <w:lang w:eastAsia="en-PH"/>
        </w:rPr>
        <w:t>World Health Organization Regional Office for South-East Asia.</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Department of Health. (2014). </w:t>
      </w:r>
      <w:r w:rsidRPr="00C86621">
        <w:rPr>
          <w:rFonts w:ascii="Times New Roman" w:eastAsia="Times New Roman" w:hAnsi="Times New Roman" w:cs="Times New Roman"/>
          <w:i/>
          <w:iCs/>
          <w:color w:val="000000"/>
          <w:sz w:val="24"/>
          <w:szCs w:val="24"/>
          <w:lang w:eastAsia="en-PH"/>
        </w:rPr>
        <w:t>Implementing guidelines on the allocation and </w:t>
      </w:r>
      <w:r w:rsidRPr="005A323B">
        <w:rPr>
          <w:rFonts w:ascii="Times New Roman" w:eastAsia="Times New Roman" w:hAnsi="Times New Roman" w:cs="Times New Roman"/>
          <w:i/>
          <w:iCs/>
          <w:color w:val="000000"/>
          <w:sz w:val="24"/>
          <w:szCs w:val="24"/>
          <w:lang w:eastAsia="en-PH"/>
        </w:rPr>
        <w:t>utilization of funds for geographically isolated and disadvantaged areas (GIDA) (</w:t>
      </w:r>
      <w:r w:rsidRPr="005A323B">
        <w:rPr>
          <w:rFonts w:ascii="Times New Roman" w:eastAsia="Times New Roman" w:hAnsi="Times New Roman" w:cs="Times New Roman"/>
          <w:color w:val="000000"/>
          <w:sz w:val="24"/>
          <w:szCs w:val="24"/>
          <w:lang w:eastAsia="en-PH"/>
        </w:rPr>
        <w:t>Department Memorandum No. 2014-0185). Department of Health.</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Department of Health. (2020). </w:t>
      </w:r>
      <w:r w:rsidRPr="00C86621">
        <w:rPr>
          <w:rFonts w:ascii="Times New Roman" w:eastAsia="Times New Roman" w:hAnsi="Times New Roman" w:cs="Times New Roman"/>
          <w:i/>
          <w:iCs/>
          <w:color w:val="000000"/>
          <w:sz w:val="24"/>
          <w:szCs w:val="24"/>
          <w:lang w:eastAsia="en-PH"/>
        </w:rPr>
        <w:t>National objectives for health Philippines </w:t>
      </w:r>
      <w:r w:rsidRPr="005A323B">
        <w:rPr>
          <w:rFonts w:ascii="Times New Roman" w:eastAsia="Times New Roman" w:hAnsi="Times New Roman" w:cs="Times New Roman"/>
          <w:i/>
          <w:iCs/>
          <w:color w:val="000000"/>
          <w:sz w:val="24"/>
          <w:szCs w:val="24"/>
          <w:lang w:eastAsia="en-PH"/>
        </w:rPr>
        <w:t xml:space="preserve">2017-2022. </w:t>
      </w:r>
      <w:r w:rsidRPr="005A323B">
        <w:rPr>
          <w:rFonts w:ascii="Times New Roman" w:eastAsia="Times New Roman" w:hAnsi="Times New Roman" w:cs="Times New Roman"/>
          <w:color w:val="000000"/>
          <w:sz w:val="24"/>
          <w:szCs w:val="24"/>
          <w:lang w:eastAsia="en-PH"/>
        </w:rPr>
        <w:t>Department of Health. https://doh.gov.ph</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Department of Health. (2023). </w:t>
      </w:r>
      <w:r w:rsidRPr="00C86621">
        <w:rPr>
          <w:rFonts w:ascii="Times New Roman" w:eastAsia="Times New Roman" w:hAnsi="Times New Roman" w:cs="Times New Roman"/>
          <w:i/>
          <w:iCs/>
          <w:color w:val="000000"/>
          <w:sz w:val="24"/>
          <w:szCs w:val="24"/>
          <w:lang w:eastAsia="en-PH"/>
        </w:rPr>
        <w:t xml:space="preserve">Philippine Health Statistics 2023. </w:t>
      </w:r>
      <w:r w:rsidRPr="00C86621">
        <w:rPr>
          <w:rFonts w:ascii="Times New Roman" w:eastAsia="Times New Roman" w:hAnsi="Times New Roman" w:cs="Times New Roman"/>
          <w:color w:val="000000"/>
          <w:sz w:val="24"/>
          <w:szCs w:val="24"/>
          <w:lang w:eastAsia="en-PH"/>
        </w:rPr>
        <w:t>Department of </w:t>
      </w:r>
      <w:r w:rsidRPr="005A323B">
        <w:rPr>
          <w:rFonts w:ascii="Times New Roman" w:eastAsia="Times New Roman" w:hAnsi="Times New Roman" w:cs="Times New Roman"/>
          <w:color w:val="000000"/>
          <w:sz w:val="24"/>
          <w:szCs w:val="24"/>
          <w:lang w:eastAsia="en-PH"/>
        </w:rPr>
        <w:t>Health. https://doh.gov.ph</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t>Epel</w:t>
      </w:r>
      <w:proofErr w:type="spellEnd"/>
      <w:r w:rsidRPr="00C86621">
        <w:rPr>
          <w:rFonts w:ascii="Times New Roman" w:eastAsia="Times New Roman" w:hAnsi="Times New Roman" w:cs="Times New Roman"/>
          <w:color w:val="000000"/>
          <w:sz w:val="24"/>
          <w:szCs w:val="24"/>
          <w:lang w:eastAsia="en-PH"/>
        </w:rPr>
        <w:t>, E. S., &amp; Prather, A. A. (2018). Stress, telomeres, and psychopathology: </w:t>
      </w:r>
      <w:r w:rsidRPr="005A323B">
        <w:rPr>
          <w:rFonts w:ascii="Times New Roman" w:eastAsia="Times New Roman" w:hAnsi="Times New Roman" w:cs="Times New Roman"/>
          <w:color w:val="000000"/>
          <w:sz w:val="24"/>
          <w:szCs w:val="24"/>
          <w:lang w:eastAsia="en-PH"/>
        </w:rPr>
        <w:t xml:space="preserve">Toward a deeper understanding of a triad of early aging. </w:t>
      </w:r>
      <w:r w:rsidRPr="005A323B">
        <w:rPr>
          <w:rFonts w:ascii="Times New Roman" w:eastAsia="Times New Roman" w:hAnsi="Times New Roman" w:cs="Times New Roman"/>
          <w:i/>
          <w:iCs/>
          <w:color w:val="000000"/>
          <w:sz w:val="24"/>
          <w:szCs w:val="24"/>
          <w:lang w:eastAsia="en-PH"/>
        </w:rPr>
        <w:t xml:space="preserve">Annual Review of Clinical Psychology, 14, </w:t>
      </w:r>
      <w:r w:rsidRPr="005A323B">
        <w:rPr>
          <w:rFonts w:ascii="Times New Roman" w:eastAsia="Times New Roman" w:hAnsi="Times New Roman" w:cs="Times New Roman"/>
          <w:color w:val="000000"/>
          <w:sz w:val="24"/>
          <w:szCs w:val="24"/>
          <w:lang w:eastAsia="en-PH"/>
        </w:rPr>
        <w:t>371-397. https://doi.org/10.1146/annurev-clinpsy-032816-045054</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Erikson, E. H. (1963). </w:t>
      </w:r>
      <w:r w:rsidRPr="00C86621">
        <w:rPr>
          <w:rFonts w:ascii="Times New Roman" w:eastAsia="Times New Roman" w:hAnsi="Times New Roman" w:cs="Times New Roman"/>
          <w:i/>
          <w:iCs/>
          <w:color w:val="000000"/>
          <w:sz w:val="24"/>
          <w:szCs w:val="24"/>
          <w:lang w:eastAsia="en-PH"/>
        </w:rPr>
        <w:t xml:space="preserve">Childhood and society </w:t>
      </w:r>
      <w:r w:rsidRPr="00C86621">
        <w:rPr>
          <w:rFonts w:ascii="Times New Roman" w:eastAsia="Times New Roman" w:hAnsi="Times New Roman" w:cs="Times New Roman"/>
          <w:color w:val="000000"/>
          <w:sz w:val="24"/>
          <w:szCs w:val="24"/>
          <w:lang w:eastAsia="en-PH"/>
        </w:rPr>
        <w:t>(2nd ed.). W. W. Norton &amp; </w:t>
      </w:r>
      <w:r w:rsidRPr="005A323B">
        <w:rPr>
          <w:rFonts w:ascii="Times New Roman" w:eastAsia="Times New Roman" w:hAnsi="Times New Roman" w:cs="Times New Roman"/>
          <w:color w:val="000000"/>
          <w:sz w:val="24"/>
          <w:szCs w:val="24"/>
          <w:lang w:eastAsia="en-PH"/>
        </w:rPr>
        <w:t>Company.</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Frates, B. (2021), </w:t>
      </w:r>
      <w:r w:rsidRPr="00C86621">
        <w:rPr>
          <w:rFonts w:ascii="Times New Roman" w:eastAsia="Times New Roman" w:hAnsi="Times New Roman" w:cs="Times New Roman"/>
          <w:i/>
          <w:iCs/>
          <w:color w:val="000000"/>
          <w:sz w:val="24"/>
          <w:szCs w:val="24"/>
          <w:lang w:eastAsia="en-PH"/>
        </w:rPr>
        <w:t>Lifestyle medicine handbook: An introduction </w:t>
      </w:r>
      <w:r w:rsidRPr="005A323B">
        <w:rPr>
          <w:rFonts w:ascii="Times New Roman" w:eastAsia="Times New Roman" w:hAnsi="Times New Roman" w:cs="Times New Roman"/>
          <w:i/>
          <w:iCs/>
          <w:color w:val="000000"/>
          <w:sz w:val="24"/>
          <w:szCs w:val="24"/>
          <w:lang w:eastAsia="en-PH"/>
        </w:rPr>
        <w:t>to the power of healthy habits</w:t>
      </w:r>
      <w:r w:rsidRPr="005A323B">
        <w:rPr>
          <w:rFonts w:ascii="Times New Roman" w:eastAsia="Times New Roman" w:hAnsi="Times New Roman" w:cs="Times New Roman"/>
          <w:color w:val="000000"/>
          <w:sz w:val="24"/>
          <w:szCs w:val="24"/>
          <w:lang w:eastAsia="en-PH"/>
        </w:rPr>
        <w:t>. Healthy Learning.</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Gopinath, B., </w:t>
      </w:r>
      <w:proofErr w:type="spellStart"/>
      <w:r w:rsidRPr="00C86621">
        <w:rPr>
          <w:rFonts w:ascii="Times New Roman" w:eastAsia="Times New Roman" w:hAnsi="Times New Roman" w:cs="Times New Roman"/>
          <w:color w:val="000000"/>
          <w:sz w:val="24"/>
          <w:szCs w:val="24"/>
          <w:lang w:eastAsia="en-PH"/>
        </w:rPr>
        <w:t>Kifley</w:t>
      </w:r>
      <w:proofErr w:type="spellEnd"/>
      <w:r w:rsidRPr="00C86621">
        <w:rPr>
          <w:rFonts w:ascii="Times New Roman" w:eastAsia="Times New Roman" w:hAnsi="Times New Roman" w:cs="Times New Roman"/>
          <w:color w:val="000000"/>
          <w:sz w:val="24"/>
          <w:szCs w:val="24"/>
          <w:lang w:eastAsia="en-PH"/>
        </w:rPr>
        <w:t>, A., Flood, V. M., &amp; Mitchell, P. (2018). Physical activity as a </w:t>
      </w:r>
      <w:r w:rsidRPr="005A323B">
        <w:rPr>
          <w:rFonts w:ascii="Times New Roman" w:eastAsia="Times New Roman" w:hAnsi="Times New Roman" w:cs="Times New Roman"/>
          <w:color w:val="000000"/>
          <w:sz w:val="24"/>
          <w:szCs w:val="24"/>
          <w:lang w:eastAsia="en-PH"/>
        </w:rPr>
        <w:t xml:space="preserve">determinant of successful aging over ten years. </w:t>
      </w:r>
      <w:r w:rsidRPr="005A323B">
        <w:rPr>
          <w:rFonts w:ascii="Times New Roman" w:eastAsia="Times New Roman" w:hAnsi="Times New Roman" w:cs="Times New Roman"/>
          <w:i/>
          <w:iCs/>
          <w:color w:val="000000"/>
          <w:sz w:val="24"/>
          <w:szCs w:val="24"/>
          <w:lang w:eastAsia="en-PH"/>
        </w:rPr>
        <w:t xml:space="preserve">Scientific Reports, 8, </w:t>
      </w:r>
      <w:r w:rsidRPr="005A323B">
        <w:rPr>
          <w:rFonts w:ascii="Times New Roman" w:eastAsia="Times New Roman" w:hAnsi="Times New Roman" w:cs="Times New Roman"/>
          <w:color w:val="000000"/>
          <w:sz w:val="24"/>
          <w:szCs w:val="24"/>
          <w:lang w:eastAsia="en-PH"/>
        </w:rPr>
        <w:t>Article 10522. https://doi.org/10.1038/s41598-018-28526-3</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Holt-</w:t>
      </w:r>
      <w:proofErr w:type="spellStart"/>
      <w:r w:rsidRPr="00C86621">
        <w:rPr>
          <w:rFonts w:ascii="Times New Roman" w:eastAsia="Times New Roman" w:hAnsi="Times New Roman" w:cs="Times New Roman"/>
          <w:color w:val="000000"/>
          <w:sz w:val="24"/>
          <w:szCs w:val="24"/>
          <w:lang w:eastAsia="en-PH"/>
        </w:rPr>
        <w:t>Lunstad</w:t>
      </w:r>
      <w:proofErr w:type="spellEnd"/>
      <w:r w:rsidRPr="00C86621">
        <w:rPr>
          <w:rFonts w:ascii="Times New Roman" w:eastAsia="Times New Roman" w:hAnsi="Times New Roman" w:cs="Times New Roman"/>
          <w:color w:val="000000"/>
          <w:sz w:val="24"/>
          <w:szCs w:val="24"/>
          <w:lang w:eastAsia="en-PH"/>
        </w:rPr>
        <w:t>, J. (2021). The major health implications of social connection. </w:t>
      </w:r>
      <w:r w:rsidRPr="005A323B">
        <w:rPr>
          <w:rFonts w:ascii="Times New Roman" w:eastAsia="Times New Roman" w:hAnsi="Times New Roman" w:cs="Times New Roman"/>
          <w:i/>
          <w:iCs/>
          <w:color w:val="000000"/>
          <w:sz w:val="24"/>
          <w:szCs w:val="24"/>
          <w:lang w:eastAsia="en-PH"/>
        </w:rPr>
        <w:t>Current Directions in Psychological Science, 30</w:t>
      </w:r>
      <w:r w:rsidRPr="005A323B">
        <w:rPr>
          <w:rFonts w:ascii="Times New Roman" w:eastAsia="Times New Roman" w:hAnsi="Times New Roman" w:cs="Times New Roman"/>
          <w:color w:val="000000"/>
          <w:sz w:val="24"/>
          <w:szCs w:val="24"/>
          <w:lang w:eastAsia="en-PH"/>
        </w:rPr>
        <w:t>(3), 251-259. https://doi.org/10.1177/0963721421999630</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Hong, Andy, Welch-Stockton, J., Kim, J. Y., </w:t>
      </w:r>
      <w:proofErr w:type="spellStart"/>
      <w:r w:rsidRPr="00C86621">
        <w:rPr>
          <w:rFonts w:ascii="Times New Roman" w:eastAsia="Times New Roman" w:hAnsi="Times New Roman" w:cs="Times New Roman"/>
          <w:color w:val="000000"/>
          <w:sz w:val="24"/>
          <w:szCs w:val="24"/>
          <w:lang w:eastAsia="en-PH"/>
        </w:rPr>
        <w:t>Canham</w:t>
      </w:r>
      <w:proofErr w:type="spellEnd"/>
      <w:r w:rsidRPr="00C86621">
        <w:rPr>
          <w:rFonts w:ascii="Times New Roman" w:eastAsia="Times New Roman" w:hAnsi="Times New Roman" w:cs="Times New Roman"/>
          <w:color w:val="000000"/>
          <w:sz w:val="24"/>
          <w:szCs w:val="24"/>
          <w:lang w:eastAsia="en-PH"/>
        </w:rPr>
        <w:t xml:space="preserve">, S. L., Greer, V., &amp; </w:t>
      </w:r>
      <w:proofErr w:type="spellStart"/>
      <w:r w:rsidRPr="00C86621">
        <w:rPr>
          <w:rFonts w:ascii="Times New Roman" w:eastAsia="Times New Roman" w:hAnsi="Times New Roman" w:cs="Times New Roman"/>
          <w:color w:val="000000"/>
          <w:sz w:val="24"/>
          <w:szCs w:val="24"/>
          <w:lang w:eastAsia="en-PH"/>
        </w:rPr>
        <w:t>Sorweid</w:t>
      </w:r>
      <w:proofErr w:type="spellEnd"/>
      <w:r w:rsidRPr="00C86621">
        <w:rPr>
          <w:rFonts w:ascii="Times New Roman" w:eastAsia="Times New Roman" w:hAnsi="Times New Roman" w:cs="Times New Roman"/>
          <w:color w:val="000000"/>
          <w:sz w:val="24"/>
          <w:szCs w:val="24"/>
          <w:lang w:eastAsia="en-PH"/>
        </w:rPr>
        <w:t>, </w:t>
      </w:r>
      <w:r w:rsidRPr="005A323B">
        <w:rPr>
          <w:rFonts w:ascii="Times New Roman" w:eastAsia="Times New Roman" w:hAnsi="Times New Roman" w:cs="Times New Roman"/>
          <w:color w:val="000000"/>
          <w:sz w:val="24"/>
          <w:szCs w:val="24"/>
          <w:lang w:eastAsia="en-PH"/>
        </w:rPr>
        <w:t xml:space="preserve">M. (2023). Age-friendly community interventions for health and social outcomes: A scoping review. </w:t>
      </w:r>
      <w:r w:rsidRPr="005A323B">
        <w:rPr>
          <w:rFonts w:ascii="Times New Roman" w:eastAsia="Times New Roman" w:hAnsi="Times New Roman" w:cs="Times New Roman"/>
          <w:i/>
          <w:iCs/>
          <w:color w:val="000000"/>
          <w:sz w:val="24"/>
          <w:szCs w:val="24"/>
          <w:lang w:eastAsia="en-PH"/>
        </w:rPr>
        <w:t xml:space="preserve">International </w:t>
      </w:r>
      <w:r w:rsidRPr="005A323B">
        <w:rPr>
          <w:rFonts w:ascii="Times New Roman" w:eastAsia="Times New Roman" w:hAnsi="Times New Roman" w:cs="Times New Roman"/>
          <w:i/>
          <w:iCs/>
          <w:color w:val="000000"/>
          <w:sz w:val="24"/>
          <w:szCs w:val="24"/>
          <w:lang w:eastAsia="en-PH"/>
        </w:rPr>
        <w:lastRenderedPageBreak/>
        <w:t>Journal of Environmental Research and Public Health, 20</w:t>
      </w:r>
      <w:r w:rsidRPr="005A323B">
        <w:rPr>
          <w:rFonts w:ascii="Times New Roman" w:eastAsia="Times New Roman" w:hAnsi="Times New Roman" w:cs="Times New Roman"/>
          <w:color w:val="000000"/>
          <w:sz w:val="24"/>
          <w:szCs w:val="24"/>
          <w:lang w:eastAsia="en-PH"/>
        </w:rPr>
        <w:t>(3), 2554. https://doi.org/10.3390/ijerph20032554</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Katz, D. L., &amp; </w:t>
      </w:r>
      <w:proofErr w:type="spellStart"/>
      <w:r w:rsidRPr="00C86621">
        <w:rPr>
          <w:rFonts w:ascii="Times New Roman" w:eastAsia="Times New Roman" w:hAnsi="Times New Roman" w:cs="Times New Roman"/>
          <w:color w:val="000000"/>
          <w:sz w:val="24"/>
          <w:szCs w:val="24"/>
          <w:lang w:eastAsia="en-PH"/>
        </w:rPr>
        <w:t>Meller</w:t>
      </w:r>
      <w:proofErr w:type="spellEnd"/>
      <w:r w:rsidRPr="00C86621">
        <w:rPr>
          <w:rFonts w:ascii="Times New Roman" w:eastAsia="Times New Roman" w:hAnsi="Times New Roman" w:cs="Times New Roman"/>
          <w:color w:val="000000"/>
          <w:sz w:val="24"/>
          <w:szCs w:val="24"/>
          <w:lang w:eastAsia="en-PH"/>
        </w:rPr>
        <w:t xml:space="preserve">, S. (2014). Can we say what diet is best for health? </w:t>
      </w:r>
      <w:r w:rsidRPr="00C86621">
        <w:rPr>
          <w:rFonts w:ascii="Times New Roman" w:eastAsia="Times New Roman" w:hAnsi="Times New Roman" w:cs="Times New Roman"/>
          <w:i/>
          <w:iCs/>
          <w:color w:val="000000"/>
          <w:sz w:val="24"/>
          <w:szCs w:val="24"/>
          <w:lang w:eastAsia="en-PH"/>
        </w:rPr>
        <w:t>Annual </w:t>
      </w:r>
      <w:r w:rsidRPr="005A323B">
        <w:rPr>
          <w:rFonts w:ascii="Times New Roman" w:eastAsia="Times New Roman" w:hAnsi="Times New Roman" w:cs="Times New Roman"/>
          <w:i/>
          <w:iCs/>
          <w:color w:val="000000"/>
          <w:sz w:val="24"/>
          <w:szCs w:val="24"/>
          <w:lang w:eastAsia="en-PH"/>
        </w:rPr>
        <w:t xml:space="preserve">Review of Public Health, 35, </w:t>
      </w:r>
      <w:r w:rsidRPr="005A323B">
        <w:rPr>
          <w:rFonts w:ascii="Times New Roman" w:eastAsia="Times New Roman" w:hAnsi="Times New Roman" w:cs="Times New Roman"/>
          <w:color w:val="000000"/>
          <w:sz w:val="24"/>
          <w:szCs w:val="24"/>
          <w:lang w:eastAsia="en-PH"/>
        </w:rPr>
        <w:t>83-103. https://doi.org/10.1146/annurev-publhealth-032013-182351</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Livingston, G., Huntley, J., </w:t>
      </w:r>
      <w:proofErr w:type="spellStart"/>
      <w:r w:rsidRPr="00C86621">
        <w:rPr>
          <w:rFonts w:ascii="Times New Roman" w:eastAsia="Times New Roman" w:hAnsi="Times New Roman" w:cs="Times New Roman"/>
          <w:color w:val="000000"/>
          <w:sz w:val="24"/>
          <w:szCs w:val="24"/>
          <w:lang w:eastAsia="en-PH"/>
        </w:rPr>
        <w:t>Sommerlad</w:t>
      </w:r>
      <w:proofErr w:type="spellEnd"/>
      <w:r w:rsidRPr="00C86621">
        <w:rPr>
          <w:rFonts w:ascii="Times New Roman" w:eastAsia="Times New Roman" w:hAnsi="Times New Roman" w:cs="Times New Roman"/>
          <w:color w:val="000000"/>
          <w:sz w:val="24"/>
          <w:szCs w:val="24"/>
          <w:lang w:eastAsia="en-PH"/>
        </w:rPr>
        <w:t>, A., Ames, D., Ballard, C., Banerjee, S., </w:t>
      </w:r>
      <w:proofErr w:type="spellStart"/>
      <w:r w:rsidRPr="005A323B">
        <w:rPr>
          <w:rFonts w:ascii="Times New Roman" w:eastAsia="Times New Roman" w:hAnsi="Times New Roman" w:cs="Times New Roman"/>
          <w:color w:val="000000"/>
          <w:sz w:val="24"/>
          <w:szCs w:val="24"/>
          <w:lang w:eastAsia="en-PH"/>
        </w:rPr>
        <w:t>Brayne</w:t>
      </w:r>
      <w:proofErr w:type="spellEnd"/>
      <w:r w:rsidRPr="005A323B">
        <w:rPr>
          <w:rFonts w:ascii="Times New Roman" w:eastAsia="Times New Roman" w:hAnsi="Times New Roman" w:cs="Times New Roman"/>
          <w:color w:val="000000"/>
          <w:sz w:val="24"/>
          <w:szCs w:val="24"/>
          <w:lang w:eastAsia="en-PH"/>
        </w:rPr>
        <w:t xml:space="preserve">, C., Burns, A., Cohen-Mansfield, J., Cooper, C., </w:t>
      </w:r>
      <w:proofErr w:type="spellStart"/>
      <w:r w:rsidRPr="005A323B">
        <w:rPr>
          <w:rFonts w:ascii="Times New Roman" w:eastAsia="Times New Roman" w:hAnsi="Times New Roman" w:cs="Times New Roman"/>
          <w:color w:val="000000"/>
          <w:sz w:val="24"/>
          <w:szCs w:val="24"/>
          <w:lang w:eastAsia="en-PH"/>
        </w:rPr>
        <w:t>Costafreda</w:t>
      </w:r>
      <w:proofErr w:type="spellEnd"/>
      <w:r w:rsidRPr="005A323B">
        <w:rPr>
          <w:rFonts w:ascii="Times New Roman" w:eastAsia="Times New Roman" w:hAnsi="Times New Roman" w:cs="Times New Roman"/>
          <w:color w:val="000000"/>
          <w:sz w:val="24"/>
          <w:szCs w:val="24"/>
          <w:lang w:eastAsia="en-PH"/>
        </w:rPr>
        <w:t xml:space="preserve">, S. G., Dias, A., Fox, N., Gitlin, L. N., Howard, R., Kales, H. C., Larson, E. B., </w:t>
      </w:r>
      <w:proofErr w:type="spellStart"/>
      <w:r w:rsidRPr="005A323B">
        <w:rPr>
          <w:rFonts w:ascii="Times New Roman" w:eastAsia="Times New Roman" w:hAnsi="Times New Roman" w:cs="Times New Roman"/>
          <w:color w:val="000000"/>
          <w:sz w:val="24"/>
          <w:szCs w:val="24"/>
          <w:lang w:eastAsia="en-PH"/>
        </w:rPr>
        <w:t>Ogunniui</w:t>
      </w:r>
      <w:proofErr w:type="spellEnd"/>
      <w:r w:rsidRPr="005A323B">
        <w:rPr>
          <w:rFonts w:ascii="Times New Roman" w:eastAsia="Times New Roman" w:hAnsi="Times New Roman" w:cs="Times New Roman"/>
          <w:color w:val="000000"/>
          <w:sz w:val="24"/>
          <w:szCs w:val="24"/>
          <w:lang w:eastAsia="en-PH"/>
        </w:rPr>
        <w:t xml:space="preserve">, A., </w:t>
      </w:r>
      <w:proofErr w:type="spellStart"/>
      <w:r w:rsidRPr="005A323B">
        <w:rPr>
          <w:rFonts w:ascii="Times New Roman" w:eastAsia="Times New Roman" w:hAnsi="Times New Roman" w:cs="Times New Roman"/>
          <w:color w:val="000000"/>
          <w:sz w:val="24"/>
          <w:szCs w:val="24"/>
          <w:lang w:eastAsia="en-PH"/>
        </w:rPr>
        <w:t>Orgeta</w:t>
      </w:r>
      <w:proofErr w:type="spellEnd"/>
      <w:r w:rsidRPr="005A323B">
        <w:rPr>
          <w:rFonts w:ascii="Times New Roman" w:eastAsia="Times New Roman" w:hAnsi="Times New Roman" w:cs="Times New Roman"/>
          <w:color w:val="000000"/>
          <w:sz w:val="24"/>
          <w:szCs w:val="24"/>
          <w:lang w:eastAsia="en-PH"/>
        </w:rPr>
        <w:t xml:space="preserve">, </w:t>
      </w:r>
      <w:proofErr w:type="gramStart"/>
      <w:r w:rsidRPr="005A323B">
        <w:rPr>
          <w:rFonts w:ascii="Times New Roman" w:eastAsia="Times New Roman" w:hAnsi="Times New Roman" w:cs="Times New Roman"/>
          <w:color w:val="000000"/>
          <w:sz w:val="24"/>
          <w:szCs w:val="24"/>
          <w:lang w:eastAsia="en-PH"/>
        </w:rPr>
        <w:t>V.,...</w:t>
      </w:r>
      <w:proofErr w:type="spellStart"/>
      <w:proofErr w:type="gramEnd"/>
      <w:r w:rsidRPr="005A323B">
        <w:rPr>
          <w:rFonts w:ascii="Times New Roman" w:eastAsia="Times New Roman" w:hAnsi="Times New Roman" w:cs="Times New Roman"/>
          <w:color w:val="000000"/>
          <w:sz w:val="24"/>
          <w:szCs w:val="24"/>
          <w:lang w:eastAsia="en-PH"/>
        </w:rPr>
        <w:t>Mukadam</w:t>
      </w:r>
      <w:proofErr w:type="spellEnd"/>
      <w:r w:rsidRPr="005A323B">
        <w:rPr>
          <w:rFonts w:ascii="Times New Roman" w:eastAsia="Times New Roman" w:hAnsi="Times New Roman" w:cs="Times New Roman"/>
          <w:color w:val="000000"/>
          <w:sz w:val="24"/>
          <w:szCs w:val="24"/>
          <w:lang w:eastAsia="en-PH"/>
        </w:rPr>
        <w:t xml:space="preserve">, N. (2020). Dementia prevention, intervention, and care: 2020 report of the Lancet Commission. </w:t>
      </w:r>
      <w:r w:rsidRPr="005A323B">
        <w:rPr>
          <w:rFonts w:ascii="Times New Roman" w:eastAsia="Times New Roman" w:hAnsi="Times New Roman" w:cs="Times New Roman"/>
          <w:i/>
          <w:iCs/>
          <w:color w:val="000000"/>
          <w:sz w:val="24"/>
          <w:szCs w:val="24"/>
          <w:lang w:eastAsia="en-PH"/>
        </w:rPr>
        <w:t>The Lancet, 396</w:t>
      </w:r>
      <w:r w:rsidRPr="005A323B">
        <w:rPr>
          <w:rFonts w:ascii="Times New Roman" w:eastAsia="Times New Roman" w:hAnsi="Times New Roman" w:cs="Times New Roman"/>
          <w:color w:val="000000"/>
          <w:sz w:val="24"/>
          <w:szCs w:val="24"/>
          <w:lang w:eastAsia="en-PH"/>
        </w:rPr>
        <w:t>(10248), 413-446. https://doi.org/10.1016/S0140-6736(20)30367-6</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Lucero, G. (2008, August 26-27). </w:t>
      </w:r>
      <w:r w:rsidRPr="00C86621">
        <w:rPr>
          <w:rFonts w:ascii="Times New Roman" w:eastAsia="Times New Roman" w:hAnsi="Times New Roman" w:cs="Times New Roman"/>
          <w:i/>
          <w:iCs/>
          <w:color w:val="000000"/>
          <w:sz w:val="24"/>
          <w:szCs w:val="24"/>
          <w:lang w:eastAsia="en-PH"/>
        </w:rPr>
        <w:t>Community counseling: Healing, organizing, </w:t>
      </w:r>
      <w:r w:rsidRPr="005A323B">
        <w:rPr>
          <w:rFonts w:ascii="Times New Roman" w:eastAsia="Times New Roman" w:hAnsi="Times New Roman" w:cs="Times New Roman"/>
          <w:i/>
          <w:iCs/>
          <w:color w:val="000000"/>
          <w:sz w:val="24"/>
          <w:szCs w:val="24"/>
          <w:lang w:eastAsia="en-PH"/>
        </w:rPr>
        <w:t xml:space="preserve">and empowering the communities. </w:t>
      </w:r>
      <w:r w:rsidRPr="005A323B">
        <w:rPr>
          <w:rFonts w:ascii="Times New Roman" w:eastAsia="Times New Roman" w:hAnsi="Times New Roman" w:cs="Times New Roman"/>
          <w:color w:val="000000"/>
          <w:sz w:val="24"/>
          <w:szCs w:val="24"/>
          <w:lang w:eastAsia="en-PH"/>
        </w:rPr>
        <w:t xml:space="preserve">In Proceedings of the International Conference on Education of Learner Diversity 2008. </w:t>
      </w:r>
      <w:proofErr w:type="spellStart"/>
      <w:r w:rsidRPr="005A323B">
        <w:rPr>
          <w:rFonts w:ascii="Times New Roman" w:eastAsia="Times New Roman" w:hAnsi="Times New Roman" w:cs="Times New Roman"/>
          <w:color w:val="000000"/>
          <w:sz w:val="24"/>
          <w:szCs w:val="24"/>
          <w:lang w:eastAsia="en-PH"/>
        </w:rPr>
        <w:t>Universiti</w:t>
      </w:r>
      <w:proofErr w:type="spellEnd"/>
      <w:r w:rsidRPr="005A323B">
        <w:rPr>
          <w:rFonts w:ascii="Times New Roman" w:eastAsia="Times New Roman" w:hAnsi="Times New Roman" w:cs="Times New Roman"/>
          <w:color w:val="000000"/>
          <w:sz w:val="24"/>
          <w:szCs w:val="24"/>
          <w:lang w:eastAsia="en-PH"/>
        </w:rPr>
        <w:t xml:space="preserve"> </w:t>
      </w:r>
      <w:proofErr w:type="spellStart"/>
      <w:r w:rsidRPr="005A323B">
        <w:rPr>
          <w:rFonts w:ascii="Times New Roman" w:eastAsia="Times New Roman" w:hAnsi="Times New Roman" w:cs="Times New Roman"/>
          <w:color w:val="000000"/>
          <w:sz w:val="24"/>
          <w:szCs w:val="24"/>
          <w:lang w:eastAsia="en-PH"/>
        </w:rPr>
        <w:t>Kebangsaan</w:t>
      </w:r>
      <w:proofErr w:type="spellEnd"/>
      <w:r w:rsidRPr="005A323B">
        <w:rPr>
          <w:rFonts w:ascii="Times New Roman" w:eastAsia="Times New Roman" w:hAnsi="Times New Roman" w:cs="Times New Roman"/>
          <w:color w:val="000000"/>
          <w:sz w:val="24"/>
          <w:szCs w:val="24"/>
          <w:lang w:eastAsia="en-PH"/>
        </w:rPr>
        <w:t xml:space="preserve"> Malaysia, Putrajaya, Malaysia.</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Marmot, M., Allen, J., Boyce, T., Goldblatt, P., &amp; Morrison, J. (2020). </w:t>
      </w:r>
      <w:r w:rsidRPr="00C86621">
        <w:rPr>
          <w:rFonts w:ascii="Times New Roman" w:eastAsia="Times New Roman" w:hAnsi="Times New Roman" w:cs="Times New Roman"/>
          <w:i/>
          <w:iCs/>
          <w:color w:val="000000"/>
          <w:sz w:val="24"/>
          <w:szCs w:val="24"/>
          <w:lang w:eastAsia="en-PH"/>
        </w:rPr>
        <w:t>Health </w:t>
      </w:r>
      <w:r w:rsidRPr="005A323B">
        <w:rPr>
          <w:rFonts w:ascii="Times New Roman" w:eastAsia="Times New Roman" w:hAnsi="Times New Roman" w:cs="Times New Roman"/>
          <w:i/>
          <w:iCs/>
          <w:color w:val="000000"/>
          <w:sz w:val="24"/>
          <w:szCs w:val="24"/>
          <w:lang w:eastAsia="en-PH"/>
        </w:rPr>
        <w:t xml:space="preserve">equity in England: The Marmot review 10 years on. </w:t>
      </w:r>
      <w:r w:rsidRPr="005A323B">
        <w:rPr>
          <w:rFonts w:ascii="Times New Roman" w:eastAsia="Times New Roman" w:hAnsi="Times New Roman" w:cs="Times New Roman"/>
          <w:color w:val="000000"/>
          <w:sz w:val="24"/>
          <w:szCs w:val="24"/>
          <w:lang w:eastAsia="en-PH"/>
        </w:rPr>
        <w:t>Institute of Health Equity.</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Maslow, A. H. (1943). A theory of human motivation. </w:t>
      </w:r>
      <w:r w:rsidRPr="00C86621">
        <w:rPr>
          <w:rFonts w:ascii="Times New Roman" w:eastAsia="Times New Roman" w:hAnsi="Times New Roman" w:cs="Times New Roman"/>
          <w:i/>
          <w:iCs/>
          <w:color w:val="000000"/>
          <w:sz w:val="24"/>
          <w:szCs w:val="24"/>
          <w:lang w:eastAsia="en-PH"/>
        </w:rPr>
        <w:t>Psychological Review, </w:t>
      </w:r>
      <w:r w:rsidRPr="005A323B">
        <w:rPr>
          <w:rFonts w:ascii="Times New Roman" w:eastAsia="Times New Roman" w:hAnsi="Times New Roman" w:cs="Times New Roman"/>
          <w:i/>
          <w:iCs/>
          <w:color w:val="000000"/>
          <w:sz w:val="24"/>
          <w:szCs w:val="24"/>
          <w:lang w:eastAsia="en-PH"/>
        </w:rPr>
        <w:t>50</w:t>
      </w:r>
      <w:r w:rsidRPr="005A323B">
        <w:rPr>
          <w:rFonts w:ascii="Times New Roman" w:eastAsia="Times New Roman" w:hAnsi="Times New Roman" w:cs="Times New Roman"/>
          <w:color w:val="000000"/>
          <w:sz w:val="24"/>
          <w:szCs w:val="24"/>
          <w:lang w:eastAsia="en-PH"/>
        </w:rPr>
        <w:t xml:space="preserve">(4), 370-396. </w:t>
      </w:r>
      <w:hyperlink r:id="rId7" w:history="1">
        <w:r w:rsidRPr="005A323B">
          <w:rPr>
            <w:rFonts w:ascii="Times New Roman" w:eastAsia="Times New Roman" w:hAnsi="Times New Roman" w:cs="Times New Roman"/>
            <w:color w:val="000000"/>
            <w:sz w:val="24"/>
            <w:szCs w:val="24"/>
            <w:u w:val="single"/>
            <w:lang w:eastAsia="en-PH"/>
          </w:rPr>
          <w:t>https://doi.org/10.1037/h0054346</w:t>
        </w:r>
      </w:hyperlink>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Maslow, A. H. (1954). </w:t>
      </w:r>
      <w:r w:rsidRPr="00C86621">
        <w:rPr>
          <w:rFonts w:ascii="Times New Roman" w:eastAsia="Times New Roman" w:hAnsi="Times New Roman" w:cs="Times New Roman"/>
          <w:i/>
          <w:iCs/>
          <w:color w:val="000000"/>
          <w:sz w:val="24"/>
          <w:szCs w:val="24"/>
          <w:lang w:eastAsia="en-PH"/>
        </w:rPr>
        <w:t xml:space="preserve">Motivation and personality. </w:t>
      </w:r>
      <w:r w:rsidRPr="00C86621">
        <w:rPr>
          <w:rFonts w:ascii="Times New Roman" w:eastAsia="Times New Roman" w:hAnsi="Times New Roman" w:cs="Times New Roman"/>
          <w:color w:val="000000"/>
          <w:sz w:val="24"/>
          <w:szCs w:val="24"/>
          <w:lang w:eastAsia="en-PH"/>
        </w:rPr>
        <w:t>Harper &amp; Row.</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Maslow, A. H. (1970). </w:t>
      </w:r>
      <w:r w:rsidRPr="00C86621">
        <w:rPr>
          <w:rFonts w:ascii="Times New Roman" w:eastAsia="Times New Roman" w:hAnsi="Times New Roman" w:cs="Times New Roman"/>
          <w:i/>
          <w:iCs/>
          <w:color w:val="000000"/>
          <w:sz w:val="24"/>
          <w:szCs w:val="24"/>
          <w:lang w:eastAsia="en-PH"/>
        </w:rPr>
        <w:t xml:space="preserve">Motivation and personality </w:t>
      </w:r>
      <w:r w:rsidRPr="00C86621">
        <w:rPr>
          <w:rFonts w:ascii="Times New Roman" w:eastAsia="Times New Roman" w:hAnsi="Times New Roman" w:cs="Times New Roman"/>
          <w:color w:val="000000"/>
          <w:sz w:val="24"/>
          <w:szCs w:val="24"/>
          <w:lang w:eastAsia="en-PH"/>
        </w:rPr>
        <w:t>(2nd ed.). Harper &amp; Row.</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McEwen, B. S. (1998). Protective and damaging effects of stress mediators. </w:t>
      </w:r>
      <w:r w:rsidRPr="00C86621">
        <w:rPr>
          <w:rFonts w:ascii="Times New Roman" w:eastAsia="Times New Roman" w:hAnsi="Times New Roman" w:cs="Times New Roman"/>
          <w:i/>
          <w:iCs/>
          <w:color w:val="000000"/>
          <w:sz w:val="24"/>
          <w:szCs w:val="24"/>
          <w:lang w:eastAsia="en-PH"/>
        </w:rPr>
        <w:t>The </w:t>
      </w:r>
      <w:r w:rsidRPr="005A323B">
        <w:rPr>
          <w:rFonts w:ascii="Times New Roman" w:eastAsia="Times New Roman" w:hAnsi="Times New Roman" w:cs="Times New Roman"/>
          <w:i/>
          <w:iCs/>
          <w:color w:val="000000"/>
          <w:sz w:val="24"/>
          <w:szCs w:val="24"/>
          <w:lang w:eastAsia="en-PH"/>
        </w:rPr>
        <w:t xml:space="preserve">New England Journal of Medicine, 338 </w:t>
      </w:r>
      <w:r w:rsidRPr="005A323B">
        <w:rPr>
          <w:rFonts w:ascii="Times New Roman" w:eastAsia="Times New Roman" w:hAnsi="Times New Roman" w:cs="Times New Roman"/>
          <w:color w:val="000000"/>
          <w:sz w:val="24"/>
          <w:szCs w:val="24"/>
          <w:lang w:eastAsia="en-PH"/>
        </w:rPr>
        <w:t>(3), 171-179. https://doi.org/10.1056/NEJM199801153380307</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McEwen, B. S. (2017). Neurobiological and systemic effects of chronic stress. </w:t>
      </w:r>
      <w:r w:rsidRPr="005A323B">
        <w:rPr>
          <w:rFonts w:ascii="Times New Roman" w:eastAsia="Times New Roman" w:hAnsi="Times New Roman" w:cs="Times New Roman"/>
          <w:i/>
          <w:iCs/>
          <w:color w:val="000000"/>
          <w:sz w:val="24"/>
          <w:szCs w:val="24"/>
          <w:lang w:eastAsia="en-PH"/>
        </w:rPr>
        <w:t xml:space="preserve">Chronic Stress, 1, </w:t>
      </w:r>
      <w:r w:rsidRPr="005A323B">
        <w:rPr>
          <w:rFonts w:ascii="Times New Roman" w:eastAsia="Times New Roman" w:hAnsi="Times New Roman" w:cs="Times New Roman"/>
          <w:color w:val="000000"/>
          <w:sz w:val="24"/>
          <w:szCs w:val="24"/>
          <w:lang w:eastAsia="en-PH"/>
        </w:rPr>
        <w:t>2470547017692328. https://doi.org/10.1177/2470547017692328</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Philippine Statistics Authority. (2023). </w:t>
      </w:r>
      <w:r w:rsidRPr="00C86621">
        <w:rPr>
          <w:rFonts w:ascii="Times New Roman" w:eastAsia="Times New Roman" w:hAnsi="Times New Roman" w:cs="Times New Roman"/>
          <w:i/>
          <w:iCs/>
          <w:color w:val="000000"/>
          <w:sz w:val="24"/>
          <w:szCs w:val="24"/>
          <w:lang w:eastAsia="en-PH"/>
        </w:rPr>
        <w:t>Causes of deaths in the Philippines </w:t>
      </w:r>
      <w:r w:rsidRPr="005A323B">
        <w:rPr>
          <w:rFonts w:ascii="Times New Roman" w:eastAsia="Times New Roman" w:hAnsi="Times New Roman" w:cs="Times New Roman"/>
          <w:i/>
          <w:iCs/>
          <w:color w:val="000000"/>
          <w:sz w:val="24"/>
          <w:szCs w:val="24"/>
          <w:lang w:eastAsia="en-PH"/>
        </w:rPr>
        <w:t xml:space="preserve">(Preliminary January to December 2023). </w:t>
      </w:r>
      <w:r w:rsidRPr="005A323B">
        <w:rPr>
          <w:rFonts w:ascii="Times New Roman" w:eastAsia="Times New Roman" w:hAnsi="Times New Roman" w:cs="Times New Roman"/>
          <w:color w:val="000000"/>
          <w:sz w:val="24"/>
          <w:szCs w:val="24"/>
          <w:lang w:eastAsia="en-PH"/>
        </w:rPr>
        <w:t>Philippine Statistics Authority. https://psa.gov.ph </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t>Poulain</w:t>
      </w:r>
      <w:proofErr w:type="spellEnd"/>
      <w:r w:rsidRPr="00C86621">
        <w:rPr>
          <w:rFonts w:ascii="Times New Roman" w:eastAsia="Times New Roman" w:hAnsi="Times New Roman" w:cs="Times New Roman"/>
          <w:color w:val="000000"/>
          <w:sz w:val="24"/>
          <w:szCs w:val="24"/>
          <w:lang w:eastAsia="en-PH"/>
        </w:rPr>
        <w:t xml:space="preserve">, M., Pes, G. M., Grassland, C., Carry, C., </w:t>
      </w:r>
      <w:proofErr w:type="spellStart"/>
      <w:r w:rsidRPr="00C86621">
        <w:rPr>
          <w:rFonts w:ascii="Times New Roman" w:eastAsia="Times New Roman" w:hAnsi="Times New Roman" w:cs="Times New Roman"/>
          <w:color w:val="000000"/>
          <w:sz w:val="24"/>
          <w:szCs w:val="24"/>
          <w:lang w:eastAsia="en-PH"/>
        </w:rPr>
        <w:t>Ferrucci</w:t>
      </w:r>
      <w:proofErr w:type="spellEnd"/>
      <w:r w:rsidRPr="00C86621">
        <w:rPr>
          <w:rFonts w:ascii="Times New Roman" w:eastAsia="Times New Roman" w:hAnsi="Times New Roman" w:cs="Times New Roman"/>
          <w:color w:val="000000"/>
          <w:sz w:val="24"/>
          <w:szCs w:val="24"/>
          <w:lang w:eastAsia="en-PH"/>
        </w:rPr>
        <w:t>, L., Baggio, G., </w:t>
      </w:r>
      <w:proofErr w:type="spellStart"/>
      <w:r w:rsidRPr="005A323B">
        <w:rPr>
          <w:rFonts w:ascii="Times New Roman" w:eastAsia="Times New Roman" w:hAnsi="Times New Roman" w:cs="Times New Roman"/>
          <w:color w:val="000000"/>
          <w:sz w:val="24"/>
          <w:szCs w:val="24"/>
          <w:lang w:eastAsia="en-PH"/>
        </w:rPr>
        <w:t>Franceschi</w:t>
      </w:r>
      <w:proofErr w:type="spellEnd"/>
      <w:r w:rsidRPr="005A323B">
        <w:rPr>
          <w:rFonts w:ascii="Times New Roman" w:eastAsia="Times New Roman" w:hAnsi="Times New Roman" w:cs="Times New Roman"/>
          <w:color w:val="000000"/>
          <w:sz w:val="24"/>
          <w:szCs w:val="24"/>
          <w:lang w:eastAsia="en-PH"/>
        </w:rPr>
        <w:t xml:space="preserve">, C., </w:t>
      </w:r>
      <w:proofErr w:type="spellStart"/>
      <w:r w:rsidRPr="005A323B">
        <w:rPr>
          <w:rFonts w:ascii="Times New Roman" w:eastAsia="Times New Roman" w:hAnsi="Times New Roman" w:cs="Times New Roman"/>
          <w:color w:val="000000"/>
          <w:sz w:val="24"/>
          <w:szCs w:val="24"/>
          <w:lang w:eastAsia="en-PH"/>
        </w:rPr>
        <w:t>Deiana</w:t>
      </w:r>
      <w:proofErr w:type="spellEnd"/>
      <w:r w:rsidRPr="005A323B">
        <w:rPr>
          <w:rFonts w:ascii="Times New Roman" w:eastAsia="Times New Roman" w:hAnsi="Times New Roman" w:cs="Times New Roman"/>
          <w:color w:val="000000"/>
          <w:sz w:val="24"/>
          <w:szCs w:val="24"/>
          <w:lang w:eastAsia="en-PH"/>
        </w:rPr>
        <w:t xml:space="preserve">, L., &amp; </w:t>
      </w:r>
      <w:proofErr w:type="spellStart"/>
      <w:r w:rsidRPr="005A323B">
        <w:rPr>
          <w:rFonts w:ascii="Times New Roman" w:eastAsia="Times New Roman" w:hAnsi="Times New Roman" w:cs="Times New Roman"/>
          <w:color w:val="000000"/>
          <w:sz w:val="24"/>
          <w:szCs w:val="24"/>
          <w:lang w:eastAsia="en-PH"/>
        </w:rPr>
        <w:t>Mariotti</w:t>
      </w:r>
      <w:proofErr w:type="spellEnd"/>
      <w:r w:rsidRPr="005A323B">
        <w:rPr>
          <w:rFonts w:ascii="Times New Roman" w:eastAsia="Times New Roman" w:hAnsi="Times New Roman" w:cs="Times New Roman"/>
          <w:color w:val="000000"/>
          <w:sz w:val="24"/>
          <w:szCs w:val="24"/>
          <w:lang w:eastAsia="en-PH"/>
        </w:rPr>
        <w:t xml:space="preserve">, S. (2013). Identification of a geographic area characterized by extreme longevity in the Sardinia island: The AKEA study. </w:t>
      </w:r>
      <w:r w:rsidRPr="005A323B">
        <w:rPr>
          <w:rFonts w:ascii="Times New Roman" w:eastAsia="Times New Roman" w:hAnsi="Times New Roman" w:cs="Times New Roman"/>
          <w:i/>
          <w:iCs/>
          <w:color w:val="000000"/>
          <w:sz w:val="24"/>
          <w:szCs w:val="24"/>
          <w:lang w:eastAsia="en-PH"/>
        </w:rPr>
        <w:t>Experimental Gerontology, 39</w:t>
      </w:r>
      <w:r w:rsidRPr="005A323B">
        <w:rPr>
          <w:rFonts w:ascii="Times New Roman" w:eastAsia="Times New Roman" w:hAnsi="Times New Roman" w:cs="Times New Roman"/>
          <w:color w:val="000000"/>
          <w:sz w:val="24"/>
          <w:szCs w:val="24"/>
          <w:lang w:eastAsia="en-PH"/>
        </w:rPr>
        <w:t>(9), 423-1429. https://doi.org/10.1016/j.exger.2004.06.016</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Republic Act No. 9258. (2004). </w:t>
      </w:r>
      <w:r w:rsidRPr="00C86621">
        <w:rPr>
          <w:rFonts w:ascii="Times New Roman" w:eastAsia="Times New Roman" w:hAnsi="Times New Roman" w:cs="Times New Roman"/>
          <w:i/>
          <w:iCs/>
          <w:color w:val="000000"/>
          <w:sz w:val="24"/>
          <w:szCs w:val="24"/>
          <w:lang w:eastAsia="en-PH"/>
        </w:rPr>
        <w:t>An act professionalizing the practice of guidance </w:t>
      </w:r>
      <w:r w:rsidRPr="005A323B">
        <w:rPr>
          <w:rFonts w:ascii="Times New Roman" w:eastAsia="Times New Roman" w:hAnsi="Times New Roman" w:cs="Times New Roman"/>
          <w:i/>
          <w:iCs/>
          <w:color w:val="000000"/>
          <w:sz w:val="24"/>
          <w:szCs w:val="24"/>
          <w:lang w:eastAsia="en-PH"/>
        </w:rPr>
        <w:t xml:space="preserve">and counseling and creating for this purpose a Professional Regulatory Board of Guidance and Counseling, appropriating funds therefor and for other purposes. </w:t>
      </w:r>
      <w:hyperlink r:id="rId8" w:history="1">
        <w:r w:rsidRPr="005A323B">
          <w:rPr>
            <w:rFonts w:ascii="Times New Roman" w:eastAsia="Times New Roman" w:hAnsi="Times New Roman" w:cs="Times New Roman"/>
            <w:color w:val="000000"/>
            <w:sz w:val="24"/>
            <w:szCs w:val="24"/>
            <w:u w:val="single"/>
            <w:lang w:eastAsia="en-PH"/>
          </w:rPr>
          <w:t>https://</w:t>
        </w:r>
      </w:hyperlink>
      <w:r w:rsidRPr="005A323B">
        <w:rPr>
          <w:rFonts w:ascii="Times New Roman" w:eastAsia="Times New Roman" w:hAnsi="Times New Roman" w:cs="Times New Roman"/>
          <w:color w:val="000000"/>
          <w:sz w:val="24"/>
          <w:szCs w:val="24"/>
          <w:lang w:eastAsia="en-PH"/>
        </w:rPr>
        <w:t>fo1.dswd.gov.ph/wp-content/uploads/2013/07/RA-9258.pdf</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Republic Act No. 11036. (2018). </w:t>
      </w:r>
      <w:r w:rsidRPr="00C86621">
        <w:rPr>
          <w:rFonts w:ascii="Times New Roman" w:eastAsia="Times New Roman" w:hAnsi="Times New Roman" w:cs="Times New Roman"/>
          <w:i/>
          <w:iCs/>
          <w:color w:val="000000"/>
          <w:sz w:val="24"/>
          <w:szCs w:val="24"/>
          <w:lang w:eastAsia="en-PH"/>
        </w:rPr>
        <w:t xml:space="preserve">Mental Health Act. </w:t>
      </w:r>
      <w:r w:rsidRPr="00C86621">
        <w:rPr>
          <w:rFonts w:ascii="Times New Roman" w:eastAsia="Times New Roman" w:hAnsi="Times New Roman" w:cs="Times New Roman"/>
          <w:color w:val="000000"/>
          <w:sz w:val="24"/>
          <w:szCs w:val="24"/>
          <w:lang w:eastAsia="en-PH"/>
        </w:rPr>
        <w:t>Official Gazette of the </w:t>
      </w:r>
      <w:r w:rsidRPr="005A323B">
        <w:rPr>
          <w:rFonts w:ascii="Times New Roman" w:eastAsia="Times New Roman" w:hAnsi="Times New Roman" w:cs="Times New Roman"/>
          <w:color w:val="000000"/>
          <w:sz w:val="24"/>
          <w:szCs w:val="24"/>
          <w:lang w:eastAsia="en-PH"/>
        </w:rPr>
        <w:t>Republic of the Philippines. https://www.officialgazette.gov.ph/2018/06/20/republic-act-no-11036/</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Republic of the Philippines. (1987). </w:t>
      </w:r>
      <w:r w:rsidRPr="00C86621">
        <w:rPr>
          <w:rFonts w:ascii="Times New Roman" w:eastAsia="Times New Roman" w:hAnsi="Times New Roman" w:cs="Times New Roman"/>
          <w:i/>
          <w:iCs/>
          <w:color w:val="000000"/>
          <w:sz w:val="24"/>
          <w:szCs w:val="24"/>
          <w:lang w:eastAsia="en-PH"/>
        </w:rPr>
        <w:t>The 1987 Constitution of the Republic of the </w:t>
      </w:r>
      <w:r w:rsidRPr="005A323B">
        <w:rPr>
          <w:rFonts w:ascii="Times New Roman" w:eastAsia="Times New Roman" w:hAnsi="Times New Roman" w:cs="Times New Roman"/>
          <w:i/>
          <w:iCs/>
          <w:color w:val="000000"/>
          <w:sz w:val="24"/>
          <w:szCs w:val="24"/>
          <w:lang w:eastAsia="en-PH"/>
        </w:rPr>
        <w:t xml:space="preserve">Philippines. </w:t>
      </w:r>
      <w:r w:rsidRPr="005A323B">
        <w:rPr>
          <w:rFonts w:ascii="Times New Roman" w:eastAsia="Times New Roman" w:hAnsi="Times New Roman" w:cs="Times New Roman"/>
          <w:color w:val="000000"/>
          <w:sz w:val="24"/>
          <w:szCs w:val="24"/>
          <w:lang w:eastAsia="en-PH"/>
        </w:rPr>
        <w:t>Official Gazette of the Republic of the Philippines. https://www.officialgazette.gov.ph/constitutions/1987-constitution/</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t>Sagner</w:t>
      </w:r>
      <w:proofErr w:type="spellEnd"/>
      <w:r w:rsidRPr="00C86621">
        <w:rPr>
          <w:rFonts w:ascii="Times New Roman" w:eastAsia="Times New Roman" w:hAnsi="Times New Roman" w:cs="Times New Roman"/>
          <w:color w:val="000000"/>
          <w:sz w:val="24"/>
          <w:szCs w:val="24"/>
          <w:lang w:eastAsia="en-PH"/>
        </w:rPr>
        <w:t xml:space="preserve">, M., Egger, G., </w:t>
      </w:r>
      <w:proofErr w:type="spellStart"/>
      <w:r w:rsidRPr="00C86621">
        <w:rPr>
          <w:rFonts w:ascii="Times New Roman" w:eastAsia="Times New Roman" w:hAnsi="Times New Roman" w:cs="Times New Roman"/>
          <w:color w:val="000000"/>
          <w:sz w:val="24"/>
          <w:szCs w:val="24"/>
          <w:lang w:eastAsia="en-PH"/>
        </w:rPr>
        <w:t>Binns</w:t>
      </w:r>
      <w:proofErr w:type="spellEnd"/>
      <w:r w:rsidRPr="00C86621">
        <w:rPr>
          <w:rFonts w:ascii="Times New Roman" w:eastAsia="Times New Roman" w:hAnsi="Times New Roman" w:cs="Times New Roman"/>
          <w:color w:val="000000"/>
          <w:sz w:val="24"/>
          <w:szCs w:val="24"/>
          <w:lang w:eastAsia="en-PH"/>
        </w:rPr>
        <w:t xml:space="preserve">, A., &amp; </w:t>
      </w:r>
      <w:proofErr w:type="spellStart"/>
      <w:r w:rsidRPr="00C86621">
        <w:rPr>
          <w:rFonts w:ascii="Times New Roman" w:eastAsia="Times New Roman" w:hAnsi="Times New Roman" w:cs="Times New Roman"/>
          <w:color w:val="000000"/>
          <w:sz w:val="24"/>
          <w:szCs w:val="24"/>
          <w:lang w:eastAsia="en-PH"/>
        </w:rPr>
        <w:t>Rossner</w:t>
      </w:r>
      <w:proofErr w:type="spellEnd"/>
      <w:r w:rsidRPr="00C86621">
        <w:rPr>
          <w:rFonts w:ascii="Times New Roman" w:eastAsia="Times New Roman" w:hAnsi="Times New Roman" w:cs="Times New Roman"/>
          <w:color w:val="000000"/>
          <w:sz w:val="24"/>
          <w:szCs w:val="24"/>
          <w:lang w:eastAsia="en-PH"/>
        </w:rPr>
        <w:t xml:space="preserve">, S. (2017), </w:t>
      </w:r>
      <w:r w:rsidRPr="00C86621">
        <w:rPr>
          <w:rFonts w:ascii="Times New Roman" w:eastAsia="Times New Roman" w:hAnsi="Times New Roman" w:cs="Times New Roman"/>
          <w:i/>
          <w:iCs/>
          <w:color w:val="000000"/>
          <w:sz w:val="24"/>
          <w:szCs w:val="24"/>
          <w:lang w:eastAsia="en-PH"/>
        </w:rPr>
        <w:t xml:space="preserve">Lifestyle medicine </w:t>
      </w:r>
      <w:r w:rsidRPr="00C86621">
        <w:rPr>
          <w:rFonts w:ascii="Times New Roman" w:eastAsia="Times New Roman" w:hAnsi="Times New Roman" w:cs="Times New Roman"/>
          <w:color w:val="000000"/>
          <w:sz w:val="24"/>
          <w:szCs w:val="24"/>
          <w:lang w:eastAsia="en-PH"/>
        </w:rPr>
        <w:t>(3rd </w:t>
      </w:r>
      <w:r w:rsidRPr="005A323B">
        <w:rPr>
          <w:rFonts w:ascii="Times New Roman" w:eastAsia="Times New Roman" w:hAnsi="Times New Roman" w:cs="Times New Roman"/>
          <w:color w:val="000000"/>
          <w:sz w:val="24"/>
          <w:szCs w:val="24"/>
          <w:lang w:eastAsia="en-PH"/>
        </w:rPr>
        <w:t>ed.)</w:t>
      </w:r>
      <w:r w:rsidRPr="005A323B">
        <w:rPr>
          <w:rFonts w:ascii="Times New Roman" w:eastAsia="Times New Roman" w:hAnsi="Times New Roman" w:cs="Times New Roman"/>
          <w:i/>
          <w:iCs/>
          <w:color w:val="000000"/>
          <w:sz w:val="24"/>
          <w:szCs w:val="24"/>
          <w:lang w:eastAsia="en-PH"/>
        </w:rPr>
        <w:t xml:space="preserve">. </w:t>
      </w:r>
      <w:r w:rsidRPr="005A323B">
        <w:rPr>
          <w:rFonts w:ascii="Times New Roman" w:eastAsia="Times New Roman" w:hAnsi="Times New Roman" w:cs="Times New Roman"/>
          <w:color w:val="000000"/>
          <w:sz w:val="24"/>
          <w:szCs w:val="24"/>
          <w:lang w:eastAsia="en-PH"/>
        </w:rPr>
        <w:t>Academic Press.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lastRenderedPageBreak/>
        <w:t>Sallis</w:t>
      </w:r>
      <w:proofErr w:type="spellEnd"/>
      <w:r w:rsidRPr="00C86621">
        <w:rPr>
          <w:rFonts w:ascii="Times New Roman" w:eastAsia="Times New Roman" w:hAnsi="Times New Roman" w:cs="Times New Roman"/>
          <w:color w:val="000000"/>
          <w:sz w:val="24"/>
          <w:szCs w:val="24"/>
          <w:lang w:eastAsia="en-PH"/>
        </w:rPr>
        <w:t xml:space="preserve">, J. F., </w:t>
      </w:r>
      <w:proofErr w:type="spellStart"/>
      <w:r w:rsidRPr="00C86621">
        <w:rPr>
          <w:rFonts w:ascii="Times New Roman" w:eastAsia="Times New Roman" w:hAnsi="Times New Roman" w:cs="Times New Roman"/>
          <w:color w:val="000000"/>
          <w:sz w:val="24"/>
          <w:szCs w:val="24"/>
          <w:lang w:eastAsia="en-PH"/>
        </w:rPr>
        <w:t>Cerin</w:t>
      </w:r>
      <w:proofErr w:type="spellEnd"/>
      <w:r w:rsidRPr="00C86621">
        <w:rPr>
          <w:rFonts w:ascii="Times New Roman" w:eastAsia="Times New Roman" w:hAnsi="Times New Roman" w:cs="Times New Roman"/>
          <w:color w:val="000000"/>
          <w:sz w:val="24"/>
          <w:szCs w:val="24"/>
          <w:lang w:eastAsia="en-PH"/>
        </w:rPr>
        <w:t>, E., Conway, T. L., Adams, M. A., Frank, L. D., Pratt, M., Salvo, </w:t>
      </w:r>
      <w:r w:rsidRPr="005A323B">
        <w:rPr>
          <w:rFonts w:ascii="Times New Roman" w:eastAsia="Times New Roman" w:hAnsi="Times New Roman" w:cs="Times New Roman"/>
          <w:color w:val="000000"/>
          <w:sz w:val="24"/>
          <w:szCs w:val="24"/>
          <w:lang w:eastAsia="en-PH"/>
        </w:rPr>
        <w:t xml:space="preserve">D., </w:t>
      </w:r>
      <w:proofErr w:type="spellStart"/>
      <w:r w:rsidRPr="005A323B">
        <w:rPr>
          <w:rFonts w:ascii="Times New Roman" w:eastAsia="Times New Roman" w:hAnsi="Times New Roman" w:cs="Times New Roman"/>
          <w:color w:val="000000"/>
          <w:sz w:val="24"/>
          <w:szCs w:val="24"/>
          <w:lang w:eastAsia="en-PH"/>
        </w:rPr>
        <w:t>Schipperijn</w:t>
      </w:r>
      <w:proofErr w:type="spellEnd"/>
      <w:r w:rsidRPr="005A323B">
        <w:rPr>
          <w:rFonts w:ascii="Times New Roman" w:eastAsia="Times New Roman" w:hAnsi="Times New Roman" w:cs="Times New Roman"/>
          <w:color w:val="000000"/>
          <w:sz w:val="24"/>
          <w:szCs w:val="24"/>
          <w:lang w:eastAsia="en-PH"/>
        </w:rPr>
        <w:t>, J., Smith, G., Cain, K. L., Davey, R., Kerr, J., Lai, P. C., </w:t>
      </w:r>
      <w:proofErr w:type="spellStart"/>
      <w:r w:rsidRPr="005A323B">
        <w:rPr>
          <w:rFonts w:ascii="Times New Roman" w:eastAsia="Times New Roman" w:hAnsi="Times New Roman" w:cs="Times New Roman"/>
          <w:color w:val="000000"/>
          <w:sz w:val="24"/>
          <w:szCs w:val="24"/>
          <w:lang w:eastAsia="en-PH"/>
        </w:rPr>
        <w:t>Mitas</w:t>
      </w:r>
      <w:proofErr w:type="spellEnd"/>
      <w:r w:rsidRPr="005A323B">
        <w:rPr>
          <w:rFonts w:ascii="Times New Roman" w:eastAsia="Times New Roman" w:hAnsi="Times New Roman" w:cs="Times New Roman"/>
          <w:color w:val="000000"/>
          <w:sz w:val="24"/>
          <w:szCs w:val="24"/>
          <w:lang w:eastAsia="en-PH"/>
        </w:rPr>
        <w:t xml:space="preserve">, J., Reis, R., Sarmiento, O. L., Schofield, G., </w:t>
      </w:r>
      <w:proofErr w:type="spellStart"/>
      <w:r w:rsidRPr="005A323B">
        <w:rPr>
          <w:rFonts w:ascii="Times New Roman" w:eastAsia="Times New Roman" w:hAnsi="Times New Roman" w:cs="Times New Roman"/>
          <w:color w:val="000000"/>
          <w:sz w:val="24"/>
          <w:szCs w:val="24"/>
          <w:lang w:eastAsia="en-PH"/>
        </w:rPr>
        <w:t>Troelsen</w:t>
      </w:r>
      <w:proofErr w:type="spellEnd"/>
      <w:r w:rsidRPr="005A323B">
        <w:rPr>
          <w:rFonts w:ascii="Times New Roman" w:eastAsia="Times New Roman" w:hAnsi="Times New Roman" w:cs="Times New Roman"/>
          <w:color w:val="000000"/>
          <w:sz w:val="24"/>
          <w:szCs w:val="24"/>
          <w:lang w:eastAsia="en-PH"/>
        </w:rPr>
        <w:t xml:space="preserve">, J., Van Dyck, D., …Owen, N. (2016). Physical activity in relation to urban environments in 14 cities worldwide: A cross-sectional study. </w:t>
      </w:r>
      <w:r w:rsidRPr="005A323B">
        <w:rPr>
          <w:rFonts w:ascii="Times New Roman" w:eastAsia="Times New Roman" w:hAnsi="Times New Roman" w:cs="Times New Roman"/>
          <w:i/>
          <w:iCs/>
          <w:color w:val="000000"/>
          <w:sz w:val="24"/>
          <w:szCs w:val="24"/>
          <w:lang w:eastAsia="en-PH"/>
        </w:rPr>
        <w:t>The Lancet, 387</w:t>
      </w:r>
      <w:r w:rsidRPr="005A323B">
        <w:rPr>
          <w:rFonts w:ascii="Times New Roman" w:eastAsia="Times New Roman" w:hAnsi="Times New Roman" w:cs="Times New Roman"/>
          <w:color w:val="000000"/>
          <w:sz w:val="24"/>
          <w:szCs w:val="24"/>
          <w:lang w:eastAsia="en-PH"/>
        </w:rPr>
        <w:t>(10034), 2207-2217. https://doi.org/10.1016/S0140-6736(15)01284-2</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C86621"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United Nations Department of Economic and Social Affairs. (2023). </w:t>
      </w:r>
      <w:r w:rsidRPr="00C86621">
        <w:rPr>
          <w:rFonts w:ascii="Times New Roman" w:eastAsia="Times New Roman" w:hAnsi="Times New Roman" w:cs="Times New Roman"/>
          <w:i/>
          <w:iCs/>
          <w:color w:val="000000"/>
          <w:sz w:val="24"/>
          <w:szCs w:val="24"/>
          <w:lang w:eastAsia="en-PH"/>
        </w:rPr>
        <w:t xml:space="preserve">World social report 2023: Leaving no one behind in an ageing world. </w:t>
      </w:r>
      <w:r w:rsidRPr="00C86621">
        <w:rPr>
          <w:rFonts w:ascii="Times New Roman" w:eastAsia="Times New Roman" w:hAnsi="Times New Roman" w:cs="Times New Roman"/>
          <w:color w:val="000000"/>
          <w:sz w:val="24"/>
          <w:szCs w:val="24"/>
          <w:lang w:eastAsia="en-PH"/>
        </w:rPr>
        <w:t>United Nations.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proofErr w:type="spellStart"/>
      <w:r w:rsidRPr="00C86621">
        <w:rPr>
          <w:rFonts w:ascii="Times New Roman" w:eastAsia="Times New Roman" w:hAnsi="Times New Roman" w:cs="Times New Roman"/>
          <w:color w:val="000000"/>
          <w:sz w:val="24"/>
          <w:szCs w:val="24"/>
          <w:lang w:eastAsia="en-PH"/>
        </w:rPr>
        <w:t>Warth</w:t>
      </w:r>
      <w:proofErr w:type="spellEnd"/>
      <w:r w:rsidRPr="00C86621">
        <w:rPr>
          <w:rFonts w:ascii="Times New Roman" w:eastAsia="Times New Roman" w:hAnsi="Times New Roman" w:cs="Times New Roman"/>
          <w:color w:val="000000"/>
          <w:sz w:val="24"/>
          <w:szCs w:val="24"/>
          <w:lang w:eastAsia="en-PH"/>
        </w:rPr>
        <w:t>, Lisa, Officer, Alana, Beard, John R., &amp; Keating, Norah. (2018). </w:t>
      </w:r>
      <w:r w:rsidRPr="005A323B">
        <w:rPr>
          <w:rFonts w:ascii="Times New Roman" w:eastAsia="Times New Roman" w:hAnsi="Times New Roman" w:cs="Times New Roman"/>
          <w:color w:val="000000"/>
          <w:sz w:val="24"/>
          <w:szCs w:val="24"/>
          <w:lang w:eastAsia="en-PH"/>
        </w:rPr>
        <w:t xml:space="preserve">Age-friendly environments and their role in supporting healthy ageing. In J. C. Brocklehurst et al. (Eds.), </w:t>
      </w:r>
      <w:r w:rsidRPr="005A323B">
        <w:rPr>
          <w:rFonts w:ascii="Times New Roman" w:eastAsia="Times New Roman" w:hAnsi="Times New Roman" w:cs="Times New Roman"/>
          <w:i/>
          <w:iCs/>
          <w:color w:val="000000"/>
          <w:sz w:val="24"/>
          <w:szCs w:val="24"/>
          <w:lang w:eastAsia="en-PH"/>
        </w:rPr>
        <w:t xml:space="preserve">Oxford textbook of geriatric medicine </w:t>
      </w:r>
      <w:r w:rsidRPr="005A323B">
        <w:rPr>
          <w:rFonts w:ascii="Times New Roman" w:eastAsia="Times New Roman" w:hAnsi="Times New Roman" w:cs="Times New Roman"/>
          <w:color w:val="000000"/>
          <w:sz w:val="24"/>
          <w:szCs w:val="24"/>
          <w:lang w:eastAsia="en-PH"/>
        </w:rPr>
        <w:t>(3rd ed.). Oxford University Press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Wilcox, D. C., Wilcox, B. J., He, Q., &amp; Wang, N. C. (2007). They really are that </w:t>
      </w:r>
      <w:r w:rsidRPr="005A323B">
        <w:rPr>
          <w:rFonts w:ascii="Times New Roman" w:eastAsia="Times New Roman" w:hAnsi="Times New Roman" w:cs="Times New Roman"/>
          <w:color w:val="000000"/>
          <w:sz w:val="24"/>
          <w:szCs w:val="24"/>
          <w:lang w:eastAsia="en-PH"/>
        </w:rPr>
        <w:t xml:space="preserve">old: A validation study of centenarian prevalence in Okinawa. </w:t>
      </w:r>
      <w:r w:rsidRPr="005A323B">
        <w:rPr>
          <w:rFonts w:ascii="Times New Roman" w:eastAsia="Times New Roman" w:hAnsi="Times New Roman" w:cs="Times New Roman"/>
          <w:i/>
          <w:iCs/>
          <w:color w:val="000000"/>
          <w:sz w:val="24"/>
          <w:szCs w:val="24"/>
          <w:lang w:eastAsia="en-PH"/>
        </w:rPr>
        <w:t>The Journals of Gerontology: Series A, 62</w:t>
      </w:r>
      <w:r w:rsidRPr="005A323B">
        <w:rPr>
          <w:rFonts w:ascii="Times New Roman" w:eastAsia="Times New Roman" w:hAnsi="Times New Roman" w:cs="Times New Roman"/>
          <w:color w:val="000000"/>
          <w:sz w:val="24"/>
          <w:szCs w:val="24"/>
          <w:lang w:eastAsia="en-PH"/>
        </w:rPr>
        <w:t>(4), 338-349. https://doi.org/10.1093/gerona/62.4.338</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World Bank. (2022). </w:t>
      </w:r>
      <w:r w:rsidRPr="00C86621">
        <w:rPr>
          <w:rFonts w:ascii="Times New Roman" w:eastAsia="Times New Roman" w:hAnsi="Times New Roman" w:cs="Times New Roman"/>
          <w:i/>
          <w:iCs/>
          <w:color w:val="000000"/>
          <w:sz w:val="24"/>
          <w:szCs w:val="24"/>
          <w:lang w:eastAsia="en-PH"/>
        </w:rPr>
        <w:t xml:space="preserve">Life expectancy at birth, total (years). </w:t>
      </w:r>
      <w:r w:rsidRPr="00C86621">
        <w:rPr>
          <w:rFonts w:ascii="Times New Roman" w:eastAsia="Times New Roman" w:hAnsi="Times New Roman" w:cs="Times New Roman"/>
          <w:color w:val="000000"/>
          <w:sz w:val="24"/>
          <w:szCs w:val="24"/>
          <w:lang w:eastAsia="en-PH"/>
        </w:rPr>
        <w:t>World Bank Data. </w:t>
      </w:r>
      <w:r w:rsidRPr="005A323B">
        <w:rPr>
          <w:rFonts w:ascii="Times New Roman" w:eastAsia="Times New Roman" w:hAnsi="Times New Roman" w:cs="Times New Roman"/>
          <w:color w:val="000000"/>
          <w:sz w:val="24"/>
          <w:szCs w:val="24"/>
          <w:lang w:eastAsia="en-PH"/>
        </w:rPr>
        <w:t>https://data.worldbank.org/indicator/SP.DYN.LE00.IN</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World Health Organization. (2021). </w:t>
      </w:r>
      <w:r w:rsidRPr="00C86621">
        <w:rPr>
          <w:rFonts w:ascii="Times New Roman" w:eastAsia="Times New Roman" w:hAnsi="Times New Roman" w:cs="Times New Roman"/>
          <w:i/>
          <w:iCs/>
          <w:color w:val="000000"/>
          <w:sz w:val="24"/>
          <w:szCs w:val="24"/>
          <w:lang w:eastAsia="en-PH"/>
        </w:rPr>
        <w:t>United Nations Decade of Healthy Ageing </w:t>
      </w:r>
      <w:r w:rsidRPr="005A323B">
        <w:rPr>
          <w:rFonts w:ascii="Times New Roman" w:eastAsia="Times New Roman" w:hAnsi="Times New Roman" w:cs="Times New Roman"/>
          <w:i/>
          <w:iCs/>
          <w:color w:val="000000"/>
          <w:sz w:val="24"/>
          <w:szCs w:val="24"/>
          <w:lang w:eastAsia="en-PH"/>
        </w:rPr>
        <w:t xml:space="preserve">(2021-2030). </w:t>
      </w:r>
      <w:r w:rsidRPr="005A323B">
        <w:rPr>
          <w:rFonts w:ascii="Times New Roman" w:eastAsia="Times New Roman" w:hAnsi="Times New Roman" w:cs="Times New Roman"/>
          <w:color w:val="000000"/>
          <w:sz w:val="24"/>
          <w:szCs w:val="24"/>
          <w:lang w:eastAsia="en-PH"/>
        </w:rPr>
        <w:t>World Health Organization. https://www.who.int/initiatives/decade-of-healthy-ageing</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World Health Organization. (2021). </w:t>
      </w:r>
      <w:r w:rsidRPr="00C86621">
        <w:rPr>
          <w:rFonts w:ascii="Times New Roman" w:eastAsia="Times New Roman" w:hAnsi="Times New Roman" w:cs="Times New Roman"/>
          <w:i/>
          <w:iCs/>
          <w:color w:val="000000"/>
          <w:sz w:val="24"/>
          <w:szCs w:val="24"/>
          <w:lang w:eastAsia="en-PH"/>
        </w:rPr>
        <w:t>Decade of healthy ageing: Baseline report. </w:t>
      </w:r>
      <w:r w:rsidRPr="005A323B">
        <w:rPr>
          <w:rFonts w:ascii="Times New Roman" w:eastAsia="Times New Roman" w:hAnsi="Times New Roman" w:cs="Times New Roman"/>
          <w:color w:val="000000"/>
          <w:sz w:val="24"/>
          <w:szCs w:val="24"/>
          <w:lang w:eastAsia="en-PH"/>
        </w:rPr>
        <w:t>World Health Organization. </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World Health Organization. (2022). </w:t>
      </w:r>
      <w:r w:rsidRPr="00C86621">
        <w:rPr>
          <w:rFonts w:ascii="Times New Roman" w:eastAsia="Times New Roman" w:hAnsi="Times New Roman" w:cs="Times New Roman"/>
          <w:i/>
          <w:iCs/>
          <w:color w:val="000000"/>
          <w:sz w:val="24"/>
          <w:szCs w:val="24"/>
          <w:lang w:eastAsia="en-PH"/>
        </w:rPr>
        <w:t>World health statistics 2022: Monitoring </w:t>
      </w:r>
      <w:r w:rsidRPr="005A323B">
        <w:rPr>
          <w:rFonts w:ascii="Times New Roman" w:eastAsia="Times New Roman" w:hAnsi="Times New Roman" w:cs="Times New Roman"/>
          <w:i/>
          <w:iCs/>
          <w:color w:val="000000"/>
          <w:sz w:val="24"/>
          <w:szCs w:val="24"/>
          <w:lang w:eastAsia="en-PH"/>
        </w:rPr>
        <w:t xml:space="preserve">health for the SDGs, sustainable development goals. </w:t>
      </w:r>
      <w:r w:rsidRPr="005A323B">
        <w:rPr>
          <w:rFonts w:ascii="Times New Roman" w:eastAsia="Times New Roman" w:hAnsi="Times New Roman" w:cs="Times New Roman"/>
          <w:color w:val="000000"/>
          <w:sz w:val="24"/>
          <w:szCs w:val="24"/>
          <w:lang w:eastAsia="en-PH"/>
        </w:rPr>
        <w:t>World Health Organization. https://www.who.int/data/gho/publications/world-health-statistics</w:t>
      </w:r>
    </w:p>
    <w:p w:rsidR="00FC7C87" w:rsidRPr="00FC7C87" w:rsidRDefault="00FC7C87" w:rsidP="005A323B">
      <w:pPr>
        <w:spacing w:after="0" w:line="240" w:lineRule="auto"/>
        <w:jc w:val="both"/>
        <w:rPr>
          <w:rFonts w:ascii="Times New Roman" w:eastAsia="Times New Roman" w:hAnsi="Times New Roman" w:cs="Times New Roman"/>
          <w:sz w:val="24"/>
          <w:szCs w:val="24"/>
          <w:lang w:eastAsia="en-PH"/>
        </w:rPr>
      </w:pPr>
    </w:p>
    <w:p w:rsidR="00FC7C87" w:rsidRPr="005A323B" w:rsidRDefault="00FC7C87" w:rsidP="005A323B">
      <w:pPr>
        <w:pStyle w:val="ListParagraph"/>
        <w:numPr>
          <w:ilvl w:val="0"/>
          <w:numId w:val="1"/>
        </w:numPr>
        <w:spacing w:after="0" w:line="240" w:lineRule="auto"/>
        <w:jc w:val="both"/>
        <w:rPr>
          <w:rFonts w:ascii="Times New Roman" w:eastAsia="Times New Roman" w:hAnsi="Times New Roman" w:cs="Times New Roman"/>
          <w:sz w:val="24"/>
          <w:szCs w:val="24"/>
          <w:lang w:eastAsia="en-PH"/>
        </w:rPr>
      </w:pPr>
      <w:r w:rsidRPr="00C86621">
        <w:rPr>
          <w:rFonts w:ascii="Times New Roman" w:eastAsia="Times New Roman" w:hAnsi="Times New Roman" w:cs="Times New Roman"/>
          <w:color w:val="000000"/>
          <w:sz w:val="24"/>
          <w:szCs w:val="24"/>
          <w:lang w:eastAsia="en-PH"/>
        </w:rPr>
        <w:t xml:space="preserve">World Health Organization. (2023). </w:t>
      </w:r>
      <w:r w:rsidRPr="00C86621">
        <w:rPr>
          <w:rFonts w:ascii="Times New Roman" w:eastAsia="Times New Roman" w:hAnsi="Times New Roman" w:cs="Times New Roman"/>
          <w:i/>
          <w:iCs/>
          <w:color w:val="000000"/>
          <w:sz w:val="24"/>
          <w:szCs w:val="24"/>
          <w:lang w:eastAsia="en-PH"/>
        </w:rPr>
        <w:t xml:space="preserve">National </w:t>
      </w:r>
      <w:proofErr w:type="spellStart"/>
      <w:r w:rsidRPr="00C86621">
        <w:rPr>
          <w:rFonts w:ascii="Times New Roman" w:eastAsia="Times New Roman" w:hAnsi="Times New Roman" w:cs="Times New Roman"/>
          <w:i/>
          <w:iCs/>
          <w:color w:val="000000"/>
          <w:sz w:val="24"/>
          <w:szCs w:val="24"/>
          <w:lang w:eastAsia="en-PH"/>
        </w:rPr>
        <w:t>programmes</w:t>
      </w:r>
      <w:proofErr w:type="spellEnd"/>
      <w:r w:rsidRPr="00C86621">
        <w:rPr>
          <w:rFonts w:ascii="Times New Roman" w:eastAsia="Times New Roman" w:hAnsi="Times New Roman" w:cs="Times New Roman"/>
          <w:i/>
          <w:iCs/>
          <w:color w:val="000000"/>
          <w:sz w:val="24"/>
          <w:szCs w:val="24"/>
          <w:lang w:eastAsia="en-PH"/>
        </w:rPr>
        <w:t xml:space="preserve"> for age-friendly cities </w:t>
      </w:r>
      <w:r w:rsidRPr="005A323B">
        <w:rPr>
          <w:rFonts w:ascii="Times New Roman" w:eastAsia="Times New Roman" w:hAnsi="Times New Roman" w:cs="Times New Roman"/>
          <w:i/>
          <w:iCs/>
          <w:color w:val="000000"/>
          <w:sz w:val="24"/>
          <w:szCs w:val="24"/>
          <w:lang w:eastAsia="en-PH"/>
        </w:rPr>
        <w:t xml:space="preserve">and communities: A guide. </w:t>
      </w:r>
      <w:r w:rsidRPr="005A323B">
        <w:rPr>
          <w:rFonts w:ascii="Times New Roman" w:eastAsia="Times New Roman" w:hAnsi="Times New Roman" w:cs="Times New Roman"/>
          <w:color w:val="000000"/>
          <w:sz w:val="24"/>
          <w:szCs w:val="24"/>
          <w:lang w:eastAsia="en-PH"/>
        </w:rPr>
        <w:t>World Health Organization. </w:t>
      </w:r>
    </w:p>
    <w:p w:rsidR="00FC7C87" w:rsidRPr="00C86621" w:rsidRDefault="00FC7C87" w:rsidP="00CA6E8D">
      <w:pPr>
        <w:spacing w:before="240" w:after="240" w:line="240" w:lineRule="auto"/>
        <w:jc w:val="both"/>
        <w:rPr>
          <w:rFonts w:ascii="Times New Roman" w:hAnsi="Times New Roman" w:cs="Times New Roman"/>
          <w:sz w:val="24"/>
          <w:szCs w:val="24"/>
          <w:lang w:val="en-US"/>
        </w:rPr>
      </w:pPr>
    </w:p>
    <w:p w:rsidR="00434C41" w:rsidRPr="00C86621" w:rsidRDefault="00434C41" w:rsidP="000817F0">
      <w:pPr>
        <w:spacing w:before="240" w:after="240" w:line="240" w:lineRule="auto"/>
        <w:jc w:val="both"/>
        <w:rPr>
          <w:rFonts w:ascii="Times New Roman" w:hAnsi="Times New Roman" w:cs="Times New Roman"/>
          <w:sz w:val="24"/>
          <w:szCs w:val="24"/>
          <w:lang w:val="en-US"/>
        </w:rPr>
      </w:pPr>
    </w:p>
    <w:sectPr w:rsidR="00434C41" w:rsidRPr="00C86621" w:rsidSect="000817F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6D0" w:rsidRDefault="009326D0" w:rsidP="000817F0">
      <w:pPr>
        <w:spacing w:after="0" w:line="240" w:lineRule="auto"/>
      </w:pPr>
      <w:r>
        <w:separator/>
      </w:r>
    </w:p>
  </w:endnote>
  <w:endnote w:type="continuationSeparator" w:id="0">
    <w:p w:rsidR="009326D0" w:rsidRDefault="009326D0" w:rsidP="0008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6D0" w:rsidRDefault="009326D0" w:rsidP="000817F0">
      <w:pPr>
        <w:spacing w:after="0" w:line="240" w:lineRule="auto"/>
      </w:pPr>
      <w:r>
        <w:separator/>
      </w:r>
    </w:p>
  </w:footnote>
  <w:footnote w:type="continuationSeparator" w:id="0">
    <w:p w:rsidR="009326D0" w:rsidRDefault="009326D0" w:rsidP="00081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433D2"/>
    <w:multiLevelType w:val="hybridMultilevel"/>
    <w:tmpl w:val="991C539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F0"/>
    <w:rsid w:val="000817F0"/>
    <w:rsid w:val="00434C41"/>
    <w:rsid w:val="005A323B"/>
    <w:rsid w:val="005A34DD"/>
    <w:rsid w:val="009326D0"/>
    <w:rsid w:val="00B40844"/>
    <w:rsid w:val="00C86621"/>
    <w:rsid w:val="00CA6E8D"/>
    <w:rsid w:val="00DB7743"/>
    <w:rsid w:val="00FC7C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E110"/>
  <w15:chartTrackingRefBased/>
  <w15:docId w15:val="{57261F26-3C07-4A2A-8965-70EC78CC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7F0"/>
  </w:style>
  <w:style w:type="paragraph" w:styleId="Footer">
    <w:name w:val="footer"/>
    <w:basedOn w:val="Normal"/>
    <w:link w:val="FooterChar"/>
    <w:uiPriority w:val="99"/>
    <w:unhideWhenUsed/>
    <w:rsid w:val="0008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7F0"/>
  </w:style>
  <w:style w:type="paragraph" w:styleId="NormalWeb">
    <w:name w:val="Normal (Web)"/>
    <w:basedOn w:val="Normal"/>
    <w:uiPriority w:val="99"/>
    <w:semiHidden/>
    <w:unhideWhenUsed/>
    <w:rsid w:val="00FC7C87"/>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FC7C87"/>
    <w:rPr>
      <w:color w:val="0000FF"/>
      <w:u w:val="single"/>
    </w:rPr>
  </w:style>
  <w:style w:type="paragraph" w:styleId="ListParagraph">
    <w:name w:val="List Paragraph"/>
    <w:basedOn w:val="Normal"/>
    <w:uiPriority w:val="34"/>
    <w:qFormat/>
    <w:rsid w:val="00C8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9832">
      <w:bodyDiv w:val="1"/>
      <w:marLeft w:val="0"/>
      <w:marRight w:val="0"/>
      <w:marTop w:val="0"/>
      <w:marBottom w:val="0"/>
      <w:divBdr>
        <w:top w:val="none" w:sz="0" w:space="0" w:color="auto"/>
        <w:left w:val="none" w:sz="0" w:space="0" w:color="auto"/>
        <w:bottom w:val="none" w:sz="0" w:space="0" w:color="auto"/>
        <w:right w:val="none" w:sz="0" w:space="0" w:color="auto"/>
      </w:divBdr>
    </w:div>
    <w:div w:id="459954904">
      <w:bodyDiv w:val="1"/>
      <w:marLeft w:val="0"/>
      <w:marRight w:val="0"/>
      <w:marTop w:val="0"/>
      <w:marBottom w:val="0"/>
      <w:divBdr>
        <w:top w:val="none" w:sz="0" w:space="0" w:color="auto"/>
        <w:left w:val="none" w:sz="0" w:space="0" w:color="auto"/>
        <w:bottom w:val="none" w:sz="0" w:space="0" w:color="auto"/>
        <w:right w:val="none" w:sz="0" w:space="0" w:color="auto"/>
      </w:divBdr>
    </w:div>
    <w:div w:id="627320350">
      <w:bodyDiv w:val="1"/>
      <w:marLeft w:val="0"/>
      <w:marRight w:val="0"/>
      <w:marTop w:val="0"/>
      <w:marBottom w:val="0"/>
      <w:divBdr>
        <w:top w:val="none" w:sz="0" w:space="0" w:color="auto"/>
        <w:left w:val="none" w:sz="0" w:space="0" w:color="auto"/>
        <w:bottom w:val="none" w:sz="0" w:space="0" w:color="auto"/>
        <w:right w:val="none" w:sz="0" w:space="0" w:color="auto"/>
      </w:divBdr>
    </w:div>
    <w:div w:id="710426565">
      <w:bodyDiv w:val="1"/>
      <w:marLeft w:val="0"/>
      <w:marRight w:val="0"/>
      <w:marTop w:val="0"/>
      <w:marBottom w:val="0"/>
      <w:divBdr>
        <w:top w:val="none" w:sz="0" w:space="0" w:color="auto"/>
        <w:left w:val="none" w:sz="0" w:space="0" w:color="auto"/>
        <w:bottom w:val="none" w:sz="0" w:space="0" w:color="auto"/>
        <w:right w:val="none" w:sz="0" w:space="0" w:color="auto"/>
      </w:divBdr>
    </w:div>
    <w:div w:id="899441566">
      <w:bodyDiv w:val="1"/>
      <w:marLeft w:val="0"/>
      <w:marRight w:val="0"/>
      <w:marTop w:val="0"/>
      <w:marBottom w:val="0"/>
      <w:divBdr>
        <w:top w:val="none" w:sz="0" w:space="0" w:color="auto"/>
        <w:left w:val="none" w:sz="0" w:space="0" w:color="auto"/>
        <w:bottom w:val="none" w:sz="0" w:space="0" w:color="auto"/>
        <w:right w:val="none" w:sz="0" w:space="0" w:color="auto"/>
      </w:divBdr>
    </w:div>
    <w:div w:id="1120682180">
      <w:bodyDiv w:val="1"/>
      <w:marLeft w:val="0"/>
      <w:marRight w:val="0"/>
      <w:marTop w:val="0"/>
      <w:marBottom w:val="0"/>
      <w:divBdr>
        <w:top w:val="none" w:sz="0" w:space="0" w:color="auto"/>
        <w:left w:val="none" w:sz="0" w:space="0" w:color="auto"/>
        <w:bottom w:val="none" w:sz="0" w:space="0" w:color="auto"/>
        <w:right w:val="none" w:sz="0" w:space="0" w:color="auto"/>
      </w:divBdr>
    </w:div>
    <w:div w:id="1230726601">
      <w:bodyDiv w:val="1"/>
      <w:marLeft w:val="0"/>
      <w:marRight w:val="0"/>
      <w:marTop w:val="0"/>
      <w:marBottom w:val="0"/>
      <w:divBdr>
        <w:top w:val="none" w:sz="0" w:space="0" w:color="auto"/>
        <w:left w:val="none" w:sz="0" w:space="0" w:color="auto"/>
        <w:bottom w:val="none" w:sz="0" w:space="0" w:color="auto"/>
        <w:right w:val="none" w:sz="0" w:space="0" w:color="auto"/>
      </w:divBdr>
    </w:div>
    <w:div w:id="14349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ialgazette" TargetMode="External"/><Relationship Id="rId3" Type="http://schemas.openxmlformats.org/officeDocument/2006/relationships/settings" Target="settings.xml"/><Relationship Id="rId7" Type="http://schemas.openxmlformats.org/officeDocument/2006/relationships/hyperlink" Target="https://doi.org/10.1037/h0054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2026-06-05T15:14:00Z</dcterms:created>
  <dcterms:modified xsi:type="dcterms:W3CDTF">2026-06-05T16:11:00Z</dcterms:modified>
</cp:coreProperties>
</file>