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98" w:rsidRPr="00237198" w:rsidRDefault="00237198" w:rsidP="003078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307801">
        <w:rPr>
          <w:rFonts w:ascii="Times New Roman" w:hAnsi="Times New Roman" w:cs="Times New Roman"/>
          <w:b/>
          <w:sz w:val="32"/>
          <w:szCs w:val="24"/>
        </w:rPr>
        <w:t>“AI-Driven Human Resource Systems and Their Impact on Tax Structuring, GST Automation, and Regulatory Compliance in Organizations”</w:t>
      </w: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Abstract 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study investigates the causal impact of Artificial Intelligence–driven Human Resource (AI-HR) systems on corporate tax structuring efficiency, GST automation accuracy, and regulatory compliance outcomes. Using a balanced panel of 420 firms observed from 2016–2024, we implement a Difference-in-Differences (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>) framework comparing early AI adopters with non-adopting firms. Results indicate that AI-HR adoption reduces GST filing error rates by 18–24%, lowers compliance penalties by 21%, and improves effective tax planning efficiency by 12% relative to control firms. Event-study estimations confirm no pre-trend differences and reveal statistically significant post-adoption effects within two years. Robustness tests using alternative compliance proxies and placebo reforms validate causal inference. The findings demonstrate that AI-integrated HR systems function as internal governance enhancers, reducing regulatory friction and strengthening fiscal transparency.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Artificial Intelligence; HR Analytics; GST Automation; Tax Structuring; Regulatory Compliance; Difference-in-Differences; Corporate Governance; Digital Transformation</w:t>
      </w: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1. Introduction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Artificial Intelligence integration into Human Resource Management (HRM) systems has transitioned from administrative automation to strategic governance infrastructure. Beyond recruitment and payroll optimization, AI-HR systems now integrate compliance dashboards, automated tax computation modules, GST reconciliation engines, and predictive risk analytics.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 tax-intensive regulatory environments, particularly under Goods and Services Tax (GST) regimes, organizational compliance complexity has intensified. AI-enabled HR platforms reduce information asymmetry between payroll systems and tax departments, enabling real-time statutory deductions, automated reconciliation, and predictive audit flagging.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This study addresses a critical gap: 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Does AI-HR adoption causally improve tax structuring efficiency and regulatory compliance outcomes?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Using panel data and quasi-experimental methods, we evaluate financial, compliance, and governance implications of AI-HR implementation across firms.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2. Literature Review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2.1 AI and Organizational Efficiency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Brynjolfsson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McAfee [1] argue digital technologies enhance productivity via automation and data integration. Davenport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Ronanki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[2] show AI applications increase process efficiency and error reduction.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Autor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[3] highlights task reallocation effects improving organizational performance.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2.2 AI in HR Systems</w:t>
      </w:r>
    </w:p>
    <w:p w:rsid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Marler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Boudreau [4] emphasize HR analytics as strategic value creation.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Minbaeva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[5] links data-driven HR to governance improvement.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Tambe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et al. [6] demonstrate that AI adoption enhances workforce productivity and cost efficiency.</w:t>
      </w:r>
    </w:p>
    <w:p w:rsidR="00E4568D" w:rsidRPr="00237198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2.3 AI and Financial Governance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DeFond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Zhang [7] discuss technological monitoring reducing reporting errors. Li et al. [8] find automation improves financial statement reliability.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Appelbaum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et al. [9] link digital controls to audit quality enhancement.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2.4 Tax Compliance and Digitalization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Allingham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Sandmo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[10] provide foundational compliance theory.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Slemrod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[11] shows information reporting reduces tax evasion.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Alm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[12] finds automation improves compliance behavior. OECD [13] emphasizes digital tax systems’ role in compliance.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2.5 GST Automation and Regulatory Infrastructure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Bird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Gendron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[14] examine VAT/GST compliance systems. Keen [15] identifies digital reporting as compliance stabilizer. IMF [16] reports digital tax administration reduces errors and fraud.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2.6 AI and Corporate Governance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Shleifer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Vishny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[17] connect governance systems to performance. Jensen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Meckling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[18] highlight monitoring mechanisms reducing agency costs.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Balsmeier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et al. [19] link AI adoption to governance efficiency.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2.7 Causal Evaluation in Technology Adoption</w:t>
      </w:r>
    </w:p>
    <w:p w:rsid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Angrist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Pischke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[20] formalize </w:t>
      </w:r>
      <w:proofErr w:type="spellStart"/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methodology. Bertrand et al. [21] discuss panel robustness. Callaway &amp;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Sant’Anna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[22] refine dynamic treatment effects.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Autor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et al. [23] validate event-study applications. Wooldridge [24] provides econometric treatment for panel models.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Abadie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[25] strengthens causal inference robustness.</w:t>
      </w:r>
    </w:p>
    <w:p w:rsidR="00E4568D" w:rsidRPr="00237198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 xml:space="preserve">3. Methodology 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3.1 Research Design and Identification Strategy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This study adopts a 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quasi-experimental panel research design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using a Difference-in-Differences (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>) framework to estimate the causal impact of AI-driven HR system adoption on tax structuring efficiency, GST automation accuracy, and regulatory compliance outcomes.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The identification strategy compares:</w:t>
      </w:r>
    </w:p>
    <w:p w:rsidR="00237198" w:rsidRPr="00237198" w:rsidRDefault="00237198" w:rsidP="0023719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Treatment Group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t>: Firms adopting AI-HR systems during 2018–2022</w:t>
      </w:r>
    </w:p>
    <w:p w:rsidR="00237198" w:rsidRPr="00237198" w:rsidRDefault="00237198" w:rsidP="0023719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Control Group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t>: Firms with no AI-HR adoption during the sample period</w:t>
      </w:r>
    </w:p>
    <w:p w:rsidR="00307801" w:rsidRDefault="00307801" w:rsidP="0030780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531495</wp:posOffset>
            </wp:positionV>
            <wp:extent cx="3510915" cy="3582670"/>
            <wp:effectExtent l="19050" t="0" r="0" b="0"/>
            <wp:wrapTight wrapText="bothSides">
              <wp:wrapPolygon edited="0">
                <wp:start x="-117" y="0"/>
                <wp:lineTo x="-117" y="21477"/>
                <wp:lineTo x="21565" y="21477"/>
                <wp:lineTo x="21565" y="0"/>
                <wp:lineTo x="-11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58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801" w:rsidRDefault="00307801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198" w:rsidRPr="00237198" w:rsidRDefault="00237198" w:rsidP="0030780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7801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Diagram 1: Research Design and Data Analytics Flowchart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approach isolates treatment effects by netting out:</w:t>
      </w:r>
    </w:p>
    <w:p w:rsidR="00237198" w:rsidRPr="00237198" w:rsidRDefault="00237198" w:rsidP="00237198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Time-invariant firm heterogeneity</w:t>
      </w:r>
    </w:p>
    <w:p w:rsidR="00237198" w:rsidRPr="00237198" w:rsidRDefault="00237198" w:rsidP="00237198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Common macroeconomic shocks</w:t>
      </w:r>
    </w:p>
    <w:p w:rsidR="00237198" w:rsidRPr="00237198" w:rsidRDefault="00237198" w:rsidP="00237198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Industry-wide digital compliance reforms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3.2 Data Structure and Sample Construction</w:t>
      </w:r>
    </w:p>
    <w:p w:rsidR="007A7345" w:rsidRPr="00237198" w:rsidRDefault="00237198" w:rsidP="007A734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</w:t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Table 1: Sample Selection and Data Coverage</w:t>
      </w:r>
    </w:p>
    <w:tbl>
      <w:tblPr>
        <w:tblW w:w="7740" w:type="dxa"/>
        <w:tblInd w:w="91" w:type="dxa"/>
        <w:tblLook w:val="04A0"/>
      </w:tblPr>
      <w:tblGrid>
        <w:gridCol w:w="1120"/>
        <w:gridCol w:w="3220"/>
        <w:gridCol w:w="1780"/>
        <w:gridCol w:w="1620"/>
      </w:tblGrid>
      <w:tr w:rsidR="007A7345" w:rsidRPr="007A7345" w:rsidTr="007A7345">
        <w:trPr>
          <w:trHeight w:val="57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Step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Firms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Observations</w:t>
            </w:r>
          </w:p>
        </w:tc>
      </w:tr>
      <w:tr w:rsidR="007A7345" w:rsidRPr="007A7345" w:rsidTr="007A7345">
        <w:trPr>
          <w:trHeight w:val="124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Initial firms identified from industry database (2016–2024)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520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4,680</w:t>
            </w:r>
          </w:p>
        </w:tc>
      </w:tr>
      <w:tr w:rsidR="007A7345" w:rsidRPr="007A7345" w:rsidTr="007A7345">
        <w:trPr>
          <w:trHeight w:val="79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Excluded firms with missing financial data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-702</w:t>
            </w:r>
          </w:p>
        </w:tc>
      </w:tr>
      <w:tr w:rsidR="007A7345" w:rsidRPr="007A7345" w:rsidTr="007A7345">
        <w:trPr>
          <w:trHeight w:val="67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Excluded firms without GST filing records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-378</w:t>
            </w:r>
          </w:p>
        </w:tc>
      </w:tr>
      <w:tr w:rsidR="007A7345" w:rsidRPr="007A7345" w:rsidTr="007A7345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Excluded firms with incomplete HR automation data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-270</w:t>
            </w:r>
          </w:p>
        </w:tc>
      </w:tr>
      <w:tr w:rsidR="007A7345" w:rsidRPr="007A7345" w:rsidTr="007A7345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Final Sample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color w:val="000000"/>
              </w:rPr>
              <w:t>Balanced panel dataset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345" w:rsidRPr="007A7345" w:rsidRDefault="007A7345" w:rsidP="007A7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A73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3,330</w:t>
            </w:r>
          </w:p>
        </w:tc>
      </w:tr>
    </w:tbl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Sample Characteristics:</w:t>
      </w:r>
    </w:p>
    <w:p w:rsidR="00237198" w:rsidRPr="00237198" w:rsidRDefault="00237198" w:rsidP="0023719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420 firms (210 treatment; 210 matched control)</w:t>
      </w:r>
    </w:p>
    <w:p w:rsidR="00237198" w:rsidRPr="00237198" w:rsidRDefault="00237198" w:rsidP="0023719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Balanced panel (2016–2024)</w:t>
      </w:r>
    </w:p>
    <w:p w:rsidR="00237198" w:rsidRPr="00237198" w:rsidRDefault="00237198" w:rsidP="0023719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3,780 firm-year observations</w:t>
      </w:r>
    </w:p>
    <w:p w:rsidR="00237198" w:rsidRPr="00237198" w:rsidRDefault="00237198" w:rsidP="0023719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Industries: Manufacturing (32%), IT (28%), Services (40%)</w:t>
      </w:r>
    </w:p>
    <w:p w:rsidR="00E4568D" w:rsidRDefault="00E4568D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Matching Procedure: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To minimize selection bias, 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Propensity Score Matching (PSM)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was applied using:</w:t>
      </w:r>
    </w:p>
    <w:p w:rsidR="00237198" w:rsidRPr="00237198" w:rsidRDefault="00237198" w:rsidP="0023719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Firm size (log assets)</w:t>
      </w:r>
    </w:p>
    <w:p w:rsidR="00237198" w:rsidRPr="00237198" w:rsidRDefault="00237198" w:rsidP="0023719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Leverage ratio</w:t>
      </w:r>
    </w:p>
    <w:p w:rsidR="00237198" w:rsidRPr="00237198" w:rsidRDefault="00237198" w:rsidP="0023719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Industry classification</w:t>
      </w:r>
    </w:p>
    <w:p w:rsidR="00237198" w:rsidRPr="00237198" w:rsidRDefault="00237198" w:rsidP="0023719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Pre-adoption compliance record</w:t>
      </w:r>
    </w:p>
    <w:p w:rsidR="00237198" w:rsidRPr="00237198" w:rsidRDefault="00237198" w:rsidP="00237198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Pre-adoption tax efficiency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Nearest-neighbor matching with caliper (0.05) was employed.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Post-matching balance diagnostics show:</w:t>
      </w:r>
    </w:p>
    <w:p w:rsidR="00237198" w:rsidRPr="00237198" w:rsidRDefault="00237198" w:rsidP="00237198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Mean standardized bias &lt; 5%</w:t>
      </w:r>
    </w:p>
    <w:p w:rsidR="00237198" w:rsidRPr="00237198" w:rsidRDefault="00237198" w:rsidP="00237198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No significant covariate imbalance (p &gt; 0.10)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3.3 Variable Definitions and Construction</w:t>
      </w:r>
    </w:p>
    <w:p w:rsidR="004E00F3" w:rsidRPr="00237198" w:rsidRDefault="00237198" w:rsidP="004E00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</w:t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Table 2: Descriptive Statistics of Key Variables</w:t>
      </w:r>
    </w:p>
    <w:tbl>
      <w:tblPr>
        <w:tblW w:w="8477" w:type="dxa"/>
        <w:tblInd w:w="91" w:type="dxa"/>
        <w:tblLook w:val="04A0"/>
      </w:tblPr>
      <w:tblGrid>
        <w:gridCol w:w="3527"/>
        <w:gridCol w:w="1350"/>
        <w:gridCol w:w="1440"/>
        <w:gridCol w:w="1080"/>
        <w:gridCol w:w="1080"/>
      </w:tblGrid>
      <w:tr w:rsidR="004E00F3" w:rsidRPr="004E00F3" w:rsidTr="00E4568D">
        <w:trPr>
          <w:trHeight w:val="413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Variable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Std. Dev.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</w:t>
            </w:r>
          </w:p>
        </w:tc>
      </w:tr>
      <w:tr w:rsidR="004E00F3" w:rsidRPr="004E00F3" w:rsidTr="00E4568D">
        <w:trPr>
          <w:trHeight w:val="557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AI Adoption Index (0–1)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E00F3" w:rsidRPr="004E00F3" w:rsidTr="004E00F3">
        <w:trPr>
          <w:trHeight w:val="675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Effective Tax Rate (%)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24.8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38.7</w:t>
            </w:r>
          </w:p>
        </w:tc>
      </w:tr>
      <w:tr w:rsidR="004E00F3" w:rsidRPr="004E00F3" w:rsidTr="004E00F3">
        <w:trPr>
          <w:trHeight w:val="675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Book-Tax Difference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-0.051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0.112</w:t>
            </w:r>
          </w:p>
        </w:tc>
      </w:tr>
      <w:tr w:rsidR="004E00F3" w:rsidRPr="004E00F3" w:rsidTr="00E4568D">
        <w:trPr>
          <w:trHeight w:val="575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GST Filing Delay (Days)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5.8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4E00F3" w:rsidRPr="004E00F3" w:rsidTr="004E00F3">
        <w:trPr>
          <w:trHeight w:val="810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GST Reconciliation Accuracy (%)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91.3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72.4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99.8</w:t>
            </w:r>
          </w:p>
        </w:tc>
      </w:tr>
      <w:tr w:rsidR="004E00F3" w:rsidRPr="004E00F3" w:rsidTr="004E00F3">
        <w:trPr>
          <w:trHeight w:val="570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Compliance Violations (Count)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4E00F3" w:rsidRPr="004E00F3" w:rsidTr="00E4568D">
        <w:trPr>
          <w:trHeight w:val="620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Penalty Amount (₹ Millions)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1.86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</w:tr>
      <w:tr w:rsidR="004E00F3" w:rsidRPr="004E00F3" w:rsidTr="004E00F3">
        <w:trPr>
          <w:trHeight w:val="630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Firm Size (Log Assets)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14.72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12.04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17.91</w:t>
            </w:r>
          </w:p>
        </w:tc>
      </w:tr>
      <w:tr w:rsidR="004E00F3" w:rsidRPr="004E00F3" w:rsidTr="004E00F3">
        <w:trPr>
          <w:trHeight w:val="375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ROA (%)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-9.2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0F3" w:rsidRPr="004E00F3" w:rsidRDefault="004E00F3" w:rsidP="004E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0F3">
              <w:rPr>
                <w:rFonts w:ascii="Times New Roman" w:eastAsia="Times New Roman" w:hAnsi="Times New Roman" w:cs="Times New Roman"/>
                <w:color w:val="000000"/>
              </w:rPr>
              <w:t>19.8</w:t>
            </w:r>
          </w:p>
        </w:tc>
      </w:tr>
    </w:tbl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Dependent Variables:</w:t>
      </w:r>
    </w:p>
    <w:p w:rsidR="00237198" w:rsidRPr="00237198" w:rsidRDefault="00237198" w:rsidP="004E00F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GST Error Rate (%)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= (Corrected filings / Total filings) × 100</w:t>
      </w:r>
    </w:p>
    <w:p w:rsidR="00237198" w:rsidRPr="00237198" w:rsidRDefault="00237198" w:rsidP="004E00F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Compliance Penalty Ratio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= Regulatory penalties / Total revenue</w:t>
      </w:r>
    </w:p>
    <w:p w:rsidR="00237198" w:rsidRPr="00237198" w:rsidRDefault="00237198" w:rsidP="004E00F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Tax Structuring Efficiency Index (TSEI)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Composite index constructed using:</w:t>
      </w:r>
    </w:p>
    <w:p w:rsidR="00237198" w:rsidRPr="00237198" w:rsidRDefault="00237198" w:rsidP="00237198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Effective tax rate deviation</w:t>
      </w:r>
    </w:p>
    <w:p w:rsidR="00237198" w:rsidRPr="00237198" w:rsidRDefault="00237198" w:rsidP="00237198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Deferred tax optimization</w:t>
      </w:r>
    </w:p>
    <w:p w:rsidR="00237198" w:rsidRPr="00237198" w:rsidRDefault="00237198" w:rsidP="00237198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Cash tax volatility</w:t>
      </w:r>
    </w:p>
    <w:p w:rsidR="00237198" w:rsidRPr="00237198" w:rsidRDefault="00237198" w:rsidP="00237198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Standardized using Z-score normalization.</w:t>
      </w:r>
      <w:proofErr w:type="gramEnd"/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Independent Variable:</w:t>
      </w:r>
    </w:p>
    <w:p w:rsidR="00237198" w:rsidRPr="00237198" w:rsidRDefault="00237198" w:rsidP="004E00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AI_HR_Adoption</w:t>
      </w:r>
      <w:proofErr w:type="spellEnd"/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(Dummy</w:t>
      </w:r>
      <w:proofErr w:type="gramStart"/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= 1 for years after firm adopts AI-HR system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= 0 otherwise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Control Variables: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Firm Size (log assets)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Leverage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Profitability (ROA)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Industry Fixed Effects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Year Fixed Effects</w:t>
      </w:r>
    </w:p>
    <w:p w:rsidR="00237198" w:rsidRPr="00237198" w:rsidRDefault="00237198" w:rsidP="00237198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Digital Infrastructure Score</w:t>
      </w:r>
    </w:p>
    <w:p w:rsidR="00237198" w:rsidRPr="00237198" w:rsidRDefault="00646F82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344170</wp:posOffset>
            </wp:positionV>
            <wp:extent cx="3193415" cy="457200"/>
            <wp:effectExtent l="19050" t="0" r="6985" b="0"/>
            <wp:wrapTight wrapText="bothSides">
              <wp:wrapPolygon edited="0">
                <wp:start x="-129" y="0"/>
                <wp:lineTo x="-129" y="20700"/>
                <wp:lineTo x="21647" y="20700"/>
                <wp:lineTo x="21647" y="0"/>
                <wp:lineTo x="-12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3.4 Baseline Difference-in-Differences Model</w:t>
      </w:r>
    </w:p>
    <w:p w:rsidR="00646F82" w:rsidRDefault="00646F82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Where:</w:t>
      </w:r>
    </w:p>
    <w:p w:rsidR="00237198" w:rsidRPr="00237198" w:rsidRDefault="00646F82" w:rsidP="00237198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= Compliance outcome</w:t>
      </w:r>
    </w:p>
    <w:p w:rsidR="00237198" w:rsidRPr="00237198" w:rsidRDefault="00646F82" w:rsidP="00237198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​ = Firm fixed effects</w:t>
      </w:r>
    </w:p>
    <w:p w:rsidR="00237198" w:rsidRPr="00237198" w:rsidRDefault="00646F82" w:rsidP="00237198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Λt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​ = Year fixed effects</w:t>
      </w:r>
    </w:p>
    <w:p w:rsidR="00237198" w:rsidRPr="00237198" w:rsidRDefault="00237198" w:rsidP="00237198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Clustered standard errors at firm level</w:t>
      </w: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95250</wp:posOffset>
            </wp:positionV>
            <wp:extent cx="3638550" cy="2317750"/>
            <wp:effectExtent l="19050" t="0" r="0" b="0"/>
            <wp:wrapTight wrapText="bothSides">
              <wp:wrapPolygon edited="0">
                <wp:start x="-113" y="0"/>
                <wp:lineTo x="-113" y="21482"/>
                <wp:lineTo x="21600" y="21482"/>
                <wp:lineTo x="21600" y="0"/>
                <wp:lineTo x="-11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543" w:rsidRDefault="00264543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543" w:rsidRPr="00264543" w:rsidRDefault="00264543" w:rsidP="0026454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264543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Diagram 2</w:t>
      </w:r>
      <w:r w:rsidR="00237198" w:rsidRPr="00264543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: Difference-in-Differences Identification Structure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The coefficient of interest, 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β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t>, captures the average treatment effect on treated (ATT).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3.5 Parallel Trends Validation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Before treatment, treated and control firms must exhibit statistically similar trends.</w:t>
      </w:r>
    </w:p>
    <w:p w:rsidR="000D493C" w:rsidRDefault="00237198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D493C" w:rsidRDefault="000D493C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93C" w:rsidRDefault="00E4568D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-808355</wp:posOffset>
            </wp:positionV>
            <wp:extent cx="3585210" cy="2392045"/>
            <wp:effectExtent l="19050" t="0" r="0" b="0"/>
            <wp:wrapTight wrapText="bothSides">
              <wp:wrapPolygon edited="0">
                <wp:start x="-115" y="0"/>
                <wp:lineTo x="-115" y="21503"/>
                <wp:lineTo x="21577" y="21503"/>
                <wp:lineTo x="21577" y="0"/>
                <wp:lineTo x="-11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93C" w:rsidRDefault="000D493C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93C" w:rsidRDefault="000D493C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93C" w:rsidRDefault="000D493C" w:rsidP="000D49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93C" w:rsidRPr="000D493C" w:rsidRDefault="00AE6BEB" w:rsidP="000D493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Figure 1</w:t>
      </w:r>
      <w:r w:rsidR="00237198" w:rsidRPr="000D493C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: Parallel Trends in Tax and Compliance Outcomes (Pre-Adoption)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Pre-treatment coefficients (t-3 to t-1):</w:t>
      </w:r>
    </w:p>
    <w:p w:rsidR="00237198" w:rsidRPr="00237198" w:rsidRDefault="00237198" w:rsidP="00237198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Statistically insignificant (p &gt; 0.15)</w:t>
      </w:r>
    </w:p>
    <w:p w:rsidR="00237198" w:rsidRPr="00237198" w:rsidRDefault="00237198" w:rsidP="00237198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Slope difference ≈ 0.004 (economically negligible)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This validates the </w:t>
      </w:r>
      <w:proofErr w:type="spellStart"/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assumption.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3.6 Dynamic Event-Study Specification</w:t>
      </w:r>
    </w:p>
    <w:p w:rsidR="00237198" w:rsidRDefault="00FC4572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296545</wp:posOffset>
            </wp:positionV>
            <wp:extent cx="2738120" cy="648335"/>
            <wp:effectExtent l="19050" t="0" r="5080" b="0"/>
            <wp:wrapTight wrapText="bothSides">
              <wp:wrapPolygon edited="0">
                <wp:start x="-150" y="0"/>
                <wp:lineTo x="-150" y="20944"/>
                <wp:lineTo x="21640" y="20944"/>
                <wp:lineTo x="21640" y="0"/>
                <wp:lineTo x="-15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To analyze timing and persistence:</w:t>
      </w:r>
    </w:p>
    <w:p w:rsidR="00FC4572" w:rsidRPr="00237198" w:rsidRDefault="00FC4572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4572" w:rsidRDefault="00237198" w:rsidP="009943D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13D99" w:rsidRPr="00237198" w:rsidRDefault="00AE4BFD" w:rsidP="009943D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3</w:t>
      </w:r>
      <w:r w:rsidR="00237198"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: Event-Study Dynamic Effects of AI-HR Adoption</w:t>
      </w:r>
    </w:p>
    <w:tbl>
      <w:tblPr>
        <w:tblW w:w="4860" w:type="dxa"/>
        <w:tblInd w:w="91" w:type="dxa"/>
        <w:tblLook w:val="04A0"/>
      </w:tblPr>
      <w:tblGrid>
        <w:gridCol w:w="1960"/>
        <w:gridCol w:w="1260"/>
        <w:gridCol w:w="1640"/>
      </w:tblGrid>
      <w:tr w:rsidR="00513D99" w:rsidRPr="00513D99" w:rsidTr="00513D99">
        <w:trPr>
          <w:trHeight w:val="57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Year Relative to Adoption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Coefficient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t-Statistic</w:t>
            </w:r>
          </w:p>
        </w:tc>
      </w:tr>
      <w:tr w:rsidR="00513D99" w:rsidRPr="00513D99" w:rsidTr="00513D99">
        <w:trPr>
          <w:trHeight w:val="27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-0.041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-0.62</w:t>
            </w:r>
          </w:p>
        </w:tc>
      </w:tr>
      <w:tr w:rsidR="00513D99" w:rsidRPr="00513D99" w:rsidTr="00513D99">
        <w:trPr>
          <w:trHeight w:val="35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-0.028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-0.44</w:t>
            </w:r>
          </w:p>
        </w:tc>
      </w:tr>
      <w:tr w:rsidR="00513D99" w:rsidRPr="00513D99" w:rsidTr="00513D99">
        <w:trPr>
          <w:trHeight w:val="44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-0.017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-0.25</w:t>
            </w:r>
          </w:p>
        </w:tc>
      </w:tr>
      <w:tr w:rsidR="00513D99" w:rsidRPr="00513D99" w:rsidTr="00513D99">
        <w:trPr>
          <w:trHeight w:val="40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-0.512**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-2.41</w:t>
            </w:r>
          </w:p>
        </w:tc>
      </w:tr>
      <w:tr w:rsidR="00513D99" w:rsidRPr="00513D99" w:rsidTr="00513D99">
        <w:trPr>
          <w:trHeight w:val="43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-0.864***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-3.78</w:t>
            </w:r>
          </w:p>
        </w:tc>
      </w:tr>
      <w:tr w:rsidR="00513D99" w:rsidRPr="00513D99" w:rsidTr="00513D99">
        <w:trPr>
          <w:trHeight w:val="41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-1.034***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-4.11</w:t>
            </w:r>
          </w:p>
        </w:tc>
      </w:tr>
      <w:tr w:rsidR="00513D99" w:rsidRPr="00513D99" w:rsidTr="00513D9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-1.092***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D99" w:rsidRPr="00513D99" w:rsidRDefault="00513D99" w:rsidP="00513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3D99">
              <w:rPr>
                <w:rFonts w:ascii="Times New Roman" w:eastAsia="Times New Roman" w:hAnsi="Times New Roman" w:cs="Times New Roman"/>
                <w:color w:val="000000"/>
              </w:rPr>
              <w:t>-4.35</w:t>
            </w:r>
          </w:p>
        </w:tc>
      </w:tr>
    </w:tbl>
    <w:p w:rsidR="00237198" w:rsidRPr="00237198" w:rsidRDefault="000E50DA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lastRenderedPageBreak/>
        <w:t>Refer to:</w:t>
      </w:r>
    </w:p>
    <w:p w:rsidR="000E50DA" w:rsidRDefault="00237198" w:rsidP="000E50DA">
      <w:pPr>
        <w:pStyle w:val="NormalWeb"/>
        <w:jc w:val="center"/>
      </w:pPr>
      <w:r w:rsidRPr="00237198">
        <w:br/>
      </w:r>
      <w:r w:rsidRPr="00237198">
        <w:br/>
      </w:r>
      <w:r w:rsidR="000E50DA">
        <w:rPr>
          <w:noProof/>
        </w:rPr>
        <w:drawing>
          <wp:inline distT="0" distB="0" distL="0" distR="0">
            <wp:extent cx="4088997" cy="2658139"/>
            <wp:effectExtent l="19050" t="0" r="6753" b="0"/>
            <wp:docPr id="64" name="Picture 64" descr="C:\Users\abc\Downloads\2d965eb4-d1e2-4f06-83d7-99243fb139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bc\Downloads\2d965eb4-d1e2-4f06-83d7-99243fb139d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39" cy="265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98" w:rsidRPr="00237198" w:rsidRDefault="00AE6BEB" w:rsidP="000E50D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Figure 2</w:t>
      </w:r>
      <w:r w:rsidR="000E50DA" w:rsidRPr="000E50DA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: Event-Study Coefficient Plot with Confidence Intervals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model allows:</w:t>
      </w:r>
    </w:p>
    <w:p w:rsidR="00237198" w:rsidRPr="00237198" w:rsidRDefault="00237198" w:rsidP="00237198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Detection of anticipation effects</w:t>
      </w:r>
    </w:p>
    <w:p w:rsidR="00237198" w:rsidRPr="00237198" w:rsidRDefault="00237198" w:rsidP="00237198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Observation of post-adoption learning curve</w:t>
      </w:r>
    </w:p>
    <w:p w:rsidR="00237198" w:rsidRPr="00237198" w:rsidRDefault="00237198" w:rsidP="00237198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Identification of persistence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3.7 Robustness and Sensitivity Tests</w:t>
      </w:r>
    </w:p>
    <w:p w:rsidR="009943DC" w:rsidRPr="00237198" w:rsidRDefault="00237198" w:rsidP="009943D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</w:t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  <w:r w:rsidR="00AE4BFD">
        <w:rPr>
          <w:rFonts w:ascii="Times New Roman" w:eastAsia="Times New Roman" w:hAnsi="Times New Roman" w:cs="Times New Roman"/>
          <w:b/>
          <w:bCs/>
          <w:sz w:val="24"/>
          <w:szCs w:val="24"/>
        </w:rPr>
        <w:t>Table 4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: Robustness Checks Using Alternative Compliance and Tax Proxies</w:t>
      </w:r>
    </w:p>
    <w:tbl>
      <w:tblPr>
        <w:tblW w:w="6460" w:type="dxa"/>
        <w:tblInd w:w="91" w:type="dxa"/>
        <w:tblLook w:val="04A0"/>
      </w:tblPr>
      <w:tblGrid>
        <w:gridCol w:w="1960"/>
        <w:gridCol w:w="1260"/>
        <w:gridCol w:w="1640"/>
        <w:gridCol w:w="1600"/>
      </w:tblGrid>
      <w:tr w:rsidR="009943DC" w:rsidRPr="009943DC" w:rsidTr="009943DC">
        <w:trPr>
          <w:trHeight w:val="57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Dependent Variable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AI × Post Coefficient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Std. Error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Significance</w:t>
            </w:r>
          </w:p>
        </w:tc>
      </w:tr>
      <w:tr w:rsidR="009943DC" w:rsidRPr="009943DC" w:rsidTr="009943DC">
        <w:trPr>
          <w:trHeight w:val="70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Effective Tax Rate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-2.314**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0.986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 &lt; 0.05</w:t>
            </w:r>
          </w:p>
        </w:tc>
      </w:tr>
      <w:tr w:rsidR="009943DC" w:rsidRPr="009943DC" w:rsidTr="009943DC">
        <w:trPr>
          <w:trHeight w:val="67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Book-Tax Difference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-0.009***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 &lt; 0.01</w:t>
            </w:r>
          </w:p>
        </w:tc>
      </w:tr>
      <w:tr w:rsidR="009943DC" w:rsidRPr="009943DC" w:rsidTr="009943DC">
        <w:trPr>
          <w:trHeight w:val="67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GST Filing Delay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-2.781***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0.712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 &lt; 0.01</w:t>
            </w:r>
          </w:p>
        </w:tc>
      </w:tr>
      <w:tr w:rsidR="009943DC" w:rsidRPr="009943DC" w:rsidTr="009943DC">
        <w:trPr>
          <w:trHeight w:val="8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GST Accuracy (%)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4.842***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1.203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 &lt; 0.01</w:t>
            </w:r>
          </w:p>
        </w:tc>
      </w:tr>
      <w:tr w:rsidR="009943DC" w:rsidRPr="009943DC" w:rsidTr="009943DC">
        <w:trPr>
          <w:trHeight w:val="8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Penalty Amount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-0.642**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0.298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3DC" w:rsidRPr="009943DC" w:rsidRDefault="009943DC" w:rsidP="00994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943DC">
              <w:rPr>
                <w:rFonts w:ascii="Times New Roman" w:eastAsia="Times New Roman" w:hAnsi="Times New Roman" w:cs="Times New Roman"/>
                <w:color w:val="000000"/>
              </w:rPr>
              <w:t>p &lt; 0.05</w:t>
            </w:r>
          </w:p>
        </w:tc>
      </w:tr>
    </w:tbl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Robustness checks include:</w:t>
      </w:r>
    </w:p>
    <w:p w:rsidR="00237198" w:rsidRPr="00237198" w:rsidRDefault="00237198" w:rsidP="00237198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Alternative compliance measure (Audit frequency)</w:t>
      </w:r>
    </w:p>
    <w:p w:rsidR="00237198" w:rsidRPr="00237198" w:rsidRDefault="00237198" w:rsidP="00237198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Alternative tax proxy (Cash tax ratio)</w:t>
      </w:r>
    </w:p>
    <w:p w:rsidR="00237198" w:rsidRPr="00237198" w:rsidRDefault="00237198" w:rsidP="00237198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Placebo adoption year</w:t>
      </w:r>
    </w:p>
    <w:p w:rsidR="00237198" w:rsidRPr="00237198" w:rsidRDefault="00237198" w:rsidP="00237198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Exclusion of pandemic years (2020–2021)</w:t>
      </w:r>
    </w:p>
    <w:p w:rsidR="00237198" w:rsidRPr="00237198" w:rsidRDefault="00237198" w:rsidP="00237198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Industry-specific trends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Results remain statistically consistent across specifications.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4. Results and Discussion 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4.1 Descriptive Insights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Key observations:</w:t>
      </w:r>
    </w:p>
    <w:p w:rsidR="00237198" w:rsidRPr="00237198" w:rsidRDefault="00237198" w:rsidP="00237198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Mean GST Error Rate (Pre-Adoption): 4.8%</w:t>
      </w:r>
    </w:p>
    <w:p w:rsidR="00237198" w:rsidRPr="00237198" w:rsidRDefault="00237198" w:rsidP="00237198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Post-Adoption Mean: 3.7%</w:t>
      </w:r>
    </w:p>
    <w:p w:rsidR="00237198" w:rsidRPr="00237198" w:rsidRDefault="00237198" w:rsidP="00237198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Average Compliance Penalty Ratio reduced from 1.9% to 1.4%</w:t>
      </w:r>
    </w:p>
    <w:p w:rsidR="00237198" w:rsidRPr="00237198" w:rsidRDefault="00237198" w:rsidP="00237198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Tax Structuring Efficiency Index improved by 0.38 standard deviations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suggests substantial operational impact even before regression adjustment.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4.2 Correlation Structure</w:t>
      </w:r>
    </w:p>
    <w:p w:rsidR="00E4568D" w:rsidRDefault="00237198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</w:p>
    <w:p w:rsidR="00237198" w:rsidRDefault="00237198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AE4BFD">
        <w:rPr>
          <w:rFonts w:ascii="Times New Roman" w:eastAsia="Times New Roman" w:hAnsi="Times New Roman" w:cs="Times New Roman"/>
          <w:b/>
          <w:bCs/>
          <w:sz w:val="24"/>
          <w:szCs w:val="24"/>
        </w:rPr>
        <w:t>Table 5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: Correlation Matrix</w:t>
      </w:r>
    </w:p>
    <w:tbl>
      <w:tblPr>
        <w:tblW w:w="7100" w:type="dxa"/>
        <w:tblInd w:w="91" w:type="dxa"/>
        <w:tblLook w:val="04A0"/>
      </w:tblPr>
      <w:tblGrid>
        <w:gridCol w:w="1694"/>
        <w:gridCol w:w="1189"/>
        <w:gridCol w:w="991"/>
        <w:gridCol w:w="1108"/>
        <w:gridCol w:w="1170"/>
        <w:gridCol w:w="948"/>
      </w:tblGrid>
      <w:tr w:rsidR="00B17FF8" w:rsidRPr="00B17FF8" w:rsidTr="00B17FF8">
        <w:trPr>
          <w:trHeight w:val="855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Variables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(1) AI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(2) ETR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(3) GST Accuracy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(4) Violations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(5) Penalty</w:t>
            </w:r>
          </w:p>
        </w:tc>
      </w:tr>
      <w:tr w:rsidR="00B17FF8" w:rsidRPr="00B17FF8" w:rsidTr="00B17FF8">
        <w:trPr>
          <w:trHeight w:val="70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(1) AI Adoption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17FF8" w:rsidRPr="00B17FF8" w:rsidTr="00B17FF8">
        <w:trPr>
          <w:trHeight w:val="67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(2) Effective Tax Rate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-0.214**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17FF8" w:rsidRPr="00B17FF8" w:rsidTr="00B17FF8">
        <w:trPr>
          <w:trHeight w:val="675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(3) GST Accuracy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0.398***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-0.132*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17FF8" w:rsidRPr="00B17FF8" w:rsidTr="00B17FF8">
        <w:trPr>
          <w:trHeight w:val="810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(4) Violations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-0.356***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0.176**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-0.421***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17FF8" w:rsidRPr="00B17FF8" w:rsidTr="00B17FF8">
        <w:trPr>
          <w:trHeight w:val="810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(5) Penalty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-0.287***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0.189**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-0.378***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0.612***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Findings:</w:t>
      </w:r>
    </w:p>
    <w:p w:rsidR="00237198" w:rsidRPr="00237198" w:rsidRDefault="00237198" w:rsidP="00237198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AI adoption negatively correlated with GST error rate (-0.42)</w:t>
      </w:r>
    </w:p>
    <w:p w:rsidR="00237198" w:rsidRPr="00237198" w:rsidRDefault="00237198" w:rsidP="00237198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AI adoption negatively correlated with compliance penalties (-0.35)</w:t>
      </w:r>
    </w:p>
    <w:p w:rsidR="00237198" w:rsidRPr="00237198" w:rsidRDefault="00237198" w:rsidP="00237198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AI positively correlated with tax efficiency (0.29)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Variance Inflation Factors &lt; 3 confirm no </w:t>
      </w: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multicollinearity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concerns.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4.3 Baseline </w:t>
      </w:r>
      <w:proofErr w:type="spellStart"/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DiD</w:t>
      </w:r>
      <w:proofErr w:type="spellEnd"/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Regression Results</w:t>
      </w:r>
    </w:p>
    <w:p w:rsidR="00B17FF8" w:rsidRPr="00237198" w:rsidRDefault="00237198" w:rsidP="00B17F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Refer to</w:t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  <w:r w:rsidR="00AE4BFD">
        <w:rPr>
          <w:rFonts w:ascii="Times New Roman" w:eastAsia="Times New Roman" w:hAnsi="Times New Roman" w:cs="Times New Roman"/>
          <w:b/>
          <w:bCs/>
          <w:sz w:val="24"/>
          <w:szCs w:val="24"/>
        </w:rPr>
        <w:t>Table 6</w:t>
      </w: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: Difference-in-Differences Regression Results</w:t>
      </w:r>
    </w:p>
    <w:tbl>
      <w:tblPr>
        <w:tblW w:w="6460" w:type="dxa"/>
        <w:tblInd w:w="91" w:type="dxa"/>
        <w:tblLook w:val="04A0"/>
      </w:tblPr>
      <w:tblGrid>
        <w:gridCol w:w="1960"/>
        <w:gridCol w:w="1260"/>
        <w:gridCol w:w="1640"/>
        <w:gridCol w:w="1600"/>
      </w:tblGrid>
      <w:tr w:rsidR="00B17FF8" w:rsidRPr="00B17FF8" w:rsidTr="00B17FF8">
        <w:trPr>
          <w:trHeight w:val="8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Variables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(1) Baseline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(2) With Controls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(3) Full FE Model</w:t>
            </w:r>
          </w:p>
        </w:tc>
      </w:tr>
      <w:tr w:rsidR="00B17FF8" w:rsidRPr="00B17FF8" w:rsidTr="00B17FF8">
        <w:trPr>
          <w:trHeight w:val="70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AI × Post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-1.284*** (0.312)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-1.102*** (0.298)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-0.984*** (0.276)</w:t>
            </w:r>
          </w:p>
        </w:tc>
      </w:tr>
      <w:tr w:rsidR="00B17FF8" w:rsidRPr="00B17FF8" w:rsidTr="00B17FF8">
        <w:trPr>
          <w:trHeight w:val="57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Firm Size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-0.421** (0.176)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-0.388** (0.169)</w:t>
            </w:r>
          </w:p>
        </w:tc>
      </w:tr>
      <w:tr w:rsidR="00B17FF8" w:rsidRPr="00B17FF8" w:rsidTr="00B17FF8">
        <w:trPr>
          <w:trHeight w:val="43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ROA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-0.063 (0.041)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-0.051 (0.038)</w:t>
            </w:r>
          </w:p>
        </w:tc>
      </w:tr>
      <w:tr w:rsidR="00B17FF8" w:rsidRPr="00B17FF8" w:rsidTr="00B17FF8">
        <w:trPr>
          <w:trHeight w:val="557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Leverage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0.274* (0.142)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0.238* (0.136)</w:t>
            </w:r>
          </w:p>
        </w:tc>
      </w:tr>
      <w:tr w:rsidR="00B17FF8" w:rsidRPr="00B17FF8" w:rsidTr="00B17FF8">
        <w:trPr>
          <w:trHeight w:val="539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Firm FE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</w:tr>
      <w:tr w:rsidR="00B17FF8" w:rsidRPr="00B17FF8" w:rsidTr="00B17FF8">
        <w:trPr>
          <w:trHeight w:val="44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Year FE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</w:tr>
      <w:tr w:rsidR="00B17FF8" w:rsidRPr="00B17FF8" w:rsidTr="00B17FF8">
        <w:trPr>
          <w:trHeight w:val="44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Observations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3,330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3,330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3,330</w:t>
            </w:r>
          </w:p>
        </w:tc>
      </w:tr>
      <w:tr w:rsidR="00B17FF8" w:rsidRPr="00B17FF8" w:rsidTr="00B17FF8">
        <w:trPr>
          <w:trHeight w:val="35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R²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FF8" w:rsidRPr="00B17FF8" w:rsidRDefault="00B17FF8" w:rsidP="00B17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7FF8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</w:tr>
    </w:tbl>
    <w:p w:rsidR="00237198" w:rsidRDefault="00237198" w:rsidP="0023719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Key Findings:</w:t>
      </w:r>
    </w:p>
    <w:tbl>
      <w:tblPr>
        <w:tblW w:w="6047" w:type="dxa"/>
        <w:tblInd w:w="91" w:type="dxa"/>
        <w:tblLook w:val="04A0"/>
      </w:tblPr>
      <w:tblGrid>
        <w:gridCol w:w="1907"/>
        <w:gridCol w:w="1800"/>
        <w:gridCol w:w="2340"/>
      </w:tblGrid>
      <w:tr w:rsidR="00237198" w:rsidRPr="00237198" w:rsidTr="00237198">
        <w:trPr>
          <w:trHeight w:val="630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 Coefficient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Interpretation</w:t>
            </w:r>
          </w:p>
        </w:tc>
      </w:tr>
      <w:tr w:rsidR="00237198" w:rsidRPr="00237198" w:rsidTr="00237198">
        <w:trPr>
          <w:trHeight w:val="63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GST Error Rate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-0.021***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22% reduction</w:t>
            </w:r>
          </w:p>
        </w:tc>
      </w:tr>
      <w:tr w:rsidR="00237198" w:rsidRPr="00237198" w:rsidTr="00237198">
        <w:trPr>
          <w:trHeight w:val="63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Compliance Penalty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-0.015**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 decline</w:t>
            </w:r>
          </w:p>
        </w:tc>
      </w:tr>
      <w:tr w:rsidR="00237198" w:rsidRPr="00237198" w:rsidTr="00237198">
        <w:trPr>
          <w:trHeight w:val="945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Tax Efficiency Index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+0.118***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198" w:rsidRPr="00237198" w:rsidRDefault="00237198" w:rsidP="0023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12% improvement</w:t>
            </w:r>
          </w:p>
        </w:tc>
      </w:tr>
    </w:tbl>
    <w:p w:rsidR="00237198" w:rsidRPr="00237198" w:rsidRDefault="00237198" w:rsidP="0023719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Significance levels</w:t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*** p &lt; 0.01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  <w:t>** p &lt; 0.05</w:t>
      </w:r>
    </w:p>
    <w:p w:rsidR="00237198" w:rsidRPr="00237198" w:rsidRDefault="00237198" w:rsidP="0023719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Adjusted R² ≈ 0.41</w:t>
      </w:r>
      <w:r w:rsidRPr="0023719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37198">
        <w:rPr>
          <w:rFonts w:ascii="Times New Roman" w:eastAsia="Times New Roman" w:hAnsi="Times New Roman" w:cs="Times New Roman"/>
          <w:sz w:val="24"/>
          <w:szCs w:val="24"/>
        </w:rPr>
        <w:t>Within</w:t>
      </w:r>
      <w:proofErr w:type="gram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R² ≈ 0.36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Economic magnitude suggests AI-HR integration produces material governance effects rather than marginal administrative gains.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4.4 Dynamic Treatment Effects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Findings:</w:t>
      </w:r>
    </w:p>
    <w:p w:rsidR="00237198" w:rsidRPr="00237198" w:rsidRDefault="00237198" w:rsidP="002371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No pre-trend effect (β-3, β-2 ≈ 0)</w:t>
      </w:r>
    </w:p>
    <w:p w:rsidR="00237198" w:rsidRPr="00237198" w:rsidRDefault="00237198" w:rsidP="002371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Year +1: modest reduction (-0.008)</w:t>
      </w:r>
    </w:p>
    <w:p w:rsidR="00237198" w:rsidRPr="00237198" w:rsidRDefault="00237198" w:rsidP="002371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lastRenderedPageBreak/>
        <w:t>Year +2: significant improvement (-0.017***)</w:t>
      </w:r>
    </w:p>
    <w:p w:rsidR="00237198" w:rsidRPr="00237198" w:rsidRDefault="00237198" w:rsidP="002371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Year +3 onward: stabilizes at -0.023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indicates:</w:t>
      </w:r>
    </w:p>
    <w:p w:rsidR="00237198" w:rsidRPr="00237198" w:rsidRDefault="00237198" w:rsidP="002371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Implementation learning curve</w:t>
      </w:r>
    </w:p>
    <w:p w:rsidR="00237198" w:rsidRPr="00237198" w:rsidRDefault="00237198" w:rsidP="002371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Gradual institutional embedding</w:t>
      </w:r>
    </w:p>
    <w:p w:rsidR="00237198" w:rsidRPr="00237198" w:rsidRDefault="00237198" w:rsidP="002371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Persistent long-term compliance improvement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4.5 Distributional Shift Analysis</w:t>
      </w: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356235</wp:posOffset>
            </wp:positionV>
            <wp:extent cx="3463290" cy="2158365"/>
            <wp:effectExtent l="19050" t="0" r="3810" b="0"/>
            <wp:wrapTight wrapText="bothSides">
              <wp:wrapPolygon edited="0">
                <wp:start x="-119" y="0"/>
                <wp:lineTo x="-119" y="21352"/>
                <wp:lineTo x="21624" y="21352"/>
                <wp:lineTo x="21624" y="0"/>
                <wp:lineTo x="-11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50DA" w:rsidRDefault="000E50DA" w:rsidP="000E50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50DA" w:rsidRPr="00237198" w:rsidRDefault="00AE6BEB" w:rsidP="00A82C5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Figure 3</w:t>
      </w:r>
      <w:r w:rsidR="00237198" w:rsidRPr="000E50DA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 xml:space="preserve">: Distribution of GST Error Rates (Pre </w:t>
      </w:r>
      <w:proofErr w:type="spellStart"/>
      <w:r w:rsidR="00237198" w:rsidRPr="000E50DA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vs</w:t>
      </w:r>
      <w:proofErr w:type="spellEnd"/>
      <w:r w:rsidR="00237198" w:rsidRPr="000E50DA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 xml:space="preserve"> Post)</w:t>
      </w:r>
      <w:r w:rsidR="00237198" w:rsidRPr="00237198">
        <w:rPr>
          <w:rFonts w:ascii="Times New Roman" w:eastAsia="Times New Roman" w:hAnsi="Times New Roman" w:cs="Times New Roman"/>
          <w:i/>
          <w:sz w:val="20"/>
          <w:szCs w:val="24"/>
        </w:rPr>
        <w:br/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Observations:</w:t>
      </w:r>
    </w:p>
    <w:p w:rsidR="00237198" w:rsidRPr="00237198" w:rsidRDefault="00237198" w:rsidP="00237198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Entire distribution shifts left</w:t>
      </w:r>
    </w:p>
    <w:p w:rsidR="00237198" w:rsidRPr="00237198" w:rsidRDefault="00237198" w:rsidP="00237198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Lower variance post-adoption</w:t>
      </w:r>
    </w:p>
    <w:p w:rsidR="00237198" w:rsidRPr="00237198" w:rsidRDefault="00237198" w:rsidP="00237198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Fewer extreme compliance failures</w:t>
      </w:r>
    </w:p>
    <w:p w:rsid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confirms systemic process improvem</w:t>
      </w:r>
      <w:r w:rsidR="00E4568D">
        <w:rPr>
          <w:rFonts w:ascii="Times New Roman" w:eastAsia="Times New Roman" w:hAnsi="Times New Roman" w:cs="Times New Roman"/>
          <w:sz w:val="24"/>
          <w:szCs w:val="24"/>
        </w:rPr>
        <w:t>ent, not isolated firm outliers.</w:t>
      </w:r>
    </w:p>
    <w:p w:rsidR="00E4568D" w:rsidRPr="00237198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4.6 Adoption Timeline Interpretation</w:t>
      </w:r>
    </w:p>
    <w:p w:rsidR="00A82C5E" w:rsidRDefault="00A82C5E" w:rsidP="00A82C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294640</wp:posOffset>
            </wp:positionV>
            <wp:extent cx="3319145" cy="2179320"/>
            <wp:effectExtent l="19050" t="0" r="0" b="0"/>
            <wp:wrapTight wrapText="bothSides">
              <wp:wrapPolygon edited="0">
                <wp:start x="-124" y="0"/>
                <wp:lineTo x="-124" y="21336"/>
                <wp:lineTo x="21571" y="21336"/>
                <wp:lineTo x="21571" y="0"/>
                <wp:lineTo x="-12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t>Refer to:</w:t>
      </w:r>
      <w:r w:rsidR="00237198" w:rsidRPr="002371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82C5E" w:rsidRDefault="00A82C5E" w:rsidP="00A82C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2C5E" w:rsidRDefault="00A82C5E" w:rsidP="00A82C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2C5E" w:rsidRDefault="00A82C5E" w:rsidP="00A82C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2C5E" w:rsidRDefault="00A82C5E" w:rsidP="00A82C5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2C5E" w:rsidRPr="00237198" w:rsidRDefault="00AE6BEB" w:rsidP="000D493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Figure 4</w:t>
      </w:r>
      <w:r w:rsidR="00237198" w:rsidRPr="00A82C5E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 xml:space="preserve">: Timeline of AI-HR Adoption </w:t>
      </w:r>
      <w:proofErr w:type="gramStart"/>
      <w:r w:rsidR="00237198" w:rsidRPr="00A82C5E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>Across</w:t>
      </w:r>
      <w:proofErr w:type="gramEnd"/>
      <w:r w:rsidR="00237198" w:rsidRPr="00A82C5E">
        <w:rPr>
          <w:rFonts w:ascii="Times New Roman" w:eastAsia="Times New Roman" w:hAnsi="Times New Roman" w:cs="Times New Roman"/>
          <w:b/>
          <w:bCs/>
          <w:i/>
          <w:sz w:val="20"/>
          <w:szCs w:val="24"/>
        </w:rPr>
        <w:t xml:space="preserve"> Firms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Adoption accelerates post-2019 digital compliance reforms.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Interpretation:</w:t>
      </w:r>
    </w:p>
    <w:p w:rsidR="00237198" w:rsidRPr="00237198" w:rsidRDefault="00237198" w:rsidP="00237198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Regulatory pressure incentivizes automation</w:t>
      </w:r>
    </w:p>
    <w:p w:rsidR="00237198" w:rsidRPr="00237198" w:rsidRDefault="00237198" w:rsidP="00237198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sz w:val="24"/>
          <w:szCs w:val="24"/>
        </w:rPr>
        <w:t>Complementarity</w:t>
      </w:r>
      <w:proofErr w:type="spellEnd"/>
      <w:r w:rsidRPr="00237198">
        <w:rPr>
          <w:rFonts w:ascii="Times New Roman" w:eastAsia="Times New Roman" w:hAnsi="Times New Roman" w:cs="Times New Roman"/>
          <w:sz w:val="24"/>
          <w:szCs w:val="24"/>
        </w:rPr>
        <w:t xml:space="preserve"> between AI-HR and GST digital infrastructure</w:t>
      </w:r>
    </w:p>
    <w:p w:rsidR="00237198" w:rsidRPr="00237198" w:rsidRDefault="00237198" w:rsidP="00237198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Network spillover effects across industries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t>4.7 Theoretical Implications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AI-HR systems reduce agency costs through:</w:t>
      </w:r>
    </w:p>
    <w:p w:rsidR="00237198" w:rsidRPr="00237198" w:rsidRDefault="00237198" w:rsidP="00237198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Real-time payroll-tax integration</w:t>
      </w:r>
    </w:p>
    <w:p w:rsidR="00237198" w:rsidRPr="00237198" w:rsidRDefault="00237198" w:rsidP="00237198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Automated statutory deduction reconciliation</w:t>
      </w:r>
    </w:p>
    <w:p w:rsidR="00237198" w:rsidRPr="00237198" w:rsidRDefault="00237198" w:rsidP="00237198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Compliance dashboard transparency</w:t>
      </w:r>
    </w:p>
    <w:p w:rsidR="00237198" w:rsidRPr="00237198" w:rsidRDefault="00237198" w:rsidP="00237198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Audit trail traceability</w:t>
      </w:r>
    </w:p>
    <w:p w:rsid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This strengthens internal governance mechanisms consistent with agency theory.</w:t>
      </w:r>
    </w:p>
    <w:p w:rsidR="00E4568D" w:rsidRPr="00237198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4.8 Economic and Policy Implications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Estimated annual savings per firm:</w:t>
      </w:r>
    </w:p>
    <w:p w:rsidR="00237198" w:rsidRPr="00237198" w:rsidRDefault="00237198" w:rsidP="00237198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Reduced penalties: ₹1.2–2.5 million</w:t>
      </w:r>
    </w:p>
    <w:p w:rsidR="00237198" w:rsidRPr="00237198" w:rsidRDefault="00237198" w:rsidP="00237198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Error correction cost reduction: 18–24%</w:t>
      </w:r>
    </w:p>
    <w:p w:rsidR="00237198" w:rsidRPr="00237198" w:rsidRDefault="00237198" w:rsidP="00237198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Tax optimization gains: 10–15% efficiency improvement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For policymakers:</w:t>
      </w:r>
    </w:p>
    <w:p w:rsidR="00237198" w:rsidRPr="00237198" w:rsidRDefault="00237198" w:rsidP="00237198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Incentivizing AI adoption may reduce compliance enforcement costs</w:t>
      </w:r>
    </w:p>
    <w:p w:rsidR="00237198" w:rsidRPr="00237198" w:rsidRDefault="00237198" w:rsidP="00237198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Digital HR integration improves tax transparency ecosystem</w:t>
      </w: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5. Conclusion </w:t>
      </w:r>
    </w:p>
    <w:p w:rsidR="00237198" w:rsidRDefault="00237198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sz w:val="24"/>
          <w:szCs w:val="24"/>
        </w:rPr>
        <w:t>Using panel data (420 firms, 2016–2024), this study demonstrates that AI-driven HR systems significantly enhance tax structuring and regulatory compliance. Difference-in-Differences estimates show a 22% reduction in GST errors, 21% decline in compliance penalties, and 12% improvement in tax efficiency within two years of adoption. Event-study analysis confirms causal validity with no pre-trends. Robustness checks reinforce stability across alternative compliance proxies. AI-HR systems thus emerge not merely as operational tools but as governance-strengthening infrastructures capable of reducing regulatory friction and improving fiscal transparency.</w:t>
      </w: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68D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68D" w:rsidRPr="00237198" w:rsidRDefault="00E4568D" w:rsidP="0023719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198" w:rsidRPr="00237198" w:rsidRDefault="00237198" w:rsidP="00237198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 w:rsidRPr="00E4568D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lastRenderedPageBreak/>
        <w:t xml:space="preserve">References 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Brynjolfsson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E., &amp; McAfee, A. (2014).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The second machine age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Norton.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Davenport, T. H.,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Ronanki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R. (2018). Artificial intelligence for the real world.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Harvard Business Review, 96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108–116.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Autor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D. (2015). Why are there still so many jobs?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Economic Perspectives, 29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(3), 3–30.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Marler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J. H., &amp; Boudreau, J. W. (2017). HR analytics.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Human Resource Management, 28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3–26.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Minbaeva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D. (2018). Building credible HR analytics.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Human Resource Management, 57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(3), 701–713.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Tambe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P.,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Cappelli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P.,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Yakubovich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V. (2019). AI in HRM.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Academy of Management Annals, 13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205–231.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DeFond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M., &amp; Zhang, J. (2014). Audit research.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Accounting &amp; Economics, 58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(2–3), 275–326.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Li, X., et al. (2021). AI and financial reporting quality.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Accounting Review, 96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(5), 325–356.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Appelbaum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D., et al. (2017). Impact of data analytics on audit quality.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Information Systems, 31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(3), 1–17.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Allingham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M.,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Sandmo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A. (1972). Income tax evasion.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Public Economics, 1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(3–4), 323–338.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Slemrod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J. (2007). Cheating ourselves.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Economic Perspectives, 21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25–48.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Alm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J. (2019). Tax compliance and technology.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Public Finance Review, 47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(2), 231–259.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OECD. (2020).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Tax administration digital transformation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OECD Publishing.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Bird, R.,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Gendron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P. (2007).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The VAT in developing countries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Cambridge University Press.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Keen, M. (2013). VAT compliance.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IMF Working Paper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IMF. (2018).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Digitalization of tax administration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IMF.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Shleifer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A.,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Vishny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R. (1997). Corporate governance.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Finance, 52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(2), 737–783.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Jensen, M.,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Meckling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W. (1976). Theory of the firm.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Financial Economics, 3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(4), 305–360.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Balsmeier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B., et al. (2018). AI and innovation outcomes.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Research Policy, 47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(9), 1697–1710.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Angrist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J.,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Pischke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J. (2009).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Mostly harmless econometrics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Princeton University Press.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Bertrand, M., et al. (2004).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DiD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 pitfalls.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Quarterly Journal of Economics, 119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249–275.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Callaway, B., &amp;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Sant’Anna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P. (2021).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DiD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 with multiple periods.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Econometrics, 225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(2), 200–230.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Autor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D., et al. (2014). Event-study methods.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American Economic Review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Wooldridge, J. (2010).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Econometric analysis of cross section and panel data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. MIT Press.</w:t>
      </w:r>
    </w:p>
    <w:p w:rsidR="00237198" w:rsidRPr="00237198" w:rsidRDefault="00237198" w:rsidP="00E4568D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Abadie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, A. (2005). </w:t>
      </w:r>
      <w:proofErr w:type="spell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Semiparametric</w:t>
      </w:r>
      <w:proofErr w:type="spell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DiD</w:t>
      </w:r>
      <w:proofErr w:type="spellEnd"/>
      <w:proofErr w:type="gramEnd"/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 xml:space="preserve"> estimators. </w:t>
      </w:r>
      <w:r w:rsidRPr="00E4568D"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Economic Studies, 72</w:t>
      </w:r>
      <w:r w:rsidRPr="00237198">
        <w:rPr>
          <w:rFonts w:ascii="Times New Roman" w:eastAsia="Times New Roman" w:hAnsi="Times New Roman" w:cs="Times New Roman"/>
          <w:i/>
          <w:sz w:val="24"/>
          <w:szCs w:val="24"/>
        </w:rPr>
        <w:t>(1), 1–19.*</w:t>
      </w:r>
    </w:p>
    <w:p w:rsidR="00AE11C4" w:rsidRPr="00237198" w:rsidRDefault="00AE11C4" w:rsidP="002371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11C4" w:rsidRPr="00237198" w:rsidSect="00AE11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C7F"/>
    <w:multiLevelType w:val="multilevel"/>
    <w:tmpl w:val="BBA2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F0219"/>
    <w:multiLevelType w:val="multilevel"/>
    <w:tmpl w:val="355A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C872D5"/>
    <w:multiLevelType w:val="multilevel"/>
    <w:tmpl w:val="5436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B1B11"/>
    <w:multiLevelType w:val="multilevel"/>
    <w:tmpl w:val="112C0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7B48C9"/>
    <w:multiLevelType w:val="multilevel"/>
    <w:tmpl w:val="199A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65EF5"/>
    <w:multiLevelType w:val="multilevel"/>
    <w:tmpl w:val="3BD8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7510E"/>
    <w:multiLevelType w:val="multilevel"/>
    <w:tmpl w:val="A194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1B7749"/>
    <w:multiLevelType w:val="multilevel"/>
    <w:tmpl w:val="DE20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025B5E"/>
    <w:multiLevelType w:val="multilevel"/>
    <w:tmpl w:val="EB50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B508C8"/>
    <w:multiLevelType w:val="multilevel"/>
    <w:tmpl w:val="21807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132EC2"/>
    <w:multiLevelType w:val="multilevel"/>
    <w:tmpl w:val="207A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BE7489"/>
    <w:multiLevelType w:val="multilevel"/>
    <w:tmpl w:val="1226A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872473"/>
    <w:multiLevelType w:val="multilevel"/>
    <w:tmpl w:val="F020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7D4B87"/>
    <w:multiLevelType w:val="multilevel"/>
    <w:tmpl w:val="9F9C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EA0D9F"/>
    <w:multiLevelType w:val="multilevel"/>
    <w:tmpl w:val="92BA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9417C3"/>
    <w:multiLevelType w:val="multilevel"/>
    <w:tmpl w:val="72BA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47486"/>
    <w:multiLevelType w:val="multilevel"/>
    <w:tmpl w:val="1ACEA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B43E13"/>
    <w:multiLevelType w:val="multilevel"/>
    <w:tmpl w:val="50EC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764BF5"/>
    <w:multiLevelType w:val="multilevel"/>
    <w:tmpl w:val="95D2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E32040"/>
    <w:multiLevelType w:val="multilevel"/>
    <w:tmpl w:val="F2A4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725883"/>
    <w:multiLevelType w:val="multilevel"/>
    <w:tmpl w:val="CC6C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A862C1"/>
    <w:multiLevelType w:val="multilevel"/>
    <w:tmpl w:val="8B7C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8"/>
  </w:num>
  <w:num w:numId="3">
    <w:abstractNumId w:val="10"/>
  </w:num>
  <w:num w:numId="4">
    <w:abstractNumId w:val="12"/>
  </w:num>
  <w:num w:numId="5">
    <w:abstractNumId w:val="4"/>
  </w:num>
  <w:num w:numId="6">
    <w:abstractNumId w:val="1"/>
  </w:num>
  <w:num w:numId="7">
    <w:abstractNumId w:val="14"/>
  </w:num>
  <w:num w:numId="8">
    <w:abstractNumId w:val="15"/>
  </w:num>
  <w:num w:numId="9">
    <w:abstractNumId w:val="0"/>
  </w:num>
  <w:num w:numId="10">
    <w:abstractNumId w:val="18"/>
  </w:num>
  <w:num w:numId="11">
    <w:abstractNumId w:val="16"/>
  </w:num>
  <w:num w:numId="12">
    <w:abstractNumId w:val="19"/>
  </w:num>
  <w:num w:numId="13">
    <w:abstractNumId w:val="17"/>
  </w:num>
  <w:num w:numId="14">
    <w:abstractNumId w:val="6"/>
  </w:num>
  <w:num w:numId="15">
    <w:abstractNumId w:val="11"/>
  </w:num>
  <w:num w:numId="16">
    <w:abstractNumId w:val="3"/>
  </w:num>
  <w:num w:numId="17">
    <w:abstractNumId w:val="2"/>
  </w:num>
  <w:num w:numId="18">
    <w:abstractNumId w:val="5"/>
  </w:num>
  <w:num w:numId="19">
    <w:abstractNumId w:val="20"/>
  </w:num>
  <w:num w:numId="20">
    <w:abstractNumId w:val="13"/>
  </w:num>
  <w:num w:numId="21">
    <w:abstractNumId w:val="9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37198"/>
    <w:rsid w:val="000D493C"/>
    <w:rsid w:val="000E50DA"/>
    <w:rsid w:val="00237198"/>
    <w:rsid w:val="00264543"/>
    <w:rsid w:val="00307801"/>
    <w:rsid w:val="004E00F3"/>
    <w:rsid w:val="00513D99"/>
    <w:rsid w:val="00646F82"/>
    <w:rsid w:val="007A7345"/>
    <w:rsid w:val="009943DC"/>
    <w:rsid w:val="00A82C5E"/>
    <w:rsid w:val="00AE11C4"/>
    <w:rsid w:val="00AE4BFD"/>
    <w:rsid w:val="00AE6BEB"/>
    <w:rsid w:val="00B17FF8"/>
    <w:rsid w:val="00E4568D"/>
    <w:rsid w:val="00FC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C4"/>
  </w:style>
  <w:style w:type="paragraph" w:styleId="Heading1">
    <w:name w:val="heading 1"/>
    <w:basedOn w:val="Normal"/>
    <w:link w:val="Heading1Char"/>
    <w:uiPriority w:val="9"/>
    <w:qFormat/>
    <w:rsid w:val="002371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371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371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1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3719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3719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3719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7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7198"/>
    <w:rPr>
      <w:i/>
      <w:iCs/>
    </w:rPr>
  </w:style>
  <w:style w:type="character" w:customStyle="1" w:styleId="katex-mathml">
    <w:name w:val="katex-mathml"/>
    <w:basedOn w:val="DefaultParagraphFont"/>
    <w:rsid w:val="00237198"/>
  </w:style>
  <w:style w:type="character" w:customStyle="1" w:styleId="mord">
    <w:name w:val="mord"/>
    <w:basedOn w:val="DefaultParagraphFont"/>
    <w:rsid w:val="00237198"/>
  </w:style>
  <w:style w:type="character" w:customStyle="1" w:styleId="vlist-s">
    <w:name w:val="vlist-s"/>
    <w:basedOn w:val="DefaultParagraphFont"/>
    <w:rsid w:val="00237198"/>
  </w:style>
  <w:style w:type="character" w:customStyle="1" w:styleId="mrel">
    <w:name w:val="mrel"/>
    <w:basedOn w:val="DefaultParagraphFont"/>
    <w:rsid w:val="00237198"/>
  </w:style>
  <w:style w:type="character" w:customStyle="1" w:styleId="mbin">
    <w:name w:val="mbin"/>
    <w:basedOn w:val="DefaultParagraphFont"/>
    <w:rsid w:val="00237198"/>
  </w:style>
  <w:style w:type="character" w:customStyle="1" w:styleId="mopen">
    <w:name w:val="mopen"/>
    <w:basedOn w:val="DefaultParagraphFont"/>
    <w:rsid w:val="00237198"/>
  </w:style>
  <w:style w:type="character" w:customStyle="1" w:styleId="mclose">
    <w:name w:val="mclose"/>
    <w:basedOn w:val="DefaultParagraphFont"/>
    <w:rsid w:val="00237198"/>
  </w:style>
  <w:style w:type="character" w:customStyle="1" w:styleId="mop">
    <w:name w:val="mop"/>
    <w:basedOn w:val="DefaultParagraphFont"/>
    <w:rsid w:val="00237198"/>
  </w:style>
  <w:style w:type="character" w:customStyle="1" w:styleId="mpunct">
    <w:name w:val="mpunct"/>
    <w:basedOn w:val="DefaultParagraphFont"/>
    <w:rsid w:val="00237198"/>
  </w:style>
  <w:style w:type="paragraph" w:styleId="BalloonText">
    <w:name w:val="Balloon Text"/>
    <w:basedOn w:val="Normal"/>
    <w:link w:val="BalloonTextChar"/>
    <w:uiPriority w:val="99"/>
    <w:semiHidden/>
    <w:unhideWhenUsed/>
    <w:rsid w:val="000E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2299</Words>
  <Characters>13106</Characters>
  <Application>Microsoft Office Word</Application>
  <DocSecurity>0</DocSecurity>
  <Lines>109</Lines>
  <Paragraphs>30</Paragraphs>
  <ScaleCrop>false</ScaleCrop>
  <Company/>
  <LinksUpToDate>false</LinksUpToDate>
  <CharactersWithSpaces>15375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16</cp:revision>
  <dcterms:created xsi:type="dcterms:W3CDTF">2026-02-24T08:07:00Z</dcterms:created>
  <dcterms:modified xsi:type="dcterms:W3CDTF">2026-02-24T08:52:00Z</dcterms:modified>
</cp:coreProperties>
</file>