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634" w:rsidRDefault="0046008D" w:rsidP="00796637">
      <w:pPr>
        <w:spacing w:before="100" w:beforeAutospacing="1" w:after="100" w:afterAutospacing="1"/>
        <w:jc w:val="center"/>
        <w:outlineLvl w:val="0"/>
        <w:rPr>
          <w:rFonts w:eastAsiaTheme="minorHAnsi"/>
        </w:rPr>
      </w:pPr>
      <w:r w:rsidRPr="002D1513">
        <w:rPr>
          <w:b/>
          <w:color w:val="000000"/>
          <w:sz w:val="26"/>
          <w:szCs w:val="26"/>
        </w:rPr>
        <w:t xml:space="preserve">Rewards and Employee Performance in Government Agencies: A </w:t>
      </w:r>
      <w:r w:rsidR="002D1513">
        <w:rPr>
          <w:b/>
          <w:color w:val="000000"/>
          <w:sz w:val="26"/>
          <w:szCs w:val="26"/>
        </w:rPr>
        <w:t xml:space="preserve">evidence </w:t>
      </w:r>
      <w:r w:rsidR="002D1513" w:rsidRPr="002D1513">
        <w:rPr>
          <w:b/>
          <w:color w:val="000000"/>
          <w:sz w:val="26"/>
          <w:szCs w:val="26"/>
        </w:rPr>
        <w:t>of</w:t>
      </w:r>
      <w:r w:rsidRPr="002D1513">
        <w:rPr>
          <w:b/>
          <w:color w:val="000000"/>
          <w:sz w:val="26"/>
          <w:szCs w:val="26"/>
        </w:rPr>
        <w:t xml:space="preserve"> </w:t>
      </w:r>
      <w:r w:rsidR="002D1513">
        <w:rPr>
          <w:b/>
          <w:color w:val="000000"/>
          <w:sz w:val="26"/>
          <w:szCs w:val="26"/>
        </w:rPr>
        <w:t>Kampala Capital City Authority-</w:t>
      </w:r>
      <w:r w:rsidR="002D1513" w:rsidRPr="002D1513">
        <w:rPr>
          <w:b/>
          <w:color w:val="000000"/>
          <w:sz w:val="26"/>
          <w:szCs w:val="26"/>
        </w:rPr>
        <w:t>KCCA</w:t>
      </w:r>
      <w:r w:rsidR="002D1513">
        <w:rPr>
          <w:b/>
          <w:color w:val="000000"/>
          <w:sz w:val="26"/>
          <w:szCs w:val="26"/>
        </w:rPr>
        <w:t>, Uganda</w:t>
      </w:r>
      <w:r w:rsidR="00796637" w:rsidRPr="00796637">
        <w:rPr>
          <w:rFonts w:eastAsiaTheme="minorHAnsi"/>
        </w:rPr>
        <w:t xml:space="preserve"> </w:t>
      </w:r>
    </w:p>
    <w:p w:rsidR="00A21634" w:rsidRPr="00A21634" w:rsidRDefault="00796637" w:rsidP="00A21634">
      <w:pPr>
        <w:spacing w:before="100" w:beforeAutospacing="1" w:after="100" w:afterAutospacing="1"/>
        <w:contextualSpacing/>
        <w:jc w:val="center"/>
        <w:outlineLvl w:val="0"/>
        <w:rPr>
          <w:rFonts w:eastAsiaTheme="minorHAnsi"/>
        </w:rPr>
      </w:pPr>
      <w:r w:rsidRPr="00720E59">
        <w:rPr>
          <w:rFonts w:eastAsiaTheme="minorHAnsi"/>
        </w:rPr>
        <w:t xml:space="preserve">Kenneth Okello Otieno] ¹, </w:t>
      </w:r>
      <w:r w:rsidR="00A21634" w:rsidRPr="00720E59">
        <w:rPr>
          <w:rFonts w:eastAsiaTheme="minorHAnsi"/>
        </w:rPr>
        <w:t>[</w:t>
      </w:r>
      <w:r w:rsidR="00A21634">
        <w:rPr>
          <w:rFonts w:eastAsiaTheme="minorHAnsi"/>
        </w:rPr>
        <w:t>Norman Nabimanya</w:t>
      </w:r>
      <w:r w:rsidR="00A21634" w:rsidRPr="00720E59">
        <w:rPr>
          <w:rFonts w:eastAsiaTheme="minorHAnsi"/>
        </w:rPr>
        <w:t xml:space="preserve"> ]², </w:t>
      </w:r>
      <w:r w:rsidRPr="00720E59">
        <w:rPr>
          <w:rFonts w:eastAsiaTheme="minorHAnsi"/>
        </w:rPr>
        <w:t xml:space="preserve">[Gerald Muzaare </w:t>
      </w:r>
      <w:r w:rsidR="00A21634" w:rsidRPr="00A21634">
        <w:rPr>
          <w:rFonts w:eastAsiaTheme="minorHAnsi"/>
          <w:vertAlign w:val="superscript"/>
        </w:rPr>
        <w:t>3</w:t>
      </w:r>
      <w:r w:rsidRPr="00720E59">
        <w:rPr>
          <w:rFonts w:eastAsiaTheme="minorHAnsi"/>
        </w:rPr>
        <w:t>,</w:t>
      </w:r>
      <w:r w:rsidRPr="00720E59">
        <w:rPr>
          <w:rFonts w:eastAsiaTheme="minorHAnsi"/>
        </w:rPr>
        <w:br/>
        <w:t>¹[ PhD Student,-Kampala International University, Kampala, Uganda] • [okello.otieno.45748@studmc.kiu.ac.ug] [+256 783 848885]</w:t>
      </w:r>
    </w:p>
    <w:p w:rsidR="008C53BF" w:rsidRDefault="00A21634" w:rsidP="00BC3B77">
      <w:pPr>
        <w:spacing w:before="100" w:beforeAutospacing="1" w:after="100" w:afterAutospacing="1"/>
        <w:contextualSpacing/>
        <w:jc w:val="center"/>
        <w:outlineLvl w:val="0"/>
        <w:rPr>
          <w:rFonts w:eastAsiaTheme="minorHAnsi"/>
          <w:vertAlign w:val="superscript"/>
        </w:rPr>
      </w:pPr>
      <w:r w:rsidRPr="00720E59">
        <w:rPr>
          <w:rFonts w:eastAsiaTheme="minorHAnsi"/>
        </w:rPr>
        <w:t>[</w:t>
      </w:r>
      <w:r>
        <w:rPr>
          <w:rFonts w:eastAsiaTheme="minorHAnsi"/>
        </w:rPr>
        <w:t>norman.nabimanya</w:t>
      </w:r>
      <w:r w:rsidRPr="00720E59">
        <w:rPr>
          <w:rFonts w:eastAsiaTheme="minorHAnsi"/>
        </w:rPr>
        <w:t>@kiu.ac.ug]</w:t>
      </w:r>
      <w:r w:rsidRPr="00A21634">
        <w:rPr>
          <w:rFonts w:eastAsiaTheme="minorHAnsi"/>
          <w:vertAlign w:val="superscript"/>
        </w:rPr>
        <w:t xml:space="preserve">2 </w:t>
      </w:r>
      <w:r w:rsidRPr="00720E59">
        <w:rPr>
          <w:rFonts w:eastAsiaTheme="minorHAnsi"/>
        </w:rPr>
        <w:t>[+256</w:t>
      </w:r>
      <w:r>
        <w:rPr>
          <w:rFonts w:eastAsiaTheme="minorHAnsi"/>
        </w:rPr>
        <w:t xml:space="preserve"> 788984414</w:t>
      </w:r>
      <w:r w:rsidRPr="00720E59">
        <w:rPr>
          <w:rFonts w:eastAsiaTheme="minorHAnsi"/>
        </w:rPr>
        <w:t>]</w:t>
      </w:r>
      <w:r w:rsidR="00796637" w:rsidRPr="00720E59">
        <w:rPr>
          <w:rFonts w:eastAsiaTheme="minorHAnsi"/>
        </w:rPr>
        <w:br/>
        <w:t>[</w:t>
      </w:r>
      <w:r>
        <w:rPr>
          <w:rFonts w:eastAsiaTheme="minorHAnsi"/>
        </w:rPr>
        <w:t xml:space="preserve">gerald.muzaare@kiu.ac.ug, </w:t>
      </w:r>
      <w:r w:rsidR="00796637" w:rsidRPr="00720E59">
        <w:rPr>
          <w:rFonts w:eastAsiaTheme="minorHAnsi"/>
        </w:rPr>
        <w:t>Senior Lecturer-Kampala International University, Kampala, Uganda]</w:t>
      </w:r>
      <w:r w:rsidRPr="00A21634">
        <w:rPr>
          <w:rFonts w:eastAsiaTheme="minorHAnsi"/>
          <w:vertAlign w:val="superscript"/>
        </w:rPr>
        <w:t>3</w:t>
      </w:r>
    </w:p>
    <w:p w:rsidR="00BC3B77" w:rsidRPr="00BC3B77" w:rsidRDefault="00BC3B77" w:rsidP="00BC3B77">
      <w:pPr>
        <w:spacing w:before="100" w:beforeAutospacing="1" w:after="100" w:afterAutospacing="1"/>
        <w:contextualSpacing/>
        <w:jc w:val="center"/>
        <w:outlineLvl w:val="0"/>
        <w:rPr>
          <w:bCs/>
          <w:kern w:val="36"/>
          <w:sz w:val="24"/>
          <w:szCs w:val="24"/>
        </w:rPr>
      </w:pPr>
    </w:p>
    <w:p w:rsidR="00F17E3A" w:rsidRDefault="0046008D" w:rsidP="00F17E3A">
      <w:pPr>
        <w:spacing w:line="360" w:lineRule="auto"/>
        <w:jc w:val="both"/>
        <w:rPr>
          <w:sz w:val="24"/>
          <w:szCs w:val="24"/>
        </w:rPr>
      </w:pPr>
      <w:r w:rsidRPr="002D1513">
        <w:rPr>
          <w:b/>
          <w:bCs/>
          <w:color w:val="000000"/>
          <w:sz w:val="24"/>
          <w:szCs w:val="24"/>
        </w:rPr>
        <w:t>Abstract</w:t>
      </w:r>
    </w:p>
    <w:p w:rsidR="00F17E3A" w:rsidRPr="00F17E3A" w:rsidRDefault="00F17E3A" w:rsidP="00F17E3A">
      <w:pPr>
        <w:spacing w:line="276" w:lineRule="auto"/>
        <w:jc w:val="both"/>
        <w:rPr>
          <w:sz w:val="24"/>
          <w:szCs w:val="24"/>
        </w:rPr>
      </w:pPr>
      <w:r w:rsidRPr="00F17E3A">
        <w:rPr>
          <w:sz w:val="24"/>
          <w:szCs w:val="24"/>
        </w:rPr>
        <w:t>This research paper focuses on examining how reward systems are related to employee performance at government agencies with a particular reference to the Kampala Capital City Authority (KCCA) in Uganda. The study will help to assess the impact of various aspects of rewards such as compensation, performance recognition, career development opportunities as well as fringe benefits on employee motivation, job satisfaction and overall performance in workplace. The research is based on the motivational theories like Herzberg Two-Factor Theory and Maslow Hierarchy of Needs, hence, the study will be based on the mixed-methods research design, which combines quantitative and qualitative research designs. A sample consisting of 85 employees was gathered using stratified and purposive sampling methods and data were collected using structured questionnaires and interviews. Descriptive statistics, correlation analysis and multiple linear regression were used as analytical methods to establish the strength and significance of relationships between the variables in the study. The results indicate that the reward system has a statistically significant positive impact on employee performance in KCCA with fringe benefits and career development opportunities being identified as the most significant predictors, then compensation and performance recognition. The research also concludes that, although monetary rewards are significant, non-monetary rewards are critical in improving intrinsic motivation, employee engagement, as well as long-term job satisfaction especially within the framework of the public sector. Such results show that government agencies should develop and execute holistic and balanced reward plans that resonate with the expectations and organizational objectives of employees. The research paper adds to the available literature on the management of performance in the public sector, and offers practical policy suggestions to enhance the performance of service delivery, employee retention, and organizational performance in Uganda and other comparable situations.</w:t>
      </w:r>
    </w:p>
    <w:p w:rsidR="00F17E3A" w:rsidRPr="00F17E3A" w:rsidRDefault="00F17E3A" w:rsidP="00F17E3A">
      <w:pPr>
        <w:spacing w:line="360" w:lineRule="auto"/>
        <w:jc w:val="both"/>
        <w:rPr>
          <w:i/>
          <w:iCs/>
          <w:sz w:val="24"/>
          <w:szCs w:val="24"/>
        </w:rPr>
      </w:pPr>
      <w:r w:rsidRPr="00F17E3A">
        <w:rPr>
          <w:b/>
          <w:bCs/>
          <w:sz w:val="24"/>
          <w:szCs w:val="24"/>
        </w:rPr>
        <w:t>Keywords</w:t>
      </w:r>
      <w:r w:rsidRPr="00F17E3A">
        <w:rPr>
          <w:sz w:val="24"/>
          <w:szCs w:val="24"/>
        </w:rPr>
        <w:t xml:space="preserve">: </w:t>
      </w:r>
      <w:r w:rsidRPr="00F17E3A">
        <w:rPr>
          <w:i/>
          <w:iCs/>
          <w:sz w:val="24"/>
          <w:szCs w:val="24"/>
        </w:rPr>
        <w:t>Employee performance; reward system; compensation; performance recognition; career development; fringe benefits; employee motivation; job satisfaction; public sector; Kampala Capital City Authority (KCCA).</w:t>
      </w:r>
    </w:p>
    <w:p w:rsidR="00F57657" w:rsidRPr="00F57657" w:rsidRDefault="00F57657" w:rsidP="00796637">
      <w:pPr>
        <w:spacing w:line="360" w:lineRule="auto"/>
        <w:jc w:val="both"/>
        <w:rPr>
          <w:b/>
          <w:bCs/>
          <w:sz w:val="24"/>
          <w:szCs w:val="24"/>
        </w:rPr>
      </w:pPr>
      <w:r w:rsidRPr="00F57657">
        <w:rPr>
          <w:b/>
          <w:bCs/>
          <w:sz w:val="24"/>
          <w:szCs w:val="24"/>
        </w:rPr>
        <w:t>Introduction</w:t>
      </w:r>
      <w:bookmarkStart w:id="0" w:name="_GoBack"/>
      <w:bookmarkEnd w:id="0"/>
    </w:p>
    <w:p w:rsidR="00F57657" w:rsidRPr="00F57657" w:rsidRDefault="00F57657" w:rsidP="00796637">
      <w:pPr>
        <w:spacing w:line="360" w:lineRule="auto"/>
        <w:jc w:val="both"/>
        <w:rPr>
          <w:sz w:val="24"/>
          <w:szCs w:val="24"/>
        </w:rPr>
      </w:pPr>
      <w:r w:rsidRPr="00F57657">
        <w:rPr>
          <w:sz w:val="24"/>
          <w:szCs w:val="24"/>
        </w:rPr>
        <w:t xml:space="preserve">Reward systems are important in motivating employees at international levels. These systems are a reflection of the overall organizational approach toward motivating employees to give their best to come up with new ideas that can transform business operations and improve the overall company performance, both monetarily and otherwise (Emrić, 2024). The overall </w:t>
      </w:r>
      <w:r w:rsidRPr="00F57657">
        <w:rPr>
          <w:sz w:val="24"/>
          <w:szCs w:val="24"/>
        </w:rPr>
        <w:lastRenderedPageBreak/>
        <w:t xml:space="preserve">compensation, including the salary, benefits, work-life balance, performance rewarding, and skill training, determines how an organization attracts, motivates, and retains workers. It is also an arsenal where an organization can provide and modify incentives which bring value to both the organization and the employees (Khairy et al., 2023). (Ali &amp; Anwar, 2021) argue that organizations must address employee expectations, necessitating an understanding of employee rewards and their impact on motivation and job satisfaction. According to them, the organizational reward system affects job satisfaction and motivation (Ali &amp; Anwar, 2021). The reward system has an impact on job satisfaction by determining the level of comfort employees get depending on rewards given to them. Moreover, motivation mainly depends on the perceived value of the rewards and the effect they might have on performance (Manzoor et al., 2021). Effective human resource strategies have become the source of worry among organizations in different parts of the world as an effort to improve the efficiency of their operations (Holbeche, 2022). Evidently, the productivity of employees in an expanding organization is a very significant issue in the overall performance of the organization. Rightly called human resources in modern organizations, employees have been considered as the most valuable resources to achieve success in the banking industry (Ali and Anwar, 2021). In developed states, entities consider them important assets that demand much consideration in terms of development (Saks, 2021). </w:t>
      </w:r>
    </w:p>
    <w:p w:rsidR="00F57657" w:rsidRPr="00F57657" w:rsidRDefault="00F57657" w:rsidP="00796637">
      <w:pPr>
        <w:spacing w:line="360" w:lineRule="auto"/>
        <w:jc w:val="both"/>
        <w:rPr>
          <w:sz w:val="24"/>
          <w:szCs w:val="24"/>
        </w:rPr>
      </w:pPr>
      <w:r w:rsidRPr="00F57657">
        <w:rPr>
          <w:sz w:val="24"/>
          <w:szCs w:val="24"/>
        </w:rPr>
        <w:t xml:space="preserve">In the United States, remuneration can be viewed as any type of compensation given by an employee in exchange of his or her labor Authors (Cropanzano et al., 2022) propose that employees might view remuneration as a mutual agreement between the employee and the employer, as an entitlement to being employed, or as a reward to be earned by a successful performance. The incentives that companies give to their employees regarding the efforts they make to the company are both monetary and non-monetary (Elrayah and Semlali, 2023). Authors (Ayi, 2023) opine that organizations must institute reward systems that incorporate both non-monetary and monetary elements to the satisfaction of the various needs of the employees, hence escalating employee engagement and performance levels. Examples of non-monetary rewards include recognition, promotion opportunities, greater responsibilities and personal growth (Mohammad &amp; Mohammad, 2023). These programs are meant to influence employees by satisfying their needs that are of value, as well as to meet the organizational goals since the success of an organization is directly related to its human resource. To be successful in organizations, a motivated workforce is essential since highly engaged employees are more likely to perform to their fullest potential and work harder than their less motivated colleagues </w:t>
      </w:r>
      <w:r w:rsidRPr="00F57657">
        <w:rPr>
          <w:sz w:val="24"/>
          <w:szCs w:val="24"/>
        </w:rPr>
        <w:lastRenderedPageBreak/>
        <w:t>(Iddekinge et al., 2022). In a study carried out by (Hilton et al., 2021), it was found out that rewards were positively correlated with corporate performance. The main factor that led to the witnessed improvement in performance was the fact that most employees were driven by the rewards to work harder. The research also revealed that though there were tremendous reward packages in the organization, not all the staff members knew about them. It is thus important that employees should be made aware of the reward components to be included in their employment contracts. A related study, (Manjenje and Muhanga, 2021), ' Financial and non-financial incentives best practices in work organisations: a critical review of literature, found that the most common incentives used by national banks to retain employees and increase their performance were comprehensive compensation packages, job security, challenging and interesting positions, and promising career advancement. This strategy was successful because it alleviated organizational knowledge loss, minimized customer service disruption and lowered turnover expenses hence enhanced overall performance.</w:t>
      </w:r>
    </w:p>
    <w:p w:rsidR="00F57657" w:rsidRPr="00F57657" w:rsidRDefault="00F57657" w:rsidP="00796637">
      <w:pPr>
        <w:spacing w:line="360" w:lineRule="auto"/>
        <w:jc w:val="both"/>
        <w:rPr>
          <w:sz w:val="24"/>
          <w:szCs w:val="24"/>
        </w:rPr>
      </w:pPr>
      <w:r w:rsidRPr="00F57657">
        <w:rPr>
          <w:sz w:val="24"/>
          <w:szCs w:val="24"/>
        </w:rPr>
        <w:t>The proposed study (Investigating The Impact of Organizational Culture on Employee Retention: Moderating Role of Employee Engagement, 2023) assumes that the reward systems design can be significant to align with the organization culture. These systems assist managers in conveying the desired behaviors to members of an organization (Sung and Kim, 2021). Managers who explain that they are worried that their subordinates are not motivated enough ought to consider the possibility that the reward systems they have adopted are unintentionally encouraging behaviors that are not in line with their goals (Widarko &amp; Anwarodin, 2022).</w:t>
      </w:r>
    </w:p>
    <w:p w:rsidR="00F57657" w:rsidRPr="00F57657" w:rsidRDefault="00F57657" w:rsidP="00796637">
      <w:pPr>
        <w:spacing w:line="360" w:lineRule="auto"/>
        <w:jc w:val="both"/>
        <w:rPr>
          <w:sz w:val="24"/>
          <w:szCs w:val="24"/>
        </w:rPr>
      </w:pPr>
      <w:r w:rsidRPr="00F57657">
        <w:rPr>
          <w:sz w:val="24"/>
          <w:szCs w:val="24"/>
        </w:rPr>
        <w:t xml:space="preserve">In East African countries like Tanzania, as with many other countries, employees are inspired by different types of remuneration (Katabalo &amp; Mwita, 2024). To ensure that organizations achieve high levels of performance, organizations need to offer their employees sufficient rewards to make a work environment to be competitive and effective. Whereas certain employees can be mostly motivated by extrinsic rewards, including salary increment, promotions, and bonuses, others are motivated by intrinsic rewards, such as appreciation, praise, and recognition (Manzoor et al., 2021). Yet, the question of what kind of rewards is most likely to motivate the Tanzanian workforce to reach greater organizational performance, especially in the business sector, and this is what the current research will focus on. </w:t>
      </w:r>
    </w:p>
    <w:p w:rsidR="00F57657" w:rsidRPr="00F57657" w:rsidRDefault="00F57657" w:rsidP="00796637">
      <w:pPr>
        <w:spacing w:line="360" w:lineRule="auto"/>
        <w:jc w:val="both"/>
        <w:rPr>
          <w:sz w:val="24"/>
          <w:szCs w:val="24"/>
        </w:rPr>
      </w:pPr>
      <w:r w:rsidRPr="00F57657">
        <w:rPr>
          <w:sz w:val="24"/>
          <w:szCs w:val="24"/>
        </w:rPr>
        <w:t xml:space="preserve">Employers in Uganda are faced with the dilemma of determining the rewards which will meet the needs of the individual and boost the benefits and financial performance of the organization. (Mustafa &amp; Lleshi, 2024) suggests alternative compensation strategies that are more cost-effective, such as employee recognition, improved career development programs, enhanced </w:t>
      </w:r>
      <w:r w:rsidRPr="00F57657">
        <w:rPr>
          <w:sz w:val="24"/>
          <w:szCs w:val="24"/>
        </w:rPr>
        <w:lastRenderedPageBreak/>
        <w:t>organizational communication, and job advancement initiatives. Therefore, the researcher aimed to investigate, focusing on these aspects of an organization's compensation framework, the the influence of the compensation system on organizational performance.</w:t>
      </w:r>
    </w:p>
    <w:p w:rsidR="00F57657" w:rsidRPr="002D1513" w:rsidRDefault="00F57657" w:rsidP="00796637">
      <w:pPr>
        <w:spacing w:line="360" w:lineRule="auto"/>
        <w:jc w:val="both"/>
        <w:rPr>
          <w:sz w:val="24"/>
          <w:szCs w:val="24"/>
        </w:rPr>
      </w:pPr>
      <w:r w:rsidRPr="00F57657">
        <w:rPr>
          <w:sz w:val="24"/>
          <w:szCs w:val="24"/>
        </w:rPr>
        <w:t>Public sector organizations, for instance, have major hurdles related to low levels of performance among its employees, who are hamstrung by bureaucratic restraints and resource stringency as well as motivational deficiencies (Berman et al., 2021). The performance of an organisation is greatly affected by extrinsic and intrinsic motivation and therefore the relevance of rewards as a motivational method. KCCA, as one of the major administrative bodies promoting and implementing reforms in the management of Uganda’s capital city has followed different strategies that can encourage the employee performance by increasing their salaries, bonuses and other rewards (Asiimwe, 2020). Either way, the question arises as to whether these rewards indeed enhance the performance of employees particularly with the problems of budget cut-offs and accountability of outcomes that governmental organizations are grappling. The paper explores the relationship between the employees performance and rewards within Kampala Capital City Authority in Uganda (KCCA), which also adds to the wider discussion of the performance management of the public sector.</w:t>
      </w:r>
    </w:p>
    <w:p w:rsidR="00F57657" w:rsidRPr="00F57657" w:rsidRDefault="00F57657" w:rsidP="00796637">
      <w:pPr>
        <w:spacing w:line="360" w:lineRule="auto"/>
        <w:jc w:val="both"/>
        <w:rPr>
          <w:b/>
          <w:bCs/>
          <w:sz w:val="24"/>
          <w:szCs w:val="24"/>
        </w:rPr>
      </w:pPr>
      <w:r w:rsidRPr="00F57657">
        <w:rPr>
          <w:b/>
          <w:bCs/>
          <w:sz w:val="24"/>
          <w:szCs w:val="24"/>
        </w:rPr>
        <w:t xml:space="preserve">Problem Statement. </w:t>
      </w:r>
    </w:p>
    <w:p w:rsidR="00F57657" w:rsidRPr="00F57657" w:rsidRDefault="00F57657" w:rsidP="00796637">
      <w:pPr>
        <w:spacing w:line="360" w:lineRule="auto"/>
        <w:jc w:val="both"/>
        <w:rPr>
          <w:sz w:val="24"/>
          <w:szCs w:val="24"/>
        </w:rPr>
      </w:pPr>
      <w:r w:rsidRPr="00F57657">
        <w:rPr>
          <w:sz w:val="24"/>
          <w:szCs w:val="24"/>
        </w:rPr>
        <w:t>The performance of employees in any given institution that is public is essential in achieving certain objectives. Lately, Uganda has introduced many changes via the Ministry of Public Service that has formulated policies on compensation and retention in the public sector to increase service delivery, reform the compensation system, and motivate civil servants (Olum et al., 2024). Even with these far-reaching reforms, the Kampala Capital City Authority (KCCA) is still struggling to cope with the issue of employee retention, intensified competition, increased governmental regulation and rapid technological changes. Studies have shown that executive compensation is positively correlated with the desirable performance.</w:t>
      </w:r>
    </w:p>
    <w:p w:rsidR="00F57657" w:rsidRPr="00F57657" w:rsidRDefault="00F57657" w:rsidP="00796637">
      <w:pPr>
        <w:spacing w:line="360" w:lineRule="auto"/>
        <w:jc w:val="both"/>
        <w:rPr>
          <w:sz w:val="24"/>
          <w:szCs w:val="24"/>
        </w:rPr>
      </w:pPr>
      <w:r w:rsidRPr="00F57657">
        <w:rPr>
          <w:sz w:val="24"/>
          <w:szCs w:val="24"/>
        </w:rPr>
        <w:t>The officials of KCCA are also determined to attain high levels of excellence, which they think can be attained by the devotion and competence, equality in handling people and the observance of laws with integrity and transparency. However, the aim of total compensation packages is to improve the performance of employees as well as the overall effectiveness of the organization. Employees of KCCA have been criticized due to their perceived inadequate professionalism in their work which could be a consequence of work culture, poor pay, low motivation or a dislike of the job.</w:t>
      </w:r>
    </w:p>
    <w:p w:rsidR="00F57657" w:rsidRPr="00F57657" w:rsidRDefault="00F57657" w:rsidP="0069228A">
      <w:pPr>
        <w:spacing w:line="360" w:lineRule="auto"/>
        <w:jc w:val="both"/>
        <w:rPr>
          <w:sz w:val="24"/>
          <w:szCs w:val="24"/>
        </w:rPr>
      </w:pPr>
      <w:r w:rsidRPr="00F57657">
        <w:rPr>
          <w:sz w:val="24"/>
          <w:szCs w:val="24"/>
        </w:rPr>
        <w:lastRenderedPageBreak/>
        <w:t>Saeed and Siddiqui (2020) note that employee turnover rates are higher in the context of public institutions and especially when corruption accusations are perceived to be ongoing. As a result, these institutions have to redefine their benefits package to employees which include reward and recognition packages. The different government departments in Uganda have embraced different reward packages, which may be either monetary (extrinsic) or non-monetary (intrinsic) rewards. As an example, when it comes to financial incentives, salary raises are considered a key to employee satisfaction (Ali &amp; Anwar, 2021). There is however not much known about the effect of total reward systems on employee performance in KCCA. Considering these observations, this research was carried out to bridge gaps by filling gaps in terms of total rewards and its association with employee performance in KCCA public service. Thus, this study is needed.</w:t>
      </w:r>
    </w:p>
    <w:p w:rsidR="00F57657" w:rsidRPr="00F57657" w:rsidRDefault="00F57657" w:rsidP="00796637">
      <w:pPr>
        <w:spacing w:line="360" w:lineRule="auto"/>
        <w:jc w:val="both"/>
        <w:rPr>
          <w:b/>
          <w:bCs/>
          <w:sz w:val="24"/>
          <w:szCs w:val="24"/>
        </w:rPr>
      </w:pPr>
      <w:r w:rsidRPr="00F57657">
        <w:rPr>
          <w:b/>
          <w:bCs/>
          <w:sz w:val="24"/>
          <w:szCs w:val="24"/>
        </w:rPr>
        <w:t xml:space="preserve">Overall aim of the Study. </w:t>
      </w:r>
    </w:p>
    <w:p w:rsidR="00F57657" w:rsidRPr="00F57657" w:rsidRDefault="00F57657" w:rsidP="00796637">
      <w:pPr>
        <w:spacing w:line="360" w:lineRule="auto"/>
        <w:jc w:val="both"/>
        <w:rPr>
          <w:sz w:val="24"/>
          <w:szCs w:val="24"/>
        </w:rPr>
      </w:pPr>
      <w:r w:rsidRPr="00F57657">
        <w:rPr>
          <w:sz w:val="24"/>
          <w:szCs w:val="24"/>
        </w:rPr>
        <w:t xml:space="preserve">The study's overall objective is to investigate the connection between employee performance and rewards at Uganda's Kampala Capital City Authority (KCCA), a government organization.  </w:t>
      </w:r>
    </w:p>
    <w:p w:rsidR="00F57657" w:rsidRPr="00F57657" w:rsidRDefault="00F57657" w:rsidP="00796637">
      <w:pPr>
        <w:spacing w:line="360" w:lineRule="auto"/>
        <w:jc w:val="both"/>
        <w:rPr>
          <w:b/>
          <w:bCs/>
          <w:sz w:val="24"/>
          <w:szCs w:val="24"/>
        </w:rPr>
      </w:pPr>
      <w:r w:rsidRPr="00F57657">
        <w:rPr>
          <w:b/>
          <w:bCs/>
          <w:sz w:val="24"/>
          <w:szCs w:val="24"/>
        </w:rPr>
        <w:t xml:space="preserve">Study Objectives. </w:t>
      </w:r>
    </w:p>
    <w:p w:rsidR="00F57657" w:rsidRPr="00F57657" w:rsidRDefault="00F57657" w:rsidP="00796637">
      <w:pPr>
        <w:spacing w:line="360" w:lineRule="auto"/>
        <w:jc w:val="both"/>
        <w:rPr>
          <w:sz w:val="24"/>
          <w:szCs w:val="24"/>
        </w:rPr>
      </w:pPr>
      <w:r w:rsidRPr="00F57657">
        <w:rPr>
          <w:sz w:val="24"/>
          <w:szCs w:val="24"/>
        </w:rPr>
        <w:t xml:space="preserve">This research had the following objectives: </w:t>
      </w:r>
    </w:p>
    <w:p w:rsidR="00F57657" w:rsidRPr="00F57657" w:rsidRDefault="00F57657" w:rsidP="00A21634">
      <w:pPr>
        <w:spacing w:line="360" w:lineRule="auto"/>
        <w:jc w:val="both"/>
        <w:rPr>
          <w:sz w:val="24"/>
          <w:szCs w:val="24"/>
        </w:rPr>
      </w:pPr>
      <w:r w:rsidRPr="00F57657">
        <w:rPr>
          <w:sz w:val="24"/>
          <w:szCs w:val="24"/>
        </w:rPr>
        <w:t>i.</w:t>
      </w:r>
      <w:r w:rsidRPr="00F57657">
        <w:rPr>
          <w:sz w:val="24"/>
          <w:szCs w:val="24"/>
        </w:rPr>
        <w:tab/>
        <w:t xml:space="preserve">To determine the impact of compensation on the performance of employees in government agencies. </w:t>
      </w:r>
    </w:p>
    <w:p w:rsidR="00F57657" w:rsidRPr="00F57657" w:rsidRDefault="00F57657" w:rsidP="00A21634">
      <w:pPr>
        <w:spacing w:line="360" w:lineRule="auto"/>
        <w:jc w:val="both"/>
        <w:rPr>
          <w:sz w:val="24"/>
          <w:szCs w:val="24"/>
        </w:rPr>
      </w:pPr>
      <w:r w:rsidRPr="00F57657">
        <w:rPr>
          <w:sz w:val="24"/>
          <w:szCs w:val="24"/>
        </w:rPr>
        <w:t>ii.</w:t>
      </w:r>
      <w:r w:rsidRPr="00F57657">
        <w:rPr>
          <w:sz w:val="24"/>
          <w:szCs w:val="24"/>
        </w:rPr>
        <w:tab/>
        <w:t xml:space="preserve">To assess whether recognition schemes have an impact on employee performance in government agencies. </w:t>
      </w:r>
    </w:p>
    <w:p w:rsidR="00F57657" w:rsidRPr="00F57657" w:rsidRDefault="00F57657" w:rsidP="00A21634">
      <w:pPr>
        <w:spacing w:line="360" w:lineRule="auto"/>
        <w:jc w:val="both"/>
        <w:rPr>
          <w:sz w:val="24"/>
          <w:szCs w:val="24"/>
        </w:rPr>
      </w:pPr>
      <w:r w:rsidRPr="00F57657">
        <w:rPr>
          <w:sz w:val="24"/>
          <w:szCs w:val="24"/>
        </w:rPr>
        <w:t>iii.</w:t>
      </w:r>
      <w:r w:rsidRPr="00F57657">
        <w:rPr>
          <w:sz w:val="24"/>
          <w:szCs w:val="24"/>
        </w:rPr>
        <w:tab/>
        <w:t xml:space="preserve">To explore the effect of career development on employee performance in government agencies. </w:t>
      </w:r>
    </w:p>
    <w:p w:rsidR="00F57657" w:rsidRPr="00F57657" w:rsidRDefault="00F57657" w:rsidP="00A21634">
      <w:pPr>
        <w:spacing w:line="360" w:lineRule="auto"/>
        <w:jc w:val="both"/>
        <w:rPr>
          <w:sz w:val="24"/>
          <w:szCs w:val="24"/>
        </w:rPr>
      </w:pPr>
      <w:r w:rsidRPr="00F57657">
        <w:rPr>
          <w:sz w:val="24"/>
          <w:szCs w:val="24"/>
        </w:rPr>
        <w:t>iv.</w:t>
      </w:r>
      <w:r w:rsidRPr="00F57657">
        <w:rPr>
          <w:sz w:val="24"/>
          <w:szCs w:val="24"/>
        </w:rPr>
        <w:tab/>
        <w:t xml:space="preserve">To establish how fringe benefits influence the performance of the employees in government agencies. </w:t>
      </w:r>
    </w:p>
    <w:p w:rsidR="00F57657" w:rsidRPr="00F57657" w:rsidRDefault="00F57657" w:rsidP="00796637">
      <w:pPr>
        <w:spacing w:line="360" w:lineRule="auto"/>
        <w:jc w:val="both"/>
        <w:rPr>
          <w:b/>
          <w:bCs/>
          <w:sz w:val="24"/>
          <w:szCs w:val="24"/>
        </w:rPr>
      </w:pPr>
      <w:r w:rsidRPr="00F57657">
        <w:rPr>
          <w:b/>
          <w:bCs/>
          <w:sz w:val="24"/>
          <w:szCs w:val="24"/>
        </w:rPr>
        <w:t xml:space="preserve">Significance </w:t>
      </w:r>
    </w:p>
    <w:p w:rsidR="00F57657" w:rsidRPr="00F57657" w:rsidRDefault="00F57657" w:rsidP="00796637">
      <w:pPr>
        <w:spacing w:line="360" w:lineRule="auto"/>
        <w:jc w:val="both"/>
        <w:rPr>
          <w:sz w:val="24"/>
          <w:szCs w:val="24"/>
        </w:rPr>
      </w:pPr>
      <w:r w:rsidRPr="00F57657">
        <w:rPr>
          <w:sz w:val="24"/>
          <w:szCs w:val="24"/>
        </w:rPr>
        <w:t>This study is important because it explains the challenges associated with wage reform in the state sector. It is hoped that it will contribute to the existing body of knowledge on the topic of public sector reform. Moreover, it will likely serve the purpose of policy-making in terms of adjusting the pay system of civil servants by pointing to the impact of salary changes on KCCA workers.</w:t>
      </w:r>
    </w:p>
    <w:p w:rsidR="00F57657" w:rsidRPr="00F57657" w:rsidRDefault="00F57657" w:rsidP="00796637">
      <w:pPr>
        <w:spacing w:line="360" w:lineRule="auto"/>
        <w:jc w:val="both"/>
        <w:rPr>
          <w:b/>
          <w:bCs/>
          <w:sz w:val="24"/>
          <w:szCs w:val="24"/>
        </w:rPr>
      </w:pPr>
      <w:r w:rsidRPr="00F57657">
        <w:rPr>
          <w:b/>
          <w:bCs/>
          <w:sz w:val="24"/>
          <w:szCs w:val="24"/>
        </w:rPr>
        <w:lastRenderedPageBreak/>
        <w:t>Literature Review</w:t>
      </w:r>
    </w:p>
    <w:p w:rsidR="00F57657" w:rsidRPr="00F57657" w:rsidRDefault="00F57657" w:rsidP="00796637">
      <w:pPr>
        <w:spacing w:line="360" w:lineRule="auto"/>
        <w:jc w:val="both"/>
        <w:rPr>
          <w:b/>
          <w:bCs/>
          <w:sz w:val="24"/>
          <w:szCs w:val="24"/>
        </w:rPr>
      </w:pPr>
      <w:r w:rsidRPr="00F57657">
        <w:rPr>
          <w:b/>
          <w:bCs/>
          <w:sz w:val="24"/>
          <w:szCs w:val="24"/>
        </w:rPr>
        <w:t>Theoretical Framework</w:t>
      </w:r>
    </w:p>
    <w:p w:rsidR="00F57657" w:rsidRPr="00F57657" w:rsidRDefault="00F57657" w:rsidP="00796637">
      <w:pPr>
        <w:spacing w:line="360" w:lineRule="auto"/>
        <w:jc w:val="both"/>
        <w:rPr>
          <w:sz w:val="24"/>
          <w:szCs w:val="24"/>
        </w:rPr>
      </w:pPr>
      <w:r w:rsidRPr="00F57657">
        <w:rPr>
          <w:sz w:val="24"/>
          <w:szCs w:val="24"/>
        </w:rPr>
        <w:t>Incentives are essential to motivation of workers according to theories such as Herzberg Two-Factor Theory and Maslows hierarchy of needs. Although Herzberg recognizes motivators and hygiene factors as influencing job satisfaction, Maslows theory is more focused on the need to self actualize and be esteemed (Dunnette and Herzberg, 1967; Maslow, 1943).</w:t>
      </w:r>
    </w:p>
    <w:p w:rsidR="00F57657" w:rsidRPr="00F57657" w:rsidRDefault="00F57657" w:rsidP="00796637">
      <w:pPr>
        <w:spacing w:line="360" w:lineRule="auto"/>
        <w:jc w:val="both"/>
        <w:rPr>
          <w:sz w:val="24"/>
          <w:szCs w:val="24"/>
        </w:rPr>
      </w:pPr>
      <w:r w:rsidRPr="00F57657">
        <w:rPr>
          <w:sz w:val="24"/>
          <w:szCs w:val="24"/>
        </w:rPr>
        <w:t>Rewards and Performance of the Employees.</w:t>
      </w:r>
    </w:p>
    <w:p w:rsidR="00F57657" w:rsidRPr="00F57657" w:rsidRDefault="00F57657" w:rsidP="00796637">
      <w:pPr>
        <w:spacing w:line="360" w:lineRule="auto"/>
        <w:jc w:val="both"/>
        <w:rPr>
          <w:sz w:val="24"/>
          <w:szCs w:val="24"/>
        </w:rPr>
      </w:pPr>
      <w:r w:rsidRPr="00F57657">
        <w:rPr>
          <w:sz w:val="24"/>
          <w:szCs w:val="24"/>
        </w:rPr>
        <w:t>Recent studies have shown that there is a positive relationship between employee rewards and employee performance. Financial incentives greatly improve employee enthusiasm and performance (Manjenje &amp; Muhanga, 2021). Conversely, non-financial rewards such as rewards and career development are also essential to employee satisfaction (Moonlight, 2020).</w:t>
      </w:r>
    </w:p>
    <w:p w:rsidR="00F57657" w:rsidRPr="00F57657" w:rsidRDefault="00F57657" w:rsidP="00796637">
      <w:pPr>
        <w:spacing w:line="360" w:lineRule="auto"/>
        <w:jc w:val="both"/>
        <w:rPr>
          <w:sz w:val="24"/>
          <w:szCs w:val="24"/>
        </w:rPr>
      </w:pPr>
      <w:r w:rsidRPr="00F57657">
        <w:rPr>
          <w:sz w:val="24"/>
          <w:szCs w:val="24"/>
        </w:rPr>
        <w:t>Performance Management and Government Agencies.</w:t>
      </w:r>
    </w:p>
    <w:p w:rsidR="00F57657" w:rsidRPr="002D1513" w:rsidRDefault="00F57657" w:rsidP="00796637">
      <w:pPr>
        <w:spacing w:line="360" w:lineRule="auto"/>
        <w:jc w:val="both"/>
        <w:rPr>
          <w:sz w:val="24"/>
          <w:szCs w:val="24"/>
        </w:rPr>
      </w:pPr>
      <w:r w:rsidRPr="00F57657">
        <w:rPr>
          <w:sz w:val="24"/>
          <w:szCs w:val="24"/>
        </w:rPr>
        <w:t>The introduction of effective reward systems is often slowed down by bureaucratic hurdles in government agencies. However, studies indicate that customized incentive programs can enhance service performance and employee involvement (Ihemereze et al., 2023)</w:t>
      </w:r>
    </w:p>
    <w:p w:rsidR="008C53BF" w:rsidRPr="002D1513" w:rsidRDefault="0046008D" w:rsidP="00796637">
      <w:pPr>
        <w:spacing w:line="360" w:lineRule="auto"/>
        <w:jc w:val="both"/>
        <w:rPr>
          <w:sz w:val="24"/>
          <w:szCs w:val="24"/>
        </w:rPr>
      </w:pPr>
      <w:r w:rsidRPr="002D1513">
        <w:rPr>
          <w:b/>
          <w:bCs/>
          <w:color w:val="000000"/>
          <w:sz w:val="24"/>
          <w:szCs w:val="24"/>
        </w:rPr>
        <w:t xml:space="preserve">Conceptual Framework </w:t>
      </w:r>
    </w:p>
    <w:p w:rsidR="002D1513" w:rsidRPr="00F57657" w:rsidRDefault="00F57657" w:rsidP="00796637">
      <w:pPr>
        <w:spacing w:line="360" w:lineRule="auto"/>
        <w:jc w:val="both"/>
        <w:rPr>
          <w:sz w:val="24"/>
          <w:szCs w:val="24"/>
        </w:rPr>
      </w:pPr>
      <w:r w:rsidRPr="00F57657">
        <w:rPr>
          <w:sz w:val="24"/>
          <w:szCs w:val="24"/>
        </w:rPr>
        <w:t>The framework is a blueprint under which the research is based. Within this framework, the self-efficacy theory, Herzberg's motivation-hygiene theory, and Maslow's Hierarchy of Needs were used to examine the study's independent variable: the reward system. Figure 1 shows the links between the reward system and other different components like the compensation, fringe benefits, recognition programs and career development. Moreover, the moderating variables include government policies, organizational policies and employee performance at KCCA.</w:t>
      </w:r>
      <w:r w:rsidR="002D1513" w:rsidRPr="00F57657">
        <w:rPr>
          <w:sz w:val="24"/>
          <w:szCs w:val="24"/>
        </w:rPr>
        <w:t xml:space="preserve">Independent Variable (IV) </w:t>
      </w:r>
    </w:p>
    <w:p w:rsidR="002D1513" w:rsidRPr="00435CED" w:rsidRDefault="002D1513" w:rsidP="002D1513">
      <w:r w:rsidRPr="00435CED">
        <w:rPr>
          <w:noProof/>
        </w:rPr>
        <mc:AlternateContent>
          <mc:Choice Requires="wpg">
            <w:drawing>
              <wp:anchor distT="0" distB="0" distL="114300" distR="114300" simplePos="0" relativeHeight="251659264" behindDoc="0" locked="0" layoutInCell="1" allowOverlap="1" wp14:anchorId="713B52ED" wp14:editId="0BE92FF5">
                <wp:simplePos x="0" y="0"/>
                <wp:positionH relativeFrom="column">
                  <wp:posOffset>-9525</wp:posOffset>
                </wp:positionH>
                <wp:positionV relativeFrom="paragraph">
                  <wp:posOffset>15875</wp:posOffset>
                </wp:positionV>
                <wp:extent cx="4572000" cy="36766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4572000" cy="3676650"/>
                          <a:chOff x="0" y="0"/>
                          <a:chExt cx="4572000" cy="2933700"/>
                        </a:xfrm>
                      </wpg:grpSpPr>
                      <wps:wsp>
                        <wps:cNvPr id="4" name="Text Box 4"/>
                        <wps:cNvSpPr txBox="1"/>
                        <wps:spPr>
                          <a:xfrm>
                            <a:off x="2047875" y="2676525"/>
                            <a:ext cx="1390650" cy="257175"/>
                          </a:xfrm>
                          <a:prstGeom prst="rect">
                            <a:avLst/>
                          </a:prstGeom>
                          <a:solidFill>
                            <a:schemeClr val="lt1"/>
                          </a:solidFill>
                          <a:ln w="6350">
                            <a:solidFill>
                              <a:prstClr val="black"/>
                            </a:solidFill>
                          </a:ln>
                        </wps:spPr>
                        <wps:txbx>
                          <w:txbxContent>
                            <w:p w:rsidR="002D1513" w:rsidRPr="00FE45C6" w:rsidRDefault="002D1513" w:rsidP="002D1513">
                              <w:pPr>
                                <w:jc w:val="center"/>
                              </w:pPr>
                              <w:r w:rsidRPr="00FE45C6">
                                <w:t>Government Policy</w:t>
                              </w:r>
                            </w:p>
                            <w:p w:rsidR="002D1513" w:rsidRPr="00FE45C6" w:rsidRDefault="002D1513" w:rsidP="002D1513">
                              <w:pPr>
                                <w:jc w:val="center"/>
                              </w:pPr>
                            </w:p>
                            <w:p w:rsidR="002D1513" w:rsidRPr="00FE45C6" w:rsidRDefault="002D1513" w:rsidP="002D1513">
                              <w:pPr>
                                <w:jc w:val="center"/>
                              </w:pPr>
                            </w:p>
                            <w:p w:rsidR="002D1513" w:rsidRPr="00FE45C6" w:rsidRDefault="002D1513" w:rsidP="002D151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0" y="0"/>
                            <a:ext cx="4572000" cy="2762249"/>
                            <a:chOff x="0" y="0"/>
                            <a:chExt cx="4572000" cy="2762249"/>
                          </a:xfrm>
                        </wpg:grpSpPr>
                        <wps:wsp>
                          <wps:cNvPr id="6" name="Text Box 6"/>
                          <wps:cNvSpPr txBox="1"/>
                          <wps:spPr>
                            <a:xfrm>
                              <a:off x="2943225" y="487778"/>
                              <a:ext cx="1628775" cy="1153056"/>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Employee Performance</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Quality of services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Task’s completion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Team work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Dependability and reliability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Creativity of employee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0" y="0"/>
                              <a:ext cx="2076450" cy="2762249"/>
                              <a:chOff x="-8340" y="0"/>
                              <a:chExt cx="1818090" cy="2338084"/>
                            </a:xfrm>
                          </wpg:grpSpPr>
                          <wps:wsp>
                            <wps:cNvPr id="8" name="Text Box 8"/>
                            <wps:cNvSpPr txBox="1"/>
                            <wps:spPr>
                              <a:xfrm>
                                <a:off x="0" y="0"/>
                                <a:ext cx="1390650" cy="532116"/>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Compensation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Bonuses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Contingent pay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Variable pay </w:t>
                                  </w:r>
                                </w:p>
                                <w:p w:rsidR="002D1513" w:rsidRPr="00FE45C6" w:rsidRDefault="002D1513" w:rsidP="002D1513">
                                  <w:pPr>
                                    <w:spacing w:after="0"/>
                                    <w:rPr>
                                      <w:sz w:val="16"/>
                                    </w:rPr>
                                  </w:pPr>
                                </w:p>
                                <w:p w:rsidR="002D1513" w:rsidRPr="00FE45C6" w:rsidRDefault="002D1513" w:rsidP="002D1513">
                                  <w:pPr>
                                    <w:spacing w:after="0"/>
                                    <w:rPr>
                                      <w:sz w:val="16"/>
                                    </w:rPr>
                                  </w:pPr>
                                </w:p>
                                <w:p w:rsidR="002D1513" w:rsidRPr="00FE45C6" w:rsidRDefault="002D1513" w:rsidP="002D1513">
                                  <w:pPr>
                                    <w:spacing w:after="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552449"/>
                                <a:ext cx="1390650" cy="576281"/>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Recognition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Gifts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Awarding certificate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Achievement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177456"/>
                                <a:ext cx="1390650" cy="555950"/>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Career development </w:t>
                                  </w:r>
                                </w:p>
                                <w:p w:rsidR="002D1513" w:rsidRPr="00FE45C6" w:rsidRDefault="002D1513" w:rsidP="002D1513">
                                  <w:pPr>
                                    <w:pStyle w:val="ListParagraph"/>
                                    <w:numPr>
                                      <w:ilvl w:val="0"/>
                                      <w:numId w:val="5"/>
                                    </w:numPr>
                                    <w:spacing w:before="0" w:after="0"/>
                                    <w:ind w:left="360"/>
                                    <w:contextualSpacing/>
                                    <w:rPr>
                                      <w:sz w:val="18"/>
                                    </w:rPr>
                                  </w:pPr>
                                  <w:r w:rsidRPr="00FE45C6">
                                    <w:rPr>
                                      <w:sz w:val="18"/>
                                    </w:rPr>
                                    <w:t>Career development</w:t>
                                  </w:r>
                                </w:p>
                                <w:p w:rsidR="002D1513" w:rsidRPr="00FE45C6" w:rsidRDefault="002D1513" w:rsidP="002D1513">
                                  <w:pPr>
                                    <w:pStyle w:val="ListParagraph"/>
                                    <w:numPr>
                                      <w:ilvl w:val="0"/>
                                      <w:numId w:val="5"/>
                                    </w:numPr>
                                    <w:spacing w:before="0" w:after="0"/>
                                    <w:ind w:left="360"/>
                                    <w:contextualSpacing/>
                                    <w:rPr>
                                      <w:sz w:val="18"/>
                                    </w:rPr>
                                  </w:pPr>
                                  <w:r w:rsidRPr="00FE45C6">
                                    <w:rPr>
                                      <w:sz w:val="18"/>
                                    </w:rPr>
                                    <w:t>Personal growth</w:t>
                                  </w:r>
                                </w:p>
                                <w:p w:rsidR="002D1513" w:rsidRPr="00FE45C6" w:rsidRDefault="002D1513" w:rsidP="002D1513">
                                  <w:pPr>
                                    <w:pStyle w:val="ListParagraph"/>
                                    <w:numPr>
                                      <w:ilvl w:val="0"/>
                                      <w:numId w:val="5"/>
                                    </w:numPr>
                                    <w:spacing w:before="0" w:after="0"/>
                                    <w:ind w:left="360"/>
                                    <w:contextualSpacing/>
                                    <w:rPr>
                                      <w:sz w:val="18"/>
                                    </w:rPr>
                                  </w:pPr>
                                  <w:r w:rsidRPr="00FE45C6">
                                    <w:rPr>
                                      <w:sz w:val="18"/>
                                    </w:rPr>
                                    <w:t xml:space="preserve">Responsibilities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8340" y="1784886"/>
                                <a:ext cx="1390650" cy="553198"/>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Fringe Benefits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Insurance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Medical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Pension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1400175" y="2381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400175" y="8096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400175" y="13811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391835" y="18764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809750" y="238125"/>
                                <a:ext cx="0" cy="16478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7" name="Straight Arrow Connector 17"/>
                          <wps:cNvCnPr/>
                          <wps:spPr>
                            <a:xfrm>
                              <a:off x="2076450" y="1047750"/>
                              <a:ext cx="8667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8" name="Straight Arrow Connector 18"/>
                        <wps:cNvCnPr/>
                        <wps:spPr>
                          <a:xfrm flipV="1">
                            <a:off x="2581275" y="1047750"/>
                            <a:ext cx="0" cy="161949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13B52ED" id="Group 3" o:spid="_x0000_s1026" style="position:absolute;margin-left:-.75pt;margin-top:1.25pt;width:5in;height:289.5pt;z-index:251659264;mso-height-relative:margin" coordsize="45720,29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">
                <v:shapetype id="_x0000_t202" coordsize="21600,21600" o:spt="202" path="m,l,21600r21600,l21600,xe">
                  <v:stroke joinstyle="miter"/>
                  <v:path gradientshapeok="t" o:connecttype="rect"/>
                </v:shapetype>
                <v:shape id="Text Box 4" o:spid="_x0000_s1027" type="#_x0000_t202" style="position:absolute;left:20478;top:26765;width:13907;height:2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eQbxQAAAN8AAAAPAAAAZHJzL2Rvd25yZXYueG1sRI9BSwMx&#13;&#10;FITvgv8hPMGbzSpS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CJCeQbxQAAAN8AAAAP&#13;&#10;AAAAAAAAAAAAAAAAAAcCAABkcnMvZG93bnJldi54bWxQSwUGAAAAAAMAAwC3AAAA+QIAAAAA&#13;&#10;" fillcolor="white [3201]" strokeweight=".5pt">
                  <v:textbox>
                    <w:txbxContent>
                      <w:p w:rsidR="002D1513" w:rsidRPr="00FE45C6" w:rsidRDefault="002D1513" w:rsidP="002D1513">
                        <w:pPr>
                          <w:jc w:val="center"/>
                        </w:pPr>
                        <w:r w:rsidRPr="00FE45C6">
                          <w:t>Government Policy</w:t>
                        </w:r>
                      </w:p>
                      <w:p w:rsidR="002D1513" w:rsidRPr="00FE45C6" w:rsidRDefault="002D1513" w:rsidP="002D1513">
                        <w:pPr>
                          <w:jc w:val="center"/>
                        </w:pPr>
                      </w:p>
                      <w:p w:rsidR="002D1513" w:rsidRPr="00FE45C6" w:rsidRDefault="002D1513" w:rsidP="002D1513">
                        <w:pPr>
                          <w:jc w:val="center"/>
                        </w:pPr>
                      </w:p>
                      <w:p w:rsidR="002D1513" w:rsidRPr="00FE45C6" w:rsidRDefault="002D1513" w:rsidP="002D1513">
                        <w:pPr>
                          <w:jc w:val="center"/>
                        </w:pPr>
                      </w:p>
                    </w:txbxContent>
                  </v:textbox>
                </v:shape>
                <v:group id="Group 5" o:spid="_x0000_s1028" style="position:absolute;width:45720;height:27622" coordsize="45720,276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Text Box 6" o:spid="_x0000_s1029" type="#_x0000_t202" style="position:absolute;left:29432;top:4877;width:16288;height:11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" fillcolor="white [3201]" strokeweight=".5pt">
                    <v:textbox>
                      <w:txbxContent>
                        <w:p w:rsidR="002D1513" w:rsidRPr="00FE45C6" w:rsidRDefault="002D1513" w:rsidP="002D1513">
                          <w:pPr>
                            <w:spacing w:after="0"/>
                            <w:rPr>
                              <w:sz w:val="18"/>
                            </w:rPr>
                          </w:pPr>
                          <w:r w:rsidRPr="00FE45C6">
                            <w:rPr>
                              <w:b/>
                              <w:bCs/>
                              <w:sz w:val="18"/>
                            </w:rPr>
                            <w:t>Employee Performance</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Quality of services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Task’s completion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Team work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Dependability and reliability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Creativity of employee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group id="Group 7" o:spid="_x0000_s1030" style="position:absolute;width:20764;height:27622" coordorigin="-83" coordsize="18180,23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Text Box 8" o:spid="_x0000_s1031" type="#_x0000_t202" style="position:absolute;width:13906;height:53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" fillcolor="white [3201]" strokeweight=".5pt">
                      <v:textbox>
                        <w:txbxContent>
                          <w:p w:rsidR="002D1513" w:rsidRPr="00FE45C6" w:rsidRDefault="002D1513" w:rsidP="002D1513">
                            <w:pPr>
                              <w:spacing w:after="0"/>
                              <w:rPr>
                                <w:sz w:val="18"/>
                              </w:rPr>
                            </w:pPr>
                            <w:r w:rsidRPr="00FE45C6">
                              <w:rPr>
                                <w:b/>
                                <w:bCs/>
                                <w:sz w:val="18"/>
                              </w:rPr>
                              <w:t xml:space="preserve">Compensation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Bonuses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Contingent pay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Variable pay </w:t>
                            </w:r>
                          </w:p>
                          <w:p w:rsidR="002D1513" w:rsidRPr="00FE45C6" w:rsidRDefault="002D1513" w:rsidP="002D1513">
                            <w:pPr>
                              <w:spacing w:after="0"/>
                              <w:rPr>
                                <w:sz w:val="16"/>
                              </w:rPr>
                            </w:pPr>
                          </w:p>
                          <w:p w:rsidR="002D1513" w:rsidRPr="00FE45C6" w:rsidRDefault="002D1513" w:rsidP="002D1513">
                            <w:pPr>
                              <w:spacing w:after="0"/>
                              <w:rPr>
                                <w:sz w:val="16"/>
                              </w:rPr>
                            </w:pPr>
                          </w:p>
                          <w:p w:rsidR="002D1513" w:rsidRPr="00FE45C6" w:rsidRDefault="002D1513" w:rsidP="002D1513">
                            <w:pPr>
                              <w:spacing w:after="0"/>
                              <w:rPr>
                                <w:sz w:val="16"/>
                              </w:rPr>
                            </w:pPr>
                          </w:p>
                        </w:txbxContent>
                      </v:textbox>
                    </v:shape>
                    <v:shape id="Text Box 9" o:spid="_x0000_s1032" type="#_x0000_t202" style="position:absolute;top:5524;width:13906;height:5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" fillcolor="white [3201]" strokeweight=".5pt">
                      <v:textbox>
                        <w:txbxContent>
                          <w:p w:rsidR="002D1513" w:rsidRPr="00FE45C6" w:rsidRDefault="002D1513" w:rsidP="002D1513">
                            <w:pPr>
                              <w:spacing w:after="0"/>
                              <w:rPr>
                                <w:sz w:val="18"/>
                              </w:rPr>
                            </w:pPr>
                            <w:r w:rsidRPr="00FE45C6">
                              <w:rPr>
                                <w:b/>
                                <w:bCs/>
                                <w:sz w:val="18"/>
                              </w:rPr>
                              <w:t xml:space="preserve">Recognition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Gifts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Awarding certificate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Achievement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shape id="Text Box 10" o:spid="_x0000_s1033" type="#_x0000_t202" style="position:absolute;top:11774;width:13906;height:55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" fillcolor="white [3201]" strokeweight=".5pt">
                      <v:textbox>
                        <w:txbxContent>
                          <w:p w:rsidR="002D1513" w:rsidRPr="00FE45C6" w:rsidRDefault="002D1513" w:rsidP="002D1513">
                            <w:pPr>
                              <w:spacing w:after="0"/>
                              <w:rPr>
                                <w:sz w:val="18"/>
                              </w:rPr>
                            </w:pPr>
                            <w:r w:rsidRPr="00FE45C6">
                              <w:rPr>
                                <w:b/>
                                <w:bCs/>
                                <w:sz w:val="18"/>
                              </w:rPr>
                              <w:t xml:space="preserve">Career development </w:t>
                            </w:r>
                          </w:p>
                          <w:p w:rsidR="002D1513" w:rsidRPr="00FE45C6" w:rsidRDefault="002D1513" w:rsidP="002D1513">
                            <w:pPr>
                              <w:pStyle w:val="ListParagraph"/>
                              <w:numPr>
                                <w:ilvl w:val="0"/>
                                <w:numId w:val="5"/>
                              </w:numPr>
                              <w:spacing w:before="0" w:after="0"/>
                              <w:ind w:left="360"/>
                              <w:contextualSpacing/>
                              <w:rPr>
                                <w:sz w:val="18"/>
                              </w:rPr>
                            </w:pPr>
                            <w:r w:rsidRPr="00FE45C6">
                              <w:rPr>
                                <w:sz w:val="18"/>
                              </w:rPr>
                              <w:t>Career development</w:t>
                            </w:r>
                          </w:p>
                          <w:p w:rsidR="002D1513" w:rsidRPr="00FE45C6" w:rsidRDefault="002D1513" w:rsidP="002D1513">
                            <w:pPr>
                              <w:pStyle w:val="ListParagraph"/>
                              <w:numPr>
                                <w:ilvl w:val="0"/>
                                <w:numId w:val="5"/>
                              </w:numPr>
                              <w:spacing w:before="0" w:after="0"/>
                              <w:ind w:left="360"/>
                              <w:contextualSpacing/>
                              <w:rPr>
                                <w:sz w:val="18"/>
                              </w:rPr>
                            </w:pPr>
                            <w:r w:rsidRPr="00FE45C6">
                              <w:rPr>
                                <w:sz w:val="18"/>
                              </w:rPr>
                              <w:t>Personal growth</w:t>
                            </w:r>
                          </w:p>
                          <w:p w:rsidR="002D1513" w:rsidRPr="00FE45C6" w:rsidRDefault="002D1513" w:rsidP="002D1513">
                            <w:pPr>
                              <w:pStyle w:val="ListParagraph"/>
                              <w:numPr>
                                <w:ilvl w:val="0"/>
                                <w:numId w:val="5"/>
                              </w:numPr>
                              <w:spacing w:before="0" w:after="0"/>
                              <w:ind w:left="360"/>
                              <w:contextualSpacing/>
                              <w:rPr>
                                <w:sz w:val="18"/>
                              </w:rPr>
                            </w:pPr>
                            <w:r w:rsidRPr="00FE45C6">
                              <w:rPr>
                                <w:sz w:val="18"/>
                              </w:rPr>
                              <w:t xml:space="preserve">Responsibilities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shape id="Text Box 11" o:spid="_x0000_s1034" type="#_x0000_t202" style="position:absolute;left:-83;top:17848;width:13906;height:55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" fillcolor="white [3201]" strokeweight=".5pt">
                      <v:textbox>
                        <w:txbxContent>
                          <w:p w:rsidR="002D1513" w:rsidRPr="00FE45C6" w:rsidRDefault="002D1513" w:rsidP="002D1513">
                            <w:pPr>
                              <w:spacing w:after="0"/>
                              <w:rPr>
                                <w:sz w:val="18"/>
                              </w:rPr>
                            </w:pPr>
                            <w:r w:rsidRPr="00FE45C6">
                              <w:rPr>
                                <w:b/>
                                <w:bCs/>
                                <w:sz w:val="18"/>
                              </w:rPr>
                              <w:t xml:space="preserve">Fringe Benefits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Insurance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Medical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Pension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shapetype id="_x0000_t32" coordsize="21600,21600" o:spt="32" o:oned="t" path="m,l21600,21600e" filled="f">
                      <v:path arrowok="t" fillok="f" o:connecttype="none"/>
                      <o:lock v:ext="edit" shapetype="t"/>
                    </v:shapetype>
                    <v:shape id="Straight Arrow Connector 12" o:spid="_x0000_s1035" type="#_x0000_t32" style="position:absolute;left:14001;top:2381;width:40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" strokecolor="#0d0d0d [3069]" strokeweight=".5pt">
                      <v:stroke endarrow="block" joinstyle="miter"/>
                    </v:shape>
                    <v:shape id="Straight Arrow Connector 13" o:spid="_x0000_s1036" type="#_x0000_t32" style="position:absolute;left:14001;top:8096;width:40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" strokecolor="#0d0d0d [3069]" strokeweight=".5pt">
                      <v:stroke endarrow="block" joinstyle="miter"/>
                    </v:shape>
                    <v:shape id="Straight Arrow Connector 14" o:spid="_x0000_s1037" type="#_x0000_t32" style="position:absolute;left:14001;top:13811;width:40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" strokecolor="#0d0d0d [3069]" strokeweight=".5pt">
                      <v:stroke endarrow="block" joinstyle="miter"/>
                    </v:shape>
                    <v:shape id="Straight Arrow Connector 15" o:spid="_x0000_s1038" type="#_x0000_t32" style="position:absolute;left:13918;top:18764;width:40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" strokecolor="#0d0d0d [3069]" strokeweight=".5pt">
                      <v:stroke endarrow="block" joinstyle="miter"/>
                    </v:shape>
                    <v:line id="Straight Connector 16" o:spid="_x0000_s1039" style="position:absolute;visibility:visible;mso-wrap-style:square" from="18097,2381" to="18097,188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" strokecolor="#0d0d0d [3069]" strokeweight=".5pt">
                      <v:stroke joinstyle="miter"/>
                    </v:line>
                  </v:group>
                  <v:shape id="Straight Arrow Connector 17" o:spid="_x0000_s1040" type="#_x0000_t32" style="position:absolute;left:20764;top:10477;width:866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" strokecolor="#0d0d0d [3069]" strokeweight=".5pt">
                    <v:stroke endarrow="block" joinstyle="miter"/>
                  </v:shape>
                </v:group>
                <v:shape id="Straight Arrow Connector 18" o:spid="_x0000_s1041" type="#_x0000_t32" style="position:absolute;left:25812;top:10477;width:0;height:1619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" strokecolor="black [3213]" strokeweight=".5pt">
                  <v:stroke dashstyle="3 1" endarrow="block" joinstyle="miter"/>
                </v:shape>
              </v:group>
            </w:pict>
          </mc:Fallback>
        </mc:AlternateContent>
      </w:r>
    </w:p>
    <w:p w:rsidR="002D1513" w:rsidRPr="00435CED" w:rsidRDefault="002D1513" w:rsidP="002D1513">
      <w:r w:rsidRPr="00435CED">
        <w:t xml:space="preserve">                                                                                             </w:t>
      </w:r>
      <w:r w:rsidRPr="00435CED">
        <w:rPr>
          <w:b/>
          <w:bCs/>
          <w:sz w:val="24"/>
          <w:szCs w:val="24"/>
        </w:rPr>
        <w:t>Dependent Variable (DV)</w:t>
      </w:r>
    </w:p>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Default="002D1513"/>
    <w:p w:rsidR="002D1513" w:rsidRDefault="002D1513">
      <w:pPr>
        <w:rPr>
          <w:b/>
          <w:bCs/>
          <w:color w:val="000000"/>
        </w:rPr>
      </w:pPr>
    </w:p>
    <w:p w:rsidR="002D1513" w:rsidRDefault="002D1513">
      <w:pPr>
        <w:rPr>
          <w:b/>
          <w:bCs/>
          <w:color w:val="000000"/>
        </w:rPr>
      </w:pPr>
    </w:p>
    <w:p w:rsidR="008C53BF" w:rsidRPr="002D1513" w:rsidRDefault="0046008D" w:rsidP="002D1513">
      <w:pPr>
        <w:spacing w:line="360" w:lineRule="auto"/>
        <w:jc w:val="both"/>
        <w:rPr>
          <w:sz w:val="24"/>
          <w:szCs w:val="24"/>
        </w:rPr>
      </w:pPr>
      <w:r w:rsidRPr="002D1513">
        <w:rPr>
          <w:b/>
          <w:bCs/>
          <w:color w:val="000000"/>
          <w:sz w:val="24"/>
          <w:szCs w:val="24"/>
        </w:rPr>
        <w:t>Methodology</w:t>
      </w:r>
    </w:p>
    <w:p w:rsidR="0069228A" w:rsidRDefault="0069228A" w:rsidP="00796637">
      <w:pPr>
        <w:spacing w:line="360" w:lineRule="auto"/>
        <w:jc w:val="both"/>
        <w:rPr>
          <w:b/>
          <w:bCs/>
          <w:color w:val="000000"/>
          <w:sz w:val="24"/>
          <w:szCs w:val="24"/>
        </w:rPr>
      </w:pPr>
    </w:p>
    <w:p w:rsidR="008C53BF" w:rsidRPr="002D1513" w:rsidRDefault="0046008D" w:rsidP="00796637">
      <w:pPr>
        <w:spacing w:line="360" w:lineRule="auto"/>
        <w:jc w:val="both"/>
        <w:rPr>
          <w:sz w:val="24"/>
          <w:szCs w:val="24"/>
        </w:rPr>
      </w:pPr>
      <w:r w:rsidRPr="002D1513">
        <w:rPr>
          <w:b/>
          <w:bCs/>
          <w:color w:val="000000"/>
          <w:sz w:val="24"/>
          <w:szCs w:val="24"/>
        </w:rPr>
        <w:t>Research Design</w:t>
      </w:r>
    </w:p>
    <w:p w:rsidR="008C53BF" w:rsidRDefault="0046008D" w:rsidP="00796637">
      <w:pPr>
        <w:spacing w:line="360" w:lineRule="auto"/>
        <w:jc w:val="both"/>
        <w:rPr>
          <w:b/>
          <w:bCs/>
          <w:color w:val="000000"/>
          <w:sz w:val="24"/>
          <w:szCs w:val="24"/>
        </w:rPr>
      </w:pPr>
      <w:r w:rsidRPr="002D1513">
        <w:rPr>
          <w:b/>
          <w:bCs/>
          <w:color w:val="000000"/>
          <w:sz w:val="24"/>
          <w:szCs w:val="24"/>
        </w:rPr>
        <w:t>Sample Selection</w:t>
      </w:r>
    </w:p>
    <w:p w:rsidR="003F521E" w:rsidRPr="003F521E" w:rsidRDefault="003F521E" w:rsidP="00796637">
      <w:pPr>
        <w:spacing w:line="360" w:lineRule="auto"/>
        <w:jc w:val="both"/>
        <w:rPr>
          <w:color w:val="000000"/>
          <w:sz w:val="24"/>
          <w:szCs w:val="24"/>
        </w:rPr>
      </w:pPr>
      <w:r w:rsidRPr="003F521E">
        <w:rPr>
          <w:color w:val="000000"/>
          <w:sz w:val="24"/>
          <w:szCs w:val="24"/>
        </w:rPr>
        <w:t xml:space="preserve">The study was based on a descriptive survey methodology, which incorporated both phenomenological qualitative and descriptive quantitative methodology. Concurrent triangulation design played a crucial role in the comparative analysis of both numerical and non-numerical data. This triangulation helped to integrate various types of data. The choice of the design was determined by its flexibility to deal with both quantitative and qualitative data at the same time and thus effectively combine the two types of information. </w:t>
      </w:r>
    </w:p>
    <w:p w:rsidR="003F521E" w:rsidRPr="003F521E" w:rsidRDefault="003F521E" w:rsidP="00796637">
      <w:pPr>
        <w:spacing w:line="360" w:lineRule="auto"/>
        <w:jc w:val="both"/>
        <w:rPr>
          <w:b/>
          <w:bCs/>
          <w:color w:val="000000"/>
          <w:sz w:val="24"/>
          <w:szCs w:val="24"/>
        </w:rPr>
      </w:pPr>
      <w:r w:rsidRPr="003F521E">
        <w:rPr>
          <w:color w:val="000000"/>
          <w:sz w:val="24"/>
          <w:szCs w:val="24"/>
        </w:rPr>
        <w:t>The population of the study consisted of 108 employees of KCCA working in different departments such as Office of the Director, Building Regulation, Inspection and Audits Division, Affordable Housing Planning, etc</w:t>
      </w:r>
      <w:r>
        <w:rPr>
          <w:b/>
          <w:bCs/>
          <w:color w:val="000000"/>
          <w:sz w:val="24"/>
          <w:szCs w:val="24"/>
        </w:rPr>
        <w:t>.</w:t>
      </w:r>
    </w:p>
    <w:p w:rsidR="008C53BF" w:rsidRPr="002D1513" w:rsidRDefault="0046008D" w:rsidP="00796637">
      <w:pPr>
        <w:spacing w:line="360" w:lineRule="auto"/>
        <w:jc w:val="both"/>
        <w:rPr>
          <w:sz w:val="24"/>
          <w:szCs w:val="24"/>
        </w:rPr>
      </w:pPr>
      <w:r w:rsidRPr="002D1513">
        <w:rPr>
          <w:color w:val="000000"/>
          <w:sz w:val="24"/>
          <w:szCs w:val="24"/>
        </w:rPr>
        <w:t xml:space="preserve">It is often impractical to test and interview the entire population due to its size and widespread distribution. Consequently, the aim of a study is to analyze a sample and subsequently generalize the findings to the broader population. </w:t>
      </w:r>
      <w:sdt>
        <w:sdtPr>
          <w:rPr>
            <w:sz w:val="24"/>
            <w:szCs w:val="24"/>
          </w:rPr>
          <w:tag w:val="CITATION YamaneT73"/>
          <w:id w:val="255332134"/>
          <w:citation/>
        </w:sdtPr>
        <w:sdtEndPr/>
        <w:sdtContent>
          <w:r w:rsidRPr="002D1513">
            <w:rPr>
              <w:sz w:val="24"/>
              <w:szCs w:val="24"/>
            </w:rPr>
            <w:fldChar w:fldCharType="begin"/>
          </w:r>
          <w:r w:rsidRPr="002D1513">
            <w:rPr>
              <w:sz w:val="24"/>
              <w:szCs w:val="24"/>
            </w:rPr>
            <w:instrText xml:space="preserve"> CITATION YamaneT73 \l 1033 </w:instrText>
          </w:r>
          <w:r w:rsidRPr="002D1513">
            <w:rPr>
              <w:sz w:val="24"/>
              <w:szCs w:val="24"/>
            </w:rPr>
            <w:fldChar w:fldCharType="separate"/>
          </w:r>
          <w:r w:rsidRPr="002D1513">
            <w:rPr>
              <w:noProof/>
              <w:sz w:val="24"/>
              <w:szCs w:val="24"/>
            </w:rPr>
            <w:t>(Yamane, 1973)</w:t>
          </w:r>
          <w:r w:rsidRPr="002D1513">
            <w:rPr>
              <w:sz w:val="24"/>
              <w:szCs w:val="24"/>
            </w:rPr>
            <w:fldChar w:fldCharType="end"/>
          </w:r>
        </w:sdtContent>
      </w:sdt>
      <w:r w:rsidRPr="002D1513">
        <w:rPr>
          <w:color w:val="000000"/>
          <w:sz w:val="24"/>
          <w:szCs w:val="24"/>
        </w:rPr>
        <w:t xml:space="preserve"> offers a simplified formula for calculating sample sizes, which is employed to determine the appropriate sample size for the research.</w:t>
      </w:r>
    </w:p>
    <w:p w:rsidR="008C53BF" w:rsidRPr="002D1513" w:rsidRDefault="0046008D" w:rsidP="00796637">
      <w:pPr>
        <w:jc w:val="both"/>
        <w:rPr>
          <w:sz w:val="24"/>
          <w:szCs w:val="24"/>
        </w:rPr>
      </w:pPr>
      <w:r w:rsidRPr="002D1513">
        <w:rPr>
          <w:i/>
          <w:iCs/>
          <w:color w:val="000000"/>
          <w:sz w:val="24"/>
          <w:szCs w:val="24"/>
        </w:rPr>
        <w:t>n</w:t>
      </w:r>
      <w:r w:rsidRPr="002D1513">
        <w:rPr>
          <w:color w:val="000000"/>
          <w:sz w:val="24"/>
          <w:szCs w:val="24"/>
        </w:rPr>
        <w:t xml:space="preserve"> = </w:t>
      </w:r>
      <m:oMath>
        <m:f>
          <m:fPr>
            <m:ctrlPr>
              <w:rPr>
                <w:rFonts w:ascii="Cambria Math" w:hAnsi="Cambria Math"/>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2</m:t>
                </m:r>
              </m:sup>
            </m:sSup>
          </m:den>
        </m:f>
      </m:oMath>
      <w:r w:rsidRPr="002D1513">
        <w:rPr>
          <w:color w:val="000000"/>
          <w:sz w:val="24"/>
          <w:szCs w:val="24"/>
        </w:rPr>
        <w:t xml:space="preserve"> </w:t>
      </w:r>
    </w:p>
    <w:p w:rsidR="008C53BF" w:rsidRPr="002D1513" w:rsidRDefault="0046008D" w:rsidP="00796637">
      <w:pPr>
        <w:jc w:val="both"/>
        <w:rPr>
          <w:sz w:val="24"/>
          <w:szCs w:val="24"/>
        </w:rPr>
      </w:pPr>
      <w:r w:rsidRPr="002D1513">
        <w:rPr>
          <w:color w:val="000000"/>
          <w:sz w:val="24"/>
          <w:szCs w:val="24"/>
        </w:rPr>
        <w:t>Where n is the sample size, N is the population size =108, and e is the level of precision = 5%.</w:t>
      </w:r>
    </w:p>
    <w:p w:rsidR="008C53BF" w:rsidRPr="002D1513" w:rsidRDefault="0046008D" w:rsidP="00796637">
      <w:pPr>
        <w:jc w:val="both"/>
        <w:rPr>
          <w:sz w:val="24"/>
          <w:szCs w:val="24"/>
        </w:rPr>
      </w:pPr>
      <w:r w:rsidRPr="002D1513">
        <w:rPr>
          <w:i/>
          <w:iCs/>
          <w:color w:val="000000"/>
          <w:sz w:val="24"/>
          <w:szCs w:val="24"/>
        </w:rPr>
        <w:t>n</w:t>
      </w:r>
      <w:r w:rsidRPr="002D1513">
        <w:rPr>
          <w:color w:val="000000"/>
          <w:sz w:val="24"/>
          <w:szCs w:val="24"/>
        </w:rPr>
        <w:t xml:space="preserve"> = </w:t>
      </w:r>
      <m:oMath>
        <m:f>
          <m:fPr>
            <m:ctrlPr>
              <w:rPr>
                <w:rFonts w:ascii="Cambria Math" w:hAnsi="Cambria Math"/>
                <w:sz w:val="24"/>
                <w:szCs w:val="24"/>
              </w:rPr>
            </m:ctrlPr>
          </m:fPr>
          <m:num>
            <m:r>
              <w:rPr>
                <w:rFonts w:ascii="Cambria Math" w:hAnsi="Cambria Math"/>
                <w:sz w:val="24"/>
                <w:szCs w:val="24"/>
              </w:rPr>
              <m:t>108</m:t>
            </m:r>
          </m:num>
          <m:den>
            <m:r>
              <w:rPr>
                <w:rFonts w:ascii="Cambria Math" w:hAnsi="Cambria Math"/>
                <w:sz w:val="24"/>
                <w:szCs w:val="24"/>
              </w:rPr>
              <m:t>1+108</m:t>
            </m:r>
            <m:sSup>
              <m:sSupPr>
                <m:ctrlPr>
                  <w:rPr>
                    <w:rFonts w:ascii="Cambria Math" w:hAnsi="Cambria Math"/>
                    <w:sz w:val="24"/>
                    <w:szCs w:val="24"/>
                  </w:rPr>
                </m:ctrlPr>
              </m:sSupPr>
              <m:e>
                <m:r>
                  <w:rPr>
                    <w:rFonts w:ascii="Cambria Math" w:hAnsi="Cambria Math"/>
                    <w:sz w:val="24"/>
                    <w:szCs w:val="24"/>
                  </w:rPr>
                  <m:t>(0.05)</m:t>
                </m:r>
              </m:e>
              <m:sup>
                <m:r>
                  <w:rPr>
                    <w:rFonts w:ascii="Cambria Math" w:hAnsi="Cambria Math"/>
                    <w:sz w:val="24"/>
                    <w:szCs w:val="24"/>
                  </w:rPr>
                  <m:t>2</m:t>
                </m:r>
              </m:sup>
            </m:sSup>
          </m:den>
        </m:f>
      </m:oMath>
      <w:r w:rsidRPr="002D1513">
        <w:rPr>
          <w:color w:val="000000"/>
          <w:sz w:val="24"/>
          <w:szCs w:val="24"/>
        </w:rPr>
        <w:t xml:space="preserve"> </w:t>
      </w:r>
    </w:p>
    <w:p w:rsidR="008C53BF" w:rsidRPr="002D1513" w:rsidRDefault="0046008D" w:rsidP="00796637">
      <w:pPr>
        <w:jc w:val="both"/>
        <w:rPr>
          <w:sz w:val="24"/>
          <w:szCs w:val="24"/>
        </w:rPr>
      </w:pPr>
      <w:r w:rsidRPr="002D1513">
        <w:rPr>
          <w:color w:val="000000"/>
          <w:sz w:val="24"/>
          <w:szCs w:val="24"/>
        </w:rPr>
        <w:t xml:space="preserve">= </w:t>
      </w:r>
      <m:oMath>
        <m:f>
          <m:fPr>
            <m:ctrlPr>
              <w:rPr>
                <w:rFonts w:ascii="Cambria Math" w:hAnsi="Cambria Math"/>
                <w:sz w:val="24"/>
                <w:szCs w:val="24"/>
              </w:rPr>
            </m:ctrlPr>
          </m:fPr>
          <m:num>
            <m:r>
              <w:rPr>
                <w:rFonts w:ascii="Cambria Math" w:hAnsi="Cambria Math"/>
                <w:sz w:val="24"/>
                <w:szCs w:val="24"/>
              </w:rPr>
              <m:t>108</m:t>
            </m:r>
          </m:num>
          <m:den>
            <m:r>
              <w:rPr>
                <w:rFonts w:ascii="Cambria Math" w:hAnsi="Cambria Math"/>
                <w:sz w:val="24"/>
                <w:szCs w:val="24"/>
              </w:rPr>
              <m:t>1.27</m:t>
            </m:r>
          </m:den>
        </m:f>
      </m:oMath>
      <w:r w:rsidRPr="002D1513">
        <w:rPr>
          <w:color w:val="000000"/>
          <w:sz w:val="24"/>
          <w:szCs w:val="24"/>
        </w:rPr>
        <w:t xml:space="preserve"> = 85.039</w:t>
      </w:r>
    </w:p>
    <w:p w:rsidR="008C53BF" w:rsidRPr="002D1513" w:rsidRDefault="0046008D" w:rsidP="00796637">
      <w:pPr>
        <w:spacing w:line="360" w:lineRule="auto"/>
        <w:jc w:val="both"/>
        <w:rPr>
          <w:sz w:val="24"/>
          <w:szCs w:val="24"/>
        </w:rPr>
      </w:pPr>
      <w:r w:rsidRPr="002D1513">
        <w:rPr>
          <w:color w:val="000000"/>
          <w:sz w:val="24"/>
          <w:szCs w:val="24"/>
        </w:rPr>
        <w:t>Therefore, the sample size for this study is 85 respondents.</w:t>
      </w:r>
    </w:p>
    <w:p w:rsidR="008C53BF" w:rsidRPr="002D1513" w:rsidRDefault="0046008D" w:rsidP="00796637">
      <w:pPr>
        <w:spacing w:line="360" w:lineRule="auto"/>
        <w:jc w:val="both"/>
        <w:rPr>
          <w:sz w:val="24"/>
          <w:szCs w:val="24"/>
        </w:rPr>
      </w:pPr>
      <w:r w:rsidRPr="002D1513">
        <w:rPr>
          <w:color w:val="000000"/>
          <w:sz w:val="24"/>
          <w:szCs w:val="24"/>
        </w:rPr>
        <w:lastRenderedPageBreak/>
        <w:t xml:space="preserve">The study employed both stratified sampling and purposive sampling techniques. As outlined by </w:t>
      </w:r>
      <w:sdt>
        <w:sdtPr>
          <w:rPr>
            <w:sz w:val="24"/>
            <w:szCs w:val="24"/>
          </w:rPr>
          <w:tag w:val="CITATION MugendaO13"/>
          <w:id w:val="1072745363"/>
          <w:citation/>
        </w:sdtPr>
        <w:sdtEndPr/>
        <w:sdtContent>
          <w:r w:rsidRPr="002D1513">
            <w:rPr>
              <w:sz w:val="24"/>
              <w:szCs w:val="24"/>
            </w:rPr>
            <w:fldChar w:fldCharType="begin"/>
          </w:r>
          <w:r w:rsidRPr="002D1513">
            <w:rPr>
              <w:sz w:val="24"/>
              <w:szCs w:val="24"/>
            </w:rPr>
            <w:instrText xml:space="preserve"> CITATION MugendaO13 \l 1033 </w:instrText>
          </w:r>
          <w:r w:rsidRPr="002D1513">
            <w:rPr>
              <w:sz w:val="24"/>
              <w:szCs w:val="24"/>
            </w:rPr>
            <w:fldChar w:fldCharType="separate"/>
          </w:r>
          <w:r w:rsidRPr="002D1513">
            <w:rPr>
              <w:noProof/>
              <w:sz w:val="24"/>
              <w:szCs w:val="24"/>
            </w:rPr>
            <w:t>(Mugenda &amp; Mugenda, 2013)</w:t>
          </w:r>
          <w:r w:rsidRPr="002D1513">
            <w:rPr>
              <w:sz w:val="24"/>
              <w:szCs w:val="24"/>
            </w:rPr>
            <w:fldChar w:fldCharType="end"/>
          </w:r>
        </w:sdtContent>
      </w:sdt>
      <w:r w:rsidRPr="002D1513">
        <w:rPr>
          <w:color w:val="000000"/>
          <w:sz w:val="24"/>
          <w:szCs w:val="24"/>
        </w:rPr>
        <w:t>, stratified random sampling is a method that involves dividing the entire population into distinct subgroups or strata, from which final subjects are randomly selected across these strata. In this research, a stratified sampling approach was utilized to select participants from various operational units and departments within KCCA.</w:t>
      </w:r>
    </w:p>
    <w:p w:rsidR="008C53BF" w:rsidRPr="002D1513" w:rsidRDefault="0046008D" w:rsidP="00796637">
      <w:pPr>
        <w:spacing w:line="360" w:lineRule="auto"/>
        <w:jc w:val="both"/>
        <w:rPr>
          <w:sz w:val="24"/>
          <w:szCs w:val="24"/>
        </w:rPr>
      </w:pPr>
      <w:r w:rsidRPr="002D1513">
        <w:rPr>
          <w:color w:val="000000"/>
          <w:sz w:val="24"/>
          <w:szCs w:val="24"/>
        </w:rPr>
        <w:t>Data analysis was guided by the research questions and focused on evaluating the impact of the reward system on performance recognition compensation, employee benefits, and employee career development, and their influence on employee performance at KCCA. The analysis employed descriptive statistical methods, alongside inferential statistics, specifically correlation analysis and multiple linear regression analysis.</w:t>
      </w:r>
    </w:p>
    <w:p w:rsidR="008C53BF" w:rsidRPr="002D1513" w:rsidRDefault="0046008D" w:rsidP="00796637">
      <w:pPr>
        <w:spacing w:line="360" w:lineRule="auto"/>
        <w:jc w:val="both"/>
        <w:rPr>
          <w:sz w:val="24"/>
          <w:szCs w:val="24"/>
        </w:rPr>
      </w:pPr>
      <w:r w:rsidRPr="002D1513">
        <w:rPr>
          <w:color w:val="000000"/>
          <w:sz w:val="24"/>
          <w:szCs w:val="24"/>
        </w:rPr>
        <w:t>Furthermore, multiple regression analysis was conducted to determine the relationships among the study variables. Drawing from existing models that have examined the effects of predictors such as performance recognition, compensation, employee benefits, and employee career development on employee performance within the context of the KCCA, the current study adopted a similar analytical framework.</w:t>
      </w:r>
    </w:p>
    <w:p w:rsidR="008C53BF" w:rsidRPr="002D1513" w:rsidRDefault="0046008D" w:rsidP="00796637">
      <w:pPr>
        <w:jc w:val="both"/>
        <w:rPr>
          <w:sz w:val="24"/>
          <w:szCs w:val="24"/>
        </w:rPr>
      </w:pPr>
      <w:r w:rsidRPr="002D1513">
        <w:rPr>
          <w:color w:val="000000"/>
          <w:sz w:val="24"/>
          <w:szCs w:val="24"/>
        </w:rPr>
        <w:t>Y = β0+β</w:t>
      </w:r>
      <w:r w:rsidRPr="002D1513">
        <w:rPr>
          <w:color w:val="000000"/>
          <w:sz w:val="24"/>
          <w:szCs w:val="24"/>
          <w:vertAlign w:val="subscript"/>
        </w:rPr>
        <w:t>1</w:t>
      </w:r>
      <w:r w:rsidRPr="002D1513">
        <w:rPr>
          <w:color w:val="000000"/>
          <w:sz w:val="24"/>
          <w:szCs w:val="24"/>
        </w:rPr>
        <w:t>x</w:t>
      </w:r>
      <w:r w:rsidRPr="002D1513">
        <w:rPr>
          <w:color w:val="000000"/>
          <w:sz w:val="24"/>
          <w:szCs w:val="24"/>
          <w:vertAlign w:val="subscript"/>
        </w:rPr>
        <w:t>1</w:t>
      </w:r>
      <w:r w:rsidRPr="002D1513">
        <w:rPr>
          <w:color w:val="000000"/>
          <w:sz w:val="24"/>
          <w:szCs w:val="24"/>
        </w:rPr>
        <w:t>+β</w:t>
      </w:r>
      <w:r w:rsidRPr="002D1513">
        <w:rPr>
          <w:color w:val="000000"/>
          <w:sz w:val="24"/>
          <w:szCs w:val="24"/>
          <w:vertAlign w:val="subscript"/>
        </w:rPr>
        <w:t>2</w:t>
      </w:r>
      <w:r w:rsidRPr="002D1513">
        <w:rPr>
          <w:color w:val="000000"/>
          <w:sz w:val="24"/>
          <w:szCs w:val="24"/>
        </w:rPr>
        <w:t>x</w:t>
      </w:r>
      <w:r w:rsidRPr="002D1513">
        <w:rPr>
          <w:color w:val="000000"/>
          <w:sz w:val="24"/>
          <w:szCs w:val="24"/>
          <w:vertAlign w:val="subscript"/>
        </w:rPr>
        <w:t>2</w:t>
      </w:r>
      <w:r w:rsidRPr="002D1513">
        <w:rPr>
          <w:color w:val="000000"/>
          <w:sz w:val="24"/>
          <w:szCs w:val="24"/>
        </w:rPr>
        <w:t>+β</w:t>
      </w:r>
      <w:r w:rsidRPr="002D1513">
        <w:rPr>
          <w:color w:val="000000"/>
          <w:sz w:val="24"/>
          <w:szCs w:val="24"/>
          <w:vertAlign w:val="subscript"/>
        </w:rPr>
        <w:t>3</w:t>
      </w:r>
      <w:r w:rsidRPr="002D1513">
        <w:rPr>
          <w:color w:val="000000"/>
          <w:sz w:val="24"/>
          <w:szCs w:val="24"/>
        </w:rPr>
        <w:t>x</w:t>
      </w:r>
      <w:r w:rsidRPr="002D1513">
        <w:rPr>
          <w:color w:val="000000"/>
          <w:sz w:val="24"/>
          <w:szCs w:val="24"/>
          <w:vertAlign w:val="subscript"/>
        </w:rPr>
        <w:t>3</w:t>
      </w:r>
      <w:r w:rsidRPr="002D1513">
        <w:rPr>
          <w:color w:val="000000"/>
          <w:sz w:val="24"/>
          <w:szCs w:val="24"/>
        </w:rPr>
        <w:t xml:space="preserve"> β4X4 + ε, where: </w:t>
      </w:r>
    </w:p>
    <w:p w:rsidR="008C53BF" w:rsidRPr="002D1513" w:rsidRDefault="0046008D" w:rsidP="00796637">
      <w:pPr>
        <w:jc w:val="both"/>
        <w:rPr>
          <w:sz w:val="24"/>
          <w:szCs w:val="24"/>
        </w:rPr>
      </w:pPr>
      <w:r w:rsidRPr="002D1513">
        <w:rPr>
          <w:color w:val="000000"/>
          <w:sz w:val="24"/>
          <w:szCs w:val="24"/>
        </w:rPr>
        <w:t xml:space="preserve">Where: Y = Employee performance </w:t>
      </w:r>
    </w:p>
    <w:p w:rsidR="008C53BF" w:rsidRPr="002D1513" w:rsidRDefault="0046008D" w:rsidP="00796637">
      <w:pPr>
        <w:jc w:val="both"/>
        <w:rPr>
          <w:sz w:val="24"/>
          <w:szCs w:val="24"/>
        </w:rPr>
      </w:pPr>
      <w:r w:rsidRPr="002D1513">
        <w:rPr>
          <w:color w:val="000000"/>
          <w:sz w:val="24"/>
          <w:szCs w:val="24"/>
        </w:rPr>
        <w:t>β</w:t>
      </w:r>
      <w:r w:rsidRPr="002D1513">
        <w:rPr>
          <w:color w:val="000000"/>
          <w:sz w:val="24"/>
          <w:szCs w:val="24"/>
          <w:vertAlign w:val="subscript"/>
        </w:rPr>
        <w:t>i</w:t>
      </w:r>
      <w:r w:rsidRPr="002D1513">
        <w:rPr>
          <w:color w:val="000000"/>
          <w:sz w:val="24"/>
          <w:szCs w:val="24"/>
        </w:rPr>
        <w:t xml:space="preserve">; i=1,2,3 = The coefficients representing predictors </w:t>
      </w:r>
    </w:p>
    <w:p w:rsidR="008C53BF" w:rsidRPr="002D1513" w:rsidRDefault="0046008D" w:rsidP="00796637">
      <w:pPr>
        <w:jc w:val="both"/>
        <w:rPr>
          <w:sz w:val="24"/>
          <w:szCs w:val="24"/>
        </w:rPr>
      </w:pPr>
      <w:r w:rsidRPr="002D1513">
        <w:rPr>
          <w:color w:val="000000"/>
          <w:sz w:val="24"/>
          <w:szCs w:val="24"/>
        </w:rPr>
        <w:t>Variables. Β</w:t>
      </w:r>
      <w:r w:rsidRPr="002D1513">
        <w:rPr>
          <w:color w:val="000000"/>
          <w:sz w:val="24"/>
          <w:szCs w:val="24"/>
          <w:vertAlign w:val="subscript"/>
        </w:rPr>
        <w:t>0</w:t>
      </w:r>
      <w:r w:rsidRPr="002D1513">
        <w:rPr>
          <w:color w:val="000000"/>
          <w:sz w:val="24"/>
          <w:szCs w:val="24"/>
        </w:rPr>
        <w:t xml:space="preserve"> = the Y intercept</w:t>
      </w:r>
    </w:p>
    <w:p w:rsidR="008C53BF" w:rsidRPr="002D1513" w:rsidRDefault="0046008D" w:rsidP="00796637">
      <w:pPr>
        <w:jc w:val="both"/>
        <w:rPr>
          <w:sz w:val="24"/>
          <w:szCs w:val="24"/>
        </w:rPr>
      </w:pPr>
      <w:r w:rsidRPr="002D1513">
        <w:rPr>
          <w:color w:val="000000"/>
          <w:sz w:val="24"/>
          <w:szCs w:val="24"/>
        </w:rPr>
        <w:t xml:space="preserve">xi, i=1, 2, 3, and 4} = Values of the various independent independent variables (covariates) </w:t>
      </w:r>
    </w:p>
    <w:p w:rsidR="008C53BF" w:rsidRDefault="0046008D" w:rsidP="00796637">
      <w:pPr>
        <w:jc w:val="both"/>
        <w:rPr>
          <w:color w:val="000000"/>
          <w:sz w:val="24"/>
          <w:szCs w:val="24"/>
        </w:rPr>
      </w:pPr>
      <w:r w:rsidRPr="002D1513">
        <w:rPr>
          <w:color w:val="000000"/>
          <w:sz w:val="24"/>
          <w:szCs w:val="24"/>
        </w:rPr>
        <w:t>e = the error term which is assumed to be normally distributed with mean zero and constant variance, X</w:t>
      </w:r>
      <w:r w:rsidRPr="002D1513">
        <w:rPr>
          <w:color w:val="000000"/>
          <w:sz w:val="24"/>
          <w:szCs w:val="24"/>
          <w:vertAlign w:val="subscript"/>
        </w:rPr>
        <w:t>1</w:t>
      </w:r>
      <w:r w:rsidRPr="002D1513">
        <w:rPr>
          <w:color w:val="000000"/>
          <w:sz w:val="24"/>
          <w:szCs w:val="24"/>
        </w:rPr>
        <w:t>= Compensation, X</w:t>
      </w:r>
      <w:r w:rsidRPr="002D1513">
        <w:rPr>
          <w:color w:val="000000"/>
          <w:sz w:val="24"/>
          <w:szCs w:val="24"/>
          <w:vertAlign w:val="subscript"/>
        </w:rPr>
        <w:t>2</w:t>
      </w:r>
      <w:r w:rsidRPr="002D1513">
        <w:rPr>
          <w:color w:val="000000"/>
          <w:sz w:val="24"/>
          <w:szCs w:val="24"/>
        </w:rPr>
        <w:t xml:space="preserve"> = Performance recognition, X</w:t>
      </w:r>
      <w:r w:rsidRPr="002D1513">
        <w:rPr>
          <w:color w:val="000000"/>
          <w:sz w:val="24"/>
          <w:szCs w:val="24"/>
          <w:vertAlign w:val="subscript"/>
        </w:rPr>
        <w:t>3</w:t>
      </w:r>
      <w:r w:rsidRPr="002D1513">
        <w:rPr>
          <w:color w:val="000000"/>
          <w:sz w:val="24"/>
          <w:szCs w:val="24"/>
        </w:rPr>
        <w:t>= Career development opportunity and X</w:t>
      </w:r>
      <w:r w:rsidRPr="002D1513">
        <w:rPr>
          <w:color w:val="000000"/>
          <w:sz w:val="24"/>
          <w:szCs w:val="24"/>
          <w:vertAlign w:val="subscript"/>
        </w:rPr>
        <w:t>4</w:t>
      </w:r>
      <w:r w:rsidRPr="002D1513">
        <w:rPr>
          <w:color w:val="000000"/>
          <w:sz w:val="24"/>
          <w:szCs w:val="24"/>
        </w:rPr>
        <w:t>= Fringe benefits</w:t>
      </w:r>
    </w:p>
    <w:p w:rsidR="003F521E" w:rsidRPr="003F521E" w:rsidRDefault="003F521E" w:rsidP="00796637">
      <w:pPr>
        <w:jc w:val="both"/>
        <w:rPr>
          <w:b/>
          <w:bCs/>
          <w:sz w:val="24"/>
          <w:szCs w:val="24"/>
        </w:rPr>
      </w:pPr>
      <w:r w:rsidRPr="003F521E">
        <w:rPr>
          <w:b/>
          <w:bCs/>
          <w:sz w:val="24"/>
          <w:szCs w:val="24"/>
        </w:rPr>
        <w:t>Analysis and Discussion</w:t>
      </w:r>
    </w:p>
    <w:p w:rsidR="003F521E" w:rsidRPr="003F521E" w:rsidRDefault="003F521E" w:rsidP="00796637">
      <w:pPr>
        <w:jc w:val="both"/>
        <w:rPr>
          <w:b/>
          <w:bCs/>
          <w:sz w:val="24"/>
          <w:szCs w:val="24"/>
        </w:rPr>
      </w:pPr>
      <w:r w:rsidRPr="003F521E">
        <w:rPr>
          <w:b/>
          <w:bCs/>
          <w:sz w:val="24"/>
          <w:szCs w:val="24"/>
        </w:rPr>
        <w:t>Table 1: Correlation analysis</w:t>
      </w:r>
    </w:p>
    <w:p w:rsidR="003F521E" w:rsidRPr="002D1513" w:rsidRDefault="003F521E" w:rsidP="00796637">
      <w:pPr>
        <w:spacing w:line="360" w:lineRule="auto"/>
        <w:jc w:val="both"/>
        <w:rPr>
          <w:sz w:val="24"/>
          <w:szCs w:val="24"/>
        </w:rPr>
      </w:pPr>
      <w:r w:rsidRPr="003F521E">
        <w:rPr>
          <w:sz w:val="24"/>
          <w:szCs w:val="24"/>
        </w:rPr>
        <w:t xml:space="preserve">A correlation analysis was performed among the variables being examined. Correlation is a statistical technique that is utilized to evaluate the connection between two or more variables. Two variables are correlated, which implies that the change of variables is in tandem. A positive correlation indicates that high scores of a variable are linked to high scores of the other variable whereas low scores of one variable are related to low scores of the other variable (Kavale, 2017). The sign of a correlation coefficient helps to determine the existence of a positive or negative relationship in the context of correlation. When the correlation coefficient is positive, it means that the variables move with the same direction and a negative correlation </w:t>
      </w:r>
      <w:r w:rsidRPr="003F521E">
        <w:rPr>
          <w:sz w:val="24"/>
          <w:szCs w:val="24"/>
        </w:rPr>
        <w:lastRenderedPageBreak/>
        <w:t>coefficient means that they move with opposite directions. The p-value of less than 0.05 or 0.01 is used to determine the significance of the correlation, and indicates that the chance of the observed correlation coefficient by chance is less than 5 out of 100 or 1 out of 100, respectively, so that a relationship exists.</w:t>
      </w:r>
    </w:p>
    <w:p w:rsidR="008C53BF" w:rsidRPr="002D1513" w:rsidRDefault="0046008D" w:rsidP="002D1513">
      <w:pPr>
        <w:spacing w:line="360" w:lineRule="auto"/>
        <w:jc w:val="both"/>
        <w:rPr>
          <w:sz w:val="24"/>
          <w:szCs w:val="24"/>
        </w:rPr>
      </w:pPr>
      <w:r w:rsidRPr="002D1513">
        <w:rPr>
          <w:noProof/>
          <w:sz w:val="24"/>
          <w:szCs w:val="24"/>
        </w:rPr>
        <w:drawing>
          <wp:inline distT="0" distB="0" distL="0" distR="0">
            <wp:extent cx="72009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200900" cy="3486150"/>
                    </a:xfrm>
                    <a:prstGeom prst="rect">
                      <a:avLst/>
                    </a:prstGeom>
                  </pic:spPr>
                </pic:pic>
              </a:graphicData>
            </a:graphic>
          </wp:inline>
        </w:drawing>
      </w:r>
    </w:p>
    <w:p w:rsidR="008C53BF" w:rsidRPr="002D1513" w:rsidRDefault="0046008D" w:rsidP="002D1513">
      <w:pPr>
        <w:spacing w:line="360" w:lineRule="auto"/>
        <w:jc w:val="both"/>
        <w:rPr>
          <w:sz w:val="24"/>
          <w:szCs w:val="24"/>
        </w:rPr>
      </w:pPr>
      <w:r w:rsidRPr="002D1513">
        <w:rPr>
          <w:color w:val="000000"/>
          <w:sz w:val="24"/>
          <w:szCs w:val="24"/>
        </w:rPr>
        <w:t>*. Correlation is significant at the 0.01 level (2-tailed).</w:t>
      </w:r>
    </w:p>
    <w:p w:rsidR="008C53BF" w:rsidRPr="002D1513" w:rsidRDefault="0046008D" w:rsidP="00796637">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3F521E" w:rsidRPr="003F521E" w:rsidRDefault="003F521E" w:rsidP="00796637">
      <w:pPr>
        <w:spacing w:line="360" w:lineRule="auto"/>
        <w:jc w:val="both"/>
        <w:rPr>
          <w:sz w:val="24"/>
          <w:szCs w:val="24"/>
        </w:rPr>
      </w:pPr>
      <w:r w:rsidRPr="003F521E">
        <w:rPr>
          <w:sz w:val="24"/>
          <w:szCs w:val="24"/>
        </w:rPr>
        <w:t>Table 1 shows that there is a moderate positive relationship between compensation and employee performance at KCCA and the correlation is (r = 0.539, p = 0.002 &lt; 0.01). This implies that when employee compensation is increased, there is better employee performance at KCCA. This observation coincides with the study by Makau, Nzulwa, and Wabala (2017), who found compensation as an important predictor of organizational benefits and suggested that employers should focus on compensation to enhance employee engagement and commitment towards achieving organizational goals.</w:t>
      </w:r>
    </w:p>
    <w:p w:rsidR="003F521E" w:rsidRPr="003F521E" w:rsidRDefault="003F521E" w:rsidP="00796637">
      <w:pPr>
        <w:spacing w:line="360" w:lineRule="auto"/>
        <w:jc w:val="both"/>
        <w:rPr>
          <w:sz w:val="24"/>
          <w:szCs w:val="24"/>
        </w:rPr>
      </w:pPr>
      <w:r w:rsidRPr="003F521E">
        <w:rPr>
          <w:sz w:val="24"/>
          <w:szCs w:val="24"/>
        </w:rPr>
        <w:t>Also, Table 1 shows that there is a significant weak positive relationship between performance recognition and performance of employees at KCCA with a correlation coefficient of (r = 0.309, p = 0.004 &lt; 0.01) showing weak positive relationship. This observation suggests that performance recognition should be improved as it has a positive impact on employee performance in the organization.</w:t>
      </w:r>
    </w:p>
    <w:p w:rsidR="003F521E" w:rsidRPr="003F521E" w:rsidRDefault="003F521E" w:rsidP="00796637">
      <w:pPr>
        <w:spacing w:line="360" w:lineRule="auto"/>
        <w:jc w:val="both"/>
        <w:rPr>
          <w:sz w:val="24"/>
          <w:szCs w:val="24"/>
        </w:rPr>
      </w:pPr>
      <w:r w:rsidRPr="003F521E">
        <w:rPr>
          <w:sz w:val="24"/>
          <w:szCs w:val="24"/>
        </w:rPr>
        <w:lastRenderedPageBreak/>
        <w:t>More so, the findings indicate that there is a strong moderate positive relationship between career development opportunities and employee performance at KCCA with a correlation coefficient of (r = 0.539, p = 0.002 &lt; 0.01). This implies that the increase in career development opportunities is associated with better employee performance at KCCA.</w:t>
      </w:r>
    </w:p>
    <w:p w:rsidR="003F521E" w:rsidRPr="003F521E" w:rsidRDefault="003F521E" w:rsidP="003F521E">
      <w:pPr>
        <w:spacing w:line="360" w:lineRule="auto"/>
        <w:rPr>
          <w:sz w:val="24"/>
          <w:szCs w:val="24"/>
        </w:rPr>
      </w:pPr>
      <w:r w:rsidRPr="003F521E">
        <w:rPr>
          <w:sz w:val="24"/>
          <w:szCs w:val="24"/>
        </w:rPr>
        <w:t xml:space="preserve">Lastly, Table 1 results have revealed that employee benefits and employee performance are strongly positively correlated at KCCA with a correlation coefficient of (r = 0.749, p = 0.002, &lt; 0.01). This implies that the higher the benefits of employees the better the performance of KCCA. These findings are in line with the studies by Mabaso (2016) that have shown a positive and strong correlation between different elements of reward system and employee performance within the public institutions in Kenya. </w:t>
      </w:r>
    </w:p>
    <w:p w:rsidR="003F521E" w:rsidRPr="003F521E" w:rsidRDefault="003F521E" w:rsidP="003F521E">
      <w:pPr>
        <w:spacing w:line="360" w:lineRule="auto"/>
        <w:rPr>
          <w:b/>
          <w:bCs/>
          <w:sz w:val="24"/>
          <w:szCs w:val="24"/>
        </w:rPr>
      </w:pPr>
      <w:r w:rsidRPr="003F521E">
        <w:rPr>
          <w:b/>
          <w:bCs/>
          <w:sz w:val="24"/>
          <w:szCs w:val="24"/>
        </w:rPr>
        <w:t xml:space="preserve">Multiple regression analysis </w:t>
      </w:r>
    </w:p>
    <w:p w:rsidR="003F521E" w:rsidRPr="002D1513" w:rsidRDefault="003F521E" w:rsidP="003F521E">
      <w:pPr>
        <w:spacing w:line="360" w:lineRule="auto"/>
        <w:jc w:val="both"/>
        <w:rPr>
          <w:sz w:val="24"/>
          <w:szCs w:val="24"/>
        </w:rPr>
      </w:pPr>
      <w:r w:rsidRPr="003F521E">
        <w:rPr>
          <w:sz w:val="24"/>
          <w:szCs w:val="24"/>
        </w:rPr>
        <w:t>Multiple linear regression analysis was carried out to find out the influence of the independent variables (employee benefits, career development opportunity, performance recognition, compensation) on the dependent variable (employee performance at KCCA)</w:t>
      </w:r>
    </w:p>
    <w:p w:rsidR="008C53BF" w:rsidRPr="002D1513" w:rsidRDefault="0046008D" w:rsidP="002D1513">
      <w:pPr>
        <w:spacing w:line="360" w:lineRule="auto"/>
        <w:jc w:val="both"/>
        <w:rPr>
          <w:sz w:val="24"/>
          <w:szCs w:val="24"/>
        </w:rPr>
      </w:pPr>
      <w:r w:rsidRPr="002D1513">
        <w:rPr>
          <w:b/>
          <w:bCs/>
          <w:color w:val="000000"/>
          <w:sz w:val="24"/>
          <w:szCs w:val="24"/>
        </w:rPr>
        <w:t>Table 2: Model Summary</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98"/>
        <w:gridCol w:w="547"/>
        <w:gridCol w:w="783"/>
        <w:gridCol w:w="1302"/>
        <w:gridCol w:w="1570"/>
      </w:tblGrid>
      <w:tr w:rsidR="008C53BF" w:rsidRPr="002D1513">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Model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 Square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Adjusted R Square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Std. Error of the Estimate </w:t>
            </w:r>
          </w:p>
        </w:tc>
      </w:tr>
      <w:tr w:rsidR="008C53BF" w:rsidRPr="002D1513">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1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.555a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.308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.274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7.73627 </w:t>
            </w:r>
          </w:p>
        </w:tc>
      </w:tr>
      <w:tr w:rsidR="008C53BF" w:rsidRPr="002D1513">
        <w:trPr>
          <w:gridAfter w:val="4"/>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a. Predictors: (Constant), compensation, performance recognition, career development opportunity, employee benefits. </w:t>
            </w:r>
          </w:p>
        </w:tc>
      </w:tr>
    </w:tbl>
    <w:p w:rsidR="008C53BF" w:rsidRPr="002D1513" w:rsidRDefault="0046008D" w:rsidP="002D1513">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8C53BF" w:rsidRDefault="0046008D" w:rsidP="00796637">
      <w:pPr>
        <w:spacing w:line="360" w:lineRule="auto"/>
        <w:jc w:val="both"/>
        <w:rPr>
          <w:b/>
          <w:bCs/>
          <w:color w:val="000000"/>
          <w:sz w:val="24"/>
          <w:szCs w:val="24"/>
        </w:rPr>
      </w:pPr>
      <w:r w:rsidRPr="002D1513">
        <w:rPr>
          <w:b/>
          <w:bCs/>
          <w:color w:val="000000"/>
          <w:sz w:val="24"/>
          <w:szCs w:val="24"/>
        </w:rPr>
        <w:t>Table 3: ANOVA</w:t>
      </w:r>
    </w:p>
    <w:p w:rsidR="003F521E" w:rsidRPr="003F521E" w:rsidRDefault="003F521E" w:rsidP="00796637">
      <w:pPr>
        <w:spacing w:line="360" w:lineRule="auto"/>
        <w:jc w:val="both"/>
        <w:rPr>
          <w:color w:val="000000"/>
          <w:sz w:val="24"/>
          <w:szCs w:val="24"/>
        </w:rPr>
      </w:pPr>
      <w:r w:rsidRPr="003F521E">
        <w:rPr>
          <w:color w:val="000000"/>
          <w:sz w:val="24"/>
          <w:szCs w:val="24"/>
        </w:rPr>
        <w:t xml:space="preserve">The results of Table 2 point out that the adjusted R-Squared is 0.274. This implies that the compensation, recognition of performance, career development opportunities, and fringe benefits explain 27.4 percent of the variation of the dependent variable that is the employee performance. Such findings agree with those documented by Mabaso (2016) who stated that 52.3 percent of the variance on the reward system (including compensation, recognition </w:t>
      </w:r>
      <w:r w:rsidRPr="003F521E">
        <w:rPr>
          <w:color w:val="000000"/>
          <w:sz w:val="24"/>
          <w:szCs w:val="24"/>
        </w:rPr>
        <w:lastRenderedPageBreak/>
        <w:t>programs, career development and fringe benefits) plays a significant role in employee performance.</w:t>
      </w:r>
    </w:p>
    <w:p w:rsidR="003F521E" w:rsidRPr="003F521E" w:rsidRDefault="003F521E" w:rsidP="00796637">
      <w:pPr>
        <w:spacing w:line="360" w:lineRule="auto"/>
        <w:jc w:val="both"/>
        <w:rPr>
          <w:color w:val="000000"/>
          <w:sz w:val="24"/>
          <w:szCs w:val="24"/>
        </w:rPr>
      </w:pPr>
    </w:p>
    <w:p w:rsidR="003F521E" w:rsidRDefault="003F521E" w:rsidP="00796637">
      <w:pPr>
        <w:spacing w:line="360" w:lineRule="auto"/>
        <w:jc w:val="both"/>
        <w:rPr>
          <w:b/>
          <w:bCs/>
          <w:color w:val="000000"/>
          <w:sz w:val="24"/>
          <w:szCs w:val="24"/>
        </w:rPr>
      </w:pPr>
    </w:p>
    <w:p w:rsidR="003F521E" w:rsidRPr="002D1513" w:rsidRDefault="003F521E" w:rsidP="002D1513">
      <w:pPr>
        <w:spacing w:line="360" w:lineRule="auto"/>
        <w:jc w:val="both"/>
        <w:rPr>
          <w:sz w:val="24"/>
          <w:szCs w:val="24"/>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7"/>
        <w:gridCol w:w="1244"/>
        <w:gridCol w:w="920"/>
        <w:gridCol w:w="897"/>
        <w:gridCol w:w="800"/>
        <w:gridCol w:w="560"/>
        <w:gridCol w:w="560"/>
        <w:gridCol w:w="26"/>
        <w:gridCol w:w="26"/>
      </w:tblGrid>
      <w:tr w:rsidR="008C53BF" w:rsidRPr="002D1513">
        <w:trPr>
          <w:gridAfter w:val="3"/>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Model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Sum of Squares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df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Mean Square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F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Sig. </w:t>
            </w:r>
          </w:p>
        </w:tc>
      </w:tr>
      <w:tr w:rsidR="008C53BF" w:rsidRPr="002D1513">
        <w:trPr>
          <w:gridAfter w:val="1"/>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1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Regression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2135.584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4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533.896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8.921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.000b </w:t>
            </w:r>
          </w:p>
        </w:tc>
        <w:tc>
          <w:tcPr>
            <w:tcW w:w="0" w:type="auto"/>
          </w:tcPr>
          <w:p w:rsidR="008C53BF" w:rsidRPr="002D1513" w:rsidRDefault="008C53BF" w:rsidP="002D1513">
            <w:pPr>
              <w:spacing w:line="360" w:lineRule="auto"/>
              <w:jc w:val="both"/>
              <w:rPr>
                <w:sz w:val="24"/>
                <w:szCs w:val="24"/>
              </w:rPr>
            </w:pPr>
          </w:p>
        </w:tc>
      </w:tr>
      <w:tr w:rsidR="008C53BF" w:rsidRPr="002D1513">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Residual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          4787.993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80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59.850 </w:t>
            </w: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r>
      <w:tr w:rsidR="008C53BF" w:rsidRPr="002D1513">
        <w:trPr>
          <w:gridAfter w:val="4"/>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Total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6923.576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84 </w:t>
            </w: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r>
      <w:tr w:rsidR="008C53BF" w:rsidRPr="002D1513">
        <w:trPr>
          <w:gridAfter w:val="8"/>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a. Dependent Variable: Employee performance </w:t>
            </w:r>
          </w:p>
        </w:tc>
      </w:tr>
      <w:tr w:rsidR="008C53BF" w:rsidRPr="002D1513">
        <w:trPr>
          <w:gridAfter w:val="8"/>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b. Predictors: (Constant), Employee benefits, Career development opportunity, Performance recognition, Compensation. </w:t>
            </w:r>
          </w:p>
        </w:tc>
      </w:tr>
    </w:tbl>
    <w:p w:rsidR="008C53BF" w:rsidRPr="002D1513" w:rsidRDefault="0046008D" w:rsidP="002D1513">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796637" w:rsidRPr="002D1513" w:rsidRDefault="00796637" w:rsidP="002D1513">
      <w:pPr>
        <w:spacing w:line="360" w:lineRule="auto"/>
        <w:jc w:val="both"/>
        <w:rPr>
          <w:sz w:val="24"/>
          <w:szCs w:val="24"/>
        </w:rPr>
      </w:pPr>
      <w:r w:rsidRPr="00796637">
        <w:rPr>
          <w:sz w:val="24"/>
          <w:szCs w:val="24"/>
        </w:rPr>
        <w:t>The results in Table 4 show that the composite effect of the reward system, which includes employee benefits, career advancement opportunities, performance recognition, and compensation, were found to be statistically significant in the explanation of the differences in the performance of employees at KCCA. This observation is supported by the p-value of 0.000, which is less than the accepted p-value of 0.05. This, in turn, indicates that the model used in this study has a good fit.</w:t>
      </w:r>
    </w:p>
    <w:p w:rsidR="008C53BF" w:rsidRPr="002D1513" w:rsidRDefault="0046008D" w:rsidP="002D1513">
      <w:pPr>
        <w:spacing w:line="360" w:lineRule="auto"/>
        <w:jc w:val="both"/>
        <w:rPr>
          <w:sz w:val="24"/>
          <w:szCs w:val="24"/>
        </w:rPr>
      </w:pPr>
      <w:r w:rsidRPr="002D1513">
        <w:rPr>
          <w:b/>
          <w:bCs/>
          <w:color w:val="000000"/>
          <w:sz w:val="24"/>
          <w:szCs w:val="24"/>
        </w:rPr>
        <w:t>Table 4: Regression coefficients</w:t>
      </w:r>
    </w:p>
    <w:p w:rsidR="008C53BF" w:rsidRPr="002D1513" w:rsidRDefault="0046008D" w:rsidP="002D1513">
      <w:pPr>
        <w:spacing w:line="360" w:lineRule="auto"/>
        <w:jc w:val="both"/>
        <w:rPr>
          <w:sz w:val="24"/>
          <w:szCs w:val="24"/>
        </w:rPr>
      </w:pPr>
      <w:r w:rsidRPr="002D1513">
        <w:rPr>
          <w:noProof/>
          <w:sz w:val="24"/>
          <w:szCs w:val="24"/>
        </w:rPr>
        <w:lastRenderedPageBreak/>
        <w:drawing>
          <wp:inline distT="0" distB="0" distL="0" distR="0">
            <wp:extent cx="5419725" cy="1628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419725" cy="1628775"/>
                    </a:xfrm>
                    <a:prstGeom prst="rect">
                      <a:avLst/>
                    </a:prstGeom>
                  </pic:spPr>
                </pic:pic>
              </a:graphicData>
            </a:graphic>
          </wp:inline>
        </w:drawing>
      </w:r>
    </w:p>
    <w:p w:rsidR="008C53BF" w:rsidRPr="002D1513" w:rsidRDefault="0046008D" w:rsidP="002D1513">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8C53BF" w:rsidRPr="002D1513" w:rsidRDefault="0046008D" w:rsidP="002D1513">
      <w:pPr>
        <w:spacing w:line="360" w:lineRule="auto"/>
        <w:jc w:val="both"/>
        <w:rPr>
          <w:sz w:val="24"/>
          <w:szCs w:val="24"/>
        </w:rPr>
      </w:pPr>
      <w:r w:rsidRPr="002D1513">
        <w:rPr>
          <w:color w:val="000000"/>
          <w:sz w:val="24"/>
          <w:szCs w:val="24"/>
        </w:rPr>
        <w:t>The model equation Employee performance of KCCA = 9.891 + 0.34</w:t>
      </w:r>
      <w:r w:rsidRPr="002D1513">
        <w:rPr>
          <w:color w:val="000000"/>
          <w:sz w:val="24"/>
          <w:szCs w:val="24"/>
          <w:vertAlign w:val="subscript"/>
        </w:rPr>
        <w:t>1</w:t>
      </w:r>
      <w:r w:rsidRPr="002D1513">
        <w:rPr>
          <w:color w:val="000000"/>
          <w:sz w:val="24"/>
          <w:szCs w:val="24"/>
        </w:rPr>
        <w:t xml:space="preserve"> X</w:t>
      </w:r>
      <w:r w:rsidRPr="002D1513">
        <w:rPr>
          <w:color w:val="000000"/>
          <w:sz w:val="24"/>
          <w:szCs w:val="24"/>
          <w:vertAlign w:val="subscript"/>
        </w:rPr>
        <w:t>1</w:t>
      </w:r>
      <w:r w:rsidRPr="002D1513">
        <w:rPr>
          <w:color w:val="000000"/>
          <w:sz w:val="24"/>
          <w:szCs w:val="24"/>
        </w:rPr>
        <w:t xml:space="preserve"> + 0.168 X</w:t>
      </w:r>
      <w:r w:rsidRPr="002D1513">
        <w:rPr>
          <w:color w:val="000000"/>
          <w:sz w:val="24"/>
          <w:szCs w:val="24"/>
          <w:vertAlign w:val="subscript"/>
        </w:rPr>
        <w:t>2</w:t>
      </w:r>
      <w:r w:rsidRPr="002D1513">
        <w:rPr>
          <w:color w:val="000000"/>
          <w:sz w:val="24"/>
          <w:szCs w:val="24"/>
        </w:rPr>
        <w:t xml:space="preserve"> + 0.388 X</w:t>
      </w:r>
      <w:r w:rsidRPr="002D1513">
        <w:rPr>
          <w:color w:val="000000"/>
          <w:sz w:val="24"/>
          <w:szCs w:val="24"/>
          <w:vertAlign w:val="subscript"/>
        </w:rPr>
        <w:t>3</w:t>
      </w:r>
      <w:r w:rsidRPr="002D1513">
        <w:rPr>
          <w:color w:val="000000"/>
          <w:sz w:val="24"/>
          <w:szCs w:val="24"/>
        </w:rPr>
        <w:t xml:space="preserve"> + 0.724 X</w:t>
      </w:r>
      <w:r w:rsidRPr="002D1513">
        <w:rPr>
          <w:color w:val="000000"/>
          <w:sz w:val="24"/>
          <w:szCs w:val="24"/>
          <w:vertAlign w:val="subscript"/>
        </w:rPr>
        <w:t>4</w:t>
      </w:r>
    </w:p>
    <w:p w:rsidR="008C53BF" w:rsidRPr="002D1513" w:rsidRDefault="0046008D" w:rsidP="002D1513">
      <w:pPr>
        <w:spacing w:line="360" w:lineRule="auto"/>
        <w:jc w:val="both"/>
        <w:rPr>
          <w:sz w:val="24"/>
          <w:szCs w:val="24"/>
        </w:rPr>
      </w:pPr>
      <w:r w:rsidRPr="002D1513">
        <w:rPr>
          <w:color w:val="000000"/>
          <w:sz w:val="24"/>
          <w:szCs w:val="24"/>
        </w:rPr>
        <w:t xml:space="preserve">The analysis indicates that, when all other variables are held constant (employee benefits, career development opportunities, performance recognition, and compensation), the employee performance score for KCCA would be 9.891. The regression analysis demonstrates that compensation significantly affects employee performance at KCCA, as evidenced by β = 0.341, p = 0.048 (which is less than 0.05)), and t = 2.179. This suggests that a one-unit increase in compensation is associated with a 0.341 unit increase in employee performance. Performance recognition also significantly impacts employee performance at KCCA (β = 0.168, p = 0.032, t = 2.212), implying that a one-unit increase in performance recognition correlates with a 0.168 unit rise in employee performance. </w:t>
      </w:r>
    </w:p>
    <w:p w:rsidR="008C53BF" w:rsidRDefault="0046008D" w:rsidP="002D1513">
      <w:pPr>
        <w:spacing w:line="360" w:lineRule="auto"/>
        <w:jc w:val="both"/>
        <w:rPr>
          <w:color w:val="000000"/>
          <w:sz w:val="24"/>
          <w:szCs w:val="24"/>
        </w:rPr>
      </w:pPr>
      <w:r w:rsidRPr="002D1513">
        <w:rPr>
          <w:color w:val="000000"/>
          <w:sz w:val="24"/>
          <w:szCs w:val="24"/>
        </w:rPr>
        <w:t>Additionally, the results show that career development opportunities significantly influence employee performance at KCCA, as indicated by β4= 0.388, p=0.006 (p &lt; 0.05), and t= 2.821. This means that a one-unit increase in career development opportunities would result in a 0.388 unit increase in employee performance. Lastly, the analysis reveals that employee benefits significantly affect employee performance at KCCA, as shown by β5= 0.724, p=0.007 (p &lt; 0.05), and t= 2.782. This indicates that a one-unit increase in employee benefits would lead to a 0.724 unit increase in employee performance.</w:t>
      </w:r>
    </w:p>
    <w:p w:rsidR="008C53BF" w:rsidRPr="002D1513" w:rsidRDefault="0046008D" w:rsidP="002D1513">
      <w:pPr>
        <w:spacing w:line="360" w:lineRule="auto"/>
        <w:jc w:val="both"/>
        <w:rPr>
          <w:sz w:val="24"/>
          <w:szCs w:val="24"/>
        </w:rPr>
      </w:pPr>
      <w:r w:rsidRPr="002D1513">
        <w:rPr>
          <w:b/>
          <w:bCs/>
          <w:color w:val="000000"/>
          <w:sz w:val="24"/>
          <w:szCs w:val="24"/>
        </w:rPr>
        <w:t>Conclusion</w:t>
      </w:r>
    </w:p>
    <w:p w:rsidR="008C53BF" w:rsidRPr="002D1513" w:rsidRDefault="0046008D" w:rsidP="002D1513">
      <w:pPr>
        <w:spacing w:line="360" w:lineRule="auto"/>
        <w:jc w:val="both"/>
        <w:rPr>
          <w:sz w:val="24"/>
          <w:szCs w:val="24"/>
        </w:rPr>
      </w:pPr>
      <w:r w:rsidRPr="002D1513">
        <w:rPr>
          <w:color w:val="000000"/>
          <w:sz w:val="24"/>
          <w:szCs w:val="24"/>
        </w:rPr>
        <w:t>This study emphasizes how crucial a comprehensive reward system is for raising worker productivity in government organizations like KCCA. Non-monetary benefits have a major impact on employee motivation and job satisfaction, even though monetary rewards are still important. The long-term impacts of such reward schemes on employee retention and organizational success should be investigated in future studies.</w:t>
      </w:r>
    </w:p>
    <w:p w:rsidR="008C53BF" w:rsidRDefault="0046008D">
      <w:r>
        <w:rPr>
          <w:b/>
          <w:bCs/>
          <w:color w:val="000000"/>
        </w:rPr>
        <w:lastRenderedPageBreak/>
        <w:t>REFERENCES</w:t>
      </w:r>
    </w:p>
    <w:p w:rsidR="008C53BF" w:rsidRDefault="0046008D" w:rsidP="002D1513">
      <w:pPr>
        <w:pStyle w:val="JenniRefBody"/>
        <w:spacing w:line="360" w:lineRule="auto"/>
        <w:ind w:left="720" w:hanging="720"/>
        <w:jc w:val="both"/>
      </w:pPr>
      <w:bookmarkStart w:id="1" w:name="01e2953cd222da48f5061ccf1a1ee2d0"/>
      <w:r>
        <w:t xml:space="preserve">  Ali, B. J., &amp; Anwar, G. (2021). An Empirical Study of Employees’ Motivation and its Influence Job Satisfaction. </w:t>
      </w:r>
      <w:r>
        <w:rPr>
          <w:i/>
          <w:iCs/>
        </w:rPr>
        <w:t>International Journal of Engineering Business and Management</w:t>
      </w:r>
      <w:r>
        <w:t xml:space="preserve">, </w:t>
      </w:r>
      <w:r>
        <w:rPr>
          <w:i/>
          <w:iCs/>
        </w:rPr>
        <w:t>5</w:t>
      </w:r>
      <w:r>
        <w:t xml:space="preserve">(2), 21. https://doi.org/10.22161/ijebm.5.2.3 </w:t>
      </w:r>
      <w:bookmarkEnd w:id="1"/>
    </w:p>
    <w:p w:rsidR="008C53BF" w:rsidRDefault="0046008D" w:rsidP="002D1513">
      <w:pPr>
        <w:pStyle w:val="JenniRefBody"/>
        <w:spacing w:line="360" w:lineRule="auto"/>
        <w:ind w:left="720" w:hanging="720"/>
        <w:jc w:val="both"/>
      </w:pPr>
      <w:bookmarkStart w:id="2" w:name="bee5aeb71a0d51706db4ed9b7d860bc6"/>
      <w:r>
        <w:t xml:space="preserve">  Ayi, T. D. (2023). The Relationship between Reward Management Practices and Employees’ Behavior. </w:t>
      </w:r>
      <w:r>
        <w:rPr>
          <w:i/>
          <w:iCs/>
        </w:rPr>
        <w:t>International Journal of Multidisciplinary Studies and Innovative Research</w:t>
      </w:r>
      <w:r>
        <w:t xml:space="preserve">, </w:t>
      </w:r>
      <w:r>
        <w:rPr>
          <w:i/>
          <w:iCs/>
        </w:rPr>
        <w:t>11</w:t>
      </w:r>
      <w:r>
        <w:t xml:space="preserve">(5), 1727. </w:t>
      </w:r>
      <w:bookmarkEnd w:id="2"/>
    </w:p>
    <w:p w:rsidR="008C53BF" w:rsidRDefault="0046008D" w:rsidP="002D1513">
      <w:pPr>
        <w:pStyle w:val="JenniRefBody"/>
        <w:spacing w:line="360" w:lineRule="auto"/>
        <w:ind w:left="720" w:hanging="720"/>
        <w:jc w:val="both"/>
      </w:pPr>
      <w:bookmarkStart w:id="3" w:name="e3be4b87604c57fdfd84f467ccf7bfa1"/>
      <w:r>
        <w:t xml:space="preserve">  Berman, E. M., Bowman, J. S., West, J. P., &amp; Wart, M. R. V. (2021). </w:t>
      </w:r>
      <w:r>
        <w:rPr>
          <w:i/>
          <w:iCs/>
        </w:rPr>
        <w:t>Human resource management in public service: Paradoxes, processes, and problems</w:t>
      </w:r>
      <w:r>
        <w:t xml:space="preserve">. Cq Press. </w:t>
      </w:r>
      <w:bookmarkEnd w:id="3"/>
    </w:p>
    <w:p w:rsidR="008C53BF" w:rsidRDefault="0046008D" w:rsidP="002D1513">
      <w:pPr>
        <w:pStyle w:val="JenniRefBody"/>
        <w:spacing w:line="360" w:lineRule="auto"/>
        <w:ind w:left="720" w:hanging="720"/>
        <w:jc w:val="both"/>
      </w:pPr>
      <w:bookmarkStart w:id="4" w:name="0d26a9baaebefec6381ad723e6059e05"/>
      <w:r>
        <w:t xml:space="preserve">  Cropanzano, R., Keplinger, K., Lambert, B., Caza, B. B., &amp; Ashford, S. J. (2022). The organizational psychology of gig work: An integrative conceptual review. </w:t>
      </w:r>
      <w:r>
        <w:rPr>
          <w:i/>
          <w:iCs/>
        </w:rPr>
        <w:t>Journal of Applied Psychology</w:t>
      </w:r>
      <w:r>
        <w:t xml:space="preserve">, </w:t>
      </w:r>
      <w:r>
        <w:rPr>
          <w:i/>
          <w:iCs/>
        </w:rPr>
        <w:t>108</w:t>
      </w:r>
      <w:r>
        <w:t xml:space="preserve">(3), 492. https://doi.org/10.1037/apl0001029 </w:t>
      </w:r>
      <w:bookmarkEnd w:id="4"/>
    </w:p>
    <w:p w:rsidR="008C53BF" w:rsidRDefault="0046008D" w:rsidP="002D1513">
      <w:pPr>
        <w:pStyle w:val="JenniRefBody"/>
        <w:spacing w:line="360" w:lineRule="auto"/>
        <w:ind w:left="720" w:hanging="720"/>
        <w:jc w:val="both"/>
      </w:pPr>
      <w:bookmarkStart w:id="5" w:name="a7d932c4c520a86105375c308ea8c54b"/>
      <w:r>
        <w:t xml:space="preserve">  Dunnette, M. D., &amp; Herzberg, F. (1967). Work and the Nature of Man. </w:t>
      </w:r>
      <w:r>
        <w:rPr>
          <w:i/>
          <w:iCs/>
        </w:rPr>
        <w:t>Administrative Science Quarterly</w:t>
      </w:r>
      <w:r>
        <w:t xml:space="preserve">, </w:t>
      </w:r>
      <w:r>
        <w:rPr>
          <w:i/>
          <w:iCs/>
        </w:rPr>
        <w:t>12</w:t>
      </w:r>
      <w:r>
        <w:t xml:space="preserve">(1), 170. https://doi.org/10.2307/2391218 </w:t>
      </w:r>
      <w:bookmarkEnd w:id="5"/>
    </w:p>
    <w:p w:rsidR="008C53BF" w:rsidRDefault="0046008D" w:rsidP="002D1513">
      <w:pPr>
        <w:pStyle w:val="JenniRefBody"/>
        <w:spacing w:line="360" w:lineRule="auto"/>
        <w:ind w:left="720" w:hanging="720"/>
        <w:jc w:val="both"/>
      </w:pPr>
      <w:bookmarkStart w:id="6" w:name="19c0e22feb76d4675daea77a4bb9939e"/>
      <w:r>
        <w:t xml:space="preserve">  Elrayah, M., &amp; Semlali, Y. (2023). Sustainable Total Reward Strategies for Talented Employees’ Sustainable Performance, Satisfaction, and Motivation: Evidence from the Educational Sector. </w:t>
      </w:r>
      <w:r>
        <w:rPr>
          <w:i/>
          <w:iCs/>
        </w:rPr>
        <w:t>Sustainability</w:t>
      </w:r>
      <w:r>
        <w:t xml:space="preserve">, </w:t>
      </w:r>
      <w:r>
        <w:rPr>
          <w:i/>
          <w:iCs/>
        </w:rPr>
        <w:t>15</w:t>
      </w:r>
      <w:r>
        <w:t xml:space="preserve">(2), 1605. https://doi.org/10.3390/su15021605 </w:t>
      </w:r>
      <w:bookmarkEnd w:id="6"/>
    </w:p>
    <w:p w:rsidR="008C53BF" w:rsidRDefault="0046008D" w:rsidP="002D1513">
      <w:pPr>
        <w:pStyle w:val="JenniRefBody"/>
        <w:spacing w:line="360" w:lineRule="auto"/>
        <w:ind w:left="720" w:hanging="720"/>
        <w:jc w:val="both"/>
      </w:pPr>
      <w:bookmarkStart w:id="7" w:name="ab24ccceef335d927a05afef33ecab45"/>
      <w:r>
        <w:t xml:space="preserve">  Hilton, S. K., Arkorful, H., &amp; Martins, A. (2021). Democratic leadership and organizational performance: the moderating effect of contingent reward. </w:t>
      </w:r>
      <w:r>
        <w:rPr>
          <w:i/>
          <w:iCs/>
        </w:rPr>
        <w:t>Management Research Review</w:t>
      </w:r>
      <w:r>
        <w:t xml:space="preserve">, </w:t>
      </w:r>
      <w:r>
        <w:rPr>
          <w:i/>
          <w:iCs/>
        </w:rPr>
        <w:t>44</w:t>
      </w:r>
      <w:r>
        <w:t xml:space="preserve">(7), 1042. https://doi.org/10.1108/mrr-04-2020-0237 </w:t>
      </w:r>
      <w:bookmarkEnd w:id="7"/>
    </w:p>
    <w:p w:rsidR="008C53BF" w:rsidRDefault="0046008D" w:rsidP="002D1513">
      <w:pPr>
        <w:pStyle w:val="JenniRefBody"/>
        <w:spacing w:line="360" w:lineRule="auto"/>
        <w:ind w:left="720" w:hanging="720"/>
        <w:jc w:val="both"/>
      </w:pPr>
      <w:bookmarkStart w:id="8" w:name="378b698b61ec555e8daf4128354ae72f"/>
      <w:r>
        <w:t xml:space="preserve">  Holbeche, L. (2022). </w:t>
      </w:r>
      <w:r>
        <w:rPr>
          <w:i/>
          <w:iCs/>
        </w:rPr>
        <w:t>Aligning Human Resources and Business Strategy</w:t>
      </w:r>
      <w:r>
        <w:t xml:space="preserve">. https://doi.org/10.4324/9781003219996 </w:t>
      </w:r>
      <w:bookmarkEnd w:id="8"/>
    </w:p>
    <w:p w:rsidR="008C53BF" w:rsidRDefault="0046008D" w:rsidP="002D1513">
      <w:pPr>
        <w:pStyle w:val="JenniRefBody"/>
        <w:spacing w:line="360" w:lineRule="auto"/>
        <w:ind w:left="720" w:hanging="720"/>
        <w:jc w:val="both"/>
      </w:pPr>
      <w:bookmarkStart w:id="9" w:name="5bf0f448c2525abf8297667ecc9b7771"/>
      <w:r>
        <w:t xml:space="preserve">  Iddekinge, C. H. V., Arnold, J. D., Aguinis, H., Lang, J. W. B., &amp; Lievens, F. (2022). Work Effort: A Conceptual and Meta-Analytic Review. </w:t>
      </w:r>
      <w:r>
        <w:rPr>
          <w:i/>
          <w:iCs/>
        </w:rPr>
        <w:t>Journal of Management</w:t>
      </w:r>
      <w:r>
        <w:t xml:space="preserve">, </w:t>
      </w:r>
      <w:r>
        <w:rPr>
          <w:i/>
          <w:iCs/>
        </w:rPr>
        <w:t>49</w:t>
      </w:r>
      <w:r>
        <w:t xml:space="preserve">(1), 125. https://doi.org/10.1177/01492063221087641 </w:t>
      </w:r>
      <w:bookmarkEnd w:id="9"/>
    </w:p>
    <w:p w:rsidR="008C53BF" w:rsidRDefault="0046008D" w:rsidP="002D1513">
      <w:pPr>
        <w:pStyle w:val="JenniRefBody"/>
        <w:spacing w:line="360" w:lineRule="auto"/>
        <w:ind w:left="720" w:hanging="720"/>
        <w:jc w:val="both"/>
      </w:pPr>
      <w:bookmarkStart w:id="10" w:name="678eaf2cc92a3887e8d498a351525fa2"/>
      <w:r>
        <w:t xml:space="preserve">  Ihemereze, K. C., Eyo-Udo, N. L., Egbokhaebho, B. A., Daraojimba, C., Ikwue, U., &amp; Nwankwo, E. E. (2023). IMPACT OF MONETARY INCENTIVES ON EMPLOYEE PERFORMANCE IN THE NIGERIAN AUTOMOTIVE SECTOR: A CASE STUDY. </w:t>
      </w:r>
      <w:r>
        <w:rPr>
          <w:i/>
          <w:iCs/>
        </w:rPr>
        <w:t>International Journal of Advanced Economics</w:t>
      </w:r>
      <w:r>
        <w:t xml:space="preserve">, </w:t>
      </w:r>
      <w:r>
        <w:rPr>
          <w:i/>
          <w:iCs/>
        </w:rPr>
        <w:t>5</w:t>
      </w:r>
      <w:r>
        <w:t xml:space="preserve">(7), 162. https://doi.org/10.51594/ijae.v5i7.548 </w:t>
      </w:r>
      <w:bookmarkEnd w:id="10"/>
    </w:p>
    <w:p w:rsidR="008C53BF" w:rsidRDefault="0046008D" w:rsidP="002D1513">
      <w:pPr>
        <w:pStyle w:val="JenniRefBody"/>
        <w:spacing w:line="360" w:lineRule="auto"/>
        <w:ind w:left="720" w:hanging="720"/>
        <w:jc w:val="both"/>
      </w:pPr>
      <w:bookmarkStart w:id="11" w:name="6a615777a33744d1ecfda0b94b67f8bb"/>
      <w:r>
        <w:t xml:space="preserve">  Investigating The Impact of Organizational Culture on Employee Retention: Moderating Role of Employee Engagement. (2023). </w:t>
      </w:r>
      <w:r>
        <w:rPr>
          <w:i/>
          <w:iCs/>
        </w:rPr>
        <w:t>Journal of System and Management Sciences</w:t>
      </w:r>
      <w:r>
        <w:t xml:space="preserve">, </w:t>
      </w:r>
      <w:r>
        <w:rPr>
          <w:i/>
          <w:iCs/>
        </w:rPr>
        <w:t>14</w:t>
      </w:r>
      <w:r>
        <w:t xml:space="preserve">(4). https://doi.org/10.33168/jsms.2023.0429 </w:t>
      </w:r>
      <w:bookmarkEnd w:id="11"/>
    </w:p>
    <w:p w:rsidR="008C53BF" w:rsidRDefault="0046008D" w:rsidP="002D1513">
      <w:pPr>
        <w:pStyle w:val="JenniRefBody"/>
        <w:spacing w:line="360" w:lineRule="auto"/>
        <w:ind w:left="720" w:hanging="720"/>
        <w:jc w:val="both"/>
      </w:pPr>
      <w:bookmarkStart w:id="12" w:name="ef73e275f1fc697f8750969b37568fb6"/>
      <w:r>
        <w:t xml:space="preserve">  Katabalo, C. V., &amp; Mwita, K. (2024). The Role of Compensation on Job Satisfaction, Employee Performance and Organisational Performance. </w:t>
      </w:r>
      <w:r>
        <w:rPr>
          <w:i/>
          <w:iCs/>
        </w:rPr>
        <w:t>Science Mundi</w:t>
      </w:r>
      <w:r>
        <w:t xml:space="preserve">, </w:t>
      </w:r>
      <w:r>
        <w:rPr>
          <w:i/>
          <w:iCs/>
        </w:rPr>
        <w:t>4</w:t>
      </w:r>
      <w:r>
        <w:t xml:space="preserve">(1), 137. https://doi.org/10.51867/scimundi.4.1.12 </w:t>
      </w:r>
      <w:bookmarkEnd w:id="12"/>
    </w:p>
    <w:p w:rsidR="008C53BF" w:rsidRDefault="0046008D" w:rsidP="002D1513">
      <w:pPr>
        <w:pStyle w:val="JenniRefBody"/>
        <w:spacing w:line="360" w:lineRule="auto"/>
        <w:ind w:left="720" w:hanging="720"/>
        <w:jc w:val="both"/>
      </w:pPr>
      <w:bookmarkStart w:id="13" w:name="3ee1ba7e0079de0dfb22df2fe30f26c7"/>
      <w:r>
        <w:t xml:space="preserve">  Kavale, S. (2017). Correlation analysis with example. </w:t>
      </w:r>
      <w:r>
        <w:rPr>
          <w:i/>
          <w:iCs/>
        </w:rPr>
        <w:t>Global Journal of Science Frontier Research</w:t>
      </w:r>
      <w:r>
        <w:t xml:space="preserve">, </w:t>
      </w:r>
      <w:r>
        <w:rPr>
          <w:i/>
          <w:iCs/>
        </w:rPr>
        <w:t>17</w:t>
      </w:r>
      <w:r>
        <w:t xml:space="preserve">(1). </w:t>
      </w:r>
      <w:bookmarkEnd w:id="13"/>
    </w:p>
    <w:p w:rsidR="008C53BF" w:rsidRDefault="0046008D" w:rsidP="002D1513">
      <w:pPr>
        <w:pStyle w:val="JenniRefBody"/>
        <w:spacing w:line="360" w:lineRule="auto"/>
        <w:ind w:left="720" w:hanging="720"/>
        <w:jc w:val="both"/>
      </w:pPr>
      <w:bookmarkStart w:id="14" w:name="8a3b11f43f5b4d61a3586e791d257fdc"/>
      <w:r>
        <w:lastRenderedPageBreak/>
        <w:t xml:space="preserve">  Khairy, H. A., Baquero, A., &amp; Al‐Romeedy, B. S. (2023). The Effect of Transactional Leadership on Organizational Agility in Tourism and Hospitality Businesses: The Mediating Roles of Organizational Trust and Ambidexterity. </w:t>
      </w:r>
      <w:r>
        <w:rPr>
          <w:i/>
          <w:iCs/>
        </w:rPr>
        <w:t>Sustainability</w:t>
      </w:r>
      <w:r>
        <w:t xml:space="preserve">, </w:t>
      </w:r>
      <w:r>
        <w:rPr>
          <w:i/>
          <w:iCs/>
        </w:rPr>
        <w:t>15</w:t>
      </w:r>
      <w:r>
        <w:t xml:space="preserve">(19), 14337. https://doi.org/10.3390/su151914337 </w:t>
      </w:r>
      <w:bookmarkEnd w:id="14"/>
    </w:p>
    <w:p w:rsidR="008C53BF" w:rsidRDefault="0046008D" w:rsidP="002D1513">
      <w:pPr>
        <w:pStyle w:val="JenniRefBody"/>
        <w:spacing w:line="360" w:lineRule="auto"/>
        <w:ind w:left="720" w:hanging="720"/>
        <w:jc w:val="both"/>
      </w:pPr>
      <w:bookmarkStart w:id="15" w:name="83631747efc151097c00a705658f9255"/>
      <w:r>
        <w:t xml:space="preserve">  Manjenje, M., &amp; Muhanga, M. (2021). </w:t>
      </w:r>
      <w:r>
        <w:rPr>
          <w:i/>
          <w:iCs/>
        </w:rPr>
        <w:t>Financial and non-financial incentives best practices in work organisations: a critical review of literature</w:t>
      </w:r>
      <w:r>
        <w:t xml:space="preserve">. </w:t>
      </w:r>
      <w:bookmarkEnd w:id="15"/>
    </w:p>
    <w:p w:rsidR="008C53BF" w:rsidRDefault="0046008D" w:rsidP="002D1513">
      <w:pPr>
        <w:pStyle w:val="JenniRefBody"/>
        <w:spacing w:line="360" w:lineRule="auto"/>
        <w:ind w:left="720" w:hanging="720"/>
        <w:jc w:val="both"/>
      </w:pPr>
      <w:bookmarkStart w:id="16" w:name="afd938cff73e143b9a73ddc43aa1f505"/>
      <w:r>
        <w:t xml:space="preserve">  Manzoor, F., Wei, L., &amp; Asif, M. (2021). Intrinsic Rewards and Employee’s Performance With the Mediating Mechanism of Employee’s Motivation. </w:t>
      </w:r>
      <w:r>
        <w:rPr>
          <w:i/>
          <w:iCs/>
        </w:rPr>
        <w:t>Frontiers in Psychology</w:t>
      </w:r>
      <w:r>
        <w:t xml:space="preserve">, </w:t>
      </w:r>
      <w:r>
        <w:rPr>
          <w:i/>
          <w:iCs/>
        </w:rPr>
        <w:t>12</w:t>
      </w:r>
      <w:r>
        <w:t xml:space="preserve">, 563070. https://doi.org/10.3389/fpsyg.2021.563070 </w:t>
      </w:r>
      <w:bookmarkEnd w:id="16"/>
    </w:p>
    <w:p w:rsidR="008C53BF" w:rsidRDefault="0046008D" w:rsidP="002D1513">
      <w:pPr>
        <w:pStyle w:val="JenniRefBody"/>
        <w:spacing w:line="360" w:lineRule="auto"/>
        <w:ind w:left="720" w:hanging="720"/>
        <w:jc w:val="both"/>
      </w:pPr>
      <w:bookmarkStart w:id="17" w:name="09927a34920fe7e96f380c7ab4d29b52"/>
      <w:r>
        <w:t xml:space="preserve">  Maslow, A. H. (1943). A theory of human motivation. </w:t>
      </w:r>
      <w:r>
        <w:rPr>
          <w:i/>
          <w:iCs/>
        </w:rPr>
        <w:t>Psychological Review</w:t>
      </w:r>
      <w:r>
        <w:t xml:space="preserve">, </w:t>
      </w:r>
      <w:r>
        <w:rPr>
          <w:i/>
          <w:iCs/>
        </w:rPr>
        <w:t>50</w:t>
      </w:r>
      <w:r>
        <w:t xml:space="preserve">(4), 370. https://doi.org/10.1037/h0054346 </w:t>
      </w:r>
      <w:bookmarkEnd w:id="17"/>
    </w:p>
    <w:p w:rsidR="008C53BF" w:rsidRDefault="0046008D" w:rsidP="002D1513">
      <w:pPr>
        <w:pStyle w:val="JenniRefBody"/>
        <w:spacing w:line="360" w:lineRule="auto"/>
        <w:ind w:left="720" w:hanging="720"/>
        <w:jc w:val="both"/>
      </w:pPr>
      <w:bookmarkStart w:id="18" w:name="1abb30e7e0708016328c72aa30a76e12"/>
      <w:r>
        <w:t xml:space="preserve">  Mohammad, S. S., &amp; Mohammad, M. J. (2023). Impact of Monetary and Non-monetary Rewards on Employee Performance. </w:t>
      </w:r>
      <w:r>
        <w:rPr>
          <w:i/>
          <w:iCs/>
        </w:rPr>
        <w:t>Journal of Law and Social Sciences-University of Turbat</w:t>
      </w:r>
      <w:r>
        <w:t xml:space="preserve">, </w:t>
      </w:r>
      <w:r>
        <w:rPr>
          <w:i/>
          <w:iCs/>
        </w:rPr>
        <w:t>1</w:t>
      </w:r>
      <w:r>
        <w:t xml:space="preserve">(2), 54. </w:t>
      </w:r>
      <w:bookmarkEnd w:id="18"/>
    </w:p>
    <w:p w:rsidR="008C53BF" w:rsidRDefault="0046008D" w:rsidP="002D1513">
      <w:pPr>
        <w:pStyle w:val="JenniRefBody"/>
        <w:spacing w:line="360" w:lineRule="auto"/>
        <w:ind w:left="720" w:hanging="720"/>
        <w:jc w:val="both"/>
      </w:pPr>
      <w:bookmarkStart w:id="19" w:name="86bb9261bffb87bdd16f0d63a56f2e1b"/>
      <w:r>
        <w:t xml:space="preserve">  Moonlight, B. (2020). Non-monetary reward and Employee performance in parastatal organisations in Uganda: a case study of Civil Aviation Authority. In </w:t>
      </w:r>
      <w:r>
        <w:rPr>
          <w:i/>
          <w:iCs/>
        </w:rPr>
        <w:t>University of Kisubi</w:t>
      </w:r>
      <w:r>
        <w:t xml:space="preserve">. </w:t>
      </w:r>
      <w:bookmarkEnd w:id="19"/>
    </w:p>
    <w:p w:rsidR="008C53BF" w:rsidRDefault="0046008D" w:rsidP="002D1513">
      <w:pPr>
        <w:pStyle w:val="JenniRefBody"/>
        <w:spacing w:line="360" w:lineRule="auto"/>
        <w:ind w:left="720" w:hanging="720"/>
        <w:jc w:val="both"/>
      </w:pPr>
      <w:bookmarkStart w:id="20" w:name="3f1da4315a3ff3569ed3c3cbba3a274d"/>
      <w:r>
        <w:t xml:space="preserve">  Mugenda, O. M., &amp; Mugenda, A. G. (2013). </w:t>
      </w:r>
      <w:r>
        <w:rPr>
          <w:i/>
          <w:iCs/>
        </w:rPr>
        <w:t>Research Methods Quantitative and Qualitative Approaches</w:t>
      </w:r>
      <w:r>
        <w:t xml:space="preserve">. Acts Press. </w:t>
      </w:r>
      <w:bookmarkEnd w:id="20"/>
    </w:p>
    <w:p w:rsidR="008C53BF" w:rsidRDefault="0046008D" w:rsidP="002D1513">
      <w:pPr>
        <w:pStyle w:val="JenniRefBody"/>
        <w:spacing w:line="360" w:lineRule="auto"/>
        <w:ind w:left="720" w:hanging="720"/>
        <w:jc w:val="both"/>
      </w:pPr>
      <w:bookmarkStart w:id="21" w:name="0600d17d76cfd3b910eb1067c8db38af"/>
      <w:r>
        <w:t xml:space="preserve">  Mustafa, B., &amp; Lleshi, S. (2024). The impact of lifelong learning and investments in employee development on employee productivity and performance. </w:t>
      </w:r>
      <w:r>
        <w:rPr>
          <w:i/>
          <w:iCs/>
        </w:rPr>
        <w:t>Multidisciplinary Reviews</w:t>
      </w:r>
      <w:r>
        <w:t xml:space="preserve">, </w:t>
      </w:r>
      <w:r>
        <w:rPr>
          <w:i/>
          <w:iCs/>
        </w:rPr>
        <w:t>7</w:t>
      </w:r>
      <w:r>
        <w:t xml:space="preserve">(8), 2024175. https://doi.org/10.31893/multirev.2024175 </w:t>
      </w:r>
      <w:bookmarkEnd w:id="21"/>
    </w:p>
    <w:p w:rsidR="008C53BF" w:rsidRDefault="0046008D" w:rsidP="002D1513">
      <w:pPr>
        <w:pStyle w:val="JenniRefBody"/>
        <w:spacing w:line="360" w:lineRule="auto"/>
        <w:ind w:left="720" w:hanging="720"/>
        <w:jc w:val="both"/>
      </w:pPr>
      <w:bookmarkStart w:id="22" w:name="ad21afac50fc202e81fd3763b43337ec"/>
      <w:r>
        <w:t xml:space="preserve">  Olum, S., Adyanga, A. F., &amp; Ocan, J. (2024). Theoretical Review of Pay Restructuring in Uganda’s Public Service Health Sector. </w:t>
      </w:r>
      <w:r>
        <w:rPr>
          <w:i/>
          <w:iCs/>
        </w:rPr>
        <w:t>International Journal of Advanced Research</w:t>
      </w:r>
      <w:r>
        <w:t xml:space="preserve">, </w:t>
      </w:r>
      <w:r>
        <w:rPr>
          <w:i/>
          <w:iCs/>
        </w:rPr>
        <w:t>7</w:t>
      </w:r>
      <w:r>
        <w:t xml:space="preserve">(1), 35. https://doi.org/10.37284/ijar.7.1.1656 </w:t>
      </w:r>
      <w:bookmarkEnd w:id="22"/>
    </w:p>
    <w:p w:rsidR="008C53BF" w:rsidRDefault="0046008D" w:rsidP="002D1513">
      <w:pPr>
        <w:pStyle w:val="JenniRefBody"/>
        <w:spacing w:line="360" w:lineRule="auto"/>
        <w:ind w:left="720" w:hanging="720"/>
        <w:jc w:val="both"/>
      </w:pPr>
      <w:bookmarkStart w:id="23" w:name="ceeefa291e8176810b5297f1f95e3298"/>
      <w:r>
        <w:t xml:space="preserve">  Saks, A. M. (2021). Caring human resources management and employee engagement. </w:t>
      </w:r>
      <w:r>
        <w:rPr>
          <w:i/>
          <w:iCs/>
        </w:rPr>
        <w:t>Human Resource Management Review</w:t>
      </w:r>
      <w:r>
        <w:t xml:space="preserve">, </w:t>
      </w:r>
      <w:r>
        <w:rPr>
          <w:i/>
          <w:iCs/>
        </w:rPr>
        <w:t>32</w:t>
      </w:r>
      <w:r>
        <w:t xml:space="preserve">(3), 100835. https://doi.org/10.1016/j.hrmr.2021.100835 </w:t>
      </w:r>
      <w:bookmarkEnd w:id="23"/>
    </w:p>
    <w:p w:rsidR="008C53BF" w:rsidRDefault="0046008D" w:rsidP="002D1513">
      <w:pPr>
        <w:pStyle w:val="JenniRefBody"/>
        <w:spacing w:line="360" w:lineRule="auto"/>
        <w:ind w:left="720" w:hanging="720"/>
        <w:jc w:val="both"/>
      </w:pPr>
      <w:bookmarkStart w:id="24" w:name="29136424993a2bd67a44876fc5bd6e97"/>
      <w:r>
        <w:t xml:space="preserve">  Sung, W., &amp; Kim, C. (2021). A Study on the Effect of Change Management on Organizational Innovation: Focusing on the Mediating Effect of Members’ Innovative Behavior. </w:t>
      </w:r>
      <w:r>
        <w:rPr>
          <w:i/>
          <w:iCs/>
        </w:rPr>
        <w:t>Sustainability</w:t>
      </w:r>
      <w:r>
        <w:t xml:space="preserve">, </w:t>
      </w:r>
      <w:r>
        <w:rPr>
          <w:i/>
          <w:iCs/>
        </w:rPr>
        <w:t>13</w:t>
      </w:r>
      <w:r>
        <w:t xml:space="preserve">(4), 2079. https://doi.org/10.3390/su13042079 </w:t>
      </w:r>
      <w:bookmarkEnd w:id="24"/>
    </w:p>
    <w:p w:rsidR="008C53BF" w:rsidRDefault="0046008D" w:rsidP="002D1513">
      <w:pPr>
        <w:pStyle w:val="JenniRefBody"/>
        <w:spacing w:line="360" w:lineRule="auto"/>
        <w:ind w:left="720" w:hanging="720"/>
        <w:jc w:val="both"/>
      </w:pPr>
      <w:bookmarkStart w:id="25" w:name="9ee0f1dd835a4ebbbf75691951e4c44b"/>
      <w:r>
        <w:t xml:space="preserve">  Widarko, A., &amp; Anwarodin, M. K. (2022). Work Motivation and Organizational Culture on Work Performance: Organizational Citizenship Behavior (OCB) as Mediating Variable. </w:t>
      </w:r>
      <w:r>
        <w:rPr>
          <w:i/>
          <w:iCs/>
        </w:rPr>
        <w:t>Golden Ratio of Human Resource Management</w:t>
      </w:r>
      <w:r>
        <w:t xml:space="preserve">, </w:t>
      </w:r>
      <w:r>
        <w:rPr>
          <w:i/>
          <w:iCs/>
        </w:rPr>
        <w:t>2</w:t>
      </w:r>
      <w:r>
        <w:t xml:space="preserve">(2), 123. https://doi.org/10.52970/grhrm.v2i2.207 </w:t>
      </w:r>
      <w:bookmarkEnd w:id="25"/>
    </w:p>
    <w:p w:rsidR="008C53BF" w:rsidRDefault="0046008D" w:rsidP="002D1513">
      <w:pPr>
        <w:pStyle w:val="JenniRefBody"/>
        <w:spacing w:line="360" w:lineRule="auto"/>
        <w:ind w:left="720" w:hanging="720"/>
        <w:jc w:val="both"/>
      </w:pPr>
      <w:bookmarkStart w:id="26" w:name="682aa12630df3dd2a399d71bf6bcf601"/>
      <w:r>
        <w:t xml:space="preserve">  Yamane, T. (1973). Statistics: An Introductory Analysis. In </w:t>
      </w:r>
      <w:r>
        <w:rPr>
          <w:i/>
          <w:iCs/>
        </w:rPr>
        <w:t>Virtual Defense Library (Ministerio de Defensa)</w:t>
      </w:r>
      <w:r>
        <w:t xml:space="preserve">. Ministerio de Defensa. https://bibliotecavirtual.defensa.gob.es/BVMDefensa/es/consulta/registro.do?id=611616 </w:t>
      </w:r>
      <w:bookmarkEnd w:id="26"/>
    </w:p>
    <w:sectPr w:rsidR="008C53BF">
      <w:footerReference w:type="even"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C0D" w:rsidRDefault="00613C0D" w:rsidP="0069228A">
      <w:pPr>
        <w:spacing w:before="0" w:after="0"/>
      </w:pPr>
      <w:r>
        <w:separator/>
      </w:r>
    </w:p>
  </w:endnote>
  <w:endnote w:type="continuationSeparator" w:id="0">
    <w:p w:rsidR="00613C0D" w:rsidRDefault="00613C0D" w:rsidP="006922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8386831"/>
      <w:docPartObj>
        <w:docPartGallery w:val="Page Numbers (Bottom of Page)"/>
        <w:docPartUnique/>
      </w:docPartObj>
    </w:sdtPr>
    <w:sdtEndPr>
      <w:rPr>
        <w:rStyle w:val="PageNumber"/>
      </w:rPr>
    </w:sdtEndPr>
    <w:sdtContent>
      <w:p w:rsidR="0069228A" w:rsidRDefault="0069228A" w:rsidP="008D13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9228A" w:rsidRDefault="0069228A" w:rsidP="006922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5650708"/>
      <w:docPartObj>
        <w:docPartGallery w:val="Page Numbers (Bottom of Page)"/>
        <w:docPartUnique/>
      </w:docPartObj>
    </w:sdtPr>
    <w:sdtEndPr>
      <w:rPr>
        <w:rStyle w:val="PageNumber"/>
      </w:rPr>
    </w:sdtEndPr>
    <w:sdtContent>
      <w:p w:rsidR="0069228A" w:rsidRDefault="0069228A" w:rsidP="008D13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9228A" w:rsidRDefault="0069228A" w:rsidP="006922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C0D" w:rsidRDefault="00613C0D" w:rsidP="0069228A">
      <w:pPr>
        <w:spacing w:before="0" w:after="0"/>
      </w:pPr>
      <w:r>
        <w:separator/>
      </w:r>
    </w:p>
  </w:footnote>
  <w:footnote w:type="continuationSeparator" w:id="0">
    <w:p w:rsidR="00613C0D" w:rsidRDefault="00613C0D" w:rsidP="006922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0462A"/>
    <w:multiLevelType w:val="hybridMultilevel"/>
    <w:tmpl w:val="E9C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1458A"/>
    <w:multiLevelType w:val="hybridMultilevel"/>
    <w:tmpl w:val="1AA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72E37"/>
    <w:multiLevelType w:val="hybridMultilevel"/>
    <w:tmpl w:val="64AA62EC"/>
    <w:lvl w:ilvl="0" w:tplc="600E8B06">
      <w:start w:val="1"/>
      <w:numFmt w:val="decimalEnclosedFullstop"/>
      <w:lvlText w:val="%1"/>
      <w:lvlJc w:val="left"/>
      <w:pPr>
        <w:ind w:left="720" w:hanging="360"/>
      </w:pPr>
    </w:lvl>
    <w:lvl w:ilvl="1" w:tplc="C93C7C56">
      <w:start w:val="1"/>
      <w:numFmt w:val="decimalEnclosedFullstop"/>
      <w:lvlText w:val="%2"/>
      <w:lvlJc w:val="left"/>
      <w:pPr>
        <w:ind w:left="1440" w:hanging="360"/>
      </w:pPr>
    </w:lvl>
    <w:lvl w:ilvl="2" w:tplc="88686AF2">
      <w:start w:val="1"/>
      <w:numFmt w:val="decimalEnclosedFullstop"/>
      <w:lvlText w:val="%3"/>
      <w:lvlJc w:val="left"/>
      <w:pPr>
        <w:ind w:left="2160" w:hanging="360"/>
      </w:pPr>
    </w:lvl>
    <w:lvl w:ilvl="3" w:tplc="4900034C">
      <w:start w:val="1"/>
      <w:numFmt w:val="decimalEnclosedFullstop"/>
      <w:lvlText w:val="%4"/>
      <w:lvlJc w:val="left"/>
      <w:pPr>
        <w:ind w:left="2880" w:hanging="360"/>
      </w:pPr>
    </w:lvl>
    <w:lvl w:ilvl="4" w:tplc="B3149D2A">
      <w:start w:val="1"/>
      <w:numFmt w:val="decimalEnclosedFullstop"/>
      <w:lvlText w:val="%5"/>
      <w:lvlJc w:val="left"/>
      <w:pPr>
        <w:ind w:left="3600" w:hanging="360"/>
      </w:pPr>
    </w:lvl>
    <w:lvl w:ilvl="5" w:tplc="E714AF6C">
      <w:start w:val="1"/>
      <w:numFmt w:val="decimalEnclosedFullstop"/>
      <w:lvlText w:val="%6"/>
      <w:lvlJc w:val="left"/>
      <w:pPr>
        <w:ind w:left="4320" w:hanging="360"/>
      </w:pPr>
    </w:lvl>
    <w:lvl w:ilvl="6" w:tplc="777AE3D2">
      <w:start w:val="1"/>
      <w:numFmt w:val="decimalEnclosedFullstop"/>
      <w:lvlText w:val="%7"/>
      <w:lvlJc w:val="left"/>
      <w:pPr>
        <w:ind w:left="5040" w:hanging="360"/>
      </w:pPr>
    </w:lvl>
    <w:lvl w:ilvl="7" w:tplc="B0566076">
      <w:start w:val="1"/>
      <w:numFmt w:val="decimalEnclosedFullstop"/>
      <w:lvlText w:val="%8"/>
      <w:lvlJc w:val="left"/>
      <w:pPr>
        <w:ind w:left="5760" w:hanging="360"/>
      </w:pPr>
    </w:lvl>
    <w:lvl w:ilvl="8" w:tplc="F134F140">
      <w:start w:val="1"/>
      <w:numFmt w:val="decimalEnclosedFullstop"/>
      <w:lvlText w:val="%9"/>
      <w:lvlJc w:val="left"/>
      <w:pPr>
        <w:ind w:left="6480" w:hanging="360"/>
      </w:pPr>
    </w:lvl>
  </w:abstractNum>
  <w:abstractNum w:abstractNumId="3" w15:restartNumberingAfterBreak="0">
    <w:nsid w:val="4BDD21E9"/>
    <w:multiLevelType w:val="hybridMultilevel"/>
    <w:tmpl w:val="504E329E"/>
    <w:lvl w:ilvl="0" w:tplc="2F402460">
      <w:start w:val="1"/>
      <w:numFmt w:val="bullet"/>
      <w:lvlText w:val="●"/>
      <w:lvlJc w:val="left"/>
      <w:pPr>
        <w:ind w:left="720" w:hanging="360"/>
      </w:pPr>
    </w:lvl>
    <w:lvl w:ilvl="1" w:tplc="C2ACC3F4">
      <w:start w:val="1"/>
      <w:numFmt w:val="bullet"/>
      <w:lvlText w:val="○"/>
      <w:lvlJc w:val="left"/>
      <w:pPr>
        <w:ind w:left="1440" w:hanging="360"/>
      </w:pPr>
    </w:lvl>
    <w:lvl w:ilvl="2" w:tplc="ED044288">
      <w:start w:val="1"/>
      <w:numFmt w:val="bullet"/>
      <w:lvlText w:val="■"/>
      <w:lvlJc w:val="left"/>
      <w:pPr>
        <w:ind w:left="2160" w:hanging="360"/>
      </w:pPr>
    </w:lvl>
    <w:lvl w:ilvl="3" w:tplc="D7A44DFC">
      <w:start w:val="1"/>
      <w:numFmt w:val="bullet"/>
      <w:lvlText w:val="●"/>
      <w:lvlJc w:val="left"/>
      <w:pPr>
        <w:ind w:left="2880" w:hanging="360"/>
      </w:pPr>
    </w:lvl>
    <w:lvl w:ilvl="4" w:tplc="17C89A08">
      <w:start w:val="1"/>
      <w:numFmt w:val="bullet"/>
      <w:lvlText w:val="○"/>
      <w:lvlJc w:val="left"/>
      <w:pPr>
        <w:ind w:left="3600" w:hanging="360"/>
      </w:pPr>
    </w:lvl>
    <w:lvl w:ilvl="5" w:tplc="D50E0FA0">
      <w:start w:val="1"/>
      <w:numFmt w:val="bullet"/>
      <w:lvlText w:val="■"/>
      <w:lvlJc w:val="left"/>
      <w:pPr>
        <w:ind w:left="4320" w:hanging="360"/>
      </w:pPr>
    </w:lvl>
    <w:lvl w:ilvl="6" w:tplc="DA3CB1F6">
      <w:start w:val="1"/>
      <w:numFmt w:val="bullet"/>
      <w:lvlText w:val="●"/>
      <w:lvlJc w:val="left"/>
      <w:pPr>
        <w:ind w:left="5040" w:hanging="360"/>
      </w:pPr>
    </w:lvl>
    <w:lvl w:ilvl="7" w:tplc="E07A56BE">
      <w:start w:val="1"/>
      <w:numFmt w:val="bullet"/>
      <w:lvlText w:val="●"/>
      <w:lvlJc w:val="left"/>
      <w:pPr>
        <w:ind w:left="5760" w:hanging="360"/>
      </w:pPr>
    </w:lvl>
    <w:lvl w:ilvl="8" w:tplc="11681524">
      <w:start w:val="1"/>
      <w:numFmt w:val="bullet"/>
      <w:lvlText w:val="●"/>
      <w:lvlJc w:val="left"/>
      <w:pPr>
        <w:ind w:left="6480" w:hanging="360"/>
      </w:pPr>
    </w:lvl>
  </w:abstractNum>
  <w:abstractNum w:abstractNumId="4" w15:restartNumberingAfterBreak="0">
    <w:nsid w:val="50D54548"/>
    <w:multiLevelType w:val="hybridMultilevel"/>
    <w:tmpl w:val="3C3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13FC6"/>
    <w:multiLevelType w:val="hybridMultilevel"/>
    <w:tmpl w:val="965815E2"/>
    <w:lvl w:ilvl="0" w:tplc="2000001B">
      <w:start w:val="1"/>
      <w:numFmt w:val="lowerRoman"/>
      <w:lvlText w:val="%1."/>
      <w:lvlJc w:val="right"/>
      <w:pPr>
        <w:ind w:left="720" w:hanging="360"/>
      </w:pPr>
    </w:lvl>
    <w:lvl w:ilvl="1" w:tplc="C93C7C56">
      <w:start w:val="1"/>
      <w:numFmt w:val="decimalEnclosedFullstop"/>
      <w:lvlText w:val="%2"/>
      <w:lvlJc w:val="left"/>
      <w:pPr>
        <w:ind w:left="1440" w:hanging="360"/>
      </w:pPr>
    </w:lvl>
    <w:lvl w:ilvl="2" w:tplc="88686AF2">
      <w:start w:val="1"/>
      <w:numFmt w:val="decimalEnclosedFullstop"/>
      <w:lvlText w:val="%3"/>
      <w:lvlJc w:val="left"/>
      <w:pPr>
        <w:ind w:left="2160" w:hanging="360"/>
      </w:pPr>
    </w:lvl>
    <w:lvl w:ilvl="3" w:tplc="4900034C">
      <w:start w:val="1"/>
      <w:numFmt w:val="decimalEnclosedFullstop"/>
      <w:lvlText w:val="%4"/>
      <w:lvlJc w:val="left"/>
      <w:pPr>
        <w:ind w:left="2880" w:hanging="360"/>
      </w:pPr>
    </w:lvl>
    <w:lvl w:ilvl="4" w:tplc="B3149D2A">
      <w:start w:val="1"/>
      <w:numFmt w:val="decimalEnclosedFullstop"/>
      <w:lvlText w:val="%5"/>
      <w:lvlJc w:val="left"/>
      <w:pPr>
        <w:ind w:left="3600" w:hanging="360"/>
      </w:pPr>
    </w:lvl>
    <w:lvl w:ilvl="5" w:tplc="E714AF6C">
      <w:start w:val="1"/>
      <w:numFmt w:val="decimalEnclosedFullstop"/>
      <w:lvlText w:val="%6"/>
      <w:lvlJc w:val="left"/>
      <w:pPr>
        <w:ind w:left="4320" w:hanging="360"/>
      </w:pPr>
    </w:lvl>
    <w:lvl w:ilvl="6" w:tplc="777AE3D2">
      <w:start w:val="1"/>
      <w:numFmt w:val="decimalEnclosedFullstop"/>
      <w:lvlText w:val="%7"/>
      <w:lvlJc w:val="left"/>
      <w:pPr>
        <w:ind w:left="5040" w:hanging="360"/>
      </w:pPr>
    </w:lvl>
    <w:lvl w:ilvl="7" w:tplc="B0566076">
      <w:start w:val="1"/>
      <w:numFmt w:val="decimalEnclosedFullstop"/>
      <w:lvlText w:val="%8"/>
      <w:lvlJc w:val="left"/>
      <w:pPr>
        <w:ind w:left="5760" w:hanging="360"/>
      </w:pPr>
    </w:lvl>
    <w:lvl w:ilvl="8" w:tplc="F134F140">
      <w:start w:val="1"/>
      <w:numFmt w:val="decimalEnclosedFullstop"/>
      <w:lvlText w:val="%9"/>
      <w:lvlJc w:val="left"/>
      <w:pPr>
        <w:ind w:left="6480" w:hanging="360"/>
      </w:pPr>
    </w:lvl>
  </w:abstractNum>
  <w:abstractNum w:abstractNumId="6" w15:restartNumberingAfterBreak="0">
    <w:nsid w:val="5C0B642E"/>
    <w:multiLevelType w:val="hybridMultilevel"/>
    <w:tmpl w:val="25F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6708D"/>
    <w:multiLevelType w:val="hybridMultilevel"/>
    <w:tmpl w:val="35903F0A"/>
    <w:lvl w:ilvl="0" w:tplc="AC082282">
      <w:start w:val="1"/>
      <w:numFmt w:val="bullet"/>
      <w:lvlText w:val=""/>
      <w:lvlJc w:val="left"/>
      <w:pPr>
        <w:ind w:left="720" w:hanging="360"/>
      </w:pPr>
    </w:lvl>
    <w:lvl w:ilvl="1" w:tplc="3CE0F088">
      <w:start w:val="1"/>
      <w:numFmt w:val="bullet"/>
      <w:lvlText w:val=""/>
      <w:lvlJc w:val="left"/>
      <w:pPr>
        <w:ind w:left="1440" w:hanging="360"/>
      </w:pPr>
    </w:lvl>
    <w:lvl w:ilvl="2" w:tplc="44B8C70A">
      <w:start w:val="1"/>
      <w:numFmt w:val="bullet"/>
      <w:lvlText w:val=""/>
      <w:lvlJc w:val="left"/>
      <w:pPr>
        <w:ind w:left="2160" w:hanging="360"/>
      </w:pPr>
    </w:lvl>
    <w:lvl w:ilvl="3" w:tplc="773C9D80">
      <w:start w:val="1"/>
      <w:numFmt w:val="bullet"/>
      <w:lvlText w:val=""/>
      <w:lvlJc w:val="left"/>
      <w:pPr>
        <w:ind w:left="2880" w:hanging="360"/>
      </w:pPr>
    </w:lvl>
    <w:lvl w:ilvl="4" w:tplc="D0C00452">
      <w:start w:val="1"/>
      <w:numFmt w:val="bullet"/>
      <w:lvlText w:val=""/>
      <w:lvlJc w:val="left"/>
      <w:pPr>
        <w:ind w:left="3600" w:hanging="360"/>
      </w:pPr>
    </w:lvl>
    <w:lvl w:ilvl="5" w:tplc="2762659A">
      <w:start w:val="1"/>
      <w:numFmt w:val="bullet"/>
      <w:lvlText w:val=""/>
      <w:lvlJc w:val="left"/>
      <w:pPr>
        <w:ind w:left="4320" w:hanging="360"/>
      </w:pPr>
    </w:lvl>
    <w:lvl w:ilvl="6" w:tplc="37DED14C">
      <w:start w:val="1"/>
      <w:numFmt w:val="bullet"/>
      <w:lvlText w:val=""/>
      <w:lvlJc w:val="left"/>
      <w:pPr>
        <w:ind w:left="5040" w:hanging="360"/>
      </w:pPr>
    </w:lvl>
    <w:lvl w:ilvl="7" w:tplc="E138C9A4">
      <w:start w:val="1"/>
      <w:numFmt w:val="bullet"/>
      <w:lvlText w:val=""/>
      <w:lvlJc w:val="left"/>
      <w:pPr>
        <w:ind w:left="5760" w:hanging="360"/>
      </w:pPr>
    </w:lvl>
    <w:lvl w:ilvl="8" w:tplc="4C5A8B30">
      <w:start w:val="1"/>
      <w:numFmt w:val="bullet"/>
      <w:lvlText w:val=""/>
      <w:lvlJc w:val="left"/>
      <w:pPr>
        <w:ind w:left="6480" w:hanging="360"/>
      </w:pPr>
    </w:lvl>
  </w:abstractNum>
  <w:abstractNum w:abstractNumId="8" w15:restartNumberingAfterBreak="0">
    <w:nsid w:val="7E141AE7"/>
    <w:multiLevelType w:val="hybridMultilevel"/>
    <w:tmpl w:val="A67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
    <w:lvlOverride w:ilvl="0">
      <w:startOverride w:val="1"/>
    </w:lvlOverride>
  </w:num>
  <w:num w:numId="3">
    <w:abstractNumId w:val="0"/>
  </w:num>
  <w:num w:numId="4">
    <w:abstractNumId w:val="4"/>
  </w:num>
  <w:num w:numId="5">
    <w:abstractNumId w:val="1"/>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BF"/>
    <w:rsid w:val="001012A2"/>
    <w:rsid w:val="002D1513"/>
    <w:rsid w:val="003F521E"/>
    <w:rsid w:val="0046008D"/>
    <w:rsid w:val="00613C0D"/>
    <w:rsid w:val="0069228A"/>
    <w:rsid w:val="00796637"/>
    <w:rsid w:val="008C53BF"/>
    <w:rsid w:val="00A21634"/>
    <w:rsid w:val="00BC3B77"/>
    <w:rsid w:val="00F17E3A"/>
    <w:rsid w:val="00F57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F5AF"/>
  <w15:docId w15:val="{8FB40E1F-BBDF-4093-B9CA-D8FA56D0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Footer">
    <w:name w:val="footer"/>
    <w:basedOn w:val="Normal"/>
    <w:link w:val="FooterChar"/>
    <w:uiPriority w:val="99"/>
    <w:unhideWhenUsed/>
    <w:rsid w:val="0069228A"/>
    <w:pPr>
      <w:tabs>
        <w:tab w:val="center" w:pos="4680"/>
        <w:tab w:val="right" w:pos="9360"/>
      </w:tabs>
      <w:spacing w:before="0" w:after="0"/>
    </w:pPr>
  </w:style>
  <w:style w:type="character" w:customStyle="1" w:styleId="FooterChar">
    <w:name w:val="Footer Char"/>
    <w:basedOn w:val="DefaultParagraphFont"/>
    <w:link w:val="Footer"/>
    <w:uiPriority w:val="99"/>
    <w:rsid w:val="0069228A"/>
  </w:style>
  <w:style w:type="character" w:styleId="PageNumber">
    <w:name w:val="page number"/>
    <w:basedOn w:val="DefaultParagraphFont"/>
    <w:uiPriority w:val="99"/>
    <w:semiHidden/>
    <w:unhideWhenUsed/>
    <w:rsid w:val="0069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KhairyH23</b:Tag>
    <b:SourceType>JournalArticle</b:SourceType>
    <b:Guid>{f9c00542-7c67-4ddc-8c0a-878c2c567793}</b:Guid>
    <b:Title>The Effect of Transactional Leadership on Organizational Agility in Tourism and Hospitality Businesses: The Mediating Roles of Organizational Trust and Ambidexterity</b:Title>
    <b:Year>2023</b:Year>
    <b:JournalName>Sustainability</b:JournalName>
    <b:BookTitle>Sustainability</b:BookTitle>
    <b:Volume>15</b:Volume>
    <b:Issue>19</b:Issue>
    <b:Pages>14337-14337</b:Pages>
    <b:Publisher>Multidisciplinary Digital Publishing Institute</b:Publisher>
    <b:URL>https://doi.org/10.3390/su151914337</b:URL>
    <b:DOI>10.3390/su151914337</b:DOI>
    <b:Author>
      <b:Author>
        <b:NameList>
          <b:Person>
            <b:Last>Khairy</b:Last>
            <b:First>Hazem Ahmed</b:First>
          </b:Person>
          <b:Person>
            <b:Last>Baquero</b:Last>
            <b:First>Asier</b:First>
          </b:Person>
          <b:Person>
            <b:Last>Al‐Romeedy</b:Last>
            <b:First>Bassam Samir</b:First>
          </b:Person>
        </b:NameList>
      </b:Author>
    </b:Author>
    <b:JenniData>z: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</b:JenniData>
  </b:Source>
  <b:Source>
    <b:Tag>AliB21</b:Tag>
    <b:SourceType>JournalArticle</b:SourceType>
    <b:Guid>{0c9e90f4-13d4-44f0-ab77-27f4a99efbfd}</b:Guid>
    <b:Title>An Empirical Study of Employees’ Motivation and its Influence Job Satisfaction</b:Title>
    <b:Year>2021</b:Year>
    <b:JournalName>International Journal of Engineering Business and Management</b:JournalName>
    <b:BookTitle>International Journal of Engineering Business and Management</b:BookTitle>
    <b:Volume>5</b:Volume>
    <b:Issue>2</b:Issue>
    <b:Pages>21-30</b:Pages>
    <b:URL>https://doi.org/10.22161/ijebm.5.2.3</b:URL>
    <b:DOI>10.22161/ijebm.5.2.3</b:DOI>
    <b:Author>
      <b:Author>
        <b:NameList>
          <b:Person>
            <b:Last>Ali</b:Last>
            <b:First>Bayad Jamal</b:First>
          </b:Person>
          <b:Person>
            <b:Last>Anwar</b:Last>
            <b:First>Govand</b:First>
          </b:Person>
        </b:NameList>
      </b:Author>
    </b:Author>
    <b:JenniData>z: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</b:JenniData>
  </b:Source>
  <b:Source>
    <b:Tag>ManzoorF21</b:Tag>
    <b:SourceType>JournalArticle</b:SourceType>
    <b:Guid>{611f80f4-589e-43fc-9a4f-33167bd11386}</b:Guid>
    <b:Title>Intrinsic Rewards and Employee's Performance With the Mediating Mechanism of Employee's Motivation</b:Title>
    <b:Year>2021</b:Year>
    <b:JournalName>Frontiers in Psychology</b:JournalName>
    <b:BookTitle>Frontiers in Psychology</b:BookTitle>
    <b:Volume>12</b:Volume>
    <b:Pages>563070-563070</b:Pages>
    <b:Publisher>Frontiers Media</b:Publisher>
    <b:URL>https://doi.org/10.3389/fpsyg.2021.563070</b:URL>
    <b:DOI>10.3389/fpsyg.2021.563070</b:DOI>
    <b:Author>
      <b:Author>
        <b:NameList>
          <b:Person>
            <b:Last>Manzoor</b:Last>
            <b:First>Faiza</b:First>
          </b:Person>
          <b:Person>
            <b:Last>Wei</b:Last>
            <b:First>Longbao</b:First>
          </b:Person>
          <b:Person>
            <b:Last>Asif</b:Last>
            <b:First>Muhammad</b:First>
          </b:Person>
        </b:NameList>
      </b:Author>
    </b:Author>
    <b:JenniData>z: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</b:JenniData>
  </b:Source>
  <b:Source>
    <b:Tag>HolbecheL22</b:Tag>
    <b:SourceType>Book</b:SourceType>
    <b:Guid>{c2e06ef7-b9ba-412b-8df4-5b29ccfbe81d}</b:Guid>
    <b:Title>Aligning Human Resources and Business Strategy</b:Title>
    <b:Year>2022</b:Year>
    <b:URL>https://doi.org/10.4324/9781003219996</b:URL>
    <b:DOI>10.4324/9781003219996</b:DOI>
    <b:Author>
      <b:Author>
        <b:NameList>
          <b:Person>
            <b:Last>Holbeche</b:Last>
            <b:First>Linda</b:First>
          </b:Person>
        </b:NameList>
      </b:Author>
    </b:Author>
    <b:JenniData>z: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</b:JenniData>
  </b:Source>
  <b:Source>
    <b:Tag>SaksA21</b:Tag>
    <b:SourceType>JournalArticle</b:SourceType>
    <b:Guid>{c06d6fe5-7908-4df8-a2a1-3093123729aa}</b:Guid>
    <b:Title>Caring human resources management and employee engagement</b:Title>
    <b:Year>2021</b:Year>
    <b:JournalName>Human Resource Management Review</b:JournalName>
    <b:BookTitle>Human Resource Management Review</b:BookTitle>
    <b:Volume>32</b:Volume>
    <b:Issue>3</b:Issue>
    <b:Pages>100835-100835</b:Pages>
    <b:Publisher>Elsevier BV</b:Publisher>
    <b:URL>https://doi.org/10.1016/j.hrmr.2021.100835</b:URL>
    <b:DOI>10.1016/j.hrmr.2021.100835</b:DOI>
    <b:Author>
      <b:Author>
        <b:NameList>
          <b:Person>
            <b:Last>Saks</b:Last>
            <b:First>Alan M.</b:First>
          </b:Person>
        </b:NameList>
      </b:Author>
    </b:Author>
    <b:JenniData>z: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</b:JenniData>
  </b:Source>
  <b:Source>
    <b:Tag>CropanzanoR22</b:Tag>
    <b:SourceType>JournalArticle</b:SourceType>
    <b:Guid>{19cfeeaa-0752-48b5-8faa-a903609cc428}</b:Guid>
    <b:Title>The organizational psychology of gig work: An integrative conceptual review.</b:Title>
    <b:Year>2022</b:Year>
    <b:JournalName>Journal of Applied Psychology</b:JournalName>
    <b:BookTitle>Journal of Applied Psychology</b:BookTitle>
    <b:Volume>108</b:Volume>
    <b:Issue>3</b:Issue>
    <b:Pages>492-519</b:Pages>
    <b:Publisher>American Psychological Association</b:Publisher>
    <b:URL>https://doi.org/10.1037/apl0001029</b:URL>
    <b:DOI>10.1037/apl0001029</b:DOI>
    <b:Author>
      <b:Author>
        <b:NameList>
          <b:Person>
            <b:Last>Cropanzano</b:Last>
            <b:First>Russell</b:First>
          </b:Person>
          <b:Person>
            <b:Last>Keplinger</b:Last>
            <b:First>Ksenia</b:First>
          </b:Person>
          <b:Person>
            <b:Last>Lambert</b:Last>
            <b:First>Brittany</b:First>
          </b:Person>
          <b:Person>
            <b:Last>Caza</b:Last>
            <b:First>Brianna Barker</b:First>
          </b:Person>
          <b:Person>
            <b:Last>Ashford</b:Last>
            <b:First>Susan J.</b:First>
          </b:Person>
        </b:NameList>
      </b:Author>
    </b:Author>
    <b:JenniData>z: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</b:JenniData>
  </b:Source>
  <b:Source>
    <b:Tag>ElrayahM23</b:Tag>
    <b:SourceType>JournalArticle</b:SourceType>
    <b:Guid>{fc640058-348a-4647-a27e-60152b4c0e9e}</b:Guid>
    <b:Title>Sustainable Total Reward Strategies for Talented Employees’ Sustainable Performance, Satisfaction, and Motivation: Evidence from the Educational Sector</b:Title>
    <b:Year>2023</b:Year>
    <b:JournalName>Sustainability</b:JournalName>
    <b:BookTitle>Sustainability</b:BookTitle>
    <b:Volume>15</b:Volume>
    <b:Issue>2</b:Issue>
    <b:Pages>1605-1605</b:Pages>
    <b:Publisher>Multidisciplinary Digital Publishing Institute</b:Publisher>
    <b:URL>https://doi.org/10.3390/su15021605</b:URL>
    <b:DOI>10.3390/su15021605</b:DOI>
    <b:Author>
      <b:Author>
        <b:NameList>
          <b:Person>
            <b:Last>Elrayah</b:Last>
            <b:First>Musaddag</b:First>
          </b:Person>
          <b:Person>
            <b:Last>Semlali</b:Last>
            <b:First>Yahdih</b:First>
          </b:Person>
        </b:NameList>
      </b:Author>
    </b:Author>
    <b:JenniData>z: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</b:JenniData>
  </b:Source>
  <b:Source>
    <b:Tag>AyiT23</b:Tag>
    <b:SourceType>JournalArticle</b:SourceType>
    <b:Guid>{01c02d0a-184a-4583-9b3c-3c0357605669}</b:Guid>
    <b:Title>The Relationship between Reward Management Practices and Employees’ Behavior</b:Title>
    <b:Year>2023</b:Year>
    <b:JournalName>International Journal of Multidisciplinary Studies and Innovative Research</b:JournalName>
    <b:BookTitle>International Journal of Multidisciplinary Studies and Innovative Research</b:BookTitle>
    <b:Volume>11</b:Volume>
    <b:Issue>5</b:Issue>
    <b:Pages>1727-1739</b:Pages>
    <b:Author>
      <b:Author>
        <b:NameList>
          <b:Person>
            <b:Last>Ayi</b:Last>
            <b:First>T. D.</b:First>
          </b:Person>
        </b:NameList>
      </b:Author>
    </b:Author>
    <b:JenniData>z:TZDLTcNAEIYdxEuiAm5bQYRCBaBwSCAoCmlgsjtrD1nPWPtw8C2UQSk+UQBdUAnrKCBuM7/06X+898WJFU8lcWF24rd9cVFr4QjE6GdspS9OS0ixEh/2SCEkPMNI0eHbfMYRPUMkYXBqLik/TolVi+QiGQqaGkcMvlMvMRnCoICNmjFLm6kW1QoDgteVbcWlGq+aP+sn0RDF98WIGihxBVxizkqWfIjLrFyff1YOfu8vN5CeNilDYWhlGOqBsBZqcp2+6wjL7Mm4Hqvp2HhxWLweCpkpRDSTm8ltGdImds3AbcFH0g7X+R3lhij2kdj8l487PK+roYk7DBEqatQG4w6Rs7gDb9QCOIeskaNaetCZPy7xUDdOOsTwvf9Q91hBS+LNEODyBw==</b:JenniData>
  </b:Source>
  <b:Source>
    <b:Tag>MohammadS23</b:Tag>
    <b:SourceType>JournalArticle</b:SourceType>
    <b:Guid>{0c948084-8bf6-408b-9981-0d56bdc75b6b}</b:Guid>
    <b:Title>Impact of Monetary and Non-monetary Rewards on Employee Performance</b:Title>
    <b:Year>2023</b:Year>
    <b:JournalName>Journal of Law and Social Sciences-University of Turbat</b:JournalName>
    <b:BookTitle>Journal of Law and Social Sciences-University of Turbat</b:BookTitle>
    <b:Volume>1</b:Volume>
    <b:Issue>2</b:Issue>
    <b:Pages>54-64</b:Pages>
    <b:Author>
      <b:Author>
        <b:NameList>
          <b:Person>
            <b:Last>Mohammad</b:Last>
            <b:First>S. S.</b:First>
          </b:Person>
          <b:Person>
            <b:Last>Mohammad</b:Last>
            <b:First>M. J.</b:First>
          </b:Person>
        </b:NameList>
      </b:Author>
    </b:Author>
    <b:JenniData>z:hZFBTsMwEEVThARHYOkLtEJFgi0SsGhpUdWUA0zjcTLU9kRjuyU74Fa5HU5VEDt29tf7+jN/PvvizLBQTb7QB5ZdX1y4in0E8igzb7gvzmtIsWEJH0ghJDzDSNHi+92ck3iwio1awEGB16rkirJSVoS+wjB+9bRHCRS7gdok2UI0e7bJ4aj9zVlwBZGlL0bUQo1r8DXmwciQhLjKytVtY+H0vLeDT2ibsiV8ZU57cANvDDiyXbPkBpwDjXUO91hOVDnRwhaL/+HlRM1P8NtxW/0IEfX0enpTh7SNXTuYdyCRKoub/B0Re2TzTF7/lU8lPcxcC1Uctl9mLoJ0x6Je2I/dj7DGA4gOir16cq3lDlGtUPJhHOQa9ZB6+Q0=</b:JenniData>
  </b:Source>
  <b:Source>
    <b:Tag>IddekingeC22</b:Tag>
    <b:SourceType>JournalArticle</b:SourceType>
    <b:Guid>{e23c55a8-ce82-44a1-a457-0ac399985115}</b:Guid>
    <b:Title>Work Effort: A Conceptual and Meta-Analytic Review</b:Title>
    <b:Year>2022</b:Year>
    <b:JournalName>Journal of Management</b:JournalName>
    <b:BookTitle>Journal of Management</b:BookTitle>
    <b:Volume>49</b:Volume>
    <b:Issue>1</b:Issue>
    <b:Pages>125-157</b:Pages>
    <b:Publisher>SAGE Publishing</b:Publisher>
    <b:URL>https://doi.org/10.1177/01492063221087641</b:URL>
    <b:DOI>10.1177/01492063221087641</b:DOI>
    <b:Author>
      <b:Author>
        <b:NameList>
          <b:Person>
            <b:Last>Iddekinge</b:Last>
            <b:First>Chad H. Van</b:First>
          </b:Person>
          <b:Person>
            <b:Last>Arnold</b:Last>
            <b:First>John D.</b:First>
          </b:Person>
          <b:Person>
            <b:Last>Aguinis</b:Last>
            <b:First>Herman</b:First>
          </b:Person>
          <b:Person>
            <b:Last>Lang</b:Last>
            <b:First>Jonas W. B.</b:First>
          </b:Person>
          <b:Person>
            <b:Last>Lievens</b:Last>
            <b:First>Filip</b:First>
          </b:Person>
        </b:NameList>
      </b:Author>
    </b:Author>
    <b:JenniData>z: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</b:JenniData>
  </b:Source>
  <b:Source>
    <b:Tag>HiltonS21</b:Tag>
    <b:SourceType>JournalArticle</b:SourceType>
    <b:Guid>{a3592c19-cae7-49a3-ba32-6f7d9a3fd861}</b:Guid>
    <b:Title>Democratic leadership and organizational performance: the moderating effect of contingent reward</b:Title>
    <b:Year>2021</b:Year>
    <b:JournalName>Management Research Review</b:JournalName>
    <b:BookTitle>Management Research Review</b:BookTitle>
    <b:Volume>44</b:Volume>
    <b:Issue>7</b:Issue>
    <b:Pages>1042-1058</b:Pages>
    <b:Publisher>Emerald Publishing Limited</b:Publisher>
    <b:URL>https://doi.org/10.1108/mrr-04-2020-0237</b:URL>
    <b:DOI>10.1108/mrr-04-2020-0237</b:DOI>
    <b:Author>
      <b:Author>
        <b:NameList>
          <b:Person>
            <b:Last>Hilton</b:Last>
            <b:First>Sam Kris</b:First>
          </b:Person>
          <b:Person>
            <b:Last>Arkorful</b:Last>
            <b:First>Helen</b:First>
          </b:Person>
          <b:Person>
            <b:Last>Martins</b:Last>
            <b:First>Albert</b:First>
          </b:Person>
        </b:NameList>
      </b:Author>
    </b:Author>
    <b:JenniData>z: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</b:JenniData>
  </b:Source>
  <b:Source>
    <b:Tag>ManjenjeM21</b:Tag>
    <b:SourceType>JournalArticle</b:SourceType>
    <b:Guid>{c5f90976-2b5a-488b-8775-bf4d153afdc0}</b:Guid>
    <b:Title>Financial and non-financial incentives best practices in work organisations: a critical review of literature</b:Title>
    <b:Year>2021</b:Year>
    <b:Author>
      <b:Author>
        <b:NameList>
          <b:Person>
            <b:Last>Manjenje</b:Last>
            <b:First>M.</b:First>
          </b:Person>
          <b:Person>
            <b:Last>Muhanga</b:Last>
            <b:First>M.</b:First>
          </b:Person>
        </b:NameList>
      </b:Author>
    </b:Author>
    <b:JenniData>z:ZY9BbgIxDEWnlSr1GL5Aq5Zl11U31ex6AU/iBEOwkeNAWcKtuB2ZDUIgefO/3ve3j+fhOalxZhniXm19Hl5KUHHjqblaPXUgCm5oBhNuuByWI8qK+lDmHck0vkfTQsMjmce2RMl4B6641kbxG53i4mPxmWub/LCdg2s051Dor8snViFNvyzx1iZnL/RfflhQAmMBlAii8pauDksg8V5aYaLqsDUMfUGXLDC/CWoZhSt6L6lfgBCMO9GzRjumPWiCwk6G3ozifN7rBQ==</b:JenniData>
  </b:Source>
  <b:Source>
    <b:Tag>Unknown23</b:Tag>
    <b:SourceType>JournalArticle</b:SourceType>
    <b:Guid>{d2b3b853-7c30-4108-a4d1-cf20d72c61d0}</b:Guid>
    <b:Title>Investigating The Impact of Organizational Culture on Employee Retention: Moderating Role of Employee Engagement</b:Title>
    <b:Year>2023</b:Year>
    <b:JournalName>Journal of System and Management Sciences</b:JournalName>
    <b:BookTitle>Journal of System and Management Sciences</b:BookTitle>
    <b:Volume>14</b:Volume>
    <b:Issue>4</b:Issue>
    <b:URL>https://doi.org/10.33168/jsms.2023.0429</b:URL>
    <b:DOI>10.33168/jsms.2023.0429</b:DOI>
    <b:JenniData>z: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</b:JenniData>
  </b:Source>
  <b:Source>
    <b:Tag>SungW21</b:Tag>
    <b:SourceType>JournalArticle</b:SourceType>
    <b:Guid>{5be0f9e3-4790-42c1-a787-0ccdba24f387}</b:Guid>
    <b:Title>A Study on the Effect of Change Management on Organizational Innovation: Focusing on the Mediating Effect of Members’ Innovative Behavior</b:Title>
    <b:Year>2021</b:Year>
    <b:JournalName>Sustainability</b:JournalName>
    <b:BookTitle>Sustainability</b:BookTitle>
    <b:Volume>13</b:Volume>
    <b:Issue>4</b:Issue>
    <b:Pages>2079-2079</b:Pages>
    <b:Publisher>Multidisciplinary Digital Publishing Institute</b:Publisher>
    <b:URL>https://doi.org/10.3390/su13042079</b:URL>
    <b:DOI>10.3390/su13042079</b:DOI>
    <b:Author>
      <b:Author>
        <b:NameList>
          <b:Person>
            <b:Last>Sung</b:Last>
            <b:First>Wookjoon</b:First>
          </b:Person>
          <b:Person>
            <b:Last>Kim</b:Last>
            <b:First>Changil</b:First>
          </b:Person>
        </b:NameList>
      </b:Author>
    </b:Author>
    <b:JenniData>z: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</b:JenniData>
  </b:Source>
  <b:Source>
    <b:Tag>WidarkoA22</b:Tag>
    <b:SourceType>JournalArticle</b:SourceType>
    <b:Guid>{2d1d044c-876a-4079-80c5-c001acc9762e}</b:Guid>
    <b:Title>Work Motivation and Organizational Culture on Work Performance: Organizational Citizenship Behavior (OCB) as Mediating Variable</b:Title>
    <b:Year>2022</b:Year>
    <b:JournalName>Golden Ratio of Human Resource Management</b:JournalName>
    <b:BookTitle>Golden Ratio of Human Resource Management</b:BookTitle>
    <b:Volume>2</b:Volume>
    <b:Issue>2</b:Issue>
    <b:Pages>123-138</b:Pages>
    <b:URL>https://doi.org/10.52970/grhrm.v2i2.207</b:URL>
    <b:DOI>10.52970/grhrm.v2i2.207</b:DOI>
    <b:Author>
      <b:Author>
        <b:NameList>
          <b:Person>
            <b:Last>Widarko</b:Last>
            <b:First>Agus</b:First>
          </b:Person>
          <b:Person>
            <b:Last>Anwarodin</b:Last>
            <b:First>M. Khoirul</b:First>
          </b:Person>
        </b:NameList>
      </b:Author>
    </b:Author>
    <b:JenniData>z: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</b:JenniData>
  </b:Source>
  <b:Source>
    <b:Tag>KatabaloC24</b:Tag>
    <b:SourceType>JournalArticle</b:SourceType>
    <b:Guid>{6c42a68b-174b-4e32-99d3-3c2e9ef7b412}</b:Guid>
    <b:Title>The Role of Compensation on Job Satisfaction, Employee Performance and Organisational Performance</b:Title>
    <b:Year>2024</b:Year>
    <b:JournalName>Science Mundi</b:JournalName>
    <b:BookTitle>Science Mundi</b:BookTitle>
    <b:Volume>4</b:Volume>
    <b:Issue>1</b:Issue>
    <b:Pages>137-148</b:Pages>
    <b:URL>https://doi.org/10.51867/scimundi.4.1.12</b:URL>
    <b:DOI>10.51867/scimundi.4.1.12</b:DOI>
    <b:Author>
      <b:Author>
        <b:NameList>
          <b:Person>
            <b:Last>Katabalo</b:Last>
            <b:First>Careen V.</b:First>
          </b:Person>
          <b:Person>
            <b:Last>Mwita</b:Last>
            <b:First>Kelvin</b:First>
          </b:Person>
        </b:NameList>
      </b:Author>
    </b:Author>
    <b:JenniData>z: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</b:JenniData>
  </b:Source>
  <b:Source>
    <b:Tag>MustafaB24</b:Tag>
    <b:SourceType>JournalArticle</b:SourceType>
    <b:Guid>{58e4a52a-9b81-4c9c-8ae2-1fae7ad18e88}</b:Guid>
    <b:Title>The impact of lifelong learning and investments in employee development on employee productivity and performance</b:Title>
    <b:Year>2024</b:Year>
    <b:JournalName>Multidisciplinary Reviews</b:JournalName>
    <b:BookTitle>Multidisciplinary Reviews</b:BookTitle>
    <b:Volume>7</b:Volume>
    <b:Issue>8</b:Issue>
    <b:Pages>2024175-2024175</b:Pages>
    <b:URL>https://doi.org/10.31893/multirev.2024175</b:URL>
    <b:DOI>10.31893/multirev.2024175</b:DOI>
    <b:Author>
      <b:Author>
        <b:NameList>
          <b:Person>
            <b:Last>Mustafa</b:Last>
            <b:First>Besim</b:First>
          </b:Person>
          <b:Person>
            <b:Last>Lleshi</b:Last>
            <b:First>Samir</b:First>
          </b:Person>
        </b:NameList>
      </b:Author>
    </b:Author>
    <b:JenniData>z: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</b:JenniData>
  </b:Source>
  <b:Source>
    <b:Tag>BermanE21</b:Tag>
    <b:SourceType>Book</b:SourceType>
    <b:Guid>{b19e55a8-55a7-408b-be80-4645f75d4b9a}</b:Guid>
    <b:Title>Human resource management in public service: Paradoxes, processes, and problems</b:Title>
    <b:Year>2021</b:Year>
    <b:Publisher>Cq Press</b:Publisher>
    <b:Author>
      <b:Author>
        <b:NameList>
          <b:Person>
            <b:Last>Berman</b:Last>
            <b:First>E. M.</b:First>
          </b:Person>
          <b:Person>
            <b:Last>Bowman</b:Last>
            <b:First>J. S.</b:First>
          </b:Person>
          <b:Person>
            <b:Last>West</b:Last>
            <b:First>J. P.</b:First>
          </b:Person>
          <b:Person>
            <b:Last>Wart</b:Last>
            <b:First>M. R. Van</b:First>
          </b:Person>
        </b:NameList>
      </b:Author>
    </b:Author>
    <b:JenniData>z:fc67TsNAEAVQm4LvmA9AFqSk5CHxUIQFEtRr79gZ2N0xM7t5lEj8lL+MlnVASpOkmysd3blfY3HSsVBPobArlo+xOHUthyjUpMii3xnYYDxOsDOe3Ka7QvEmYE9LDHhbwbyywg6LfZRXO/pQwctBat9Q4w7WR6CRf0jzCp4reDXhD7+TakJ7YyLa2fnswg+pcaQLlPvQ8ViU26rF9SfUgqq9piZuhtxdEgfk7pGC/cFI0eH66S7l5ZAdJ2kRcjA9egwRKMC2uAVFWVKLl1AbMZbXqGcwCLe5fDrzrik2Dr3a6VP5Cw==</b:JenniData>
  </b:Source>
  <b:Source>
    <b:Tag>OlumS24</b:Tag>
    <b:SourceType>JournalArticle</b:SourceType>
    <b:Guid>{b48bcf64-04b2-437b-a710-c336b6c0db2a}</b:Guid>
    <b:Title>Theoretical Review of Pay Restructuring in Uganda's Public Service Health Sector</b:Title>
    <b:Year>2024</b:Year>
    <b:JournalName>International Journal of Advanced Research</b:JournalName>
    <b:BookTitle>International Journal of Advanced Research</b:BookTitle>
    <b:Volume>7</b:Volume>
    <b:Issue>1</b:Issue>
    <b:Pages>35-54</b:Pages>
    <b:URL>http://dx.doi.org/10.37284/ijar.7.1.1656</b:URL>
    <b:DOI>10.37284/ijar.7.1.1656</b:DOI>
    <b:Author>
      <b:Author>
        <b:NameList>
          <b:Person>
            <b:Last>Olum</b:Last>
            <b:First>Samson</b:First>
          </b:Person>
          <b:Person>
            <b:Last>Adyanga</b:Last>
            <b:First>Akena Francis</b:First>
          </b:Person>
          <b:Person>
            <b:Last>Ocan</b:Last>
            <b:First>Johnson</b:First>
          </b:Person>
        </b:NameList>
      </b:Author>
    </b:Author>
    <b:JenniData>z: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</b:JenniData>
  </b:Source>
  <b:Source>
    <b:Tag>DunnetteM67</b:Tag>
    <b:SourceType>JournalArticle</b:SourceType>
    <b:Guid>{69f49fad-320e-411c-b615-9c1a36365a6b}</b:Guid>
    <b:Title>Work and the Nature of Man.</b:Title>
    <b:Year>1967</b:Year>
    <b:JournalName>Administrative Science Quarterly</b:JournalName>
    <b:BookTitle>Administrative Science Quarterly</b:BookTitle>
    <b:Volume>12</b:Volume>
    <b:Issue>1</b:Issue>
    <b:Pages>170-170</b:Pages>
    <b:Publisher>SAGE Publishing</b:Publisher>
    <b:URL>https://doi.org/10.2307/2391218</b:URL>
    <b:DOI>10.2307/2391218</b:DOI>
    <b:Author>
      <b:Author>
        <b:NameList>
          <b:Person>
            <b:Last>Dunnette</b:Last>
            <b:First>Marvin D.</b:First>
          </b:Person>
          <b:Person>
            <b:Last>Herzberg</b:Last>
            <b:First>Frederick</b:First>
          </b:Person>
        </b:NameList>
      </b:Author>
    </b:Author>
    <b:JenniData>z: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</b:JenniData>
  </b:Source>
  <b:Source>
    <b:Tag>MaslowA43</b:Tag>
    <b:SourceType>JournalArticle</b:SourceType>
    <b:Guid>{ea41581c-1f52-46bd-9953-349ec24a9181}</b:Guid>
    <b:Title>A theory of human motivation.</b:Title>
    <b:Year>1943</b:Year>
    <b:JournalName>Psychological Review</b:JournalName>
    <b:BookTitle>Psychological Review</b:BookTitle>
    <b:Volume>50</b:Volume>
    <b:Issue>4</b:Issue>
    <b:Pages>370-396</b:Pages>
    <b:Publisher>American Psychological Association</b:Publisher>
    <b:URL>https://doi.org/10.1037/h0054346</b:URL>
    <b:DOI>10.1037/h0054346</b:DOI>
    <b:Author>
      <b:Author>
        <b:NameList>
          <b:Person>
            <b:Last>Maslow</b:Last>
            <b:First>Abraham H.</b:First>
          </b:Person>
        </b:NameList>
      </b:Author>
    </b:Author>
    <b:JenniData>z: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</b:JenniData>
  </b:Source>
  <b:Source>
    <b:Tag>MoonlightB20</b:Tag>
    <b:SourceType>Report</b:SourceType>
    <b:Guid>{8102692a-5bec-4fa2-a278-3c50a7dc4f5f}</b:Guid>
    <b:Title>Non-monetary reward and Employee performance in parastatal organisations in Uganda: a case study of Civil Aviation Authority</b:Title>
    <b:Year>2020</b:Year>
    <b:JournalName>University of Kisubi</b:JournalName>
    <b:BookTitle>University of Kisubi</b:BookTitle>
    <b:Author>
      <b:Author>
        <b:NameList>
          <b:Person>
            <b:Last>Moonlight</b:Last>
            <b:First>B.</b:First>
          </b:Person>
        </b:NameList>
      </b:Author>
    </b:Author>
    <b:JenniData>z:JY89TsRADIUDBWegtEQNWm1Jt/wUaAXdHsDJOLOGGTvyOFkiUcCx9mS0TEI54/c++/s5N5e9GkeWJpzUPs7NVe5UHFnIXqTXGog4+lGtfJOzJ/KD8ERW2GfQHvZcxpbTUjJuR6/BhRoEMy30HjOnmV9VJXE8OsXalvbhLpgmat65lJHCEzqF7Wa7iZXm81CrF6xC2u9Zwu//5s+vN5XbXL8dbQajE1oAlADPeUg6E8FAVn0ySkfAAgMaFkfHBGoRhQt6xZZldqjvgPeA0GEhKD6GVeiRJ06wm3iNwm6Vr7JhOev65g8=</b:JenniData>
  </b:Source>
  <b:Source>
    <b:Tag>IhemerezeK23</b:Tag>
    <b:SourceType>JournalArticle</b:SourceType>
    <b:Guid>{4a79ff4f-9951-4bdb-a94e-f6446f1c050f}</b:Guid>
    <b:Title>IMPACT OF MONETARY INCENTIVES ON EMPLOYEE PERFORMANCE IN THE NIGERIAN AUTOMOTIVE SECTOR: A CASE STUDY</b:Title>
    <b:Year>2023</b:Year>
    <b:JournalName>International Journal of Advanced Economics</b:JournalName>
    <b:BookTitle>International Journal of Advanced Economics</b:BookTitle>
    <b:Volume>5</b:Volume>
    <b:Issue>7</b:Issue>
    <b:Pages>162-186</b:Pages>
    <b:Publisher>Fair East Publishers</b:Publisher>
    <b:URL>https://doi.org/10.51594/ijae.v5i7.548</b:URL>
    <b:DOI>10.51594/ijae.v5i7.548</b:DOI>
    <b:Author>
      <b:Author>
        <b:NameList>
          <b:Person>
            <b:Last>Ihemereze</b:Last>
            <b:First>Kelechi Chidiebere</b:First>
          </b:Person>
          <b:Person>
            <b:Last>Eyo-Udo</b:Last>
            <b:First>Nsisong Louis</b:First>
          </b:Person>
          <b:Person>
            <b:Last>Egbokhaebho</b:Last>
            <b:First>Blessed Afeyokalo</b:First>
          </b:Person>
          <b:Person>
            <b:Last>Daraojimba</b:Last>
            <b:First>Chibuike</b:First>
          </b:Person>
          <b:Person>
            <b:Last>Ikwue</b:Last>
            <b:First>Uneku</b:First>
          </b:Person>
          <b:Person>
            <b:Last>Nwankwo</b:Last>
            <b:First>Ekene Ezinwa</b:First>
          </b:Person>
        </b:NameList>
      </b:Author>
    </b:Author>
    <b:JenniData>z: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</b:JenniData>
  </b:Source>
  <b:Source>
    <b:Tag>YamaneT73</b:Tag>
    <b:SourceType>Book</b:SourceType>
    <b:Guid>{a8615479-cdd7-46fa-981b-9408fd586db7}</b:Guid>
    <b:Title>Statistics: An Introductory Analysis</b:Title>
    <b:Year>1973</b:Year>
    <b:JournalName>Virtual Defense Library (Ministerio de Defensa)</b:JournalName>
    <b:BookTitle>Virtual Defense Library (Ministerio de Defensa)</b:BookTitle>
    <b:Publisher>Ministerio de Defensa</b:Publisher>
    <b:URL>https://bibliotecavirtual.defensa.gob.es/BVMDefensa/es/consulta/registro.do?id=611616</b:URL>
    <b:Author>
      <b:Author>
        <b:NameList>
          <b:Person>
            <b:Last>Yamane</b:Last>
            <b:First>Taro</b:First>
          </b:Person>
        </b:NameList>
      </b:Author>
    </b:Author>
    <b:JenniData>z:bZDNThRBEIBnUU8+gbc5eNAD87OahSUxRiQmRDmpEI813TWztfR0T7qqkbktj7VPxpUadgkX0j9JVf/UV9/dNjtoQ6SO/IH9H+L1NnvrwBhkRnsGgt28mi8Oq8+9CV6APMZz34Zt9qqDJKsQeeOoH8DID10h2qqoahQSh7flJUVJ4PIzbNEz5r+oiRDH/MMFeWLBSCG3uD+Gj24qEalJ+g9PYNZDjxNgCz25sf0HPXjEjm7Q2z8Qg43BYWbI8jZ7bYkbv9Gd/cb00K3nx8uj5fFcxyoM6EGRrq+ek2u9mXZNruvl0afDqtbZD6lxxKunPmePEOlF4o5TI+OgiDMKHkP7k7y9RwHnRsV2hgTt6fg9JC/v3qBEfRbRG7RXapof89le1vvfAqIlyPBJ/s3n56oi2DQ5HTUGNzKxnarNTIru9u9KZOCTsmxIeYOggZud7sLu6IouNAVyeXp5sectNVLHnJxAGdUja43Chq9kvyzqelEvHgA=</b:JenniData>
  </b:Source>
  <b:Source>
    <b:Tag>MugendaO13</b:Tag>
    <b:SourceType>Book</b:SourceType>
    <b:Guid>{40ab49d1-e061-4ad6-b945-7a5a5063260a}</b:Guid>
    <b:Title>Research Methods Quantitative and Qualitative Approaches</b:Title>
    <b:Year>2013</b:Year>
    <b:Publisher>Acts Press</b:Publisher>
    <b:Author>
      <b:Author>
        <b:NameList>
          <b:Person>
            <b:Last>Mugenda</b:Last>
            <b:First>O. M.</b:First>
          </b:Person>
          <b:Person>
            <b:Last>Mugenda</b:Last>
            <b:First>A. G.</b:First>
          </b:Person>
        </b:NameList>
      </b:Author>
    </b:Author>
    <b:JenniData>z:hY07TsRAEETHBJxjTmDxSUgtISGELD43GLvb417G3dZ0D7Ah3MonI117tRtvWFVPr34XdzVIpkjs4Fvy5+KuUy9smbpikvVvBYDDhBs4hInSPrYlIkPASF/I+Fr7toYsCd1Ftqn904ndkWpBeAyGcHdzez/NpUukI+ZnHmRx1dG0a3pT/5ZRNWrpbD+v8oqEUYYXYvhHI0v48/CBiiH3o2/RRgH17yXwugVbj31g2Ip0zs08Zwn9iAqbsjoA</b:JenniData>
  </b:Source>
  <b:Source>
    <b:Tag>KavaleS17</b:Tag>
    <b:SourceType>JournalArticle</b:SourceType>
    <b:Guid>{aa525da2-2a88-456c-8c2a-8e16beedfc95}</b:Guid>
    <b:Title>Correlation analysis with example</b:Title>
    <b:Year>2017</b:Year>
    <b:JournalName>Global Journal of Science Frontier Research</b:JournalName>
    <b:BookTitle>Global Journal of Science Frontier Research</b:BookTitle>
    <b:Volume>17</b:Volume>
    <b:Issue>1</b:Issue>
    <b:Author>
      <b:Author>
        <b:NameList>
          <b:Person>
            <b:Last>Kavale</b:Last>
            <b:First>S.</b:First>
          </b:Person>
        </b:NameList>
      </b:Author>
    </b:Author>
    <b:JenniData>z:TY5BTsNADEVThBBbbjCskRCw4QAgEHRHuYCT+ZOaOuPKM5M2OzhWbscEsejKsuX//vuZm7Ogxj3Hxh/UdnNzMXQaM3GEvcWgc3PeU8lbtfQNTqlghcxZcLx5FW1J3LsWi3VqcJuOETu4F6sIhrkPJJB12zCqlAFXsrCN25Irbyn3kQYsEoEGlimsaSQBeh4R282tNxU0X3+9/pky/MPd/WOfSpun/ZLbkWXuBJ91XbFGaFhz9Kfnf93rJzWDUK5fjqrwlDi5A+etw5GGvcAvzMtf</b:JenniData>
  </b:Source>
</b:Sources>
</file>

<file path=customXml/itemProps1.xml><?xml version="1.0" encoding="utf-8"?>
<ds:datastoreItem xmlns:ds="http://schemas.openxmlformats.org/officeDocument/2006/customXml" ds:itemID="{8BB5CCD7-03E9-5443-9E1C-AD46EBE5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Rewards and Employee Performance in Government Agencies: A Case Study of KCCA</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Rewards and Employee Performance in Government Agencies: A Case Study of KCCA</dc:title>
  <dc:creator>Nabimanya Norman Benon</dc:creator>
  <cp:lastModifiedBy>Microsoft Office User</cp:lastModifiedBy>
  <cp:revision>6</cp:revision>
  <cp:lastPrinted>2026-04-14T16:49:00Z</cp:lastPrinted>
  <dcterms:created xsi:type="dcterms:W3CDTF">2026-04-13T09:40:00Z</dcterms:created>
  <dcterms:modified xsi:type="dcterms:W3CDTF">2026-04-14T16:59:00Z</dcterms:modified>
</cp:coreProperties>
</file>