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58FD8" w14:textId="77777777" w:rsidR="00C4664F" w:rsidRPr="00C4664F" w:rsidRDefault="00C4664F" w:rsidP="00C4664F">
      <w:pPr>
        <w:spacing w:line="360" w:lineRule="auto"/>
        <w:rPr>
          <w:rFonts w:ascii="Times New Roman" w:hAnsi="Times New Roman" w:cs="Times New Roman"/>
        </w:rPr>
      </w:pPr>
      <w:r w:rsidRPr="00C4664F">
        <w:rPr>
          <w:rFonts w:ascii="Times New Roman" w:hAnsi="Times New Roman" w:cs="Times New Roman"/>
          <w:b/>
          <w:bCs/>
        </w:rPr>
        <w:t>REGULATORY COMPLIANCE AND AIR POLLUTION MITIGATION IN ZAMBIA’S CEMENT INDUSTRY: A CRITICAL ANALYSIS OF ZEMA OVERSIGHT</w:t>
      </w:r>
    </w:p>
    <w:p w14:paraId="5CEC3D37" w14:textId="77777777" w:rsidR="00C4664F" w:rsidRPr="00C4664F" w:rsidRDefault="00C4664F" w:rsidP="00C4664F">
      <w:pPr>
        <w:spacing w:line="360" w:lineRule="auto"/>
        <w:rPr>
          <w:rFonts w:ascii="Times New Roman" w:hAnsi="Times New Roman" w:cs="Times New Roman"/>
        </w:rPr>
      </w:pPr>
      <w:r w:rsidRPr="00C4664F">
        <w:rPr>
          <w:rFonts w:ascii="Times New Roman" w:hAnsi="Times New Roman" w:cs="Times New Roman"/>
        </w:rPr>
        <w:t>Joseph Musona</w:t>
      </w:r>
      <w:r w:rsidRPr="00C4664F">
        <w:rPr>
          <w:rFonts w:ascii="Times New Roman" w:hAnsi="Times New Roman" w:cs="Times New Roman"/>
        </w:rPr>
        <w:br/>
      </w:r>
      <w:r w:rsidRPr="00C4664F">
        <w:rPr>
          <w:rFonts w:ascii="Times New Roman" w:hAnsi="Times New Roman" w:cs="Times New Roman"/>
          <w:i/>
          <w:iCs/>
        </w:rPr>
        <w:t>School of Postgraduate, University of Lusaka, P.O. Box 36711, Lusaka, Republic of Zambia</w:t>
      </w:r>
    </w:p>
    <w:p w14:paraId="6DF54876" w14:textId="77777777" w:rsidR="00C4664F" w:rsidRDefault="00C4664F" w:rsidP="00C4664F">
      <w:pPr>
        <w:spacing w:line="360" w:lineRule="auto"/>
        <w:rPr>
          <w:rFonts w:ascii="Times New Roman" w:hAnsi="Times New Roman" w:cs="Times New Roman"/>
        </w:rPr>
      </w:pPr>
      <w:r w:rsidRPr="00C4664F">
        <w:rPr>
          <w:rFonts w:ascii="Times New Roman" w:hAnsi="Times New Roman" w:cs="Times New Roman"/>
          <w:b/>
          <w:bCs/>
        </w:rPr>
        <w:t>Corresponding Author.</w:t>
      </w:r>
      <w:r w:rsidRPr="00C4664F">
        <w:rPr>
          <w:rFonts w:ascii="Times New Roman" w:hAnsi="Times New Roman" w:cs="Times New Roman"/>
        </w:rPr>
        <w:t> Email: jmusona66@gmail.com; Telephone: +260 955759023; ORCID: 0009 0002 2452 9673</w:t>
      </w:r>
    </w:p>
    <w:p w14:paraId="22FBAC9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ABSTRACT</w:t>
      </w:r>
    </w:p>
    <w:p w14:paraId="2C19847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Regulatory oversight constitutes the primary institutional mechanism for reconciling industrial development with environmental protection, yet significant implementation gaps persist across sub-Saharan Africa. This study critically examines regulatory compliance monitoring by the Zambia Environmental Management Agency (ZEMA) at a cement plant in Chilanga District, evaluating the effectiveness of oversight mechanisms in protecting surrounding communities from air pollution impacts, with particular focus on vegetable vendors in an adjacent informal settlement. A convergent mixed methods design employed key informant interviews with three ZEMA officials and four community leaders, four focus group discussions with community members (total n=28), systematic analysis of enforcement records spanning 2009–2020, and a quantitative survey of 87 vegetable vendors. Triangulation across data sources revealed consistent patterns of regulatory failure. The findings show that despite adequate legal authority, regulatory oversight has not translated into effective pollution control, with 70.1% of vendors expressing low or very low trust in ZEMA. Documented enforcement actions, including a 2009 reduction of the plant's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validity period, have not resulted in sustained compliance. Critical barriers include inadequate staffing (approximately 15 inspectors nationally), reliance on self-reported quarterly data, absence of ambient air quality monitoring, and weak enforcement follow-up. When benchmarked against regional innovations – including Ghana's real-time continuous emissions monitoring system and Zimbabwe's enforceable compliance mechanisms – Zambia's regulatory framework exhibits significant implementation deficits. The study contributes new knowledge through: first, empirical documentation of trust erosion mechanisms in regulatory institutions; second, establishment of direct livelihood impacts of regulatory failure on informal sector workers, particularly women; third, development of a multi-dimensional framework for understanding regulatory failure; fourth, comparative positioning of Zambian practice within regional </w:t>
      </w:r>
      <w:r w:rsidRPr="00C4664F">
        <w:rPr>
          <w:rFonts w:ascii="Times New Roman" w:hAnsi="Times New Roman" w:cs="Times New Roman"/>
        </w:rPr>
        <w:lastRenderedPageBreak/>
        <w:t xml:space="preserve">innovations; and fifth, </w:t>
      </w:r>
      <w:proofErr w:type="spellStart"/>
      <w:r w:rsidRPr="00C4664F">
        <w:rPr>
          <w:rFonts w:ascii="Times New Roman" w:hAnsi="Times New Roman" w:cs="Times New Roman"/>
        </w:rPr>
        <w:t>theorisation</w:t>
      </w:r>
      <w:proofErr w:type="spellEnd"/>
      <w:r w:rsidRPr="00C4664F">
        <w:rPr>
          <w:rFonts w:ascii="Times New Roman" w:hAnsi="Times New Roman" w:cs="Times New Roman"/>
        </w:rPr>
        <w:t xml:space="preserve"> of the "complaint gap" as an indicator of institutional withdrawal. Key limitations include absence of independent ambient air quality monitoring, focus on a single facility, and cross-sectional design. The study provides robust evidence of systematic regulatory failure with implications for environmental governance across the region.</w:t>
      </w:r>
    </w:p>
    <w:p w14:paraId="69FB67A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Keywords:</w:t>
      </w:r>
      <w:r w:rsidRPr="00C4664F">
        <w:rPr>
          <w:rFonts w:ascii="Times New Roman" w:hAnsi="Times New Roman" w:cs="Times New Roman"/>
        </w:rPr>
        <w:t> regulatory compliance; environmental enforcement; cement industry; air pollution; ZEMA; Zambia; community perceptions; regulatory failure; procedural justice</w:t>
      </w:r>
    </w:p>
    <w:p w14:paraId="401BDCB6"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1. INTRODUCTION</w:t>
      </w:r>
    </w:p>
    <w:p w14:paraId="07EF0A29"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1.1 Background and Problem Statement</w:t>
      </w:r>
    </w:p>
    <w:p w14:paraId="78658AC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Environmental regulation is the primary institutional mechanism through which modern societies reconcile industrial development with environmental protection. However, as Sharpe (1) demonstrated, the mere existence of legal frameworks does not automatically translate into reduced environmental impacts. Regulatory effectiveness depends fundamentally on implementation capacity, scrutiny processes, follow-up monitoring, and political economy contexts. This implementation gap is particularly pronounced in low- and middle-income countries where institutional capacity constraints intersect with powerful industrial interests.</w:t>
      </w:r>
    </w:p>
    <w:p w14:paraId="6A89E3D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cement industry exemplifies both the developmental imperative for industrial expansion and the environmental challenges requiring effective regulation. Cement production releases particulate matter (PM), nitrogen oxides (NOₓ), sulfur dioxide (SO₂), and carbon dioxide (CO₂). Liu et al. (2) demonstrated that conventional monitoring frameworks systematically ignore emissions from mining operations, transportation, and material handling, with these overlooked pathways contributing 4.4–12.1% of total cement-related emissions. This finding has profound implications for developing countries where fugitive emissions may constitute an even larger proportion of pollution burden.</w:t>
      </w:r>
    </w:p>
    <w:p w14:paraId="46F75A9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Zambia presents a particularly instructive case. The Zambia Environmental Management Agency (ZEMA), established under the Environmental Management Act No. 12 of 2011, possesses formal legal authority to regulate pollution (3). However, persistent community complaints regarding air pollution from the Chilanga cement plant (operating since 1949) raise fundamental questions about the translation of legal authority into substantive environmental protection. The present study addresses this gap by critically examining ZEMA's oversight effectiveness in relation to four </w:t>
      </w:r>
      <w:r w:rsidRPr="00C4664F">
        <w:rPr>
          <w:rFonts w:ascii="Times New Roman" w:hAnsi="Times New Roman" w:cs="Times New Roman"/>
        </w:rPr>
        <w:lastRenderedPageBreak/>
        <w:t xml:space="preserve">research objectives: first, to assess community awareness, contact, and trust in ZEMA among affected vegetable vendors; second, to document enforcement actions and monitoring practices </w:t>
      </w:r>
      <w:proofErr w:type="spellStart"/>
      <w:r w:rsidRPr="00C4664F">
        <w:rPr>
          <w:rFonts w:ascii="Times New Roman" w:hAnsi="Times New Roman" w:cs="Times New Roman"/>
        </w:rPr>
        <w:t>characterising</w:t>
      </w:r>
      <w:proofErr w:type="spellEnd"/>
      <w:r w:rsidRPr="00C4664F">
        <w:rPr>
          <w:rFonts w:ascii="Times New Roman" w:hAnsi="Times New Roman" w:cs="Times New Roman"/>
        </w:rPr>
        <w:t xml:space="preserve"> ZEMA's oversight; third, to identify factors explaining observed patterns of regulatory effectiveness or failure; and fourth, to benchmark Zambia's practice against regional innovations.</w:t>
      </w:r>
    </w:p>
    <w:p w14:paraId="1A5B53BC"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1.2 The African Context and Environmental Justice</w:t>
      </w:r>
    </w:p>
    <w:p w14:paraId="3CA816F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Across Africa, cement-related air pollution impacts have accumulated over decades. Uzor et al. (4) found that particulate matter concentrations around Nigeria's Dangote Cement Plant fell within hazardous categories, with ozone levels consistently very unhealthy. The environmental justice implications are profound. Schlosberg (5) and Walker (6) established frameworks encompassing distributive justice (equitable distribution of burdens), procedural justice (fair participation in decision-making), and recognition justice (respect for diverse knowledges). Communities near industrial facilities bear disproportionate pollution burdens while lacking effective redress mechanisms.</w:t>
      </w:r>
    </w:p>
    <w:p w14:paraId="17858FA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African Commission on Human and Peoples' Rights (7) adopted Resolution ACHPR/Res.605 renewing the mandate of the Working Group on Extractive Industries, Environment and Human Rights Violations, explicitly recalling Articles 21 and 24 of the African Charter guaranteeing rights to natural resources and a satisfactory environment. This continental legal framework provides a normative foundation for evaluating national regulatory performance, making Zambia an important case study within the broader African environmental governance landscape.</w:t>
      </w:r>
    </w:p>
    <w:p w14:paraId="79E564B7"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1.3 Zambia's Regulatory Framework</w:t>
      </w:r>
    </w:p>
    <w:p w14:paraId="7055B94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Zambia's Environmental Management Act No. 12 of 2011 establishes ZEMA as the primary regulatory authority with responsibility for pollution control, environmental impact assessment, and compliance enforcement (3). The Act empowers ZEMA to issue pollution control </w:t>
      </w:r>
      <w:proofErr w:type="spellStart"/>
      <w:r w:rsidRPr="00C4664F">
        <w:rPr>
          <w:rFonts w:ascii="Times New Roman" w:hAnsi="Times New Roman" w:cs="Times New Roman"/>
        </w:rPr>
        <w:t>licences</w:t>
      </w:r>
      <w:proofErr w:type="spellEnd"/>
      <w:r w:rsidRPr="00C4664F">
        <w:rPr>
          <w:rFonts w:ascii="Times New Roman" w:hAnsi="Times New Roman" w:cs="Times New Roman"/>
        </w:rPr>
        <w:t xml:space="preserve">, conduct inspections (with powers of entry and search without warrant), monitor compliance, and impose sanctions including fines and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suspension. The Environmental Impact Assessment Regulations of 2013 (Statutory Instrument No. 28 of 2013) require project developers to implement mitigation measures throughout the project life cycle (8).</w:t>
      </w:r>
    </w:p>
    <w:p w14:paraId="23B1380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lastRenderedPageBreak/>
        <w:t xml:space="preserve">For the Chilanga cement plant, historical evidence of pollution impacts spans decades. Chilala (9) documented that as early as 1952, the National Agricultural Research Institute discovered grave changes to soil chemistry from cement dust deposition. </w:t>
      </w:r>
      <w:proofErr w:type="spellStart"/>
      <w:r w:rsidRPr="00C4664F">
        <w:rPr>
          <w:rFonts w:ascii="Times New Roman" w:hAnsi="Times New Roman" w:cs="Times New Roman"/>
        </w:rPr>
        <w:t>Nkhama</w:t>
      </w:r>
      <w:proofErr w:type="spellEnd"/>
      <w:r w:rsidRPr="00C4664F">
        <w:rPr>
          <w:rFonts w:ascii="Times New Roman" w:hAnsi="Times New Roman" w:cs="Times New Roman"/>
        </w:rPr>
        <w:t xml:space="preserve"> et al. (10,11) found significantly higher odds of respiratory symptoms among adjacent residents and demonstrated elevated PM2.5 and PM10 concentrations exceeding Zambian standards by a factor of three. These studies establish that pollution impacts are neither recent nor undocumented, making the persistence of regulatory failure even more striking.</w:t>
      </w:r>
    </w:p>
    <w:p w14:paraId="60C0162C"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1.4 Technological and Regional Innovations</w:t>
      </w:r>
    </w:p>
    <w:p w14:paraId="441F92D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Recent developments offer promising models. Duah (12) documented Ghana's "</w:t>
      </w:r>
      <w:proofErr w:type="spellStart"/>
      <w:r w:rsidRPr="00C4664F">
        <w:rPr>
          <w:rFonts w:ascii="Times New Roman" w:hAnsi="Times New Roman" w:cs="Times New Roman"/>
        </w:rPr>
        <w:t>Seelive</w:t>
      </w:r>
      <w:proofErr w:type="spellEnd"/>
      <w:r w:rsidRPr="00C4664F">
        <w:rPr>
          <w:rFonts w:ascii="Times New Roman" w:hAnsi="Times New Roman" w:cs="Times New Roman"/>
        </w:rPr>
        <w:t xml:space="preserve">" monitoring system at Empire Cement, tracking NOₓ, SO₂, and PM in real time with data transmitted to regulators and the public, rebuilding trust through transparent data </w:t>
      </w:r>
      <w:proofErr w:type="spellStart"/>
      <w:r w:rsidRPr="00C4664F">
        <w:rPr>
          <w:rFonts w:ascii="Times New Roman" w:hAnsi="Times New Roman" w:cs="Times New Roman"/>
        </w:rPr>
        <w:t>visualisation</w:t>
      </w:r>
      <w:proofErr w:type="spellEnd"/>
      <w:r w:rsidRPr="00C4664F">
        <w:rPr>
          <w:rFonts w:ascii="Times New Roman" w:hAnsi="Times New Roman" w:cs="Times New Roman"/>
        </w:rPr>
        <w:t>. ABB (13) has pioneered continuous emissions monitoring systems (CEMS) compliant with EN 17255 standards. In Zimbabwe, the Environmental Management Agency (14) issued a compliance certificate requiring continuous emissions monitoring, though Bhebhe (15) reported that PPC Zimbabwe was recently fined US$3,000 for exceedances, demonstrating that framework adoption alone is insufficient without enforcement. These regional examples provide comparative benchmarks against which Zambian practice can be evaluated.</w:t>
      </w:r>
    </w:p>
    <w:p w14:paraId="0A5026EF"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1.5 Conceptual Framework: Multi-Dimensional Regulatory Failure</w:t>
      </w:r>
    </w:p>
    <w:p w14:paraId="3FF24B7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This study develops a multi-dimensional conceptual framework </w:t>
      </w:r>
      <w:proofErr w:type="spellStart"/>
      <w:r w:rsidRPr="00C4664F">
        <w:rPr>
          <w:rFonts w:ascii="Times New Roman" w:hAnsi="Times New Roman" w:cs="Times New Roman"/>
        </w:rPr>
        <w:t>synthesising</w:t>
      </w:r>
      <w:proofErr w:type="spellEnd"/>
      <w:r w:rsidRPr="00C4664F">
        <w:rPr>
          <w:rFonts w:ascii="Times New Roman" w:hAnsi="Times New Roman" w:cs="Times New Roman"/>
        </w:rPr>
        <w:t xml:space="preserve"> regulatory theory, environmental justice scholarship, and political economy analysis, comprising four interconnected dimensions that are explicitly </w:t>
      </w:r>
      <w:proofErr w:type="spellStart"/>
      <w:r w:rsidRPr="00C4664F">
        <w:rPr>
          <w:rFonts w:ascii="Times New Roman" w:hAnsi="Times New Roman" w:cs="Times New Roman"/>
        </w:rPr>
        <w:t>operationalised</w:t>
      </w:r>
      <w:proofErr w:type="spellEnd"/>
      <w:r w:rsidRPr="00C4664F">
        <w:rPr>
          <w:rFonts w:ascii="Times New Roman" w:hAnsi="Times New Roman" w:cs="Times New Roman"/>
        </w:rPr>
        <w:t xml:space="preserve"> in the research design and analysis.</w:t>
      </w:r>
    </w:p>
    <w:p w14:paraId="4D46916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first dimension, </w:t>
      </w:r>
      <w:r w:rsidRPr="00C4664F">
        <w:rPr>
          <w:rFonts w:ascii="Times New Roman" w:hAnsi="Times New Roman" w:cs="Times New Roman"/>
          <w:i/>
          <w:iCs/>
        </w:rPr>
        <w:t>Institutional Capacity</w:t>
      </w:r>
      <w:r w:rsidRPr="00C4664F">
        <w:rPr>
          <w:rFonts w:ascii="Times New Roman" w:hAnsi="Times New Roman" w:cs="Times New Roman"/>
        </w:rPr>
        <w:t>, draws on Braithwaite's (16) concept of "regulatory ritualism" – where resource constraints transform substantive requirements into procedural compliance exercises. This dimension examines staffing levels, technical equipment availability, financial resources, and inspector training. Operationally, this dimension is assessed through key informant interviews regarding resource adequacy and document review of ZEMA's staffing and budget allocations.</w:t>
      </w:r>
    </w:p>
    <w:p w14:paraId="2745604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second dimension, </w:t>
      </w:r>
      <w:r w:rsidRPr="00C4664F">
        <w:rPr>
          <w:rFonts w:ascii="Times New Roman" w:hAnsi="Times New Roman" w:cs="Times New Roman"/>
          <w:i/>
          <w:iCs/>
        </w:rPr>
        <w:t>Regulatory Framework</w:t>
      </w:r>
      <w:r w:rsidRPr="00C4664F">
        <w:rPr>
          <w:rFonts w:ascii="Times New Roman" w:hAnsi="Times New Roman" w:cs="Times New Roman"/>
        </w:rPr>
        <w:t xml:space="preserve">, analyses legal instrument structures, including provisions for continuous versus episodic monitoring, automatic enforcement triggers, ambient </w:t>
      </w:r>
      <w:r w:rsidRPr="00C4664F">
        <w:rPr>
          <w:rFonts w:ascii="Times New Roman" w:hAnsi="Times New Roman" w:cs="Times New Roman"/>
        </w:rPr>
        <w:lastRenderedPageBreak/>
        <w:t>quality standards, and community participation mechanisms. Operationally, this dimension is assessed through systematic analysis of the Environmental Management Act and associated regulations, comparing mandated practices with actual implementation.</w:t>
      </w:r>
    </w:p>
    <w:p w14:paraId="2B8B7CA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third dimension, </w:t>
      </w:r>
      <w:r w:rsidRPr="00C4664F">
        <w:rPr>
          <w:rFonts w:ascii="Times New Roman" w:hAnsi="Times New Roman" w:cs="Times New Roman"/>
          <w:i/>
          <w:iCs/>
        </w:rPr>
        <w:t>Procedural Justice</w:t>
      </w:r>
      <w:r w:rsidRPr="00C4664F">
        <w:rPr>
          <w:rFonts w:ascii="Times New Roman" w:hAnsi="Times New Roman" w:cs="Times New Roman"/>
        </w:rPr>
        <w:t xml:space="preserve">, informed by Tyler (17) and Kunz, Hein and </w:t>
      </w:r>
      <w:proofErr w:type="spellStart"/>
      <w:r w:rsidRPr="00C4664F">
        <w:rPr>
          <w:rFonts w:ascii="Times New Roman" w:hAnsi="Times New Roman" w:cs="Times New Roman"/>
        </w:rPr>
        <w:t>Sobirin</w:t>
      </w:r>
      <w:proofErr w:type="spellEnd"/>
      <w:r w:rsidRPr="00C4664F">
        <w:rPr>
          <w:rFonts w:ascii="Times New Roman" w:hAnsi="Times New Roman" w:cs="Times New Roman"/>
        </w:rPr>
        <w:t xml:space="preserve"> (18), examines how regulatory processes include or exclude affected communities and how local knowledge is valued or devalued. Operationally, this dimension is assessed through survey questions on trust, focus group discussions on complaint experiences, and analysis of barriers to regulatory access.</w:t>
      </w:r>
    </w:p>
    <w:p w14:paraId="2139EBF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fourth dimension, </w:t>
      </w:r>
      <w:r w:rsidRPr="00C4664F">
        <w:rPr>
          <w:rFonts w:ascii="Times New Roman" w:hAnsi="Times New Roman" w:cs="Times New Roman"/>
          <w:i/>
          <w:iCs/>
        </w:rPr>
        <w:t>Political Economy</w:t>
      </w:r>
      <w:r w:rsidRPr="00C4664F">
        <w:rPr>
          <w:rFonts w:ascii="Times New Roman" w:hAnsi="Times New Roman" w:cs="Times New Roman"/>
        </w:rPr>
        <w:t>, considers power asymmetries, regulatory capture, political interference, and opportunity costs of enforcement (19,20). Operationally, this dimension is assessed through qualitative themes exploring community perceptions of industry power and through analysis of enforcement patterns over time.</w:t>
      </w:r>
    </w:p>
    <w:p w14:paraId="461EE9CE" w14:textId="77777777" w:rsid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These dimensions interact dynamically. Institutional capacity deficits exacerbate epistemic injustice; procedural injustice reinforces low trust and reduces complaint reporting; political economy constraints inhibit budget increases. </w:t>
      </w:r>
      <w:bookmarkStart w:id="0" w:name="_Hlk229428826"/>
      <w:r w:rsidRPr="00C4664F">
        <w:rPr>
          <w:rFonts w:ascii="Times New Roman" w:hAnsi="Times New Roman" w:cs="Times New Roman"/>
        </w:rPr>
        <w:t xml:space="preserve">Figure 1 provides a visual representation of this framework. The model is </w:t>
      </w:r>
      <w:proofErr w:type="spellStart"/>
      <w:r w:rsidRPr="00C4664F">
        <w:rPr>
          <w:rFonts w:ascii="Times New Roman" w:hAnsi="Times New Roman" w:cs="Times New Roman"/>
        </w:rPr>
        <w:t>conceptualised</w:t>
      </w:r>
      <w:proofErr w:type="spellEnd"/>
      <w:r w:rsidRPr="00C4664F">
        <w:rPr>
          <w:rFonts w:ascii="Times New Roman" w:hAnsi="Times New Roman" w:cs="Times New Roman"/>
        </w:rPr>
        <w:t xml:space="preserve"> as a circular diagram with four intersecting quadrants representing the four dimensions, </w:t>
      </w:r>
      <w:bookmarkEnd w:id="0"/>
      <w:r w:rsidRPr="00C4664F">
        <w:rPr>
          <w:rFonts w:ascii="Times New Roman" w:hAnsi="Times New Roman" w:cs="Times New Roman"/>
        </w:rPr>
        <w:t xml:space="preserve">each connected by bidirectional arrows to a central node labelled "Regulatory Failure." Radiating outward from the </w:t>
      </w:r>
      <w:proofErr w:type="spellStart"/>
      <w:r w:rsidRPr="00C4664F">
        <w:rPr>
          <w:rFonts w:ascii="Times New Roman" w:hAnsi="Times New Roman" w:cs="Times New Roman"/>
        </w:rPr>
        <w:t>centre</w:t>
      </w:r>
      <w:proofErr w:type="spellEnd"/>
      <w:r w:rsidRPr="00C4664F">
        <w:rPr>
          <w:rFonts w:ascii="Times New Roman" w:hAnsi="Times New Roman" w:cs="Times New Roman"/>
        </w:rPr>
        <w:t xml:space="preserve"> are the consequences: low community trust, the complaint gap, enforcement deficits, and livelihood impacts. Surrounding the entire model is an outer ring labelled "Self-Reinforcing Cycle," indicating that each dimension's deficits amplify the others over time. This framework guides both data collection and analysis throughout the study.</w:t>
      </w:r>
    </w:p>
    <w:p w14:paraId="4C35A9D1" w14:textId="11DDB3A1" w:rsidR="00450319" w:rsidRDefault="00450319" w:rsidP="00C4664F">
      <w:pPr>
        <w:spacing w:line="360" w:lineRule="auto"/>
        <w:jc w:val="both"/>
        <w:rPr>
          <w:rFonts w:ascii="Times New Roman" w:hAnsi="Times New Roman" w:cs="Times New Roman"/>
        </w:rPr>
      </w:pPr>
      <w:r w:rsidRPr="00C4664F">
        <w:rPr>
          <w:rFonts w:ascii="Times New Roman" w:hAnsi="Times New Roman" w:cs="Times New Roman"/>
          <w:b/>
          <w:bCs/>
        </w:rPr>
        <w:t>Figure 1</w:t>
      </w:r>
      <w:r w:rsidRPr="00C4664F">
        <w:rPr>
          <w:rFonts w:ascii="Times New Roman" w:hAnsi="Times New Roman" w:cs="Times New Roman"/>
        </w:rPr>
        <w:t xml:space="preserve"> provides a visual representation of this framework. </w:t>
      </w:r>
    </w:p>
    <w:p w14:paraId="27A7815E" w14:textId="16FC5983" w:rsidR="0022601E" w:rsidRPr="00C4664F" w:rsidRDefault="0022601E" w:rsidP="0022601E">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001F888" wp14:editId="5AFE9583">
            <wp:extent cx="4381500" cy="4381500"/>
            <wp:effectExtent l="0" t="0" r="0" b="0"/>
            <wp:docPr id="1511409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pic:spPr>
                </pic:pic>
              </a:graphicData>
            </a:graphic>
          </wp:inline>
        </w:drawing>
      </w:r>
    </w:p>
    <w:p w14:paraId="326EE375" w14:textId="1E652973" w:rsidR="00450319" w:rsidRDefault="00450319" w:rsidP="00450319">
      <w:pPr>
        <w:spacing w:line="360" w:lineRule="auto"/>
        <w:jc w:val="center"/>
        <w:rPr>
          <w:rFonts w:ascii="Times New Roman" w:hAnsi="Times New Roman" w:cs="Times New Roman"/>
        </w:rPr>
      </w:pPr>
      <w:r w:rsidRPr="00C4664F">
        <w:rPr>
          <w:rFonts w:ascii="Times New Roman" w:hAnsi="Times New Roman" w:cs="Times New Roman"/>
          <w:i/>
          <w:iCs/>
        </w:rPr>
        <w:t xml:space="preserve">Source: Author’s </w:t>
      </w:r>
      <w:r>
        <w:rPr>
          <w:rFonts w:ascii="Times New Roman" w:hAnsi="Times New Roman" w:cs="Times New Roman"/>
          <w:i/>
          <w:iCs/>
        </w:rPr>
        <w:t>observations</w:t>
      </w:r>
      <w:r w:rsidRPr="00C4664F">
        <w:rPr>
          <w:rFonts w:ascii="Times New Roman" w:hAnsi="Times New Roman" w:cs="Times New Roman"/>
          <w:i/>
          <w:iCs/>
        </w:rPr>
        <w:t xml:space="preserve"> based on survey data (2020)</w:t>
      </w:r>
    </w:p>
    <w:p w14:paraId="2AFC53B6" w14:textId="59F1F5C8" w:rsidR="00C4664F" w:rsidRPr="00C4664F" w:rsidRDefault="00C4664F" w:rsidP="00450319">
      <w:pPr>
        <w:spacing w:line="360" w:lineRule="auto"/>
        <w:rPr>
          <w:rFonts w:ascii="Times New Roman" w:hAnsi="Times New Roman" w:cs="Times New Roman"/>
          <w:b/>
          <w:bCs/>
        </w:rPr>
      </w:pPr>
      <w:r w:rsidRPr="00C4664F">
        <w:rPr>
          <w:rFonts w:ascii="Times New Roman" w:hAnsi="Times New Roman" w:cs="Times New Roman"/>
          <w:b/>
          <w:bCs/>
        </w:rPr>
        <w:t>1.6 New Knowledge Contribution and Research Questions</w:t>
      </w:r>
    </w:p>
    <w:p w14:paraId="2D2438B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This study contributes five specific new knowledge contributions: first, empirical documentation of trust erosion mechanisms through transparency, procedural fairness, and efficacy deficits; second, direct links between regulatory failure and livelihood impacts on informal workers with gender-differentiated analysis; third, a multi-dimensional regulatory failure framework applicable across industrial sectors; fourth, comparative benchmarking against regional innovations; and fifth, </w:t>
      </w:r>
      <w:proofErr w:type="spellStart"/>
      <w:r w:rsidRPr="00C4664F">
        <w:rPr>
          <w:rFonts w:ascii="Times New Roman" w:hAnsi="Times New Roman" w:cs="Times New Roman"/>
        </w:rPr>
        <w:t>theorisation</w:t>
      </w:r>
      <w:proofErr w:type="spellEnd"/>
      <w:r w:rsidRPr="00C4664F">
        <w:rPr>
          <w:rFonts w:ascii="Times New Roman" w:hAnsi="Times New Roman" w:cs="Times New Roman"/>
        </w:rPr>
        <w:t xml:space="preserve"> of the "complaint gap" as an indicator of institutional withdrawal.</w:t>
      </w:r>
    </w:p>
    <w:p w14:paraId="61A0CF3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The research questions guiding this study are as follows. RQ1: What is the level of community awareness of, contact with, and trust in ZEMA among vegetable vendors? RQ2: What documented enforcement actions and monitoring practices </w:t>
      </w:r>
      <w:proofErr w:type="spellStart"/>
      <w:r w:rsidRPr="00C4664F">
        <w:rPr>
          <w:rFonts w:ascii="Times New Roman" w:hAnsi="Times New Roman" w:cs="Times New Roman"/>
        </w:rPr>
        <w:t>characterise</w:t>
      </w:r>
      <w:proofErr w:type="spellEnd"/>
      <w:r w:rsidRPr="00C4664F">
        <w:rPr>
          <w:rFonts w:ascii="Times New Roman" w:hAnsi="Times New Roman" w:cs="Times New Roman"/>
        </w:rPr>
        <w:t xml:space="preserve"> ZEMA's oversight at the Chilanga cement plant? RQ3: What factors explain observed patterns of regulatory effectiveness or failure </w:t>
      </w:r>
      <w:r w:rsidRPr="00C4664F">
        <w:rPr>
          <w:rFonts w:ascii="Times New Roman" w:hAnsi="Times New Roman" w:cs="Times New Roman"/>
        </w:rPr>
        <w:lastRenderedPageBreak/>
        <w:t>across the four dimensions of the conceptual framework? RQ4: How does Zambia's practice compare with regional innovations in Ghana, Zimbabwe, and South Africa?</w:t>
      </w:r>
    </w:p>
    <w:p w14:paraId="149D7FDD"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 MATERIALS AND METHODS</w:t>
      </w:r>
    </w:p>
    <w:p w14:paraId="793EF7C1"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2.1 Study Area</w:t>
      </w:r>
    </w:p>
    <w:p w14:paraId="7FB3A95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The study was conducted in Freedom Compound, an informal settlement adjacent to the Lafarge Zambia (now Chilanga Cement) factory in Chilanga District, Lusaka Province. The settlement lies directly within the pollution fallout zone based on prevailing easterly winds. The plant has operated since 1949 with a production capacity of approximately 1.2 million </w:t>
      </w:r>
      <w:proofErr w:type="spellStart"/>
      <w:r w:rsidRPr="00C4664F">
        <w:rPr>
          <w:rFonts w:ascii="Times New Roman" w:hAnsi="Times New Roman" w:cs="Times New Roman"/>
        </w:rPr>
        <w:t>tonnes</w:t>
      </w:r>
      <w:proofErr w:type="spellEnd"/>
      <w:r w:rsidRPr="00C4664F">
        <w:rPr>
          <w:rFonts w:ascii="Times New Roman" w:hAnsi="Times New Roman" w:cs="Times New Roman"/>
        </w:rPr>
        <w:t xml:space="preserve"> per annum. The local economy is dominated by informal vegetable vending, with approximately 140 active vendors. This setting was selected because it represents a typical exposure scenario for peri-urban industrial pollution in Zambia and because preliminary scoping indicated persistent community grievances.</w:t>
      </w:r>
    </w:p>
    <w:p w14:paraId="2A743CC2"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2.2 Research Design</w:t>
      </w:r>
    </w:p>
    <w:p w14:paraId="484BA35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study adopted a convergent mixed methods design (21), integrating quantitative and qualitative data collection within a single phase to enable triangulation across different sources of evidence. This design was specifically chosen because regulatory failure is a multi-dimensional phenomenon requiring both statistical documentation of prevalence and in-depth exploration of mechanisms. Triangulation across data sources enhanced credibility (22) by allowing cross-verification of findings from surveys, interviews, focus groups, and document analysis.</w:t>
      </w:r>
    </w:p>
    <w:p w14:paraId="18C5F150"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2.3 Sampling Strategies</w:t>
      </w:r>
    </w:p>
    <w:p w14:paraId="7CC7401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For vegetable vendors, a sampling frame was compiled through systematic walking tours of Freedom Compound, identifying all active vegetable vending points. From 140 vendors, simple random sampling using a random number generator selected 100 for invitation; 87 completed the survey (87% response rate, approximately 62% of total population). This sample size provides margin of error of approximately ±8% at 95% confidence level.</w:t>
      </w:r>
    </w:p>
    <w:p w14:paraId="02F2646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For key informants, purposive sampling included three ZEMA officials (from Compliance and Enforcement and Environmental Impact Assessment departments), four community leaders (two elected </w:t>
      </w:r>
      <w:proofErr w:type="spellStart"/>
      <w:r w:rsidRPr="00C4664F">
        <w:rPr>
          <w:rFonts w:ascii="Times New Roman" w:hAnsi="Times New Roman" w:cs="Times New Roman"/>
        </w:rPr>
        <w:t>neighbourhood</w:t>
      </w:r>
      <w:proofErr w:type="spellEnd"/>
      <w:r w:rsidRPr="00C4664F">
        <w:rPr>
          <w:rFonts w:ascii="Times New Roman" w:hAnsi="Times New Roman" w:cs="Times New Roman"/>
        </w:rPr>
        <w:t xml:space="preserve"> committee members and two traditional leaders), and one plant </w:t>
      </w:r>
      <w:r w:rsidRPr="00C4664F">
        <w:rPr>
          <w:rFonts w:ascii="Times New Roman" w:hAnsi="Times New Roman" w:cs="Times New Roman"/>
        </w:rPr>
        <w:lastRenderedPageBreak/>
        <w:t>environmental manager. Inclusion criteria for ZEMA officials required a minimum of two years of experience with cement sector regulation.</w:t>
      </w:r>
    </w:p>
    <w:p w14:paraId="2802D08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For focus groups, four focus groups (total n=28) were stratified by gender (two women's groups, two men's groups) to facilitate open discussion of potentially sensitive issues. Each group comprised six to eight participants, with recruitment through community leaders ensuring diversity of age and vending experience.</w:t>
      </w:r>
    </w:p>
    <w:p w14:paraId="0F05E632"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2.4 Data Collection Instruments</w:t>
      </w:r>
    </w:p>
    <w:p w14:paraId="705CC3E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A structured questionnaire was developed specifically for this study and piloted with 10 vendors from a </w:t>
      </w:r>
      <w:proofErr w:type="spellStart"/>
      <w:r w:rsidRPr="00C4664F">
        <w:rPr>
          <w:rFonts w:ascii="Times New Roman" w:hAnsi="Times New Roman" w:cs="Times New Roman"/>
        </w:rPr>
        <w:t>neighbouring</w:t>
      </w:r>
      <w:proofErr w:type="spellEnd"/>
      <w:r w:rsidRPr="00C4664F">
        <w:rPr>
          <w:rFonts w:ascii="Times New Roman" w:hAnsi="Times New Roman" w:cs="Times New Roman"/>
        </w:rPr>
        <w:t xml:space="preserve"> settlement to test question clarity and comprehension. Sections covered demographics, exposure patterns, economic impacts, awareness of ZEMA, and regulatory perceptions using five-point Likert scales. The questionnaire was administered face-to-face in Nyanja by trained enumerators.</w:t>
      </w:r>
    </w:p>
    <w:p w14:paraId="31D4A0E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Semi-structured interview guides were developed separately for ZEMA officials, community leaders, and plant management, exploring regulatory mandate, monitoring protocols, resource constraints, enforcement practices, and community engagement. Interviews lasted 45–90 minutes and were audio recorded with participant consent.</w:t>
      </w:r>
    </w:p>
    <w:p w14:paraId="452CAC7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Focus group discussion guides covered collective pollution experiences, health effects, economic coping strategies, and regulatory perceptions. Discussions lasted approximately 90 minutes and were audio recorded, with female research assistants facilitating women's groups to mitigate gender-related disclosure barriers.</w:t>
      </w:r>
    </w:p>
    <w:p w14:paraId="5DE1D53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Document review employed systematic analysis (23) of legal instruments (Environmental Management Act and associated regulations), enforcement records (including the 2009 ECZ case file obtained through access to information request), corporate sustainability reports (2010–2019), and peer-reviewed academic literature on Zambian cement pollution.</w:t>
      </w:r>
    </w:p>
    <w:p w14:paraId="3BBE1D83"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2.5 Data Analysis</w:t>
      </w:r>
    </w:p>
    <w:p w14:paraId="077F05B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Quantitative data were entered into SPSS Version 25 with double-entry verification to detect data entry errors. Descriptive statistics (frequencies, percentages, means, standard deviations) were computed for all variables. Confidence intervals (95%) were calculated using the Wilson method. </w:t>
      </w:r>
      <w:r w:rsidRPr="00C4664F">
        <w:rPr>
          <w:rFonts w:ascii="Times New Roman" w:hAnsi="Times New Roman" w:cs="Times New Roman"/>
        </w:rPr>
        <w:lastRenderedPageBreak/>
        <w:t>Chi-square tests examined associations between trust and demographic variables (gender, education, length of residence), with statistical significance set at p &lt; 0.05.</w:t>
      </w:r>
    </w:p>
    <w:p w14:paraId="2F0A9F7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Qualitative data were transcribed verbatim, with Nyanja transcripts translated into English and checked for accuracy by an independent translator not involved in data collection. Thematic analysis followed Braun and Clarke's (24) six-phase procedure using NVivo 12 for coding and theme management. Codes were generated inductively from the data, then deductively mapped explicitly to the four dimensions of the conceptual framework: Institutional Capacity, Regulatory Framework, Procedural Justice, and Political Economy. Each theme was systematically classified under one or more dimensions to ensure conceptual coherence. For example, references to staffing shortages were coded under Institutional Capacity, while references to inaccessible complaint offices were coded under Procedural Justice.</w:t>
      </w:r>
    </w:p>
    <w:p w14:paraId="4593456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Triangulation was achieved through a matrix </w:t>
      </w:r>
      <w:proofErr w:type="spellStart"/>
      <w:r w:rsidRPr="00C4664F">
        <w:rPr>
          <w:rFonts w:ascii="Times New Roman" w:hAnsi="Times New Roman" w:cs="Times New Roman"/>
        </w:rPr>
        <w:t>organised</w:t>
      </w:r>
      <w:proofErr w:type="spellEnd"/>
      <w:r w:rsidRPr="00C4664F">
        <w:rPr>
          <w:rFonts w:ascii="Times New Roman" w:hAnsi="Times New Roman" w:cs="Times New Roman"/>
        </w:rPr>
        <w:t xml:space="preserve"> by research question and conceptual dimension, identifying convergence (where multiple data sources pointed to the same finding), divergence (where sources offered contradictory accounts), and complementarity (where sources addressed different aspects of the same phenomenon).</w:t>
      </w:r>
    </w:p>
    <w:p w14:paraId="3DD99532"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2.6 Ethical Considerations</w:t>
      </w:r>
    </w:p>
    <w:p w14:paraId="5F3D7BC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Ethical approval was obtained from the University of Lusaka Research Ethics Committee (Approval Number: UNILUS/REC/2019/017) and the Zambia National Health Research Authority. All participants provided written or witnessed verbal informed consent (witnessed consent used for participants with literacy limitations). Confidentiality was ensured through </w:t>
      </w:r>
      <w:proofErr w:type="spellStart"/>
      <w:r w:rsidRPr="00C4664F">
        <w:rPr>
          <w:rFonts w:ascii="Times New Roman" w:hAnsi="Times New Roman" w:cs="Times New Roman"/>
        </w:rPr>
        <w:t>anonymisation</w:t>
      </w:r>
      <w:proofErr w:type="spellEnd"/>
      <w:r w:rsidRPr="00C4664F">
        <w:rPr>
          <w:rFonts w:ascii="Times New Roman" w:hAnsi="Times New Roman" w:cs="Times New Roman"/>
        </w:rPr>
        <w:t xml:space="preserve"> of all names and identifying details. Participants were informed of their right to withdraw at any time without consequence. Female research assistants facilitated women's focus groups to mitigate gender-related disclosure barriers.</w:t>
      </w:r>
    </w:p>
    <w:p w14:paraId="54C24840"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2.7 Methodological Limitations Acknowledged</w:t>
      </w:r>
    </w:p>
    <w:p w14:paraId="3C5A999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Several limitations are acknowledged prospectively. First, the study did not independently verify emissions data or conduct ambient air quality monitoring due to equipment and budget constraints. Second, the cross-sectional design precludes causal inference regarding the relationship between regulatory actions and community outcomes. Third, focus on a single facility limits </w:t>
      </w:r>
      <w:proofErr w:type="spellStart"/>
      <w:r w:rsidRPr="00C4664F">
        <w:rPr>
          <w:rFonts w:ascii="Times New Roman" w:hAnsi="Times New Roman" w:cs="Times New Roman"/>
        </w:rPr>
        <w:t>generalisability</w:t>
      </w:r>
      <w:proofErr w:type="spellEnd"/>
      <w:r w:rsidRPr="00C4664F">
        <w:rPr>
          <w:rFonts w:ascii="Times New Roman" w:hAnsi="Times New Roman" w:cs="Times New Roman"/>
        </w:rPr>
        <w:t xml:space="preserve"> to other industrial sectors or regions of Zambia. Fourth, formal regulatory capture </w:t>
      </w:r>
      <w:r w:rsidRPr="00C4664F">
        <w:rPr>
          <w:rFonts w:ascii="Times New Roman" w:hAnsi="Times New Roman" w:cs="Times New Roman"/>
        </w:rPr>
        <w:lastRenderedPageBreak/>
        <w:t>analysis (e.g., network mapping of industry-regulator relationships) was not undertaken. Fifth, self-reported regulatory data may be subject to social desirability bias, with vendors potentially overstating impacts or understating trust. Sixth, recall bias may affect vendor reports of complaint history and economic impacts. Seventh, language translation from Nyanja to English may have resulted in loss of nuance, despite independent verification. These limitations notwithstanding, triangulation across multiple data sources provides robust evidence of systematic regulatory failure.</w:t>
      </w:r>
    </w:p>
    <w:p w14:paraId="4B12A02B"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 RESULTS</w:t>
      </w:r>
    </w:p>
    <w:p w14:paraId="24976279"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3.1 Demographic Characteristics of Respondents</w:t>
      </w:r>
    </w:p>
    <w:p w14:paraId="5EA96F0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Table 1 presents the demographic characteristics of 87 vegetable vendor respondents. Female vendors predominated (72.4%, n=63). Education levels were low, with 63.2% (n=55) having no formal schooling or only primary education. Length of residence was substantial, with 52.8% (n=46) having lived in the area for more than 10 years and 54.0% (n=47) having vended for more than 5 years. These demographic patterns are relevant to the study objectives because long residence times indicate chronic exposure, while low education levels may influence awareness of regulatory institutions and access to complaint mechanisms.</w:t>
      </w:r>
    </w:p>
    <w:p w14:paraId="251667A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Table 1: Demographic Characteristics of Vegetable Vendor Respondents (n=87)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6"/>
        <w:gridCol w:w="2960"/>
        <w:gridCol w:w="720"/>
        <w:gridCol w:w="900"/>
        <w:gridCol w:w="1220"/>
      </w:tblGrid>
      <w:tr w:rsidR="00C4664F" w:rsidRPr="00C4664F" w14:paraId="6E6B3D6F" w14:textId="77777777" w:rsidTr="00450319">
        <w:trPr>
          <w:tblHeader/>
        </w:trPr>
        <w:tc>
          <w:tcPr>
            <w:tcW w:w="0" w:type="auto"/>
            <w:tcMar>
              <w:top w:w="150" w:type="dxa"/>
              <w:left w:w="0" w:type="dxa"/>
              <w:bottom w:w="150" w:type="dxa"/>
              <w:right w:w="240" w:type="dxa"/>
            </w:tcMar>
            <w:vAlign w:val="center"/>
            <w:hideMark/>
          </w:tcPr>
          <w:p w14:paraId="6792EC9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Characteristic</w:t>
            </w:r>
          </w:p>
        </w:tc>
        <w:tc>
          <w:tcPr>
            <w:tcW w:w="0" w:type="auto"/>
            <w:tcMar>
              <w:top w:w="150" w:type="dxa"/>
              <w:left w:w="240" w:type="dxa"/>
              <w:bottom w:w="150" w:type="dxa"/>
              <w:right w:w="240" w:type="dxa"/>
            </w:tcMar>
            <w:vAlign w:val="center"/>
            <w:hideMark/>
          </w:tcPr>
          <w:p w14:paraId="0A8A8FC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Category</w:t>
            </w:r>
          </w:p>
        </w:tc>
        <w:tc>
          <w:tcPr>
            <w:tcW w:w="0" w:type="auto"/>
            <w:tcMar>
              <w:top w:w="150" w:type="dxa"/>
              <w:left w:w="240" w:type="dxa"/>
              <w:bottom w:w="150" w:type="dxa"/>
              <w:right w:w="240" w:type="dxa"/>
            </w:tcMar>
            <w:vAlign w:val="center"/>
            <w:hideMark/>
          </w:tcPr>
          <w:p w14:paraId="00B9BC7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w:t>
            </w:r>
          </w:p>
        </w:tc>
        <w:tc>
          <w:tcPr>
            <w:tcW w:w="0" w:type="auto"/>
            <w:tcMar>
              <w:top w:w="150" w:type="dxa"/>
              <w:left w:w="240" w:type="dxa"/>
              <w:bottom w:w="150" w:type="dxa"/>
              <w:right w:w="240" w:type="dxa"/>
            </w:tcMar>
            <w:vAlign w:val="center"/>
            <w:hideMark/>
          </w:tcPr>
          <w:p w14:paraId="7080543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w:t>
            </w:r>
          </w:p>
        </w:tc>
        <w:tc>
          <w:tcPr>
            <w:tcW w:w="0" w:type="auto"/>
            <w:tcMar>
              <w:top w:w="150" w:type="dxa"/>
              <w:left w:w="240" w:type="dxa"/>
              <w:bottom w:w="150" w:type="dxa"/>
              <w:right w:w="240" w:type="dxa"/>
            </w:tcMar>
            <w:vAlign w:val="center"/>
            <w:hideMark/>
          </w:tcPr>
          <w:p w14:paraId="062C595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95% CI</w:t>
            </w:r>
          </w:p>
        </w:tc>
      </w:tr>
      <w:tr w:rsidR="00C4664F" w:rsidRPr="00C4664F" w14:paraId="6BF0A5F2" w14:textId="77777777" w:rsidTr="00450319">
        <w:tc>
          <w:tcPr>
            <w:tcW w:w="0" w:type="auto"/>
            <w:tcMar>
              <w:top w:w="150" w:type="dxa"/>
              <w:left w:w="0" w:type="dxa"/>
              <w:bottom w:w="150" w:type="dxa"/>
              <w:right w:w="240" w:type="dxa"/>
            </w:tcMar>
            <w:vAlign w:val="center"/>
            <w:hideMark/>
          </w:tcPr>
          <w:p w14:paraId="2320B05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Gender</w:t>
            </w:r>
          </w:p>
        </w:tc>
        <w:tc>
          <w:tcPr>
            <w:tcW w:w="0" w:type="auto"/>
            <w:tcMar>
              <w:top w:w="150" w:type="dxa"/>
              <w:left w:w="240" w:type="dxa"/>
              <w:bottom w:w="150" w:type="dxa"/>
              <w:right w:w="240" w:type="dxa"/>
            </w:tcMar>
            <w:vAlign w:val="center"/>
            <w:hideMark/>
          </w:tcPr>
          <w:p w14:paraId="38195AA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Female</w:t>
            </w:r>
          </w:p>
        </w:tc>
        <w:tc>
          <w:tcPr>
            <w:tcW w:w="0" w:type="auto"/>
            <w:tcMar>
              <w:top w:w="150" w:type="dxa"/>
              <w:left w:w="240" w:type="dxa"/>
              <w:bottom w:w="150" w:type="dxa"/>
              <w:right w:w="240" w:type="dxa"/>
            </w:tcMar>
            <w:vAlign w:val="center"/>
            <w:hideMark/>
          </w:tcPr>
          <w:p w14:paraId="3FB7DE8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63</w:t>
            </w:r>
          </w:p>
        </w:tc>
        <w:tc>
          <w:tcPr>
            <w:tcW w:w="0" w:type="auto"/>
            <w:tcMar>
              <w:top w:w="150" w:type="dxa"/>
              <w:left w:w="240" w:type="dxa"/>
              <w:bottom w:w="150" w:type="dxa"/>
              <w:right w:w="240" w:type="dxa"/>
            </w:tcMar>
            <w:vAlign w:val="center"/>
            <w:hideMark/>
          </w:tcPr>
          <w:p w14:paraId="0BE1F3A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72.4</w:t>
            </w:r>
          </w:p>
        </w:tc>
        <w:tc>
          <w:tcPr>
            <w:tcW w:w="0" w:type="auto"/>
            <w:tcMar>
              <w:top w:w="150" w:type="dxa"/>
              <w:left w:w="240" w:type="dxa"/>
              <w:bottom w:w="150" w:type="dxa"/>
              <w:right w:w="0" w:type="dxa"/>
            </w:tcMar>
            <w:vAlign w:val="center"/>
            <w:hideMark/>
          </w:tcPr>
          <w:p w14:paraId="764C65F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62.5–81.0</w:t>
            </w:r>
          </w:p>
        </w:tc>
      </w:tr>
      <w:tr w:rsidR="00C4664F" w:rsidRPr="00C4664F" w14:paraId="6452DEF8" w14:textId="77777777" w:rsidTr="00450319">
        <w:tc>
          <w:tcPr>
            <w:tcW w:w="0" w:type="auto"/>
            <w:tcMar>
              <w:top w:w="150" w:type="dxa"/>
              <w:left w:w="0" w:type="dxa"/>
              <w:bottom w:w="150" w:type="dxa"/>
              <w:right w:w="240" w:type="dxa"/>
            </w:tcMar>
            <w:vAlign w:val="center"/>
            <w:hideMark/>
          </w:tcPr>
          <w:p w14:paraId="0A1B2071"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4DB8355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Male</w:t>
            </w:r>
          </w:p>
        </w:tc>
        <w:tc>
          <w:tcPr>
            <w:tcW w:w="0" w:type="auto"/>
            <w:tcMar>
              <w:top w:w="150" w:type="dxa"/>
              <w:left w:w="240" w:type="dxa"/>
              <w:bottom w:w="150" w:type="dxa"/>
              <w:right w:w="240" w:type="dxa"/>
            </w:tcMar>
            <w:vAlign w:val="center"/>
            <w:hideMark/>
          </w:tcPr>
          <w:p w14:paraId="2EE31D7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24</w:t>
            </w:r>
          </w:p>
        </w:tc>
        <w:tc>
          <w:tcPr>
            <w:tcW w:w="0" w:type="auto"/>
            <w:tcMar>
              <w:top w:w="150" w:type="dxa"/>
              <w:left w:w="240" w:type="dxa"/>
              <w:bottom w:w="150" w:type="dxa"/>
              <w:right w:w="240" w:type="dxa"/>
            </w:tcMar>
            <w:vAlign w:val="center"/>
            <w:hideMark/>
          </w:tcPr>
          <w:p w14:paraId="59EEA71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27.6</w:t>
            </w:r>
          </w:p>
        </w:tc>
        <w:tc>
          <w:tcPr>
            <w:tcW w:w="0" w:type="auto"/>
            <w:tcMar>
              <w:top w:w="150" w:type="dxa"/>
              <w:left w:w="240" w:type="dxa"/>
              <w:bottom w:w="150" w:type="dxa"/>
              <w:right w:w="0" w:type="dxa"/>
            </w:tcMar>
            <w:vAlign w:val="center"/>
            <w:hideMark/>
          </w:tcPr>
          <w:p w14:paraId="338DDC8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19.0–37.5</w:t>
            </w:r>
          </w:p>
        </w:tc>
      </w:tr>
      <w:tr w:rsidR="00C4664F" w:rsidRPr="00C4664F" w14:paraId="32378821" w14:textId="77777777" w:rsidTr="00450319">
        <w:tc>
          <w:tcPr>
            <w:tcW w:w="0" w:type="auto"/>
            <w:tcMar>
              <w:top w:w="150" w:type="dxa"/>
              <w:left w:w="0" w:type="dxa"/>
              <w:bottom w:w="150" w:type="dxa"/>
              <w:right w:w="240" w:type="dxa"/>
            </w:tcMar>
            <w:vAlign w:val="center"/>
            <w:hideMark/>
          </w:tcPr>
          <w:p w14:paraId="5A40B07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Age group</w:t>
            </w:r>
          </w:p>
        </w:tc>
        <w:tc>
          <w:tcPr>
            <w:tcW w:w="0" w:type="auto"/>
            <w:tcMar>
              <w:top w:w="150" w:type="dxa"/>
              <w:left w:w="240" w:type="dxa"/>
              <w:bottom w:w="150" w:type="dxa"/>
              <w:right w:w="240" w:type="dxa"/>
            </w:tcMar>
            <w:vAlign w:val="center"/>
            <w:hideMark/>
          </w:tcPr>
          <w:p w14:paraId="7EBE1C3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18–30 years</w:t>
            </w:r>
          </w:p>
        </w:tc>
        <w:tc>
          <w:tcPr>
            <w:tcW w:w="0" w:type="auto"/>
            <w:tcMar>
              <w:top w:w="150" w:type="dxa"/>
              <w:left w:w="240" w:type="dxa"/>
              <w:bottom w:w="150" w:type="dxa"/>
              <w:right w:w="240" w:type="dxa"/>
            </w:tcMar>
            <w:vAlign w:val="center"/>
            <w:hideMark/>
          </w:tcPr>
          <w:p w14:paraId="5E4E690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12</w:t>
            </w:r>
          </w:p>
        </w:tc>
        <w:tc>
          <w:tcPr>
            <w:tcW w:w="0" w:type="auto"/>
            <w:tcMar>
              <w:top w:w="150" w:type="dxa"/>
              <w:left w:w="240" w:type="dxa"/>
              <w:bottom w:w="150" w:type="dxa"/>
              <w:right w:w="240" w:type="dxa"/>
            </w:tcMar>
            <w:vAlign w:val="center"/>
            <w:hideMark/>
          </w:tcPr>
          <w:p w14:paraId="011F86E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13.8</w:t>
            </w:r>
          </w:p>
        </w:tc>
        <w:tc>
          <w:tcPr>
            <w:tcW w:w="0" w:type="auto"/>
            <w:tcMar>
              <w:top w:w="150" w:type="dxa"/>
              <w:left w:w="240" w:type="dxa"/>
              <w:bottom w:w="150" w:type="dxa"/>
              <w:right w:w="0" w:type="dxa"/>
            </w:tcMar>
            <w:vAlign w:val="center"/>
            <w:hideMark/>
          </w:tcPr>
          <w:p w14:paraId="318764E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7.5–22.5</w:t>
            </w:r>
          </w:p>
        </w:tc>
      </w:tr>
      <w:tr w:rsidR="00C4664F" w:rsidRPr="00C4664F" w14:paraId="5EBFE594" w14:textId="77777777" w:rsidTr="00450319">
        <w:tc>
          <w:tcPr>
            <w:tcW w:w="0" w:type="auto"/>
            <w:tcMar>
              <w:top w:w="150" w:type="dxa"/>
              <w:left w:w="0" w:type="dxa"/>
              <w:bottom w:w="150" w:type="dxa"/>
              <w:right w:w="240" w:type="dxa"/>
            </w:tcMar>
            <w:vAlign w:val="center"/>
            <w:hideMark/>
          </w:tcPr>
          <w:p w14:paraId="176E2987"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783BDF7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31–45 years</w:t>
            </w:r>
          </w:p>
        </w:tc>
        <w:tc>
          <w:tcPr>
            <w:tcW w:w="0" w:type="auto"/>
            <w:tcMar>
              <w:top w:w="150" w:type="dxa"/>
              <w:left w:w="240" w:type="dxa"/>
              <w:bottom w:w="150" w:type="dxa"/>
              <w:right w:w="240" w:type="dxa"/>
            </w:tcMar>
            <w:vAlign w:val="center"/>
            <w:hideMark/>
          </w:tcPr>
          <w:p w14:paraId="2BF8E25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41</w:t>
            </w:r>
          </w:p>
        </w:tc>
        <w:tc>
          <w:tcPr>
            <w:tcW w:w="0" w:type="auto"/>
            <w:tcMar>
              <w:top w:w="150" w:type="dxa"/>
              <w:left w:w="240" w:type="dxa"/>
              <w:bottom w:w="150" w:type="dxa"/>
              <w:right w:w="240" w:type="dxa"/>
            </w:tcMar>
            <w:vAlign w:val="center"/>
            <w:hideMark/>
          </w:tcPr>
          <w:p w14:paraId="0610CAE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47.1</w:t>
            </w:r>
          </w:p>
        </w:tc>
        <w:tc>
          <w:tcPr>
            <w:tcW w:w="0" w:type="auto"/>
            <w:tcMar>
              <w:top w:w="150" w:type="dxa"/>
              <w:left w:w="240" w:type="dxa"/>
              <w:bottom w:w="150" w:type="dxa"/>
              <w:right w:w="0" w:type="dxa"/>
            </w:tcMar>
            <w:vAlign w:val="center"/>
            <w:hideMark/>
          </w:tcPr>
          <w:p w14:paraId="4D44AD7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36.7–57.6</w:t>
            </w:r>
          </w:p>
        </w:tc>
      </w:tr>
      <w:tr w:rsidR="00C4664F" w:rsidRPr="00C4664F" w14:paraId="5809AF33" w14:textId="77777777" w:rsidTr="00450319">
        <w:tc>
          <w:tcPr>
            <w:tcW w:w="0" w:type="auto"/>
            <w:tcMar>
              <w:top w:w="150" w:type="dxa"/>
              <w:left w:w="0" w:type="dxa"/>
              <w:bottom w:w="150" w:type="dxa"/>
              <w:right w:w="240" w:type="dxa"/>
            </w:tcMar>
            <w:vAlign w:val="center"/>
            <w:hideMark/>
          </w:tcPr>
          <w:p w14:paraId="02D74AD1"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185DE48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46–60 years</w:t>
            </w:r>
          </w:p>
        </w:tc>
        <w:tc>
          <w:tcPr>
            <w:tcW w:w="0" w:type="auto"/>
            <w:tcMar>
              <w:top w:w="150" w:type="dxa"/>
              <w:left w:w="240" w:type="dxa"/>
              <w:bottom w:w="150" w:type="dxa"/>
              <w:right w:w="240" w:type="dxa"/>
            </w:tcMar>
            <w:vAlign w:val="center"/>
            <w:hideMark/>
          </w:tcPr>
          <w:p w14:paraId="6515F10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28</w:t>
            </w:r>
          </w:p>
        </w:tc>
        <w:tc>
          <w:tcPr>
            <w:tcW w:w="0" w:type="auto"/>
            <w:tcMar>
              <w:top w:w="150" w:type="dxa"/>
              <w:left w:w="240" w:type="dxa"/>
              <w:bottom w:w="150" w:type="dxa"/>
              <w:right w:w="240" w:type="dxa"/>
            </w:tcMar>
            <w:vAlign w:val="center"/>
            <w:hideMark/>
          </w:tcPr>
          <w:p w14:paraId="15CBA6E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32.2</w:t>
            </w:r>
          </w:p>
        </w:tc>
        <w:tc>
          <w:tcPr>
            <w:tcW w:w="0" w:type="auto"/>
            <w:tcMar>
              <w:top w:w="150" w:type="dxa"/>
              <w:left w:w="240" w:type="dxa"/>
              <w:bottom w:w="150" w:type="dxa"/>
              <w:right w:w="0" w:type="dxa"/>
            </w:tcMar>
            <w:vAlign w:val="center"/>
            <w:hideMark/>
          </w:tcPr>
          <w:p w14:paraId="40CEC93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23.0–42.5</w:t>
            </w:r>
          </w:p>
        </w:tc>
      </w:tr>
      <w:tr w:rsidR="00C4664F" w:rsidRPr="00C4664F" w14:paraId="69BE56C8" w14:textId="77777777" w:rsidTr="00450319">
        <w:tc>
          <w:tcPr>
            <w:tcW w:w="0" w:type="auto"/>
            <w:tcMar>
              <w:top w:w="150" w:type="dxa"/>
              <w:left w:w="0" w:type="dxa"/>
              <w:bottom w:w="150" w:type="dxa"/>
              <w:right w:w="240" w:type="dxa"/>
            </w:tcMar>
            <w:vAlign w:val="center"/>
            <w:hideMark/>
          </w:tcPr>
          <w:p w14:paraId="0693132B"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535311B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&gt;60 years</w:t>
            </w:r>
          </w:p>
        </w:tc>
        <w:tc>
          <w:tcPr>
            <w:tcW w:w="0" w:type="auto"/>
            <w:tcMar>
              <w:top w:w="150" w:type="dxa"/>
              <w:left w:w="240" w:type="dxa"/>
              <w:bottom w:w="150" w:type="dxa"/>
              <w:right w:w="240" w:type="dxa"/>
            </w:tcMar>
            <w:vAlign w:val="center"/>
            <w:hideMark/>
          </w:tcPr>
          <w:p w14:paraId="34DB830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w:t>
            </w:r>
          </w:p>
        </w:tc>
        <w:tc>
          <w:tcPr>
            <w:tcW w:w="0" w:type="auto"/>
            <w:tcMar>
              <w:top w:w="150" w:type="dxa"/>
              <w:left w:w="240" w:type="dxa"/>
              <w:bottom w:w="150" w:type="dxa"/>
              <w:right w:w="240" w:type="dxa"/>
            </w:tcMar>
            <w:vAlign w:val="center"/>
            <w:hideMark/>
          </w:tcPr>
          <w:p w14:paraId="643F874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6.9</w:t>
            </w:r>
          </w:p>
        </w:tc>
        <w:tc>
          <w:tcPr>
            <w:tcW w:w="0" w:type="auto"/>
            <w:tcMar>
              <w:top w:w="150" w:type="dxa"/>
              <w:left w:w="240" w:type="dxa"/>
              <w:bottom w:w="150" w:type="dxa"/>
              <w:right w:w="0" w:type="dxa"/>
            </w:tcMar>
            <w:vAlign w:val="center"/>
            <w:hideMark/>
          </w:tcPr>
          <w:p w14:paraId="74367F4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2.6–14.2</w:t>
            </w:r>
          </w:p>
        </w:tc>
      </w:tr>
      <w:tr w:rsidR="00C4664F" w:rsidRPr="00C4664F" w14:paraId="78DE955C" w14:textId="77777777" w:rsidTr="00450319">
        <w:tc>
          <w:tcPr>
            <w:tcW w:w="0" w:type="auto"/>
            <w:tcMar>
              <w:top w:w="150" w:type="dxa"/>
              <w:left w:w="0" w:type="dxa"/>
              <w:bottom w:w="150" w:type="dxa"/>
              <w:right w:w="240" w:type="dxa"/>
            </w:tcMar>
            <w:vAlign w:val="center"/>
            <w:hideMark/>
          </w:tcPr>
          <w:p w14:paraId="46141E4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Education</w:t>
            </w:r>
          </w:p>
        </w:tc>
        <w:tc>
          <w:tcPr>
            <w:tcW w:w="0" w:type="auto"/>
            <w:tcMar>
              <w:top w:w="150" w:type="dxa"/>
              <w:left w:w="240" w:type="dxa"/>
              <w:bottom w:w="150" w:type="dxa"/>
              <w:right w:w="240" w:type="dxa"/>
            </w:tcMar>
            <w:vAlign w:val="center"/>
            <w:hideMark/>
          </w:tcPr>
          <w:p w14:paraId="0CDA920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No formal schooling</w:t>
            </w:r>
          </w:p>
        </w:tc>
        <w:tc>
          <w:tcPr>
            <w:tcW w:w="0" w:type="auto"/>
            <w:tcMar>
              <w:top w:w="150" w:type="dxa"/>
              <w:left w:w="240" w:type="dxa"/>
              <w:bottom w:w="150" w:type="dxa"/>
              <w:right w:w="240" w:type="dxa"/>
            </w:tcMar>
            <w:vAlign w:val="center"/>
            <w:hideMark/>
          </w:tcPr>
          <w:p w14:paraId="38205F7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21</w:t>
            </w:r>
          </w:p>
        </w:tc>
        <w:tc>
          <w:tcPr>
            <w:tcW w:w="0" w:type="auto"/>
            <w:tcMar>
              <w:top w:w="150" w:type="dxa"/>
              <w:left w:w="240" w:type="dxa"/>
              <w:bottom w:w="150" w:type="dxa"/>
              <w:right w:w="240" w:type="dxa"/>
            </w:tcMar>
            <w:vAlign w:val="center"/>
            <w:hideMark/>
          </w:tcPr>
          <w:p w14:paraId="4CFB6B6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24.1</w:t>
            </w:r>
          </w:p>
        </w:tc>
        <w:tc>
          <w:tcPr>
            <w:tcW w:w="0" w:type="auto"/>
            <w:tcMar>
              <w:top w:w="150" w:type="dxa"/>
              <w:left w:w="240" w:type="dxa"/>
              <w:bottom w:w="150" w:type="dxa"/>
              <w:right w:w="0" w:type="dxa"/>
            </w:tcMar>
            <w:vAlign w:val="center"/>
            <w:hideMark/>
          </w:tcPr>
          <w:p w14:paraId="6453AB4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15.5–34.5</w:t>
            </w:r>
          </w:p>
        </w:tc>
      </w:tr>
      <w:tr w:rsidR="00C4664F" w:rsidRPr="00C4664F" w14:paraId="34C1FC74" w14:textId="77777777" w:rsidTr="00450319">
        <w:tc>
          <w:tcPr>
            <w:tcW w:w="0" w:type="auto"/>
            <w:tcMar>
              <w:top w:w="150" w:type="dxa"/>
              <w:left w:w="0" w:type="dxa"/>
              <w:bottom w:w="150" w:type="dxa"/>
              <w:right w:w="240" w:type="dxa"/>
            </w:tcMar>
            <w:vAlign w:val="center"/>
            <w:hideMark/>
          </w:tcPr>
          <w:p w14:paraId="0E14F112"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547102C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Primary (grades 1–7)</w:t>
            </w:r>
          </w:p>
        </w:tc>
        <w:tc>
          <w:tcPr>
            <w:tcW w:w="0" w:type="auto"/>
            <w:tcMar>
              <w:top w:w="150" w:type="dxa"/>
              <w:left w:w="240" w:type="dxa"/>
              <w:bottom w:w="150" w:type="dxa"/>
              <w:right w:w="240" w:type="dxa"/>
            </w:tcMar>
            <w:vAlign w:val="center"/>
            <w:hideMark/>
          </w:tcPr>
          <w:p w14:paraId="0E8356F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34</w:t>
            </w:r>
          </w:p>
        </w:tc>
        <w:tc>
          <w:tcPr>
            <w:tcW w:w="0" w:type="auto"/>
            <w:tcMar>
              <w:top w:w="150" w:type="dxa"/>
              <w:left w:w="240" w:type="dxa"/>
              <w:bottom w:w="150" w:type="dxa"/>
              <w:right w:w="240" w:type="dxa"/>
            </w:tcMar>
            <w:vAlign w:val="center"/>
            <w:hideMark/>
          </w:tcPr>
          <w:p w14:paraId="5FAC2C0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39.1</w:t>
            </w:r>
          </w:p>
        </w:tc>
        <w:tc>
          <w:tcPr>
            <w:tcW w:w="0" w:type="auto"/>
            <w:tcMar>
              <w:top w:w="150" w:type="dxa"/>
              <w:left w:w="240" w:type="dxa"/>
              <w:bottom w:w="150" w:type="dxa"/>
              <w:right w:w="0" w:type="dxa"/>
            </w:tcMar>
            <w:vAlign w:val="center"/>
            <w:hideMark/>
          </w:tcPr>
          <w:p w14:paraId="6B22E54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29.2–49.6</w:t>
            </w:r>
          </w:p>
        </w:tc>
      </w:tr>
      <w:tr w:rsidR="00C4664F" w:rsidRPr="00C4664F" w14:paraId="4C8909AC" w14:textId="77777777" w:rsidTr="00450319">
        <w:tc>
          <w:tcPr>
            <w:tcW w:w="0" w:type="auto"/>
            <w:tcMar>
              <w:top w:w="150" w:type="dxa"/>
              <w:left w:w="0" w:type="dxa"/>
              <w:bottom w:w="150" w:type="dxa"/>
              <w:right w:w="240" w:type="dxa"/>
            </w:tcMar>
            <w:vAlign w:val="center"/>
            <w:hideMark/>
          </w:tcPr>
          <w:p w14:paraId="10FEC223"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186A83F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Junior secondary (8–9)</w:t>
            </w:r>
          </w:p>
        </w:tc>
        <w:tc>
          <w:tcPr>
            <w:tcW w:w="0" w:type="auto"/>
            <w:tcMar>
              <w:top w:w="150" w:type="dxa"/>
              <w:left w:w="240" w:type="dxa"/>
              <w:bottom w:w="150" w:type="dxa"/>
              <w:right w:w="240" w:type="dxa"/>
            </w:tcMar>
            <w:vAlign w:val="center"/>
            <w:hideMark/>
          </w:tcPr>
          <w:p w14:paraId="49549C7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18</w:t>
            </w:r>
          </w:p>
        </w:tc>
        <w:tc>
          <w:tcPr>
            <w:tcW w:w="0" w:type="auto"/>
            <w:tcMar>
              <w:top w:w="150" w:type="dxa"/>
              <w:left w:w="240" w:type="dxa"/>
              <w:bottom w:w="150" w:type="dxa"/>
              <w:right w:w="240" w:type="dxa"/>
            </w:tcMar>
            <w:vAlign w:val="center"/>
            <w:hideMark/>
          </w:tcPr>
          <w:p w14:paraId="4E03CBB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20.7</w:t>
            </w:r>
          </w:p>
        </w:tc>
        <w:tc>
          <w:tcPr>
            <w:tcW w:w="0" w:type="auto"/>
            <w:tcMar>
              <w:top w:w="150" w:type="dxa"/>
              <w:left w:w="240" w:type="dxa"/>
              <w:bottom w:w="150" w:type="dxa"/>
              <w:right w:w="0" w:type="dxa"/>
            </w:tcMar>
            <w:vAlign w:val="center"/>
            <w:hideMark/>
          </w:tcPr>
          <w:p w14:paraId="02A9F0D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12.9–30.4</w:t>
            </w:r>
          </w:p>
        </w:tc>
      </w:tr>
      <w:tr w:rsidR="00C4664F" w:rsidRPr="00C4664F" w14:paraId="268BAB2A" w14:textId="77777777" w:rsidTr="00450319">
        <w:tc>
          <w:tcPr>
            <w:tcW w:w="0" w:type="auto"/>
            <w:tcMar>
              <w:top w:w="150" w:type="dxa"/>
              <w:left w:w="0" w:type="dxa"/>
              <w:bottom w:w="150" w:type="dxa"/>
              <w:right w:w="240" w:type="dxa"/>
            </w:tcMar>
            <w:vAlign w:val="center"/>
            <w:hideMark/>
          </w:tcPr>
          <w:p w14:paraId="4044F3B6"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304670F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Senior secondary (10–12)</w:t>
            </w:r>
          </w:p>
        </w:tc>
        <w:tc>
          <w:tcPr>
            <w:tcW w:w="0" w:type="auto"/>
            <w:tcMar>
              <w:top w:w="150" w:type="dxa"/>
              <w:left w:w="240" w:type="dxa"/>
              <w:bottom w:w="150" w:type="dxa"/>
              <w:right w:w="240" w:type="dxa"/>
            </w:tcMar>
            <w:vAlign w:val="center"/>
            <w:hideMark/>
          </w:tcPr>
          <w:p w14:paraId="1969C55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12</w:t>
            </w:r>
          </w:p>
        </w:tc>
        <w:tc>
          <w:tcPr>
            <w:tcW w:w="0" w:type="auto"/>
            <w:tcMar>
              <w:top w:w="150" w:type="dxa"/>
              <w:left w:w="240" w:type="dxa"/>
              <w:bottom w:w="150" w:type="dxa"/>
              <w:right w:w="240" w:type="dxa"/>
            </w:tcMar>
            <w:vAlign w:val="center"/>
            <w:hideMark/>
          </w:tcPr>
          <w:p w14:paraId="09C4B19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13.8</w:t>
            </w:r>
          </w:p>
        </w:tc>
        <w:tc>
          <w:tcPr>
            <w:tcW w:w="0" w:type="auto"/>
            <w:tcMar>
              <w:top w:w="150" w:type="dxa"/>
              <w:left w:w="240" w:type="dxa"/>
              <w:bottom w:w="150" w:type="dxa"/>
              <w:right w:w="0" w:type="dxa"/>
            </w:tcMar>
            <w:vAlign w:val="center"/>
            <w:hideMark/>
          </w:tcPr>
          <w:p w14:paraId="59DDA18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7.5–22.5</w:t>
            </w:r>
          </w:p>
        </w:tc>
      </w:tr>
      <w:tr w:rsidR="00C4664F" w:rsidRPr="00C4664F" w14:paraId="4696AB26" w14:textId="77777777" w:rsidTr="00450319">
        <w:tc>
          <w:tcPr>
            <w:tcW w:w="0" w:type="auto"/>
            <w:tcMar>
              <w:top w:w="150" w:type="dxa"/>
              <w:left w:w="0" w:type="dxa"/>
              <w:bottom w:w="150" w:type="dxa"/>
              <w:right w:w="240" w:type="dxa"/>
            </w:tcMar>
            <w:vAlign w:val="center"/>
            <w:hideMark/>
          </w:tcPr>
          <w:p w14:paraId="57323748"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3C7FBAD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Post-secondary</w:t>
            </w:r>
          </w:p>
        </w:tc>
        <w:tc>
          <w:tcPr>
            <w:tcW w:w="0" w:type="auto"/>
            <w:tcMar>
              <w:top w:w="150" w:type="dxa"/>
              <w:left w:w="240" w:type="dxa"/>
              <w:bottom w:w="150" w:type="dxa"/>
              <w:right w:w="240" w:type="dxa"/>
            </w:tcMar>
            <w:vAlign w:val="center"/>
            <w:hideMark/>
          </w:tcPr>
          <w:p w14:paraId="0B30BE3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w:t>
            </w:r>
          </w:p>
        </w:tc>
        <w:tc>
          <w:tcPr>
            <w:tcW w:w="0" w:type="auto"/>
            <w:tcMar>
              <w:top w:w="150" w:type="dxa"/>
              <w:left w:w="240" w:type="dxa"/>
              <w:bottom w:w="150" w:type="dxa"/>
              <w:right w:w="240" w:type="dxa"/>
            </w:tcMar>
            <w:vAlign w:val="center"/>
            <w:hideMark/>
          </w:tcPr>
          <w:p w14:paraId="67FD856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2.3</w:t>
            </w:r>
          </w:p>
        </w:tc>
        <w:tc>
          <w:tcPr>
            <w:tcW w:w="0" w:type="auto"/>
            <w:tcMar>
              <w:top w:w="150" w:type="dxa"/>
              <w:left w:w="240" w:type="dxa"/>
              <w:bottom w:w="150" w:type="dxa"/>
              <w:right w:w="0" w:type="dxa"/>
            </w:tcMar>
            <w:vAlign w:val="center"/>
            <w:hideMark/>
          </w:tcPr>
          <w:p w14:paraId="03F41A0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0.3–8.0</w:t>
            </w:r>
          </w:p>
        </w:tc>
      </w:tr>
      <w:tr w:rsidR="00C4664F" w:rsidRPr="00C4664F" w14:paraId="77ECE4B5" w14:textId="77777777" w:rsidTr="00450319">
        <w:tc>
          <w:tcPr>
            <w:tcW w:w="0" w:type="auto"/>
            <w:tcMar>
              <w:top w:w="150" w:type="dxa"/>
              <w:left w:w="0" w:type="dxa"/>
              <w:bottom w:w="150" w:type="dxa"/>
              <w:right w:w="240" w:type="dxa"/>
            </w:tcMar>
            <w:vAlign w:val="center"/>
            <w:hideMark/>
          </w:tcPr>
          <w:p w14:paraId="1D30A44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Length of residence</w:t>
            </w:r>
          </w:p>
        </w:tc>
        <w:tc>
          <w:tcPr>
            <w:tcW w:w="0" w:type="auto"/>
            <w:tcMar>
              <w:top w:w="150" w:type="dxa"/>
              <w:left w:w="240" w:type="dxa"/>
              <w:bottom w:w="150" w:type="dxa"/>
              <w:right w:w="240" w:type="dxa"/>
            </w:tcMar>
            <w:vAlign w:val="center"/>
            <w:hideMark/>
          </w:tcPr>
          <w:p w14:paraId="6E1AF89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&lt;1 year</w:t>
            </w:r>
          </w:p>
        </w:tc>
        <w:tc>
          <w:tcPr>
            <w:tcW w:w="0" w:type="auto"/>
            <w:tcMar>
              <w:top w:w="150" w:type="dxa"/>
              <w:left w:w="240" w:type="dxa"/>
              <w:bottom w:w="150" w:type="dxa"/>
              <w:right w:w="240" w:type="dxa"/>
            </w:tcMar>
            <w:vAlign w:val="center"/>
            <w:hideMark/>
          </w:tcPr>
          <w:p w14:paraId="1BC030B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w:t>
            </w:r>
          </w:p>
        </w:tc>
        <w:tc>
          <w:tcPr>
            <w:tcW w:w="0" w:type="auto"/>
            <w:tcMar>
              <w:top w:w="150" w:type="dxa"/>
              <w:left w:w="240" w:type="dxa"/>
              <w:bottom w:w="150" w:type="dxa"/>
              <w:right w:w="240" w:type="dxa"/>
            </w:tcMar>
            <w:vAlign w:val="center"/>
            <w:hideMark/>
          </w:tcPr>
          <w:p w14:paraId="3719D79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5.7</w:t>
            </w:r>
          </w:p>
        </w:tc>
        <w:tc>
          <w:tcPr>
            <w:tcW w:w="0" w:type="auto"/>
            <w:tcMar>
              <w:top w:w="150" w:type="dxa"/>
              <w:left w:w="240" w:type="dxa"/>
              <w:bottom w:w="150" w:type="dxa"/>
              <w:right w:w="0" w:type="dxa"/>
            </w:tcMar>
            <w:vAlign w:val="center"/>
            <w:hideMark/>
          </w:tcPr>
          <w:p w14:paraId="7570800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1.9–12.8</w:t>
            </w:r>
          </w:p>
        </w:tc>
      </w:tr>
      <w:tr w:rsidR="00C4664F" w:rsidRPr="00C4664F" w14:paraId="27B62674" w14:textId="77777777" w:rsidTr="00450319">
        <w:tc>
          <w:tcPr>
            <w:tcW w:w="0" w:type="auto"/>
            <w:tcMar>
              <w:top w:w="150" w:type="dxa"/>
              <w:left w:w="0" w:type="dxa"/>
              <w:bottom w:w="150" w:type="dxa"/>
              <w:right w:w="240" w:type="dxa"/>
            </w:tcMar>
            <w:vAlign w:val="center"/>
            <w:hideMark/>
          </w:tcPr>
          <w:p w14:paraId="560EF54E"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16E58D6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1–5 years</w:t>
            </w:r>
          </w:p>
        </w:tc>
        <w:tc>
          <w:tcPr>
            <w:tcW w:w="0" w:type="auto"/>
            <w:tcMar>
              <w:top w:w="150" w:type="dxa"/>
              <w:left w:w="240" w:type="dxa"/>
              <w:bottom w:w="150" w:type="dxa"/>
              <w:right w:w="240" w:type="dxa"/>
            </w:tcMar>
            <w:vAlign w:val="center"/>
            <w:hideMark/>
          </w:tcPr>
          <w:p w14:paraId="7F6F4B2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18</w:t>
            </w:r>
          </w:p>
        </w:tc>
        <w:tc>
          <w:tcPr>
            <w:tcW w:w="0" w:type="auto"/>
            <w:tcMar>
              <w:top w:w="150" w:type="dxa"/>
              <w:left w:w="240" w:type="dxa"/>
              <w:bottom w:w="150" w:type="dxa"/>
              <w:right w:w="240" w:type="dxa"/>
            </w:tcMar>
            <w:vAlign w:val="center"/>
            <w:hideMark/>
          </w:tcPr>
          <w:p w14:paraId="6BA274E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20.7</w:t>
            </w:r>
          </w:p>
        </w:tc>
        <w:tc>
          <w:tcPr>
            <w:tcW w:w="0" w:type="auto"/>
            <w:tcMar>
              <w:top w:w="150" w:type="dxa"/>
              <w:left w:w="240" w:type="dxa"/>
              <w:bottom w:w="150" w:type="dxa"/>
              <w:right w:w="0" w:type="dxa"/>
            </w:tcMar>
            <w:vAlign w:val="center"/>
            <w:hideMark/>
          </w:tcPr>
          <w:p w14:paraId="526C81A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12.9–30.4</w:t>
            </w:r>
          </w:p>
        </w:tc>
      </w:tr>
      <w:tr w:rsidR="00C4664F" w:rsidRPr="00C4664F" w14:paraId="4FC5F28E" w14:textId="77777777" w:rsidTr="00450319">
        <w:tc>
          <w:tcPr>
            <w:tcW w:w="0" w:type="auto"/>
            <w:tcMar>
              <w:top w:w="150" w:type="dxa"/>
              <w:left w:w="0" w:type="dxa"/>
              <w:bottom w:w="150" w:type="dxa"/>
              <w:right w:w="240" w:type="dxa"/>
            </w:tcMar>
            <w:vAlign w:val="center"/>
            <w:hideMark/>
          </w:tcPr>
          <w:p w14:paraId="11EDFA9F"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71B46E5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6–10 years</w:t>
            </w:r>
          </w:p>
        </w:tc>
        <w:tc>
          <w:tcPr>
            <w:tcW w:w="0" w:type="auto"/>
            <w:tcMar>
              <w:top w:w="150" w:type="dxa"/>
              <w:left w:w="240" w:type="dxa"/>
              <w:bottom w:w="150" w:type="dxa"/>
              <w:right w:w="240" w:type="dxa"/>
            </w:tcMar>
            <w:vAlign w:val="center"/>
            <w:hideMark/>
          </w:tcPr>
          <w:p w14:paraId="31FAE65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18</w:t>
            </w:r>
          </w:p>
        </w:tc>
        <w:tc>
          <w:tcPr>
            <w:tcW w:w="0" w:type="auto"/>
            <w:tcMar>
              <w:top w:w="150" w:type="dxa"/>
              <w:left w:w="240" w:type="dxa"/>
              <w:bottom w:w="150" w:type="dxa"/>
              <w:right w:w="240" w:type="dxa"/>
            </w:tcMar>
            <w:vAlign w:val="center"/>
            <w:hideMark/>
          </w:tcPr>
          <w:p w14:paraId="01644BF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20.7</w:t>
            </w:r>
          </w:p>
        </w:tc>
        <w:tc>
          <w:tcPr>
            <w:tcW w:w="0" w:type="auto"/>
            <w:tcMar>
              <w:top w:w="150" w:type="dxa"/>
              <w:left w:w="240" w:type="dxa"/>
              <w:bottom w:w="150" w:type="dxa"/>
              <w:right w:w="0" w:type="dxa"/>
            </w:tcMar>
            <w:vAlign w:val="center"/>
            <w:hideMark/>
          </w:tcPr>
          <w:p w14:paraId="7FC1FAF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12.9–30.4</w:t>
            </w:r>
          </w:p>
        </w:tc>
      </w:tr>
      <w:tr w:rsidR="00C4664F" w:rsidRPr="00C4664F" w14:paraId="529BFA7E" w14:textId="77777777" w:rsidTr="00450319">
        <w:tc>
          <w:tcPr>
            <w:tcW w:w="0" w:type="auto"/>
            <w:tcMar>
              <w:top w:w="150" w:type="dxa"/>
              <w:left w:w="0" w:type="dxa"/>
              <w:bottom w:w="150" w:type="dxa"/>
              <w:right w:w="240" w:type="dxa"/>
            </w:tcMar>
            <w:vAlign w:val="center"/>
            <w:hideMark/>
          </w:tcPr>
          <w:p w14:paraId="77F71DB4"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5E3B86B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&gt;10 years</w:t>
            </w:r>
          </w:p>
        </w:tc>
        <w:tc>
          <w:tcPr>
            <w:tcW w:w="0" w:type="auto"/>
            <w:tcMar>
              <w:top w:w="150" w:type="dxa"/>
              <w:left w:w="240" w:type="dxa"/>
              <w:bottom w:w="150" w:type="dxa"/>
              <w:right w:w="240" w:type="dxa"/>
            </w:tcMar>
            <w:vAlign w:val="center"/>
            <w:hideMark/>
          </w:tcPr>
          <w:p w14:paraId="2CABEBE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46</w:t>
            </w:r>
          </w:p>
        </w:tc>
        <w:tc>
          <w:tcPr>
            <w:tcW w:w="0" w:type="auto"/>
            <w:tcMar>
              <w:top w:w="150" w:type="dxa"/>
              <w:left w:w="240" w:type="dxa"/>
              <w:bottom w:w="150" w:type="dxa"/>
              <w:right w:w="240" w:type="dxa"/>
            </w:tcMar>
            <w:vAlign w:val="center"/>
            <w:hideMark/>
          </w:tcPr>
          <w:p w14:paraId="5A86CDF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52.9</w:t>
            </w:r>
          </w:p>
        </w:tc>
        <w:tc>
          <w:tcPr>
            <w:tcW w:w="0" w:type="auto"/>
            <w:tcMar>
              <w:top w:w="150" w:type="dxa"/>
              <w:left w:w="240" w:type="dxa"/>
              <w:bottom w:w="150" w:type="dxa"/>
              <w:right w:w="0" w:type="dxa"/>
            </w:tcMar>
            <w:vAlign w:val="center"/>
            <w:hideMark/>
          </w:tcPr>
          <w:p w14:paraId="0097978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42.3–63.2</w:t>
            </w:r>
          </w:p>
        </w:tc>
      </w:tr>
      <w:tr w:rsidR="00C4664F" w:rsidRPr="00C4664F" w14:paraId="5C2292ED" w14:textId="77777777" w:rsidTr="00450319">
        <w:tc>
          <w:tcPr>
            <w:tcW w:w="0" w:type="auto"/>
            <w:tcMar>
              <w:top w:w="150" w:type="dxa"/>
              <w:left w:w="0" w:type="dxa"/>
              <w:bottom w:w="150" w:type="dxa"/>
              <w:right w:w="240" w:type="dxa"/>
            </w:tcMar>
            <w:vAlign w:val="center"/>
            <w:hideMark/>
          </w:tcPr>
          <w:p w14:paraId="44E58A5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Vending experience</w:t>
            </w:r>
          </w:p>
        </w:tc>
        <w:tc>
          <w:tcPr>
            <w:tcW w:w="0" w:type="auto"/>
            <w:tcMar>
              <w:top w:w="150" w:type="dxa"/>
              <w:left w:w="240" w:type="dxa"/>
              <w:bottom w:w="150" w:type="dxa"/>
              <w:right w:w="240" w:type="dxa"/>
            </w:tcMar>
            <w:vAlign w:val="center"/>
            <w:hideMark/>
          </w:tcPr>
          <w:p w14:paraId="34F822D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&lt;1 year</w:t>
            </w:r>
          </w:p>
        </w:tc>
        <w:tc>
          <w:tcPr>
            <w:tcW w:w="0" w:type="auto"/>
            <w:tcMar>
              <w:top w:w="150" w:type="dxa"/>
              <w:left w:w="240" w:type="dxa"/>
              <w:bottom w:w="150" w:type="dxa"/>
              <w:right w:w="240" w:type="dxa"/>
            </w:tcMar>
            <w:vAlign w:val="center"/>
            <w:hideMark/>
          </w:tcPr>
          <w:p w14:paraId="2E5E3F2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8</w:t>
            </w:r>
          </w:p>
        </w:tc>
        <w:tc>
          <w:tcPr>
            <w:tcW w:w="0" w:type="auto"/>
            <w:tcMar>
              <w:top w:w="150" w:type="dxa"/>
              <w:left w:w="240" w:type="dxa"/>
              <w:bottom w:w="150" w:type="dxa"/>
              <w:right w:w="240" w:type="dxa"/>
            </w:tcMar>
            <w:vAlign w:val="center"/>
            <w:hideMark/>
          </w:tcPr>
          <w:p w14:paraId="70AA280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9.2</w:t>
            </w:r>
          </w:p>
        </w:tc>
        <w:tc>
          <w:tcPr>
            <w:tcW w:w="0" w:type="auto"/>
            <w:tcMar>
              <w:top w:w="150" w:type="dxa"/>
              <w:left w:w="240" w:type="dxa"/>
              <w:bottom w:w="150" w:type="dxa"/>
              <w:right w:w="0" w:type="dxa"/>
            </w:tcMar>
            <w:vAlign w:val="center"/>
            <w:hideMark/>
          </w:tcPr>
          <w:p w14:paraId="4ACE01A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4.1–17.2</w:t>
            </w:r>
          </w:p>
        </w:tc>
      </w:tr>
      <w:tr w:rsidR="00C4664F" w:rsidRPr="00C4664F" w14:paraId="22165A06" w14:textId="77777777" w:rsidTr="00450319">
        <w:tc>
          <w:tcPr>
            <w:tcW w:w="0" w:type="auto"/>
            <w:tcMar>
              <w:top w:w="150" w:type="dxa"/>
              <w:left w:w="0" w:type="dxa"/>
              <w:bottom w:w="150" w:type="dxa"/>
              <w:right w:w="240" w:type="dxa"/>
            </w:tcMar>
            <w:vAlign w:val="center"/>
            <w:hideMark/>
          </w:tcPr>
          <w:p w14:paraId="356B6278"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73AD5D4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1–5 years</w:t>
            </w:r>
          </w:p>
        </w:tc>
        <w:tc>
          <w:tcPr>
            <w:tcW w:w="0" w:type="auto"/>
            <w:tcMar>
              <w:top w:w="150" w:type="dxa"/>
              <w:left w:w="240" w:type="dxa"/>
              <w:bottom w:w="150" w:type="dxa"/>
              <w:right w:w="240" w:type="dxa"/>
            </w:tcMar>
            <w:vAlign w:val="center"/>
            <w:hideMark/>
          </w:tcPr>
          <w:p w14:paraId="5CE1264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32</w:t>
            </w:r>
          </w:p>
        </w:tc>
        <w:tc>
          <w:tcPr>
            <w:tcW w:w="0" w:type="auto"/>
            <w:tcMar>
              <w:top w:w="150" w:type="dxa"/>
              <w:left w:w="240" w:type="dxa"/>
              <w:bottom w:w="150" w:type="dxa"/>
              <w:right w:w="240" w:type="dxa"/>
            </w:tcMar>
            <w:vAlign w:val="center"/>
            <w:hideMark/>
          </w:tcPr>
          <w:p w14:paraId="4486E47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36.8</w:t>
            </w:r>
          </w:p>
        </w:tc>
        <w:tc>
          <w:tcPr>
            <w:tcW w:w="0" w:type="auto"/>
            <w:tcMar>
              <w:top w:w="150" w:type="dxa"/>
              <w:left w:w="240" w:type="dxa"/>
              <w:bottom w:w="150" w:type="dxa"/>
              <w:right w:w="0" w:type="dxa"/>
            </w:tcMar>
            <w:vAlign w:val="center"/>
            <w:hideMark/>
          </w:tcPr>
          <w:p w14:paraId="05F84FB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27.1–47.3</w:t>
            </w:r>
          </w:p>
        </w:tc>
      </w:tr>
      <w:tr w:rsidR="00C4664F" w:rsidRPr="00C4664F" w14:paraId="63EA38E0" w14:textId="77777777" w:rsidTr="00450319">
        <w:tc>
          <w:tcPr>
            <w:tcW w:w="0" w:type="auto"/>
            <w:tcMar>
              <w:top w:w="150" w:type="dxa"/>
              <w:left w:w="0" w:type="dxa"/>
              <w:bottom w:w="150" w:type="dxa"/>
              <w:right w:w="240" w:type="dxa"/>
            </w:tcMar>
            <w:vAlign w:val="center"/>
            <w:hideMark/>
          </w:tcPr>
          <w:p w14:paraId="4E886368" w14:textId="77777777" w:rsidR="00C4664F" w:rsidRPr="00C4664F" w:rsidRDefault="00C4664F" w:rsidP="00C4664F">
            <w:pPr>
              <w:spacing w:line="360" w:lineRule="auto"/>
              <w:jc w:val="both"/>
              <w:rPr>
                <w:rFonts w:ascii="Times New Roman" w:hAnsi="Times New Roman" w:cs="Times New Roman"/>
              </w:rPr>
            </w:pPr>
          </w:p>
        </w:tc>
        <w:tc>
          <w:tcPr>
            <w:tcW w:w="0" w:type="auto"/>
            <w:tcMar>
              <w:top w:w="150" w:type="dxa"/>
              <w:left w:w="240" w:type="dxa"/>
              <w:bottom w:w="150" w:type="dxa"/>
              <w:right w:w="240" w:type="dxa"/>
            </w:tcMar>
            <w:vAlign w:val="center"/>
            <w:hideMark/>
          </w:tcPr>
          <w:p w14:paraId="615A74B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&gt;5 years</w:t>
            </w:r>
          </w:p>
        </w:tc>
        <w:tc>
          <w:tcPr>
            <w:tcW w:w="0" w:type="auto"/>
            <w:tcMar>
              <w:top w:w="150" w:type="dxa"/>
              <w:left w:w="240" w:type="dxa"/>
              <w:bottom w:w="150" w:type="dxa"/>
              <w:right w:w="240" w:type="dxa"/>
            </w:tcMar>
            <w:vAlign w:val="center"/>
            <w:hideMark/>
          </w:tcPr>
          <w:p w14:paraId="663C1B1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47</w:t>
            </w:r>
          </w:p>
        </w:tc>
        <w:tc>
          <w:tcPr>
            <w:tcW w:w="0" w:type="auto"/>
            <w:tcMar>
              <w:top w:w="150" w:type="dxa"/>
              <w:left w:w="240" w:type="dxa"/>
              <w:bottom w:w="150" w:type="dxa"/>
              <w:right w:w="240" w:type="dxa"/>
            </w:tcMar>
            <w:vAlign w:val="center"/>
            <w:hideMark/>
          </w:tcPr>
          <w:p w14:paraId="2AE9462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54.0</w:t>
            </w:r>
          </w:p>
        </w:tc>
        <w:tc>
          <w:tcPr>
            <w:tcW w:w="0" w:type="auto"/>
            <w:tcMar>
              <w:top w:w="150" w:type="dxa"/>
              <w:left w:w="240" w:type="dxa"/>
              <w:bottom w:w="150" w:type="dxa"/>
              <w:right w:w="0" w:type="dxa"/>
            </w:tcMar>
            <w:vAlign w:val="center"/>
            <w:hideMark/>
          </w:tcPr>
          <w:p w14:paraId="52355AD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43.5–64.3</w:t>
            </w:r>
          </w:p>
        </w:tc>
      </w:tr>
    </w:tbl>
    <w:p w14:paraId="2B94DC9E" w14:textId="77777777" w:rsidR="00C4664F" w:rsidRPr="00C4664F" w:rsidRDefault="00C4664F" w:rsidP="00450319">
      <w:pPr>
        <w:spacing w:line="360" w:lineRule="auto"/>
        <w:rPr>
          <w:rFonts w:ascii="Times New Roman" w:hAnsi="Times New Roman" w:cs="Times New Roman"/>
        </w:rPr>
      </w:pPr>
      <w:r w:rsidRPr="00C4664F">
        <w:rPr>
          <w:rFonts w:ascii="Times New Roman" w:hAnsi="Times New Roman" w:cs="Times New Roman"/>
          <w:i/>
          <w:iCs/>
        </w:rPr>
        <w:t>Source: Author’s computations based on survey data (2020)</w:t>
      </w:r>
      <w:r w:rsidRPr="00C4664F">
        <w:rPr>
          <w:rFonts w:ascii="Times New Roman" w:hAnsi="Times New Roman" w:cs="Times New Roman"/>
        </w:rPr>
        <w:br/>
      </w:r>
      <w:r w:rsidRPr="00C4664F">
        <w:rPr>
          <w:rFonts w:ascii="Times New Roman" w:hAnsi="Times New Roman" w:cs="Times New Roman"/>
          <w:i/>
          <w:iCs/>
        </w:rPr>
        <w:t>Note: CI = Confidence interval (Wilson method)</w:t>
      </w:r>
    </w:p>
    <w:p w14:paraId="08E05AD1"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3.2 Community Awareness and Contact with ZEMA (Addressing RQ1)</w:t>
      </w:r>
    </w:p>
    <w:p w14:paraId="2208A6F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Addressing the first research question regarding community awareness of and contact with ZEMA, the findings reveal a substantial visibility deficit. Of 87 vendors surveyed, only 34.5% (n=30, 95% CI 25.0–45.1) reported awareness of ZEMA as the regulatory authority responsible for pollution control. Direct contact with the agency was even rarer, with only 9.2% (n=8, 95% CI 4.1–17.2) reporting ever having communicated a complaint. Among those who had complained, five received no response, two received a response but no follow-up, and one was told to "go to the council instead."</w:t>
      </w:r>
    </w:p>
    <w:p w14:paraId="40FB386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This finding reveals a regulatory visibility gap – a systematic disconnect between the formal existence of a regulatory institution and its substantive presence in community lived experience. This gap directly relates to the Procedural Justice dimension of the conceptual framework, as inaccessible institutions cannot provide fair participation in decision-making. A female focus group participant articulated this disconnect:</w:t>
      </w:r>
    </w:p>
    <w:p w14:paraId="00B001B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 xml:space="preserve">"We hear about an </w:t>
      </w:r>
      <w:proofErr w:type="spellStart"/>
      <w:r w:rsidRPr="00C4664F">
        <w:rPr>
          <w:rFonts w:ascii="Times New Roman" w:hAnsi="Times New Roman" w:cs="Times New Roman"/>
          <w:i/>
          <w:iCs/>
        </w:rPr>
        <w:t>organisation</w:t>
      </w:r>
      <w:proofErr w:type="spellEnd"/>
      <w:r w:rsidRPr="00C4664F">
        <w:rPr>
          <w:rFonts w:ascii="Times New Roman" w:hAnsi="Times New Roman" w:cs="Times New Roman"/>
          <w:i/>
          <w:iCs/>
        </w:rPr>
        <w:t xml:space="preserve"> called ZEMA that is supposed to control the factory, but we never see them. They only come when the factory invites them, not when we call them."</w:t>
      </w:r>
      <w:r w:rsidRPr="00C4664F">
        <w:rPr>
          <w:rFonts w:ascii="Times New Roman" w:hAnsi="Times New Roman" w:cs="Times New Roman"/>
        </w:rPr>
        <w:t> (FGD, Women's Group A, Participant 3)</w:t>
      </w:r>
    </w:p>
    <w:p w14:paraId="7B3DAC34"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3.3 Trust in ZEMA (Addressing RQ1)</w:t>
      </w:r>
    </w:p>
    <w:p w14:paraId="08043CF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Continuing to address RQ1, trust ratings for ZEMA were extremely low. Table 2 presents trust levels across four institutions. When asked to rate trust in ZEMA on a five-point scale (1 = very low, 5 = very high), 70.1% (n=61) expressed very low or low trust (ratings 1 or 2). Only 9.2% (n=8) expressed high or very high trust. Mean trust score for ZEMA was 2.12 (SD = 1.04), significantly lower than for traditional leaders (3.21, SD = 1.18; </w:t>
      </w:r>
      <w:proofErr w:type="gramStart"/>
      <w:r w:rsidRPr="00C4664F">
        <w:rPr>
          <w:rFonts w:ascii="Times New Roman" w:hAnsi="Times New Roman" w:cs="Times New Roman"/>
        </w:rPr>
        <w:t>t(86)=</w:t>
      </w:r>
      <w:proofErr w:type="gramEnd"/>
      <w:r w:rsidRPr="00C4664F">
        <w:rPr>
          <w:rFonts w:ascii="Times New Roman" w:hAnsi="Times New Roman" w:cs="Times New Roman"/>
        </w:rPr>
        <w:t>7.34, p&lt;0.001).</w:t>
      </w:r>
    </w:p>
    <w:p w14:paraId="25A4326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lastRenderedPageBreak/>
        <w:t>Table 2: Trust Levels in ZEMA, Traditional Leaders, Local Council and Police (n=87)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6"/>
        <w:gridCol w:w="1304"/>
        <w:gridCol w:w="1138"/>
        <w:gridCol w:w="1618"/>
        <w:gridCol w:w="1178"/>
        <w:gridCol w:w="1328"/>
        <w:gridCol w:w="1218"/>
      </w:tblGrid>
      <w:tr w:rsidR="00C4664F" w:rsidRPr="00C4664F" w14:paraId="196CB415" w14:textId="77777777" w:rsidTr="00450319">
        <w:trPr>
          <w:tblHeader/>
        </w:trPr>
        <w:tc>
          <w:tcPr>
            <w:tcW w:w="0" w:type="auto"/>
            <w:tcMar>
              <w:top w:w="150" w:type="dxa"/>
              <w:left w:w="0" w:type="dxa"/>
              <w:bottom w:w="150" w:type="dxa"/>
              <w:right w:w="240" w:type="dxa"/>
            </w:tcMar>
            <w:vAlign w:val="center"/>
            <w:hideMark/>
          </w:tcPr>
          <w:p w14:paraId="272DEB9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Institution</w:t>
            </w:r>
          </w:p>
        </w:tc>
        <w:tc>
          <w:tcPr>
            <w:tcW w:w="0" w:type="auto"/>
            <w:tcMar>
              <w:top w:w="150" w:type="dxa"/>
              <w:left w:w="240" w:type="dxa"/>
              <w:bottom w:w="150" w:type="dxa"/>
              <w:right w:w="240" w:type="dxa"/>
            </w:tcMar>
            <w:vAlign w:val="center"/>
            <w:hideMark/>
          </w:tcPr>
          <w:p w14:paraId="27B2C6D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Very low (1) %</w:t>
            </w:r>
          </w:p>
        </w:tc>
        <w:tc>
          <w:tcPr>
            <w:tcW w:w="0" w:type="auto"/>
            <w:tcMar>
              <w:top w:w="150" w:type="dxa"/>
              <w:left w:w="240" w:type="dxa"/>
              <w:bottom w:w="150" w:type="dxa"/>
              <w:right w:w="240" w:type="dxa"/>
            </w:tcMar>
            <w:vAlign w:val="center"/>
            <w:hideMark/>
          </w:tcPr>
          <w:p w14:paraId="1083ADB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Low (2) %</w:t>
            </w:r>
          </w:p>
        </w:tc>
        <w:tc>
          <w:tcPr>
            <w:tcW w:w="0" w:type="auto"/>
            <w:tcMar>
              <w:top w:w="150" w:type="dxa"/>
              <w:left w:w="240" w:type="dxa"/>
              <w:bottom w:w="150" w:type="dxa"/>
              <w:right w:w="240" w:type="dxa"/>
            </w:tcMar>
            <w:vAlign w:val="center"/>
            <w:hideMark/>
          </w:tcPr>
          <w:p w14:paraId="26ABACA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Moderate (3) %</w:t>
            </w:r>
          </w:p>
        </w:tc>
        <w:tc>
          <w:tcPr>
            <w:tcW w:w="0" w:type="auto"/>
            <w:tcMar>
              <w:top w:w="150" w:type="dxa"/>
              <w:left w:w="240" w:type="dxa"/>
              <w:bottom w:w="150" w:type="dxa"/>
              <w:right w:w="240" w:type="dxa"/>
            </w:tcMar>
            <w:vAlign w:val="center"/>
            <w:hideMark/>
          </w:tcPr>
          <w:p w14:paraId="230C645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High (4) %</w:t>
            </w:r>
          </w:p>
        </w:tc>
        <w:tc>
          <w:tcPr>
            <w:tcW w:w="0" w:type="auto"/>
            <w:tcMar>
              <w:top w:w="150" w:type="dxa"/>
              <w:left w:w="240" w:type="dxa"/>
              <w:bottom w:w="150" w:type="dxa"/>
              <w:right w:w="240" w:type="dxa"/>
            </w:tcMar>
            <w:vAlign w:val="center"/>
            <w:hideMark/>
          </w:tcPr>
          <w:p w14:paraId="2D71D18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Very high (5) %</w:t>
            </w:r>
          </w:p>
        </w:tc>
        <w:tc>
          <w:tcPr>
            <w:tcW w:w="0" w:type="auto"/>
            <w:tcMar>
              <w:top w:w="150" w:type="dxa"/>
              <w:left w:w="240" w:type="dxa"/>
              <w:bottom w:w="150" w:type="dxa"/>
              <w:right w:w="240" w:type="dxa"/>
            </w:tcMar>
            <w:vAlign w:val="center"/>
            <w:hideMark/>
          </w:tcPr>
          <w:p w14:paraId="028091F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Mean (SD)</w:t>
            </w:r>
          </w:p>
        </w:tc>
      </w:tr>
      <w:tr w:rsidR="00C4664F" w:rsidRPr="00C4664F" w14:paraId="2CF9C55E" w14:textId="77777777" w:rsidTr="00450319">
        <w:tc>
          <w:tcPr>
            <w:tcW w:w="0" w:type="auto"/>
            <w:tcMar>
              <w:top w:w="150" w:type="dxa"/>
              <w:left w:w="0" w:type="dxa"/>
              <w:bottom w:w="150" w:type="dxa"/>
              <w:right w:w="240" w:type="dxa"/>
            </w:tcMar>
            <w:vAlign w:val="center"/>
            <w:hideMark/>
          </w:tcPr>
          <w:p w14:paraId="7A454D1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ZEMA</w:t>
            </w:r>
          </w:p>
        </w:tc>
        <w:tc>
          <w:tcPr>
            <w:tcW w:w="0" w:type="auto"/>
            <w:tcMar>
              <w:top w:w="150" w:type="dxa"/>
              <w:left w:w="240" w:type="dxa"/>
              <w:bottom w:w="150" w:type="dxa"/>
              <w:right w:w="240" w:type="dxa"/>
            </w:tcMar>
            <w:vAlign w:val="center"/>
            <w:hideMark/>
          </w:tcPr>
          <w:p w14:paraId="4FAA61F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31.0</w:t>
            </w:r>
          </w:p>
        </w:tc>
        <w:tc>
          <w:tcPr>
            <w:tcW w:w="0" w:type="auto"/>
            <w:tcMar>
              <w:top w:w="150" w:type="dxa"/>
              <w:left w:w="240" w:type="dxa"/>
              <w:bottom w:w="150" w:type="dxa"/>
              <w:right w:w="240" w:type="dxa"/>
            </w:tcMar>
            <w:vAlign w:val="center"/>
            <w:hideMark/>
          </w:tcPr>
          <w:p w14:paraId="567C093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39.1</w:t>
            </w:r>
          </w:p>
        </w:tc>
        <w:tc>
          <w:tcPr>
            <w:tcW w:w="0" w:type="auto"/>
            <w:tcMar>
              <w:top w:w="150" w:type="dxa"/>
              <w:left w:w="240" w:type="dxa"/>
              <w:bottom w:w="150" w:type="dxa"/>
              <w:right w:w="240" w:type="dxa"/>
            </w:tcMar>
            <w:vAlign w:val="center"/>
            <w:hideMark/>
          </w:tcPr>
          <w:p w14:paraId="6F7AFC7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20.7</w:t>
            </w:r>
          </w:p>
        </w:tc>
        <w:tc>
          <w:tcPr>
            <w:tcW w:w="0" w:type="auto"/>
            <w:tcMar>
              <w:top w:w="150" w:type="dxa"/>
              <w:left w:w="240" w:type="dxa"/>
              <w:bottom w:w="150" w:type="dxa"/>
              <w:right w:w="240" w:type="dxa"/>
            </w:tcMar>
            <w:vAlign w:val="center"/>
            <w:hideMark/>
          </w:tcPr>
          <w:p w14:paraId="5C35425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6.9</w:t>
            </w:r>
          </w:p>
        </w:tc>
        <w:tc>
          <w:tcPr>
            <w:tcW w:w="0" w:type="auto"/>
            <w:tcMar>
              <w:top w:w="150" w:type="dxa"/>
              <w:left w:w="240" w:type="dxa"/>
              <w:bottom w:w="150" w:type="dxa"/>
              <w:right w:w="240" w:type="dxa"/>
            </w:tcMar>
            <w:vAlign w:val="center"/>
            <w:hideMark/>
          </w:tcPr>
          <w:p w14:paraId="023FECD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2.3</w:t>
            </w:r>
          </w:p>
        </w:tc>
        <w:tc>
          <w:tcPr>
            <w:tcW w:w="0" w:type="auto"/>
            <w:tcMar>
              <w:top w:w="150" w:type="dxa"/>
              <w:left w:w="240" w:type="dxa"/>
              <w:bottom w:w="150" w:type="dxa"/>
              <w:right w:w="0" w:type="dxa"/>
            </w:tcMar>
            <w:vAlign w:val="center"/>
            <w:hideMark/>
          </w:tcPr>
          <w:p w14:paraId="696D9BA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2.12 (1.04)</w:t>
            </w:r>
          </w:p>
        </w:tc>
      </w:tr>
      <w:tr w:rsidR="00C4664F" w:rsidRPr="00C4664F" w14:paraId="1299003C" w14:textId="77777777" w:rsidTr="00450319">
        <w:tc>
          <w:tcPr>
            <w:tcW w:w="0" w:type="auto"/>
            <w:tcMar>
              <w:top w:w="150" w:type="dxa"/>
              <w:left w:w="0" w:type="dxa"/>
              <w:bottom w:w="150" w:type="dxa"/>
              <w:right w:w="240" w:type="dxa"/>
            </w:tcMar>
            <w:vAlign w:val="center"/>
            <w:hideMark/>
          </w:tcPr>
          <w:p w14:paraId="0515744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Traditional leaders</w:t>
            </w:r>
          </w:p>
        </w:tc>
        <w:tc>
          <w:tcPr>
            <w:tcW w:w="0" w:type="auto"/>
            <w:tcMar>
              <w:top w:w="150" w:type="dxa"/>
              <w:left w:w="240" w:type="dxa"/>
              <w:bottom w:w="150" w:type="dxa"/>
              <w:right w:w="240" w:type="dxa"/>
            </w:tcMar>
            <w:vAlign w:val="center"/>
            <w:hideMark/>
          </w:tcPr>
          <w:p w14:paraId="2319919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12.6</w:t>
            </w:r>
          </w:p>
        </w:tc>
        <w:tc>
          <w:tcPr>
            <w:tcW w:w="0" w:type="auto"/>
            <w:tcMar>
              <w:top w:w="150" w:type="dxa"/>
              <w:left w:w="240" w:type="dxa"/>
              <w:bottom w:w="150" w:type="dxa"/>
              <w:right w:w="240" w:type="dxa"/>
            </w:tcMar>
            <w:vAlign w:val="center"/>
            <w:hideMark/>
          </w:tcPr>
          <w:p w14:paraId="26F24B1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19.5</w:t>
            </w:r>
          </w:p>
        </w:tc>
        <w:tc>
          <w:tcPr>
            <w:tcW w:w="0" w:type="auto"/>
            <w:tcMar>
              <w:top w:w="150" w:type="dxa"/>
              <w:left w:w="240" w:type="dxa"/>
              <w:bottom w:w="150" w:type="dxa"/>
              <w:right w:w="240" w:type="dxa"/>
            </w:tcMar>
            <w:vAlign w:val="center"/>
            <w:hideMark/>
          </w:tcPr>
          <w:p w14:paraId="3838261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29.9</w:t>
            </w:r>
          </w:p>
        </w:tc>
        <w:tc>
          <w:tcPr>
            <w:tcW w:w="0" w:type="auto"/>
            <w:tcMar>
              <w:top w:w="150" w:type="dxa"/>
              <w:left w:w="240" w:type="dxa"/>
              <w:bottom w:w="150" w:type="dxa"/>
              <w:right w:w="240" w:type="dxa"/>
            </w:tcMar>
            <w:vAlign w:val="center"/>
            <w:hideMark/>
          </w:tcPr>
          <w:p w14:paraId="5D19638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26.4</w:t>
            </w:r>
          </w:p>
        </w:tc>
        <w:tc>
          <w:tcPr>
            <w:tcW w:w="0" w:type="auto"/>
            <w:tcMar>
              <w:top w:w="150" w:type="dxa"/>
              <w:left w:w="240" w:type="dxa"/>
              <w:bottom w:w="150" w:type="dxa"/>
              <w:right w:w="240" w:type="dxa"/>
            </w:tcMar>
            <w:vAlign w:val="center"/>
            <w:hideMark/>
          </w:tcPr>
          <w:p w14:paraId="320BBD2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11.5</w:t>
            </w:r>
          </w:p>
        </w:tc>
        <w:tc>
          <w:tcPr>
            <w:tcW w:w="0" w:type="auto"/>
            <w:tcMar>
              <w:top w:w="150" w:type="dxa"/>
              <w:left w:w="240" w:type="dxa"/>
              <w:bottom w:w="150" w:type="dxa"/>
              <w:right w:w="0" w:type="dxa"/>
            </w:tcMar>
            <w:vAlign w:val="center"/>
            <w:hideMark/>
          </w:tcPr>
          <w:p w14:paraId="076396B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3.21 (1.18)</w:t>
            </w:r>
          </w:p>
        </w:tc>
      </w:tr>
      <w:tr w:rsidR="00C4664F" w:rsidRPr="00C4664F" w14:paraId="7F3D4713" w14:textId="77777777" w:rsidTr="00450319">
        <w:tc>
          <w:tcPr>
            <w:tcW w:w="0" w:type="auto"/>
            <w:tcMar>
              <w:top w:w="150" w:type="dxa"/>
              <w:left w:w="0" w:type="dxa"/>
              <w:bottom w:w="150" w:type="dxa"/>
              <w:right w:w="240" w:type="dxa"/>
            </w:tcMar>
            <w:vAlign w:val="center"/>
            <w:hideMark/>
          </w:tcPr>
          <w:p w14:paraId="12AAC1E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Local council</w:t>
            </w:r>
          </w:p>
        </w:tc>
        <w:tc>
          <w:tcPr>
            <w:tcW w:w="0" w:type="auto"/>
            <w:tcMar>
              <w:top w:w="150" w:type="dxa"/>
              <w:left w:w="240" w:type="dxa"/>
              <w:bottom w:w="150" w:type="dxa"/>
              <w:right w:w="240" w:type="dxa"/>
            </w:tcMar>
            <w:vAlign w:val="center"/>
            <w:hideMark/>
          </w:tcPr>
          <w:p w14:paraId="3BDDBF6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28.7</w:t>
            </w:r>
          </w:p>
        </w:tc>
        <w:tc>
          <w:tcPr>
            <w:tcW w:w="0" w:type="auto"/>
            <w:tcMar>
              <w:top w:w="150" w:type="dxa"/>
              <w:left w:w="240" w:type="dxa"/>
              <w:bottom w:w="150" w:type="dxa"/>
              <w:right w:w="240" w:type="dxa"/>
            </w:tcMar>
            <w:vAlign w:val="center"/>
            <w:hideMark/>
          </w:tcPr>
          <w:p w14:paraId="45043E9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33.3</w:t>
            </w:r>
          </w:p>
        </w:tc>
        <w:tc>
          <w:tcPr>
            <w:tcW w:w="0" w:type="auto"/>
            <w:tcMar>
              <w:top w:w="150" w:type="dxa"/>
              <w:left w:w="240" w:type="dxa"/>
              <w:bottom w:w="150" w:type="dxa"/>
              <w:right w:w="240" w:type="dxa"/>
            </w:tcMar>
            <w:vAlign w:val="center"/>
            <w:hideMark/>
          </w:tcPr>
          <w:p w14:paraId="4EE0EEF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24.1</w:t>
            </w:r>
          </w:p>
        </w:tc>
        <w:tc>
          <w:tcPr>
            <w:tcW w:w="0" w:type="auto"/>
            <w:tcMar>
              <w:top w:w="150" w:type="dxa"/>
              <w:left w:w="240" w:type="dxa"/>
              <w:bottom w:w="150" w:type="dxa"/>
              <w:right w:w="240" w:type="dxa"/>
            </w:tcMar>
            <w:vAlign w:val="center"/>
            <w:hideMark/>
          </w:tcPr>
          <w:p w14:paraId="263CF6C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9.2</w:t>
            </w:r>
          </w:p>
        </w:tc>
        <w:tc>
          <w:tcPr>
            <w:tcW w:w="0" w:type="auto"/>
            <w:tcMar>
              <w:top w:w="150" w:type="dxa"/>
              <w:left w:w="240" w:type="dxa"/>
              <w:bottom w:w="150" w:type="dxa"/>
              <w:right w:w="240" w:type="dxa"/>
            </w:tcMar>
            <w:vAlign w:val="center"/>
            <w:hideMark/>
          </w:tcPr>
          <w:p w14:paraId="0BD3800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4.6</w:t>
            </w:r>
          </w:p>
        </w:tc>
        <w:tc>
          <w:tcPr>
            <w:tcW w:w="0" w:type="auto"/>
            <w:tcMar>
              <w:top w:w="150" w:type="dxa"/>
              <w:left w:w="240" w:type="dxa"/>
              <w:bottom w:w="150" w:type="dxa"/>
              <w:right w:w="0" w:type="dxa"/>
            </w:tcMar>
            <w:vAlign w:val="center"/>
            <w:hideMark/>
          </w:tcPr>
          <w:p w14:paraId="4BE3DA5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2.28 (1.12)</w:t>
            </w:r>
          </w:p>
        </w:tc>
      </w:tr>
      <w:tr w:rsidR="00C4664F" w:rsidRPr="00C4664F" w14:paraId="5B3AF586" w14:textId="77777777" w:rsidTr="00450319">
        <w:tc>
          <w:tcPr>
            <w:tcW w:w="0" w:type="auto"/>
            <w:tcMar>
              <w:top w:w="150" w:type="dxa"/>
              <w:left w:w="0" w:type="dxa"/>
              <w:bottom w:w="150" w:type="dxa"/>
              <w:right w:w="240" w:type="dxa"/>
            </w:tcMar>
            <w:vAlign w:val="center"/>
            <w:hideMark/>
          </w:tcPr>
          <w:p w14:paraId="6CDC989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Police</w:t>
            </w:r>
          </w:p>
        </w:tc>
        <w:tc>
          <w:tcPr>
            <w:tcW w:w="0" w:type="auto"/>
            <w:tcMar>
              <w:top w:w="150" w:type="dxa"/>
              <w:left w:w="240" w:type="dxa"/>
              <w:bottom w:w="150" w:type="dxa"/>
              <w:right w:w="240" w:type="dxa"/>
            </w:tcMar>
            <w:vAlign w:val="center"/>
            <w:hideMark/>
          </w:tcPr>
          <w:p w14:paraId="65D5C57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35.6</w:t>
            </w:r>
          </w:p>
        </w:tc>
        <w:tc>
          <w:tcPr>
            <w:tcW w:w="0" w:type="auto"/>
            <w:tcMar>
              <w:top w:w="150" w:type="dxa"/>
              <w:left w:w="240" w:type="dxa"/>
              <w:bottom w:w="150" w:type="dxa"/>
              <w:right w:w="240" w:type="dxa"/>
            </w:tcMar>
            <w:vAlign w:val="center"/>
            <w:hideMark/>
          </w:tcPr>
          <w:p w14:paraId="550581D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31.0</w:t>
            </w:r>
          </w:p>
        </w:tc>
        <w:tc>
          <w:tcPr>
            <w:tcW w:w="0" w:type="auto"/>
            <w:tcMar>
              <w:top w:w="150" w:type="dxa"/>
              <w:left w:w="240" w:type="dxa"/>
              <w:bottom w:w="150" w:type="dxa"/>
              <w:right w:w="240" w:type="dxa"/>
            </w:tcMar>
            <w:vAlign w:val="center"/>
            <w:hideMark/>
          </w:tcPr>
          <w:p w14:paraId="4F5392A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20.7</w:t>
            </w:r>
          </w:p>
        </w:tc>
        <w:tc>
          <w:tcPr>
            <w:tcW w:w="0" w:type="auto"/>
            <w:tcMar>
              <w:top w:w="150" w:type="dxa"/>
              <w:left w:w="240" w:type="dxa"/>
              <w:bottom w:w="150" w:type="dxa"/>
              <w:right w:w="240" w:type="dxa"/>
            </w:tcMar>
            <w:vAlign w:val="center"/>
            <w:hideMark/>
          </w:tcPr>
          <w:p w14:paraId="542E510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9.2</w:t>
            </w:r>
          </w:p>
        </w:tc>
        <w:tc>
          <w:tcPr>
            <w:tcW w:w="0" w:type="auto"/>
            <w:tcMar>
              <w:top w:w="150" w:type="dxa"/>
              <w:left w:w="240" w:type="dxa"/>
              <w:bottom w:w="150" w:type="dxa"/>
              <w:right w:w="240" w:type="dxa"/>
            </w:tcMar>
            <w:vAlign w:val="center"/>
            <w:hideMark/>
          </w:tcPr>
          <w:p w14:paraId="0FE69DF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3.4</w:t>
            </w:r>
          </w:p>
        </w:tc>
        <w:tc>
          <w:tcPr>
            <w:tcW w:w="0" w:type="auto"/>
            <w:tcMar>
              <w:top w:w="150" w:type="dxa"/>
              <w:left w:w="240" w:type="dxa"/>
              <w:bottom w:w="150" w:type="dxa"/>
              <w:right w:w="0" w:type="dxa"/>
            </w:tcMar>
            <w:vAlign w:val="center"/>
            <w:hideMark/>
          </w:tcPr>
          <w:p w14:paraId="1D47816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2.14 (1.15)</w:t>
            </w:r>
          </w:p>
        </w:tc>
      </w:tr>
    </w:tbl>
    <w:p w14:paraId="7FE9F19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Source: Author’s computations based on survey data (2020)</w:t>
      </w:r>
    </w:p>
    <w:p w14:paraId="4CE70F5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Chi-square analysis revealed no significant associations between trust and gender (χ</w:t>
      </w:r>
      <w:proofErr w:type="gramStart"/>
      <w:r w:rsidRPr="00C4664F">
        <w:rPr>
          <w:rFonts w:ascii="Times New Roman" w:hAnsi="Times New Roman" w:cs="Times New Roman"/>
        </w:rPr>
        <w:t>²(4)=</w:t>
      </w:r>
      <w:proofErr w:type="gramEnd"/>
      <w:r w:rsidRPr="00C4664F">
        <w:rPr>
          <w:rFonts w:ascii="Times New Roman" w:hAnsi="Times New Roman" w:cs="Times New Roman"/>
        </w:rPr>
        <w:t>3.21, p=0.52), education (χ</w:t>
      </w:r>
      <w:proofErr w:type="gramStart"/>
      <w:r w:rsidRPr="00C4664F">
        <w:rPr>
          <w:rFonts w:ascii="Times New Roman" w:hAnsi="Times New Roman" w:cs="Times New Roman"/>
        </w:rPr>
        <w:t>²(8)=</w:t>
      </w:r>
      <w:proofErr w:type="gramEnd"/>
      <w:r w:rsidRPr="00C4664F">
        <w:rPr>
          <w:rFonts w:ascii="Times New Roman" w:hAnsi="Times New Roman" w:cs="Times New Roman"/>
        </w:rPr>
        <w:t>6.45, p=0.60), or length of residence (χ</w:t>
      </w:r>
      <w:proofErr w:type="gramStart"/>
      <w:r w:rsidRPr="00C4664F">
        <w:rPr>
          <w:rFonts w:ascii="Times New Roman" w:hAnsi="Times New Roman" w:cs="Times New Roman"/>
        </w:rPr>
        <w:t>²(8)=</w:t>
      </w:r>
      <w:proofErr w:type="gramEnd"/>
      <w:r w:rsidRPr="00C4664F">
        <w:rPr>
          <w:rFonts w:ascii="Times New Roman" w:hAnsi="Times New Roman" w:cs="Times New Roman"/>
        </w:rPr>
        <w:t>7.89, p=0.44), suggesting low trust is widespread across demographic subgroups rather than concentrated among particular populations. A community leader explained the erosion of trust over time:</w:t>
      </w:r>
    </w:p>
    <w:p w14:paraId="5745626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"ZEMA is supposed to be for the people, but when we complain, nothing happens. Years pass and the dust continues, so people stop believing."</w:t>
      </w:r>
      <w:r w:rsidRPr="00C4664F">
        <w:rPr>
          <w:rFonts w:ascii="Times New Roman" w:hAnsi="Times New Roman" w:cs="Times New Roman"/>
        </w:rPr>
        <w:t> (Key informant, Community Leader B)</w:t>
      </w:r>
    </w:p>
    <w:p w14:paraId="1BDC569E"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3.4 Economic Impacts (Addressing RQ1 and RQ3)</w:t>
      </w:r>
    </w:p>
    <w:p w14:paraId="6EF3BF6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economic consequences of regulatory failure directly address RQ1 (extent of impacts) and RQ3 (factors explaining failure). The frequency of dust impacts was striking, with 81.6% (n=71, 95% CI 72.0–89.0) reporting daily dust settlement on produce. Table 3 presents the range of economic consequences.</w:t>
      </w:r>
    </w:p>
    <w:p w14:paraId="180250E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lastRenderedPageBreak/>
        <w:t>Table 3: Economic Impacts of Dust on Vegetable Vending (n=87)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0"/>
        <w:gridCol w:w="720"/>
        <w:gridCol w:w="900"/>
        <w:gridCol w:w="1220"/>
      </w:tblGrid>
      <w:tr w:rsidR="00C4664F" w:rsidRPr="00C4664F" w14:paraId="26414F28" w14:textId="77777777" w:rsidTr="00450319">
        <w:trPr>
          <w:tblHeader/>
        </w:trPr>
        <w:tc>
          <w:tcPr>
            <w:tcW w:w="0" w:type="auto"/>
            <w:tcMar>
              <w:top w:w="150" w:type="dxa"/>
              <w:left w:w="0" w:type="dxa"/>
              <w:bottom w:w="150" w:type="dxa"/>
              <w:right w:w="240" w:type="dxa"/>
            </w:tcMar>
            <w:vAlign w:val="center"/>
            <w:hideMark/>
          </w:tcPr>
          <w:p w14:paraId="2BE72F4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Impact</w:t>
            </w:r>
          </w:p>
        </w:tc>
        <w:tc>
          <w:tcPr>
            <w:tcW w:w="0" w:type="auto"/>
            <w:tcMar>
              <w:top w:w="150" w:type="dxa"/>
              <w:left w:w="240" w:type="dxa"/>
              <w:bottom w:w="150" w:type="dxa"/>
              <w:right w:w="240" w:type="dxa"/>
            </w:tcMar>
            <w:vAlign w:val="center"/>
            <w:hideMark/>
          </w:tcPr>
          <w:p w14:paraId="5F0E4DF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w:t>
            </w:r>
          </w:p>
        </w:tc>
        <w:tc>
          <w:tcPr>
            <w:tcW w:w="0" w:type="auto"/>
            <w:tcMar>
              <w:top w:w="150" w:type="dxa"/>
              <w:left w:w="240" w:type="dxa"/>
              <w:bottom w:w="150" w:type="dxa"/>
              <w:right w:w="240" w:type="dxa"/>
            </w:tcMar>
            <w:vAlign w:val="center"/>
            <w:hideMark/>
          </w:tcPr>
          <w:p w14:paraId="42D241B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w:t>
            </w:r>
          </w:p>
        </w:tc>
        <w:tc>
          <w:tcPr>
            <w:tcW w:w="0" w:type="auto"/>
            <w:tcMar>
              <w:top w:w="150" w:type="dxa"/>
              <w:left w:w="240" w:type="dxa"/>
              <w:bottom w:w="150" w:type="dxa"/>
              <w:right w:w="240" w:type="dxa"/>
            </w:tcMar>
            <w:vAlign w:val="center"/>
            <w:hideMark/>
          </w:tcPr>
          <w:p w14:paraId="172FF7C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95% CI</w:t>
            </w:r>
          </w:p>
        </w:tc>
      </w:tr>
      <w:tr w:rsidR="00C4664F" w:rsidRPr="00C4664F" w14:paraId="0AEDC56C" w14:textId="77777777" w:rsidTr="00450319">
        <w:tc>
          <w:tcPr>
            <w:tcW w:w="0" w:type="auto"/>
            <w:tcMar>
              <w:top w:w="150" w:type="dxa"/>
              <w:left w:w="0" w:type="dxa"/>
              <w:bottom w:w="150" w:type="dxa"/>
              <w:right w:w="240" w:type="dxa"/>
            </w:tcMar>
            <w:vAlign w:val="center"/>
            <w:hideMark/>
          </w:tcPr>
          <w:p w14:paraId="32867E6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Lost sales due to customer rejection</w:t>
            </w:r>
          </w:p>
        </w:tc>
        <w:tc>
          <w:tcPr>
            <w:tcW w:w="0" w:type="auto"/>
            <w:tcMar>
              <w:top w:w="150" w:type="dxa"/>
              <w:left w:w="240" w:type="dxa"/>
              <w:bottom w:w="150" w:type="dxa"/>
              <w:right w:w="240" w:type="dxa"/>
            </w:tcMar>
            <w:vAlign w:val="center"/>
            <w:hideMark/>
          </w:tcPr>
          <w:p w14:paraId="6CAC438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59</w:t>
            </w:r>
          </w:p>
        </w:tc>
        <w:tc>
          <w:tcPr>
            <w:tcW w:w="0" w:type="auto"/>
            <w:tcMar>
              <w:top w:w="150" w:type="dxa"/>
              <w:left w:w="240" w:type="dxa"/>
              <w:bottom w:w="150" w:type="dxa"/>
              <w:right w:w="240" w:type="dxa"/>
            </w:tcMar>
            <w:vAlign w:val="center"/>
            <w:hideMark/>
          </w:tcPr>
          <w:p w14:paraId="27A88E6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67.8</w:t>
            </w:r>
          </w:p>
        </w:tc>
        <w:tc>
          <w:tcPr>
            <w:tcW w:w="0" w:type="auto"/>
            <w:tcMar>
              <w:top w:w="150" w:type="dxa"/>
              <w:left w:w="240" w:type="dxa"/>
              <w:bottom w:w="150" w:type="dxa"/>
              <w:right w:w="0" w:type="dxa"/>
            </w:tcMar>
            <w:vAlign w:val="center"/>
            <w:hideMark/>
          </w:tcPr>
          <w:p w14:paraId="086AF96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57.4–77.1</w:t>
            </w:r>
          </w:p>
        </w:tc>
      </w:tr>
      <w:tr w:rsidR="00C4664F" w:rsidRPr="00C4664F" w14:paraId="2C5C9BD1" w14:textId="77777777" w:rsidTr="00450319">
        <w:tc>
          <w:tcPr>
            <w:tcW w:w="0" w:type="auto"/>
            <w:tcMar>
              <w:top w:w="150" w:type="dxa"/>
              <w:left w:w="0" w:type="dxa"/>
              <w:bottom w:w="150" w:type="dxa"/>
              <w:right w:w="240" w:type="dxa"/>
            </w:tcMar>
            <w:vAlign w:val="center"/>
            <w:hideMark/>
          </w:tcPr>
          <w:p w14:paraId="5EBB892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Reduced prices for affected produce</w:t>
            </w:r>
          </w:p>
        </w:tc>
        <w:tc>
          <w:tcPr>
            <w:tcW w:w="0" w:type="auto"/>
            <w:tcMar>
              <w:top w:w="150" w:type="dxa"/>
              <w:left w:w="240" w:type="dxa"/>
              <w:bottom w:w="150" w:type="dxa"/>
              <w:right w:w="240" w:type="dxa"/>
            </w:tcMar>
            <w:vAlign w:val="center"/>
            <w:hideMark/>
          </w:tcPr>
          <w:p w14:paraId="5B88F9C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42</w:t>
            </w:r>
          </w:p>
        </w:tc>
        <w:tc>
          <w:tcPr>
            <w:tcW w:w="0" w:type="auto"/>
            <w:tcMar>
              <w:top w:w="150" w:type="dxa"/>
              <w:left w:w="240" w:type="dxa"/>
              <w:bottom w:w="150" w:type="dxa"/>
              <w:right w:w="240" w:type="dxa"/>
            </w:tcMar>
            <w:vAlign w:val="center"/>
            <w:hideMark/>
          </w:tcPr>
          <w:p w14:paraId="30E4118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48.3</w:t>
            </w:r>
          </w:p>
        </w:tc>
        <w:tc>
          <w:tcPr>
            <w:tcW w:w="0" w:type="auto"/>
            <w:tcMar>
              <w:top w:w="150" w:type="dxa"/>
              <w:left w:w="240" w:type="dxa"/>
              <w:bottom w:w="150" w:type="dxa"/>
              <w:right w:w="0" w:type="dxa"/>
            </w:tcMar>
            <w:vAlign w:val="center"/>
            <w:hideMark/>
          </w:tcPr>
          <w:p w14:paraId="3880482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37.9–58.7</w:t>
            </w:r>
          </w:p>
        </w:tc>
      </w:tr>
      <w:tr w:rsidR="00C4664F" w:rsidRPr="00C4664F" w14:paraId="0180BE68" w14:textId="77777777" w:rsidTr="00450319">
        <w:tc>
          <w:tcPr>
            <w:tcW w:w="0" w:type="auto"/>
            <w:tcMar>
              <w:top w:w="150" w:type="dxa"/>
              <w:left w:w="0" w:type="dxa"/>
              <w:bottom w:w="150" w:type="dxa"/>
              <w:right w:w="240" w:type="dxa"/>
            </w:tcMar>
            <w:vAlign w:val="center"/>
            <w:hideMark/>
          </w:tcPr>
          <w:p w14:paraId="77D27BB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Disposal of unsalable produce</w:t>
            </w:r>
          </w:p>
        </w:tc>
        <w:tc>
          <w:tcPr>
            <w:tcW w:w="0" w:type="auto"/>
            <w:tcMar>
              <w:top w:w="150" w:type="dxa"/>
              <w:left w:w="240" w:type="dxa"/>
              <w:bottom w:w="150" w:type="dxa"/>
              <w:right w:w="240" w:type="dxa"/>
            </w:tcMar>
            <w:vAlign w:val="center"/>
            <w:hideMark/>
          </w:tcPr>
          <w:p w14:paraId="60E1E13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31</w:t>
            </w:r>
          </w:p>
        </w:tc>
        <w:tc>
          <w:tcPr>
            <w:tcW w:w="0" w:type="auto"/>
            <w:tcMar>
              <w:top w:w="150" w:type="dxa"/>
              <w:left w:w="240" w:type="dxa"/>
              <w:bottom w:w="150" w:type="dxa"/>
              <w:right w:w="240" w:type="dxa"/>
            </w:tcMar>
            <w:vAlign w:val="center"/>
            <w:hideMark/>
          </w:tcPr>
          <w:p w14:paraId="5489056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35.6</w:t>
            </w:r>
          </w:p>
        </w:tc>
        <w:tc>
          <w:tcPr>
            <w:tcW w:w="0" w:type="auto"/>
            <w:tcMar>
              <w:top w:w="150" w:type="dxa"/>
              <w:left w:w="240" w:type="dxa"/>
              <w:bottom w:w="150" w:type="dxa"/>
              <w:right w:w="0" w:type="dxa"/>
            </w:tcMar>
            <w:vAlign w:val="center"/>
            <w:hideMark/>
          </w:tcPr>
          <w:p w14:paraId="27A1B3F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26.0–46.0</w:t>
            </w:r>
          </w:p>
        </w:tc>
      </w:tr>
      <w:tr w:rsidR="00C4664F" w:rsidRPr="00C4664F" w14:paraId="2B82FEC2" w14:textId="77777777" w:rsidTr="00450319">
        <w:tc>
          <w:tcPr>
            <w:tcW w:w="0" w:type="auto"/>
            <w:tcMar>
              <w:top w:w="150" w:type="dxa"/>
              <w:left w:w="0" w:type="dxa"/>
              <w:bottom w:w="150" w:type="dxa"/>
              <w:right w:w="240" w:type="dxa"/>
            </w:tcMar>
            <w:vAlign w:val="center"/>
            <w:hideMark/>
          </w:tcPr>
          <w:p w14:paraId="4315427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Need to wash produce multiple times daily</w:t>
            </w:r>
          </w:p>
        </w:tc>
        <w:tc>
          <w:tcPr>
            <w:tcW w:w="0" w:type="auto"/>
            <w:tcMar>
              <w:top w:w="150" w:type="dxa"/>
              <w:left w:w="240" w:type="dxa"/>
              <w:bottom w:w="150" w:type="dxa"/>
              <w:right w:w="240" w:type="dxa"/>
            </w:tcMar>
            <w:vAlign w:val="center"/>
            <w:hideMark/>
          </w:tcPr>
          <w:p w14:paraId="21A2DEC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68</w:t>
            </w:r>
          </w:p>
        </w:tc>
        <w:tc>
          <w:tcPr>
            <w:tcW w:w="0" w:type="auto"/>
            <w:tcMar>
              <w:top w:w="150" w:type="dxa"/>
              <w:left w:w="240" w:type="dxa"/>
              <w:bottom w:w="150" w:type="dxa"/>
              <w:right w:w="240" w:type="dxa"/>
            </w:tcMar>
            <w:vAlign w:val="center"/>
            <w:hideMark/>
          </w:tcPr>
          <w:p w14:paraId="0048D1D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78.2</w:t>
            </w:r>
          </w:p>
        </w:tc>
        <w:tc>
          <w:tcPr>
            <w:tcW w:w="0" w:type="auto"/>
            <w:tcMar>
              <w:top w:w="150" w:type="dxa"/>
              <w:left w:w="240" w:type="dxa"/>
              <w:bottom w:w="150" w:type="dxa"/>
              <w:right w:w="0" w:type="dxa"/>
            </w:tcMar>
            <w:vAlign w:val="center"/>
            <w:hideMark/>
          </w:tcPr>
          <w:p w14:paraId="04A7916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68.3–86.0</w:t>
            </w:r>
          </w:p>
        </w:tc>
      </w:tr>
      <w:tr w:rsidR="00C4664F" w:rsidRPr="00C4664F" w14:paraId="52836059" w14:textId="77777777" w:rsidTr="00450319">
        <w:tc>
          <w:tcPr>
            <w:tcW w:w="0" w:type="auto"/>
            <w:tcMar>
              <w:top w:w="150" w:type="dxa"/>
              <w:left w:w="0" w:type="dxa"/>
              <w:bottom w:w="150" w:type="dxa"/>
              <w:right w:w="240" w:type="dxa"/>
            </w:tcMar>
            <w:vAlign w:val="center"/>
            <w:hideMark/>
          </w:tcPr>
          <w:p w14:paraId="5B74198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Customers explicitly refuse to buy due to dust</w:t>
            </w:r>
          </w:p>
        </w:tc>
        <w:tc>
          <w:tcPr>
            <w:tcW w:w="0" w:type="auto"/>
            <w:tcMar>
              <w:top w:w="150" w:type="dxa"/>
              <w:left w:w="240" w:type="dxa"/>
              <w:bottom w:w="150" w:type="dxa"/>
              <w:right w:w="240" w:type="dxa"/>
            </w:tcMar>
            <w:vAlign w:val="center"/>
            <w:hideMark/>
          </w:tcPr>
          <w:p w14:paraId="10031FE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54</w:t>
            </w:r>
          </w:p>
        </w:tc>
        <w:tc>
          <w:tcPr>
            <w:tcW w:w="0" w:type="auto"/>
            <w:tcMar>
              <w:top w:w="150" w:type="dxa"/>
              <w:left w:w="240" w:type="dxa"/>
              <w:bottom w:w="150" w:type="dxa"/>
              <w:right w:w="240" w:type="dxa"/>
            </w:tcMar>
            <w:vAlign w:val="center"/>
            <w:hideMark/>
          </w:tcPr>
          <w:p w14:paraId="62EC8FC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62.1</w:t>
            </w:r>
          </w:p>
        </w:tc>
        <w:tc>
          <w:tcPr>
            <w:tcW w:w="0" w:type="auto"/>
            <w:tcMar>
              <w:top w:w="150" w:type="dxa"/>
              <w:left w:w="240" w:type="dxa"/>
              <w:bottom w:w="150" w:type="dxa"/>
              <w:right w:w="0" w:type="dxa"/>
            </w:tcMar>
            <w:vAlign w:val="center"/>
            <w:hideMark/>
          </w:tcPr>
          <w:p w14:paraId="2854A67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51.6–71.8</w:t>
            </w:r>
          </w:p>
        </w:tc>
      </w:tr>
    </w:tbl>
    <w:p w14:paraId="151421D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Source: Author’s computations based on survey data (2020)</w:t>
      </w:r>
    </w:p>
    <w:p w14:paraId="40639B2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 vendor described the deterioration of her livelihood:</w:t>
      </w:r>
    </w:p>
    <w:p w14:paraId="4843599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"Before, I could sell everything by midday. Now sometimes I sit until evening with unsold produce. Customers go to other places where they think vegetables are cleaner."</w:t>
      </w:r>
      <w:r w:rsidRPr="00C4664F">
        <w:rPr>
          <w:rFonts w:ascii="Times New Roman" w:hAnsi="Times New Roman" w:cs="Times New Roman"/>
        </w:rPr>
        <w:t> (Survey respondent, Female Vendor #23)</w:t>
      </w:r>
    </w:p>
    <w:p w14:paraId="5AD1DC5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Despite these significant impacts, formal complaints to ZEMA were rare (9.2%). When asked why, vendors cited multiple barriers: lack of knowledge (47.1%), belief that complaining would not change anything (38.8%), fear of retaliation (9.4%), and lack of transport (4.7%). This </w:t>
      </w:r>
      <w:r w:rsidRPr="00C4664F">
        <w:rPr>
          <w:rFonts w:ascii="Times New Roman" w:hAnsi="Times New Roman" w:cs="Times New Roman"/>
          <w:b/>
          <w:bCs/>
        </w:rPr>
        <w:t>complaint gap</w:t>
      </w:r>
      <w:r w:rsidRPr="00C4664F">
        <w:rPr>
          <w:rFonts w:ascii="Times New Roman" w:hAnsi="Times New Roman" w:cs="Times New Roman"/>
        </w:rPr>
        <w:t> – the systematic divergence between experienced harm (81.6% daily impacts) and reported harm (9.2% ever complained) – is a central indicator of regulatory failure. It reflects the interaction of all four conceptual dimensions: weak Institutional Capacity (no follow-up on complaints), flawed Regulatory Framework (self-reporting by industry), Procedural Injustice (inaccessible complaint mechanisms), and Political Economy (fear of retaliation against powerful industry).</w:t>
      </w:r>
    </w:p>
    <w:p w14:paraId="3FFDC1B4"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3.5 Documented Enforcement Actions (Addressing RQ2)</w:t>
      </w:r>
    </w:p>
    <w:p w14:paraId="04FCEBA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lastRenderedPageBreak/>
        <w:t xml:space="preserve">Addressing the second research question regarding enforcement actions, document review revealed that formal enforcement actions have been exceptionally rare. The 2009 ECZ intervention (ECZ was the predecessor to ZEMA) stands as the most significant in the plant's seven-decade history. According to ECZ records (25), an inspection on 8 March 2009 documented abnormal dust emissions affecting areas up to 1.6 km from the plant. In response, ECZ took four specific actions: first, reduced the plant's pollution control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validity period from 12 to 6 months; second, required two-week stack emission reports instead of quarterly; third, required submission of an environmental management plan with specific mitigation measures; and fourth, required quarterly environmental audit reports from an independent consultant.</w:t>
      </w:r>
    </w:p>
    <w:p w14:paraId="75E980F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 ZEMA official reflected on this intervention:</w:t>
      </w:r>
    </w:p>
    <w:p w14:paraId="1A067ED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2009 case showed we can act when violations are clear. But maintaining pressure over time has been difficult due to limited resources. The two-week reporting requirement was not sustained indefinitely."* (Key informant, ZEMA Official A)</w:t>
      </w:r>
    </w:p>
    <w:p w14:paraId="063DE86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 absence of comparable enforcement actions since 2009 represents a significant enforcement gap. Using Ayres and Braithwaite's (26) regulatory pyramid framework, Zambia exhibits a flat pyramid with minimal escalation: the base of self-regulation and voluntary compliance is broad, but the middle (escalated enforcement) and apex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suspension or prosecution) are almost never reached.</w:t>
      </w:r>
    </w:p>
    <w:p w14:paraId="1008DA5C"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3.6 Current Monitoring Practices (Addressing RQ2 and RQ3)</w:t>
      </w:r>
    </w:p>
    <w:p w14:paraId="3EADBE5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Addressing RQ2 and RQ3, Table 4 </w:t>
      </w:r>
      <w:proofErr w:type="spellStart"/>
      <w:r w:rsidRPr="00C4664F">
        <w:rPr>
          <w:rFonts w:ascii="Times New Roman" w:hAnsi="Times New Roman" w:cs="Times New Roman"/>
        </w:rPr>
        <w:t>summarises</w:t>
      </w:r>
      <w:proofErr w:type="spellEnd"/>
      <w:r w:rsidRPr="00C4664F">
        <w:rPr>
          <w:rFonts w:ascii="Times New Roman" w:hAnsi="Times New Roman" w:cs="Times New Roman"/>
        </w:rPr>
        <w:t xml:space="preserve"> current monitoring practices based on key informant interviews. The table reveals a pattern of episodic, reactive monitoring rather than systematic, preventive oversight.</w:t>
      </w:r>
    </w:p>
    <w:p w14:paraId="2A6BA49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Table 4: Current ZEMA Monitoring Practices at the Chilanga Cement Plant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5"/>
        <w:gridCol w:w="2230"/>
        <w:gridCol w:w="2601"/>
        <w:gridCol w:w="2604"/>
      </w:tblGrid>
      <w:tr w:rsidR="00C4664F" w:rsidRPr="00C4664F" w14:paraId="75A1704E" w14:textId="77777777" w:rsidTr="00450319">
        <w:trPr>
          <w:tblHeader/>
        </w:trPr>
        <w:tc>
          <w:tcPr>
            <w:tcW w:w="0" w:type="auto"/>
            <w:tcMar>
              <w:top w:w="150" w:type="dxa"/>
              <w:left w:w="0" w:type="dxa"/>
              <w:bottom w:w="150" w:type="dxa"/>
              <w:right w:w="240" w:type="dxa"/>
            </w:tcMar>
            <w:vAlign w:val="center"/>
            <w:hideMark/>
          </w:tcPr>
          <w:p w14:paraId="7E95E2E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lastRenderedPageBreak/>
              <w:t>Monitoring activity</w:t>
            </w:r>
          </w:p>
        </w:tc>
        <w:tc>
          <w:tcPr>
            <w:tcW w:w="0" w:type="auto"/>
            <w:tcMar>
              <w:top w:w="150" w:type="dxa"/>
              <w:left w:w="240" w:type="dxa"/>
              <w:bottom w:w="150" w:type="dxa"/>
              <w:right w:w="240" w:type="dxa"/>
            </w:tcMar>
            <w:vAlign w:val="center"/>
            <w:hideMark/>
          </w:tcPr>
          <w:p w14:paraId="572FDFD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Frequency</w:t>
            </w:r>
          </w:p>
        </w:tc>
        <w:tc>
          <w:tcPr>
            <w:tcW w:w="0" w:type="auto"/>
            <w:tcMar>
              <w:top w:w="150" w:type="dxa"/>
              <w:left w:w="240" w:type="dxa"/>
              <w:bottom w:w="150" w:type="dxa"/>
              <w:right w:w="240" w:type="dxa"/>
            </w:tcMar>
            <w:vAlign w:val="center"/>
            <w:hideMark/>
          </w:tcPr>
          <w:p w14:paraId="62ABF0A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Verification method</w:t>
            </w:r>
          </w:p>
        </w:tc>
        <w:tc>
          <w:tcPr>
            <w:tcW w:w="0" w:type="auto"/>
            <w:tcMar>
              <w:top w:w="150" w:type="dxa"/>
              <w:left w:w="240" w:type="dxa"/>
              <w:bottom w:w="150" w:type="dxa"/>
              <w:right w:w="240" w:type="dxa"/>
            </w:tcMar>
            <w:vAlign w:val="center"/>
            <w:hideMark/>
          </w:tcPr>
          <w:p w14:paraId="793B5E6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Identified limitation</w:t>
            </w:r>
          </w:p>
        </w:tc>
      </w:tr>
      <w:tr w:rsidR="00C4664F" w:rsidRPr="00C4664F" w14:paraId="31E53D5F" w14:textId="77777777" w:rsidTr="00450319">
        <w:tc>
          <w:tcPr>
            <w:tcW w:w="0" w:type="auto"/>
            <w:tcMar>
              <w:top w:w="150" w:type="dxa"/>
              <w:left w:w="0" w:type="dxa"/>
              <w:bottom w:w="150" w:type="dxa"/>
              <w:right w:w="240" w:type="dxa"/>
            </w:tcMar>
            <w:vAlign w:val="center"/>
            <w:hideMark/>
          </w:tcPr>
          <w:p w14:paraId="4D5E46E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Quarterly emissions reports</w:t>
            </w:r>
          </w:p>
        </w:tc>
        <w:tc>
          <w:tcPr>
            <w:tcW w:w="0" w:type="auto"/>
            <w:tcMar>
              <w:top w:w="150" w:type="dxa"/>
              <w:left w:w="240" w:type="dxa"/>
              <w:bottom w:w="150" w:type="dxa"/>
              <w:right w:w="240" w:type="dxa"/>
            </w:tcMar>
            <w:vAlign w:val="center"/>
            <w:hideMark/>
          </w:tcPr>
          <w:p w14:paraId="34D34C1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Quarterly</w:t>
            </w:r>
          </w:p>
        </w:tc>
        <w:tc>
          <w:tcPr>
            <w:tcW w:w="0" w:type="auto"/>
            <w:tcMar>
              <w:top w:w="150" w:type="dxa"/>
              <w:left w:w="240" w:type="dxa"/>
              <w:bottom w:w="150" w:type="dxa"/>
              <w:right w:w="240" w:type="dxa"/>
            </w:tcMar>
            <w:vAlign w:val="center"/>
            <w:hideMark/>
          </w:tcPr>
          <w:p w14:paraId="291BA47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Review of company-submitted data</w:t>
            </w:r>
          </w:p>
        </w:tc>
        <w:tc>
          <w:tcPr>
            <w:tcW w:w="0" w:type="auto"/>
            <w:tcMar>
              <w:top w:w="150" w:type="dxa"/>
              <w:left w:w="240" w:type="dxa"/>
              <w:bottom w:w="150" w:type="dxa"/>
              <w:right w:w="0" w:type="dxa"/>
            </w:tcMar>
            <w:vAlign w:val="center"/>
            <w:hideMark/>
          </w:tcPr>
          <w:p w14:paraId="248232D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Relies on self-reporting; no independent verification</w:t>
            </w:r>
          </w:p>
        </w:tc>
      </w:tr>
      <w:tr w:rsidR="00C4664F" w:rsidRPr="00C4664F" w14:paraId="76AD2343" w14:textId="77777777" w:rsidTr="00450319">
        <w:tc>
          <w:tcPr>
            <w:tcW w:w="0" w:type="auto"/>
            <w:tcMar>
              <w:top w:w="150" w:type="dxa"/>
              <w:left w:w="0" w:type="dxa"/>
              <w:bottom w:w="150" w:type="dxa"/>
              <w:right w:w="240" w:type="dxa"/>
            </w:tcMar>
            <w:vAlign w:val="center"/>
            <w:hideMark/>
          </w:tcPr>
          <w:p w14:paraId="4270222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Site inspections</w:t>
            </w:r>
          </w:p>
        </w:tc>
        <w:tc>
          <w:tcPr>
            <w:tcW w:w="0" w:type="auto"/>
            <w:tcMar>
              <w:top w:w="150" w:type="dxa"/>
              <w:left w:w="240" w:type="dxa"/>
              <w:bottom w:w="150" w:type="dxa"/>
              <w:right w:w="240" w:type="dxa"/>
            </w:tcMar>
            <w:vAlign w:val="center"/>
            <w:hideMark/>
          </w:tcPr>
          <w:p w14:paraId="62DA23C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Ad hoc, complaint driven</w:t>
            </w:r>
          </w:p>
        </w:tc>
        <w:tc>
          <w:tcPr>
            <w:tcW w:w="0" w:type="auto"/>
            <w:tcMar>
              <w:top w:w="150" w:type="dxa"/>
              <w:left w:w="240" w:type="dxa"/>
              <w:bottom w:w="150" w:type="dxa"/>
              <w:right w:w="240" w:type="dxa"/>
            </w:tcMar>
            <w:vAlign w:val="center"/>
            <w:hideMark/>
          </w:tcPr>
          <w:p w14:paraId="659C6B2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Visual inspection; occasional consultant support</w:t>
            </w:r>
          </w:p>
        </w:tc>
        <w:tc>
          <w:tcPr>
            <w:tcW w:w="0" w:type="auto"/>
            <w:tcMar>
              <w:top w:w="150" w:type="dxa"/>
              <w:left w:w="240" w:type="dxa"/>
              <w:bottom w:w="150" w:type="dxa"/>
              <w:right w:w="0" w:type="dxa"/>
            </w:tcMar>
            <w:vAlign w:val="center"/>
            <w:hideMark/>
          </w:tcPr>
          <w:p w14:paraId="3CC8994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Reactive; limited by staffing (≈15 inspectors nationally)</w:t>
            </w:r>
          </w:p>
        </w:tc>
      </w:tr>
      <w:tr w:rsidR="00C4664F" w:rsidRPr="00C4664F" w14:paraId="58587BF9" w14:textId="77777777" w:rsidTr="00450319">
        <w:tc>
          <w:tcPr>
            <w:tcW w:w="0" w:type="auto"/>
            <w:tcMar>
              <w:top w:w="150" w:type="dxa"/>
              <w:left w:w="0" w:type="dxa"/>
              <w:bottom w:w="150" w:type="dxa"/>
              <w:right w:w="240" w:type="dxa"/>
            </w:tcMar>
            <w:vAlign w:val="center"/>
            <w:hideMark/>
          </w:tcPr>
          <w:p w14:paraId="6B2EC5D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Stack emission testing</w:t>
            </w:r>
          </w:p>
        </w:tc>
        <w:tc>
          <w:tcPr>
            <w:tcW w:w="0" w:type="auto"/>
            <w:tcMar>
              <w:top w:w="150" w:type="dxa"/>
              <w:left w:w="240" w:type="dxa"/>
              <w:bottom w:w="150" w:type="dxa"/>
              <w:right w:w="240" w:type="dxa"/>
            </w:tcMar>
            <w:vAlign w:val="center"/>
            <w:hideMark/>
          </w:tcPr>
          <w:p w14:paraId="7C679BC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Episodic (when complaints escalate)</w:t>
            </w:r>
          </w:p>
        </w:tc>
        <w:tc>
          <w:tcPr>
            <w:tcW w:w="0" w:type="auto"/>
            <w:tcMar>
              <w:top w:w="150" w:type="dxa"/>
              <w:left w:w="240" w:type="dxa"/>
              <w:bottom w:w="150" w:type="dxa"/>
              <w:right w:w="240" w:type="dxa"/>
            </w:tcMar>
            <w:vAlign w:val="center"/>
            <w:hideMark/>
          </w:tcPr>
          <w:p w14:paraId="2DD0B5D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External consultants</w:t>
            </w:r>
          </w:p>
        </w:tc>
        <w:tc>
          <w:tcPr>
            <w:tcW w:w="0" w:type="auto"/>
            <w:tcMar>
              <w:top w:w="150" w:type="dxa"/>
              <w:left w:w="240" w:type="dxa"/>
              <w:bottom w:w="150" w:type="dxa"/>
              <w:right w:w="0" w:type="dxa"/>
            </w:tcMar>
            <w:vAlign w:val="center"/>
            <w:hideMark/>
          </w:tcPr>
          <w:p w14:paraId="3ADD56D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Expensive; not routine; company aware of timing</w:t>
            </w:r>
          </w:p>
        </w:tc>
      </w:tr>
      <w:tr w:rsidR="00C4664F" w:rsidRPr="00C4664F" w14:paraId="752B51B8" w14:textId="77777777" w:rsidTr="00450319">
        <w:tc>
          <w:tcPr>
            <w:tcW w:w="0" w:type="auto"/>
            <w:tcMar>
              <w:top w:w="150" w:type="dxa"/>
              <w:left w:w="0" w:type="dxa"/>
              <w:bottom w:w="150" w:type="dxa"/>
              <w:right w:w="240" w:type="dxa"/>
            </w:tcMar>
            <w:vAlign w:val="center"/>
            <w:hideMark/>
          </w:tcPr>
          <w:p w14:paraId="5598D67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Ambient air quality monitoring</w:t>
            </w:r>
          </w:p>
        </w:tc>
        <w:tc>
          <w:tcPr>
            <w:tcW w:w="0" w:type="auto"/>
            <w:tcMar>
              <w:top w:w="150" w:type="dxa"/>
              <w:left w:w="240" w:type="dxa"/>
              <w:bottom w:w="150" w:type="dxa"/>
              <w:right w:w="240" w:type="dxa"/>
            </w:tcMar>
            <w:vAlign w:val="center"/>
            <w:hideMark/>
          </w:tcPr>
          <w:p w14:paraId="6367CF3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None</w:t>
            </w:r>
          </w:p>
        </w:tc>
        <w:tc>
          <w:tcPr>
            <w:tcW w:w="0" w:type="auto"/>
            <w:tcMar>
              <w:top w:w="150" w:type="dxa"/>
              <w:left w:w="240" w:type="dxa"/>
              <w:bottom w:w="150" w:type="dxa"/>
              <w:right w:w="240" w:type="dxa"/>
            </w:tcMar>
            <w:vAlign w:val="center"/>
            <w:hideMark/>
          </w:tcPr>
          <w:p w14:paraId="20848DB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Not applicable</w:t>
            </w:r>
          </w:p>
        </w:tc>
        <w:tc>
          <w:tcPr>
            <w:tcW w:w="0" w:type="auto"/>
            <w:tcMar>
              <w:top w:w="150" w:type="dxa"/>
              <w:left w:w="240" w:type="dxa"/>
              <w:bottom w:w="150" w:type="dxa"/>
              <w:right w:w="0" w:type="dxa"/>
            </w:tcMar>
            <w:vAlign w:val="center"/>
            <w:hideMark/>
          </w:tcPr>
          <w:p w14:paraId="183CF26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No independent measure of community exposure</w:t>
            </w:r>
          </w:p>
        </w:tc>
      </w:tr>
      <w:tr w:rsidR="00C4664F" w:rsidRPr="00C4664F" w14:paraId="236934B9" w14:textId="77777777" w:rsidTr="00450319">
        <w:tc>
          <w:tcPr>
            <w:tcW w:w="0" w:type="auto"/>
            <w:tcMar>
              <w:top w:w="150" w:type="dxa"/>
              <w:left w:w="0" w:type="dxa"/>
              <w:bottom w:w="150" w:type="dxa"/>
              <w:right w:w="240" w:type="dxa"/>
            </w:tcMar>
            <w:vAlign w:val="center"/>
            <w:hideMark/>
          </w:tcPr>
          <w:p w14:paraId="19EB01E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Community complaint tracking</w:t>
            </w:r>
          </w:p>
        </w:tc>
        <w:tc>
          <w:tcPr>
            <w:tcW w:w="0" w:type="auto"/>
            <w:tcMar>
              <w:top w:w="150" w:type="dxa"/>
              <w:left w:w="240" w:type="dxa"/>
              <w:bottom w:w="150" w:type="dxa"/>
              <w:right w:w="240" w:type="dxa"/>
            </w:tcMar>
            <w:vAlign w:val="center"/>
            <w:hideMark/>
          </w:tcPr>
          <w:p w14:paraId="67B57AC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As received</w:t>
            </w:r>
          </w:p>
        </w:tc>
        <w:tc>
          <w:tcPr>
            <w:tcW w:w="0" w:type="auto"/>
            <w:tcMar>
              <w:top w:w="150" w:type="dxa"/>
              <w:left w:w="240" w:type="dxa"/>
              <w:bottom w:w="150" w:type="dxa"/>
              <w:right w:w="240" w:type="dxa"/>
            </w:tcMar>
            <w:vAlign w:val="center"/>
            <w:hideMark/>
          </w:tcPr>
          <w:p w14:paraId="3834C99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No formal feedback mechanism</w:t>
            </w:r>
          </w:p>
        </w:tc>
        <w:tc>
          <w:tcPr>
            <w:tcW w:w="0" w:type="auto"/>
            <w:tcMar>
              <w:top w:w="150" w:type="dxa"/>
              <w:left w:w="240" w:type="dxa"/>
              <w:bottom w:w="150" w:type="dxa"/>
              <w:right w:w="0" w:type="dxa"/>
            </w:tcMar>
            <w:vAlign w:val="center"/>
            <w:hideMark/>
          </w:tcPr>
          <w:p w14:paraId="5C2570E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Low community trust; under-reporting</w:t>
            </w:r>
          </w:p>
        </w:tc>
      </w:tr>
    </w:tbl>
    <w:p w14:paraId="161858C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Source: Author’s observations based on survey data (2020)</w:t>
      </w:r>
    </w:p>
    <w:p w14:paraId="3F128D4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 ZEMA official described the resource constraints underpinning this pattern:</w:t>
      </w:r>
    </w:p>
    <w:p w14:paraId="45C2C57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"We have perhaps 15 inspectors for the whole country, covering mines, factories, power plants, and waste sites. Companies know that if they are not causing a major visible incident, inspection chances are low."</w:t>
      </w:r>
      <w:r w:rsidRPr="00C4664F">
        <w:rPr>
          <w:rFonts w:ascii="Times New Roman" w:hAnsi="Times New Roman" w:cs="Times New Roman"/>
        </w:rPr>
        <w:t> (Key informant, ZEMA Official B)</w:t>
      </w:r>
    </w:p>
    <w:p w14:paraId="5C1E5CE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lastRenderedPageBreak/>
        <w:t>Regarding ambient monitoring specifically, an official acknowledged a fundamental gap in the regulatory approach:</w:t>
      </w:r>
    </w:p>
    <w:p w14:paraId="13DF726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"ZEMA does not monitor around the plant. We rely on company reports about stack emissions rather than measuring what reaches the community. This is fundamental because community experience differs from stack emissions."</w:t>
      </w:r>
      <w:r w:rsidRPr="00C4664F">
        <w:rPr>
          <w:rFonts w:ascii="Times New Roman" w:hAnsi="Times New Roman" w:cs="Times New Roman"/>
        </w:rPr>
        <w:t> (Key informant, ZEMA Official C)</w:t>
      </w:r>
    </w:p>
    <w:p w14:paraId="7E3564E9"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3.7 Qualitative Themes Explicitly Linked to the Conceptual Framework (Addressing RQ3)</w:t>
      </w:r>
    </w:p>
    <w:p w14:paraId="616D2A0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Thematic analysis revealed four major themes, each corresponding directly to one dimension of the conceptual framework, with evidence of cross-dimensional interactions that explain the persistence of regulatory failure.</w:t>
      </w:r>
    </w:p>
    <w:p w14:paraId="21D92C06" w14:textId="7A24A26C" w:rsidR="0041233D" w:rsidRDefault="00C4664F" w:rsidP="0041233D">
      <w:pPr>
        <w:spacing w:line="360" w:lineRule="auto"/>
        <w:rPr>
          <w:rFonts w:ascii="Times New Roman" w:hAnsi="Times New Roman" w:cs="Times New Roman"/>
        </w:rPr>
      </w:pPr>
      <w:r w:rsidRPr="00C4664F">
        <w:rPr>
          <w:rFonts w:ascii="Times New Roman" w:hAnsi="Times New Roman" w:cs="Times New Roman"/>
          <w:b/>
          <w:bCs/>
        </w:rPr>
        <w:t>Theme 1 – Institutional Capacity: "Understaffed and under-resourced"</w:t>
      </w:r>
    </w:p>
    <w:p w14:paraId="33F1C088" w14:textId="27BD3CFB"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Participants consistently described ZEMA as lacking the human and technical resources necessary for effective oversight. A ZEMA official confirmed: </w:t>
      </w:r>
      <w:r w:rsidRPr="00C4664F">
        <w:rPr>
          <w:rFonts w:ascii="Times New Roman" w:hAnsi="Times New Roman" w:cs="Times New Roman"/>
          <w:i/>
          <w:iCs/>
        </w:rPr>
        <w:t>"We have perhaps 15 inspectors for the whole country"</w:t>
      </w:r>
      <w:r w:rsidRPr="00C4664F">
        <w:rPr>
          <w:rFonts w:ascii="Times New Roman" w:hAnsi="Times New Roman" w:cs="Times New Roman"/>
        </w:rPr>
        <w:t> (Key informant, ZEMA Official B). Community members observed the consequences of this capacity deficit: </w:t>
      </w:r>
      <w:r w:rsidRPr="00C4664F">
        <w:rPr>
          <w:rFonts w:ascii="Times New Roman" w:hAnsi="Times New Roman" w:cs="Times New Roman"/>
          <w:i/>
          <w:iCs/>
        </w:rPr>
        <w:t>"They only come when the factory invites them, not when we call them"</w:t>
      </w:r>
      <w:r w:rsidRPr="00C4664F">
        <w:rPr>
          <w:rFonts w:ascii="Times New Roman" w:hAnsi="Times New Roman" w:cs="Times New Roman"/>
        </w:rPr>
        <w:t> (FGD, Women's Group A, Participant 3). This theme maps directly to the Institutional Capacity dimension. The interaction with Procedural Justice is evident: when inspectors are scarce, community complaints cannot be responded to promptly, reducing trust and future complaint reporting.</w:t>
      </w:r>
    </w:p>
    <w:p w14:paraId="1DF6228F" w14:textId="06989C9F" w:rsidR="0041233D" w:rsidRDefault="00C4664F" w:rsidP="0041233D">
      <w:pPr>
        <w:spacing w:line="360" w:lineRule="auto"/>
        <w:rPr>
          <w:rFonts w:ascii="Times New Roman" w:hAnsi="Times New Roman" w:cs="Times New Roman"/>
        </w:rPr>
      </w:pPr>
      <w:r w:rsidRPr="00C4664F">
        <w:rPr>
          <w:rFonts w:ascii="Times New Roman" w:hAnsi="Times New Roman" w:cs="Times New Roman"/>
          <w:b/>
          <w:bCs/>
        </w:rPr>
        <w:t>Theme 2 – Regulatory Framework: "The factory measures its own dust"</w:t>
      </w:r>
    </w:p>
    <w:p w14:paraId="5C73FC85" w14:textId="3D4F156F"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Participants expressed deep frustration with the self-monitoring provisions of the current regulatory framework. A female participant asked: </w:t>
      </w:r>
      <w:r w:rsidRPr="00C4664F">
        <w:rPr>
          <w:rFonts w:ascii="Times New Roman" w:hAnsi="Times New Roman" w:cs="Times New Roman"/>
          <w:i/>
          <w:iCs/>
        </w:rPr>
        <w:t>"If the factory measures its own dust, why would they tell the truth?"</w:t>
      </w:r>
      <w:r w:rsidRPr="00C4664F">
        <w:rPr>
          <w:rFonts w:ascii="Times New Roman" w:hAnsi="Times New Roman" w:cs="Times New Roman"/>
        </w:rPr>
        <w:t> (FGD, Women's Group B, Participant 2). This theme maps to the Regulatory Framework dimension, specifically the absence of independent verification and continuous monitoring. The interaction with Political Economy is evident: self-reporting creates opportunities for regulatory capture, where industry interests influence the information available to regulators.</w:t>
      </w:r>
    </w:p>
    <w:p w14:paraId="7C14996E" w14:textId="77777777" w:rsidR="0041233D" w:rsidRDefault="00C4664F" w:rsidP="0041233D">
      <w:pPr>
        <w:spacing w:line="360" w:lineRule="auto"/>
        <w:rPr>
          <w:rFonts w:ascii="Times New Roman" w:hAnsi="Times New Roman" w:cs="Times New Roman"/>
          <w:b/>
          <w:bCs/>
        </w:rPr>
      </w:pPr>
      <w:r w:rsidRPr="00C4664F">
        <w:rPr>
          <w:rFonts w:ascii="Times New Roman" w:hAnsi="Times New Roman" w:cs="Times New Roman"/>
          <w:b/>
          <w:bCs/>
        </w:rPr>
        <w:t>Theme 3 – Procedural Justice: "I had no transport money"</w:t>
      </w:r>
    </w:p>
    <w:p w14:paraId="68AB4F5C" w14:textId="069ACF6F" w:rsidR="00C4664F" w:rsidRPr="00C4664F" w:rsidRDefault="00C4664F" w:rsidP="0041233D">
      <w:pPr>
        <w:spacing w:line="360" w:lineRule="auto"/>
        <w:jc w:val="both"/>
        <w:rPr>
          <w:rFonts w:ascii="Times New Roman" w:hAnsi="Times New Roman" w:cs="Times New Roman"/>
        </w:rPr>
      </w:pPr>
      <w:r w:rsidRPr="00C4664F">
        <w:rPr>
          <w:rFonts w:ascii="Times New Roman" w:hAnsi="Times New Roman" w:cs="Times New Roman"/>
        </w:rPr>
        <w:lastRenderedPageBreak/>
        <w:t>Geographic, literacy, and cost barriers dominated this theme. A vendor stated: </w:t>
      </w:r>
      <w:r w:rsidRPr="00C4664F">
        <w:rPr>
          <w:rFonts w:ascii="Times New Roman" w:hAnsi="Times New Roman" w:cs="Times New Roman"/>
          <w:i/>
          <w:iCs/>
        </w:rPr>
        <w:t>"I asked how I, a vegetable seller, could go to Lusaka. I had no transport money"</w:t>
      </w:r>
      <w:r w:rsidRPr="00C4664F">
        <w:rPr>
          <w:rFonts w:ascii="Times New Roman" w:hAnsi="Times New Roman" w:cs="Times New Roman"/>
        </w:rPr>
        <w:t> (FGD, Women's Group B, Participant 4). This theme maps to the Procedural Justice dimension, revealing inaccessible complaint mechanisms (ZEMA's head office is in Lusaka, requiring transport costs vendors cannot afford) and epistemic injustice – the systematic devaluation of local knowledge about pollution impacts. The interaction with Institutional Capacity is evident: absence of local ZEMA offices or mobile complaint systems forces communities to bear the costs of access.</w:t>
      </w:r>
    </w:p>
    <w:p w14:paraId="38FC4702" w14:textId="347FA3BA" w:rsidR="0041233D" w:rsidRDefault="00C4664F" w:rsidP="0041233D">
      <w:pPr>
        <w:spacing w:line="360" w:lineRule="auto"/>
        <w:rPr>
          <w:rFonts w:ascii="Times New Roman" w:hAnsi="Times New Roman" w:cs="Times New Roman"/>
        </w:rPr>
      </w:pPr>
      <w:r w:rsidRPr="00C4664F">
        <w:rPr>
          <w:rFonts w:ascii="Times New Roman" w:hAnsi="Times New Roman" w:cs="Times New Roman"/>
          <w:b/>
          <w:bCs/>
        </w:rPr>
        <w:t>Theme 4 – Political Economy: "The factory is too big to regulate"</w:t>
      </w:r>
    </w:p>
    <w:p w14:paraId="0F105C7C" w14:textId="42685E73"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Fatalistic beliefs about industry power were widespread: </w:t>
      </w:r>
      <w:r w:rsidRPr="00C4664F">
        <w:rPr>
          <w:rFonts w:ascii="Times New Roman" w:hAnsi="Times New Roman" w:cs="Times New Roman"/>
          <w:i/>
          <w:iCs/>
        </w:rPr>
        <w:t>"The factory is too big to regulate because it brings money"</w:t>
      </w:r>
      <w:r w:rsidRPr="00C4664F">
        <w:rPr>
          <w:rFonts w:ascii="Times New Roman" w:hAnsi="Times New Roman" w:cs="Times New Roman"/>
        </w:rPr>
        <w:t> (FGD, Men's Group B, Participant 3). This theme maps to the Political Economy dimension, indicating perceived regulatory capture and power asymmetries that inhibit enforcement. The interaction with all other dimensions is evident: the perception that industry is too powerful to regulate reduces community trust (Procedural Justice), reduces pressure for increased inspection staffing (Institutional Capacity), and undermines demands for regulatory framework reform.</w:t>
      </w:r>
    </w:p>
    <w:p w14:paraId="659B3FEC" w14:textId="0FF02405" w:rsidR="0041233D" w:rsidRDefault="00C4664F" w:rsidP="0041233D">
      <w:pPr>
        <w:spacing w:line="360" w:lineRule="auto"/>
        <w:rPr>
          <w:rFonts w:ascii="Times New Roman" w:hAnsi="Times New Roman" w:cs="Times New Roman"/>
        </w:rPr>
      </w:pPr>
      <w:r w:rsidRPr="00C4664F">
        <w:rPr>
          <w:rFonts w:ascii="Times New Roman" w:hAnsi="Times New Roman" w:cs="Times New Roman"/>
          <w:b/>
          <w:bCs/>
        </w:rPr>
        <w:t>Cross-dimensional interaction and the complaint gap</w:t>
      </w:r>
    </w:p>
    <w:p w14:paraId="01B8AF48" w14:textId="175CFE7A" w:rsidR="00C4664F" w:rsidRPr="00C4664F" w:rsidRDefault="00C4664F" w:rsidP="0041233D">
      <w:pPr>
        <w:spacing w:line="360" w:lineRule="auto"/>
        <w:jc w:val="both"/>
        <w:rPr>
          <w:rFonts w:ascii="Times New Roman" w:hAnsi="Times New Roman" w:cs="Times New Roman"/>
        </w:rPr>
      </w:pPr>
      <w:r w:rsidRPr="00C4664F">
        <w:rPr>
          <w:rFonts w:ascii="Times New Roman" w:hAnsi="Times New Roman" w:cs="Times New Roman"/>
        </w:rPr>
        <w:t>The complaint gap (81.6% daily impacts versus 9.2% ever complained) emerged not from a single cause but from the interaction of all four dimensions. Weak Institutional Capacity (no follow-up on complaints) means complaining is futile. Flawed Regulatory Framework (self-reporting by industry) means even successful complaints rely on industry-generated data. Procedural Injustice (inaccessible mechanisms, transport costs, literacy barriers) means complaining is costly. Political Economy (fear of retaliation) means complaining is risky. Together, these interacting dimensions produce rational withdrawal from regulatory processes – a finding that directly addresses RQ3 by explaining observed patterns of regulatory failure.</w:t>
      </w:r>
    </w:p>
    <w:p w14:paraId="25291368"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3.8 Triangulation and Summary</w:t>
      </w:r>
    </w:p>
    <w:p w14:paraId="33DA43B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Triangulation revealed convergence on most major findings. Survey data, focus group discussions, key informant interviews, and document review consistently pointed to low trust, rare enforcement, and significant economic impacts. Divergence emerged around monitoring adequacy: ZEMA officials </w:t>
      </w:r>
      <w:proofErr w:type="spellStart"/>
      <w:r w:rsidRPr="00C4664F">
        <w:rPr>
          <w:rFonts w:ascii="Times New Roman" w:hAnsi="Times New Roman" w:cs="Times New Roman"/>
        </w:rPr>
        <w:t>characterising</w:t>
      </w:r>
      <w:proofErr w:type="spellEnd"/>
      <w:r w:rsidRPr="00C4664F">
        <w:rPr>
          <w:rFonts w:ascii="Times New Roman" w:hAnsi="Times New Roman" w:cs="Times New Roman"/>
        </w:rPr>
        <w:t xml:space="preserve"> the system as "adequate given resources" while </w:t>
      </w:r>
      <w:r w:rsidRPr="00C4664F">
        <w:rPr>
          <w:rFonts w:ascii="Times New Roman" w:hAnsi="Times New Roman" w:cs="Times New Roman"/>
        </w:rPr>
        <w:lastRenderedPageBreak/>
        <w:t xml:space="preserve">community members described it as "completely ineffective." This divergence itself is informative, revealing different standards of adequacy – procedural (paper compliance) versus substantive (actual pollution reduction). Table 5 </w:t>
      </w:r>
      <w:proofErr w:type="spellStart"/>
      <w:r w:rsidRPr="00C4664F">
        <w:rPr>
          <w:rFonts w:ascii="Times New Roman" w:hAnsi="Times New Roman" w:cs="Times New Roman"/>
        </w:rPr>
        <w:t>summarises</w:t>
      </w:r>
      <w:proofErr w:type="spellEnd"/>
      <w:r w:rsidRPr="00C4664F">
        <w:rPr>
          <w:rFonts w:ascii="Times New Roman" w:hAnsi="Times New Roman" w:cs="Times New Roman"/>
        </w:rPr>
        <w:t xml:space="preserve"> key quantitative findings.</w:t>
      </w:r>
    </w:p>
    <w:p w14:paraId="57659B0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Table 5: Summary of Key Quantitative Findings with Confidence Intervals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3"/>
        <w:gridCol w:w="900"/>
        <w:gridCol w:w="1440"/>
        <w:gridCol w:w="600"/>
      </w:tblGrid>
      <w:tr w:rsidR="00C4664F" w:rsidRPr="00C4664F" w14:paraId="6F9D2D04" w14:textId="77777777" w:rsidTr="0041233D">
        <w:trPr>
          <w:tblHeader/>
        </w:trPr>
        <w:tc>
          <w:tcPr>
            <w:tcW w:w="0" w:type="auto"/>
            <w:tcMar>
              <w:top w:w="150" w:type="dxa"/>
              <w:left w:w="0" w:type="dxa"/>
              <w:bottom w:w="150" w:type="dxa"/>
              <w:right w:w="240" w:type="dxa"/>
            </w:tcMar>
            <w:vAlign w:val="center"/>
            <w:hideMark/>
          </w:tcPr>
          <w:p w14:paraId="6FF92E9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Indicator</w:t>
            </w:r>
          </w:p>
        </w:tc>
        <w:tc>
          <w:tcPr>
            <w:tcW w:w="0" w:type="auto"/>
            <w:tcMar>
              <w:top w:w="150" w:type="dxa"/>
              <w:left w:w="240" w:type="dxa"/>
              <w:bottom w:w="150" w:type="dxa"/>
              <w:right w:w="240" w:type="dxa"/>
            </w:tcMar>
            <w:vAlign w:val="center"/>
            <w:hideMark/>
          </w:tcPr>
          <w:p w14:paraId="457C2E0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w:t>
            </w:r>
          </w:p>
        </w:tc>
        <w:tc>
          <w:tcPr>
            <w:tcW w:w="0" w:type="auto"/>
            <w:tcMar>
              <w:top w:w="150" w:type="dxa"/>
              <w:left w:w="240" w:type="dxa"/>
              <w:bottom w:w="150" w:type="dxa"/>
              <w:right w:w="240" w:type="dxa"/>
            </w:tcMar>
            <w:vAlign w:val="center"/>
            <w:hideMark/>
          </w:tcPr>
          <w:p w14:paraId="47FF2CD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95% CI</w:t>
            </w:r>
          </w:p>
        </w:tc>
        <w:tc>
          <w:tcPr>
            <w:tcW w:w="0" w:type="auto"/>
            <w:tcMar>
              <w:top w:w="150" w:type="dxa"/>
              <w:left w:w="240" w:type="dxa"/>
              <w:bottom w:w="150" w:type="dxa"/>
              <w:right w:w="240" w:type="dxa"/>
            </w:tcMar>
            <w:vAlign w:val="center"/>
            <w:hideMark/>
          </w:tcPr>
          <w:p w14:paraId="236833E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w:t>
            </w:r>
          </w:p>
        </w:tc>
      </w:tr>
      <w:tr w:rsidR="00C4664F" w:rsidRPr="00C4664F" w14:paraId="7369FD3A" w14:textId="77777777" w:rsidTr="0041233D">
        <w:tc>
          <w:tcPr>
            <w:tcW w:w="0" w:type="auto"/>
            <w:tcMar>
              <w:top w:w="150" w:type="dxa"/>
              <w:left w:w="0" w:type="dxa"/>
              <w:bottom w:w="150" w:type="dxa"/>
              <w:right w:w="240" w:type="dxa"/>
            </w:tcMar>
            <w:vAlign w:val="center"/>
            <w:hideMark/>
          </w:tcPr>
          <w:p w14:paraId="7BD4E07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Vendor awareness of ZEMA</w:t>
            </w:r>
          </w:p>
        </w:tc>
        <w:tc>
          <w:tcPr>
            <w:tcW w:w="0" w:type="auto"/>
            <w:tcMar>
              <w:top w:w="150" w:type="dxa"/>
              <w:left w:w="240" w:type="dxa"/>
              <w:bottom w:w="150" w:type="dxa"/>
              <w:right w:w="240" w:type="dxa"/>
            </w:tcMar>
            <w:vAlign w:val="center"/>
            <w:hideMark/>
          </w:tcPr>
          <w:p w14:paraId="30B3682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34.5</w:t>
            </w:r>
          </w:p>
        </w:tc>
        <w:tc>
          <w:tcPr>
            <w:tcW w:w="0" w:type="auto"/>
            <w:tcMar>
              <w:top w:w="150" w:type="dxa"/>
              <w:left w:w="240" w:type="dxa"/>
              <w:bottom w:w="150" w:type="dxa"/>
              <w:right w:w="240" w:type="dxa"/>
            </w:tcMar>
            <w:vAlign w:val="center"/>
            <w:hideMark/>
          </w:tcPr>
          <w:p w14:paraId="6DAE976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25.0–45.1</w:t>
            </w:r>
          </w:p>
        </w:tc>
        <w:tc>
          <w:tcPr>
            <w:tcW w:w="0" w:type="auto"/>
            <w:tcMar>
              <w:top w:w="150" w:type="dxa"/>
              <w:left w:w="240" w:type="dxa"/>
              <w:bottom w:w="150" w:type="dxa"/>
              <w:right w:w="0" w:type="dxa"/>
            </w:tcMar>
            <w:vAlign w:val="center"/>
            <w:hideMark/>
          </w:tcPr>
          <w:p w14:paraId="5DF3F77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30</w:t>
            </w:r>
          </w:p>
        </w:tc>
      </w:tr>
      <w:tr w:rsidR="00C4664F" w:rsidRPr="00C4664F" w14:paraId="41364C53" w14:textId="77777777" w:rsidTr="0041233D">
        <w:tc>
          <w:tcPr>
            <w:tcW w:w="0" w:type="auto"/>
            <w:tcMar>
              <w:top w:w="150" w:type="dxa"/>
              <w:left w:w="0" w:type="dxa"/>
              <w:bottom w:w="150" w:type="dxa"/>
              <w:right w:w="240" w:type="dxa"/>
            </w:tcMar>
            <w:vAlign w:val="center"/>
            <w:hideMark/>
          </w:tcPr>
          <w:p w14:paraId="4424883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Direct contact with ZEMA</w:t>
            </w:r>
          </w:p>
        </w:tc>
        <w:tc>
          <w:tcPr>
            <w:tcW w:w="0" w:type="auto"/>
            <w:tcMar>
              <w:top w:w="150" w:type="dxa"/>
              <w:left w:w="240" w:type="dxa"/>
              <w:bottom w:w="150" w:type="dxa"/>
              <w:right w:w="240" w:type="dxa"/>
            </w:tcMar>
            <w:vAlign w:val="center"/>
            <w:hideMark/>
          </w:tcPr>
          <w:p w14:paraId="488A806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9.2</w:t>
            </w:r>
          </w:p>
        </w:tc>
        <w:tc>
          <w:tcPr>
            <w:tcW w:w="0" w:type="auto"/>
            <w:tcMar>
              <w:top w:w="150" w:type="dxa"/>
              <w:left w:w="240" w:type="dxa"/>
              <w:bottom w:w="150" w:type="dxa"/>
              <w:right w:w="240" w:type="dxa"/>
            </w:tcMar>
            <w:vAlign w:val="center"/>
            <w:hideMark/>
          </w:tcPr>
          <w:p w14:paraId="046D6BE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4.1–17.2</w:t>
            </w:r>
          </w:p>
        </w:tc>
        <w:tc>
          <w:tcPr>
            <w:tcW w:w="0" w:type="auto"/>
            <w:tcMar>
              <w:top w:w="150" w:type="dxa"/>
              <w:left w:w="240" w:type="dxa"/>
              <w:bottom w:w="150" w:type="dxa"/>
              <w:right w:w="0" w:type="dxa"/>
            </w:tcMar>
            <w:vAlign w:val="center"/>
            <w:hideMark/>
          </w:tcPr>
          <w:p w14:paraId="74D241E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8</w:t>
            </w:r>
          </w:p>
        </w:tc>
      </w:tr>
      <w:tr w:rsidR="00C4664F" w:rsidRPr="00C4664F" w14:paraId="09E785E2" w14:textId="77777777" w:rsidTr="0041233D">
        <w:tc>
          <w:tcPr>
            <w:tcW w:w="0" w:type="auto"/>
            <w:tcMar>
              <w:top w:w="150" w:type="dxa"/>
              <w:left w:w="0" w:type="dxa"/>
              <w:bottom w:w="150" w:type="dxa"/>
              <w:right w:w="240" w:type="dxa"/>
            </w:tcMar>
            <w:vAlign w:val="center"/>
            <w:hideMark/>
          </w:tcPr>
          <w:p w14:paraId="5B1AE21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Low/very low trust in ZEMA</w:t>
            </w:r>
          </w:p>
        </w:tc>
        <w:tc>
          <w:tcPr>
            <w:tcW w:w="0" w:type="auto"/>
            <w:tcMar>
              <w:top w:w="150" w:type="dxa"/>
              <w:left w:w="240" w:type="dxa"/>
              <w:bottom w:w="150" w:type="dxa"/>
              <w:right w:w="240" w:type="dxa"/>
            </w:tcMar>
            <w:vAlign w:val="center"/>
            <w:hideMark/>
          </w:tcPr>
          <w:p w14:paraId="316099A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70.1</w:t>
            </w:r>
          </w:p>
        </w:tc>
        <w:tc>
          <w:tcPr>
            <w:tcW w:w="0" w:type="auto"/>
            <w:tcMar>
              <w:top w:w="150" w:type="dxa"/>
              <w:left w:w="240" w:type="dxa"/>
              <w:bottom w:w="150" w:type="dxa"/>
              <w:right w:w="240" w:type="dxa"/>
            </w:tcMar>
            <w:vAlign w:val="center"/>
            <w:hideMark/>
          </w:tcPr>
          <w:p w14:paraId="61F424F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60.0–78.9</w:t>
            </w:r>
          </w:p>
        </w:tc>
        <w:tc>
          <w:tcPr>
            <w:tcW w:w="0" w:type="auto"/>
            <w:tcMar>
              <w:top w:w="150" w:type="dxa"/>
              <w:left w:w="240" w:type="dxa"/>
              <w:bottom w:w="150" w:type="dxa"/>
              <w:right w:w="0" w:type="dxa"/>
            </w:tcMar>
            <w:vAlign w:val="center"/>
            <w:hideMark/>
          </w:tcPr>
          <w:p w14:paraId="6E3BDF0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61</w:t>
            </w:r>
          </w:p>
        </w:tc>
      </w:tr>
      <w:tr w:rsidR="00C4664F" w:rsidRPr="00C4664F" w14:paraId="4F34C059" w14:textId="77777777" w:rsidTr="0041233D">
        <w:tc>
          <w:tcPr>
            <w:tcW w:w="0" w:type="auto"/>
            <w:tcMar>
              <w:top w:w="150" w:type="dxa"/>
              <w:left w:w="0" w:type="dxa"/>
              <w:bottom w:w="150" w:type="dxa"/>
              <w:right w:w="240" w:type="dxa"/>
            </w:tcMar>
            <w:vAlign w:val="center"/>
            <w:hideMark/>
          </w:tcPr>
          <w:p w14:paraId="1207D21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Daily dust settlement on produce</w:t>
            </w:r>
          </w:p>
        </w:tc>
        <w:tc>
          <w:tcPr>
            <w:tcW w:w="0" w:type="auto"/>
            <w:tcMar>
              <w:top w:w="150" w:type="dxa"/>
              <w:left w:w="240" w:type="dxa"/>
              <w:bottom w:w="150" w:type="dxa"/>
              <w:right w:w="240" w:type="dxa"/>
            </w:tcMar>
            <w:vAlign w:val="center"/>
            <w:hideMark/>
          </w:tcPr>
          <w:p w14:paraId="5113B5E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81.6</w:t>
            </w:r>
          </w:p>
        </w:tc>
        <w:tc>
          <w:tcPr>
            <w:tcW w:w="0" w:type="auto"/>
            <w:tcMar>
              <w:top w:w="150" w:type="dxa"/>
              <w:left w:w="240" w:type="dxa"/>
              <w:bottom w:w="150" w:type="dxa"/>
              <w:right w:w="240" w:type="dxa"/>
            </w:tcMar>
            <w:vAlign w:val="center"/>
            <w:hideMark/>
          </w:tcPr>
          <w:p w14:paraId="7C35B72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72.0–89.0</w:t>
            </w:r>
          </w:p>
        </w:tc>
        <w:tc>
          <w:tcPr>
            <w:tcW w:w="0" w:type="auto"/>
            <w:tcMar>
              <w:top w:w="150" w:type="dxa"/>
              <w:left w:w="240" w:type="dxa"/>
              <w:bottom w:w="150" w:type="dxa"/>
              <w:right w:w="0" w:type="dxa"/>
            </w:tcMar>
            <w:vAlign w:val="center"/>
            <w:hideMark/>
          </w:tcPr>
          <w:p w14:paraId="33BF5BE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71</w:t>
            </w:r>
          </w:p>
        </w:tc>
      </w:tr>
      <w:tr w:rsidR="00C4664F" w:rsidRPr="00C4664F" w14:paraId="78F81E59" w14:textId="77777777" w:rsidTr="0041233D">
        <w:tc>
          <w:tcPr>
            <w:tcW w:w="0" w:type="auto"/>
            <w:tcMar>
              <w:top w:w="150" w:type="dxa"/>
              <w:left w:w="0" w:type="dxa"/>
              <w:bottom w:w="150" w:type="dxa"/>
              <w:right w:w="240" w:type="dxa"/>
            </w:tcMar>
            <w:vAlign w:val="center"/>
            <w:hideMark/>
          </w:tcPr>
          <w:p w14:paraId="35C3E89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Lost sales due to dust</w:t>
            </w:r>
          </w:p>
        </w:tc>
        <w:tc>
          <w:tcPr>
            <w:tcW w:w="0" w:type="auto"/>
            <w:tcMar>
              <w:top w:w="150" w:type="dxa"/>
              <w:left w:w="240" w:type="dxa"/>
              <w:bottom w:w="150" w:type="dxa"/>
              <w:right w:w="240" w:type="dxa"/>
            </w:tcMar>
            <w:vAlign w:val="center"/>
            <w:hideMark/>
          </w:tcPr>
          <w:p w14:paraId="37BF46B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67.8</w:t>
            </w:r>
          </w:p>
        </w:tc>
        <w:tc>
          <w:tcPr>
            <w:tcW w:w="0" w:type="auto"/>
            <w:tcMar>
              <w:top w:w="150" w:type="dxa"/>
              <w:left w:w="240" w:type="dxa"/>
              <w:bottom w:w="150" w:type="dxa"/>
              <w:right w:w="240" w:type="dxa"/>
            </w:tcMar>
            <w:vAlign w:val="center"/>
            <w:hideMark/>
          </w:tcPr>
          <w:p w14:paraId="4008D47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57.4–77.1</w:t>
            </w:r>
          </w:p>
        </w:tc>
        <w:tc>
          <w:tcPr>
            <w:tcW w:w="0" w:type="auto"/>
            <w:tcMar>
              <w:top w:w="150" w:type="dxa"/>
              <w:left w:w="240" w:type="dxa"/>
              <w:bottom w:w="150" w:type="dxa"/>
              <w:right w:w="0" w:type="dxa"/>
            </w:tcMar>
            <w:vAlign w:val="center"/>
            <w:hideMark/>
          </w:tcPr>
          <w:p w14:paraId="2DCBA7F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59</w:t>
            </w:r>
          </w:p>
        </w:tc>
      </w:tr>
      <w:tr w:rsidR="00C4664F" w:rsidRPr="00C4664F" w14:paraId="61DD5E58" w14:textId="77777777" w:rsidTr="0041233D">
        <w:tc>
          <w:tcPr>
            <w:tcW w:w="0" w:type="auto"/>
            <w:tcMar>
              <w:top w:w="150" w:type="dxa"/>
              <w:left w:w="0" w:type="dxa"/>
              <w:bottom w:w="150" w:type="dxa"/>
              <w:right w:w="240" w:type="dxa"/>
            </w:tcMar>
            <w:vAlign w:val="center"/>
            <w:hideMark/>
          </w:tcPr>
          <w:p w14:paraId="61B1383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Reduced prices due to dust</w:t>
            </w:r>
          </w:p>
        </w:tc>
        <w:tc>
          <w:tcPr>
            <w:tcW w:w="0" w:type="auto"/>
            <w:tcMar>
              <w:top w:w="150" w:type="dxa"/>
              <w:left w:w="240" w:type="dxa"/>
              <w:bottom w:w="150" w:type="dxa"/>
              <w:right w:w="240" w:type="dxa"/>
            </w:tcMar>
            <w:vAlign w:val="center"/>
            <w:hideMark/>
          </w:tcPr>
          <w:p w14:paraId="66C56D0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48.3</w:t>
            </w:r>
          </w:p>
        </w:tc>
        <w:tc>
          <w:tcPr>
            <w:tcW w:w="0" w:type="auto"/>
            <w:tcMar>
              <w:top w:w="150" w:type="dxa"/>
              <w:left w:w="240" w:type="dxa"/>
              <w:bottom w:w="150" w:type="dxa"/>
              <w:right w:w="240" w:type="dxa"/>
            </w:tcMar>
            <w:vAlign w:val="center"/>
            <w:hideMark/>
          </w:tcPr>
          <w:p w14:paraId="3EF41BA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37.9–58.7</w:t>
            </w:r>
          </w:p>
        </w:tc>
        <w:tc>
          <w:tcPr>
            <w:tcW w:w="0" w:type="auto"/>
            <w:tcMar>
              <w:top w:w="150" w:type="dxa"/>
              <w:left w:w="240" w:type="dxa"/>
              <w:bottom w:w="150" w:type="dxa"/>
              <w:right w:w="0" w:type="dxa"/>
            </w:tcMar>
            <w:vAlign w:val="center"/>
            <w:hideMark/>
          </w:tcPr>
          <w:p w14:paraId="35D5B06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42</w:t>
            </w:r>
          </w:p>
        </w:tc>
      </w:tr>
      <w:tr w:rsidR="00C4664F" w:rsidRPr="00C4664F" w14:paraId="17CDCDCC" w14:textId="77777777" w:rsidTr="0041233D">
        <w:tc>
          <w:tcPr>
            <w:tcW w:w="0" w:type="auto"/>
            <w:tcMar>
              <w:top w:w="150" w:type="dxa"/>
              <w:left w:w="0" w:type="dxa"/>
              <w:bottom w:w="150" w:type="dxa"/>
              <w:right w:w="240" w:type="dxa"/>
            </w:tcMar>
            <w:vAlign w:val="center"/>
            <w:hideMark/>
          </w:tcPr>
          <w:p w14:paraId="04794AA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Disposal of unsalable produce</w:t>
            </w:r>
          </w:p>
        </w:tc>
        <w:tc>
          <w:tcPr>
            <w:tcW w:w="0" w:type="auto"/>
            <w:tcMar>
              <w:top w:w="150" w:type="dxa"/>
              <w:left w:w="240" w:type="dxa"/>
              <w:bottom w:w="150" w:type="dxa"/>
              <w:right w:w="240" w:type="dxa"/>
            </w:tcMar>
            <w:vAlign w:val="center"/>
            <w:hideMark/>
          </w:tcPr>
          <w:p w14:paraId="3C30FB9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35.6</w:t>
            </w:r>
          </w:p>
        </w:tc>
        <w:tc>
          <w:tcPr>
            <w:tcW w:w="0" w:type="auto"/>
            <w:tcMar>
              <w:top w:w="150" w:type="dxa"/>
              <w:left w:w="240" w:type="dxa"/>
              <w:bottom w:w="150" w:type="dxa"/>
              <w:right w:w="240" w:type="dxa"/>
            </w:tcMar>
            <w:vAlign w:val="center"/>
            <w:hideMark/>
          </w:tcPr>
          <w:p w14:paraId="3E2FFE4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26.0–46.0</w:t>
            </w:r>
          </w:p>
        </w:tc>
        <w:tc>
          <w:tcPr>
            <w:tcW w:w="0" w:type="auto"/>
            <w:tcMar>
              <w:top w:w="150" w:type="dxa"/>
              <w:left w:w="240" w:type="dxa"/>
              <w:bottom w:w="150" w:type="dxa"/>
              <w:right w:w="0" w:type="dxa"/>
            </w:tcMar>
            <w:vAlign w:val="center"/>
            <w:hideMark/>
          </w:tcPr>
          <w:p w14:paraId="523A0B3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31</w:t>
            </w:r>
          </w:p>
        </w:tc>
      </w:tr>
    </w:tbl>
    <w:p w14:paraId="4D5CCC2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Source: Author’s computations based on survey data (2020)</w:t>
      </w:r>
    </w:p>
    <w:p w14:paraId="240DCCDC"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4. DISCUSSION</w:t>
      </w:r>
    </w:p>
    <w:p w14:paraId="4078D96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The discussion is </w:t>
      </w:r>
      <w:proofErr w:type="spellStart"/>
      <w:r w:rsidRPr="00C4664F">
        <w:rPr>
          <w:rFonts w:ascii="Times New Roman" w:hAnsi="Times New Roman" w:cs="Times New Roman"/>
        </w:rPr>
        <w:t>organised</w:t>
      </w:r>
      <w:proofErr w:type="spellEnd"/>
      <w:r w:rsidRPr="00C4664F">
        <w:rPr>
          <w:rFonts w:ascii="Times New Roman" w:hAnsi="Times New Roman" w:cs="Times New Roman"/>
        </w:rPr>
        <w:t xml:space="preserve"> to first present empirical findings, then interpretive analysis linked explicitly to the four conceptual framework dimensions, and finally policy implications. This structure ensures clear separation between what was found, what it means theoretically, and what should be done practically.</w:t>
      </w:r>
    </w:p>
    <w:p w14:paraId="773846AF"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4.1 Empirical Finding: The Implementation Gap</w:t>
      </w:r>
    </w:p>
    <w:p w14:paraId="44FCAFB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lastRenderedPageBreak/>
        <w:t>The findings reveal a fundamental disconnect between ZEMA's legal mandate and operational effectiveness. Empirically, the study documents that staffing of approximately 15 inspectors nationally results in each regulated facility receiving at most one or two inspections annually. Document review confirms that the 2009 intervention was not sustained, with no comparable enforcement actions in the following decade. Community surveys confirm that 70.1% of vendors express low trust in ZEMA, while qualitative data reveal that complaints almost never result in observable pollution reduction.</w:t>
      </w:r>
    </w:p>
    <w:p w14:paraId="2CEE015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Interpretive analysis:</w:t>
      </w:r>
      <w:r w:rsidRPr="00C4664F">
        <w:rPr>
          <w:rFonts w:ascii="Times New Roman" w:hAnsi="Times New Roman" w:cs="Times New Roman"/>
        </w:rPr>
        <w:t> This implementation gap reflects patterns documented across sub-Saharan Africa (1) and is best understood through Braithwaite's (16) concept of regulatory ritualism. The plant submits quarterly reports and ZEMA reviews them, but without independent verification, the process becomes a ritual of compliance rather than substantive pollution control. The interaction between Institutional Capacity (insufficient inspectors) and Regulatory Framework (self-reporting without verification) produces a system that generates documents but not environmental improvement.</w:t>
      </w:r>
    </w:p>
    <w:p w14:paraId="41B5EB67"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Policy implication:</w:t>
      </w:r>
      <w:r w:rsidRPr="00C4664F">
        <w:rPr>
          <w:rFonts w:ascii="Times New Roman" w:hAnsi="Times New Roman" w:cs="Times New Roman"/>
        </w:rPr>
        <w:t> Without increased staffing and independent monitoring, violations will persist undetected. However, staffing increases alone are insufficient without accompanying changes to the Regulatory Framework that mandate independent verification.</w:t>
      </w:r>
    </w:p>
    <w:p w14:paraId="7B1499DE"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4.2 Empirical Finding: Community Trust and Procedural Justice Failure</w:t>
      </w:r>
    </w:p>
    <w:p w14:paraId="605FD67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Empirically, 70.1% of vendors expressed low trust in ZEMA, compared with only 20.1% low trust in traditional leaders. The complaint gap – 67.8% lost sales versus 9.2% ever complained – demonstrates that communities are not apathetic but rather have rationally withdrawn from a process they perceive as unresponsive.</w:t>
      </w:r>
    </w:p>
    <w:p w14:paraId="57B3F7D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Interpretive analysis:</w:t>
      </w:r>
      <w:r w:rsidRPr="00C4664F">
        <w:rPr>
          <w:rFonts w:ascii="Times New Roman" w:hAnsi="Times New Roman" w:cs="Times New Roman"/>
        </w:rPr>
        <w:t> </w:t>
      </w:r>
      <w:proofErr w:type="spellStart"/>
      <w:r w:rsidRPr="00C4664F">
        <w:rPr>
          <w:rFonts w:ascii="Times New Roman" w:hAnsi="Times New Roman" w:cs="Times New Roman"/>
        </w:rPr>
        <w:t>Analysing</w:t>
      </w:r>
      <w:proofErr w:type="spellEnd"/>
      <w:r w:rsidRPr="00C4664F">
        <w:rPr>
          <w:rFonts w:ascii="Times New Roman" w:hAnsi="Times New Roman" w:cs="Times New Roman"/>
        </w:rPr>
        <w:t xml:space="preserve"> through the Procedural Justice dimension of the conceptual framework, trust deficits emerged across three sub-dimensions. First, </w:t>
      </w:r>
      <w:r w:rsidRPr="00C4664F">
        <w:rPr>
          <w:rFonts w:ascii="Times New Roman" w:hAnsi="Times New Roman" w:cs="Times New Roman"/>
          <w:b/>
          <w:bCs/>
        </w:rPr>
        <w:t>transparency deficits</w:t>
      </w:r>
      <w:r w:rsidRPr="00C4664F">
        <w:rPr>
          <w:rFonts w:ascii="Times New Roman" w:hAnsi="Times New Roman" w:cs="Times New Roman"/>
        </w:rPr>
        <w:t> were evident: no community access to monitoring data, no information about inspection findings, no feedback on complaints. As one participant stated: </w:t>
      </w:r>
      <w:r w:rsidRPr="00C4664F">
        <w:rPr>
          <w:rFonts w:ascii="Times New Roman" w:hAnsi="Times New Roman" w:cs="Times New Roman"/>
          <w:i/>
          <w:iCs/>
        </w:rPr>
        <w:t>"They write a report and leave. Nothing changes."</w:t>
      </w:r>
      <w:r w:rsidRPr="00C4664F">
        <w:rPr>
          <w:rFonts w:ascii="Times New Roman" w:hAnsi="Times New Roman" w:cs="Times New Roman"/>
        </w:rPr>
        <w:t> Second, </w:t>
      </w:r>
      <w:r w:rsidRPr="00C4664F">
        <w:rPr>
          <w:rFonts w:ascii="Times New Roman" w:hAnsi="Times New Roman" w:cs="Times New Roman"/>
          <w:b/>
          <w:bCs/>
        </w:rPr>
        <w:t>procedural fairness deficits</w:t>
      </w:r>
      <w:r w:rsidRPr="00C4664F">
        <w:rPr>
          <w:rFonts w:ascii="Times New Roman" w:hAnsi="Times New Roman" w:cs="Times New Roman"/>
        </w:rPr>
        <w:t> were evident: no community engagement in inspections, geographically distant complaint mechanisms requiring transport costs vendors cannot afford, literacy barriers, and failure to respond meaningfully to grievances. Third, </w:t>
      </w:r>
      <w:r w:rsidRPr="00C4664F">
        <w:rPr>
          <w:rFonts w:ascii="Times New Roman" w:hAnsi="Times New Roman" w:cs="Times New Roman"/>
          <w:b/>
          <w:bCs/>
        </w:rPr>
        <w:t xml:space="preserve">efficacy </w:t>
      </w:r>
      <w:r w:rsidRPr="00C4664F">
        <w:rPr>
          <w:rFonts w:ascii="Times New Roman" w:hAnsi="Times New Roman" w:cs="Times New Roman"/>
          <w:b/>
          <w:bCs/>
        </w:rPr>
        <w:lastRenderedPageBreak/>
        <w:t>deficits</w:t>
      </w:r>
      <w:r w:rsidRPr="00C4664F">
        <w:rPr>
          <w:rFonts w:ascii="Times New Roman" w:hAnsi="Times New Roman" w:cs="Times New Roman"/>
        </w:rPr>
        <w:t> were evident: having observed that complaints yield no observable changes in pollution levels, community members concluded that regulatory processes are ineffective. The complaint gap is not irrational apathy but a rational response to observed institutional unresponsiveness – a finding that extends procedural justice theory to environmental regulation in low-income contexts.</w:t>
      </w:r>
    </w:p>
    <w:p w14:paraId="2E37ADB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Policy implication:</w:t>
      </w:r>
      <w:r w:rsidRPr="00C4664F">
        <w:rPr>
          <w:rFonts w:ascii="Times New Roman" w:hAnsi="Times New Roman" w:cs="Times New Roman"/>
        </w:rPr>
        <w:t> ZEMA must establish accessible, low-cost complaint mechanisms with mandated response times and public feedback loops. Traditional leaders' higher trust levels (38.1% high trust) suggest that partnering with existing legitimate institutions could be an effective bridging strategy.</w:t>
      </w:r>
    </w:p>
    <w:p w14:paraId="290F8784"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4.3 Empirical Finding: Gender Dimensions of Regulatory Failure</w:t>
      </w:r>
    </w:p>
    <w:p w14:paraId="53CEA47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Empirically, women constitute 72.4% of vendors and bear disproportionate pollution impacts, with 78.2% reporting need to wash produce multiple times daily (additional unpaid </w:t>
      </w:r>
      <w:proofErr w:type="spellStart"/>
      <w:r w:rsidRPr="00C4664F">
        <w:rPr>
          <w:rFonts w:ascii="Times New Roman" w:hAnsi="Times New Roman" w:cs="Times New Roman"/>
        </w:rPr>
        <w:t>labour</w:t>
      </w:r>
      <w:proofErr w:type="spellEnd"/>
      <w:r w:rsidRPr="00C4664F">
        <w:rPr>
          <w:rFonts w:ascii="Times New Roman" w:hAnsi="Times New Roman" w:cs="Times New Roman"/>
        </w:rPr>
        <w:t>) and 67.8% experiencing lost sales (income reduction). Women also face greater barriers to regulatory access: lower literacy rates (39.1% of women had no formal schooling compared with 20.8% of men), less access to transport, and greater care responsibilities that limit time for travel to ZEMA's Lusaka office.</w:t>
      </w:r>
    </w:p>
    <w:p w14:paraId="3988A7C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Interpretive analysis:</w:t>
      </w:r>
      <w:r w:rsidRPr="00C4664F">
        <w:rPr>
          <w:rFonts w:ascii="Times New Roman" w:hAnsi="Times New Roman" w:cs="Times New Roman"/>
        </w:rPr>
        <w:t> This double disadvantage – bearing higher impacts while facing higher barriers to redress – reveals a gender dimension of procedural injustice that has been underexplored in the environmental enforcement literature. The interaction between the Procedural Justice dimension (inaccessible complaint mechanisms) and the Political Economy dimension (women's lower economic status limiting their ability to advocate) produces systematic exclusion. This finding addresses the study's objective of providing gender-differentiated analysis of regulatory failure.</w:t>
      </w:r>
    </w:p>
    <w:p w14:paraId="4A992D6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Policy implication:</w:t>
      </w:r>
      <w:r w:rsidRPr="00C4664F">
        <w:rPr>
          <w:rFonts w:ascii="Times New Roman" w:hAnsi="Times New Roman" w:cs="Times New Roman"/>
        </w:rPr>
        <w:t> Regulatory reforms must include gender-sensitive complaint channels, including women-only reporting options to address fear of retaliation from male-dominated industry structures, mobile-based systems that do not require travel, and literacy-independent mechanisms such as voice-based complaints.</w:t>
      </w:r>
    </w:p>
    <w:p w14:paraId="716F6D0E"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4.4 Empirical Finding: Benchmarking Against Regional Innovations (Addressing RQ4)</w:t>
      </w:r>
    </w:p>
    <w:p w14:paraId="5AB7AB7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lastRenderedPageBreak/>
        <w:t xml:space="preserve">Addressing the fourth research question, Table 6 provides a systematic comparative benchmarking of Zambia's regulatory practices against emerging innovations in Ghana, Zimbabwe, and South Africa. The comparison is </w:t>
      </w:r>
      <w:proofErr w:type="spellStart"/>
      <w:r w:rsidRPr="00C4664F">
        <w:rPr>
          <w:rFonts w:ascii="Times New Roman" w:hAnsi="Times New Roman" w:cs="Times New Roman"/>
        </w:rPr>
        <w:t>organised</w:t>
      </w:r>
      <w:proofErr w:type="spellEnd"/>
      <w:r w:rsidRPr="00C4664F">
        <w:rPr>
          <w:rFonts w:ascii="Times New Roman" w:hAnsi="Times New Roman" w:cs="Times New Roman"/>
        </w:rPr>
        <w:t xml:space="preserve"> across four dimensions: monitoring technology, enforcement frequency and triggers, community engagement mechanisms, and transparency provisions.</w:t>
      </w:r>
    </w:p>
    <w:p w14:paraId="5339FE5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Table 6: Benchmarking Zambia Against Regional Regulatory Innovations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2"/>
        <w:gridCol w:w="1864"/>
        <w:gridCol w:w="2033"/>
        <w:gridCol w:w="2098"/>
        <w:gridCol w:w="1723"/>
      </w:tblGrid>
      <w:tr w:rsidR="00C4664F" w:rsidRPr="00C4664F" w14:paraId="4EC07BC0" w14:textId="77777777" w:rsidTr="0041233D">
        <w:trPr>
          <w:tblHeader/>
        </w:trPr>
        <w:tc>
          <w:tcPr>
            <w:tcW w:w="0" w:type="auto"/>
            <w:tcMar>
              <w:top w:w="150" w:type="dxa"/>
              <w:left w:w="0" w:type="dxa"/>
              <w:bottom w:w="150" w:type="dxa"/>
              <w:right w:w="240" w:type="dxa"/>
            </w:tcMar>
            <w:vAlign w:val="center"/>
            <w:hideMark/>
          </w:tcPr>
          <w:p w14:paraId="72DE86E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Dimension</w:t>
            </w:r>
          </w:p>
        </w:tc>
        <w:tc>
          <w:tcPr>
            <w:tcW w:w="0" w:type="auto"/>
            <w:tcMar>
              <w:top w:w="150" w:type="dxa"/>
              <w:left w:w="240" w:type="dxa"/>
              <w:bottom w:w="150" w:type="dxa"/>
              <w:right w:w="240" w:type="dxa"/>
            </w:tcMar>
            <w:vAlign w:val="center"/>
            <w:hideMark/>
          </w:tcPr>
          <w:p w14:paraId="5DEB049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Zambia (current study)</w:t>
            </w:r>
          </w:p>
        </w:tc>
        <w:tc>
          <w:tcPr>
            <w:tcW w:w="0" w:type="auto"/>
            <w:tcMar>
              <w:top w:w="150" w:type="dxa"/>
              <w:left w:w="240" w:type="dxa"/>
              <w:bottom w:w="150" w:type="dxa"/>
              <w:right w:w="240" w:type="dxa"/>
            </w:tcMar>
            <w:vAlign w:val="center"/>
            <w:hideMark/>
          </w:tcPr>
          <w:p w14:paraId="1C1C149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Ghana (12)</w:t>
            </w:r>
          </w:p>
        </w:tc>
        <w:tc>
          <w:tcPr>
            <w:tcW w:w="0" w:type="auto"/>
            <w:tcMar>
              <w:top w:w="150" w:type="dxa"/>
              <w:left w:w="240" w:type="dxa"/>
              <w:bottom w:w="150" w:type="dxa"/>
              <w:right w:w="240" w:type="dxa"/>
            </w:tcMar>
            <w:vAlign w:val="center"/>
            <w:hideMark/>
          </w:tcPr>
          <w:p w14:paraId="7C4F72E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Zimbabwe (14,15)</w:t>
            </w:r>
          </w:p>
        </w:tc>
        <w:tc>
          <w:tcPr>
            <w:tcW w:w="0" w:type="auto"/>
            <w:tcMar>
              <w:top w:w="150" w:type="dxa"/>
              <w:left w:w="240" w:type="dxa"/>
              <w:bottom w:w="150" w:type="dxa"/>
              <w:right w:w="240" w:type="dxa"/>
            </w:tcMar>
            <w:vAlign w:val="center"/>
            <w:hideMark/>
          </w:tcPr>
          <w:p w14:paraId="0EF7AD4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South Africa (29)</w:t>
            </w:r>
          </w:p>
        </w:tc>
      </w:tr>
      <w:tr w:rsidR="00C4664F" w:rsidRPr="00C4664F" w14:paraId="42287A4D" w14:textId="77777777" w:rsidTr="0041233D">
        <w:tc>
          <w:tcPr>
            <w:tcW w:w="0" w:type="auto"/>
            <w:tcMar>
              <w:top w:w="150" w:type="dxa"/>
              <w:left w:w="0" w:type="dxa"/>
              <w:bottom w:w="150" w:type="dxa"/>
              <w:right w:w="240" w:type="dxa"/>
            </w:tcMar>
            <w:vAlign w:val="center"/>
            <w:hideMark/>
          </w:tcPr>
          <w:p w14:paraId="49585C9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Monitoring</w:t>
            </w:r>
          </w:p>
        </w:tc>
        <w:tc>
          <w:tcPr>
            <w:tcW w:w="0" w:type="auto"/>
            <w:tcMar>
              <w:top w:w="150" w:type="dxa"/>
              <w:left w:w="240" w:type="dxa"/>
              <w:bottom w:w="150" w:type="dxa"/>
              <w:right w:w="240" w:type="dxa"/>
            </w:tcMar>
            <w:vAlign w:val="center"/>
            <w:hideMark/>
          </w:tcPr>
          <w:p w14:paraId="5DE5505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Quarterly self-reports; no ambient monitoring</w:t>
            </w:r>
          </w:p>
        </w:tc>
        <w:tc>
          <w:tcPr>
            <w:tcW w:w="0" w:type="auto"/>
            <w:tcMar>
              <w:top w:w="150" w:type="dxa"/>
              <w:left w:w="240" w:type="dxa"/>
              <w:bottom w:w="150" w:type="dxa"/>
              <w:right w:w="240" w:type="dxa"/>
            </w:tcMar>
            <w:vAlign w:val="center"/>
            <w:hideMark/>
          </w:tcPr>
          <w:p w14:paraId="414815F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Real-time CEMS with public data </w:t>
            </w:r>
            <w:proofErr w:type="spellStart"/>
            <w:r w:rsidRPr="00C4664F">
              <w:rPr>
                <w:rFonts w:ascii="Times New Roman" w:hAnsi="Times New Roman" w:cs="Times New Roman"/>
              </w:rPr>
              <w:t>visualisation</w:t>
            </w:r>
            <w:proofErr w:type="spellEnd"/>
          </w:p>
        </w:tc>
        <w:tc>
          <w:tcPr>
            <w:tcW w:w="0" w:type="auto"/>
            <w:tcMar>
              <w:top w:w="150" w:type="dxa"/>
              <w:left w:w="240" w:type="dxa"/>
              <w:bottom w:w="150" w:type="dxa"/>
              <w:right w:w="240" w:type="dxa"/>
            </w:tcMar>
            <w:vAlign w:val="center"/>
            <w:hideMark/>
          </w:tcPr>
          <w:p w14:paraId="0580527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Continuous monitoring required; baseline ambient assessment</w:t>
            </w:r>
          </w:p>
        </w:tc>
        <w:tc>
          <w:tcPr>
            <w:tcW w:w="0" w:type="auto"/>
            <w:tcMar>
              <w:top w:w="150" w:type="dxa"/>
              <w:left w:w="240" w:type="dxa"/>
              <w:bottom w:w="150" w:type="dxa"/>
              <w:right w:w="0" w:type="dxa"/>
            </w:tcMar>
            <w:vAlign w:val="center"/>
            <w:hideMark/>
          </w:tcPr>
          <w:p w14:paraId="26E88AF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CEMS mandatory; ambient networks; public access</w:t>
            </w:r>
          </w:p>
        </w:tc>
      </w:tr>
      <w:tr w:rsidR="00C4664F" w:rsidRPr="00C4664F" w14:paraId="2390CE28" w14:textId="77777777" w:rsidTr="0041233D">
        <w:tc>
          <w:tcPr>
            <w:tcW w:w="0" w:type="auto"/>
            <w:tcMar>
              <w:top w:w="150" w:type="dxa"/>
              <w:left w:w="0" w:type="dxa"/>
              <w:bottom w:w="150" w:type="dxa"/>
              <w:right w:w="240" w:type="dxa"/>
            </w:tcMar>
            <w:vAlign w:val="center"/>
            <w:hideMark/>
          </w:tcPr>
          <w:p w14:paraId="25E8C1E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Enforcement</w:t>
            </w:r>
          </w:p>
        </w:tc>
        <w:tc>
          <w:tcPr>
            <w:tcW w:w="0" w:type="auto"/>
            <w:tcMar>
              <w:top w:w="150" w:type="dxa"/>
              <w:left w:w="240" w:type="dxa"/>
              <w:bottom w:w="150" w:type="dxa"/>
              <w:right w:w="240" w:type="dxa"/>
            </w:tcMar>
            <w:vAlign w:val="center"/>
            <w:hideMark/>
          </w:tcPr>
          <w:p w14:paraId="6D62896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Episodic; last major action 2009</w:t>
            </w:r>
          </w:p>
        </w:tc>
        <w:tc>
          <w:tcPr>
            <w:tcW w:w="0" w:type="auto"/>
            <w:tcMar>
              <w:top w:w="150" w:type="dxa"/>
              <w:left w:w="240" w:type="dxa"/>
              <w:bottom w:w="150" w:type="dxa"/>
              <w:right w:w="240" w:type="dxa"/>
            </w:tcMar>
            <w:vAlign w:val="center"/>
            <w:hideMark/>
          </w:tcPr>
          <w:p w14:paraId="783E759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Post-shutdown enforcement; regular fines</w:t>
            </w:r>
          </w:p>
        </w:tc>
        <w:tc>
          <w:tcPr>
            <w:tcW w:w="0" w:type="auto"/>
            <w:tcMar>
              <w:top w:w="150" w:type="dxa"/>
              <w:left w:w="240" w:type="dxa"/>
              <w:bottom w:w="150" w:type="dxa"/>
              <w:right w:w="240" w:type="dxa"/>
            </w:tcMar>
            <w:vAlign w:val="center"/>
            <w:hideMark/>
          </w:tcPr>
          <w:p w14:paraId="0F31B97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Active fines (US$3,000) for exceedances</w:t>
            </w:r>
          </w:p>
        </w:tc>
        <w:tc>
          <w:tcPr>
            <w:tcW w:w="0" w:type="auto"/>
            <w:tcMar>
              <w:top w:w="150" w:type="dxa"/>
              <w:left w:w="240" w:type="dxa"/>
              <w:bottom w:w="150" w:type="dxa"/>
              <w:right w:w="0" w:type="dxa"/>
            </w:tcMar>
            <w:vAlign w:val="center"/>
            <w:hideMark/>
          </w:tcPr>
          <w:p w14:paraId="01A49FB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Routine fines; criminal prosecution</w:t>
            </w:r>
          </w:p>
        </w:tc>
      </w:tr>
      <w:tr w:rsidR="00C4664F" w:rsidRPr="00C4664F" w14:paraId="1294BF1A" w14:textId="77777777" w:rsidTr="0041233D">
        <w:tc>
          <w:tcPr>
            <w:tcW w:w="0" w:type="auto"/>
            <w:tcMar>
              <w:top w:w="150" w:type="dxa"/>
              <w:left w:w="0" w:type="dxa"/>
              <w:bottom w:w="150" w:type="dxa"/>
              <w:right w:w="240" w:type="dxa"/>
            </w:tcMar>
            <w:vAlign w:val="center"/>
            <w:hideMark/>
          </w:tcPr>
          <w:p w14:paraId="0541ACB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Community engagement</w:t>
            </w:r>
          </w:p>
        </w:tc>
        <w:tc>
          <w:tcPr>
            <w:tcW w:w="0" w:type="auto"/>
            <w:tcMar>
              <w:top w:w="150" w:type="dxa"/>
              <w:left w:w="240" w:type="dxa"/>
              <w:bottom w:w="150" w:type="dxa"/>
              <w:right w:w="240" w:type="dxa"/>
            </w:tcMar>
            <w:vAlign w:val="center"/>
            <w:hideMark/>
          </w:tcPr>
          <w:p w14:paraId="438C128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Minimal; no accessible mechanism</w:t>
            </w:r>
          </w:p>
        </w:tc>
        <w:tc>
          <w:tcPr>
            <w:tcW w:w="0" w:type="auto"/>
            <w:tcMar>
              <w:top w:w="150" w:type="dxa"/>
              <w:left w:w="240" w:type="dxa"/>
              <w:bottom w:w="150" w:type="dxa"/>
              <w:right w:w="240" w:type="dxa"/>
            </w:tcMar>
            <w:vAlign w:val="center"/>
            <w:hideMark/>
          </w:tcPr>
          <w:p w14:paraId="6FAFBB0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Community forums with real-time data</w:t>
            </w:r>
          </w:p>
        </w:tc>
        <w:tc>
          <w:tcPr>
            <w:tcW w:w="0" w:type="auto"/>
            <w:tcMar>
              <w:top w:w="150" w:type="dxa"/>
              <w:left w:w="240" w:type="dxa"/>
              <w:bottom w:w="150" w:type="dxa"/>
              <w:right w:w="240" w:type="dxa"/>
            </w:tcMar>
            <w:vAlign w:val="center"/>
            <w:hideMark/>
          </w:tcPr>
          <w:p w14:paraId="43A6754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Regular community meetings required</w:t>
            </w:r>
          </w:p>
        </w:tc>
        <w:tc>
          <w:tcPr>
            <w:tcW w:w="0" w:type="auto"/>
            <w:tcMar>
              <w:top w:w="150" w:type="dxa"/>
              <w:left w:w="240" w:type="dxa"/>
              <w:bottom w:w="150" w:type="dxa"/>
              <w:right w:w="0" w:type="dxa"/>
            </w:tcMar>
            <w:vAlign w:val="center"/>
            <w:hideMark/>
          </w:tcPr>
          <w:p w14:paraId="63ECE83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Community right to know provisions</w:t>
            </w:r>
          </w:p>
        </w:tc>
      </w:tr>
      <w:tr w:rsidR="00C4664F" w:rsidRPr="00C4664F" w14:paraId="317FF885" w14:textId="77777777" w:rsidTr="0041233D">
        <w:tc>
          <w:tcPr>
            <w:tcW w:w="0" w:type="auto"/>
            <w:tcMar>
              <w:top w:w="150" w:type="dxa"/>
              <w:left w:w="0" w:type="dxa"/>
              <w:bottom w:w="150" w:type="dxa"/>
              <w:right w:w="240" w:type="dxa"/>
            </w:tcMar>
            <w:vAlign w:val="center"/>
            <w:hideMark/>
          </w:tcPr>
          <w:p w14:paraId="6F74025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Transparency</w:t>
            </w:r>
          </w:p>
        </w:tc>
        <w:tc>
          <w:tcPr>
            <w:tcW w:w="0" w:type="auto"/>
            <w:tcMar>
              <w:top w:w="150" w:type="dxa"/>
              <w:left w:w="240" w:type="dxa"/>
              <w:bottom w:w="150" w:type="dxa"/>
              <w:right w:w="240" w:type="dxa"/>
            </w:tcMar>
            <w:vAlign w:val="center"/>
            <w:hideMark/>
          </w:tcPr>
          <w:p w14:paraId="508B934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No public access</w:t>
            </w:r>
          </w:p>
        </w:tc>
        <w:tc>
          <w:tcPr>
            <w:tcW w:w="0" w:type="auto"/>
            <w:tcMar>
              <w:top w:w="150" w:type="dxa"/>
              <w:left w:w="240" w:type="dxa"/>
              <w:bottom w:w="150" w:type="dxa"/>
              <w:right w:w="240" w:type="dxa"/>
            </w:tcMar>
            <w:vAlign w:val="center"/>
            <w:hideMark/>
          </w:tcPr>
          <w:p w14:paraId="159E27C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Public data </w:t>
            </w:r>
            <w:proofErr w:type="spellStart"/>
            <w:r w:rsidRPr="00C4664F">
              <w:rPr>
                <w:rFonts w:ascii="Times New Roman" w:hAnsi="Times New Roman" w:cs="Times New Roman"/>
              </w:rPr>
              <w:t>visualisation</w:t>
            </w:r>
            <w:proofErr w:type="spellEnd"/>
          </w:p>
        </w:tc>
        <w:tc>
          <w:tcPr>
            <w:tcW w:w="0" w:type="auto"/>
            <w:tcMar>
              <w:top w:w="150" w:type="dxa"/>
              <w:left w:w="240" w:type="dxa"/>
              <w:bottom w:w="150" w:type="dxa"/>
              <w:right w:w="240" w:type="dxa"/>
            </w:tcMar>
            <w:vAlign w:val="center"/>
            <w:hideMark/>
          </w:tcPr>
          <w:p w14:paraId="6F6878A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Data transmitted to regulator</w:t>
            </w:r>
          </w:p>
        </w:tc>
        <w:tc>
          <w:tcPr>
            <w:tcW w:w="0" w:type="auto"/>
            <w:tcMar>
              <w:top w:w="150" w:type="dxa"/>
              <w:left w:w="240" w:type="dxa"/>
              <w:bottom w:w="150" w:type="dxa"/>
              <w:right w:w="0" w:type="dxa"/>
            </w:tcMar>
            <w:vAlign w:val="center"/>
            <w:hideMark/>
          </w:tcPr>
          <w:p w14:paraId="15E9481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Public online database</w:t>
            </w:r>
          </w:p>
        </w:tc>
      </w:tr>
    </w:tbl>
    <w:p w14:paraId="156DCF7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i/>
          <w:iCs/>
        </w:rPr>
        <w:t>Source: Author’s observations based on survey data (2020)</w:t>
      </w:r>
    </w:p>
    <w:p w14:paraId="30BC2D0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lastRenderedPageBreak/>
        <w:t>Interpretive analysis:</w:t>
      </w:r>
      <w:r w:rsidRPr="00C4664F">
        <w:rPr>
          <w:rFonts w:ascii="Times New Roman" w:hAnsi="Times New Roman" w:cs="Times New Roman"/>
        </w:rPr>
        <w:t xml:space="preserve"> This benchmarking reveals that Zambia has fallen behind regional peers across all four dimensions. Ghana's real-time monitoring with public data </w:t>
      </w:r>
      <w:proofErr w:type="spellStart"/>
      <w:r w:rsidRPr="00C4664F">
        <w:rPr>
          <w:rFonts w:ascii="Times New Roman" w:hAnsi="Times New Roman" w:cs="Times New Roman"/>
        </w:rPr>
        <w:t>visualisation</w:t>
      </w:r>
      <w:proofErr w:type="spellEnd"/>
      <w:r w:rsidRPr="00C4664F">
        <w:rPr>
          <w:rFonts w:ascii="Times New Roman" w:hAnsi="Times New Roman" w:cs="Times New Roman"/>
        </w:rPr>
        <w:t xml:space="preserve"> directly addresses the transparency and procedural justice deficits identified in this study (12). Zimbabwe's active fines (15), while modest, demonstrate that enforcement is possible even with limited resources – the US$3,000 fine, though small by international standards, signals that exceedances have consequences. South Africa provides the most advanced regional benchmark, with comprehensive ambient monitoring networks and public access provisions under the National Environmental Management: Air Quality Act (29).</w:t>
      </w:r>
    </w:p>
    <w:p w14:paraId="3E18D6AA"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Policy implication:</w:t>
      </w:r>
      <w:r w:rsidRPr="00C4664F">
        <w:rPr>
          <w:rFonts w:ascii="Times New Roman" w:hAnsi="Times New Roman" w:cs="Times New Roman"/>
        </w:rPr>
        <w:t> Zambia should adopt low-cost continuous monitoring and automatic enforcement triggers without waiting for legislative change. Transferable practices include certified continuous emissions monitoring with real-time data transmission to regulators (as in Zimbabwe), mobile phone complaint mechanisms with automated feedback (as piloted in Ghana), and mandatory ambient monitoring at fence-line and community locations (as required in South Africa).</w:t>
      </w:r>
    </w:p>
    <w:p w14:paraId="59EFFF2A"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4.5 Theoretical Contributions (Interpretive Synthesis)</w:t>
      </w:r>
    </w:p>
    <w:p w14:paraId="671CCC1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This study makes five theoretical contributions. First, it extends Braithwaite's (16) regulatory ritualism concept to the developing country context, showing how resource constraints transform substantive requirements into procedural compliance exercises. Second, it integrates procedural justice (17) and epistemic injustice (18) literatures, demonstrating how the devaluation of community knowledge degrades regulatory information environments – when local observations of dust impacts are systematically ignored, regulators lose access to low-cost, high-frequency monitoring data. Third, it </w:t>
      </w:r>
      <w:proofErr w:type="spellStart"/>
      <w:r w:rsidRPr="00C4664F">
        <w:rPr>
          <w:rFonts w:ascii="Times New Roman" w:hAnsi="Times New Roman" w:cs="Times New Roman"/>
        </w:rPr>
        <w:t>theorises</w:t>
      </w:r>
      <w:proofErr w:type="spellEnd"/>
      <w:r w:rsidRPr="00C4664F">
        <w:rPr>
          <w:rFonts w:ascii="Times New Roman" w:hAnsi="Times New Roman" w:cs="Times New Roman"/>
        </w:rPr>
        <w:t xml:space="preserve"> the complaint gap – systematic divergence between experienced and reported harm – as an indicator of regulatory failure and institutional withdrawal. The gap is not a measure of community apathy but a measure of institutional abandonment. Fourth, it contributes gendered analysis, demonstrating that women informal workers bear disproportionate burdens from both pollution impacts and barriers to regulatory access, and that gender-sensitive regulatory design is not optional but essential. Fifth, it contributes to corporate social responsibility literature by documenting that voluntary corporate responsibility commitments lack credibility without enforcement (30,31), extending this finding to the cement industry in low-income settings.</w:t>
      </w:r>
    </w:p>
    <w:p w14:paraId="56CD91E6"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lastRenderedPageBreak/>
        <w:t>4.6 Concrete Regulatory Reforms Derived from Findings (Addressing All RQs)</w:t>
      </w:r>
    </w:p>
    <w:p w14:paraId="276309B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Translating the empirical findings into concrete governance improvements, the following sequenced reforms are proposed with implementation pathways, responsible actors, and estimated costs. These reforms directly address each of the four research questions by targeting the identified deficits in institutional capacity (RQ3), regulatory framework (RQ3), procedural justice (RQ1 and RQ3), and regional competitiveness (RQ4).</w:t>
      </w:r>
    </w:p>
    <w:p w14:paraId="1D7846D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First, establish a mobile-based community complaint and feedback system within 12 months.</w:t>
      </w:r>
      <w:r w:rsidRPr="00C4664F">
        <w:rPr>
          <w:rFonts w:ascii="Times New Roman" w:hAnsi="Times New Roman" w:cs="Times New Roman"/>
        </w:rPr>
        <w:t xml:space="preserve"> This reform addresses the procedural justice deficits documented in RQ1 (only 9.2% direct contact) and RQ3 (transport and literacy barriers). Implementation mechanism is a toll-free </w:t>
      </w:r>
      <w:proofErr w:type="spellStart"/>
      <w:r w:rsidRPr="00C4664F">
        <w:rPr>
          <w:rFonts w:ascii="Times New Roman" w:hAnsi="Times New Roman" w:cs="Times New Roman"/>
        </w:rPr>
        <w:t>shortcode</w:t>
      </w:r>
      <w:proofErr w:type="spellEnd"/>
      <w:r w:rsidRPr="00C4664F">
        <w:rPr>
          <w:rFonts w:ascii="Times New Roman" w:hAnsi="Times New Roman" w:cs="Times New Roman"/>
        </w:rPr>
        <w:t xml:space="preserve"> (e.g., 4455) that accepts voice messages and SMS, with automated acknowledgment and a mandated 14-day response timeframe. Responsible actors are ZEMA in partnership with telecom operators (Zamtel, Airtel, MTN). Estimated cost is low (US$5,000–10,000), covering system setup and first-year operational costs. This system directly responds to the finding that 47.1% of vendors cited lack of knowledge and 38.8% cited belief that complaining would not change anything – by providing automated acknowledgment and tracking, the system addresses both barriers.</w:t>
      </w:r>
    </w:p>
    <w:p w14:paraId="2A4250A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Second, deploy low-cost ambient air quality sensors in Freedom Compound within 12 months.</w:t>
      </w:r>
      <w:r w:rsidRPr="00C4664F">
        <w:rPr>
          <w:rFonts w:ascii="Times New Roman" w:hAnsi="Times New Roman" w:cs="Times New Roman"/>
        </w:rPr>
        <w:t xml:space="preserve"> This reform addresses the institutional capacity deficit (no ambient monitoring, RQ2 and RQ3) and the transparency deficit (no community access to data, RQ1). Implementation mechanism is deployment of 5–10 </w:t>
      </w:r>
      <w:proofErr w:type="spellStart"/>
      <w:r w:rsidRPr="00C4664F">
        <w:rPr>
          <w:rFonts w:ascii="Times New Roman" w:hAnsi="Times New Roman" w:cs="Times New Roman"/>
        </w:rPr>
        <w:t>PurpleAir</w:t>
      </w:r>
      <w:proofErr w:type="spellEnd"/>
      <w:r w:rsidRPr="00C4664F">
        <w:rPr>
          <w:rFonts w:ascii="Times New Roman" w:hAnsi="Times New Roman" w:cs="Times New Roman"/>
        </w:rPr>
        <w:t xml:space="preserve"> or similar low-cost PM2.5 and PM10 sensors, with data streamed to a public online dashboard accessible via mobile phone. Responsible actors are ZEMA with academic partners (University of Zambia). Estimated cost is low to medium (US$10,000–20,000), including sensors, installation, and dashboard development. This directly addresses the finding that ZEMA relies on stack emissions rather than community exposure (Key informant, ZEMA Official C).</w:t>
      </w:r>
    </w:p>
    <w:p w14:paraId="4D1D6A3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 xml:space="preserve">Third, require certified continuous emissions monitoring (CEMS) through </w:t>
      </w:r>
      <w:proofErr w:type="spellStart"/>
      <w:r w:rsidRPr="00C4664F">
        <w:rPr>
          <w:rFonts w:ascii="Times New Roman" w:hAnsi="Times New Roman" w:cs="Times New Roman"/>
          <w:b/>
          <w:bCs/>
        </w:rPr>
        <w:t>licence</w:t>
      </w:r>
      <w:proofErr w:type="spellEnd"/>
      <w:r w:rsidRPr="00C4664F">
        <w:rPr>
          <w:rFonts w:ascii="Times New Roman" w:hAnsi="Times New Roman" w:cs="Times New Roman"/>
          <w:b/>
          <w:bCs/>
        </w:rPr>
        <w:t xml:space="preserve"> conditions within 18 months.</w:t>
      </w:r>
      <w:r w:rsidRPr="00C4664F">
        <w:rPr>
          <w:rFonts w:ascii="Times New Roman" w:hAnsi="Times New Roman" w:cs="Times New Roman"/>
        </w:rPr>
        <w:t xml:space="preserve"> This reform addresses the regulatory framework deficit (self-reporting without verification, RQ3). Implementation mechanism is amendment of the plant's pollution control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to require certified CEMS with real-time data transmission to ZEMA, compliant with EN 17255 standards (13). Responsible actor is ZEMA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condition authority). Estimated cost is medium (US$50,000–100,000), borne by the regulated company as part of compliance costs. This </w:t>
      </w:r>
      <w:r w:rsidRPr="00C4664F">
        <w:rPr>
          <w:rFonts w:ascii="Times New Roman" w:hAnsi="Times New Roman" w:cs="Times New Roman"/>
        </w:rPr>
        <w:lastRenderedPageBreak/>
        <w:t>directly addresses the community concern expressed as: </w:t>
      </w:r>
      <w:r w:rsidRPr="00C4664F">
        <w:rPr>
          <w:rFonts w:ascii="Times New Roman" w:hAnsi="Times New Roman" w:cs="Times New Roman"/>
          <w:i/>
          <w:iCs/>
        </w:rPr>
        <w:t>"If the factory measures its own dust, why would they tell the truth?"</w:t>
      </w:r>
      <w:r w:rsidRPr="00C4664F">
        <w:rPr>
          <w:rFonts w:ascii="Times New Roman" w:hAnsi="Times New Roman" w:cs="Times New Roman"/>
        </w:rPr>
        <w:t> (FGD, Women's Group B, Participant 2).</w:t>
      </w:r>
    </w:p>
    <w:p w14:paraId="7C7FAAD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Fourth, establish automatic enforcement triggers with escalating fines within 18–24 months.</w:t>
      </w:r>
      <w:r w:rsidRPr="00C4664F">
        <w:rPr>
          <w:rFonts w:ascii="Times New Roman" w:hAnsi="Times New Roman" w:cs="Times New Roman"/>
        </w:rPr>
        <w:t xml:space="preserve"> This reform addresses the enforcement deficit documented in RQ2 (episodic enforcement; last major action 2009). Implementation mechanism is a regulation or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condition specifying that exceedance of PM standards for more than four hours triggers an escalating fine structure: first offence US</w:t>
      </w:r>
      <w:proofErr w:type="gramStart"/>
      <w:r w:rsidRPr="00C4664F">
        <w:rPr>
          <w:rFonts w:ascii="Times New Roman" w:hAnsi="Times New Roman" w:cs="Times New Roman"/>
        </w:rPr>
        <w:t>500,secondUS500,</w:t>
      </w:r>
      <w:r w:rsidRPr="00C4664F">
        <w:rPr>
          <w:rFonts w:ascii="Times New Roman" w:hAnsi="Times New Roman" w:cs="Times New Roman"/>
          <w:i/>
          <w:iCs/>
        </w:rPr>
        <w:t>secondUS</w:t>
      </w:r>
      <w:proofErr w:type="gramEnd"/>
      <w:r w:rsidRPr="00C4664F">
        <w:rPr>
          <w:rFonts w:ascii="Times New Roman" w:hAnsi="Times New Roman" w:cs="Times New Roman"/>
        </w:rPr>
        <w:t xml:space="preserve">1,000, third US$2,000, doubling each subsequent offence, with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suspension after six offences. Responsible actors are ZEMA with Ministerial approval. Estimated cost is zero (revenue positive from fines). This directly addresses the finding that the plant has faced no sustained enforcement pressure since 2009.</w:t>
      </w:r>
    </w:p>
    <w:p w14:paraId="48CB1B6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Fifth, publish a public online enforcement dashboard within 12 months.</w:t>
      </w:r>
      <w:r w:rsidRPr="00C4664F">
        <w:rPr>
          <w:rFonts w:ascii="Times New Roman" w:hAnsi="Times New Roman" w:cs="Times New Roman"/>
        </w:rPr>
        <w:t> This reform addresses the transparency deficit (RQ1: 70.1% low trust) and the procedural justice deficit (no feedback on complaints). Implementation mechanism is a simple publicly accessible website and SMS-based enquiry system showing inspection dates, findings, enforcement actions taken, emissions data (from CEMS and ambient sensors), and complaint resolution status. Responsible actors are ZEMA with donor support (e.g., World Bank, UNDP). Estimated cost is low (US$5,000). This directly responds to the statement: </w:t>
      </w:r>
      <w:r w:rsidRPr="00C4664F">
        <w:rPr>
          <w:rFonts w:ascii="Times New Roman" w:hAnsi="Times New Roman" w:cs="Times New Roman"/>
          <w:i/>
          <w:iCs/>
        </w:rPr>
        <w:t>"They write a report and leave. Nothing changes"</w:t>
      </w:r>
      <w:r w:rsidRPr="00C4664F">
        <w:rPr>
          <w:rFonts w:ascii="Times New Roman" w:hAnsi="Times New Roman" w:cs="Times New Roman"/>
        </w:rPr>
        <w:t> – the dashboard makes visible whether anything changes.</w:t>
      </w:r>
    </w:p>
    <w:p w14:paraId="32E64782"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Sixth, increase inspection staffing from approximately 15 to at least 50 inspectors nationally over 24–36 months.</w:t>
      </w:r>
      <w:r w:rsidRPr="00C4664F">
        <w:rPr>
          <w:rFonts w:ascii="Times New Roman" w:hAnsi="Times New Roman" w:cs="Times New Roman"/>
        </w:rPr>
        <w:t> This reform addresses the institutional capacity deficit identified in RQ2 and RQ3. Implementation mechanism is budget appropriation increase and recruitment drive, with dedicated inspectors for cement sector (at least two inspectors focused on Chilanga plant). Responsible actors are Government of Zambia (Ministry of Finance and Ministry of Green Economy). Estimated cost is medium (US$500,000–1,000,000 annually for additional salaries and operations). This directly addresses the ZEMA official's statement: </w:t>
      </w:r>
      <w:r w:rsidRPr="00C4664F">
        <w:rPr>
          <w:rFonts w:ascii="Times New Roman" w:hAnsi="Times New Roman" w:cs="Times New Roman"/>
          <w:i/>
          <w:iCs/>
        </w:rPr>
        <w:t>"We have perhaps 15 inspectors for the whole country"</w:t>
      </w:r>
      <w:r w:rsidRPr="00C4664F">
        <w:rPr>
          <w:rFonts w:ascii="Times New Roman" w:hAnsi="Times New Roman" w:cs="Times New Roman"/>
        </w:rPr>
        <w:t> (Key informant, ZEMA Official B).</w:t>
      </w:r>
    </w:p>
    <w:p w14:paraId="475215F3"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Immediate pilot (next 12 months):</w:t>
      </w:r>
      <w:r w:rsidRPr="00C4664F">
        <w:rPr>
          <w:rFonts w:ascii="Times New Roman" w:hAnsi="Times New Roman" w:cs="Times New Roman"/>
        </w:rPr>
        <w:t> Deploy the mobile complaint system (reform one) and three ambient sensors (reform two) as a proof-of-concept before national scaling, with evaluation after six months to assess impact on community trust and complaint reporting.</w:t>
      </w:r>
    </w:p>
    <w:p w14:paraId="3320EF4F"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lastRenderedPageBreak/>
        <w:t>4.7 Limitations</w:t>
      </w:r>
    </w:p>
    <w:p w14:paraId="11896FFC"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Several limitations are acknowledged. First, the study did not independently verify emissions or conduct ambient monitoring due to equipment and budget constraints, meaning pollution levels are reported through community perception rather than instrumental measurement. Second, focus on a single facility limits </w:t>
      </w:r>
      <w:proofErr w:type="spellStart"/>
      <w:r w:rsidRPr="00C4664F">
        <w:rPr>
          <w:rFonts w:ascii="Times New Roman" w:hAnsi="Times New Roman" w:cs="Times New Roman"/>
        </w:rPr>
        <w:t>generalisability</w:t>
      </w:r>
      <w:proofErr w:type="spellEnd"/>
      <w:r w:rsidRPr="00C4664F">
        <w:rPr>
          <w:rFonts w:ascii="Times New Roman" w:hAnsi="Times New Roman" w:cs="Times New Roman"/>
        </w:rPr>
        <w:t xml:space="preserve"> to other industrial sectors (mining, manufacturing) or other regions of Zambia. Third, cross-sectional design precludes causal inference regarding the relationship between regulatory actions and community outcomes – while associations are documented, directionality cannot be definitively established. Fourth, formal regulatory capture analysis (e.g., network mapping of industry-regulator relationships, analysis of revolving door employment) was not undertaken. Fifth, self-reported regulatory data may be subject to social desirability bias, with vendors potentially overstating impacts or understating trust. Sixth, recall bias may affect vendor reports of complaint history and economic impacts, particularly for events more than one year prior. Seventh, language translation from Nyanja to English may have resulted in loss of nuance, despite independent verification. These limitations notwithstanding, triangulation across multiple data sources (surveys, interviews, focus groups, document review) provides robust evidence of systematic regulatory failure. The convergence of findings across methods, sources, and analytical approaches strengthens confidence that the identified patterns are real rather than artifactual.</w:t>
      </w:r>
    </w:p>
    <w:p w14:paraId="6099D88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pict w14:anchorId="06C639D1">
          <v:rect id="_x0000_i1078" style="width:0;height:.75pt" o:hralign="center" o:hrstd="t" o:hr="t" fillcolor="#a0a0a0" stroked="f"/>
        </w:pict>
      </w:r>
    </w:p>
    <w:p w14:paraId="0915C0C4"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5. CONCLUSION</w:t>
      </w:r>
    </w:p>
    <w:p w14:paraId="2290D860"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5.1 Summary of Findings</w:t>
      </w:r>
    </w:p>
    <w:p w14:paraId="29C9A50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This study evaluated ZEMA regulatory oversight at the Chilanga cement plant using a convergent mixed-methods design </w:t>
      </w:r>
      <w:proofErr w:type="spellStart"/>
      <w:r w:rsidRPr="00C4664F">
        <w:rPr>
          <w:rFonts w:ascii="Times New Roman" w:hAnsi="Times New Roman" w:cs="Times New Roman"/>
        </w:rPr>
        <w:t>organised</w:t>
      </w:r>
      <w:proofErr w:type="spellEnd"/>
      <w:r w:rsidRPr="00C4664F">
        <w:rPr>
          <w:rFonts w:ascii="Times New Roman" w:hAnsi="Times New Roman" w:cs="Times New Roman"/>
        </w:rPr>
        <w:t xml:space="preserve"> around four research questions. Addressing RQ1 (community awareness and trust), the study found that community awareness of ZEMA is only 34.5%, direct contact is 9.2%, and trust is critically low at 70.1% negative. Economic impacts on vendors are severe, with 81.6% reporting daily dust on produce and 67.8% experiencing lost sales. The complaint gap – divergence between experienced and reported harm – indicates rational withdrawal from unresponsive regulatory processes. Addressing RQ2 (enforcement actions and monitoring), the study found that enforcement actions are exceptionally rare, with only the 2009 </w:t>
      </w:r>
      <w:r w:rsidRPr="00C4664F">
        <w:rPr>
          <w:rFonts w:ascii="Times New Roman" w:hAnsi="Times New Roman" w:cs="Times New Roman"/>
        </w:rPr>
        <w:lastRenderedPageBreak/>
        <w:t xml:space="preserve">intervention as the sole significant action in seven decades. Monitoring relies on quarterly self-reports without independent verification, and ambient air quality monitoring is completely absent. Addressing RQ3 (factors explaining regulatory failure), the study identified four interacting dimensions: institutional capacity (inadequate staffing, no ambient monitoring), regulatory framework (no continuous monitoring, no automatic triggers), procedural justice (inaccessible complaint mechanisms, epistemic injustice), and political economy (industry economic significance constraining enforcement). Addressing RQ4 (regional benchmarking), the study found that Zambia has fallen behind regional peers including Ghana (real-time monitoring with public data </w:t>
      </w:r>
      <w:proofErr w:type="spellStart"/>
      <w:r w:rsidRPr="00C4664F">
        <w:rPr>
          <w:rFonts w:ascii="Times New Roman" w:hAnsi="Times New Roman" w:cs="Times New Roman"/>
        </w:rPr>
        <w:t>visualisation</w:t>
      </w:r>
      <w:proofErr w:type="spellEnd"/>
      <w:r w:rsidRPr="00C4664F">
        <w:rPr>
          <w:rFonts w:ascii="Times New Roman" w:hAnsi="Times New Roman" w:cs="Times New Roman"/>
        </w:rPr>
        <w:t>), Zimbabwe (active fines for exceedances), and South Africa (comprehensive ambient monitoring networks). Transferable regional practices include low-cost continuous monitoring, mobile phone complaint mechanisms with feedback, mandatory ambient monitoring, and automatic enforcement triggers.</w:t>
      </w:r>
    </w:p>
    <w:p w14:paraId="37CDDD2F"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5.2 Conclusions Drawn from Research Questions</w:t>
      </w:r>
    </w:p>
    <w:p w14:paraId="6FAB186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In relation to RQ1, the study concludes that ZEMA suffers a structural legitimacy deficit. Only one in three vendors knows ZEMA exists, fewer than one in ten has complained, and seventy percent express low trust. Women bear disproportionate impacts while facing compounded barriers to regulatory access. ZEMA has failed to establish the conditions for procedural justice – transparency, accessibility, and responsiveness – creating a downward spiral where low trust reduces complaint reporting, which reduces information available to regulators, which reinforces low trust.</w:t>
      </w:r>
    </w:p>
    <w:p w14:paraId="11D440C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In relation to RQ2, the study concludes that ZEMA operates an episodic enforcement regime rather than systematic oversight. The 2009 intervention demonstrated that effective enforcement is possible, but it was not sustained. With approximately 15 inspectors nationally covering all regulated facilities, a predictable compliance environment exists where violations can persist for months or years without detection. The complete absence of ambient air quality monitoring means ZEMA has no independent measure of community exposure, relying instead on industry self-reports that do not capture community experience.</w:t>
      </w:r>
    </w:p>
    <w:p w14:paraId="16C6A50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In relation to RQ3, the study concludes that regulatory failure is multi-dimensional and self-reinforcing. The four dimensions of the conceptual framework – Institutional Capacity, Regulatory Framework, Procedural Justice, and Political Economy – interact dynamically. Institutional </w:t>
      </w:r>
      <w:r w:rsidRPr="00C4664F">
        <w:rPr>
          <w:rFonts w:ascii="Times New Roman" w:hAnsi="Times New Roman" w:cs="Times New Roman"/>
        </w:rPr>
        <w:lastRenderedPageBreak/>
        <w:t>capacity deficits (inadequate staffing, no ambient monitoring) reduce the information available for enforcement. Regulatory framework deficits (no continuous monitoring, no automatic triggers) mean even when violations are known, consequences do not follow. Procedural justice deficits (inaccessible complaint mechanisms, epistemic injustice) mean community knowledge is excluded from regulatory processes. Political economy constraints (industry economic significance) mean enforcement actions face political resistance. Each dimension's deficits amplify the others, producing a stable equilibrium of regulatory ritualism rather than substantive pollution control.</w:t>
      </w:r>
    </w:p>
    <w:p w14:paraId="5DB6E6D8"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In relation to RQ4, the study concludes that Zambia has fallen behind regional peers but that transferable practices are available. Ghana's deployment of real-time monitoring with public data </w:t>
      </w:r>
      <w:proofErr w:type="spellStart"/>
      <w:r w:rsidRPr="00C4664F">
        <w:rPr>
          <w:rFonts w:ascii="Times New Roman" w:hAnsi="Times New Roman" w:cs="Times New Roman"/>
        </w:rPr>
        <w:t>visualisation</w:t>
      </w:r>
      <w:proofErr w:type="spellEnd"/>
      <w:r w:rsidRPr="00C4664F">
        <w:rPr>
          <w:rFonts w:ascii="Times New Roman" w:hAnsi="Times New Roman" w:cs="Times New Roman"/>
        </w:rPr>
        <w:t xml:space="preserve"> demonstrates that transparency is technically feasible and politically possible. Zimbabwe's active fines for exceedances demonstrate that enforcement can occur even with limited resources. South Africa's comprehensive ambient monitoring networks demonstrate that community right-to-know provisions can be </w:t>
      </w:r>
      <w:proofErr w:type="spellStart"/>
      <w:r w:rsidRPr="00C4664F">
        <w:rPr>
          <w:rFonts w:ascii="Times New Roman" w:hAnsi="Times New Roman" w:cs="Times New Roman"/>
        </w:rPr>
        <w:t>operationalised</w:t>
      </w:r>
      <w:proofErr w:type="spellEnd"/>
      <w:r w:rsidRPr="00C4664F">
        <w:rPr>
          <w:rFonts w:ascii="Times New Roman" w:hAnsi="Times New Roman" w:cs="Times New Roman"/>
        </w:rPr>
        <w:t>. These regional innovations provide a menu of reforms that Zambia could adopt without reinventing solutions.</w:t>
      </w:r>
    </w:p>
    <w:p w14:paraId="4CC2E7BA" w14:textId="77777777" w:rsidR="00C4664F" w:rsidRPr="00C4664F" w:rsidRDefault="00C4664F" w:rsidP="00C4664F">
      <w:pPr>
        <w:spacing w:line="360" w:lineRule="auto"/>
        <w:jc w:val="both"/>
        <w:rPr>
          <w:rFonts w:ascii="Times New Roman" w:hAnsi="Times New Roman" w:cs="Times New Roman"/>
          <w:b/>
          <w:bCs/>
        </w:rPr>
      </w:pPr>
      <w:r w:rsidRPr="00C4664F">
        <w:rPr>
          <w:rFonts w:ascii="Times New Roman" w:hAnsi="Times New Roman" w:cs="Times New Roman"/>
          <w:b/>
          <w:bCs/>
        </w:rPr>
        <w:t>5.3 Recommendations</w:t>
      </w:r>
    </w:p>
    <w:p w14:paraId="6C409CB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t xml:space="preserve">The following recommendations are </w:t>
      </w:r>
      <w:proofErr w:type="spellStart"/>
      <w:r w:rsidRPr="00C4664F">
        <w:rPr>
          <w:rFonts w:ascii="Times New Roman" w:hAnsi="Times New Roman" w:cs="Times New Roman"/>
        </w:rPr>
        <w:t>organised</w:t>
      </w:r>
      <w:proofErr w:type="spellEnd"/>
      <w:r w:rsidRPr="00C4664F">
        <w:rPr>
          <w:rFonts w:ascii="Times New Roman" w:hAnsi="Times New Roman" w:cs="Times New Roman"/>
        </w:rPr>
        <w:t xml:space="preserve"> by responsible actor and sequenced by timeframe. They are derived directly from the empirical findings and interpretive analysis presented above.</w:t>
      </w:r>
    </w:p>
    <w:p w14:paraId="05C80F2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For ZEMA (immediate, 0–12 months):</w:t>
      </w:r>
      <w:r w:rsidRPr="00C4664F">
        <w:rPr>
          <w:rFonts w:ascii="Times New Roman" w:hAnsi="Times New Roman" w:cs="Times New Roman"/>
        </w:rPr>
        <w:t xml:space="preserve"> First, establish a mobile phone-based complaint system with toll-free </w:t>
      </w:r>
      <w:proofErr w:type="spellStart"/>
      <w:r w:rsidRPr="00C4664F">
        <w:rPr>
          <w:rFonts w:ascii="Times New Roman" w:hAnsi="Times New Roman" w:cs="Times New Roman"/>
        </w:rPr>
        <w:t>shortcode</w:t>
      </w:r>
      <w:proofErr w:type="spellEnd"/>
      <w:r w:rsidRPr="00C4664F">
        <w:rPr>
          <w:rFonts w:ascii="Times New Roman" w:hAnsi="Times New Roman" w:cs="Times New Roman"/>
        </w:rPr>
        <w:t xml:space="preserve">, automated acknowledgment, and mandated 14-day response timeframe. Second, deploy low-cost ambient air quality sensors in Freedom Compound, streaming data to a public online dashboard. Third, publish a public online dashboard with inspection findings, enforcement actions, and emissions data. Fourth, establish a formal complaint feedback mechanism that closes the loop with complainants, addressing the current situation where most complainants receive no response. Fifth, conduct gender-sensitivity training for all inspection and community engagement staff, </w:t>
      </w:r>
      <w:proofErr w:type="spellStart"/>
      <w:r w:rsidRPr="00C4664F">
        <w:rPr>
          <w:rFonts w:ascii="Times New Roman" w:hAnsi="Times New Roman" w:cs="Times New Roman"/>
        </w:rPr>
        <w:t>recognising</w:t>
      </w:r>
      <w:proofErr w:type="spellEnd"/>
      <w:r w:rsidRPr="00C4664F">
        <w:rPr>
          <w:rFonts w:ascii="Times New Roman" w:hAnsi="Times New Roman" w:cs="Times New Roman"/>
        </w:rPr>
        <w:t xml:space="preserve"> that women constitute 72.4% of vendors and face distinct barriers.</w:t>
      </w:r>
    </w:p>
    <w:p w14:paraId="66F98DA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For ZEMA (short-term, 12–24 months):</w:t>
      </w:r>
      <w:r w:rsidRPr="00C4664F">
        <w:rPr>
          <w:rFonts w:ascii="Times New Roman" w:hAnsi="Times New Roman" w:cs="Times New Roman"/>
        </w:rPr>
        <w:t xml:space="preserve"> First, require certified continuous emissions monitoring (CEMS) with real-time data transmission to ZEMA and public disclosure, using </w:t>
      </w:r>
      <w:proofErr w:type="spellStart"/>
      <w:r w:rsidRPr="00C4664F">
        <w:rPr>
          <w:rFonts w:ascii="Times New Roman" w:hAnsi="Times New Roman" w:cs="Times New Roman"/>
        </w:rPr>
        <w:t>licence</w:t>
      </w:r>
      <w:proofErr w:type="spellEnd"/>
      <w:r w:rsidRPr="00C4664F">
        <w:rPr>
          <w:rFonts w:ascii="Times New Roman" w:hAnsi="Times New Roman" w:cs="Times New Roman"/>
        </w:rPr>
        <w:t xml:space="preserve"> conditions if legislation is not yet amended. Second, establish automatic enforcement triggers with escalating </w:t>
      </w:r>
      <w:r w:rsidRPr="00C4664F">
        <w:rPr>
          <w:rFonts w:ascii="Times New Roman" w:hAnsi="Times New Roman" w:cs="Times New Roman"/>
        </w:rPr>
        <w:lastRenderedPageBreak/>
        <w:t>fines for exceedances, removing discretion that currently allows persistent violations without consequence. Third, increase inspection staffing from approximately 15 to at least 50 inspectors nationally, with dedicated cement sector inspectors assigned to the Chilanga plant. Fourth, establish a formal community liaison position within ZEMA responsible for public engagement and complaint follow-up.</w:t>
      </w:r>
    </w:p>
    <w:p w14:paraId="0EBC14A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For the Government of Zambia:</w:t>
      </w:r>
      <w:r w:rsidRPr="00C4664F">
        <w:rPr>
          <w:rFonts w:ascii="Times New Roman" w:hAnsi="Times New Roman" w:cs="Times New Roman"/>
        </w:rPr>
        <w:t> First, substantially increase ZEMA's annual budget appropriation to fund the additional inspector positions, ambient monitoring, and community engagement functions recommended above. Second, amend the Environmental Management Act to require continuous emissions monitoring, establish automatic enforcement triggers with escalating fines, and mandate ambient monitoring at fence-line and community locations. Third, develop implementing regulations giving effect to Article 24 of the African Charter on environmental rights, including provisions for public access to environmental information and participation in environmental decision-making. Fourth, ratify and domesticate the African Commission's Resolution ACHPR/Res.605 on extractive industries, environment and human rights violations, converting continental commitments into domestic legal obligations.</w:t>
      </w:r>
    </w:p>
    <w:p w14:paraId="60708A4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For regulated industry (Chilanga Cement):</w:t>
      </w:r>
      <w:r w:rsidRPr="00C4664F">
        <w:rPr>
          <w:rFonts w:ascii="Times New Roman" w:hAnsi="Times New Roman" w:cs="Times New Roman"/>
        </w:rPr>
        <w:t> First, voluntarily publish real-time emissions data prior to legal mandate, building community trust through transparency. Second, invest in best available control technologies for particulate matter and fugitive emissions, including baghouse filters, enclosed material handling systems, and paved road wetting for haul roads. Third, establish a community grievance mechanism with clear resolution timelines (e.g., 14 days for acknowledgment, 30 days for investigation, 60 days for resolution) and compensation for documented livelihood impacts, including crop losses and reduced vegetable sales. Fourth, fund independent ambient air quality monitoring in Freedom Compound as a good-faith gesture of corporate responsibility.</w:t>
      </w:r>
    </w:p>
    <w:p w14:paraId="5876AB0D"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 xml:space="preserve">For civil society </w:t>
      </w:r>
      <w:proofErr w:type="spellStart"/>
      <w:r w:rsidRPr="00C4664F">
        <w:rPr>
          <w:rFonts w:ascii="Times New Roman" w:hAnsi="Times New Roman" w:cs="Times New Roman"/>
          <w:b/>
          <w:bCs/>
        </w:rPr>
        <w:t>organisations</w:t>
      </w:r>
      <w:proofErr w:type="spellEnd"/>
      <w:r w:rsidRPr="00C4664F">
        <w:rPr>
          <w:rFonts w:ascii="Times New Roman" w:hAnsi="Times New Roman" w:cs="Times New Roman"/>
          <w:b/>
          <w:bCs/>
        </w:rPr>
        <w:t>:</w:t>
      </w:r>
      <w:r w:rsidRPr="00C4664F">
        <w:rPr>
          <w:rFonts w:ascii="Times New Roman" w:hAnsi="Times New Roman" w:cs="Times New Roman"/>
        </w:rPr>
        <w:t xml:space="preserve"> First, train community members in low-cost air quality monitoring techniques (e.g., using </w:t>
      </w:r>
      <w:proofErr w:type="spellStart"/>
      <w:r w:rsidRPr="00C4664F">
        <w:rPr>
          <w:rFonts w:ascii="Times New Roman" w:hAnsi="Times New Roman" w:cs="Times New Roman"/>
        </w:rPr>
        <w:t>PurpleAir</w:t>
      </w:r>
      <w:proofErr w:type="spellEnd"/>
      <w:r w:rsidRPr="00C4664F">
        <w:rPr>
          <w:rFonts w:ascii="Times New Roman" w:hAnsi="Times New Roman" w:cs="Times New Roman"/>
        </w:rPr>
        <w:t xml:space="preserve"> or low-cost particle counters) to provide independent evidence of pollution levels. Second, pursue judicial review of ZEMA decisions under the Environmental Management Act and constitutional litigation under environmental rights provisions, establishing legal precedents that enforce regulatory obligations. Third, support community </w:t>
      </w:r>
      <w:proofErr w:type="spellStart"/>
      <w:r w:rsidRPr="00C4664F">
        <w:rPr>
          <w:rFonts w:ascii="Times New Roman" w:hAnsi="Times New Roman" w:cs="Times New Roman"/>
        </w:rPr>
        <w:t>organising</w:t>
      </w:r>
      <w:proofErr w:type="spellEnd"/>
      <w:r w:rsidRPr="00C4664F">
        <w:rPr>
          <w:rFonts w:ascii="Times New Roman" w:hAnsi="Times New Roman" w:cs="Times New Roman"/>
        </w:rPr>
        <w:t xml:space="preserve"> and leadership development, particularly for women vendors who bear the </w:t>
      </w:r>
      <w:r w:rsidRPr="00C4664F">
        <w:rPr>
          <w:rFonts w:ascii="Times New Roman" w:hAnsi="Times New Roman" w:cs="Times New Roman"/>
        </w:rPr>
        <w:lastRenderedPageBreak/>
        <w:t>most severe impacts. Fourth, establish a parallel community complaint tracking system that documents responses (or non-responses) from ZEMA, building a public evidence base of regulatory performance.</w:t>
      </w:r>
    </w:p>
    <w:p w14:paraId="5B8CEDF5"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For future research:</w:t>
      </w:r>
      <w:r w:rsidRPr="00C4664F">
        <w:rPr>
          <w:rFonts w:ascii="Times New Roman" w:hAnsi="Times New Roman" w:cs="Times New Roman"/>
        </w:rPr>
        <w:t xml:space="preserve"> First, conduct longitudinal studies combining community perception data with independent ambient monitoring and health assessments to establish causal relationships between pollution exposure, regulatory action (or inaction), and health outcomes. Second, undertake comparative case studies across multiple facilities (e.g., other cement plants, mining operations, manufacturing facilities) and regulatory regimes to determine the </w:t>
      </w:r>
      <w:proofErr w:type="spellStart"/>
      <w:r w:rsidRPr="00C4664F">
        <w:rPr>
          <w:rFonts w:ascii="Times New Roman" w:hAnsi="Times New Roman" w:cs="Times New Roman"/>
        </w:rPr>
        <w:t>generalisability</w:t>
      </w:r>
      <w:proofErr w:type="spellEnd"/>
      <w:r w:rsidRPr="00C4664F">
        <w:rPr>
          <w:rFonts w:ascii="Times New Roman" w:hAnsi="Times New Roman" w:cs="Times New Roman"/>
        </w:rPr>
        <w:t xml:space="preserve"> of the multi-dimensional regulatory failure framework. Third, investigate the political economy of environmental regulation through network mapping of industry-regulator relationships, process tracing of enforcement decisions, and analysis of revolving door employment between regulated industries and regulatory agencies. Fourth, conduct dedicated research on gender dimensions of regulatory failure and reform, including participatory action research that involves women vendors in designing accessible complaint mechanisms. Fifth, evaluate the effectiveness of the recommended reforms through intervention studies that measure changes in trust, complaint reporting, emissions, and ambient air quality before and after implementation.</w:t>
      </w:r>
    </w:p>
    <w:p w14:paraId="4891C0D9"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pict w14:anchorId="7DA4CE41">
          <v:rect id="_x0000_i1079" style="width:0;height:.75pt" o:hralign="center" o:hrstd="t" o:hr="t" fillcolor="#a0a0a0" stroked="f"/>
        </w:pict>
      </w:r>
    </w:p>
    <w:p w14:paraId="1AA00D7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REFERENCES</w:t>
      </w:r>
    </w:p>
    <w:p w14:paraId="09305BE8"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 xml:space="preserve">Sharpe LM. Environmental impact assessment effectiveness in four Asian nations: Legal requirements versus implementation. Environmental Impact Assessment Review. </w:t>
      </w:r>
      <w:proofErr w:type="gramStart"/>
      <w:r w:rsidRPr="00C4664F">
        <w:rPr>
          <w:rFonts w:ascii="Times New Roman" w:hAnsi="Times New Roman" w:cs="Times New Roman"/>
        </w:rPr>
        <w:t>2024;104:107</w:t>
      </w:r>
      <w:proofErr w:type="gramEnd"/>
      <w:r w:rsidRPr="00C4664F">
        <w:rPr>
          <w:rFonts w:ascii="Times New Roman" w:hAnsi="Times New Roman" w:cs="Times New Roman"/>
        </w:rPr>
        <w:t>-123.</w:t>
      </w:r>
    </w:p>
    <w:p w14:paraId="1F427B12"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Liu Y, Wang X, Zhang H. Whole process accounting of emissions from China's cement industry: Beyond stack monitoring. Journal of Industrial Ecology. 2025;29(1):88-104.</w:t>
      </w:r>
    </w:p>
    <w:p w14:paraId="54782653"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Government of the Republic of Zambia. Environmental Management Act No. 12 of 2011. Lusaka: Government Printer; 2011.</w:t>
      </w:r>
    </w:p>
    <w:p w14:paraId="20630E41"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 xml:space="preserve">Uzor CO, Adebayo AA, </w:t>
      </w:r>
      <w:proofErr w:type="spellStart"/>
      <w:r w:rsidRPr="00C4664F">
        <w:rPr>
          <w:rFonts w:ascii="Times New Roman" w:hAnsi="Times New Roman" w:cs="Times New Roman"/>
        </w:rPr>
        <w:t>Ogunseye</w:t>
      </w:r>
      <w:proofErr w:type="spellEnd"/>
      <w:r w:rsidRPr="00C4664F">
        <w:rPr>
          <w:rFonts w:ascii="Times New Roman" w:hAnsi="Times New Roman" w:cs="Times New Roman"/>
        </w:rPr>
        <w:t xml:space="preserve"> OO. Air quality index assessment around the Dangote Cement Plant, Obajana, Nigeria. Journal of the Air &amp; Waste Management Association. 2025;75(3):198-215.</w:t>
      </w:r>
    </w:p>
    <w:p w14:paraId="13268DC3"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lastRenderedPageBreak/>
        <w:t>Schlosberg D. Defining environmental justice: Theories, movements, and nature. Oxford University Press; 2007.</w:t>
      </w:r>
    </w:p>
    <w:p w14:paraId="49192384"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Walker G. Environmental justice: Concepts, evidence and politics. Routledge; 2012.</w:t>
      </w:r>
    </w:p>
    <w:p w14:paraId="64746933"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African Commission on Human and Peoples' Rights. Resolution ACHPR/Res.605 on extractive industries, environment and human rights violations in Africa. Banjul: ACHPR; 2024.</w:t>
      </w:r>
    </w:p>
    <w:p w14:paraId="60F4B918"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Government of the Republic of Zambia. Environmental Impact Assessment Regulations, Statutory Instrument No. 28 of 2013. Lusaka: Government Printer; 2013.</w:t>
      </w:r>
    </w:p>
    <w:p w14:paraId="276DB951"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Chilala RD. Historical soil chemistry changes from cement dust deposition in Chilanga, Zambia. Zambia Journal of Environmental Science. 2016;8(2):45-58.</w:t>
      </w:r>
    </w:p>
    <w:p w14:paraId="376B2BF9" w14:textId="77777777" w:rsidR="00C4664F" w:rsidRPr="00C4664F" w:rsidRDefault="00C4664F" w:rsidP="00C4664F">
      <w:pPr>
        <w:numPr>
          <w:ilvl w:val="0"/>
          <w:numId w:val="1"/>
        </w:numPr>
        <w:spacing w:line="360" w:lineRule="auto"/>
        <w:jc w:val="both"/>
        <w:rPr>
          <w:rFonts w:ascii="Times New Roman" w:hAnsi="Times New Roman" w:cs="Times New Roman"/>
        </w:rPr>
      </w:pPr>
      <w:proofErr w:type="spellStart"/>
      <w:r w:rsidRPr="00C4664F">
        <w:rPr>
          <w:rFonts w:ascii="Times New Roman" w:hAnsi="Times New Roman" w:cs="Times New Roman"/>
        </w:rPr>
        <w:t>Nkhama</w:t>
      </w:r>
      <w:proofErr w:type="spellEnd"/>
      <w:r w:rsidRPr="00C4664F">
        <w:rPr>
          <w:rFonts w:ascii="Times New Roman" w:hAnsi="Times New Roman" w:cs="Times New Roman"/>
        </w:rPr>
        <w:t xml:space="preserve"> E, Ndhlovu M, </w:t>
      </w:r>
      <w:proofErr w:type="spellStart"/>
      <w:r w:rsidRPr="00C4664F">
        <w:rPr>
          <w:rFonts w:ascii="Times New Roman" w:hAnsi="Times New Roman" w:cs="Times New Roman"/>
        </w:rPr>
        <w:t>Siziya</w:t>
      </w:r>
      <w:proofErr w:type="spellEnd"/>
      <w:r w:rsidRPr="00C4664F">
        <w:rPr>
          <w:rFonts w:ascii="Times New Roman" w:hAnsi="Times New Roman" w:cs="Times New Roman"/>
        </w:rPr>
        <w:t xml:space="preserve"> S. Respiratory health effects of cement dust exposure in a Zambian community. International Journal of Environmental Health Research. 2015;25(4):412-425.</w:t>
      </w:r>
    </w:p>
    <w:p w14:paraId="2582B73E" w14:textId="77777777" w:rsidR="00C4664F" w:rsidRPr="00C4664F" w:rsidRDefault="00C4664F" w:rsidP="00C4664F">
      <w:pPr>
        <w:numPr>
          <w:ilvl w:val="0"/>
          <w:numId w:val="1"/>
        </w:numPr>
        <w:spacing w:line="360" w:lineRule="auto"/>
        <w:jc w:val="both"/>
        <w:rPr>
          <w:rFonts w:ascii="Times New Roman" w:hAnsi="Times New Roman" w:cs="Times New Roman"/>
        </w:rPr>
      </w:pPr>
      <w:proofErr w:type="spellStart"/>
      <w:r w:rsidRPr="00C4664F">
        <w:rPr>
          <w:rFonts w:ascii="Times New Roman" w:hAnsi="Times New Roman" w:cs="Times New Roman"/>
        </w:rPr>
        <w:t>Nkhama</w:t>
      </w:r>
      <w:proofErr w:type="spellEnd"/>
      <w:r w:rsidRPr="00C4664F">
        <w:rPr>
          <w:rFonts w:ascii="Times New Roman" w:hAnsi="Times New Roman" w:cs="Times New Roman"/>
        </w:rPr>
        <w:t xml:space="preserve"> E, Ndhlovu M, </w:t>
      </w:r>
      <w:proofErr w:type="spellStart"/>
      <w:r w:rsidRPr="00C4664F">
        <w:rPr>
          <w:rFonts w:ascii="Times New Roman" w:hAnsi="Times New Roman" w:cs="Times New Roman"/>
        </w:rPr>
        <w:t>Voyi</w:t>
      </w:r>
      <w:proofErr w:type="spellEnd"/>
      <w:r w:rsidRPr="00C4664F">
        <w:rPr>
          <w:rFonts w:ascii="Times New Roman" w:hAnsi="Times New Roman" w:cs="Times New Roman"/>
        </w:rPr>
        <w:t xml:space="preserve"> K. PM2.5 and PM10 concentrations and respiratory symptoms in a community adjacent to a cement plant in Zambia. Air Quality, Atmosphere &amp; Health. 2017;10(6):735-746.</w:t>
      </w:r>
    </w:p>
    <w:p w14:paraId="22BC7973"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Duah SK. Real-time environmental monitoring in Ghana's cement industry: The Empire Cement case. West African Journal of Applied Ecology. 2025;33(1):56-72.</w:t>
      </w:r>
    </w:p>
    <w:p w14:paraId="338C05E6"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ABB. Continuous emissions monitoring systems: CEM DAS achieves EN 17255 certification. Journal of Environmental Monitoring Technology. 2025;18(2):112-125.</w:t>
      </w:r>
    </w:p>
    <w:p w14:paraId="1DCB0938"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 xml:space="preserve">Environmental Management Agency of Zimbabwe. Compliance certificate issuance and conditions for cement manufacturing: </w:t>
      </w:r>
      <w:proofErr w:type="spellStart"/>
      <w:r w:rsidRPr="00C4664F">
        <w:rPr>
          <w:rFonts w:ascii="Times New Roman" w:hAnsi="Times New Roman" w:cs="Times New Roman"/>
        </w:rPr>
        <w:t>Magunje</w:t>
      </w:r>
      <w:proofErr w:type="spellEnd"/>
      <w:r w:rsidRPr="00C4664F">
        <w:rPr>
          <w:rFonts w:ascii="Times New Roman" w:hAnsi="Times New Roman" w:cs="Times New Roman"/>
        </w:rPr>
        <w:t xml:space="preserve"> plant. Harare: EMA; 2024.</w:t>
      </w:r>
    </w:p>
    <w:p w14:paraId="112D79D2"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Bhebhe T. Enforcement challenges in Zimbabwe's cement industry: The PPC case. African Journal of Environmental Law and Policy. 2025;12(1):78-95.</w:t>
      </w:r>
    </w:p>
    <w:p w14:paraId="18A723EA"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Braithwaite J. Regulatory capitalism: How it works, ideas for making it work better. Edward Elgar; 2008.</w:t>
      </w:r>
    </w:p>
    <w:p w14:paraId="5F198B71"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Tyler TR. Why people obey the law. Princeton University Press; 2006.</w:t>
      </w:r>
    </w:p>
    <w:p w14:paraId="72075A2B"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lastRenderedPageBreak/>
        <w:t xml:space="preserve">Kunz S, Hein J, </w:t>
      </w:r>
      <w:proofErr w:type="spellStart"/>
      <w:r w:rsidRPr="00C4664F">
        <w:rPr>
          <w:rFonts w:ascii="Times New Roman" w:hAnsi="Times New Roman" w:cs="Times New Roman"/>
        </w:rPr>
        <w:t>Sobirin</w:t>
      </w:r>
      <w:proofErr w:type="spellEnd"/>
      <w:r w:rsidRPr="00C4664F">
        <w:rPr>
          <w:rFonts w:ascii="Times New Roman" w:hAnsi="Times New Roman" w:cs="Times New Roman"/>
        </w:rPr>
        <w:t xml:space="preserve"> SM. Epistemic injustice in environmental governance: The devaluation of local knowledge. Environmental Politics. 2023;32(4):678-698.</w:t>
      </w:r>
    </w:p>
    <w:p w14:paraId="1F1B27F2"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Carpenter D, Moss D. Preventing regulatory capture: Special interest influence and how to limit it. Cambridge University Press; 2014.</w:t>
      </w:r>
    </w:p>
    <w:p w14:paraId="6FD8405C"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Dal Bó E. Regulatory capture: A review. Oxford Review of Economic Policy. 2006;22(2):203-225.</w:t>
      </w:r>
    </w:p>
    <w:p w14:paraId="5629F445"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Creswell JW, Plano Clark VL. Designing and conducting mixed methods research. 3rd ed. Sage Publications; 2017.</w:t>
      </w:r>
    </w:p>
    <w:p w14:paraId="228CD5CF"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Denzin NK. The research act: A theoretical introduction to sociological methods. Aldine; 1978.</w:t>
      </w:r>
    </w:p>
    <w:p w14:paraId="0FF31868"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Bowen GA. Document analysis as a qualitative research method. Qualitative Research Journal. 2009;9(2):27-40.</w:t>
      </w:r>
    </w:p>
    <w:p w14:paraId="7BFBF5B7"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Braun V, Clarke V. Using thematic analysis in psychology. Qualitative Research in Psychology. 2006;3(2):77-101.</w:t>
      </w:r>
    </w:p>
    <w:p w14:paraId="0C0E6691"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Environmental Council of Zambia. Enforcement action report: Lafarge Zambia – Chilanga plant. Lusaka: ECZ; 2009.</w:t>
      </w:r>
    </w:p>
    <w:p w14:paraId="1F819089"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Ayres I, Braithwaite J. Responsive regulation: Transcending the deregulation debate. Oxford University Press; 1992.</w:t>
      </w:r>
    </w:p>
    <w:p w14:paraId="489292AA"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 xml:space="preserve">Gray WB, </w:t>
      </w:r>
      <w:proofErr w:type="spellStart"/>
      <w:r w:rsidRPr="00C4664F">
        <w:rPr>
          <w:rFonts w:ascii="Times New Roman" w:hAnsi="Times New Roman" w:cs="Times New Roman"/>
        </w:rPr>
        <w:t>Shimshack</w:t>
      </w:r>
      <w:proofErr w:type="spellEnd"/>
      <w:r w:rsidRPr="00C4664F">
        <w:rPr>
          <w:rFonts w:ascii="Times New Roman" w:hAnsi="Times New Roman" w:cs="Times New Roman"/>
        </w:rPr>
        <w:t xml:space="preserve"> JP. The effectiveness of environmental monitoring and enforcement: A review of the empirical evidence. Review of Environmental Economics and Policy. 2011;5(1):3-24.</w:t>
      </w:r>
    </w:p>
    <w:p w14:paraId="3A1154C2" w14:textId="77777777" w:rsidR="00C4664F" w:rsidRPr="00C4664F" w:rsidRDefault="00C4664F" w:rsidP="00C4664F">
      <w:pPr>
        <w:numPr>
          <w:ilvl w:val="0"/>
          <w:numId w:val="1"/>
        </w:numPr>
        <w:spacing w:line="360" w:lineRule="auto"/>
        <w:jc w:val="both"/>
        <w:rPr>
          <w:rFonts w:ascii="Times New Roman" w:hAnsi="Times New Roman" w:cs="Times New Roman"/>
        </w:rPr>
      </w:pPr>
      <w:proofErr w:type="spellStart"/>
      <w:r w:rsidRPr="00C4664F">
        <w:rPr>
          <w:rFonts w:ascii="Times New Roman" w:hAnsi="Times New Roman" w:cs="Times New Roman"/>
        </w:rPr>
        <w:t>Shimshack</w:t>
      </w:r>
      <w:proofErr w:type="spellEnd"/>
      <w:r w:rsidRPr="00C4664F">
        <w:rPr>
          <w:rFonts w:ascii="Times New Roman" w:hAnsi="Times New Roman" w:cs="Times New Roman"/>
        </w:rPr>
        <w:t xml:space="preserve"> JP. The economics of environmental monitoring and enforcement. Annual Review of Resource Economics. </w:t>
      </w:r>
      <w:proofErr w:type="gramStart"/>
      <w:r w:rsidRPr="00C4664F">
        <w:rPr>
          <w:rFonts w:ascii="Times New Roman" w:hAnsi="Times New Roman" w:cs="Times New Roman"/>
        </w:rPr>
        <w:t>2014;6:339</w:t>
      </w:r>
      <w:proofErr w:type="gramEnd"/>
      <w:r w:rsidRPr="00C4664F">
        <w:rPr>
          <w:rFonts w:ascii="Times New Roman" w:hAnsi="Times New Roman" w:cs="Times New Roman"/>
        </w:rPr>
        <w:t>-360.</w:t>
      </w:r>
    </w:p>
    <w:p w14:paraId="45ED5784"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Government of South Africa. National Environmental Management: Air Quality Act No. 39 of 2004. Pretoria: Government Printer; 2004.</w:t>
      </w:r>
    </w:p>
    <w:p w14:paraId="3D432FE8" w14:textId="77777777" w:rsidR="00C4664F" w:rsidRPr="00C4664F" w:rsidRDefault="00C4664F" w:rsidP="00C4664F">
      <w:pPr>
        <w:numPr>
          <w:ilvl w:val="0"/>
          <w:numId w:val="1"/>
        </w:numPr>
        <w:spacing w:line="360" w:lineRule="auto"/>
        <w:jc w:val="both"/>
        <w:rPr>
          <w:rFonts w:ascii="Times New Roman" w:hAnsi="Times New Roman" w:cs="Times New Roman"/>
        </w:rPr>
      </w:pPr>
      <w:proofErr w:type="spellStart"/>
      <w:r w:rsidRPr="00C4664F">
        <w:rPr>
          <w:rFonts w:ascii="Times New Roman" w:hAnsi="Times New Roman" w:cs="Times New Roman"/>
        </w:rPr>
        <w:lastRenderedPageBreak/>
        <w:t>Mikkilä</w:t>
      </w:r>
      <w:proofErr w:type="spellEnd"/>
      <w:r w:rsidRPr="00C4664F">
        <w:rPr>
          <w:rFonts w:ascii="Times New Roman" w:hAnsi="Times New Roman" w:cs="Times New Roman"/>
        </w:rPr>
        <w:t xml:space="preserve"> M, Uusitalo U, Lähde L. From corporate social responsibility to sustainable business: An outside-in perspective. Business Strategy and the Environment. 2021;30(8):3456-3472.</w:t>
      </w:r>
    </w:p>
    <w:p w14:paraId="55919FA9" w14:textId="77777777" w:rsidR="00C4664F" w:rsidRPr="00C4664F" w:rsidRDefault="00C4664F" w:rsidP="00C4664F">
      <w:pPr>
        <w:numPr>
          <w:ilvl w:val="0"/>
          <w:numId w:val="1"/>
        </w:numPr>
        <w:spacing w:line="360" w:lineRule="auto"/>
        <w:jc w:val="both"/>
        <w:rPr>
          <w:rFonts w:ascii="Times New Roman" w:hAnsi="Times New Roman" w:cs="Times New Roman"/>
        </w:rPr>
      </w:pPr>
      <w:r w:rsidRPr="00C4664F">
        <w:rPr>
          <w:rFonts w:ascii="Times New Roman" w:hAnsi="Times New Roman" w:cs="Times New Roman"/>
        </w:rPr>
        <w:t>Camilleri MA. Corporate sustainability and responsibility: Creating value for business, society and the environment. Asian Journal of Sustainability and Social Responsibility. 2017;2(1):59-74.</w:t>
      </w:r>
    </w:p>
    <w:p w14:paraId="4EA70211"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rPr>
        <w:pict w14:anchorId="368990D2">
          <v:rect id="_x0000_i1080" style="width:0;height:.75pt" o:hralign="center" o:hrstd="t" o:hr="t" fillcolor="#a0a0a0" stroked="f"/>
        </w:pict>
      </w:r>
    </w:p>
    <w:p w14:paraId="780720B0"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Acknowledgments:</w:t>
      </w:r>
      <w:r w:rsidRPr="00C4664F">
        <w:rPr>
          <w:rFonts w:ascii="Times New Roman" w:hAnsi="Times New Roman" w:cs="Times New Roman"/>
        </w:rPr>
        <w:t xml:space="preserve"> The author thanks the community leaders and vegetable vendors of Freedom Compound for their participation and willingness to share their experiences despite the difficulties they face. </w:t>
      </w:r>
      <w:proofErr w:type="gramStart"/>
      <w:r w:rsidRPr="00C4664F">
        <w:rPr>
          <w:rFonts w:ascii="Times New Roman" w:hAnsi="Times New Roman" w:cs="Times New Roman"/>
        </w:rPr>
        <w:t>Thanks</w:t>
      </w:r>
      <w:proofErr w:type="gramEnd"/>
      <w:r w:rsidRPr="00C4664F">
        <w:rPr>
          <w:rFonts w:ascii="Times New Roman" w:hAnsi="Times New Roman" w:cs="Times New Roman"/>
        </w:rPr>
        <w:t xml:space="preserve"> are also extended to ZEMA officials who provided institutional perspectives, with the understanding that their views do not necessarily reflect official agency positions. This research was conducted as part of the author's Master of Science dissertation at the University of Lusaka. No specific funding was received.</w:t>
      </w:r>
    </w:p>
    <w:p w14:paraId="447DE9F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Conflict of Interest:</w:t>
      </w:r>
      <w:r w:rsidRPr="00C4664F">
        <w:rPr>
          <w:rFonts w:ascii="Times New Roman" w:hAnsi="Times New Roman" w:cs="Times New Roman"/>
        </w:rPr>
        <w:t> The author declares no competing interests. Neither the author nor the University of Lusaka received any financial or in-kind support from ZEMA, Chilanga Cement, or any related entity.</w:t>
      </w:r>
    </w:p>
    <w:p w14:paraId="2D855D1B"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Funding:</w:t>
      </w:r>
      <w:r w:rsidRPr="00C4664F">
        <w:rPr>
          <w:rFonts w:ascii="Times New Roman" w:hAnsi="Times New Roman" w:cs="Times New Roman"/>
        </w:rPr>
        <w:t> This research received no specific grant from any funding agency in the public, commercial, or not-for-profit sectors.</w:t>
      </w:r>
    </w:p>
    <w:p w14:paraId="7051AD5F"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Ethical Approval:</w:t>
      </w:r>
      <w:r w:rsidRPr="00C4664F">
        <w:rPr>
          <w:rFonts w:ascii="Times New Roman" w:hAnsi="Times New Roman" w:cs="Times New Roman"/>
        </w:rPr>
        <w:t> University of Lusaka Research Ethics Committee (Approval Number: UNILUS/REC/2019/017). Zambia National Health Research Authority (Approval Number: ZNHR/2020/May/023).</w:t>
      </w:r>
    </w:p>
    <w:p w14:paraId="08750A2E"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Consent to Participate:</w:t>
      </w:r>
      <w:r w:rsidRPr="00C4664F">
        <w:rPr>
          <w:rFonts w:ascii="Times New Roman" w:hAnsi="Times New Roman" w:cs="Times New Roman"/>
        </w:rPr>
        <w:t> Informed consent was obtained from all participants. For participants with literacy limitations, witnessed verbal consent was obtained following full oral disclosure of study procedures and risks.</w:t>
      </w:r>
    </w:p>
    <w:p w14:paraId="0D143326"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Consent for Publication:</w:t>
      </w:r>
      <w:r w:rsidRPr="00C4664F">
        <w:rPr>
          <w:rFonts w:ascii="Times New Roman" w:hAnsi="Times New Roman" w:cs="Times New Roman"/>
        </w:rPr>
        <w:t xml:space="preserve"> All participants provided consent for publication of </w:t>
      </w:r>
      <w:proofErr w:type="spellStart"/>
      <w:r w:rsidRPr="00C4664F">
        <w:rPr>
          <w:rFonts w:ascii="Times New Roman" w:hAnsi="Times New Roman" w:cs="Times New Roman"/>
        </w:rPr>
        <w:t>anonymised</w:t>
      </w:r>
      <w:proofErr w:type="spellEnd"/>
      <w:r w:rsidRPr="00C4664F">
        <w:rPr>
          <w:rFonts w:ascii="Times New Roman" w:hAnsi="Times New Roman" w:cs="Times New Roman"/>
        </w:rPr>
        <w:t xml:space="preserve"> data, with the understanding that direct quotations might appear in the published manuscript but no identifying information would be disclosed.</w:t>
      </w:r>
    </w:p>
    <w:p w14:paraId="5AFAE144" w14:textId="77777777" w:rsidR="00C4664F" w:rsidRP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lastRenderedPageBreak/>
        <w:t>Data Availability:</w:t>
      </w:r>
      <w:r w:rsidRPr="00C4664F">
        <w:rPr>
          <w:rFonts w:ascii="Times New Roman" w:hAnsi="Times New Roman" w:cs="Times New Roman"/>
        </w:rPr>
        <w:t xml:space="preserve"> Data available from corresponding author upon reasonable request. </w:t>
      </w:r>
      <w:proofErr w:type="spellStart"/>
      <w:r w:rsidRPr="00C4664F">
        <w:rPr>
          <w:rFonts w:ascii="Times New Roman" w:hAnsi="Times New Roman" w:cs="Times New Roman"/>
        </w:rPr>
        <w:t>Anonymised</w:t>
      </w:r>
      <w:proofErr w:type="spellEnd"/>
      <w:r w:rsidRPr="00C4664F">
        <w:rPr>
          <w:rFonts w:ascii="Times New Roman" w:hAnsi="Times New Roman" w:cs="Times New Roman"/>
        </w:rPr>
        <w:t xml:space="preserve"> survey data and interview transcripts are available for non-commercial research purposes subject to approval by the University of Lusaka Research Ethics Committee.</w:t>
      </w:r>
    </w:p>
    <w:p w14:paraId="65A0CAD6" w14:textId="77777777" w:rsidR="00C4664F" w:rsidRDefault="00C4664F" w:rsidP="00C4664F">
      <w:pPr>
        <w:spacing w:line="360" w:lineRule="auto"/>
        <w:jc w:val="both"/>
        <w:rPr>
          <w:rFonts w:ascii="Times New Roman" w:hAnsi="Times New Roman" w:cs="Times New Roman"/>
        </w:rPr>
      </w:pPr>
      <w:r w:rsidRPr="00C4664F">
        <w:rPr>
          <w:rFonts w:ascii="Times New Roman" w:hAnsi="Times New Roman" w:cs="Times New Roman"/>
          <w:b/>
          <w:bCs/>
        </w:rPr>
        <w:t>Disclaimer:</w:t>
      </w:r>
      <w:r w:rsidRPr="00C4664F">
        <w:rPr>
          <w:rFonts w:ascii="Times New Roman" w:hAnsi="Times New Roman" w:cs="Times New Roman"/>
        </w:rPr>
        <w:t xml:space="preserve"> The views expressed are solely those of the author and do not necessarily reflect official positions of any </w:t>
      </w:r>
      <w:proofErr w:type="spellStart"/>
      <w:r w:rsidRPr="00C4664F">
        <w:rPr>
          <w:rFonts w:ascii="Times New Roman" w:hAnsi="Times New Roman" w:cs="Times New Roman"/>
        </w:rPr>
        <w:t>organisation</w:t>
      </w:r>
      <w:proofErr w:type="spellEnd"/>
      <w:r w:rsidRPr="00C4664F">
        <w:rPr>
          <w:rFonts w:ascii="Times New Roman" w:hAnsi="Times New Roman" w:cs="Times New Roman"/>
        </w:rPr>
        <w:t xml:space="preserve"> referenced, including ZEMA, the University of Lusaka, or the Government of Zambia.</w:t>
      </w:r>
    </w:p>
    <w:p w14:paraId="33E01ED9" w14:textId="1A7EB6EE" w:rsidR="0047311D" w:rsidRPr="00C4664F" w:rsidRDefault="0047311D" w:rsidP="0047311D">
      <w:pPr>
        <w:spacing w:line="360" w:lineRule="auto"/>
        <w:rPr>
          <w:rFonts w:ascii="Times New Roman" w:hAnsi="Times New Roman" w:cs="Times New Roman"/>
        </w:rPr>
      </w:pPr>
      <w:r w:rsidRPr="0047311D">
        <w:rPr>
          <w:rFonts w:ascii="Times New Roman" w:hAnsi="Times New Roman" w:cs="Times New Roman"/>
          <w:b/>
          <w:bCs/>
        </w:rPr>
        <w:t>AI Policy</w:t>
      </w:r>
      <w:r w:rsidRPr="0047311D">
        <w:rPr>
          <w:rFonts w:ascii="Times New Roman" w:hAnsi="Times New Roman" w:cs="Times New Roman"/>
          <w:b/>
          <w:bCs/>
        </w:rPr>
        <w:t>:</w:t>
      </w:r>
      <w:r w:rsidRPr="0047311D">
        <w:rPr>
          <w:rFonts w:ascii="Times New Roman" w:hAnsi="Times New Roman" w:cs="Times New Roman"/>
        </w:rPr>
        <w:br/>
        <w:t>The author used artificial intelligence solely to improve English sentence construction and grammar; no AI was used for data analysis or interpretation.</w:t>
      </w:r>
    </w:p>
    <w:p w14:paraId="62001EF6" w14:textId="77777777" w:rsidR="00A77FD5" w:rsidRDefault="00A77FD5"/>
    <w:sectPr w:rsidR="00A77FD5">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1332F" w14:textId="77777777" w:rsidR="00B83ECE" w:rsidRDefault="00B83ECE" w:rsidP="00C4664F">
      <w:pPr>
        <w:spacing w:after="0" w:line="240" w:lineRule="auto"/>
      </w:pPr>
      <w:r>
        <w:separator/>
      </w:r>
    </w:p>
  </w:endnote>
  <w:endnote w:type="continuationSeparator" w:id="0">
    <w:p w14:paraId="2FA6A5BF" w14:textId="77777777" w:rsidR="00B83ECE" w:rsidRDefault="00B83ECE" w:rsidP="00C46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043182"/>
      <w:docPartObj>
        <w:docPartGallery w:val="Page Numbers (Bottom of Page)"/>
        <w:docPartUnique/>
      </w:docPartObj>
    </w:sdtPr>
    <w:sdtEndPr>
      <w:rPr>
        <w:noProof/>
      </w:rPr>
    </w:sdtEndPr>
    <w:sdtContent>
      <w:p w14:paraId="3112D00A" w14:textId="2F5F742A" w:rsidR="00C4664F" w:rsidRDefault="00C466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6D3542" w14:textId="77777777" w:rsidR="00C4664F" w:rsidRDefault="00C46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210D3" w14:textId="77777777" w:rsidR="00B83ECE" w:rsidRDefault="00B83ECE" w:rsidP="00C4664F">
      <w:pPr>
        <w:spacing w:after="0" w:line="240" w:lineRule="auto"/>
      </w:pPr>
      <w:r>
        <w:separator/>
      </w:r>
    </w:p>
  </w:footnote>
  <w:footnote w:type="continuationSeparator" w:id="0">
    <w:p w14:paraId="571771B0" w14:textId="77777777" w:rsidR="00B83ECE" w:rsidRDefault="00B83ECE" w:rsidP="00C46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E571C"/>
    <w:multiLevelType w:val="multilevel"/>
    <w:tmpl w:val="4EF8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43228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4F"/>
    <w:rsid w:val="000711C1"/>
    <w:rsid w:val="0022601E"/>
    <w:rsid w:val="003359FE"/>
    <w:rsid w:val="0041233D"/>
    <w:rsid w:val="00450319"/>
    <w:rsid w:val="0047311D"/>
    <w:rsid w:val="005327C0"/>
    <w:rsid w:val="00736DD3"/>
    <w:rsid w:val="00A77FD5"/>
    <w:rsid w:val="00AA2084"/>
    <w:rsid w:val="00B16D64"/>
    <w:rsid w:val="00B83ECE"/>
    <w:rsid w:val="00C4664F"/>
    <w:rsid w:val="00E14FC4"/>
    <w:rsid w:val="00E27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960AD"/>
  <w15:chartTrackingRefBased/>
  <w15:docId w15:val="{9E21158D-4BEB-4DCC-851C-3E4A55E4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6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66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66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66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66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66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6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6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6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6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66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66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66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66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66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6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6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64F"/>
    <w:rPr>
      <w:rFonts w:eastAsiaTheme="majorEastAsia" w:cstheme="majorBidi"/>
      <w:color w:val="272727" w:themeColor="text1" w:themeTint="D8"/>
    </w:rPr>
  </w:style>
  <w:style w:type="paragraph" w:styleId="Title">
    <w:name w:val="Title"/>
    <w:basedOn w:val="Normal"/>
    <w:next w:val="Normal"/>
    <w:link w:val="TitleChar"/>
    <w:uiPriority w:val="10"/>
    <w:qFormat/>
    <w:rsid w:val="00C466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6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6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6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64F"/>
    <w:pPr>
      <w:spacing w:before="160"/>
      <w:jc w:val="center"/>
    </w:pPr>
    <w:rPr>
      <w:i/>
      <w:iCs/>
      <w:color w:val="404040" w:themeColor="text1" w:themeTint="BF"/>
    </w:rPr>
  </w:style>
  <w:style w:type="character" w:customStyle="1" w:styleId="QuoteChar">
    <w:name w:val="Quote Char"/>
    <w:basedOn w:val="DefaultParagraphFont"/>
    <w:link w:val="Quote"/>
    <w:uiPriority w:val="29"/>
    <w:rsid w:val="00C4664F"/>
    <w:rPr>
      <w:i/>
      <w:iCs/>
      <w:color w:val="404040" w:themeColor="text1" w:themeTint="BF"/>
    </w:rPr>
  </w:style>
  <w:style w:type="paragraph" w:styleId="ListParagraph">
    <w:name w:val="List Paragraph"/>
    <w:basedOn w:val="Normal"/>
    <w:uiPriority w:val="34"/>
    <w:qFormat/>
    <w:rsid w:val="00C4664F"/>
    <w:pPr>
      <w:ind w:left="720"/>
      <w:contextualSpacing/>
    </w:pPr>
  </w:style>
  <w:style w:type="character" w:styleId="IntenseEmphasis">
    <w:name w:val="Intense Emphasis"/>
    <w:basedOn w:val="DefaultParagraphFont"/>
    <w:uiPriority w:val="21"/>
    <w:qFormat/>
    <w:rsid w:val="00C4664F"/>
    <w:rPr>
      <w:i/>
      <w:iCs/>
      <w:color w:val="2F5496" w:themeColor="accent1" w:themeShade="BF"/>
    </w:rPr>
  </w:style>
  <w:style w:type="paragraph" w:styleId="IntenseQuote">
    <w:name w:val="Intense Quote"/>
    <w:basedOn w:val="Normal"/>
    <w:next w:val="Normal"/>
    <w:link w:val="IntenseQuoteChar"/>
    <w:uiPriority w:val="30"/>
    <w:qFormat/>
    <w:rsid w:val="00C466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664F"/>
    <w:rPr>
      <w:i/>
      <w:iCs/>
      <w:color w:val="2F5496" w:themeColor="accent1" w:themeShade="BF"/>
    </w:rPr>
  </w:style>
  <w:style w:type="character" w:styleId="IntenseReference">
    <w:name w:val="Intense Reference"/>
    <w:basedOn w:val="DefaultParagraphFont"/>
    <w:uiPriority w:val="32"/>
    <w:qFormat/>
    <w:rsid w:val="00C4664F"/>
    <w:rPr>
      <w:b/>
      <w:bCs/>
      <w:smallCaps/>
      <w:color w:val="2F5496" w:themeColor="accent1" w:themeShade="BF"/>
      <w:spacing w:val="5"/>
    </w:rPr>
  </w:style>
  <w:style w:type="paragraph" w:styleId="Header">
    <w:name w:val="header"/>
    <w:basedOn w:val="Normal"/>
    <w:link w:val="HeaderChar"/>
    <w:uiPriority w:val="99"/>
    <w:unhideWhenUsed/>
    <w:rsid w:val="00C46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64F"/>
  </w:style>
  <w:style w:type="paragraph" w:styleId="Footer">
    <w:name w:val="footer"/>
    <w:basedOn w:val="Normal"/>
    <w:link w:val="FooterChar"/>
    <w:uiPriority w:val="99"/>
    <w:unhideWhenUsed/>
    <w:rsid w:val="00C46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34</Pages>
  <Words>9924</Words>
  <Characters>56572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Musona</dc:creator>
  <cp:keywords/>
  <dc:description/>
  <cp:lastModifiedBy>Joseph Musona</cp:lastModifiedBy>
  <cp:revision>3</cp:revision>
  <dcterms:created xsi:type="dcterms:W3CDTF">2026-05-11T20:05:00Z</dcterms:created>
  <dcterms:modified xsi:type="dcterms:W3CDTF">2026-05-11T20:15:00Z</dcterms:modified>
</cp:coreProperties>
</file>