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1C305" w14:textId="77777777" w:rsidR="00ED5041" w:rsidRDefault="00ED5041" w:rsidP="00ED5041">
      <w:pPr>
        <w:spacing w:before="240" w:after="240" w:line="240" w:lineRule="auto"/>
        <w:jc w:val="center"/>
        <w:rPr>
          <w:rFonts w:ascii="Times New Roman" w:hAnsi="Times New Roman" w:cs="Times New Roman"/>
          <w:b/>
          <w:bCs/>
          <w:sz w:val="36"/>
          <w:szCs w:val="36"/>
        </w:rPr>
      </w:pPr>
      <w:bookmarkStart w:id="0" w:name="_Hlk224723341"/>
      <w:r w:rsidRPr="00331499">
        <w:rPr>
          <w:rFonts w:ascii="Times New Roman" w:hAnsi="Times New Roman" w:cs="Times New Roman"/>
          <w:b/>
          <w:bCs/>
          <w:sz w:val="36"/>
          <w:szCs w:val="36"/>
        </w:rPr>
        <w:t>OPTIMUM BIODIESEL PRODUCTION FROM PALM KERNEL OIL USING HETE</w:t>
      </w:r>
      <w:r>
        <w:rPr>
          <w:rFonts w:ascii="Times New Roman" w:hAnsi="Times New Roman" w:cs="Times New Roman"/>
          <w:b/>
          <w:bCs/>
          <w:sz w:val="36"/>
          <w:szCs w:val="36"/>
        </w:rPr>
        <w:t>R</w:t>
      </w:r>
      <w:r w:rsidRPr="00331499">
        <w:rPr>
          <w:rFonts w:ascii="Times New Roman" w:hAnsi="Times New Roman" w:cs="Times New Roman"/>
          <w:b/>
          <w:bCs/>
          <w:sz w:val="36"/>
          <w:szCs w:val="36"/>
        </w:rPr>
        <w:t xml:space="preserve">OGENEOUS CATALYST FROM </w:t>
      </w:r>
      <w:r>
        <w:rPr>
          <w:rFonts w:ascii="Times New Roman" w:hAnsi="Times New Roman" w:cs="Times New Roman"/>
          <w:b/>
          <w:bCs/>
          <w:sz w:val="36"/>
          <w:szCs w:val="36"/>
        </w:rPr>
        <w:t>CARBIDE SLAG</w:t>
      </w:r>
      <w:r w:rsidRPr="00331499">
        <w:rPr>
          <w:rFonts w:ascii="Times New Roman" w:hAnsi="Times New Roman" w:cs="Times New Roman"/>
          <w:b/>
          <w:bCs/>
          <w:sz w:val="36"/>
          <w:szCs w:val="36"/>
        </w:rPr>
        <w:t xml:space="preserve"> AND TERMITE HILL CLAY</w:t>
      </w:r>
    </w:p>
    <w:p w14:paraId="20ED6883" w14:textId="77777777" w:rsidR="00F81338" w:rsidRPr="00F629D3" w:rsidRDefault="00F81338" w:rsidP="00F81338">
      <w:pPr>
        <w:spacing w:line="240" w:lineRule="auto"/>
        <w:jc w:val="center"/>
        <w:rPr>
          <w:rFonts w:ascii="Times New Roman" w:eastAsia="SimSun" w:hAnsi="Times New Roman" w:cs="Times New Roman"/>
          <w:sz w:val="24"/>
          <w:szCs w:val="24"/>
        </w:rPr>
      </w:pPr>
      <w:r w:rsidRPr="00F629D3">
        <w:rPr>
          <w:rFonts w:ascii="Times New Roman" w:hAnsi="Times New Roman" w:cs="Times New Roman"/>
          <w:b/>
          <w:sz w:val="24"/>
          <w:szCs w:val="24"/>
        </w:rPr>
        <w:t>Justina Oduwa Okho</w:t>
      </w:r>
      <w:r>
        <w:rPr>
          <w:rFonts w:ascii="Times New Roman" w:hAnsi="Times New Roman" w:cs="Times New Roman"/>
          <w:b/>
          <w:sz w:val="24"/>
          <w:szCs w:val="24"/>
        </w:rPr>
        <w:t>n</w:t>
      </w:r>
      <w:r w:rsidRPr="00F629D3">
        <w:rPr>
          <w:rFonts w:ascii="Times New Roman" w:hAnsi="Times New Roman" w:cs="Times New Roman"/>
          <w:b/>
          <w:sz w:val="24"/>
          <w:szCs w:val="24"/>
        </w:rPr>
        <w:t>mina</w:t>
      </w:r>
      <w:r>
        <w:rPr>
          <w:rFonts w:ascii="Times New Roman" w:hAnsi="Times New Roman" w:cs="Times New Roman"/>
          <w:b/>
          <w:sz w:val="24"/>
          <w:szCs w:val="24"/>
        </w:rPr>
        <w:t>*</w:t>
      </w:r>
      <w:r w:rsidRPr="00F629D3">
        <w:rPr>
          <w:rFonts w:ascii="Times New Roman" w:hAnsi="Times New Roman" w:cs="Times New Roman"/>
          <w:b/>
          <w:sz w:val="24"/>
          <w:szCs w:val="24"/>
        </w:rPr>
        <w:t>, Kessington Obahiagbon and Eghe Amenze Oyedoh</w:t>
      </w:r>
    </w:p>
    <w:p w14:paraId="4ECF39EA" w14:textId="77777777" w:rsidR="00F81338" w:rsidRPr="00331499" w:rsidRDefault="00F81338" w:rsidP="00F81338">
      <w:pPr>
        <w:spacing w:line="240" w:lineRule="auto"/>
        <w:jc w:val="center"/>
        <w:rPr>
          <w:rFonts w:ascii="Times New Roman" w:hAnsi="Times New Roman" w:cs="Times New Roman"/>
          <w:b/>
          <w:sz w:val="24"/>
          <w:szCs w:val="24"/>
        </w:rPr>
      </w:pPr>
      <w:r w:rsidRPr="00331499">
        <w:rPr>
          <w:rFonts w:ascii="Times New Roman" w:hAnsi="Times New Roman" w:cs="Times New Roman"/>
          <w:b/>
          <w:sz w:val="24"/>
          <w:szCs w:val="24"/>
        </w:rPr>
        <w:t>Department of Chemical Engineering, University of Benin, Nigeria</w:t>
      </w:r>
    </w:p>
    <w:p w14:paraId="5A54762F" w14:textId="77777777" w:rsidR="00ED5041" w:rsidRPr="00B57752" w:rsidRDefault="00ED5041" w:rsidP="00EB4651">
      <w:pPr>
        <w:spacing w:line="240" w:lineRule="auto"/>
        <w:rPr>
          <w:rFonts w:ascii="Times New Roman" w:hAnsi="Times New Roman" w:cs="Times New Roman"/>
          <w:b/>
          <w:sz w:val="28"/>
          <w:szCs w:val="28"/>
        </w:rPr>
      </w:pPr>
      <w:r w:rsidRPr="00B57752">
        <w:rPr>
          <w:rFonts w:ascii="Times New Roman" w:hAnsi="Times New Roman" w:cs="Times New Roman"/>
          <w:b/>
          <w:sz w:val="28"/>
          <w:szCs w:val="28"/>
        </w:rPr>
        <w:t>ABSTRACT</w:t>
      </w:r>
    </w:p>
    <w:p w14:paraId="7546BD71" w14:textId="77777777" w:rsidR="00ED5041" w:rsidRDefault="00ED5041" w:rsidP="00ED5041">
      <w:pPr>
        <w:spacing w:line="240" w:lineRule="auto"/>
        <w:jc w:val="both"/>
        <w:rPr>
          <w:rFonts w:ascii="Times New Roman" w:hAnsi="Times New Roman" w:cs="Times New Roman"/>
          <w:bCs/>
          <w:sz w:val="24"/>
          <w:szCs w:val="24"/>
          <w:lang w:val="en-GB"/>
        </w:rPr>
      </w:pPr>
      <w:r w:rsidRPr="00F629D3">
        <w:rPr>
          <w:rFonts w:ascii="Times New Roman" w:hAnsi="Times New Roman" w:cs="Times New Roman"/>
          <w:bCs/>
          <w:sz w:val="24"/>
          <w:szCs w:val="24"/>
          <w:lang w:val="en-GB"/>
        </w:rPr>
        <w:t>This study</w:t>
      </w:r>
      <w:r>
        <w:rPr>
          <w:rFonts w:ascii="Times New Roman" w:hAnsi="Times New Roman" w:cs="Times New Roman"/>
          <w:bCs/>
          <w:sz w:val="24"/>
          <w:szCs w:val="24"/>
          <w:lang w:val="en-GB"/>
        </w:rPr>
        <w:t xml:space="preserve"> is</w:t>
      </w:r>
      <w:r w:rsidRPr="00F629D3">
        <w:rPr>
          <w:rFonts w:ascii="Times New Roman" w:hAnsi="Times New Roman" w:cs="Times New Roman"/>
          <w:bCs/>
          <w:sz w:val="24"/>
          <w:szCs w:val="24"/>
          <w:lang w:val="en-GB"/>
        </w:rPr>
        <w:t xml:space="preserve"> aimed at optimizing biodiesel production from palm kernel oil (PKO), using heterogeneous catalyst made from </w:t>
      </w:r>
      <w:r>
        <w:rPr>
          <w:rFonts w:ascii="Times New Roman" w:hAnsi="Times New Roman" w:cs="Times New Roman"/>
          <w:bCs/>
          <w:sz w:val="24"/>
          <w:szCs w:val="24"/>
          <w:lang w:val="en-GB"/>
        </w:rPr>
        <w:t>carbide slag</w:t>
      </w:r>
      <w:r w:rsidRPr="00F629D3">
        <w:rPr>
          <w:rFonts w:ascii="Times New Roman" w:hAnsi="Times New Roman" w:cs="Times New Roman"/>
          <w:bCs/>
          <w:sz w:val="24"/>
          <w:szCs w:val="24"/>
          <w:lang w:val="en-GB"/>
        </w:rPr>
        <w:t xml:space="preserve"> and termite hill clay. The precursors (carbide waste and termite hill clay) were prepared and characterized. The composite catalyst was doped with Zn(NO</w:t>
      </w:r>
      <w:r w:rsidRPr="00F629D3">
        <w:rPr>
          <w:rFonts w:ascii="Times New Roman" w:hAnsi="Times New Roman" w:cs="Times New Roman"/>
          <w:bCs/>
          <w:sz w:val="24"/>
          <w:szCs w:val="24"/>
          <w:vertAlign w:val="subscript"/>
          <w:lang w:val="en-GB"/>
        </w:rPr>
        <w:t>3</w:t>
      </w:r>
      <w:r w:rsidRPr="00F629D3">
        <w:rPr>
          <w:rFonts w:ascii="Times New Roman" w:hAnsi="Times New Roman" w:cs="Times New Roman"/>
          <w:bCs/>
          <w:sz w:val="24"/>
          <w:szCs w:val="24"/>
          <w:lang w:val="en-GB"/>
        </w:rPr>
        <w:t>)</w:t>
      </w:r>
      <w:r w:rsidRPr="00F629D3">
        <w:rPr>
          <w:rFonts w:ascii="Times New Roman" w:hAnsi="Times New Roman" w:cs="Times New Roman"/>
          <w:bCs/>
          <w:sz w:val="24"/>
          <w:szCs w:val="24"/>
          <w:vertAlign w:val="subscript"/>
          <w:lang w:val="en-GB"/>
        </w:rPr>
        <w:t xml:space="preserve">2 </w:t>
      </w:r>
      <w:r w:rsidRPr="00F629D3">
        <w:rPr>
          <w:rFonts w:ascii="Times New Roman" w:hAnsi="Times New Roman" w:cs="Times New Roman"/>
          <w:bCs/>
          <w:sz w:val="24"/>
          <w:szCs w:val="24"/>
          <w:lang w:val="en-GB"/>
        </w:rPr>
        <w:t xml:space="preserve">by wet impregnation method. The PKO was characterized to obtain its different properties. </w:t>
      </w:r>
      <w:r w:rsidRPr="00F629D3">
        <w:rPr>
          <w:rFonts w:ascii="Times New Roman" w:hAnsi="Times New Roman" w:cs="Times New Roman"/>
          <w:sz w:val="24"/>
          <w:szCs w:val="24"/>
          <w:lang w:val="en-GB"/>
        </w:rPr>
        <w:t xml:space="preserve">Design of Experiments (DOE) was systematically used to study the effects of different variables on biodiesel yield </w:t>
      </w:r>
      <w:r w:rsidRPr="00F629D3">
        <w:rPr>
          <w:rFonts w:ascii="Times New Roman" w:hAnsi="Times New Roman" w:cs="Times New Roman"/>
          <w:bCs/>
          <w:sz w:val="24"/>
          <w:szCs w:val="24"/>
          <w:lang w:val="en-GB"/>
        </w:rPr>
        <w:t>and to ascertain the ideal conditions for optimum yield</w:t>
      </w:r>
      <w:r w:rsidRPr="00F629D3">
        <w:rPr>
          <w:rFonts w:ascii="Times New Roman" w:hAnsi="Times New Roman" w:cs="Times New Roman"/>
          <w:sz w:val="24"/>
          <w:szCs w:val="24"/>
          <w:lang w:val="en-GB"/>
        </w:rPr>
        <w:t xml:space="preserve">. The modelling was limited to RSM, using Box-Behnken design. </w:t>
      </w:r>
      <w:r w:rsidRPr="00F629D3">
        <w:rPr>
          <w:rFonts w:ascii="Times New Roman" w:hAnsi="Times New Roman" w:cs="Times New Roman"/>
          <w:bCs/>
          <w:sz w:val="24"/>
          <w:szCs w:val="24"/>
          <w:lang w:val="en-GB"/>
        </w:rPr>
        <w:t>The PKO’s acid value, saponification value, average molecular weight, density, viscosity, moisture content, iodine value and peroxide value were obtained as 7.34 mgKOH/g oil, 234.18 mgKOH/g oil, 741.93 g/mol, 0.901 g/cm</w:t>
      </w:r>
      <w:r w:rsidRPr="00F629D3">
        <w:rPr>
          <w:rFonts w:ascii="Times New Roman" w:hAnsi="Times New Roman" w:cs="Times New Roman"/>
          <w:bCs/>
          <w:sz w:val="24"/>
          <w:szCs w:val="24"/>
          <w:vertAlign w:val="superscript"/>
          <w:lang w:val="en-GB"/>
        </w:rPr>
        <w:t>3</w:t>
      </w:r>
      <w:r w:rsidRPr="00F629D3">
        <w:rPr>
          <w:rFonts w:ascii="Times New Roman" w:hAnsi="Times New Roman" w:cs="Times New Roman"/>
          <w:bCs/>
          <w:sz w:val="24"/>
          <w:szCs w:val="24"/>
          <w:lang w:val="en-GB"/>
        </w:rPr>
        <w:t>, 4.7 mPa.s, 1.09%, 18.7 mg I</w:t>
      </w:r>
      <w:r w:rsidRPr="00F629D3">
        <w:rPr>
          <w:rFonts w:ascii="Times New Roman" w:hAnsi="Times New Roman" w:cs="Times New Roman"/>
          <w:bCs/>
          <w:sz w:val="24"/>
          <w:szCs w:val="24"/>
          <w:vertAlign w:val="subscript"/>
          <w:lang w:val="en-GB"/>
        </w:rPr>
        <w:t>2</w:t>
      </w:r>
      <w:r w:rsidRPr="00F629D3">
        <w:rPr>
          <w:rFonts w:ascii="Times New Roman" w:hAnsi="Times New Roman" w:cs="Times New Roman"/>
          <w:bCs/>
          <w:sz w:val="24"/>
          <w:szCs w:val="24"/>
          <w:lang w:val="en-GB"/>
        </w:rPr>
        <w:t xml:space="preserve">/100g oil and 16.2 mEq/kg respectively. The XRF results showed that the </w:t>
      </w:r>
      <w:r>
        <w:rPr>
          <w:rFonts w:ascii="Times New Roman" w:hAnsi="Times New Roman" w:cs="Times New Roman"/>
          <w:bCs/>
          <w:sz w:val="24"/>
          <w:szCs w:val="24"/>
          <w:lang w:val="en-GB"/>
        </w:rPr>
        <w:t>carbide slag</w:t>
      </w:r>
      <w:r w:rsidRPr="00F629D3">
        <w:rPr>
          <w:rFonts w:ascii="Times New Roman" w:hAnsi="Times New Roman" w:cs="Times New Roman"/>
          <w:bCs/>
          <w:sz w:val="24"/>
          <w:szCs w:val="24"/>
          <w:lang w:val="en-GB"/>
        </w:rPr>
        <w:t xml:space="preserve"> contained 89.763% CaO, 4.036 % SiO</w:t>
      </w:r>
      <w:r w:rsidRPr="00F629D3">
        <w:rPr>
          <w:rFonts w:ascii="Times New Roman" w:hAnsi="Times New Roman" w:cs="Times New Roman"/>
          <w:bCs/>
          <w:sz w:val="24"/>
          <w:szCs w:val="24"/>
          <w:vertAlign w:val="subscript"/>
          <w:lang w:val="en-GB"/>
        </w:rPr>
        <w:t>2</w:t>
      </w:r>
      <w:r w:rsidRPr="00F629D3">
        <w:rPr>
          <w:rFonts w:ascii="Times New Roman" w:hAnsi="Times New Roman" w:cs="Times New Roman"/>
          <w:bCs/>
          <w:sz w:val="24"/>
          <w:szCs w:val="24"/>
          <w:lang w:val="en-GB"/>
        </w:rPr>
        <w:t>, 3.880 % Al</w:t>
      </w:r>
      <w:r w:rsidRPr="00F629D3">
        <w:rPr>
          <w:rFonts w:ascii="Times New Roman" w:hAnsi="Times New Roman" w:cs="Times New Roman"/>
          <w:bCs/>
          <w:sz w:val="24"/>
          <w:szCs w:val="24"/>
          <w:vertAlign w:val="subscript"/>
          <w:lang w:val="en-GB"/>
        </w:rPr>
        <w:t>2</w:t>
      </w:r>
      <w:r w:rsidRPr="00F629D3">
        <w:rPr>
          <w:rFonts w:ascii="Times New Roman" w:hAnsi="Times New Roman" w:cs="Times New Roman"/>
          <w:bCs/>
          <w:sz w:val="24"/>
          <w:szCs w:val="24"/>
          <w:lang w:val="en-GB"/>
        </w:rPr>
        <w:t>O</w:t>
      </w:r>
      <w:r w:rsidRPr="00F629D3">
        <w:rPr>
          <w:rFonts w:ascii="Times New Roman" w:hAnsi="Times New Roman" w:cs="Times New Roman"/>
          <w:bCs/>
          <w:sz w:val="24"/>
          <w:szCs w:val="24"/>
          <w:vertAlign w:val="subscript"/>
          <w:lang w:val="en-GB"/>
        </w:rPr>
        <w:t>3</w:t>
      </w:r>
      <w:r w:rsidRPr="00F629D3">
        <w:rPr>
          <w:rFonts w:ascii="Times New Roman" w:hAnsi="Times New Roman" w:cs="Times New Roman"/>
          <w:bCs/>
          <w:sz w:val="24"/>
          <w:szCs w:val="24"/>
          <w:lang w:val="en-GB"/>
        </w:rPr>
        <w:t>, etc., while the THC contained 46.924% SiO</w:t>
      </w:r>
      <w:r w:rsidRPr="00F629D3">
        <w:rPr>
          <w:rFonts w:ascii="Times New Roman" w:hAnsi="Times New Roman" w:cs="Times New Roman"/>
          <w:bCs/>
          <w:sz w:val="24"/>
          <w:szCs w:val="24"/>
          <w:vertAlign w:val="subscript"/>
          <w:lang w:val="en-GB"/>
        </w:rPr>
        <w:t>2</w:t>
      </w:r>
      <w:r w:rsidRPr="00F629D3">
        <w:rPr>
          <w:rFonts w:ascii="Times New Roman" w:hAnsi="Times New Roman" w:cs="Times New Roman"/>
          <w:bCs/>
          <w:sz w:val="24"/>
          <w:szCs w:val="24"/>
          <w:lang w:val="en-GB"/>
        </w:rPr>
        <w:t>, 24.144% Al</w:t>
      </w:r>
      <w:r w:rsidRPr="00F629D3">
        <w:rPr>
          <w:rFonts w:ascii="Times New Roman" w:hAnsi="Times New Roman" w:cs="Times New Roman"/>
          <w:bCs/>
          <w:sz w:val="24"/>
          <w:szCs w:val="24"/>
          <w:vertAlign w:val="subscript"/>
          <w:lang w:val="en-GB"/>
        </w:rPr>
        <w:t>2</w:t>
      </w:r>
      <w:r w:rsidRPr="00F629D3">
        <w:rPr>
          <w:rFonts w:ascii="Times New Roman" w:hAnsi="Times New Roman" w:cs="Times New Roman"/>
          <w:bCs/>
          <w:sz w:val="24"/>
          <w:szCs w:val="24"/>
          <w:lang w:val="en-GB"/>
        </w:rPr>
        <w:t>O</w:t>
      </w:r>
      <w:r w:rsidRPr="00F629D3">
        <w:rPr>
          <w:rFonts w:ascii="Times New Roman" w:hAnsi="Times New Roman" w:cs="Times New Roman"/>
          <w:bCs/>
          <w:sz w:val="24"/>
          <w:szCs w:val="24"/>
          <w:vertAlign w:val="subscript"/>
          <w:lang w:val="en-GB"/>
        </w:rPr>
        <w:t>3</w:t>
      </w:r>
      <w:r w:rsidRPr="00F629D3">
        <w:rPr>
          <w:rFonts w:ascii="Times New Roman" w:hAnsi="Times New Roman" w:cs="Times New Roman"/>
          <w:bCs/>
          <w:sz w:val="24"/>
          <w:szCs w:val="24"/>
          <w:lang w:val="en-GB"/>
        </w:rPr>
        <w:t>, 20.619 % Fe</w:t>
      </w:r>
      <w:r w:rsidRPr="00F629D3">
        <w:rPr>
          <w:rFonts w:ascii="Times New Roman" w:hAnsi="Times New Roman" w:cs="Times New Roman"/>
          <w:bCs/>
          <w:sz w:val="24"/>
          <w:szCs w:val="24"/>
          <w:vertAlign w:val="subscript"/>
          <w:lang w:val="en-GB"/>
        </w:rPr>
        <w:t>2</w:t>
      </w:r>
      <w:r w:rsidRPr="00F629D3">
        <w:rPr>
          <w:rFonts w:ascii="Times New Roman" w:hAnsi="Times New Roman" w:cs="Times New Roman"/>
          <w:bCs/>
          <w:sz w:val="24"/>
          <w:szCs w:val="24"/>
          <w:lang w:val="en-GB"/>
        </w:rPr>
        <w:t>O</w:t>
      </w:r>
      <w:r w:rsidRPr="00F629D3">
        <w:rPr>
          <w:rFonts w:ascii="Times New Roman" w:hAnsi="Times New Roman" w:cs="Times New Roman"/>
          <w:bCs/>
          <w:sz w:val="24"/>
          <w:szCs w:val="24"/>
          <w:vertAlign w:val="subscript"/>
          <w:lang w:val="en-GB"/>
        </w:rPr>
        <w:t>3</w:t>
      </w:r>
      <w:r w:rsidRPr="00F629D3">
        <w:rPr>
          <w:rFonts w:ascii="Times New Roman" w:hAnsi="Times New Roman" w:cs="Times New Roman"/>
          <w:bCs/>
          <w:sz w:val="24"/>
          <w:szCs w:val="24"/>
          <w:lang w:val="en-GB"/>
        </w:rPr>
        <w:t xml:space="preserve">, etc. The composite contained the required oxides for carrying out esterification and transesterification process simultaneously. The yield was observed to be significantly impacted by all the factors. RSM numerical optimization gave an optimum yield of 98.22% at 66.95 </w:t>
      </w:r>
      <w:r w:rsidRPr="00F629D3">
        <w:rPr>
          <w:rFonts w:ascii="Times New Roman" w:hAnsi="Times New Roman" w:cs="Times New Roman"/>
          <w:bCs/>
          <w:sz w:val="24"/>
          <w:szCs w:val="24"/>
          <w:vertAlign w:val="superscript"/>
          <w:lang w:val="en-GB"/>
        </w:rPr>
        <w:t>o</w:t>
      </w:r>
      <w:r w:rsidRPr="00F629D3">
        <w:rPr>
          <w:rFonts w:ascii="Times New Roman" w:hAnsi="Times New Roman" w:cs="Times New Roman"/>
          <w:bCs/>
          <w:sz w:val="24"/>
          <w:szCs w:val="24"/>
          <w:lang w:val="en-GB"/>
        </w:rPr>
        <w:t xml:space="preserve">C, 94.04 minutes, 11.98:1 alcohol/oil ratio, and 2.39 wt% catalyst loading. There was an overall reduction of 28.4% in yield between the first and sixth reactions, for the catalyst reusability studies, which catalysed six different reactions. The produced biodiesel was characterized and the properties were found to be in agreement with the ASTM D6571 and EN 14214 standards. </w:t>
      </w:r>
    </w:p>
    <w:p w14:paraId="35DE861F" w14:textId="77777777" w:rsidR="00ED5041" w:rsidRPr="00F629D3" w:rsidRDefault="00ED5041" w:rsidP="00ED5041">
      <w:pPr>
        <w:spacing w:line="240" w:lineRule="auto"/>
        <w:jc w:val="both"/>
        <w:rPr>
          <w:rFonts w:ascii="Times New Roman" w:hAnsi="Times New Roman" w:cs="Times New Roman"/>
          <w:sz w:val="24"/>
          <w:szCs w:val="24"/>
        </w:rPr>
      </w:pPr>
      <w:r w:rsidRPr="00F629D3">
        <w:rPr>
          <w:rFonts w:ascii="Times New Roman" w:hAnsi="Times New Roman" w:cs="Times New Roman"/>
          <w:b/>
          <w:sz w:val="24"/>
          <w:szCs w:val="24"/>
        </w:rPr>
        <w:t xml:space="preserve">Keywords: </w:t>
      </w:r>
      <w:r w:rsidRPr="00F629D3">
        <w:rPr>
          <w:rFonts w:ascii="Times New Roman" w:hAnsi="Times New Roman" w:cs="Times New Roman"/>
          <w:sz w:val="24"/>
          <w:szCs w:val="24"/>
        </w:rPr>
        <w:t xml:space="preserve">Palm kernel oil, </w:t>
      </w:r>
      <w:r>
        <w:rPr>
          <w:rFonts w:ascii="Times New Roman" w:hAnsi="Times New Roman" w:cs="Times New Roman"/>
          <w:sz w:val="24"/>
          <w:szCs w:val="24"/>
        </w:rPr>
        <w:t>Carbide slag</w:t>
      </w:r>
      <w:r w:rsidRPr="00F629D3">
        <w:rPr>
          <w:rFonts w:ascii="Times New Roman" w:hAnsi="Times New Roman" w:cs="Times New Roman"/>
          <w:sz w:val="24"/>
          <w:szCs w:val="24"/>
        </w:rPr>
        <w:t>, Termite hill clay,</w:t>
      </w:r>
      <w:r>
        <w:rPr>
          <w:rFonts w:ascii="Times New Roman" w:hAnsi="Times New Roman" w:cs="Times New Roman"/>
          <w:sz w:val="24"/>
          <w:szCs w:val="24"/>
        </w:rPr>
        <w:t xml:space="preserve"> </w:t>
      </w:r>
      <w:r w:rsidRPr="00F629D3">
        <w:rPr>
          <w:rFonts w:ascii="Times New Roman" w:hAnsi="Times New Roman" w:cs="Times New Roman"/>
          <w:sz w:val="24"/>
          <w:szCs w:val="24"/>
        </w:rPr>
        <w:t>Biodiesel, Response surface methodology</w:t>
      </w:r>
    </w:p>
    <w:p w14:paraId="34CC26A8" w14:textId="77777777" w:rsidR="00ED5041" w:rsidRPr="00B57752" w:rsidRDefault="00ED5041" w:rsidP="00ED5041">
      <w:pPr>
        <w:spacing w:line="240" w:lineRule="auto"/>
        <w:jc w:val="both"/>
        <w:rPr>
          <w:rFonts w:ascii="Times New Roman" w:hAnsi="Times New Roman" w:cs="Times New Roman"/>
          <w:b/>
          <w:sz w:val="28"/>
          <w:szCs w:val="28"/>
        </w:rPr>
      </w:pPr>
      <w:r w:rsidRPr="00B57752">
        <w:rPr>
          <w:rFonts w:ascii="Times New Roman" w:hAnsi="Times New Roman" w:cs="Times New Roman"/>
          <w:b/>
          <w:sz w:val="28"/>
          <w:szCs w:val="28"/>
        </w:rPr>
        <w:t>INTRODUCTION</w:t>
      </w:r>
    </w:p>
    <w:p w14:paraId="16F3DB3E" w14:textId="79123C73" w:rsidR="00ED5041" w:rsidRPr="00B55490" w:rsidRDefault="00ED5041" w:rsidP="00ED5041">
      <w:pPr>
        <w:spacing w:line="240" w:lineRule="auto"/>
        <w:jc w:val="both"/>
        <w:rPr>
          <w:rFonts w:ascii="Times New Roman" w:hAnsi="Times New Roman" w:cs="Times New Roman"/>
          <w:bCs/>
          <w:sz w:val="24"/>
          <w:szCs w:val="24"/>
          <w:lang w:val="en-GB"/>
        </w:rPr>
      </w:pPr>
      <w:r w:rsidRPr="00B55490">
        <w:rPr>
          <w:rFonts w:ascii="Times New Roman" w:hAnsi="Times New Roman" w:cs="Times New Roman"/>
          <w:bCs/>
          <w:sz w:val="24"/>
          <w:szCs w:val="24"/>
          <w:lang w:val="en-GB"/>
        </w:rPr>
        <w:t xml:space="preserve">The search for environmentally acceptable and sustainable alternatives for traditional fossil fuels is the foundation of research into biodiesel. One of the most crucial components of a nation's development has been recognized as sustainable energy, and the amount of this energy produced and used is considered to be a good indicator of that nation's degree of economic growth and development </w:t>
      </w:r>
      <w:r w:rsidRPr="00B55490">
        <w:rPr>
          <w:rFonts w:ascii="Times New Roman" w:hAnsi="Times New Roman" w:cs="Times New Roman"/>
          <w:bCs/>
          <w:sz w:val="24"/>
          <w:szCs w:val="24"/>
          <w:lang w:val="en-GB"/>
        </w:rPr>
        <w:fldChar w:fldCharType="begin" w:fldLock="1"/>
      </w:r>
      <w:r w:rsidR="006D5F3A">
        <w:rPr>
          <w:rFonts w:ascii="Times New Roman" w:hAnsi="Times New Roman" w:cs="Times New Roman"/>
          <w:bCs/>
          <w:sz w:val="24"/>
          <w:szCs w:val="24"/>
          <w:lang w:val="en-GB"/>
        </w:rPr>
        <w:instrText>ADDIN CSL_CITATION {"citationItems":[{"id":"ITEM-1","itemData":{"DOI":"10.1016/j.rser.2017.02.072","ISSN":"18790690","abstract":"Pursuit of excellence in economic development, in the midst of damaging the natural environment, is a shameless growth. The economic impacts on environmental degradation are quite visible in industrialized economies where human health is compromised by rapid economic growth and energy induced emissions. This study examines the interrelationship between energy consumption, economic growth and carbon dioxide (CO2) emissions under the six alternative and plausible hypothesis including Environmental Kuznets Curve (EKC), Pollution Haven Hypothesis (PHH), population based emissions (IPAT), energy led emissions, sectoral growth emissions and Emissions emancipated Human Development Index (eHDI) in the context of low and middle income countries, high income countries and in aggregated panel, over the period of 1975–2015. The results supported the EKC hypothesis, IPAT hypothesis, energy induced emissions, and sectoral growth emissions in different regions of the world, while PHH and eHDI hypothesis does not confirm across regions. This study exclusively determines the key socio-economic and environmental problems in a large pool of the world economies to understand the need of development policy agenda for sustainable growth.","author":[{"dropping-particle":"","family":"Zaman","given":"Khalid","non-dropping-particle":"","parse-names":false,"suffix":""},{"dropping-particle":"el","family":"Moemen","given":"Mitwali Abd","non-dropping-particle":"","parse-names":false,"suffix":""}],"container-title":"Renewable and Sustainable Energy Reviews","id":"ITEM-1","issued":{"date-parts":[["2017"]]},"page":"1119-1130","publisher":"Elsevier Ltd","title":"Energy consumption, carbon dioxide emissions and economic development: Evaluating alternative and plausible environmental hypothesis for sustainable growth","type":"article-journal","volume":"74"},"uris":["http://www.mendeley.com/documents/?uuid=0a547799-d5c9-47f2-a021-779b5061279d"]},{"id":"ITEM-2","itemData":{"DOI":"10.1016/j.rser.2015.10.083","ISSN":"18790690","abstract":"This study attempts to analyse the relationship between energy consumption and economic growth in Vietnam using the neoclassical Solow growth framework for the 1971-2011 period. The concept and methods of cointegration and Granger causality are used to establish the relationship between the variables of interest. Our results confirm the existence of cointegration among the variables. In particular, energy consumption, FDI and capital stock were found positively influence economic growth in Vietnam. The Granger causality test revealed unidirectional causality running from energy consumption to economic growth. Hence, Vietnam is an energy-dependent economy and any energy or environment policy drawn up in an attempt to conserve energy will jeopardise the process of economic development in Vietnam. For this reason, the renewable energy policy should be given attention to provide sufficient supplies of energy to speed up economic expansion. Investment in R&amp;D may be required to incentivise private/public institutions to engage in this innovation, while the awareness for energy-saving policy among public could be integrated to meet social economic development.","author":[{"dropping-particle":"","family":"Tang","given":"Chor Foon","non-dropping-particle":"","parse-names":false,"suffix":""},{"dropping-particle":"","family":"Tan","given":"Bee Wah","non-dropping-particle":"","parse-names":false,"suffix":""},{"dropping-particle":"","family":"Ozturk","given":"Ilhan","non-dropping-particle":"","parse-names":false,"suffix":""}],"container-title":"Renewable and Sustainable Energy Reviews","id":"ITEM-2","issued":{"date-parts":[["2016"]]},"page":"1506-1514","publisher":"Elsevier","title":"Energy consumption and economic growth in Vietnam","type":"article-journal","volume":"54"},"uris":["http://www.mendeley.com/documents/?uuid=81345539-643b-4f47-ae63-6497d4bc88f4"]},{"id":"ITEM-3","itemData":{"DOI":"10.3390/su2061784","ISSN":"20711050","abstract":"This paper advances five linked and controversial propositions that have both deep historical roots and urgent contemporary relevance. These are: (a) the rebound effects from energy efficiency improvements are significant and limit the potential for decoupling energy consumption from economic growth; (b) the contribution of energy to productivity improvements and economic growth has been greatly underestimated; (c) the pursuit of improved efficiency needs to be complemented by an ethic of sufficiency; (d) sustainability is incompatible with continued economic growth in rich countries; and (e) a zero-growth economy is incompatible with a fractional reserve banking system. These propositions run counter to conventional wisdom and each highlights either a \"blind spot\" or \"taboo subject\" that deserves closer scrutiny. While accepting one proposition reinforces the case for accepting the next, the former is neither necessary nor sufficient for the latter. © 2010 by the authors.","author":[{"dropping-particle":"","family":"Sorrell","given":"Steven","non-dropping-particle":"","parse-names":false,"suffix":""}],"container-title":"Sustainability","id":"ITEM-3","issue":"6","issued":{"date-parts":[["2010"]]},"page":"1784-1809","title":"Energy, economic growth and environmental sustainability: Five propositions","type":"article-journal","volume":"2"},"uris":["http://www.mendeley.com/documents/?uuid=b653e846-9cf0-4d3c-882b-6b9490392e5b"]},{"id":"ITEM-4","itemData":{"DOI":"10.1016/j.clet.2022.100501","ISSN":"2666-7908","author":[{"dropping-particle":"","family":"Amenaghawon","given":"Andrew Nosakhare","non-dropping-particle":"","parse-names":false,"suffix":""},{"dropping-particle":"","family":"Obahiagbon","given":"Kessington","non-dropping-particle":"","parse-names":false,"suffix":""},{"dropping-particle":"","family":"Isesele","given":"Victor","non-dropping-particle":"","parse-names":false,"suffix":""},{"dropping-particle":"","family":"Usman","given":"Fauzan","non-dropping-particle":"","parse-names":false,"suffix":""}],"container-title":"Cleaner Engineering and Technology","id":"ITEM-4","issue":"100501","issued":{"date-parts":[["2022"]]},"page":"100501","publisher":"Elsevier Ltd","title":"Optimized biodiesel production from waste cooking oil using a functionalized bio-based heterogeneous catalyst","type":"article-journal","volume":"8"},"uris":["http://www.mendeley.com/documents/?uuid=7e87074d-71b8-4461-86c1-d16ab1ad7395"]}],"mendeley":{"formattedCitation":"(Amenaghawon et al., 2022; Sorrell, 2010; Tang et al., 2016; Zaman &amp; Moemen, 2017)","manualFormatting":"[4]; Sorrell, 2010; Tang et al., 2016; Zaman &amp; Moemen, 2017)","plainTextFormattedCitation":"(Amenaghawon et al., 2022; Sorrell, 2010; Tang et al., 2016; Zaman &amp; Moemen, 2017)","previouslyFormattedCitation":"(Amenaghawon et al., 2022a; Sorrell, 2010; Tang et al., 2016; Zaman &amp; Moemen, 2017)"},"properties":{"noteIndex":0},"schema":"https://github.com/citation-style-language/schema/raw/master/csl-citation.json"}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006D5F3A">
        <w:rPr>
          <w:rFonts w:ascii="Times New Roman" w:hAnsi="Times New Roman" w:cs="Times New Roman"/>
          <w:bCs/>
          <w:noProof/>
          <w:sz w:val="24"/>
          <w:szCs w:val="24"/>
          <w:lang w:val="en-GB"/>
        </w:rPr>
        <w:t>[4]</w:t>
      </w:r>
      <w:r w:rsidR="00E65108" w:rsidRPr="00E65108">
        <w:rPr>
          <w:rFonts w:ascii="Times New Roman" w:hAnsi="Times New Roman" w:cs="Times New Roman"/>
          <w:bCs/>
          <w:noProof/>
          <w:sz w:val="24"/>
          <w:szCs w:val="24"/>
          <w:lang w:val="en-GB"/>
        </w:rPr>
        <w:t xml:space="preserve">; </w:t>
      </w:r>
      <w:r w:rsidR="00CB5DFA">
        <w:rPr>
          <w:rFonts w:ascii="Times New Roman" w:hAnsi="Times New Roman" w:cs="Times New Roman"/>
          <w:bCs/>
          <w:noProof/>
          <w:sz w:val="24"/>
          <w:szCs w:val="24"/>
          <w:lang w:val="en-GB"/>
        </w:rPr>
        <w:t>[59]</w:t>
      </w:r>
      <w:r w:rsidR="00E65108" w:rsidRPr="00E65108">
        <w:rPr>
          <w:rFonts w:ascii="Times New Roman" w:hAnsi="Times New Roman" w:cs="Times New Roman"/>
          <w:bCs/>
          <w:noProof/>
          <w:sz w:val="24"/>
          <w:szCs w:val="24"/>
          <w:lang w:val="en-GB"/>
        </w:rPr>
        <w:t xml:space="preserve">; </w:t>
      </w:r>
      <w:r w:rsidR="000F4A03">
        <w:rPr>
          <w:rFonts w:ascii="Times New Roman" w:hAnsi="Times New Roman" w:cs="Times New Roman"/>
          <w:bCs/>
          <w:noProof/>
          <w:sz w:val="24"/>
          <w:szCs w:val="24"/>
          <w:lang w:val="en-GB"/>
        </w:rPr>
        <w:t>[62]</w:t>
      </w:r>
      <w:r w:rsidR="00E65108" w:rsidRPr="00E65108">
        <w:rPr>
          <w:rFonts w:ascii="Times New Roman" w:hAnsi="Times New Roman" w:cs="Times New Roman"/>
          <w:bCs/>
          <w:noProof/>
          <w:sz w:val="24"/>
          <w:szCs w:val="24"/>
          <w:lang w:val="en-GB"/>
        </w:rPr>
        <w:t xml:space="preserve">; </w:t>
      </w:r>
      <w:r w:rsidRPr="00B55490">
        <w:rPr>
          <w:rFonts w:ascii="Times New Roman" w:hAnsi="Times New Roman" w:cs="Times New Roman"/>
          <w:bCs/>
          <w:sz w:val="24"/>
          <w:szCs w:val="24"/>
        </w:rPr>
        <w:fldChar w:fldCharType="end"/>
      </w:r>
      <w:r w:rsidR="00DB4B59">
        <w:rPr>
          <w:rFonts w:ascii="Times New Roman" w:hAnsi="Times New Roman" w:cs="Times New Roman"/>
          <w:bCs/>
          <w:sz w:val="24"/>
          <w:szCs w:val="24"/>
        </w:rPr>
        <w:t>[74]</w:t>
      </w:r>
      <w:r w:rsidRPr="00B55490">
        <w:rPr>
          <w:rFonts w:ascii="Times New Roman" w:hAnsi="Times New Roman" w:cs="Times New Roman"/>
          <w:bCs/>
          <w:sz w:val="24"/>
          <w:szCs w:val="24"/>
          <w:lang w:val="en-GB"/>
        </w:rPr>
        <w:t>. More energy sources are needed to meet life’s basic needs as the world’s population grows at an exponential rate</w:t>
      </w:r>
      <w:r w:rsidR="00ED3F60">
        <w:rPr>
          <w:rFonts w:ascii="Times New Roman" w:hAnsi="Times New Roman" w:cs="Times New Roman"/>
          <w:bCs/>
          <w:sz w:val="24"/>
          <w:szCs w:val="24"/>
          <w:lang w:val="en-GB"/>
        </w:rPr>
        <w:t xml:space="preserve"> [50]</w:t>
      </w:r>
      <w:r w:rsidRPr="00B55490">
        <w:rPr>
          <w:rFonts w:ascii="Times New Roman" w:hAnsi="Times New Roman" w:cs="Times New Roman"/>
          <w:bCs/>
          <w:sz w:val="24"/>
          <w:szCs w:val="24"/>
          <w:lang w:val="en-GB"/>
        </w:rPr>
        <w:t>. The growing need for petroleum creates a challenge that necessitates looking for alternative</w:t>
      </w:r>
      <w:r w:rsidR="003F5052">
        <w:rPr>
          <w:rFonts w:ascii="Times New Roman" w:hAnsi="Times New Roman" w:cs="Times New Roman"/>
          <w:bCs/>
          <w:sz w:val="24"/>
          <w:szCs w:val="24"/>
          <w:lang w:val="en-GB"/>
        </w:rPr>
        <w:t xml:space="preserve"> </w:t>
      </w:r>
      <w:r w:rsidR="006E72BF">
        <w:rPr>
          <w:rFonts w:ascii="Times New Roman" w:hAnsi="Times New Roman" w:cs="Times New Roman"/>
          <w:bCs/>
          <w:sz w:val="24"/>
          <w:szCs w:val="24"/>
          <w:lang w:val="en-GB"/>
        </w:rPr>
        <w:t>[21]</w:t>
      </w:r>
      <w:r w:rsidRPr="00B55490">
        <w:rPr>
          <w:rFonts w:ascii="Times New Roman" w:hAnsi="Times New Roman" w:cs="Times New Roman"/>
          <w:bCs/>
          <w:sz w:val="24"/>
          <w:szCs w:val="24"/>
          <w:lang w:val="en-GB"/>
        </w:rPr>
        <w:t xml:space="preserve">. </w:t>
      </w:r>
    </w:p>
    <w:p w14:paraId="242E95B1" w14:textId="1B07F7A4" w:rsidR="00ED5041" w:rsidRPr="00B55490" w:rsidRDefault="00ED5041" w:rsidP="00ED5041">
      <w:pPr>
        <w:spacing w:line="240" w:lineRule="auto"/>
        <w:jc w:val="both"/>
        <w:rPr>
          <w:rFonts w:ascii="Times New Roman" w:hAnsi="Times New Roman" w:cs="Times New Roman"/>
          <w:bCs/>
          <w:sz w:val="24"/>
          <w:szCs w:val="24"/>
        </w:rPr>
      </w:pPr>
      <w:r>
        <w:rPr>
          <w:rFonts w:ascii="Times New Roman" w:hAnsi="Times New Roman" w:cs="Times New Roman"/>
          <w:bCs/>
          <w:sz w:val="24"/>
          <w:szCs w:val="24"/>
          <w:lang w:val="en-GB"/>
        </w:rPr>
        <w:t>B</w:t>
      </w:r>
      <w:r w:rsidRPr="00B55490">
        <w:rPr>
          <w:rFonts w:ascii="Times New Roman" w:hAnsi="Times New Roman" w:cs="Times New Roman"/>
          <w:bCs/>
          <w:sz w:val="24"/>
          <w:szCs w:val="24"/>
          <w:lang w:val="en-GB"/>
        </w:rPr>
        <w:t>iodiesel</w:t>
      </w:r>
      <w:r>
        <w:rPr>
          <w:rFonts w:ascii="Times New Roman" w:hAnsi="Times New Roman" w:cs="Times New Roman"/>
          <w:bCs/>
          <w:sz w:val="24"/>
          <w:szCs w:val="24"/>
          <w:lang w:val="en-GB"/>
        </w:rPr>
        <w:t xml:space="preserve"> is an alternate energy source which is</w:t>
      </w:r>
      <w:r w:rsidRPr="00B55490">
        <w:rPr>
          <w:rFonts w:ascii="Times New Roman" w:hAnsi="Times New Roman" w:cs="Times New Roman"/>
          <w:bCs/>
          <w:sz w:val="24"/>
          <w:szCs w:val="24"/>
          <w:lang w:val="en-GB"/>
        </w:rPr>
        <w:t xml:space="preserve"> made from biological components like vegetable or animal fats and used cooking oils. When compared to traditional diesel fuel, it is accepted to be a greener and more sustainable choice for a number of reasons </w:t>
      </w:r>
      <w:r w:rsidR="000F614E">
        <w:rPr>
          <w:rFonts w:ascii="Times New Roman" w:hAnsi="Times New Roman" w:cs="Times New Roman"/>
          <w:bCs/>
          <w:sz w:val="24"/>
          <w:szCs w:val="24"/>
          <w:lang w:val="en-GB"/>
        </w:rPr>
        <w:t>[60]</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DOI":"https://doi.org/10.3390/nano16020108","author":[{"dropping-particle":"","family":"Sun","given":"Jing","non-dropping-particle":"","parse-names":false,"suffix":""},{"dropping-particle":"","family":"Chen","given":"Hongwei","non-dropping-particle":"","parse-names":false,"suffix":""},{"dropping-particle":"","family":"Shen","given":"Hongjian","non-dropping-particle":"","parse-names":false,"suffix":""},{"dropping-particle":"","family":"Luo","given":"Xiang","non-dropping-particle":"","parse-names":false,"suffix":""},{"dropping-particle":"","family":"Lin","given":"Zezhou","non-dropping-particle":"","parse-names":false,"suffix":""}],"id":"ITEM-1","issue":"2","issued":{"date-parts":[["2026"]]},"page":"108","title":"Optimization of Biodiesel Production from Waste Cooking Oil Using a Construction Industry Waste Cement as a Heterogeneous and Reusable Catalyst","type":"article-journal","volume":"16"},"uris":["http://www.mendeley.com/documents/?uuid=2fea7af4-53b9-4d7b-a9ce-4cdfcd609546"]}],"mendeley":{"formattedCitation":"(Sun et al., 2026)","plainTextFormattedCitation":"(Sun et al., 2026)","previouslyFormattedCitation":"(Sun et al., 2026)"},"properties":{"noteIndex":0},"schema":"https://github.com/citation-style-language/schema/raw/master/csl-citation.json"}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rPr>
        <w:fldChar w:fldCharType="end"/>
      </w:r>
      <w:r w:rsidRPr="00B55490">
        <w:rPr>
          <w:rFonts w:ascii="Times New Roman" w:hAnsi="Times New Roman" w:cs="Times New Roman"/>
          <w:bCs/>
          <w:sz w:val="24"/>
          <w:szCs w:val="24"/>
          <w:lang w:val="en-GB"/>
        </w:rPr>
        <w:t>.</w:t>
      </w:r>
      <w:r w:rsidRPr="00B55490">
        <w:rPr>
          <w:rFonts w:ascii="Times New Roman" w:hAnsi="Times New Roman" w:cs="Times New Roman"/>
          <w:color w:val="000000" w:themeColor="text1"/>
          <w:sz w:val="24"/>
          <w:szCs w:val="24"/>
          <w:lang w:val="en-GB"/>
        </w:rPr>
        <w:t xml:space="preserve"> </w:t>
      </w:r>
      <w:r w:rsidRPr="00B55490">
        <w:rPr>
          <w:rFonts w:ascii="Times New Roman" w:hAnsi="Times New Roman" w:cs="Times New Roman"/>
          <w:bCs/>
          <w:sz w:val="24"/>
          <w:szCs w:val="24"/>
          <w:lang w:val="en-GB"/>
        </w:rPr>
        <w:t xml:space="preserve">Biodiesel is biodegradable, renewable, non-toxic and friendly to the environment </w:t>
      </w:r>
      <w:r w:rsidR="00B665C4">
        <w:rPr>
          <w:rFonts w:ascii="Times New Roman" w:hAnsi="Times New Roman" w:cs="Times New Roman"/>
          <w:bCs/>
          <w:sz w:val="24"/>
          <w:szCs w:val="24"/>
          <w:lang w:val="en-GB"/>
        </w:rPr>
        <w:t>[47]</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{"citationItems":[{"id":"ITEM-1","itemData":{"DOI":"10.1016/j.jngse.2017.02.046","ISSN":"18755100","abstract":"The incorporation of clean-fuel technologies has become essential for the sustainability of the transportation sector. Natural gas technology, especially the use of liquefied natural gas (LNG), has become a possible alternative to diesel oil in freight transport because of its acceptable autonomy and low fuel prices. For the introduction of this alternative fuel, freight companies need tools that allow them to perform an integrated assessment of relevant aspects related to environment, economy and social responsibility. This paper introduces a multi-criteria based methodology that integrates the key factors involved in the transport system: vehicles, infrastructure and fuels, and consideration of the three pillars of sustainability, as well as the reliability of technology, legislation and market issues. In particular, a case study for the impact assessment of LNG in comparison to hydrotreated vegetable oil (HVO) and diesel oil as regular long-haul freight transport fuels in Spain was developed. The information for the comparison process was obtained from peer-reviewed articles and reports from international and Spanish institutions, while the primary data was obtained through semi-structured in-depth interviews to the different stakeholders. A weighted sustainability index for each alternative was developed to integrate the data obtained through the analytic hierarchy process. The results indicate that LNG trucks would be an attractive option compared to diesel oil and HVO, provided that decision-makers give significant weight to social and environmental criteria, and that the government guarantees a legislative security to maintain the low taxes on natural gas. Integration of stakeholders allows making the most appropriate decision according to the objectives of the company. The application of the proposed methodology shows consistent results, which should ensure the success of a long-term alternative in the dynamic market for transportation fuels.","author":[{"dropping-particle":"","family":"Osorio-Tejada","given":"Jose Luis","non-dropping-particle":"","parse-names":false,"suffix":""},{"dropping-particle":"","family":"Llera-Sastresa","given":"Eva","non-dropping-particle":"","parse-names":false,"suffix":""},{"dropping-particle":"","family":"Scarpellini","given":"Sabina","non-dropping-particle":"","parse-names":false,"suffix":""}],"container-title":"Journal of Natural Gas Science and Engineering","id":"ITEM-1","issued":{"date-parts":[["2017"]]},"page":"169-186","publisher":"Elsevier B.V.","title":"A multi-criteria sustainability assessment for biodiesel and liquefied natural gas as alternative fuels in transport systems","type":"article-journal","volume":"42"},"uris":["http://www.mendeley.com/documents/?uuid=fd8ee80b-3f1a-4b72-8cfc-38a6b5b77945"]}],"mendeley":{"formattedCitation":"(Osorio-Tejada et al., 2017)","plainTextFormattedCitation":"(Osorio-Tejada et al., 2017)","previouslyFormattedCitation":"(Osorio-Tejada et al., 2017)"},"properties":{"noteIndex":0},"schema":"https://github.com/citation-style-language/schema/raw/master/csl-citation.json"}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lang w:val="en-GB"/>
        </w:rPr>
        <w:fldChar w:fldCharType="end"/>
      </w:r>
      <w:r w:rsidRPr="00B55490">
        <w:rPr>
          <w:rFonts w:ascii="Times New Roman" w:hAnsi="Times New Roman" w:cs="Times New Roman"/>
          <w:bCs/>
          <w:sz w:val="24"/>
          <w:szCs w:val="24"/>
          <w:lang w:val="en-GB"/>
        </w:rPr>
        <w:t>. Since biodiesel degrades more readily in the environment than conventional diesel fuel, it can have a less negative environmental effect in the event of spillages or leakages. Considering the fact that biodiesel comes from a variety of fuel sources, it can help provide energy security. It offers an alternative to diesel derived from petroleum, lowering reliance on fossil fuels and lowering the economic and geopolitical dangers connected with oil dependency</w:t>
      </w:r>
      <w:r w:rsidR="00374421">
        <w:rPr>
          <w:rFonts w:ascii="Times New Roman" w:hAnsi="Times New Roman" w:cs="Times New Roman"/>
          <w:bCs/>
          <w:sz w:val="24"/>
          <w:szCs w:val="24"/>
          <w:lang w:val="en-GB"/>
        </w:rPr>
        <w:t xml:space="preserve"> [45]</w:t>
      </w:r>
      <w:r w:rsidRPr="00B55490">
        <w:rPr>
          <w:rFonts w:ascii="Times New Roman" w:hAnsi="Times New Roman" w:cs="Times New Roman"/>
          <w:bCs/>
          <w:sz w:val="24"/>
          <w:szCs w:val="24"/>
          <w:lang w:val="en-GB"/>
        </w:rPr>
        <w:t>.</w:t>
      </w:r>
    </w:p>
    <w:p w14:paraId="2A317BAC" w14:textId="7646CFED" w:rsidR="00ED5041" w:rsidRPr="00B55490" w:rsidRDefault="00ED5041" w:rsidP="00ED5041">
      <w:pPr>
        <w:spacing w:line="240" w:lineRule="auto"/>
        <w:jc w:val="both"/>
        <w:rPr>
          <w:rFonts w:ascii="Times New Roman" w:hAnsi="Times New Roman" w:cs="Times New Roman"/>
          <w:bCs/>
          <w:sz w:val="24"/>
          <w:szCs w:val="24"/>
          <w:lang w:val="en-GB"/>
        </w:rPr>
      </w:pPr>
      <w:r w:rsidRPr="00B55490">
        <w:rPr>
          <w:rFonts w:ascii="Times New Roman" w:hAnsi="Times New Roman" w:cs="Times New Roman"/>
          <w:bCs/>
          <w:sz w:val="24"/>
          <w:szCs w:val="24"/>
          <w:lang w:val="en-GB"/>
        </w:rPr>
        <w:t>Triglycerides, or fats and oils, are converted into biodiesel and glycerol by the process of catalysis, which is vital to the process. Both animal fats and different types of vegetable oils can be used to produce biodiesel</w:t>
      </w:r>
      <w:r w:rsidR="001222B1">
        <w:rPr>
          <w:rFonts w:ascii="Times New Roman" w:hAnsi="Times New Roman" w:cs="Times New Roman"/>
          <w:bCs/>
          <w:sz w:val="24"/>
          <w:szCs w:val="24"/>
          <w:lang w:val="en-GB"/>
        </w:rPr>
        <w:t xml:space="preserve"> [12]</w:t>
      </w:r>
      <w:r w:rsidRPr="00B55490">
        <w:rPr>
          <w:rFonts w:ascii="Times New Roman" w:hAnsi="Times New Roman" w:cs="Times New Roman"/>
          <w:bCs/>
          <w:sz w:val="24"/>
          <w:szCs w:val="24"/>
          <w:lang w:val="en-GB"/>
        </w:rPr>
        <w:t xml:space="preserve">. Transesterification is the most widely used technique for producing biodiesel </w:t>
      </w:r>
      <w:r w:rsidR="005B510E">
        <w:rPr>
          <w:rFonts w:ascii="Times New Roman" w:hAnsi="Times New Roman" w:cs="Times New Roman"/>
          <w:bCs/>
          <w:sz w:val="24"/>
          <w:szCs w:val="24"/>
          <w:lang w:val="en-GB"/>
        </w:rPr>
        <w:t>[30]</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{"citationItems":[{"id":"ITEM-1","itemData":{"DOI":"10.1016/j.apenergy.2009.10.006","ISSN":"03062619","abstract":"Biodiesel is a low-emissions diesel substitute fuel made from renewable resources and waste lipid. The most common way to produce biodiesel is through transesterification, especially alkali-catalyzed transesterification. When the raw materials (oils or fats) have a high percentage of free fatty acids or water, the alkali catalyst will react with the free fatty acids to form soaps. The water can hydrolyze the triglycerides into diglycerides and form more free fatty acids. Both of the above reactions are undesirable and reduce the yield of the biodiesel product. In this situation, the acidic materials should be pre-treated to inhibit the saponification reaction. This paper reviews the different approaches of reducing free fatty acids in the raw oil and refinement of crude biodiesel that are adopted in the industry. The main factors affecting the yield of biodiesel, i.e. alcohol quantity, reaction time, reaction temperature and catalyst concentration, are discussed. This paper also described other new processes of biodiesel production. For instance, the Biox co-solvent process converts triglycerides to esters through the selection of inert co-solvents that generates a one-phase oil-rich system. The non-catalytic supercritical methanol process is advantageous in terms of shorter reaction time and lesser purification steps but requires high temperature and pressure. For the in situ biodiesel process, the oilseeds are treated directly with methanol in which the catalyst has been preciously dissolved at ambient temperatures and pressure to perform the transesterification of oils in the oilseeds. This process, however, cannot handle waste cooking oils and animal fats. © 2009 Elsevier Ltd. All rights reserved.","author":[{"dropping-particle":"","family":"Leung","given":"Dennis Y.C.","non-dropping-particle":"","parse-names":false,"suffix":""},{"dropping-particle":"","family":"Wu","given":"Xuan","non-dropping-particle":"","parse-names":false,"suffix":""},{"dropping-particle":"","family":"Leung","given":"M. K.H.","non-dropping-particle":"","parse-names":false,"suffix":""}],"container-title":"Applied Energy","id":"ITEM-1","issue":"4","issued":{"date-parts":[["2010"]]},"page":"1083-1095","publisher":"Elsevier Ltd","title":"A review on biodiesel production using catalyzed transesterification","type":"article-journal","volume":"87"},"uris":["http://www.mendeley.com/documents/?uuid=f6771bfc-f3da-43a6-88d5-f9ba61a3714f"]}],"mendeley":{"formattedCitation":"(Leung et al., 2010)","plainTextFormattedCitation":"(Leung et al., 2010)","previouslyFormattedCitation":"(Leung et al., 2010)"},"properties":{"noteIndex":0},"schema":"https://github.com/citation-style-language/schema/raw/master/csl-citation.json"}</w:instrText>
      </w:r>
      <w:r w:rsidR="003939F9">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lang w:val="en-GB"/>
        </w:rPr>
        <w:fldChar w:fldCharType="end"/>
      </w:r>
      <w:r w:rsidRPr="00B55490">
        <w:rPr>
          <w:rFonts w:ascii="Times New Roman" w:hAnsi="Times New Roman" w:cs="Times New Roman"/>
          <w:bCs/>
          <w:sz w:val="24"/>
          <w:szCs w:val="24"/>
          <w:lang w:val="en-GB"/>
        </w:rPr>
        <w:t xml:space="preserve">. It involves the reaction of </w:t>
      </w:r>
      <w:r w:rsidRPr="00B55490">
        <w:rPr>
          <w:rFonts w:ascii="Times New Roman" w:hAnsi="Times New Roman" w:cs="Times New Roman"/>
          <w:bCs/>
          <w:sz w:val="24"/>
          <w:szCs w:val="24"/>
          <w:lang w:val="en-GB"/>
        </w:rPr>
        <w:lastRenderedPageBreak/>
        <w:t xml:space="preserve">triglycerides with alcohol (often methanol or ethanol) in the presence of a catalyst to produce glycerol and biodiesel </w:t>
      </w:r>
      <w:r w:rsidRPr="00B55490">
        <w:rPr>
          <w:rFonts w:ascii="Times New Roman" w:hAnsi="Times New Roman" w:cs="Times New Roman"/>
          <w:bCs/>
          <w:sz w:val="24"/>
          <w:szCs w:val="24"/>
          <w:lang w:val="en-GB"/>
        </w:rPr>
        <w:fldChar w:fldCharType="begin" w:fldLock="1"/>
      </w:r>
      <w:r w:rsidR="006D5F3A">
        <w:rPr>
          <w:rFonts w:ascii="Times New Roman" w:hAnsi="Times New Roman" w:cs="Times New Roman"/>
          <w:bCs/>
          <w:sz w:val="24"/>
          <w:szCs w:val="24"/>
          <w:lang w:val="en-GB"/>
        </w:rPr>
        <w:instrText>ADDIN CSL_CITATION {"citationItems":[{"id":"ITEM-1","itemData":{"DOI":"10.1016/j.apcatb.2017.01.008","ISSN":"09263373","abstract":"Biodiesel may be produced through transesterification reaction between triglycerides and light alcohols in presence of different catalysts. This paper presents a study of kinetics of soybean methanolysis using cement kiln dust (CKD) as a heterogeneous catalyst. All reactions took place at a constant methanol to oil molar ratio of 12:1 and catalyst loading of 3.5%. The study consists of three phases; the first one is to consider the reaction following irreversible homogeneous kinetic models (1st and 2nd orders) due to using high excess of methanol. The second is to add the backward reaction term to the power law models. Finally, models for heterogeneous catalysts such as Eley–Rideal and Langmuir–Hinshelwood models are suggested to describe reaction kinetics. Least squares method, Runge–Kutta methods for ordinary differential equations and Levenberg–Marquardt algorithm for minimizing objective function were used to obtain the parameters of each suggested model in each phase. Calculation of determination coefficient (R2) and minimization of squared error summation method were used to determine which model is the best one to fit the experimental data. Eley–Rideal kinetic model was the best model amongst the suggested models. Fisher and Chi-square criteria were used to check the reliability of generated rate equation. The rate differential equation was solved to obtain the main engineering factors controlling the reaction.","author":[{"dropping-particle":"","family":"Al-Sakkari","given":"E. G.","non-dropping-particle":"","parse-names":false,"suffix":""},{"dropping-particle":"","family":"El-Sheltawy","given":"S. T.","non-dropping-particle":"","parse-names":false,"suffix":""},{"dropping-particle":"","family":"Attia","given":"N. K.","non-dropping-particle":"","parse-names":false,"suffix":""},{"dropping-particle":"","family":"Mostafa","given":"S. R.","non-dropping-particle":"","parse-names":false,"suffix":""}],"container-title":"Applied Catalysis B: Environmental","id":"ITEM-1","issued":{"date-parts":[["2017"]]},"page":"146-157","publisher":"Elsevier B.V.","title":"Kinetic study of soybean oil methanolysis using cement kiln dust as a heterogeneous catalyst for biodiesel production","type":"article-journal","volume":"206"},"uris":["http://www.mendeley.com/documents/?uuid=545133e8-0bcc-4c70-8bd5-d812a4e564ad"]},{"id":"ITEM-2","itemData":{"DOI":"10.1016/j.apenergy.2009.10.006","ISSN":"03062619","abstract":"Biodiesel is a low-emissions diesel substitute fuel made from renewable resources and waste lipid. The most common way to produce biodiesel is through transesterification, especially alkali-catalyzed transesterification. When the raw materials (oils or fats) have a high percentage of free fatty acids or water, the alkali catalyst will react with the free fatty acids to form soaps. The water can hydrolyze the triglycerides into diglycerides and form more free fatty acids. Both of the above reactions are undesirable and reduce the yield of the biodiesel product. In this situation, the acidic materials should be pre-treated to inhibit the saponification reaction. This paper reviews the different approaches of reducing free fatty acids in the raw oil and refinement of crude biodiesel that are adopted in the industry. The main factors affecting the yield of biodiesel, i.e. alcohol quantity, reaction time, reaction temperature and catalyst concentration, are discussed. This paper also described other new processes of biodiesel production. For instance, the Biox co-solvent process converts triglycerides to esters through the selection of inert co-solvents that generates a one-phase oil-rich system. The non-catalytic supercritical methanol process is advantageous in terms of shorter reaction time and lesser purification steps but requires high temperature and pressure. For the in situ biodiesel process, the oilseeds are treated directly with methanol in which the catalyst has been preciously dissolved at ambient temperatures and pressure to perform the transesterification of oils in the oilseeds. This process, however, cannot handle waste cooking oils and animal fats. © 2009 Elsevier Ltd. All rights reserved.","author":[{"dropping-particle":"","family":"Leung","given":"Dennis Y.C.","non-dropping-particle":"","parse-names":false,"suffix":""},{"dropping-particle":"","family":"Wu","given":"Xuan","non-dropping-particle":"","parse-names":false,"suffix":""},{"dropping-particle":"","family":"Leung","given":"M. K.H.","non-dropping-particle":"","parse-names":false,"suffix":""}],"container-title":"Applied Energy","id":"ITEM-2","issue":"4","issued":{"date-parts":[["2010"]]},"page":"1083-1095","publisher":"Elsevier Ltd","title":"A review on biodiesel production using catalyzed transesterification","type":"article-journal","volume":"87"},"uris":["http://www.mendeley.com/documents/?uuid=f6771bfc-f3da-43a6-88d5-f9ba61a3714f"]},{"id":"ITEM-3","itemData":{"DOI":"10.3389/fenrg.2020.00101","ISSN":"2296598X","abstract":"Biodiesel is one of the potential alternative energy sources that can be derived from renewable and low-grade origin through different processes. One of the processes is alcoholysis or transesterification in the presence of a suitable catalyst. The catalyst can be either homogeneous or heterogeneous. This article reviews various catalysts used for biodiesel production to date, presents the state of the art of types of catalysts, and compares their suitability and associated challenges in the transesterification process. Biodiesel production using homogeneous and heterogeneous catalysis has been studied extensively, and novel heterogeneous catalysts are being continuously investigated. Homogeneous catalysts are generally efficient in converting biodiesel with low free fatty acid (FFA) and water containing single-origin feedstock. Heterogeneous catalysts, on the other hand, provide superior activity, range of selectivity, good FFA, and water adaptability. The quantity and strengths of active acid or basic sites control these properties. Some of the heterogeneous catalysts such as zirconia and zeolite-based catalysts can be used as both basic and acidic catalyst by suitable alteration. Heterogeneous catalysts from waste and biocatalysts play an essential role in attaining a sustainable alternative to traditional homogeneous catalysts for biodiesel production. Recently, high catalytic efficiency at mild operating conditions has drawn attention to nanocatalysts. This review evaluates state of the art and perspectives for catalytic biodiesel production and assesses the critical operational variables that influence biodiesel production along with the technological solutions for sustainable implementation of the process.","author":[{"dropping-particle":"","family":"Rizwanul Fattah","given":"I. M.","non-dropping-particle":"","parse-names":false,"suffix":""},{"dropping-particle":"","family":"Ong","given":"H. C.","non-dropping-particle":"","parse-names":false,"suffix":""},{"dropping-particle":"","family":"Mahlia","given":"T. M.I.","non-dropping-particle":"","parse-names":false,"suffix":""},{"dropping-particle":"","family":"Mofijur","given":"M.","non-dropping-particle":"","parse-names":false,"suffix":""},{"dropping-particle":"","family":"Silitonga","given":"A. S.","non-dropping-particle":"","parse-names":false,"suffix":""},{"dropping-particle":"","family":"Ashrafur Rahman","given":"S. M.","non-dropping-particle":"","parse-names":false,"suffix":""},{"dropping-particle":"","family":"Ahmad","given":"Arslan","non-dropping-particle":"","parse-names":false,"suffix":""}],"container-title":"Frontiers in Energy Research","id":"ITEM-3","issued":{"date-parts":[["2020"]]},"page":"101","title":"State of the Art of Catalysts for Biodiesel Production","type":"article-journal","volume":"8"},"uris":["http://www.mendeley.com/documents/?uuid=435360a7-8c61-4c96-a743-915f94a0aa02"]}],"mendeley":{"formattedCitation":"(Al-Sakkari et al., 2017; Leung et al., 2010; Rizwanul Fattah et al., 2020)","manualFormatting":"[2]; Leung et al., 2010; Rizwanul Fattah et al., 2020)","plainTextFormattedCitation":"(Al-Sakkari et al., 2017; Leung et al., 2010; Rizwanul Fattah et al., 2020)","previouslyFormattedCitation":"(Al-Sakkari et al., 2017; Leung et al., 2010; Rizwanul Fattah et al., 2020)"},"properties":{"noteIndex":0},"schema":"https://github.com/citation-style-language/schema/raw/master/csl-citation.json"}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006D5F3A">
        <w:rPr>
          <w:rFonts w:ascii="Times New Roman" w:hAnsi="Times New Roman" w:cs="Times New Roman"/>
          <w:bCs/>
          <w:noProof/>
          <w:sz w:val="24"/>
          <w:szCs w:val="24"/>
          <w:lang w:val="en-GB"/>
        </w:rPr>
        <w:t>[2]</w:t>
      </w:r>
      <w:r w:rsidR="007D7CBB" w:rsidRPr="007D7CBB">
        <w:rPr>
          <w:rFonts w:ascii="Times New Roman" w:hAnsi="Times New Roman" w:cs="Times New Roman"/>
          <w:bCs/>
          <w:noProof/>
          <w:sz w:val="24"/>
          <w:szCs w:val="24"/>
          <w:lang w:val="en-GB"/>
        </w:rPr>
        <w:t>;</w:t>
      </w:r>
      <w:r w:rsidR="00F93E30">
        <w:rPr>
          <w:rFonts w:ascii="Times New Roman" w:hAnsi="Times New Roman" w:cs="Times New Roman"/>
          <w:bCs/>
          <w:noProof/>
          <w:sz w:val="24"/>
          <w:szCs w:val="24"/>
          <w:lang w:val="en-GB"/>
        </w:rPr>
        <w:t xml:space="preserve"> [</w:t>
      </w:r>
      <w:r w:rsidR="005B510E">
        <w:rPr>
          <w:rFonts w:ascii="Times New Roman" w:hAnsi="Times New Roman" w:cs="Times New Roman"/>
          <w:bCs/>
          <w:noProof/>
          <w:sz w:val="24"/>
          <w:szCs w:val="24"/>
          <w:lang w:val="en-GB"/>
        </w:rPr>
        <w:t>30]</w:t>
      </w:r>
      <w:r w:rsidR="007D7CBB" w:rsidRPr="007D7CBB">
        <w:rPr>
          <w:rFonts w:ascii="Times New Roman" w:hAnsi="Times New Roman" w:cs="Times New Roman"/>
          <w:bCs/>
          <w:noProof/>
          <w:sz w:val="24"/>
          <w:szCs w:val="24"/>
          <w:lang w:val="en-GB"/>
        </w:rPr>
        <w:t>;</w:t>
      </w:r>
      <w:r w:rsidRPr="00B55490">
        <w:rPr>
          <w:rFonts w:ascii="Times New Roman" w:hAnsi="Times New Roman" w:cs="Times New Roman"/>
          <w:bCs/>
          <w:sz w:val="24"/>
          <w:szCs w:val="24"/>
          <w:lang w:val="en-GB"/>
        </w:rPr>
        <w:fldChar w:fldCharType="end"/>
      </w:r>
      <w:r w:rsidR="00287C8C">
        <w:rPr>
          <w:rFonts w:ascii="Times New Roman" w:hAnsi="Times New Roman" w:cs="Times New Roman"/>
          <w:bCs/>
          <w:sz w:val="24"/>
          <w:szCs w:val="24"/>
          <w:lang w:val="en-GB"/>
        </w:rPr>
        <w:t xml:space="preserve"> [53]</w:t>
      </w:r>
      <w:r w:rsidRPr="00B55490">
        <w:rPr>
          <w:rFonts w:ascii="Times New Roman" w:hAnsi="Times New Roman" w:cs="Times New Roman"/>
          <w:bCs/>
          <w:sz w:val="24"/>
          <w:szCs w:val="24"/>
          <w:lang w:val="en-GB"/>
        </w:rPr>
        <w:t>. Chemical reactions can be accelerated by catalysts without being used up in the process.</w:t>
      </w:r>
    </w:p>
    <w:p w14:paraId="47623D31" w14:textId="7453A0AE" w:rsidR="00ED5041" w:rsidRPr="00B55490" w:rsidRDefault="00ED5041" w:rsidP="00ED5041">
      <w:pPr>
        <w:spacing w:line="240" w:lineRule="auto"/>
        <w:jc w:val="both"/>
        <w:rPr>
          <w:rFonts w:ascii="Times New Roman" w:hAnsi="Times New Roman" w:cs="Times New Roman"/>
          <w:bCs/>
          <w:sz w:val="24"/>
          <w:szCs w:val="24"/>
          <w:lang w:val="en-GB"/>
        </w:rPr>
      </w:pPr>
      <w:r w:rsidRPr="00B55490">
        <w:rPr>
          <w:rFonts w:ascii="Times New Roman" w:hAnsi="Times New Roman" w:cs="Times New Roman"/>
          <w:bCs/>
          <w:sz w:val="24"/>
          <w:szCs w:val="24"/>
          <w:lang w:val="en-GB"/>
        </w:rPr>
        <w:t>Homogeneous and heterogeneous catalysts are the two primary types of catalysts used in the production of biodiesel</w:t>
      </w:r>
      <w:r w:rsidR="00590F67">
        <w:rPr>
          <w:rFonts w:ascii="Times New Roman" w:hAnsi="Times New Roman" w:cs="Times New Roman"/>
          <w:bCs/>
          <w:sz w:val="24"/>
          <w:szCs w:val="24"/>
          <w:lang w:val="en-GB"/>
        </w:rPr>
        <w:t xml:space="preserve"> [53]</w:t>
      </w:r>
      <w:r w:rsidRPr="00B55490">
        <w:rPr>
          <w:rFonts w:ascii="Times New Roman" w:hAnsi="Times New Roman" w:cs="Times New Roman"/>
          <w:bCs/>
          <w:sz w:val="24"/>
          <w:szCs w:val="24"/>
          <w:lang w:val="en-GB"/>
        </w:rPr>
        <w:t xml:space="preserve">. Homogeneous catalysts include alkali catalysts, acid catalysts and enzymatic catalysts </w:t>
      </w:r>
      <w:r w:rsidRPr="00B55490">
        <w:rPr>
          <w:rFonts w:ascii="Times New Roman" w:hAnsi="Times New Roman" w:cs="Times New Roman"/>
          <w:bCs/>
          <w:sz w:val="24"/>
          <w:szCs w:val="24"/>
          <w:lang w:val="en-GB"/>
        </w:rPr>
        <w:fldChar w:fldCharType="begin" w:fldLock="1"/>
      </w:r>
      <w:r w:rsidR="00FD7B0E">
        <w:rPr>
          <w:rFonts w:ascii="Times New Roman" w:hAnsi="Times New Roman" w:cs="Times New Roman"/>
          <w:bCs/>
          <w:sz w:val="24"/>
          <w:szCs w:val="24"/>
          <w:lang w:val="en-GB"/>
        </w:rPr>
        <w:instrText>ADDIN CSL_CITATION {"citationItems":[{"id":"ITEM-1","itemData":{"DOI":"10.1007/s13399-014-0146-2","ISSN":"21906823","abstract":"This paper presents an overview of the main challenges in the production of biodiesel. Whereas the cost of biodiesel is determined for about 85 % by the cost of the raw material and that the most employed feedstock are oils used also for nutrition, it seems obvious that it is necessary to search for nonedible feedstock with low cost for the production of biodiesel. The choice of feedstock is based on variables such as the oil yield, local availability, cost, and government support. Feedstocks with higher oil yields are more preferable in the biodiesel industry because they can reduce the production cost. In Brazil, approximately 80 % of the biodiesel produced is made from soybean despite of its low oil content (18–21 %). The leadership of soybeans as feedstock for biodiesel production is explained by the increasing demand for more protein meal. Coconut and babassu with more oil yield respectively with 62 and 60 % of oil content are likely substitutes for soybean. Castor bean, despite of its high oil content (50 %) and advantages, such as low production cost and its resistance to hydric stress, has some difficulties to meet the ANP regulations, mainly due to its high viscosity. However, castor bean biodiesel-diesel blends of up to 40 % are within specifications. Yield per hectare is another factor that should be considered in the choice of raw material for the production of biodiesel. Among the various oilseeds, oil palm deserves to be highlighted as the most productive.","author":[{"dropping-particle":"","family":"Meira","given":"M.","non-dropping-particle":"","parse-names":false,"suffix":""},{"dropping-particle":"","family":"Quintella","given":"C. M.","non-dropping-particle":"","parse-names":false,"suffix":""},{"dropping-particle":"","family":"Ribeiro","given":"E. M.O.","non-dropping-particle":"","parse-names":false,"suffix":""},{"dropping-particle":"","family":"Silva","given":"H. R.G.","non-dropping-particle":"","parse-names":false,"suffix":""},{"dropping-particle":"","family":"Guimarães","given":"A. K.","non-dropping-particle":"","parse-names":false,"suffix":""}],"container-title":"Biomass Conversion and Biorefinery","id":"ITEM-1","issue":"3","issued":{"date-parts":[["2015"]]},"page":"321-329","title":"Overview of the challenges in the production of biodiesel","type":"article-journal","volume":"5"},"uris":["http://www.mendeley.com/documents/?uuid=ef8def32-1549-496f-b799-84f35e24615a"]},{"id":"ITEM-2","itemData":{"DOI":"10.1007/s10311-019-00885-x","ISBN":"0123456789","ISSN":"1610-3661","author":[{"dropping-particle":"","family":"Balajii","given":"Muthusamy","non-dropping-particle":"","parse-names":false,"suffix":""},{"dropping-particle":"","family":"Niju","given":"Subramaniapillai","non-dropping-particle":"","parse-names":false,"suffix":""}],"container-title":"Environmental Chemistry Letters","id":"ITEM-2","issue":"4","issued":{"date-parts":[["2019"]]},"page":"1447-1469","publisher":"Springer International Publishing","title":"Biochar ‑ derived heterogeneous catalysts for biodiesel production","type":"article-journal","volume":"17"},"uris":["http://www.mendeley.com/documents/?uuid=e65f8820-df5b-4324-80c9-4dac04e85f9b"]}],"mendeley":{"formattedCitation":"(Balajii &amp; Niju, 2019; Meira et al., 2015)","manualFormatting":"[7]; ","plainTextFormattedCitation":"(Balajii &amp; Niju, 2019; Meira et al., 2015)","previouslyFormattedCitation":"(Balajii &amp; Niju, 2019; Meira et al., 2015)"},"properties":{"noteIndex":0},"schema":"https://github.com/citation-style-language/schema/raw/master/csl-citation.json"}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005C5F98">
        <w:rPr>
          <w:rFonts w:ascii="Times New Roman" w:hAnsi="Times New Roman" w:cs="Times New Roman"/>
          <w:bCs/>
          <w:noProof/>
          <w:sz w:val="24"/>
          <w:szCs w:val="24"/>
          <w:lang w:val="en-GB"/>
        </w:rPr>
        <w:t>[7]</w:t>
      </w:r>
      <w:r w:rsidR="007D7CBB" w:rsidRPr="007D7CBB">
        <w:rPr>
          <w:rFonts w:ascii="Times New Roman" w:hAnsi="Times New Roman" w:cs="Times New Roman"/>
          <w:bCs/>
          <w:noProof/>
          <w:sz w:val="24"/>
          <w:szCs w:val="24"/>
          <w:lang w:val="en-GB"/>
        </w:rPr>
        <w:t xml:space="preserve">; </w:t>
      </w:r>
      <w:r w:rsidRPr="00B55490">
        <w:rPr>
          <w:rFonts w:ascii="Times New Roman" w:hAnsi="Times New Roman" w:cs="Times New Roman"/>
          <w:bCs/>
          <w:sz w:val="24"/>
          <w:szCs w:val="24"/>
          <w:lang w:val="en-GB"/>
        </w:rPr>
        <w:fldChar w:fldCharType="end"/>
      </w:r>
      <w:r w:rsidR="00676C3F">
        <w:rPr>
          <w:rFonts w:ascii="Times New Roman" w:hAnsi="Times New Roman" w:cs="Times New Roman"/>
          <w:bCs/>
          <w:sz w:val="24"/>
          <w:szCs w:val="24"/>
          <w:lang w:val="en-GB"/>
        </w:rPr>
        <w:t>[38]</w:t>
      </w:r>
      <w:r w:rsidRPr="00B55490">
        <w:rPr>
          <w:rFonts w:ascii="Times New Roman" w:hAnsi="Times New Roman" w:cs="Times New Roman"/>
          <w:bCs/>
          <w:sz w:val="24"/>
          <w:szCs w:val="24"/>
          <w:lang w:val="en-GB"/>
        </w:rPr>
        <w:t>. Alkali catalysts, such as potassium and sodium hydroxides, are frequently employed in their alkali hydroxide form</w:t>
      </w:r>
      <w:r w:rsidR="006D5F3A">
        <w:rPr>
          <w:rFonts w:ascii="Times New Roman" w:hAnsi="Times New Roman" w:cs="Times New Roman"/>
          <w:bCs/>
          <w:sz w:val="24"/>
          <w:szCs w:val="24"/>
          <w:lang w:val="en-GB"/>
        </w:rPr>
        <w:t xml:space="preserve"> [</w:t>
      </w:r>
      <w:r w:rsidR="005C5F98">
        <w:rPr>
          <w:rFonts w:ascii="Times New Roman" w:hAnsi="Times New Roman" w:cs="Times New Roman"/>
          <w:bCs/>
          <w:sz w:val="24"/>
          <w:szCs w:val="24"/>
          <w:lang w:val="en-GB"/>
        </w:rPr>
        <w:t>5]</w:t>
      </w:r>
      <w:r>
        <w:rPr>
          <w:rFonts w:ascii="Times New Roman" w:hAnsi="Times New Roman" w:cs="Times New Roman"/>
          <w:bCs/>
          <w:sz w:val="24"/>
          <w:szCs w:val="24"/>
          <w:lang w:val="en-GB"/>
        </w:rPr>
        <w:t>. In batch operations, they are useful in accelerating</w:t>
      </w:r>
      <w:r w:rsidRPr="00B55490">
        <w:rPr>
          <w:rFonts w:ascii="Times New Roman" w:hAnsi="Times New Roman" w:cs="Times New Roman"/>
          <w:bCs/>
          <w:sz w:val="24"/>
          <w:szCs w:val="24"/>
          <w:lang w:val="en-GB"/>
        </w:rPr>
        <w:t xml:space="preserve"> transesterification reaction </w:t>
      </w:r>
      <w:r w:rsidRPr="00B55490">
        <w:rPr>
          <w:rFonts w:ascii="Times New Roman" w:hAnsi="Times New Roman" w:cs="Times New Roman"/>
          <w:bCs/>
          <w:sz w:val="24"/>
          <w:szCs w:val="24"/>
          <w:lang w:val="en-GB"/>
        </w:rPr>
        <w:fldChar w:fldCharType="begin" w:fldLock="1"/>
      </w:r>
      <w:r w:rsidR="00097BFE">
        <w:rPr>
          <w:rFonts w:ascii="Times New Roman" w:hAnsi="Times New Roman" w:cs="Times New Roman"/>
          <w:bCs/>
          <w:sz w:val="24"/>
          <w:szCs w:val="24"/>
          <w:lang w:val="en-GB"/>
        </w:rPr>
        <w:instrText>ADDIN CSL_CITATION {"citationItems":[{"id":"ITEM-1","itemData":{"DOI":"10.1007/s12155-021-10333-w","ISBN":"0123456789","ISSN":"1939-1242","author":[{"dropping-particle":"","family":"Mandari","given":"Venkatesh","non-dropping-particle":"","parse-names":false,"suffix":""},{"dropping-particle":"","family":"Kumar","given":"Santhosh","non-dropping-particle":"","parse-names":false,"suffix":""}],"container-title":"BioEnergy Research","id":"ITEM-1","issue":"2","issued":{"date-parts":[["2022"]]},"page":"935-961","publisher":"Springer US","title":"Biodiesel Production Using Homogeneous , Heterogeneous , and Enzyme Catalysts via Transesterification and Esterification Reactions : a Critical Review","type":"article-journal","volume":"15"},"uris":["http://www.mendeley.com/documents/?uuid=6f513bc7-b489-4b44-81ee-a38c708d0495"]},{"id":"ITEM-2","itemData":{"DOI":"10.1002/cben.202200021","author":[{"dropping-particle":"","family":"Çapa","given":"Tuna","non-dropping-particle":"","parse-names":false,"suffix":""},{"dropping-particle":"","family":"Bahç","given":"Buse","non-dropping-particle":"","parse-names":false,"suffix":""},{"dropping-particle":"Ben","family":"Abdeljelil","given":"Brahim","non-dropping-particle":"","parse-names":false,"suffix":""}],"container-title":"ChemBioEng","id":"ITEM-2","issue":"4","issued":{"date-parts":[["2023"]]},"page":"412-422","title":"Assessment of Homogeneous and Heterogeneous Catalysts in Transesterification Reaction : A Mini Review","type":"article-journal"},"uris":["http://www.mendeley.com/documents/?uuid=905c8699-8fb5-4287-b268-f676e34a59c0"]}],"mendeley":{"formattedCitation":"(Çapa et al., 2023; Mandari &amp; Kumar, 2022)","manualFormatting":"[9]; ","plainTextFormattedCitation":"(Çapa et al., 2023; Mandari &amp; Kumar, 2022)","previouslyFormattedCitation":"(Çapa et al., 2023; Mandari &amp; Kumar, 2022)"},"properties":{"noteIndex":0},"schema":"https://github.com/citation-style-language/schema/raw/master/csl-citation.json"}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005C5F98">
        <w:rPr>
          <w:rFonts w:ascii="Times New Roman" w:hAnsi="Times New Roman" w:cs="Times New Roman"/>
          <w:bCs/>
          <w:noProof/>
          <w:sz w:val="24"/>
          <w:szCs w:val="24"/>
          <w:lang w:val="en-GB"/>
        </w:rPr>
        <w:t>[9]</w:t>
      </w:r>
      <w:r w:rsidR="007D7CBB" w:rsidRPr="007D7CBB">
        <w:rPr>
          <w:rFonts w:ascii="Times New Roman" w:hAnsi="Times New Roman" w:cs="Times New Roman"/>
          <w:bCs/>
          <w:noProof/>
          <w:sz w:val="24"/>
          <w:szCs w:val="24"/>
          <w:lang w:val="en-GB"/>
        </w:rPr>
        <w:t xml:space="preserve">; </w:t>
      </w:r>
      <w:r w:rsidRPr="00B55490">
        <w:rPr>
          <w:rFonts w:ascii="Times New Roman" w:hAnsi="Times New Roman" w:cs="Times New Roman"/>
          <w:bCs/>
          <w:sz w:val="24"/>
          <w:szCs w:val="24"/>
          <w:lang w:val="en-GB"/>
        </w:rPr>
        <w:fldChar w:fldCharType="end"/>
      </w:r>
      <w:r w:rsidR="00097BFE">
        <w:rPr>
          <w:rFonts w:ascii="Times New Roman" w:hAnsi="Times New Roman" w:cs="Times New Roman"/>
          <w:bCs/>
          <w:sz w:val="24"/>
          <w:szCs w:val="24"/>
          <w:lang w:val="en-GB"/>
        </w:rPr>
        <w:t>[34]</w:t>
      </w:r>
      <w:r w:rsidRPr="00B55490">
        <w:rPr>
          <w:rFonts w:ascii="Times New Roman" w:hAnsi="Times New Roman" w:cs="Times New Roman"/>
          <w:bCs/>
          <w:sz w:val="24"/>
          <w:szCs w:val="24"/>
          <w:lang w:val="en-GB"/>
        </w:rPr>
        <w:t>. Howbeit, they have certain disadvantages like the production of soap as a by-product and the requirement for further procedures to improve the produced biodiesel</w:t>
      </w:r>
      <w:r w:rsidR="00980E50">
        <w:rPr>
          <w:rFonts w:ascii="Times New Roman" w:hAnsi="Times New Roman" w:cs="Times New Roman"/>
          <w:bCs/>
          <w:sz w:val="24"/>
          <w:szCs w:val="24"/>
          <w:lang w:val="en-GB"/>
        </w:rPr>
        <w:t xml:space="preserve"> [19]</w:t>
      </w:r>
      <w:r w:rsidRPr="00B55490">
        <w:rPr>
          <w:rFonts w:ascii="Times New Roman" w:hAnsi="Times New Roman" w:cs="Times New Roman"/>
          <w:bCs/>
          <w:sz w:val="24"/>
          <w:szCs w:val="24"/>
          <w:lang w:val="en-GB"/>
        </w:rPr>
        <w:t xml:space="preserve">. Transesterification can also be carried out using acid catalysts, such as hydrochloric or sulfuric acid </w:t>
      </w:r>
      <w:r w:rsidRPr="00B55490">
        <w:rPr>
          <w:rFonts w:ascii="Times New Roman" w:hAnsi="Times New Roman" w:cs="Times New Roman"/>
          <w:bCs/>
          <w:sz w:val="24"/>
          <w:szCs w:val="24"/>
          <w:lang w:val="en-GB"/>
        </w:rPr>
        <w:fldChar w:fldCharType="begin" w:fldLock="1"/>
      </w:r>
      <w:r w:rsidR="00770EA3">
        <w:rPr>
          <w:rFonts w:ascii="Times New Roman" w:hAnsi="Times New Roman" w:cs="Times New Roman"/>
          <w:bCs/>
          <w:sz w:val="24"/>
          <w:szCs w:val="24"/>
          <w:lang w:val="en-GB"/>
        </w:rPr>
        <w:instrText>ADDIN CSL_CITATION {"citationItems":[{"id":"ITEM-1","itemData":{"DOI":"https://doi.org/10.3390/catal13040740","author":[{"dropping-particle":"","family":"Wang","given":"Baohua","non-dropping-particle":"","parse-names":false,"suffix":""},{"dropping-particle":"","family":"Wang","given":"Bingquan","non-dropping-particle":"","parse-names":false,"suffix":""},{"dropping-particle":"","family":"Shukla","given":"Sudheesh K","non-dropping-particle":"","parse-names":false,"suffix":""},{"dropping-particle":"","family":"Wang","given":"Rui","non-dropping-particle":"","parse-names":false,"suffix":""}],"container-title":"Catalysts","id":"ITEM-1","issue":"4","issued":{"date-parts":[["2023"]]},"page":"740","title":"Enabling Catalysts for Biodiesel Production","type":"article-journal","volume":"13"},"uris":["http://www.mendeley.com/documents/?uuid=3d651bf4-a8f0-4fca-942e-0ed73025d06a"]},{"id":"ITEM-2","itemData":{"DOI":"10.1007/s12155-021-10333-w","ISBN":"0123456789","ISSN":"1939-1242","author":[{"dropping-particle":"","family":"Mandari","given":"Venkatesh","non-dropping-particle":"","parse-names":false,"suffix":""},{"dropping-particle":"","family":"Kumar","given":"Santhosh","non-dropping-particle":"","parse-names":false,"suffix":""}],"container-title":"BioEnergy Research","id":"ITEM-2","issue":"2","issued":{"date-parts":[["2022"]]},"page":"935-961","publisher":"Springer US","title":"Biodiesel Production Using Homogeneous , Heterogeneous , and Enzyme Catalysts via Transesterification and Esterification Reactions : a Critical Review","type":"article-journal","volume":"15"},"uris":["http://www.mendeley.com/documents/?uuid=6f513bc7-b489-4b44-81ee-a38c708d0495"]}],"mendeley":{"formattedCitation":"(Mandari &amp; Kumar, 2022; Wang et al., 2023)","manualFormatting":"[34]; Wang et al., 2023)","plainTextFormattedCitation":"(Mandari &amp; Kumar, 2022; Wang et al., 2023)","previouslyFormattedCitation":"(Mandari &amp; Kumar, 2022; Wang et al., 2023)"},"properties":{"noteIndex":0},"schema":"https://github.com/citation-style-language/schema/raw/master/csl-citation.json"}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00770EA3">
        <w:rPr>
          <w:rFonts w:ascii="Times New Roman" w:hAnsi="Times New Roman" w:cs="Times New Roman"/>
          <w:bCs/>
          <w:noProof/>
          <w:sz w:val="24"/>
          <w:szCs w:val="24"/>
          <w:lang w:val="en-GB"/>
        </w:rPr>
        <w:t>[34]</w:t>
      </w:r>
      <w:r w:rsidR="007D7CBB" w:rsidRPr="007D7CBB">
        <w:rPr>
          <w:rFonts w:ascii="Times New Roman" w:hAnsi="Times New Roman" w:cs="Times New Roman"/>
          <w:bCs/>
          <w:noProof/>
          <w:sz w:val="24"/>
          <w:szCs w:val="24"/>
          <w:lang w:val="en-GB"/>
        </w:rPr>
        <w:t xml:space="preserve">; </w:t>
      </w:r>
      <w:r w:rsidR="00765B5D">
        <w:rPr>
          <w:rFonts w:ascii="Times New Roman" w:hAnsi="Times New Roman" w:cs="Times New Roman"/>
          <w:bCs/>
          <w:noProof/>
          <w:sz w:val="24"/>
          <w:szCs w:val="24"/>
          <w:lang w:val="en-GB"/>
        </w:rPr>
        <w:t>[66]</w:t>
      </w:r>
      <w:r w:rsidRPr="00B55490">
        <w:rPr>
          <w:rFonts w:ascii="Times New Roman" w:hAnsi="Times New Roman" w:cs="Times New Roman"/>
          <w:bCs/>
          <w:sz w:val="24"/>
          <w:szCs w:val="24"/>
          <w:lang w:val="en-GB"/>
        </w:rPr>
        <w:fldChar w:fldCharType="end"/>
      </w:r>
      <w:r w:rsidRPr="00B55490">
        <w:rPr>
          <w:rFonts w:ascii="Times New Roman" w:hAnsi="Times New Roman" w:cs="Times New Roman"/>
          <w:bCs/>
          <w:sz w:val="24"/>
          <w:szCs w:val="24"/>
          <w:lang w:val="en-GB"/>
        </w:rPr>
        <w:t xml:space="preserve">. However, because of the increased complexity of the reaction and the additional steps required to neutralize the acid and remove contaminants, acid-catalyzed transesterification is less prevalent </w:t>
      </w:r>
      <w:r w:rsidR="00110270">
        <w:rPr>
          <w:rFonts w:ascii="Times New Roman" w:hAnsi="Times New Roman" w:cs="Times New Roman"/>
          <w:bCs/>
          <w:sz w:val="24"/>
          <w:szCs w:val="24"/>
          <w:lang w:val="en-GB"/>
        </w:rPr>
        <w:t>[66]</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DOI":"https://doi.org/10.3390/catal13040740","author":[{"dropping-particle":"","family":"Wang","given":"Baohua","non-dropping-particle":"","parse-names":false,"suffix":""},{"dropping-particle":"","family":"Wang","given":"Bingquan","non-dropping-particle":"","parse-names":false,"suffix":""},{"dropping-particle":"","family":"Shukla","given":"Sudheesh K","non-dropping-particle":"","parse-names":false,"suffix":""},{"dropping-particle":"","family":"Wang","given":"Rui","non-dropping-particle":"","parse-names":false,"suffix":""}],"container-title":"Catalysts","id":"ITEM-1","issue":"4","issued":{"date-parts":[["2023"]]},"page":"740","title":"Enabling Catalysts for Biodiesel Production","type":"article-journal","volume":"13"},"uris":["http://www.mendeley.com/documents/?uuid=3d651bf4-a8f0-4fca-942e-0ed73025d06a"]}],"mendeley":{"formattedCitation":"(Wang et al., 2023)","plainTextFormattedCitation":"(Wang et al., 2023)","previouslyFormattedCitation":"(Wang et al., 2023)"},"properties":{"noteIndex":0},"schema":"https://github.com/citation-style-language/schema/raw/master/csl-citation.json"}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lang w:val="en-GB"/>
        </w:rPr>
        <w:fldChar w:fldCharType="end"/>
      </w:r>
      <w:r w:rsidRPr="00B55490">
        <w:rPr>
          <w:rFonts w:ascii="Times New Roman" w:hAnsi="Times New Roman" w:cs="Times New Roman"/>
          <w:bCs/>
          <w:sz w:val="24"/>
          <w:szCs w:val="24"/>
          <w:lang w:val="en-GB"/>
        </w:rPr>
        <w:t>. Heterogeneous catalysts include solid base catalysts and solid acid catalysts. Solid base catalysts, such as hydrotalcite or metal oxides, have drawn interest for the production of biodiesel</w:t>
      </w:r>
      <w:r w:rsidR="00D91AE6">
        <w:rPr>
          <w:rFonts w:ascii="Times New Roman" w:hAnsi="Times New Roman" w:cs="Times New Roman"/>
          <w:bCs/>
          <w:sz w:val="24"/>
          <w:szCs w:val="24"/>
          <w:lang w:val="en-GB"/>
        </w:rPr>
        <w:t xml:space="preserve"> [22]</w:t>
      </w:r>
      <w:r w:rsidRPr="00B55490">
        <w:rPr>
          <w:rFonts w:ascii="Times New Roman" w:hAnsi="Times New Roman" w:cs="Times New Roman"/>
          <w:bCs/>
          <w:sz w:val="24"/>
          <w:szCs w:val="24"/>
          <w:lang w:val="en-GB"/>
        </w:rPr>
        <w:t xml:space="preserve">. They have the benefit of being easily separated from the reaction mixture, which eliminates the requirement for further purification processes </w:t>
      </w:r>
      <w:r w:rsidRPr="00B55490">
        <w:rPr>
          <w:rFonts w:ascii="Times New Roman" w:hAnsi="Times New Roman" w:cs="Times New Roman"/>
          <w:bCs/>
          <w:sz w:val="24"/>
          <w:szCs w:val="24"/>
          <w:lang w:val="en-GB"/>
        </w:rPr>
        <w:fldChar w:fldCharType="begin" w:fldLock="1"/>
      </w:r>
      <w:r w:rsidR="000D64D5">
        <w:rPr>
          <w:rFonts w:ascii="Times New Roman" w:hAnsi="Times New Roman" w:cs="Times New Roman"/>
          <w:bCs/>
          <w:sz w:val="24"/>
          <w:szCs w:val="24"/>
          <w:lang w:val="en-GB"/>
        </w:rPr>
        <w:instrText>ADDIN CSL_CITATION {"citationItems":[{"id":"ITEM-1","itemData":{"DOI":"10.1016/j.rser.2016.09.036","ISSN":"18790690","abstract":"The research on biodiesel production via heterogeneous catalyzed approach is continuously studied by scientist in order to gain a sustainable process for industrial production and to improve its fuel quality. The green resource of biodiesel feedstock and catalyst is the major criteria to influence the biodiesel yield and sustainability of the process. For the state of the art biodiesel production technology, heterogeneous catalyst received great attention for simple and low cost manufacturing process. In terms of easy separation and high reusability. The most special characteristic of heterogeneous catalyst is its tuning properties that generate acidic-basicity, surface area and porosity that can highly advance the variety of the feedstock for esterification/transesterification process. Different traits of the heterogeneous catalysts (solid base, solid acid, acid-base and bio-catalyst) are studied in this review as each holds a specialty of features to the process. Thus, the study of heterogeneous catalyst should continue to be evaluated and taken into account if the catalyst are to be employed in the commercial sector as that remains the pivotal goal of these studies. In consideration to the debate of food vs. fuel as well as low cost production, non-edible feedstock was further discussed by using heterogeneous catalyzed system.","author":[{"dropping-particle":"","family":"Mardhiah","given":"H. Haziratul","non-dropping-particle":"","parse-names":false,"suffix":""},{"dropping-particle":"","family":"Ong","given":"Hwai Chyuan","non-dropping-particle":"","parse-names":false,"suffix":""},{"dropping-particle":"","family":"Masjuki","given":"H. H.","non-dropping-particle":"","parse-names":false,"suffix":""},{"dropping-particle":"","family":"Lim","given":"Steven","non-dropping-particle":"","parse-names":false,"suffix":""},{"dropping-particle":"V.","family":"Lee","given":"H.","non-dropping-particle":"","parse-names":false,"suffix":""}],"container-title":"Renewable and Sustainable Energy Reviews","id":"ITEM-1","issued":{"date-parts":[["2017"]]},"page":"1225-1236","publisher":"Elsevier","title":"A review on latest developments and future prospects of heterogeneous catalyst in biodiesel production from non-edible oils","type":"article-journal","volume":"67"},"uris":["http://www.mendeley.com/documents/?uuid=c26e154f-3218-49bf-aa17-fd8a785eb424"]},{"id":"ITEM-2","itemData":{"DOI":"10.1007/s12155-021-10333-w","ISBN":"0123456789","ISSN":"1939-1242","author":[{"dropping-particle":"","family":"Mandari","given":"Venkatesh","non-dropping-particle":"","parse-names":false,"suffix":""},{"dropping-particle":"","family":"Kumar","given":"Santhosh","non-dropping-particle":"","parse-names":false,"suffix":""}],"container-title":"BioEnergy Research","id":"ITEM-2","issue":"2","issued":{"date-parts":[["2022"]]},"page":"935-961","publisher":"Springer US","title":"Biodiesel Production Using Homogeneous , Heterogeneous , and Enzyme Catalysts via Transesterification and Esterification Reactions : a Critical Review","type":"article-journal","volume":"15"},"uris":["http://www.mendeley.com/documents/?uuid=6f513bc7-b489-4b44-81ee-a38c708d0495"]},{"id":"ITEM-3","itemData":{"DOI":"10.1038/s44221-025-00433-8","author":[{"dropping-particle":"","family":"Glass","given":"Sarah","non-dropping-particle":"","parse-names":false,"suffix":""},{"dropping-particle":"","family":"Santiago-cruz","given":"Hosea A","non-dropping-particle":"","parse-names":false,"suffix":""},{"dropping-particle":"","family":"Chen","given":"Wei","non-dropping-particle":"","parse-names":false,"suffix":""},{"dropping-particle":"","family":"Zhang","given":"Tong","non-dropping-particle":"","parse-names":false,"suffix":""},{"dropping-particle":"","family":"Guelfo","given":"Jennifer","non-dropping-particle":"","parse-names":false,"suffix":""},{"dropping-particle":"","family":"Rittmann","given":"Bruce","non-dropping-particle":"","parse-names":false,"suffix":""},{"dropping-particle":"","family":"Senftle","given":"Thomas P","non-dropping-particle":"","parse-names":false,"suffix":""},{"dropping-particle":"","family":"Vikesland","given":"Peter","non-dropping-particle":"","parse-names":false,"suffix":""},{"dropping-particle":"","family":"Villagrán","given":"Dino","non-dropping-particle":"","parse-names":false,"suffix":""},{"dropping-particle":"","family":"Wang","given":"Haotian","non-dropping-particle":"","parse-names":false,"suffix":""},{"dropping-particle":"","family":"Westerhoff","given":"Paul","non-dropping-particle":"","parse-names":false,"suffix":""},{"dropping-particle":"","family":"Wong","given":"Michael S","non-dropping-particle":"","parse-names":false,"suffix":""},{"dropping-particle":"","family":"Jiang","given":"Guibin","non-dropping-particle":"","parse-names":false,"suffix":""},{"dropping-particle":"V","family":"Lowry","given":"Gregory","non-dropping-particle":"","parse-names":false,"suffix":""},{"dropping-particle":"","family":"Alvarez","given":"Pedro J J","non-dropping-particle":"","parse-names":false,"suffix":""}],"container-title":"Nature Water","id":"ITEM-3","issue":"6","issued":{"date-parts":[["2025"]]},"page":"644-654","title":"Merits , limitations and innovation priorities for heterogeneous catalytic platforms to destroy PFAS","type":"article-journal","volume":"3"},"uris":["http://www.mendeley.com/documents/?uuid=6622e5b3-f783-4e91-82d1-06e4d2c13311"]}],"mendeley":{"formattedCitation":"(Glass et al., 2025; Mandari &amp; Kumar, 2022; Mardhiah et al., 2017)","manualFormatting":"[16]; [34]; ","plainTextFormattedCitation":"(Glass et al., 2025; Mandari &amp; Kumar, 2022; Mardhiah et al., 2017)","previouslyFormattedCitation":"(Glass et al., 2025; Mandari &amp; Kumar, 2022; Mardhiah et al., 2017)"},"properties":{"noteIndex":0},"schema":"https://github.com/citation-style-language/schema/raw/master/csl-citation.json"}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00C071B5">
        <w:rPr>
          <w:rFonts w:ascii="Times New Roman" w:hAnsi="Times New Roman" w:cs="Times New Roman"/>
          <w:bCs/>
          <w:noProof/>
          <w:sz w:val="24"/>
          <w:szCs w:val="24"/>
          <w:lang w:val="en-GB"/>
        </w:rPr>
        <w:t>[16]</w:t>
      </w:r>
      <w:r w:rsidR="007D7CBB" w:rsidRPr="007D7CBB">
        <w:rPr>
          <w:rFonts w:ascii="Times New Roman" w:hAnsi="Times New Roman" w:cs="Times New Roman"/>
          <w:bCs/>
          <w:noProof/>
          <w:sz w:val="24"/>
          <w:szCs w:val="24"/>
          <w:lang w:val="en-GB"/>
        </w:rPr>
        <w:t xml:space="preserve">; </w:t>
      </w:r>
      <w:r w:rsidR="00097BFE">
        <w:rPr>
          <w:rFonts w:ascii="Times New Roman" w:hAnsi="Times New Roman" w:cs="Times New Roman"/>
          <w:bCs/>
          <w:noProof/>
          <w:sz w:val="24"/>
          <w:szCs w:val="24"/>
          <w:lang w:val="en-GB"/>
        </w:rPr>
        <w:t>[34]</w:t>
      </w:r>
      <w:r w:rsidR="007D7CBB" w:rsidRPr="007D7CBB">
        <w:rPr>
          <w:rFonts w:ascii="Times New Roman" w:hAnsi="Times New Roman" w:cs="Times New Roman"/>
          <w:bCs/>
          <w:noProof/>
          <w:sz w:val="24"/>
          <w:szCs w:val="24"/>
          <w:lang w:val="en-GB"/>
        </w:rPr>
        <w:t xml:space="preserve">; </w:t>
      </w:r>
      <w:r w:rsidRPr="00B55490">
        <w:rPr>
          <w:rFonts w:ascii="Times New Roman" w:hAnsi="Times New Roman" w:cs="Times New Roman"/>
          <w:bCs/>
          <w:sz w:val="24"/>
          <w:szCs w:val="24"/>
        </w:rPr>
        <w:fldChar w:fldCharType="end"/>
      </w:r>
      <w:r w:rsidR="00A378B0">
        <w:rPr>
          <w:rFonts w:ascii="Times New Roman" w:hAnsi="Times New Roman" w:cs="Times New Roman"/>
          <w:bCs/>
          <w:sz w:val="24"/>
          <w:szCs w:val="24"/>
        </w:rPr>
        <w:t>[35]</w:t>
      </w:r>
      <w:r w:rsidRPr="00B55490">
        <w:rPr>
          <w:rFonts w:ascii="Times New Roman" w:hAnsi="Times New Roman" w:cs="Times New Roman"/>
          <w:bCs/>
          <w:sz w:val="24"/>
          <w:szCs w:val="24"/>
          <w:lang w:val="en-GB"/>
        </w:rPr>
        <w:t xml:space="preserve">. Certain solid acid catalysts, such as zeolites or ion-exchange resins, have been studied for use in transesterification processes </w:t>
      </w:r>
      <w:r w:rsidR="0092509A">
        <w:rPr>
          <w:rFonts w:ascii="Times New Roman" w:hAnsi="Times New Roman" w:cs="Times New Roman"/>
          <w:bCs/>
          <w:sz w:val="24"/>
          <w:szCs w:val="24"/>
          <w:lang w:val="en-GB"/>
        </w:rPr>
        <w:t>[48]</w:t>
      </w:r>
      <w:r w:rsidR="00ED08CA">
        <w:rPr>
          <w:rFonts w:ascii="Times New Roman" w:hAnsi="Times New Roman" w:cs="Times New Roman"/>
          <w:bCs/>
          <w:sz w:val="24"/>
          <w:szCs w:val="24"/>
          <w:lang w:val="en-GB"/>
        </w:rPr>
        <w:t>;</w:t>
      </w:r>
      <w:r w:rsidR="008563EB">
        <w:rPr>
          <w:rFonts w:ascii="Times New Roman" w:hAnsi="Times New Roman" w:cs="Times New Roman"/>
          <w:bCs/>
          <w:sz w:val="24"/>
          <w:szCs w:val="24"/>
          <w:lang w:val="en-GB"/>
        </w:rPr>
        <w:t xml:space="preserve"> </w:t>
      </w:r>
      <w:r w:rsidR="00130B8D">
        <w:rPr>
          <w:rFonts w:ascii="Times New Roman" w:hAnsi="Times New Roman" w:cs="Times New Roman"/>
          <w:bCs/>
          <w:sz w:val="24"/>
          <w:szCs w:val="24"/>
          <w:lang w:val="en-GB"/>
        </w:rPr>
        <w:t>[69]</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author":[{"dropping-particle":"","family":"Yang","given":"Guoju","non-dropping-particle":"","parse-names":false,"suffix":""}],"container-title":"Chemistry","id":"ITEM-1","issue":"1","issued":{"date-parts":[["2023"]]},"page":"438-451","title":"Advancements in Basic Zeolites for Biodiesel Production via Transesterification","type":"article-journal","volume":"5"},"uris":["http://www.mendeley.com/documents/?uuid=f00aadf2-2a0e-421a-bf84-f2172a43160d"]},{"id":"ITEM-2","itemData":{"author":[{"dropping-particle":"","family":"Patiño","given":"Yolanda","non-dropping-particle":"","parse-names":false,"suffix":""},{"dropping-particle":"","family":"Faba","given":"Laura","non-dropping-particle":"","parse-names":false,"suffix":""},{"dropping-particle":"","family":"Peláez","given":"Raquel","non-dropping-particle":"","parse-names":false,"suffix":""},{"dropping-particle":"","family":"Cueto","given":"Jennifer","non-dropping-particle":"","parse-names":false,"suffix":""},{"dropping-particle":"","family":"Marín","given":"Pablo","non-dropping-particle":"","parse-names":false,"suffix":""},{"dropping-particle":"","family":"Díaz","given":"Eva","non-dropping-particle":"","parse-names":false,"suffix":""},{"dropping-particle":"","family":"Ordóñez","given":"Salvador","non-dropping-particle":"","parse-names":false,"suffix":""}],"container-title":"Catalysts","id":"ITEM-2","issue":"6","issued":{"date-parts":[["2023"]]},"page":"999","title":"The Role of Ion Exchange Resins for Solving Biorefinery Catalytic Processes Challenges","type":"article-journal","volume":"13"},"uris":["http://www.mendeley.com/documents/?uuid=d3e40a15-2183-42d4-857a-ab61120e987c"]}],"mendeley":{"formattedCitation":"(Patiño et al., 2023; Yang, 2023)","plainTextFormattedCitation":"(Patiño et al., 2023; Yang, 2023)","previouslyFormattedCitation":"(Patiño et al., 2023; Yang, 2023)"},"properties":{"noteIndex":0},"schema":"https://github.com/citation-style-language/schema/raw/master/csl-citation.json"}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rPr>
        <w:fldChar w:fldCharType="end"/>
      </w:r>
      <w:r w:rsidRPr="00B55490">
        <w:rPr>
          <w:rFonts w:ascii="Times New Roman" w:hAnsi="Times New Roman" w:cs="Times New Roman"/>
          <w:bCs/>
          <w:sz w:val="24"/>
          <w:szCs w:val="24"/>
          <w:lang w:val="en-GB"/>
        </w:rPr>
        <w:t xml:space="preserve">. In comparison to homogenous acid catalysts, they provide better selectivity and ease of separation </w:t>
      </w:r>
      <w:r w:rsidR="009E7FF1">
        <w:rPr>
          <w:rFonts w:ascii="Times New Roman" w:hAnsi="Times New Roman" w:cs="Times New Roman"/>
          <w:bCs/>
          <w:sz w:val="24"/>
          <w:szCs w:val="24"/>
          <w:lang w:val="en-GB"/>
        </w:rPr>
        <w:t>[</w:t>
      </w:r>
      <w:r w:rsidR="004F5EC0">
        <w:rPr>
          <w:rFonts w:ascii="Times New Roman" w:hAnsi="Times New Roman" w:cs="Times New Roman"/>
          <w:bCs/>
          <w:sz w:val="24"/>
          <w:szCs w:val="24"/>
          <w:lang w:val="en-GB"/>
        </w:rPr>
        <w:t>73</w:t>
      </w:r>
      <w:r w:rsidR="009E7FF1">
        <w:rPr>
          <w:rFonts w:ascii="Times New Roman" w:hAnsi="Times New Roman" w:cs="Times New Roman"/>
          <w:bCs/>
          <w:sz w:val="24"/>
          <w:szCs w:val="24"/>
          <w:lang w:val="en-GB"/>
        </w:rPr>
        <w:t>]</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{"citationItems":[{"id":"ITEM-1","itemData":{"author":[{"dropping-particle":"","family":"Zaera","given":"Francisco","non-dropping-particle":"","parse-names":false,"suffix":""}],"container-title":"Chemical Reviews","id":"ITEM-1","issue":"9","issued":{"date-parts":[["2022"]]},"page":"8594-8757","title":"Designing Sites in Heterogeneous Catalysis : Are We Reaching Selectivities Competitive With Those of Homogeneous Catalysts ?","type":"article-journal","volume":"122"},"uris":["http://www.mendeley.com/documents/?uuid=edeba781-297b-4ee7-84a6-309293465d9b"]}],"mendeley":{"formattedCitation":"(Zaera, 2022)","plainTextFormattedCitation":"(Zaera, 2022)","previouslyFormattedCitation":"(Zaera, 2022)"},"properties":{"noteIndex":0},"schema":"https://github.com/citation-style-language/schema/raw/master/csl-citation.json"}</w:instrText>
      </w:r>
      <w:r w:rsidRPr="00B55490">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rPr>
        <w:fldChar w:fldCharType="end"/>
      </w:r>
      <w:r w:rsidRPr="00B55490">
        <w:rPr>
          <w:rFonts w:ascii="Times New Roman" w:hAnsi="Times New Roman" w:cs="Times New Roman"/>
          <w:bCs/>
          <w:sz w:val="24"/>
          <w:szCs w:val="24"/>
          <w:lang w:val="en-GB"/>
        </w:rPr>
        <w:t xml:space="preserve">. By lowering the transesterification reaction's activation energy barrier and improving the reaction kinetics, catalysts enable the production of biodiesel under more favourable situations </w:t>
      </w:r>
      <w:r w:rsidR="0059752B">
        <w:rPr>
          <w:rFonts w:ascii="Times New Roman" w:hAnsi="Times New Roman" w:cs="Times New Roman"/>
          <w:bCs/>
          <w:sz w:val="24"/>
          <w:szCs w:val="24"/>
          <w:lang w:val="en-GB"/>
        </w:rPr>
        <w:t>[39]</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DOI":"10.1007/s11356-024-32027-4","ISSN":"1614-7499","author":[{"dropping-particle":"","family":"Mohamed","given":"Sabah","non-dropping-particle":"","parse-names":false,"suffix":""},{"dropping-particle":"","family":"Aghareed","given":"Farouk","non-dropping-particle":"","parse-names":false,"suffix":""},{"dropping-particle":"","family":"Shereen","given":"M Tayeb","non-dropping-particle":"","parse-names":false,"suffix":""},{"dropping-particle":"","family":"Hamid","given":"M S Abdel","non-dropping-particle":"","parse-names":false,"suffix":""},{"dropping-particle":"","family":"Osman","given":"Randa M","non-dropping-particle":"","parse-names":false,"suffix":""}],"container-title":"Environmental Science and Pollution Research","id":"ITEM-1","issue":"9","issued":{"date-parts":[["2024"]]},"page":"12722-12747","publisher":"Springer Berlin Heidelberg","title":"Recent advances in transesterification for sustainable biodiesel production , challenges , and prospects : a comprehensive review","type":"article-journal","volume":"31"},"uris":["http://www.mendeley.com/documents/?uuid=c8adde2a-1c14-496e-b2ee-2ab0c80946f3"]}],"mendeley":{"formattedCitation":"(Mohamed et al., 2024)","plainTextFormattedCitation":"(Mohamed et al., 2024)","previouslyFormattedCitation":"(Mohamed et al., 2024)"},"properties":{"noteIndex":0},"schema":"https://github.com/citation-style-language/schema/raw/master/csl-citation.json"}</w:instrText>
      </w:r>
      <w:r w:rsidR="003939F9">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rPr>
        <w:fldChar w:fldCharType="end"/>
      </w:r>
      <w:r w:rsidRPr="00B55490">
        <w:rPr>
          <w:rFonts w:ascii="Times New Roman" w:hAnsi="Times New Roman" w:cs="Times New Roman"/>
          <w:bCs/>
          <w:sz w:val="24"/>
          <w:szCs w:val="24"/>
          <w:lang w:val="en-GB"/>
        </w:rPr>
        <w:t xml:space="preserve">. The feedstock being used, the intended reaction conditions, and the overall process economics all play a role in the catalyst selection </w:t>
      </w:r>
      <w:r w:rsidR="006B3C9A">
        <w:rPr>
          <w:rFonts w:ascii="Times New Roman" w:hAnsi="Times New Roman" w:cs="Times New Roman"/>
          <w:bCs/>
          <w:sz w:val="24"/>
          <w:szCs w:val="24"/>
          <w:lang w:val="en-GB"/>
        </w:rPr>
        <w:t>[44]</w:t>
      </w:r>
      <w:r w:rsidRPr="00B55490">
        <w:rPr>
          <w:rFonts w:ascii="Times New Roman" w:hAnsi="Times New Roman" w:cs="Times New Roman"/>
          <w:bCs/>
          <w:sz w:val="24"/>
          <w:szCs w:val="24"/>
          <w:lang w:val="en-GB"/>
        </w:rPr>
        <w:fldChar w:fldCharType="begin" w:fldLock="1"/>
      </w:r>
      <w:r w:rsidR="001950EE">
        <w:rPr>
          <w:rFonts w:ascii="Times New Roman" w:hAnsi="Times New Roman" w:cs="Times New Roman"/>
          <w:bCs/>
          <w:sz w:val="24"/>
          <w:szCs w:val="24"/>
          <w:lang w:val="en-GB"/>
        </w:rPr>
        <w:instrText>ADDIN CSL_CITATION {"citationItems":[{"id":"ITEM-1","itemData":{"author":[{"dropping-particle":"","family":"Nawin","given":"L","non-dropping-particle":"","parse-names":false,"suffix":""},{"dropping-particle":"","family":"Kumar","given":"Manash","non-dropping-particle":"","parse-names":false,"suffix":""},{"dropping-particle":"","family":"Thakur","given":"Chandrakant","non-dropping-particle":"","parse-names":false,"suffix":""}],"container-title":"Journal of Environmental Nanotechnology","id":"ITEM-1","issue":"3","issued":{"date-parts":[["2024"]]},"page":"145-151","title":"Application of Catalysts Used in Biodiesel Production - A Review","type":"article-journal","volume":"13"},"uris":["http://www.mendeley.com/documents/?uuid=daa897e8-8411-400b-bb25-40863dc884b8"]}],"mendeley":{"formattedCitation":"(Nawin et al., 2024)","plainTextFormattedCitation":"(Nawin et al., 2024)","previouslyFormattedCitation":"(Nawin et al., 2024)"},"properties":{"noteIndex":0},"schema":"https://github.com/citation-style-language/schema/raw/master/csl-citation.json"}</w:instrText>
      </w:r>
      <w:r w:rsidR="003939F9">
        <w:rPr>
          <w:rFonts w:ascii="Times New Roman" w:hAnsi="Times New Roman" w:cs="Times New Roman"/>
          <w:bCs/>
          <w:sz w:val="24"/>
          <w:szCs w:val="24"/>
          <w:lang w:val="en-GB"/>
        </w:rPr>
        <w:fldChar w:fldCharType="separate"/>
      </w:r>
      <w:r w:rsidRPr="00B55490">
        <w:rPr>
          <w:rFonts w:ascii="Times New Roman" w:hAnsi="Times New Roman" w:cs="Times New Roman"/>
          <w:bCs/>
          <w:sz w:val="24"/>
          <w:szCs w:val="24"/>
        </w:rPr>
        <w:fldChar w:fldCharType="end"/>
      </w:r>
      <w:r w:rsidRPr="00B55490">
        <w:rPr>
          <w:rFonts w:ascii="Times New Roman" w:hAnsi="Times New Roman" w:cs="Times New Roman"/>
          <w:bCs/>
          <w:sz w:val="24"/>
          <w:szCs w:val="24"/>
          <w:lang w:val="en-GB"/>
        </w:rPr>
        <w:t>. Researchers persist in investigating and creating novel catalysts to enhance the effectiveness and sustainability of procedures involved in the production of biodiesel</w:t>
      </w:r>
      <w:r w:rsidR="006D5F3A">
        <w:rPr>
          <w:rFonts w:ascii="Times New Roman" w:hAnsi="Times New Roman" w:cs="Times New Roman"/>
          <w:bCs/>
          <w:sz w:val="24"/>
          <w:szCs w:val="24"/>
          <w:lang w:val="en-GB"/>
        </w:rPr>
        <w:t xml:space="preserve"> [3]</w:t>
      </w:r>
      <w:r w:rsidRPr="00B55490">
        <w:rPr>
          <w:rFonts w:ascii="Times New Roman" w:hAnsi="Times New Roman" w:cs="Times New Roman"/>
          <w:bCs/>
          <w:sz w:val="24"/>
          <w:szCs w:val="24"/>
          <w:lang w:val="en-GB"/>
        </w:rPr>
        <w:t>.</w:t>
      </w:r>
    </w:p>
    <w:p w14:paraId="1ED25420" w14:textId="794E27CA" w:rsidR="00ED5041" w:rsidRDefault="00ED5041" w:rsidP="00ED5041">
      <w:pPr>
        <w:spacing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Response surface methodology (</w:t>
      </w:r>
      <w:r w:rsidRPr="00B55490">
        <w:rPr>
          <w:rFonts w:ascii="Times New Roman" w:hAnsi="Times New Roman" w:cs="Times New Roman"/>
          <w:bCs/>
          <w:sz w:val="24"/>
          <w:szCs w:val="24"/>
          <w:lang w:val="en-GB"/>
        </w:rPr>
        <w:t>RSM</w:t>
      </w:r>
      <w:r>
        <w:rPr>
          <w:rFonts w:ascii="Times New Roman" w:hAnsi="Times New Roman" w:cs="Times New Roman"/>
          <w:bCs/>
          <w:sz w:val="24"/>
          <w:szCs w:val="24"/>
          <w:lang w:val="en-GB"/>
        </w:rPr>
        <w:t>)</w:t>
      </w:r>
      <w:r w:rsidRPr="00B55490">
        <w:rPr>
          <w:rFonts w:ascii="Times New Roman" w:hAnsi="Times New Roman" w:cs="Times New Roman"/>
          <w:bCs/>
          <w:sz w:val="24"/>
          <w:szCs w:val="24"/>
          <w:lang w:val="en-GB"/>
        </w:rPr>
        <w:t xml:space="preserve"> is a systematic approach, which aims to optimize the process and comprehend the correlations between different elements. Its main benefit is that it minimizes the amount of experimental runs necessary to provide enough data for a result that is statistically significant</w:t>
      </w:r>
      <w:r w:rsidR="001222B1">
        <w:rPr>
          <w:rFonts w:ascii="Times New Roman" w:hAnsi="Times New Roman" w:cs="Times New Roman"/>
          <w:bCs/>
          <w:sz w:val="24"/>
          <w:szCs w:val="24"/>
          <w:lang w:val="en-GB"/>
        </w:rPr>
        <w:t xml:space="preserve"> [10]</w:t>
      </w:r>
      <w:r w:rsidRPr="00B55490">
        <w:rPr>
          <w:rFonts w:ascii="Times New Roman" w:hAnsi="Times New Roman" w:cs="Times New Roman"/>
          <w:bCs/>
          <w:sz w:val="24"/>
          <w:szCs w:val="24"/>
          <w:lang w:val="en-GB"/>
        </w:rPr>
        <w:t>. RSM has been effectively used to investigate and optimize the production of biodiesel from a variety of feedstocks</w:t>
      </w:r>
      <w:r w:rsidR="00B703B4">
        <w:rPr>
          <w:rFonts w:ascii="Times New Roman" w:hAnsi="Times New Roman" w:cs="Times New Roman"/>
          <w:bCs/>
          <w:sz w:val="24"/>
          <w:szCs w:val="24"/>
          <w:lang w:val="en-GB"/>
        </w:rPr>
        <w:t xml:space="preserve"> [61]</w:t>
      </w:r>
      <w:r w:rsidRPr="00B55490">
        <w:rPr>
          <w:rFonts w:ascii="Times New Roman" w:hAnsi="Times New Roman" w:cs="Times New Roman"/>
          <w:bCs/>
          <w:sz w:val="24"/>
          <w:szCs w:val="24"/>
          <w:lang w:val="en-GB"/>
        </w:rPr>
        <w:t xml:space="preserve">. </w:t>
      </w:r>
    </w:p>
    <w:p w14:paraId="05F20281" w14:textId="77777777" w:rsidR="00ED5041" w:rsidRPr="00B57752" w:rsidRDefault="00ED5041" w:rsidP="00ED5041">
      <w:pPr>
        <w:spacing w:line="240" w:lineRule="auto"/>
        <w:jc w:val="both"/>
        <w:rPr>
          <w:rFonts w:ascii="Times New Roman" w:hAnsi="Times New Roman" w:cs="Times New Roman"/>
          <w:b/>
          <w:sz w:val="28"/>
          <w:szCs w:val="28"/>
        </w:rPr>
      </w:pPr>
      <w:r w:rsidRPr="00B57752">
        <w:rPr>
          <w:rFonts w:ascii="Times New Roman" w:hAnsi="Times New Roman" w:cs="Times New Roman"/>
          <w:b/>
          <w:sz w:val="28"/>
          <w:szCs w:val="28"/>
        </w:rPr>
        <w:t>MATERIALS AND METHODS</w:t>
      </w:r>
    </w:p>
    <w:p w14:paraId="3056CF27" w14:textId="77777777" w:rsidR="00ED5041" w:rsidRPr="00F629D3" w:rsidRDefault="00ED5041" w:rsidP="00ED5041">
      <w:pPr>
        <w:spacing w:line="240" w:lineRule="auto"/>
        <w:jc w:val="both"/>
        <w:rPr>
          <w:rFonts w:ascii="Times New Roman" w:hAnsi="Times New Roman" w:cs="Times New Roman"/>
          <w:b/>
          <w:sz w:val="24"/>
          <w:szCs w:val="24"/>
        </w:rPr>
      </w:pPr>
      <w:r w:rsidRPr="00F629D3">
        <w:rPr>
          <w:rFonts w:ascii="Times New Roman" w:hAnsi="Times New Roman" w:cs="Times New Roman"/>
          <w:b/>
          <w:sz w:val="24"/>
          <w:szCs w:val="24"/>
        </w:rPr>
        <w:t>Materials</w:t>
      </w:r>
    </w:p>
    <w:p w14:paraId="0D55DF2A" w14:textId="77777777" w:rsidR="00ED5041" w:rsidRPr="00B55490" w:rsidRDefault="00ED5041" w:rsidP="00ED5041">
      <w:pPr>
        <w:spacing w:line="240" w:lineRule="auto"/>
        <w:jc w:val="both"/>
        <w:rPr>
          <w:rFonts w:ascii="Times New Roman" w:hAnsi="Times New Roman" w:cs="Times New Roman"/>
          <w:bCs/>
          <w:sz w:val="24"/>
          <w:szCs w:val="24"/>
          <w:lang w:val="en-GB"/>
        </w:rPr>
      </w:pPr>
      <w:r w:rsidRPr="00F629D3">
        <w:rPr>
          <w:rFonts w:ascii="Times New Roman" w:hAnsi="Times New Roman" w:cs="Times New Roman"/>
          <w:bCs/>
          <w:sz w:val="24"/>
          <w:szCs w:val="24"/>
          <w:lang w:val="en-GB"/>
        </w:rPr>
        <w:t xml:space="preserve">The carbide waste and the termite hill clay used as precursors for the production of the heterogeneous catalyst were obtained from some welders’ workshop and termite hills respectively, within Ugbowo environ in Benin City, Edo State, Nigeria. The </w:t>
      </w:r>
      <w:r>
        <w:rPr>
          <w:rFonts w:ascii="Times New Roman" w:hAnsi="Times New Roman" w:cs="Times New Roman"/>
          <w:bCs/>
          <w:sz w:val="24"/>
          <w:szCs w:val="24"/>
          <w:lang w:val="en-GB"/>
        </w:rPr>
        <w:t>palm kernel oil (</w:t>
      </w:r>
      <w:r w:rsidRPr="00F629D3">
        <w:rPr>
          <w:rFonts w:ascii="Times New Roman" w:hAnsi="Times New Roman" w:cs="Times New Roman"/>
          <w:bCs/>
          <w:sz w:val="24"/>
          <w:szCs w:val="24"/>
          <w:lang w:val="en-GB"/>
        </w:rPr>
        <w:t>PKO</w:t>
      </w:r>
      <w:r>
        <w:rPr>
          <w:rFonts w:ascii="Times New Roman" w:hAnsi="Times New Roman" w:cs="Times New Roman"/>
          <w:bCs/>
          <w:sz w:val="24"/>
          <w:szCs w:val="24"/>
          <w:lang w:val="en-GB"/>
        </w:rPr>
        <w:t>)</w:t>
      </w:r>
      <w:r w:rsidRPr="00F629D3">
        <w:rPr>
          <w:rFonts w:ascii="Times New Roman" w:hAnsi="Times New Roman" w:cs="Times New Roman"/>
          <w:bCs/>
          <w:sz w:val="24"/>
          <w:szCs w:val="24"/>
          <w:lang w:val="en-GB"/>
        </w:rPr>
        <w:t xml:space="preserve"> used as the feedstock for the biodiesel production was obtained from a local vendor in Benin </w:t>
      </w:r>
      <w:r>
        <w:rPr>
          <w:rFonts w:ascii="Times New Roman" w:hAnsi="Times New Roman" w:cs="Times New Roman"/>
          <w:bCs/>
          <w:sz w:val="24"/>
          <w:szCs w:val="24"/>
          <w:lang w:val="en-GB"/>
        </w:rPr>
        <w:t>City, and its</w:t>
      </w:r>
      <w:r w:rsidRPr="00B55490">
        <w:rPr>
          <w:rFonts w:ascii="Times New Roman" w:hAnsi="Times New Roman" w:cs="Times New Roman"/>
          <w:bCs/>
          <w:sz w:val="24"/>
          <w:szCs w:val="24"/>
        </w:rPr>
        <w:t xml:space="preserve"> physiochemical </w:t>
      </w:r>
      <w:r>
        <w:rPr>
          <w:rFonts w:ascii="Times New Roman" w:hAnsi="Times New Roman" w:cs="Times New Roman"/>
          <w:bCs/>
          <w:sz w:val="24"/>
          <w:szCs w:val="24"/>
        </w:rPr>
        <w:t>properties are shown in Table 1.</w:t>
      </w:r>
    </w:p>
    <w:p w14:paraId="325F197D" w14:textId="77777777"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sz w:val="24"/>
          <w:szCs w:val="24"/>
        </w:rPr>
        <w:t xml:space="preserve">Table 1: Physiochemical properties of </w:t>
      </w:r>
      <w:r w:rsidRPr="00F629D3">
        <w:rPr>
          <w:rFonts w:ascii="Times New Roman" w:hAnsi="Times New Roman" w:cs="Times New Roman"/>
          <w:b/>
          <w:bCs/>
          <w:iCs/>
          <w:sz w:val="24"/>
          <w:szCs w:val="24"/>
        </w:rPr>
        <w:t>PKO</w:t>
      </w:r>
    </w:p>
    <w:tbl>
      <w:tblPr>
        <w:tblStyle w:val="TableGrid5"/>
        <w:tblW w:w="0" w:type="auto"/>
        <w:jc w:val="center"/>
        <w:tblLook w:val="04A0" w:firstRow="1" w:lastRow="0" w:firstColumn="1" w:lastColumn="0" w:noHBand="0" w:noVBand="1"/>
      </w:tblPr>
      <w:tblGrid>
        <w:gridCol w:w="5845"/>
        <w:gridCol w:w="2536"/>
      </w:tblGrid>
      <w:tr w:rsidR="00ED5041" w:rsidRPr="00F629D3" w14:paraId="5ED6748C" w14:textId="77777777" w:rsidTr="001E1A7B">
        <w:trPr>
          <w:jc w:val="center"/>
        </w:trPr>
        <w:tc>
          <w:tcPr>
            <w:tcW w:w="5845" w:type="dxa"/>
          </w:tcPr>
          <w:p w14:paraId="056191FA" w14:textId="77777777" w:rsidR="00ED5041" w:rsidRPr="00F629D3" w:rsidRDefault="00ED5041" w:rsidP="001E1A7B">
            <w:pPr>
              <w:rPr>
                <w:rFonts w:ascii="Times New Roman" w:eastAsia="Calibri" w:hAnsi="Times New Roman" w:cs="Times New Roman"/>
                <w:b/>
                <w:color w:val="000000"/>
                <w:sz w:val="24"/>
                <w:szCs w:val="24"/>
              </w:rPr>
            </w:pPr>
            <w:r w:rsidRPr="00F629D3">
              <w:rPr>
                <w:rFonts w:ascii="Times New Roman" w:eastAsia="Calibri" w:hAnsi="Times New Roman" w:cs="Times New Roman"/>
                <w:b/>
                <w:color w:val="000000"/>
                <w:sz w:val="24"/>
                <w:szCs w:val="24"/>
              </w:rPr>
              <w:t xml:space="preserve">Property </w:t>
            </w:r>
          </w:p>
        </w:tc>
        <w:tc>
          <w:tcPr>
            <w:tcW w:w="2536" w:type="dxa"/>
          </w:tcPr>
          <w:p w14:paraId="0B29D4D4" w14:textId="77777777" w:rsidR="00ED5041" w:rsidRPr="00F629D3" w:rsidRDefault="00ED5041" w:rsidP="001E1A7B">
            <w:pPr>
              <w:rPr>
                <w:rFonts w:ascii="Times New Roman" w:eastAsia="Calibri" w:hAnsi="Times New Roman" w:cs="Times New Roman"/>
                <w:b/>
                <w:color w:val="000000"/>
                <w:sz w:val="24"/>
                <w:szCs w:val="24"/>
              </w:rPr>
            </w:pPr>
            <w:r w:rsidRPr="00F629D3">
              <w:rPr>
                <w:rFonts w:ascii="Times New Roman" w:eastAsia="Calibri" w:hAnsi="Times New Roman" w:cs="Times New Roman"/>
                <w:b/>
                <w:color w:val="000000"/>
                <w:sz w:val="24"/>
                <w:szCs w:val="24"/>
              </w:rPr>
              <w:t xml:space="preserve">Value </w:t>
            </w:r>
          </w:p>
        </w:tc>
      </w:tr>
      <w:tr w:rsidR="00ED5041" w:rsidRPr="00F629D3" w14:paraId="67E0E491" w14:textId="77777777" w:rsidTr="001E1A7B">
        <w:trPr>
          <w:jc w:val="center"/>
        </w:trPr>
        <w:tc>
          <w:tcPr>
            <w:tcW w:w="5845" w:type="dxa"/>
          </w:tcPr>
          <w:p w14:paraId="64420D27"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Acid value (mgKOH/g oil)</w:t>
            </w:r>
          </w:p>
        </w:tc>
        <w:tc>
          <w:tcPr>
            <w:tcW w:w="2536" w:type="dxa"/>
          </w:tcPr>
          <w:p w14:paraId="54FF7964"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7.34</w:t>
            </w:r>
          </w:p>
        </w:tc>
      </w:tr>
      <w:tr w:rsidR="00ED5041" w:rsidRPr="00F629D3" w14:paraId="52CA002D" w14:textId="77777777" w:rsidTr="001E1A7B">
        <w:trPr>
          <w:jc w:val="center"/>
        </w:trPr>
        <w:tc>
          <w:tcPr>
            <w:tcW w:w="5845" w:type="dxa"/>
          </w:tcPr>
          <w:p w14:paraId="39AD7674"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Saponification value (mgKOH/g oil)</w:t>
            </w:r>
          </w:p>
        </w:tc>
        <w:tc>
          <w:tcPr>
            <w:tcW w:w="2536" w:type="dxa"/>
          </w:tcPr>
          <w:p w14:paraId="4EA60992"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234.18</w:t>
            </w:r>
          </w:p>
        </w:tc>
      </w:tr>
      <w:tr w:rsidR="00ED5041" w:rsidRPr="00F629D3" w14:paraId="43AB43CE" w14:textId="77777777" w:rsidTr="001E1A7B">
        <w:trPr>
          <w:jc w:val="center"/>
        </w:trPr>
        <w:tc>
          <w:tcPr>
            <w:tcW w:w="5845" w:type="dxa"/>
          </w:tcPr>
          <w:p w14:paraId="2A75ABE5"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Average molecular weight (g/mol)</w:t>
            </w:r>
          </w:p>
        </w:tc>
        <w:tc>
          <w:tcPr>
            <w:tcW w:w="2536" w:type="dxa"/>
          </w:tcPr>
          <w:p w14:paraId="7F503918"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741.93</w:t>
            </w:r>
          </w:p>
        </w:tc>
      </w:tr>
      <w:tr w:rsidR="00ED5041" w:rsidRPr="00F629D3" w14:paraId="09ABD5D7" w14:textId="77777777" w:rsidTr="001E1A7B">
        <w:trPr>
          <w:jc w:val="center"/>
        </w:trPr>
        <w:tc>
          <w:tcPr>
            <w:tcW w:w="5845" w:type="dxa"/>
          </w:tcPr>
          <w:p w14:paraId="1C5519DE"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Density (g/cm</w:t>
            </w:r>
            <w:r w:rsidRPr="00F629D3">
              <w:rPr>
                <w:rFonts w:ascii="Times New Roman" w:eastAsia="Calibri" w:hAnsi="Times New Roman" w:cs="Times New Roman"/>
                <w:color w:val="000000"/>
                <w:sz w:val="24"/>
                <w:szCs w:val="24"/>
                <w:vertAlign w:val="superscript"/>
              </w:rPr>
              <w:t>3</w:t>
            </w:r>
            <w:r w:rsidRPr="00F629D3">
              <w:rPr>
                <w:rFonts w:ascii="Times New Roman" w:eastAsia="Calibri" w:hAnsi="Times New Roman" w:cs="Times New Roman"/>
                <w:color w:val="000000"/>
                <w:sz w:val="24"/>
                <w:szCs w:val="24"/>
              </w:rPr>
              <w:t>)</w:t>
            </w:r>
          </w:p>
        </w:tc>
        <w:tc>
          <w:tcPr>
            <w:tcW w:w="2536" w:type="dxa"/>
          </w:tcPr>
          <w:p w14:paraId="07CE1FEF"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0.901</w:t>
            </w:r>
          </w:p>
        </w:tc>
      </w:tr>
      <w:tr w:rsidR="00ED5041" w:rsidRPr="00F629D3" w14:paraId="1A880F71" w14:textId="77777777" w:rsidTr="001E1A7B">
        <w:trPr>
          <w:jc w:val="center"/>
        </w:trPr>
        <w:tc>
          <w:tcPr>
            <w:tcW w:w="5845" w:type="dxa"/>
          </w:tcPr>
          <w:p w14:paraId="20374D8F"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Viscosity @ 40</w:t>
            </w:r>
            <w:r w:rsidRPr="00F629D3">
              <w:rPr>
                <w:rFonts w:ascii="Times New Roman" w:eastAsia="Calibri" w:hAnsi="Times New Roman" w:cs="Times New Roman"/>
                <w:color w:val="000000"/>
                <w:sz w:val="24"/>
                <w:szCs w:val="24"/>
                <w:vertAlign w:val="superscript"/>
              </w:rPr>
              <w:t>o</w:t>
            </w:r>
            <w:r w:rsidRPr="00F629D3">
              <w:rPr>
                <w:rFonts w:ascii="Times New Roman" w:eastAsia="Calibri" w:hAnsi="Times New Roman" w:cs="Times New Roman"/>
                <w:color w:val="000000"/>
                <w:sz w:val="24"/>
                <w:szCs w:val="24"/>
              </w:rPr>
              <w:t>C, 30.0 RPM &amp; 22% (mPa.s)</w:t>
            </w:r>
          </w:p>
        </w:tc>
        <w:tc>
          <w:tcPr>
            <w:tcW w:w="2536" w:type="dxa"/>
          </w:tcPr>
          <w:p w14:paraId="04A72020"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4.7</w:t>
            </w:r>
          </w:p>
        </w:tc>
      </w:tr>
      <w:tr w:rsidR="00ED5041" w:rsidRPr="00F629D3" w14:paraId="5C42ACBA" w14:textId="77777777" w:rsidTr="001E1A7B">
        <w:trPr>
          <w:jc w:val="center"/>
        </w:trPr>
        <w:tc>
          <w:tcPr>
            <w:tcW w:w="5845" w:type="dxa"/>
          </w:tcPr>
          <w:p w14:paraId="70C53525"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Moisture content (%)</w:t>
            </w:r>
          </w:p>
        </w:tc>
        <w:tc>
          <w:tcPr>
            <w:tcW w:w="2536" w:type="dxa"/>
          </w:tcPr>
          <w:p w14:paraId="5894B723"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1.09</w:t>
            </w:r>
          </w:p>
        </w:tc>
      </w:tr>
      <w:tr w:rsidR="00ED5041" w:rsidRPr="00F629D3" w14:paraId="40F45181" w14:textId="77777777" w:rsidTr="001E1A7B">
        <w:trPr>
          <w:jc w:val="center"/>
        </w:trPr>
        <w:tc>
          <w:tcPr>
            <w:tcW w:w="5845" w:type="dxa"/>
          </w:tcPr>
          <w:p w14:paraId="04E954CF"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lastRenderedPageBreak/>
              <w:t>Iodine value (mg I</w:t>
            </w:r>
            <w:r w:rsidRPr="00F629D3">
              <w:rPr>
                <w:rFonts w:ascii="Times New Roman" w:eastAsia="Calibri" w:hAnsi="Times New Roman" w:cs="Times New Roman"/>
                <w:color w:val="000000"/>
                <w:sz w:val="24"/>
                <w:szCs w:val="24"/>
                <w:vertAlign w:val="subscript"/>
              </w:rPr>
              <w:t>2</w:t>
            </w:r>
            <w:r w:rsidRPr="00F629D3">
              <w:rPr>
                <w:rFonts w:ascii="Times New Roman" w:eastAsia="Calibri" w:hAnsi="Times New Roman" w:cs="Times New Roman"/>
                <w:color w:val="000000"/>
                <w:sz w:val="24"/>
                <w:szCs w:val="24"/>
              </w:rPr>
              <w:t>/100g oil)</w:t>
            </w:r>
          </w:p>
        </w:tc>
        <w:tc>
          <w:tcPr>
            <w:tcW w:w="2536" w:type="dxa"/>
          </w:tcPr>
          <w:p w14:paraId="066738A2"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18.7</w:t>
            </w:r>
          </w:p>
        </w:tc>
      </w:tr>
      <w:tr w:rsidR="00ED5041" w:rsidRPr="00F629D3" w14:paraId="2239052A" w14:textId="77777777" w:rsidTr="001E1A7B">
        <w:trPr>
          <w:jc w:val="center"/>
        </w:trPr>
        <w:tc>
          <w:tcPr>
            <w:tcW w:w="5845" w:type="dxa"/>
          </w:tcPr>
          <w:p w14:paraId="77E7939B"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Peroxide value (mEq/kg)</w:t>
            </w:r>
          </w:p>
        </w:tc>
        <w:tc>
          <w:tcPr>
            <w:tcW w:w="2536" w:type="dxa"/>
          </w:tcPr>
          <w:p w14:paraId="0A16A809" w14:textId="77777777" w:rsidR="00ED5041" w:rsidRPr="00F629D3" w:rsidRDefault="00ED5041" w:rsidP="001E1A7B">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16.2</w:t>
            </w:r>
          </w:p>
        </w:tc>
      </w:tr>
    </w:tbl>
    <w:p w14:paraId="0087CFF6" w14:textId="77777777" w:rsidR="00ED5041" w:rsidRPr="00F629D3" w:rsidRDefault="00ED5041" w:rsidP="00ED5041">
      <w:pPr>
        <w:spacing w:line="240" w:lineRule="auto"/>
        <w:jc w:val="both"/>
        <w:rPr>
          <w:rFonts w:ascii="Times New Roman" w:hAnsi="Times New Roman" w:cs="Times New Roman"/>
          <w:b/>
          <w:bCs/>
          <w:sz w:val="24"/>
          <w:szCs w:val="24"/>
        </w:rPr>
      </w:pPr>
      <w:r w:rsidRPr="00F629D3">
        <w:rPr>
          <w:rFonts w:ascii="Times New Roman" w:hAnsi="Times New Roman" w:cs="Times New Roman"/>
          <w:b/>
          <w:bCs/>
          <w:sz w:val="24"/>
          <w:szCs w:val="24"/>
        </w:rPr>
        <w:t>Catalyst Preparation</w:t>
      </w:r>
    </w:p>
    <w:p w14:paraId="7541D094" w14:textId="0424655D" w:rsidR="00ED5041" w:rsidRPr="00F629D3" w:rsidRDefault="00ED5041" w:rsidP="00ED5041">
      <w:pPr>
        <w:spacing w:line="240" w:lineRule="auto"/>
        <w:jc w:val="both"/>
        <w:rPr>
          <w:rFonts w:ascii="Times New Roman" w:eastAsia="Times New Roman" w:hAnsi="Times New Roman" w:cs="Times New Roman"/>
          <w:color w:val="000000"/>
          <w:sz w:val="24"/>
          <w:szCs w:val="24"/>
          <w:lang w:val="en-GB"/>
        </w:rPr>
      </w:pPr>
      <w:r w:rsidRPr="00F629D3">
        <w:rPr>
          <w:rFonts w:ascii="Times New Roman" w:eastAsia="Times New Roman" w:hAnsi="Times New Roman" w:cs="Times New Roman"/>
          <w:color w:val="000000"/>
          <w:sz w:val="24"/>
          <w:szCs w:val="24"/>
          <w:lang w:val="en-GB"/>
        </w:rPr>
        <w:t xml:space="preserve">The collected </w:t>
      </w:r>
      <w:r>
        <w:rPr>
          <w:rFonts w:ascii="Times New Roman" w:eastAsia="Times New Roman" w:hAnsi="Times New Roman" w:cs="Times New Roman"/>
          <w:color w:val="000000"/>
          <w:sz w:val="24"/>
          <w:szCs w:val="24"/>
          <w:lang w:val="en-GB"/>
        </w:rPr>
        <w:t>carbide slag</w:t>
      </w:r>
      <w:r w:rsidRPr="00F629D3">
        <w:rPr>
          <w:rFonts w:ascii="Times New Roman" w:eastAsia="Times New Roman" w:hAnsi="Times New Roman" w:cs="Times New Roman"/>
          <w:color w:val="000000"/>
          <w:sz w:val="24"/>
          <w:szCs w:val="24"/>
          <w:lang w:val="en-GB"/>
        </w:rPr>
        <w:t xml:space="preserve"> sample was sun-dried and oven-dried at 110 °C until constant weight was achieved. The dried </w:t>
      </w:r>
      <w:r>
        <w:rPr>
          <w:rFonts w:ascii="Times New Roman" w:eastAsia="Times New Roman" w:hAnsi="Times New Roman" w:cs="Times New Roman"/>
          <w:color w:val="000000"/>
          <w:sz w:val="24"/>
          <w:szCs w:val="24"/>
          <w:lang w:val="en-GB"/>
        </w:rPr>
        <w:t>carbide slag</w:t>
      </w:r>
      <w:r w:rsidRPr="00F629D3">
        <w:rPr>
          <w:rFonts w:ascii="Times New Roman" w:eastAsia="Times New Roman" w:hAnsi="Times New Roman" w:cs="Times New Roman"/>
          <w:color w:val="000000"/>
          <w:sz w:val="24"/>
          <w:szCs w:val="24"/>
          <w:lang w:val="en-GB"/>
        </w:rPr>
        <w:t xml:space="preserve"> was then pulverized and screened using a sieve of &lt;200μm aperture to achieve a homogenous particle size. The prepared </w:t>
      </w:r>
      <w:r>
        <w:rPr>
          <w:rFonts w:ascii="Times New Roman" w:eastAsia="Times New Roman" w:hAnsi="Times New Roman" w:cs="Times New Roman"/>
          <w:color w:val="000000"/>
          <w:sz w:val="24"/>
          <w:szCs w:val="24"/>
          <w:lang w:val="en-GB"/>
        </w:rPr>
        <w:t>carbide slag</w:t>
      </w:r>
      <w:r w:rsidRPr="00F629D3">
        <w:rPr>
          <w:rFonts w:ascii="Times New Roman" w:eastAsia="Times New Roman" w:hAnsi="Times New Roman" w:cs="Times New Roman"/>
          <w:color w:val="000000"/>
          <w:sz w:val="24"/>
          <w:szCs w:val="24"/>
          <w:lang w:val="en-GB"/>
        </w:rPr>
        <w:t xml:space="preserve"> was further processed by calcination at a temperature of 850 °C for 4 hrs in a Muffle furnace. In order to prepare the active phase support, the Termite Hill Clay (THC) was cleaned to get rid of impurities and then pulverized and screened with a sieve of &lt;200 μm apperture. The clay was then oven dried at 110</w:t>
      </w:r>
      <w:r w:rsidRPr="00F629D3">
        <w:rPr>
          <w:rFonts w:ascii="Times New Roman" w:eastAsia="Times New Roman" w:hAnsi="Times New Roman" w:cs="Times New Roman"/>
          <w:color w:val="000000"/>
          <w:sz w:val="24"/>
          <w:szCs w:val="24"/>
          <w:vertAlign w:val="superscript"/>
          <w:lang w:val="en-GB"/>
        </w:rPr>
        <w:t>o</w:t>
      </w:r>
      <w:r w:rsidRPr="00F629D3">
        <w:rPr>
          <w:rFonts w:ascii="Times New Roman" w:eastAsia="Times New Roman" w:hAnsi="Times New Roman" w:cs="Times New Roman"/>
          <w:color w:val="000000"/>
          <w:sz w:val="24"/>
          <w:szCs w:val="24"/>
          <w:lang w:val="en-GB"/>
        </w:rPr>
        <w:t>C for 12 hours to remove moisture. Calcination in a muffle furnace at 850</w:t>
      </w:r>
      <w:r w:rsidRPr="00F629D3">
        <w:rPr>
          <w:rFonts w:ascii="Times New Roman" w:eastAsia="Times New Roman" w:hAnsi="Times New Roman" w:cs="Times New Roman"/>
          <w:color w:val="000000"/>
          <w:sz w:val="24"/>
          <w:szCs w:val="24"/>
          <w:vertAlign w:val="superscript"/>
          <w:lang w:val="en-GB"/>
        </w:rPr>
        <w:t>o</w:t>
      </w:r>
      <w:r w:rsidRPr="00F629D3">
        <w:rPr>
          <w:rFonts w:ascii="Times New Roman" w:eastAsia="Times New Roman" w:hAnsi="Times New Roman" w:cs="Times New Roman"/>
          <w:color w:val="000000"/>
          <w:sz w:val="24"/>
          <w:szCs w:val="24"/>
          <w:lang w:val="en-GB"/>
        </w:rPr>
        <w:t xml:space="preserve">C for 4 hours was done in line with the method prescribed by Olubunmi et al. </w:t>
      </w:r>
      <w:r w:rsidR="009B5068">
        <w:rPr>
          <w:rFonts w:ascii="Times New Roman" w:eastAsia="Times New Roman" w:hAnsi="Times New Roman" w:cs="Times New Roman"/>
          <w:color w:val="000000"/>
          <w:sz w:val="24"/>
          <w:szCs w:val="24"/>
          <w:lang w:val="en-GB"/>
        </w:rPr>
        <w:t>[46]</w:t>
      </w:r>
      <w:r>
        <w:rPr>
          <w:rFonts w:ascii="Times New Roman" w:eastAsia="Times New Roman" w:hAnsi="Times New Roman" w:cs="Times New Roman"/>
          <w:color w:val="000000"/>
          <w:sz w:val="24"/>
          <w:szCs w:val="24"/>
          <w:lang w:val="en-GB"/>
        </w:rPr>
        <w:fldChar w:fldCharType="begin" w:fldLock="1"/>
      </w:r>
      <w:r w:rsidR="001950EE">
        <w:rPr>
          <w:rFonts w:ascii="Times New Roman" w:eastAsia="Times New Roman" w:hAnsi="Times New Roman" w:cs="Times New Roman"/>
          <w:color w:val="000000"/>
          <w:sz w:val="24"/>
          <w:szCs w:val="24"/>
          <w:lang w:val="en-GB"/>
        </w:rPr>
        <w:instrText>ADDIN CSL_CITATION {"citationItems":[{"id":"ITEM-1","itemData":{"DOI":"10.1016/j.jece.2020.104288","ISSN":"2213-3437","author":[{"dropping-particle":"","family":"Olubunmi","given":"Babatunde E","non-dropping-particle":"","parse-names":false,"suffix":""},{"dropping-particle":"","family":"Karmakar","given":"Bisheswar","non-dropping-particle":"","parse-names":false,"suffix":""},{"dropping-particle":"","family":"Aderemi","given":"Olutoye M","non-dropping-particle":"","parse-names":false,"suffix":""},{"dropping-particle":"","family":"G","given":"Akpan Uduak","non-dropping-particle":"","parse-names":false,"suffix":""},{"dropping-particle":"","family":"Auta","given":"Manase","non-dropping-particle":"","parse-names":false,"suffix":""},{"dropping-particle":"","family":"Halder","given":"Gopinath","non-dropping-particle":"","parse-names":false,"suffix":""}],"container-title":"Journal of Environmental Chemical Engineering","id":"ITEM-1","issue":"5","issued":{"date-parts":[["2020"]]},"page":"104288","publisher":"Elsevier","title":"Journal of Environmental Chemical Engineering Parametric optimization by Taguchi L9 approach towards biodiesel production from restaurant waste oil using Fe-supported anthill catalyst","type":"article-journal","volume":"8"},"uris":["http://www.mendeley.com/documents/?uuid=1d83a34d-02ff-4160-b766-1efefc8549ba"]}],"mendeley":{"formattedCitation":"(Olubunmi et al., 2020)","plainTextFormattedCitation":"(Olubunmi et al., 2020)","previouslyFormattedCitation":"(Olubunmi et al., 2020)"},"properties":{"noteIndex":0},"schema":"https://github.com/citation-style-language/schema/raw/master/csl-citation.json"}</w:instrText>
      </w:r>
      <w:r w:rsidR="003939F9">
        <w:rPr>
          <w:rFonts w:ascii="Times New Roman" w:eastAsia="Times New Roman" w:hAnsi="Times New Roman" w:cs="Times New Roman"/>
          <w:color w:val="000000"/>
          <w:sz w:val="24"/>
          <w:szCs w:val="24"/>
          <w:lang w:val="en-GB"/>
        </w:rPr>
        <w:fldChar w:fldCharType="separate"/>
      </w:r>
      <w:r>
        <w:rPr>
          <w:rFonts w:ascii="Times New Roman" w:eastAsia="Times New Roman" w:hAnsi="Times New Roman" w:cs="Times New Roman"/>
          <w:color w:val="000000"/>
          <w:sz w:val="24"/>
          <w:szCs w:val="24"/>
          <w:lang w:val="en-GB"/>
        </w:rPr>
        <w:fldChar w:fldCharType="end"/>
      </w:r>
      <w:r w:rsidRPr="00F629D3">
        <w:rPr>
          <w:rFonts w:ascii="Times New Roman" w:eastAsia="Times New Roman" w:hAnsi="Times New Roman" w:cs="Times New Roman"/>
          <w:color w:val="000000"/>
          <w:sz w:val="24"/>
          <w:szCs w:val="24"/>
          <w:lang w:val="en-GB"/>
        </w:rPr>
        <w:t>, with little adjustment. The THC was then activated with 2M H</w:t>
      </w:r>
      <w:r w:rsidRPr="00F629D3">
        <w:rPr>
          <w:rFonts w:ascii="Times New Roman" w:eastAsia="Times New Roman" w:hAnsi="Times New Roman" w:cs="Times New Roman"/>
          <w:color w:val="000000"/>
          <w:sz w:val="24"/>
          <w:szCs w:val="24"/>
          <w:vertAlign w:val="subscript"/>
          <w:lang w:val="en-GB"/>
        </w:rPr>
        <w:t>2</w:t>
      </w:r>
      <w:r w:rsidRPr="00F629D3">
        <w:rPr>
          <w:rFonts w:ascii="Times New Roman" w:eastAsia="Times New Roman" w:hAnsi="Times New Roman" w:cs="Times New Roman"/>
          <w:color w:val="000000"/>
          <w:sz w:val="24"/>
          <w:szCs w:val="24"/>
          <w:lang w:val="en-GB"/>
        </w:rPr>
        <w:t>SO</w:t>
      </w:r>
      <w:r w:rsidRPr="00F629D3">
        <w:rPr>
          <w:rFonts w:ascii="Times New Roman" w:eastAsia="Times New Roman" w:hAnsi="Times New Roman" w:cs="Times New Roman"/>
          <w:color w:val="000000"/>
          <w:sz w:val="24"/>
          <w:szCs w:val="24"/>
          <w:vertAlign w:val="subscript"/>
          <w:lang w:val="en-GB"/>
        </w:rPr>
        <w:t>4</w:t>
      </w:r>
      <w:r w:rsidRPr="00F629D3">
        <w:rPr>
          <w:rFonts w:ascii="Times New Roman" w:eastAsia="Times New Roman" w:hAnsi="Times New Roman" w:cs="Times New Roman"/>
          <w:color w:val="000000"/>
          <w:sz w:val="24"/>
          <w:szCs w:val="24"/>
          <w:lang w:val="en-GB"/>
        </w:rPr>
        <w:t>. This was achieved by adding the acid to the clay in ratio 2:1, weight by weight, and stirred. The mixture was allowed to stay for 48hrs and thereafter washed and dried until the sample was completely dry. It was then calcined at 800</w:t>
      </w:r>
      <w:r w:rsidRPr="00F629D3">
        <w:rPr>
          <w:rFonts w:ascii="Times New Roman" w:eastAsia="Times New Roman" w:hAnsi="Times New Roman" w:cs="Times New Roman"/>
          <w:color w:val="000000"/>
          <w:sz w:val="24"/>
          <w:szCs w:val="24"/>
          <w:vertAlign w:val="superscript"/>
          <w:lang w:val="en-GB"/>
        </w:rPr>
        <w:t>o</w:t>
      </w:r>
      <w:r w:rsidRPr="00F629D3">
        <w:rPr>
          <w:rFonts w:ascii="Times New Roman" w:eastAsia="Times New Roman" w:hAnsi="Times New Roman" w:cs="Times New Roman"/>
          <w:color w:val="000000"/>
          <w:sz w:val="24"/>
          <w:szCs w:val="24"/>
          <w:lang w:val="en-GB"/>
        </w:rPr>
        <w:t xml:space="preserve">C for 2 hrs 30 mins. </w:t>
      </w:r>
    </w:p>
    <w:p w14:paraId="78EBB127" w14:textId="555FEF2F" w:rsidR="00ED5041" w:rsidRPr="00F629D3" w:rsidRDefault="00ED5041" w:rsidP="00ED5041">
      <w:pPr>
        <w:spacing w:line="240" w:lineRule="auto"/>
        <w:jc w:val="both"/>
        <w:rPr>
          <w:rFonts w:ascii="Times New Roman" w:eastAsia="Times New Roman" w:hAnsi="Times New Roman" w:cs="Times New Roman"/>
          <w:color w:val="000000"/>
          <w:sz w:val="24"/>
          <w:szCs w:val="24"/>
          <w:lang w:val="en-GB"/>
        </w:rPr>
      </w:pPr>
      <w:r w:rsidRPr="00F629D3">
        <w:rPr>
          <w:rFonts w:ascii="Times New Roman" w:eastAsia="Times New Roman" w:hAnsi="Times New Roman" w:cs="Times New Roman"/>
          <w:color w:val="000000"/>
          <w:sz w:val="24"/>
          <w:szCs w:val="24"/>
          <w:lang w:val="en-GB"/>
        </w:rPr>
        <w:t>The composite material was synthesized according to the methods stated by</w:t>
      </w:r>
      <w:r>
        <w:rPr>
          <w:rFonts w:ascii="Times New Roman" w:eastAsia="Times New Roman" w:hAnsi="Times New Roman" w:cs="Times New Roman"/>
          <w:color w:val="000000"/>
          <w:sz w:val="24"/>
          <w:szCs w:val="24"/>
          <w:lang w:val="en-GB"/>
        </w:rPr>
        <w:t xml:space="preserve"> Ajala et al. </w:t>
      </w:r>
      <w:r w:rsidR="00B63829">
        <w:rPr>
          <w:rFonts w:ascii="Times New Roman" w:eastAsia="Times New Roman" w:hAnsi="Times New Roman" w:cs="Times New Roman"/>
          <w:color w:val="000000"/>
          <w:sz w:val="24"/>
          <w:szCs w:val="24"/>
          <w:lang w:val="en-GB"/>
        </w:rPr>
        <w:t>[1]</w:t>
      </w:r>
      <w:r>
        <w:rPr>
          <w:rFonts w:ascii="Times New Roman" w:eastAsia="Times New Roman" w:hAnsi="Times New Roman" w:cs="Times New Roman"/>
          <w:color w:val="000000"/>
          <w:sz w:val="24"/>
          <w:szCs w:val="24"/>
          <w:lang w:val="en-GB"/>
        </w:rPr>
        <w:t xml:space="preserve"> and Olubunmi et al.</w:t>
      </w:r>
      <w:r w:rsidRPr="00F629D3">
        <w:rPr>
          <w:rFonts w:ascii="Times New Roman" w:eastAsia="Times New Roman" w:hAnsi="Times New Roman" w:cs="Times New Roman"/>
          <w:color w:val="000000"/>
          <w:sz w:val="24"/>
          <w:szCs w:val="24"/>
          <w:lang w:val="en-GB"/>
        </w:rPr>
        <w:t xml:space="preserve"> </w:t>
      </w:r>
      <w:r w:rsidR="009B5068">
        <w:rPr>
          <w:rFonts w:ascii="Times New Roman" w:eastAsia="Times New Roman" w:hAnsi="Times New Roman" w:cs="Times New Roman"/>
          <w:color w:val="000000"/>
          <w:sz w:val="24"/>
          <w:szCs w:val="24"/>
          <w:lang w:val="en-GB"/>
        </w:rPr>
        <w:t>[46]</w:t>
      </w:r>
      <w:r w:rsidRPr="00F629D3">
        <w:rPr>
          <w:rFonts w:ascii="Times New Roman" w:eastAsia="Times New Roman" w:hAnsi="Times New Roman" w:cs="Times New Roman"/>
          <w:color w:val="000000"/>
          <w:sz w:val="24"/>
          <w:szCs w:val="24"/>
          <w:lang w:val="en-GB"/>
        </w:rPr>
        <w:fldChar w:fldCharType="begin" w:fldLock="1"/>
      </w:r>
      <w:r w:rsidR="001950EE">
        <w:rPr>
          <w:rFonts w:ascii="Times New Roman" w:eastAsia="Times New Roman" w:hAnsi="Times New Roman" w:cs="Times New Roman"/>
          <w:color w:val="000000"/>
          <w:sz w:val="24"/>
          <w:szCs w:val="24"/>
          <w:lang w:val="en-GB"/>
        </w:rPr>
        <w:instrText>ADDIN CSL_CITATION {"citationItems":[{"id":"ITEM-1","itemData":{"DOI":"10.1016/j.jece.2020.104288","ISSN":"2213-3437","author":[{"dropping-particle":"","family":"Olubunmi","given":"Babatunde E","non-dropping-particle":"","parse-names":false,"suffix":""},{"dropping-particle":"","family":"Karmakar","given":"Bisheswar","non-dropping-particle":"","parse-names":false,"suffix":""},{"dropping-particle":"","family":"Aderemi","given":"Olutoye M","non-dropping-particle":"","parse-names":false,"suffix":""},{"dropping-particle":"","family":"G","given":"Akpan Uduak","non-dropping-particle":"","parse-names":false,"suffix":""},{"dropping-particle":"","family":"Auta","given":"Manase","non-dropping-particle":"","parse-names":false,"suffix":""},{"dropping-particle":"","family":"Halder","given":"Gopinath","non-dropping-particle":"","parse-names":false,"suffix":""}],"container-title":"Journal of Environmental Chemical Engineering","id":"ITEM-1","issue":"5","issued":{"date-parts":[["2020"]]},"page":"104288","publisher":"Elsevier","title":"Journal of Environmental Chemical Engineering Parametric optimization by Taguchi L9 approach towards biodiesel production from restaurant waste oil using Fe-supported anthill catalyst","type":"article-journal","volume":"8"},"uris":["http://www.mendeley.com/documents/?uuid=1d83a34d-02ff-4160-b766-1efefc8549ba"]}],"mendeley":{"formattedCitation":"(Olubunmi et al., 2020)","plainTextFormattedCitation":"(Olubunmi et al., 2020)","previouslyFormattedCitation":"(Olubunmi et al., 2020)"},"properties":{"noteIndex":0},"schema":"https://github.com/citation-style-language/schema/raw/master/csl-citation.json"}</w:instrText>
      </w:r>
      <w:r w:rsidR="003939F9">
        <w:rPr>
          <w:rFonts w:ascii="Times New Roman" w:eastAsia="Times New Roman" w:hAnsi="Times New Roman" w:cs="Times New Roman"/>
          <w:color w:val="000000"/>
          <w:sz w:val="24"/>
          <w:szCs w:val="24"/>
          <w:lang w:val="en-GB"/>
        </w:rPr>
        <w:fldChar w:fldCharType="separate"/>
      </w:r>
      <w:r w:rsidRPr="00F629D3">
        <w:rPr>
          <w:rFonts w:ascii="Times New Roman" w:eastAsia="Times New Roman" w:hAnsi="Times New Roman" w:cs="Times New Roman"/>
          <w:color w:val="000000"/>
          <w:sz w:val="24"/>
          <w:szCs w:val="24"/>
        </w:rPr>
        <w:fldChar w:fldCharType="end"/>
      </w:r>
      <w:r w:rsidRPr="00F629D3">
        <w:rPr>
          <w:rFonts w:ascii="Times New Roman" w:eastAsia="Times New Roman" w:hAnsi="Times New Roman" w:cs="Times New Roman"/>
          <w:color w:val="000000"/>
          <w:sz w:val="24"/>
          <w:szCs w:val="24"/>
          <w:lang w:val="en-GB"/>
        </w:rPr>
        <w:t xml:space="preserve">, with slight modifications. Typically, a 200g of mixture of the prepared </w:t>
      </w:r>
      <w:r>
        <w:rPr>
          <w:rFonts w:ascii="Times New Roman" w:eastAsia="Times New Roman" w:hAnsi="Times New Roman" w:cs="Times New Roman"/>
          <w:color w:val="000000"/>
          <w:sz w:val="24"/>
          <w:szCs w:val="24"/>
          <w:lang w:val="en-GB"/>
        </w:rPr>
        <w:t>CARBIDE SLAG</w:t>
      </w:r>
      <w:r w:rsidRPr="00F629D3">
        <w:rPr>
          <w:rFonts w:ascii="Times New Roman" w:eastAsia="Times New Roman" w:hAnsi="Times New Roman" w:cs="Times New Roman"/>
          <w:color w:val="000000"/>
          <w:sz w:val="24"/>
          <w:szCs w:val="24"/>
          <w:lang w:val="en-GB"/>
        </w:rPr>
        <w:t xml:space="preserve"> and THC was formulated in proportions of 20:80%, 40:60%, 50:50%, 60:40%, and 80:20% of </w:t>
      </w:r>
      <w:r>
        <w:rPr>
          <w:rFonts w:ascii="Times New Roman" w:eastAsia="Times New Roman" w:hAnsi="Times New Roman" w:cs="Times New Roman"/>
          <w:color w:val="000000"/>
          <w:sz w:val="24"/>
          <w:szCs w:val="24"/>
          <w:lang w:val="en-GB"/>
        </w:rPr>
        <w:t>CARBIDE SLAG</w:t>
      </w:r>
      <w:r w:rsidRPr="00F629D3">
        <w:rPr>
          <w:rFonts w:ascii="Times New Roman" w:eastAsia="Times New Roman" w:hAnsi="Times New Roman" w:cs="Times New Roman"/>
          <w:color w:val="000000"/>
          <w:sz w:val="24"/>
          <w:szCs w:val="24"/>
          <w:lang w:val="en-GB"/>
        </w:rPr>
        <w:t xml:space="preserve"> to THC, giving 5 different samples. The samples were subsequently doped with equal amounts of 1.5M Zinc nitrate, in ratio 1:4 of the composite material to the zinc nitrate, using wet impregnation method to form suspensions, which were stirred for 6 hours on a magnetic stirrer at 80</w:t>
      </w:r>
      <w:r w:rsidRPr="00F629D3">
        <w:rPr>
          <w:rFonts w:ascii="Times New Roman" w:eastAsia="Times New Roman" w:hAnsi="Times New Roman" w:cs="Times New Roman"/>
          <w:color w:val="000000"/>
          <w:sz w:val="24"/>
          <w:szCs w:val="24"/>
          <w:vertAlign w:val="superscript"/>
          <w:lang w:val="en-GB"/>
        </w:rPr>
        <w:t>o</w:t>
      </w:r>
      <w:r w:rsidRPr="00F629D3">
        <w:rPr>
          <w:rFonts w:ascii="Times New Roman" w:eastAsia="Times New Roman" w:hAnsi="Times New Roman" w:cs="Times New Roman"/>
          <w:color w:val="000000"/>
          <w:sz w:val="24"/>
          <w:szCs w:val="24"/>
          <w:lang w:val="en-GB"/>
        </w:rPr>
        <w:t>C for homogenization. The mixtures were allowed to stay and the excess liquid removed by decantation, while the slurries were placed in a vacuum oven to dehydrate at 120</w:t>
      </w:r>
      <w:r w:rsidRPr="00F629D3">
        <w:rPr>
          <w:rFonts w:ascii="Times New Roman" w:eastAsia="Times New Roman" w:hAnsi="Times New Roman" w:cs="Times New Roman"/>
          <w:color w:val="000000"/>
          <w:sz w:val="24"/>
          <w:szCs w:val="24"/>
          <w:vertAlign w:val="superscript"/>
          <w:lang w:val="en-GB"/>
        </w:rPr>
        <w:t>ο</w:t>
      </w:r>
      <w:r w:rsidRPr="00F629D3">
        <w:rPr>
          <w:rFonts w:ascii="Times New Roman" w:eastAsia="Times New Roman" w:hAnsi="Times New Roman" w:cs="Times New Roman"/>
          <w:color w:val="000000"/>
          <w:sz w:val="24"/>
          <w:szCs w:val="24"/>
          <w:lang w:val="en-GB"/>
        </w:rPr>
        <w:t>C until they were completely dry. The five different proportions of the doped dried composite material were pulverised and sieved with a sieve of &lt;200 μm aperture. Each of the five different composite material was shared into 3 parts and calcined in a muffle furnace at 3 different temperatures, 650</w:t>
      </w:r>
      <w:r w:rsidRPr="00F629D3">
        <w:rPr>
          <w:rFonts w:ascii="Times New Roman" w:eastAsia="Times New Roman" w:hAnsi="Times New Roman" w:cs="Times New Roman"/>
          <w:color w:val="000000"/>
          <w:sz w:val="24"/>
          <w:szCs w:val="24"/>
          <w:vertAlign w:val="superscript"/>
          <w:lang w:val="en-GB"/>
        </w:rPr>
        <w:t>0</w:t>
      </w:r>
      <w:r w:rsidRPr="00F629D3">
        <w:rPr>
          <w:rFonts w:ascii="Times New Roman" w:eastAsia="Times New Roman" w:hAnsi="Times New Roman" w:cs="Times New Roman"/>
          <w:color w:val="000000"/>
          <w:sz w:val="24"/>
          <w:szCs w:val="24"/>
          <w:lang w:val="en-GB"/>
        </w:rPr>
        <w:t>C, 750</w:t>
      </w:r>
      <w:r w:rsidRPr="00F629D3">
        <w:rPr>
          <w:rFonts w:ascii="Times New Roman" w:eastAsia="Times New Roman" w:hAnsi="Times New Roman" w:cs="Times New Roman"/>
          <w:color w:val="000000"/>
          <w:sz w:val="24"/>
          <w:szCs w:val="24"/>
          <w:vertAlign w:val="superscript"/>
          <w:lang w:val="en-GB"/>
        </w:rPr>
        <w:t>0</w:t>
      </w:r>
      <w:r w:rsidRPr="00F629D3">
        <w:rPr>
          <w:rFonts w:ascii="Times New Roman" w:eastAsia="Times New Roman" w:hAnsi="Times New Roman" w:cs="Times New Roman"/>
          <w:color w:val="000000"/>
          <w:sz w:val="24"/>
          <w:szCs w:val="24"/>
          <w:lang w:val="en-GB"/>
        </w:rPr>
        <w:t>C and 850</w:t>
      </w:r>
      <w:r w:rsidRPr="00F629D3">
        <w:rPr>
          <w:rFonts w:ascii="Times New Roman" w:eastAsia="Times New Roman" w:hAnsi="Times New Roman" w:cs="Times New Roman"/>
          <w:color w:val="000000"/>
          <w:sz w:val="24"/>
          <w:szCs w:val="24"/>
          <w:vertAlign w:val="superscript"/>
          <w:lang w:val="en-GB"/>
        </w:rPr>
        <w:t>0</w:t>
      </w:r>
      <w:r w:rsidRPr="00F629D3">
        <w:rPr>
          <w:rFonts w:ascii="Times New Roman" w:eastAsia="Times New Roman" w:hAnsi="Times New Roman" w:cs="Times New Roman"/>
          <w:color w:val="000000"/>
          <w:sz w:val="24"/>
          <w:szCs w:val="24"/>
          <w:lang w:val="en-GB"/>
        </w:rPr>
        <w:t xml:space="preserve">C, under static air conditions for 4 hours. The prepared catalysts were used to produce biodiesel to ascertain the one that will give the highest biodiesel yield. The catalysts that gave the highest three yields were again used for biodiesel production and the one that gave the highest yield was stored in an air-tight container for catalyst characterization and biodiesel production. </w:t>
      </w:r>
    </w:p>
    <w:p w14:paraId="04F8266C" w14:textId="77777777" w:rsidR="00ED5041" w:rsidRPr="00F629D3" w:rsidRDefault="00ED5041" w:rsidP="00ED5041">
      <w:pPr>
        <w:spacing w:line="240" w:lineRule="auto"/>
        <w:jc w:val="both"/>
        <w:rPr>
          <w:rFonts w:ascii="Times New Roman" w:hAnsi="Times New Roman" w:cs="Times New Roman"/>
          <w:b/>
          <w:bCs/>
          <w:sz w:val="24"/>
          <w:szCs w:val="24"/>
        </w:rPr>
      </w:pPr>
      <w:r w:rsidRPr="00F629D3">
        <w:rPr>
          <w:rFonts w:ascii="Times New Roman" w:hAnsi="Times New Roman" w:cs="Times New Roman"/>
          <w:b/>
          <w:bCs/>
          <w:sz w:val="24"/>
          <w:szCs w:val="24"/>
        </w:rPr>
        <w:t>Catalyst characterization</w:t>
      </w:r>
    </w:p>
    <w:p w14:paraId="3EE6BD73"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lang w:val="en-GB"/>
        </w:rPr>
        <w:t>The</w:t>
      </w:r>
      <w:r w:rsidRPr="00F629D3">
        <w:rPr>
          <w:rFonts w:ascii="Times New Roman" w:hAnsi="Times New Roman" w:cs="Times New Roman"/>
          <w:b/>
          <w:bCs/>
          <w:iCs/>
          <w:sz w:val="24"/>
          <w:szCs w:val="24"/>
          <w:lang w:val="en-GB"/>
        </w:rPr>
        <w:t xml:space="preserve"> </w:t>
      </w:r>
      <w:r w:rsidRPr="00F629D3">
        <w:rPr>
          <w:rFonts w:ascii="Times New Roman" w:hAnsi="Times New Roman" w:cs="Times New Roman"/>
          <w:bCs/>
          <w:iCs/>
          <w:sz w:val="24"/>
          <w:szCs w:val="24"/>
          <w:lang w:val="en-GB"/>
        </w:rPr>
        <w:t>produced catalyst and individual precursors were characterized to evaluate their properties.</w:t>
      </w:r>
      <w:r w:rsidRPr="00F629D3">
        <w:rPr>
          <w:rFonts w:ascii="Times New Roman" w:hAnsi="Times New Roman" w:cs="Times New Roman"/>
          <w:bCs/>
          <w:iCs/>
          <w:sz w:val="24"/>
          <w:szCs w:val="24"/>
        </w:rPr>
        <w:t xml:space="preserve"> Brunauer, Emmett and Teller (BET) analysis for surface area and pore properties determination. Fourier transform infrared (FTIR) spectroscopy analysis for bond structure and interaction, Scanning electron microscope (SEM) analysis for the surface structure. And X-ray diffraction (XRD) analysis to show the crystalline phases.</w:t>
      </w:r>
    </w:p>
    <w:p w14:paraId="34FEB1CE" w14:textId="77777777"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iCs/>
          <w:sz w:val="24"/>
          <w:szCs w:val="24"/>
        </w:rPr>
        <w:t xml:space="preserve">Biodiesel production </w:t>
      </w:r>
    </w:p>
    <w:p w14:paraId="29F7FB30" w14:textId="39C8C47E" w:rsidR="00ED5041" w:rsidRPr="00F629D3" w:rsidRDefault="00ED5041" w:rsidP="00ED5041">
      <w:pPr>
        <w:spacing w:line="240" w:lineRule="auto"/>
        <w:jc w:val="both"/>
        <w:rPr>
          <w:rFonts w:ascii="Times New Roman" w:hAnsi="Times New Roman" w:cs="Times New Roman"/>
          <w:bCs/>
          <w:sz w:val="24"/>
          <w:szCs w:val="24"/>
          <w:lang w:val="en-GB"/>
        </w:rPr>
      </w:pPr>
      <w:r w:rsidRPr="00F629D3">
        <w:rPr>
          <w:rFonts w:ascii="Times New Roman" w:hAnsi="Times New Roman" w:cs="Times New Roman"/>
          <w:bCs/>
          <w:sz w:val="24"/>
          <w:szCs w:val="24"/>
          <w:lang w:val="en-GB"/>
        </w:rPr>
        <w:t>The transesterification process for the biodiesel production was a one-step procedure, based on the bi-functionality of the heterogeneous catalyst. A batch-type stirred reactor was used in the production process. 50g of the PKO was transferred into the reactor.  The reactor comprised a 250ml conical flask, hot plate magnetic stirrer, a magnetic bar for stirring to ensure proper mixing for uniform mixture achievement, using a constant agitation speed</w:t>
      </w:r>
      <w:r w:rsidR="00D8215E">
        <w:rPr>
          <w:rFonts w:ascii="Times New Roman" w:hAnsi="Times New Roman" w:cs="Times New Roman"/>
          <w:bCs/>
          <w:sz w:val="24"/>
          <w:szCs w:val="24"/>
          <w:lang w:val="en-GB"/>
        </w:rPr>
        <w:t xml:space="preserve"> [51]</w:t>
      </w:r>
      <w:r w:rsidRPr="00F629D3">
        <w:rPr>
          <w:rFonts w:ascii="Times New Roman" w:hAnsi="Times New Roman" w:cs="Times New Roman"/>
          <w:bCs/>
          <w:sz w:val="24"/>
          <w:szCs w:val="24"/>
          <w:lang w:val="en-GB"/>
        </w:rPr>
        <w:t>. With the aid of the hot plate magnetic stirrer, the setup was heated to a specific temperature. Using the methanol to oil ratio and catalyst loading, methanol and catalyst mixture was added to the reactor for the transesterification reaction to occur for a set time</w:t>
      </w:r>
      <w:r w:rsidR="005C5F98">
        <w:rPr>
          <w:rFonts w:ascii="Times New Roman" w:hAnsi="Times New Roman" w:cs="Times New Roman"/>
          <w:bCs/>
          <w:sz w:val="24"/>
          <w:szCs w:val="24"/>
          <w:lang w:val="en-GB"/>
        </w:rPr>
        <w:t xml:space="preserve"> [8]</w:t>
      </w:r>
      <w:r w:rsidRPr="00F629D3">
        <w:rPr>
          <w:rFonts w:ascii="Times New Roman" w:hAnsi="Times New Roman" w:cs="Times New Roman"/>
          <w:bCs/>
          <w:sz w:val="24"/>
          <w:szCs w:val="24"/>
          <w:lang w:val="en-GB"/>
        </w:rPr>
        <w:t>.</w:t>
      </w:r>
    </w:p>
    <w:p w14:paraId="296C21A0" w14:textId="77777777" w:rsidR="00ED5041" w:rsidRPr="00F629D3" w:rsidRDefault="00ED5041" w:rsidP="00ED5041">
      <w:pPr>
        <w:spacing w:line="240" w:lineRule="auto"/>
        <w:jc w:val="both"/>
        <w:rPr>
          <w:rFonts w:ascii="Times New Roman" w:hAnsi="Times New Roman" w:cs="Times New Roman"/>
          <w:bCs/>
          <w:sz w:val="24"/>
          <w:szCs w:val="24"/>
          <w:lang w:val="en-GB"/>
        </w:rPr>
      </w:pPr>
      <w:r w:rsidRPr="00F629D3">
        <w:rPr>
          <w:rFonts w:ascii="Times New Roman" w:hAnsi="Times New Roman" w:cs="Times New Roman"/>
          <w:bCs/>
          <w:sz w:val="24"/>
          <w:szCs w:val="24"/>
          <w:lang w:val="en-GB"/>
        </w:rPr>
        <w:t xml:space="preserve">The transesterification process was carried out based on the design matrix obtained from the design expert software. The reaction temperature, reaction time, methanol to oil ratio, and catalyst loading for each experimental run was given by the design matrix. The catalyst was separated from the biodiesel mixture after the reaction, with the aid of a centrifuge. It was then transferred into a separating funnel and allowed to stay overnight for proper settling. With the aid of the separating funnel, the glycerol in the bottom layer was run out. The biodiesel and the unreacted </w:t>
      </w:r>
      <w:r w:rsidRPr="00F629D3">
        <w:rPr>
          <w:rFonts w:ascii="Times New Roman" w:hAnsi="Times New Roman" w:cs="Times New Roman"/>
          <w:bCs/>
          <w:sz w:val="24"/>
          <w:szCs w:val="24"/>
          <w:lang w:val="en-GB"/>
        </w:rPr>
        <w:lastRenderedPageBreak/>
        <w:t xml:space="preserve">methanol left in the separating funnel were washed and transferred into a beaker and heated in an oven. The methanol evaporated, while the biodiesel was properly stored for characterization. </w:t>
      </w:r>
      <w:r w:rsidRPr="00F629D3">
        <w:rPr>
          <w:rFonts w:ascii="Times New Roman" w:hAnsi="Times New Roman" w:cs="Times New Roman"/>
          <w:bCs/>
          <w:iCs/>
          <w:sz w:val="24"/>
          <w:szCs w:val="24"/>
        </w:rPr>
        <w:t xml:space="preserve">The yield of biodiesel produced was determined using equation 1. </w:t>
      </w:r>
    </w:p>
    <w:p w14:paraId="3452D204" w14:textId="77777777" w:rsidR="00ED5041" w:rsidRPr="00F629D3" w:rsidRDefault="00ED5041" w:rsidP="00ED5041">
      <w:pPr>
        <w:spacing w:line="240" w:lineRule="auto"/>
        <w:jc w:val="both"/>
        <w:rPr>
          <w:rFonts w:ascii="Times New Roman" w:hAnsi="Times New Roman" w:cs="Times New Roman"/>
          <w:bCs/>
          <w:iCs/>
          <w:sz w:val="24"/>
          <w:szCs w:val="24"/>
        </w:rPr>
      </w:pPr>
      <m:oMath>
        <m:r>
          <m:rPr>
            <m:sty m:val="p"/>
          </m:rPr>
          <w:rPr>
            <w:rFonts w:ascii="Cambria Math" w:hAnsi="Cambria Math" w:cs="Times New Roman"/>
            <w:sz w:val="24"/>
            <w:szCs w:val="24"/>
          </w:rPr>
          <m:t>Biodiesel yield=</m:t>
        </m:r>
        <m:f>
          <m:fPr>
            <m:ctrlPr>
              <w:rPr>
                <w:rFonts w:ascii="Cambria Math" w:hAnsi="Cambria Math" w:cs="Times New Roman"/>
                <w:bCs/>
                <w:iCs/>
                <w:sz w:val="24"/>
                <w:szCs w:val="24"/>
              </w:rPr>
            </m:ctrlPr>
          </m:fPr>
          <m:num>
            <m:r>
              <m:rPr>
                <m:sty m:val="p"/>
              </m:rPr>
              <w:rPr>
                <w:rFonts w:ascii="Cambria Math" w:hAnsi="Cambria Math" w:cs="Times New Roman"/>
                <w:sz w:val="24"/>
                <w:szCs w:val="24"/>
              </w:rPr>
              <m:t>mass of biodiesel produced</m:t>
            </m:r>
          </m:num>
          <m:den>
            <m:r>
              <m:rPr>
                <m:sty m:val="p"/>
              </m:rPr>
              <w:rPr>
                <w:rFonts w:ascii="Cambria Math" w:hAnsi="Cambria Math" w:cs="Times New Roman"/>
                <w:sz w:val="24"/>
                <w:szCs w:val="24"/>
              </w:rPr>
              <m:t>mass of PKO used</m:t>
            </m:r>
          </m:den>
        </m:f>
        <m:r>
          <m:rPr>
            <m:sty m:val="p"/>
          </m:rPr>
          <w:rPr>
            <w:rFonts w:ascii="Cambria Math" w:hAnsi="Cambria Math" w:cs="Times New Roman"/>
            <w:sz w:val="24"/>
            <w:szCs w:val="24"/>
          </w:rPr>
          <m:t xml:space="preserve">× 100 </m:t>
        </m:r>
      </m:oMath>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F629D3">
        <w:rPr>
          <w:rFonts w:ascii="Times New Roman" w:hAnsi="Times New Roman" w:cs="Times New Roman"/>
          <w:bCs/>
          <w:iCs/>
          <w:sz w:val="24"/>
          <w:szCs w:val="24"/>
        </w:rPr>
        <w:t>(1)</w:t>
      </w:r>
    </w:p>
    <w:p w14:paraId="684FA397" w14:textId="77777777" w:rsidR="00ED5041" w:rsidRPr="00F629D3" w:rsidRDefault="00ED5041" w:rsidP="00ED5041">
      <w:pPr>
        <w:spacing w:line="240" w:lineRule="auto"/>
        <w:ind w:firstLine="720"/>
        <w:jc w:val="both"/>
        <w:rPr>
          <w:rFonts w:ascii="Times New Roman" w:eastAsia="Times New Roman" w:hAnsi="Times New Roman" w:cs="Times New Roman"/>
          <w:noProof/>
          <w:color w:val="000000"/>
          <w:sz w:val="24"/>
          <w:szCs w:val="24"/>
        </w:rPr>
      </w:pPr>
      <w:r w:rsidRPr="00F629D3">
        <w:rPr>
          <w:rFonts w:ascii="Times New Roman" w:hAnsi="Times New Roman" w:cs="Times New Roman"/>
          <w:bCs/>
          <w:iCs/>
          <w:noProof/>
          <w:sz w:val="24"/>
          <w:szCs w:val="24"/>
        </w:rPr>
        <w:drawing>
          <wp:inline distT="0" distB="0" distL="0" distR="0" wp14:anchorId="2C105A50" wp14:editId="0A656B29">
            <wp:extent cx="1492250" cy="1475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359" cy="1484089"/>
                    </a:xfrm>
                    <a:prstGeom prst="rect">
                      <a:avLst/>
                    </a:prstGeom>
                    <a:noFill/>
                  </pic:spPr>
                </pic:pic>
              </a:graphicData>
            </a:graphic>
          </wp:inline>
        </w:drawing>
      </w:r>
      <w:r w:rsidRPr="00F629D3">
        <w:rPr>
          <w:rFonts w:ascii="Times New Roman" w:eastAsia="Times New Roman" w:hAnsi="Times New Roman" w:cs="Times New Roman"/>
          <w:noProof/>
          <w:color w:val="000000"/>
          <w:sz w:val="24"/>
          <w:szCs w:val="24"/>
        </w:rPr>
        <w:tab/>
      </w:r>
      <w:r w:rsidRPr="00F629D3">
        <w:rPr>
          <w:rFonts w:ascii="Times New Roman" w:eastAsia="Times New Roman" w:hAnsi="Times New Roman" w:cs="Times New Roman"/>
          <w:noProof/>
          <w:color w:val="000000"/>
          <w:sz w:val="24"/>
          <w:szCs w:val="24"/>
        </w:rPr>
        <w:drawing>
          <wp:inline distT="0" distB="0" distL="0" distR="0" wp14:anchorId="6FCCAAEE" wp14:editId="19C65EA8">
            <wp:extent cx="1423035" cy="147455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626" cy="1493814"/>
                    </a:xfrm>
                    <a:prstGeom prst="rect">
                      <a:avLst/>
                    </a:prstGeom>
                    <a:noFill/>
                    <a:ln>
                      <a:noFill/>
                    </a:ln>
                  </pic:spPr>
                </pic:pic>
              </a:graphicData>
            </a:graphic>
          </wp:inline>
        </w:drawing>
      </w:r>
      <w:r w:rsidRPr="00F629D3">
        <w:rPr>
          <w:rFonts w:ascii="Times New Roman" w:eastAsia="Times New Roman" w:hAnsi="Times New Roman" w:cs="Times New Roman"/>
          <w:noProof/>
          <w:color w:val="000000"/>
          <w:sz w:val="24"/>
          <w:szCs w:val="24"/>
        </w:rPr>
        <w:tab/>
      </w:r>
      <w:r w:rsidRPr="00F629D3">
        <w:rPr>
          <w:rFonts w:ascii="Times New Roman" w:eastAsia="Times New Roman" w:hAnsi="Times New Roman" w:cs="Times New Roman"/>
          <w:noProof/>
          <w:color w:val="000000"/>
          <w:sz w:val="24"/>
          <w:szCs w:val="24"/>
        </w:rPr>
        <w:drawing>
          <wp:inline distT="0" distB="0" distL="0" distR="0" wp14:anchorId="6A29FF9D" wp14:editId="684006CB">
            <wp:extent cx="1584192" cy="1481235"/>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6075" cy="1492346"/>
                    </a:xfrm>
                    <a:prstGeom prst="rect">
                      <a:avLst/>
                    </a:prstGeom>
                    <a:noFill/>
                    <a:ln>
                      <a:noFill/>
                    </a:ln>
                  </pic:spPr>
                </pic:pic>
              </a:graphicData>
            </a:graphic>
          </wp:inline>
        </w:drawing>
      </w:r>
    </w:p>
    <w:p w14:paraId="5243C447" w14:textId="77777777" w:rsidR="00ED5041" w:rsidRPr="005572E7" w:rsidRDefault="00ED5041" w:rsidP="00ED5041">
      <w:pPr>
        <w:spacing w:line="240" w:lineRule="auto"/>
        <w:ind w:firstLine="720"/>
        <w:jc w:val="center"/>
        <w:rPr>
          <w:rFonts w:ascii="Times New Roman" w:hAnsi="Times New Roman" w:cs="Times New Roman"/>
          <w:b/>
          <w:bCs/>
          <w:iCs/>
          <w:sz w:val="24"/>
          <w:szCs w:val="24"/>
        </w:rPr>
      </w:pPr>
      <w:r>
        <w:rPr>
          <w:rFonts w:ascii="Times New Roman" w:eastAsia="Times New Roman" w:hAnsi="Times New Roman" w:cs="Times New Roman"/>
          <w:b/>
          <w:noProof/>
          <w:color w:val="000000"/>
          <w:sz w:val="24"/>
          <w:szCs w:val="24"/>
        </w:rPr>
        <w:t>Fig 1: Biodiesel pr</w:t>
      </w:r>
      <w:r w:rsidRPr="00CE452F">
        <w:rPr>
          <w:rFonts w:ascii="Times New Roman" w:eastAsia="Times New Roman" w:hAnsi="Times New Roman" w:cs="Times New Roman"/>
          <w:b/>
          <w:noProof/>
          <w:color w:val="000000"/>
          <w:sz w:val="24"/>
          <w:szCs w:val="24"/>
        </w:rPr>
        <w:t>oduction</w:t>
      </w:r>
      <w:r>
        <w:rPr>
          <w:rFonts w:ascii="Times New Roman" w:eastAsia="Times New Roman" w:hAnsi="Times New Roman" w:cs="Times New Roman"/>
          <w:b/>
          <w:noProof/>
          <w:color w:val="000000"/>
          <w:sz w:val="24"/>
          <w:szCs w:val="24"/>
        </w:rPr>
        <w:t xml:space="preserve"> process</w:t>
      </w:r>
    </w:p>
    <w:p w14:paraId="0CCDAB44" w14:textId="77777777" w:rsidR="00ED5041" w:rsidRPr="00F629D3" w:rsidRDefault="00ED5041" w:rsidP="00ED5041">
      <w:pPr>
        <w:spacing w:line="240" w:lineRule="auto"/>
        <w:jc w:val="both"/>
        <w:rPr>
          <w:rFonts w:ascii="Times New Roman" w:hAnsi="Times New Roman" w:cs="Times New Roman"/>
          <w:b/>
          <w:iCs/>
          <w:sz w:val="24"/>
          <w:szCs w:val="24"/>
        </w:rPr>
      </w:pPr>
      <w:r w:rsidRPr="00F629D3">
        <w:rPr>
          <w:rFonts w:ascii="Times New Roman" w:hAnsi="Times New Roman" w:cs="Times New Roman"/>
          <w:b/>
          <w:iCs/>
          <w:sz w:val="24"/>
          <w:szCs w:val="24"/>
        </w:rPr>
        <w:t>Experimental design and Response surface methodology (RSM) modeling</w:t>
      </w:r>
    </w:p>
    <w:p w14:paraId="49301084" w14:textId="77777777" w:rsidR="00ED5041" w:rsidRPr="00F629D3" w:rsidRDefault="00ED5041" w:rsidP="00ED5041">
      <w:pPr>
        <w:spacing w:line="240" w:lineRule="auto"/>
        <w:jc w:val="both"/>
        <w:rPr>
          <w:rFonts w:ascii="Times New Roman" w:hAnsi="Times New Roman" w:cs="Times New Roman"/>
          <w:b/>
          <w:sz w:val="24"/>
          <w:szCs w:val="24"/>
        </w:rPr>
      </w:pPr>
      <w:r w:rsidRPr="00F629D3">
        <w:rPr>
          <w:rFonts w:ascii="Times New Roman" w:hAnsi="Times New Roman" w:cs="Times New Roman"/>
          <w:sz w:val="24"/>
          <w:szCs w:val="24"/>
        </w:rPr>
        <w:t xml:space="preserve">Box Behnken Design (BBD) was used to </w:t>
      </w:r>
      <w:r w:rsidRPr="00F629D3">
        <w:rPr>
          <w:rFonts w:ascii="Times New Roman" w:hAnsi="Times New Roman" w:cs="Times New Roman"/>
          <w:sz w:val="24"/>
          <w:szCs w:val="24"/>
          <w:lang w:val="en-GB"/>
        </w:rPr>
        <w:t>design the transesterification process by systematically varying the input variables</w:t>
      </w:r>
      <w:r w:rsidRPr="00F629D3">
        <w:rPr>
          <w:rFonts w:ascii="Times New Roman" w:hAnsi="Times New Roman" w:cs="Times New Roman"/>
          <w:sz w:val="24"/>
          <w:szCs w:val="24"/>
        </w:rPr>
        <w:t xml:space="preserve"> variables (methanol/oil ratio, catalyst loading, reaction temperature and reaction time) on the biodiesel yield was investigated. The ranges of the process variables are shown in Table 2.</w:t>
      </w:r>
      <w:r w:rsidRPr="00F629D3">
        <w:rPr>
          <w:rFonts w:ascii="Times New Roman" w:hAnsi="Times New Roman" w:cs="Times New Roman"/>
          <w:b/>
          <w:sz w:val="24"/>
          <w:szCs w:val="24"/>
        </w:rPr>
        <w:t xml:space="preserve"> </w:t>
      </w:r>
    </w:p>
    <w:p w14:paraId="53F6765D" w14:textId="77777777" w:rsidR="00ED5041" w:rsidRPr="00F629D3" w:rsidRDefault="00ED5041" w:rsidP="00ED5041">
      <w:pPr>
        <w:spacing w:line="240" w:lineRule="auto"/>
        <w:jc w:val="both"/>
        <w:rPr>
          <w:rFonts w:ascii="Times New Roman" w:hAnsi="Times New Roman" w:cs="Times New Roman"/>
          <w:b/>
          <w:sz w:val="24"/>
          <w:szCs w:val="24"/>
        </w:rPr>
      </w:pPr>
      <w:r w:rsidRPr="00F629D3">
        <w:rPr>
          <w:rFonts w:ascii="Times New Roman" w:hAnsi="Times New Roman" w:cs="Times New Roman"/>
          <w:b/>
          <w:sz w:val="24"/>
          <w:szCs w:val="24"/>
        </w:rPr>
        <w:t>Table 2: Process variables and their lower, middle and upper limits</w:t>
      </w:r>
    </w:p>
    <w:tbl>
      <w:tblPr>
        <w:tblStyle w:val="TableGrid"/>
        <w:tblW w:w="8455" w:type="dxa"/>
        <w:jc w:val="center"/>
        <w:tblLayout w:type="fixed"/>
        <w:tblLook w:val="04A0" w:firstRow="1" w:lastRow="0" w:firstColumn="1" w:lastColumn="0" w:noHBand="0" w:noVBand="1"/>
      </w:tblPr>
      <w:tblGrid>
        <w:gridCol w:w="900"/>
        <w:gridCol w:w="2515"/>
        <w:gridCol w:w="1350"/>
        <w:gridCol w:w="1080"/>
        <w:gridCol w:w="1170"/>
        <w:gridCol w:w="1440"/>
      </w:tblGrid>
      <w:tr w:rsidR="00ED5041" w:rsidRPr="00F629D3" w14:paraId="15815C5F" w14:textId="77777777" w:rsidTr="001E1A7B">
        <w:trPr>
          <w:trHeight w:val="242"/>
          <w:jc w:val="center"/>
        </w:trPr>
        <w:tc>
          <w:tcPr>
            <w:tcW w:w="900" w:type="dxa"/>
            <w:hideMark/>
          </w:tcPr>
          <w:p w14:paraId="3127A288" w14:textId="77777777" w:rsidR="00ED5041" w:rsidRPr="00B4669C" w:rsidRDefault="00ED5041" w:rsidP="001E1A7B">
            <w:pPr>
              <w:jc w:val="both"/>
              <w:rPr>
                <w:rFonts w:ascii="Times New Roman" w:hAnsi="Times New Roman" w:cs="Times New Roman"/>
                <w:b/>
                <w:bCs/>
                <w:sz w:val="24"/>
                <w:szCs w:val="24"/>
              </w:rPr>
            </w:pPr>
            <w:r w:rsidRPr="00B4669C">
              <w:rPr>
                <w:rFonts w:ascii="Times New Roman" w:hAnsi="Times New Roman" w:cs="Times New Roman"/>
                <w:b/>
                <w:bCs/>
                <w:sz w:val="24"/>
                <w:szCs w:val="24"/>
              </w:rPr>
              <w:t>Factor</w:t>
            </w:r>
          </w:p>
        </w:tc>
        <w:tc>
          <w:tcPr>
            <w:tcW w:w="2515" w:type="dxa"/>
            <w:hideMark/>
          </w:tcPr>
          <w:p w14:paraId="5892FF97" w14:textId="77777777" w:rsidR="00ED5041" w:rsidRPr="00B4669C" w:rsidRDefault="00ED5041" w:rsidP="001E1A7B">
            <w:pPr>
              <w:jc w:val="both"/>
              <w:rPr>
                <w:rFonts w:ascii="Times New Roman" w:hAnsi="Times New Roman" w:cs="Times New Roman"/>
                <w:b/>
                <w:bCs/>
                <w:sz w:val="24"/>
                <w:szCs w:val="24"/>
              </w:rPr>
            </w:pPr>
            <w:r w:rsidRPr="00B4669C">
              <w:rPr>
                <w:rFonts w:ascii="Times New Roman" w:hAnsi="Times New Roman" w:cs="Times New Roman"/>
                <w:b/>
                <w:bCs/>
                <w:sz w:val="24"/>
                <w:szCs w:val="24"/>
              </w:rPr>
              <w:t>Process variable</w:t>
            </w:r>
          </w:p>
        </w:tc>
        <w:tc>
          <w:tcPr>
            <w:tcW w:w="1350" w:type="dxa"/>
            <w:hideMark/>
          </w:tcPr>
          <w:p w14:paraId="1A6428F0" w14:textId="77777777" w:rsidR="00ED5041" w:rsidRPr="00B4669C" w:rsidRDefault="00ED5041" w:rsidP="001E1A7B">
            <w:pPr>
              <w:jc w:val="both"/>
              <w:rPr>
                <w:rFonts w:ascii="Times New Roman" w:hAnsi="Times New Roman" w:cs="Times New Roman"/>
                <w:b/>
                <w:bCs/>
                <w:sz w:val="24"/>
                <w:szCs w:val="24"/>
              </w:rPr>
            </w:pPr>
            <w:r w:rsidRPr="00B4669C">
              <w:rPr>
                <w:rFonts w:ascii="Times New Roman" w:hAnsi="Times New Roman" w:cs="Times New Roman"/>
                <w:b/>
                <w:bCs/>
                <w:sz w:val="24"/>
                <w:szCs w:val="24"/>
              </w:rPr>
              <w:t>Units</w:t>
            </w:r>
          </w:p>
        </w:tc>
        <w:tc>
          <w:tcPr>
            <w:tcW w:w="1080" w:type="dxa"/>
            <w:hideMark/>
          </w:tcPr>
          <w:p w14:paraId="0F8333F1" w14:textId="77777777" w:rsidR="00ED5041" w:rsidRPr="00B4669C" w:rsidRDefault="00ED5041" w:rsidP="001E1A7B">
            <w:pPr>
              <w:jc w:val="both"/>
              <w:rPr>
                <w:rFonts w:ascii="Times New Roman" w:hAnsi="Times New Roman" w:cs="Times New Roman"/>
                <w:b/>
                <w:bCs/>
                <w:sz w:val="24"/>
                <w:szCs w:val="24"/>
              </w:rPr>
            </w:pPr>
            <w:r w:rsidRPr="00B4669C">
              <w:rPr>
                <w:rFonts w:ascii="Times New Roman" w:hAnsi="Times New Roman" w:cs="Times New Roman"/>
                <w:b/>
                <w:bCs/>
                <w:sz w:val="24"/>
                <w:szCs w:val="24"/>
              </w:rPr>
              <w:t>Lower</w:t>
            </w:r>
          </w:p>
        </w:tc>
        <w:tc>
          <w:tcPr>
            <w:tcW w:w="1170" w:type="dxa"/>
          </w:tcPr>
          <w:p w14:paraId="376C533B" w14:textId="77777777" w:rsidR="00ED5041" w:rsidRPr="00B4669C" w:rsidRDefault="00ED5041" w:rsidP="001E1A7B">
            <w:pPr>
              <w:jc w:val="both"/>
              <w:rPr>
                <w:rFonts w:ascii="Times New Roman" w:hAnsi="Times New Roman" w:cs="Times New Roman"/>
                <w:b/>
                <w:bCs/>
                <w:sz w:val="24"/>
                <w:szCs w:val="24"/>
              </w:rPr>
            </w:pPr>
            <w:r w:rsidRPr="00B4669C">
              <w:rPr>
                <w:rFonts w:ascii="Times New Roman" w:hAnsi="Times New Roman" w:cs="Times New Roman"/>
                <w:b/>
                <w:bCs/>
                <w:sz w:val="24"/>
                <w:szCs w:val="24"/>
              </w:rPr>
              <w:t>Middle</w:t>
            </w:r>
          </w:p>
        </w:tc>
        <w:tc>
          <w:tcPr>
            <w:tcW w:w="1440" w:type="dxa"/>
            <w:hideMark/>
          </w:tcPr>
          <w:p w14:paraId="51C1DE7E" w14:textId="77777777" w:rsidR="00ED5041" w:rsidRPr="00B4669C" w:rsidRDefault="00ED5041" w:rsidP="001E1A7B">
            <w:pPr>
              <w:jc w:val="both"/>
              <w:rPr>
                <w:rFonts w:ascii="Times New Roman" w:hAnsi="Times New Roman" w:cs="Times New Roman"/>
                <w:b/>
                <w:sz w:val="24"/>
                <w:szCs w:val="24"/>
              </w:rPr>
            </w:pPr>
            <w:r w:rsidRPr="00B4669C">
              <w:rPr>
                <w:rFonts w:ascii="Times New Roman" w:hAnsi="Times New Roman" w:cs="Times New Roman"/>
                <w:b/>
                <w:sz w:val="24"/>
                <w:szCs w:val="24"/>
              </w:rPr>
              <w:t>Upper</w:t>
            </w:r>
          </w:p>
        </w:tc>
      </w:tr>
      <w:tr w:rsidR="00ED5041" w:rsidRPr="00F629D3" w14:paraId="7E7BFA12" w14:textId="77777777" w:rsidTr="001E1A7B">
        <w:trPr>
          <w:trHeight w:val="242"/>
          <w:jc w:val="center"/>
        </w:trPr>
        <w:tc>
          <w:tcPr>
            <w:tcW w:w="900" w:type="dxa"/>
            <w:hideMark/>
          </w:tcPr>
          <w:p w14:paraId="1EC15EC3"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A</w:t>
            </w:r>
          </w:p>
        </w:tc>
        <w:tc>
          <w:tcPr>
            <w:tcW w:w="2515" w:type="dxa"/>
            <w:hideMark/>
          </w:tcPr>
          <w:p w14:paraId="7B5D25CB"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Methanol/oil ratio</w:t>
            </w:r>
          </w:p>
        </w:tc>
        <w:tc>
          <w:tcPr>
            <w:tcW w:w="1350" w:type="dxa"/>
            <w:hideMark/>
          </w:tcPr>
          <w:p w14:paraId="3F7FDD79"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mol/mol</w:t>
            </w:r>
          </w:p>
        </w:tc>
        <w:tc>
          <w:tcPr>
            <w:tcW w:w="1080" w:type="dxa"/>
            <w:hideMark/>
          </w:tcPr>
          <w:p w14:paraId="27604732"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6</w:t>
            </w:r>
          </w:p>
        </w:tc>
        <w:tc>
          <w:tcPr>
            <w:tcW w:w="1170" w:type="dxa"/>
          </w:tcPr>
          <w:p w14:paraId="339813A5"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9</w:t>
            </w:r>
          </w:p>
        </w:tc>
        <w:tc>
          <w:tcPr>
            <w:tcW w:w="1440" w:type="dxa"/>
            <w:hideMark/>
          </w:tcPr>
          <w:p w14:paraId="6C36698B"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12</w:t>
            </w:r>
          </w:p>
        </w:tc>
      </w:tr>
      <w:tr w:rsidR="00ED5041" w:rsidRPr="00F629D3" w14:paraId="238C34C4" w14:textId="77777777" w:rsidTr="001E1A7B">
        <w:trPr>
          <w:trHeight w:val="233"/>
          <w:jc w:val="center"/>
        </w:trPr>
        <w:tc>
          <w:tcPr>
            <w:tcW w:w="900" w:type="dxa"/>
            <w:hideMark/>
          </w:tcPr>
          <w:p w14:paraId="7535790D"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B</w:t>
            </w:r>
          </w:p>
        </w:tc>
        <w:tc>
          <w:tcPr>
            <w:tcW w:w="2515" w:type="dxa"/>
            <w:hideMark/>
          </w:tcPr>
          <w:p w14:paraId="1F71D2F3"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Reaction time</w:t>
            </w:r>
          </w:p>
        </w:tc>
        <w:tc>
          <w:tcPr>
            <w:tcW w:w="1350" w:type="dxa"/>
            <w:hideMark/>
          </w:tcPr>
          <w:p w14:paraId="6CB6650E"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min</w:t>
            </w:r>
          </w:p>
        </w:tc>
        <w:tc>
          <w:tcPr>
            <w:tcW w:w="1080" w:type="dxa"/>
            <w:hideMark/>
          </w:tcPr>
          <w:p w14:paraId="2C4FAD71"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60</w:t>
            </w:r>
          </w:p>
        </w:tc>
        <w:tc>
          <w:tcPr>
            <w:tcW w:w="1170" w:type="dxa"/>
          </w:tcPr>
          <w:p w14:paraId="07BD9C80"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90</w:t>
            </w:r>
          </w:p>
        </w:tc>
        <w:tc>
          <w:tcPr>
            <w:tcW w:w="1440" w:type="dxa"/>
            <w:hideMark/>
          </w:tcPr>
          <w:p w14:paraId="102982D1"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120</w:t>
            </w:r>
          </w:p>
        </w:tc>
      </w:tr>
      <w:tr w:rsidR="00ED5041" w:rsidRPr="00F629D3" w14:paraId="2268DF2F" w14:textId="77777777" w:rsidTr="001E1A7B">
        <w:trPr>
          <w:trHeight w:val="170"/>
          <w:jc w:val="center"/>
        </w:trPr>
        <w:tc>
          <w:tcPr>
            <w:tcW w:w="900" w:type="dxa"/>
            <w:hideMark/>
          </w:tcPr>
          <w:p w14:paraId="54D0F674"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C</w:t>
            </w:r>
          </w:p>
        </w:tc>
        <w:tc>
          <w:tcPr>
            <w:tcW w:w="2515" w:type="dxa"/>
            <w:hideMark/>
          </w:tcPr>
          <w:p w14:paraId="6F8BA345"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Reaction temperature</w:t>
            </w:r>
          </w:p>
        </w:tc>
        <w:tc>
          <w:tcPr>
            <w:tcW w:w="1350" w:type="dxa"/>
            <w:hideMark/>
          </w:tcPr>
          <w:p w14:paraId="5B0373D1"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vertAlign w:val="superscript"/>
              </w:rPr>
              <w:t>o</w:t>
            </w:r>
            <w:r w:rsidRPr="00F629D3">
              <w:rPr>
                <w:rFonts w:ascii="Times New Roman" w:hAnsi="Times New Roman" w:cs="Times New Roman"/>
                <w:sz w:val="24"/>
                <w:szCs w:val="24"/>
              </w:rPr>
              <w:t>C</w:t>
            </w:r>
          </w:p>
        </w:tc>
        <w:tc>
          <w:tcPr>
            <w:tcW w:w="1080" w:type="dxa"/>
            <w:hideMark/>
          </w:tcPr>
          <w:p w14:paraId="2E7F0C8B"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60</w:t>
            </w:r>
          </w:p>
        </w:tc>
        <w:tc>
          <w:tcPr>
            <w:tcW w:w="1170" w:type="dxa"/>
          </w:tcPr>
          <w:p w14:paraId="5B10EE63"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65</w:t>
            </w:r>
          </w:p>
        </w:tc>
        <w:tc>
          <w:tcPr>
            <w:tcW w:w="1440" w:type="dxa"/>
            <w:hideMark/>
          </w:tcPr>
          <w:p w14:paraId="33962727"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70</w:t>
            </w:r>
          </w:p>
        </w:tc>
      </w:tr>
      <w:tr w:rsidR="00ED5041" w:rsidRPr="00F629D3" w14:paraId="5C876336" w14:textId="77777777" w:rsidTr="001E1A7B">
        <w:trPr>
          <w:trHeight w:val="80"/>
          <w:jc w:val="center"/>
        </w:trPr>
        <w:tc>
          <w:tcPr>
            <w:tcW w:w="900" w:type="dxa"/>
            <w:hideMark/>
          </w:tcPr>
          <w:p w14:paraId="2C46C3A6"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D</w:t>
            </w:r>
          </w:p>
        </w:tc>
        <w:tc>
          <w:tcPr>
            <w:tcW w:w="2515" w:type="dxa"/>
            <w:hideMark/>
          </w:tcPr>
          <w:p w14:paraId="31CC8C46"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Catalyst loading</w:t>
            </w:r>
          </w:p>
        </w:tc>
        <w:tc>
          <w:tcPr>
            <w:tcW w:w="1350" w:type="dxa"/>
            <w:hideMark/>
          </w:tcPr>
          <w:p w14:paraId="0F2E3286"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(%wt)</w:t>
            </w:r>
          </w:p>
        </w:tc>
        <w:tc>
          <w:tcPr>
            <w:tcW w:w="1080" w:type="dxa"/>
            <w:hideMark/>
          </w:tcPr>
          <w:p w14:paraId="7A54F107"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1</w:t>
            </w:r>
          </w:p>
        </w:tc>
        <w:tc>
          <w:tcPr>
            <w:tcW w:w="1170" w:type="dxa"/>
          </w:tcPr>
          <w:p w14:paraId="27AF9C25"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3.5</w:t>
            </w:r>
          </w:p>
        </w:tc>
        <w:tc>
          <w:tcPr>
            <w:tcW w:w="1440" w:type="dxa"/>
            <w:hideMark/>
          </w:tcPr>
          <w:p w14:paraId="170601FF" w14:textId="77777777" w:rsidR="00ED5041" w:rsidRPr="00F629D3" w:rsidRDefault="00ED5041" w:rsidP="001E1A7B">
            <w:pPr>
              <w:jc w:val="both"/>
              <w:rPr>
                <w:rFonts w:ascii="Times New Roman" w:hAnsi="Times New Roman" w:cs="Times New Roman"/>
                <w:sz w:val="24"/>
                <w:szCs w:val="24"/>
              </w:rPr>
            </w:pPr>
            <w:r w:rsidRPr="00F629D3">
              <w:rPr>
                <w:rFonts w:ascii="Times New Roman" w:hAnsi="Times New Roman" w:cs="Times New Roman"/>
                <w:sz w:val="24"/>
                <w:szCs w:val="24"/>
              </w:rPr>
              <w:t>6</w:t>
            </w:r>
          </w:p>
        </w:tc>
      </w:tr>
    </w:tbl>
    <w:p w14:paraId="50F5E4B6" w14:textId="77777777" w:rsidR="00ED5041" w:rsidRPr="00F629D3" w:rsidRDefault="00ED5041" w:rsidP="00ED5041">
      <w:pPr>
        <w:spacing w:line="240" w:lineRule="auto"/>
        <w:jc w:val="both"/>
        <w:rPr>
          <w:rFonts w:ascii="Times New Roman" w:hAnsi="Times New Roman" w:cs="Times New Roman"/>
          <w:bCs/>
          <w:iCs/>
          <w:sz w:val="24"/>
          <w:szCs w:val="24"/>
        </w:rPr>
      </w:pPr>
    </w:p>
    <w:p w14:paraId="0453E8A5"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lang w:val="en-GB"/>
        </w:rPr>
        <w:t>The range of the input variables was determined from previous studies, with some modifications. The transesterification trials were a total of 29 runs. The factors were systematically varied at different levels. The response variable (biodiesel yield) was recorded. A quadratic regression model, as shown in equation 2, was fitted to the experimental data so as to model the transesterification process as a function of the input variables.</w:t>
      </w:r>
    </w:p>
    <w:p w14:paraId="2210C335" w14:textId="77777777" w:rsidR="00ED5041" w:rsidRPr="00F629D3" w:rsidRDefault="003939F9" w:rsidP="00ED5041">
      <w:pPr>
        <w:spacing w:line="240" w:lineRule="auto"/>
        <w:jc w:val="both"/>
        <w:rPr>
          <w:rFonts w:ascii="Times New Roman" w:hAnsi="Times New Roman" w:cs="Times New Roman"/>
          <w:bCs/>
          <w:iCs/>
          <w:sz w:val="24"/>
          <w:szCs w:val="24"/>
        </w:rPr>
      </w:pP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o</m:t>
            </m:r>
          </m:sub>
        </m:sSub>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Cs/>
                <w:iCs/>
                <w:sz w:val="24"/>
                <w:szCs w:val="24"/>
              </w:rPr>
            </m:ctrlPr>
          </m:naryPr>
          <m:sub/>
          <m:sup/>
          <m:e>
            <m:sSub>
              <m:sSubPr>
                <m:ctrlPr>
                  <w:rPr>
                    <w:rFonts w:ascii="Cambria Math" w:hAnsi="Cambria Math" w:cs="Times New Roman"/>
                    <w:bCs/>
                    <w:i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m:t>
                </m:r>
              </m:sub>
            </m:sSub>
            <m:sSub>
              <m:sSubPr>
                <m:ctrlPr>
                  <w:rPr>
                    <w:rFonts w:ascii="Cambria Math" w:hAnsi="Cambria Math" w:cs="Times New Roman"/>
                    <w:bCs/>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Cs/>
                    <w:iCs/>
                    <w:sz w:val="24"/>
                    <w:szCs w:val="24"/>
                  </w:rPr>
                </m:ctrlPr>
              </m:naryPr>
              <m:sub/>
              <m:sup/>
              <m:e>
                <m:sSub>
                  <m:sSubPr>
                    <m:ctrlPr>
                      <w:rPr>
                        <w:rFonts w:ascii="Cambria Math" w:hAnsi="Cambria Math" w:cs="Times New Roman"/>
                        <w:bCs/>
                        <w:i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ij</m:t>
                    </m:r>
                  </m:sub>
                </m:sSub>
                <m:sSub>
                  <m:sSubPr>
                    <m:ctrlPr>
                      <w:rPr>
                        <w:rFonts w:ascii="Cambria Math" w:hAnsi="Cambria Math" w:cs="Times New Roman"/>
                        <w:bCs/>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sSub>
                  <m:sSubPr>
                    <m:ctrlPr>
                      <w:rPr>
                        <w:rFonts w:ascii="Cambria Math" w:hAnsi="Cambria Math" w:cs="Times New Roman"/>
                        <w:bCs/>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Cs/>
                        <w:iCs/>
                        <w:sz w:val="24"/>
                        <w:szCs w:val="24"/>
                      </w:rPr>
                    </m:ctrlPr>
                  </m:naryPr>
                  <m:sub/>
                  <m:sup/>
                  <m:e>
                    <m:sSub>
                      <m:sSubPr>
                        <m:ctrlPr>
                          <w:rPr>
                            <w:rFonts w:ascii="Cambria Math" w:hAnsi="Cambria Math" w:cs="Times New Roman"/>
                            <w:bCs/>
                            <w:i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ii</m:t>
                        </m:r>
                      </m:sub>
                    </m:sSub>
                    <m:sSubSup>
                      <m:sSubSupPr>
                        <m:ctrlPr>
                          <w:rPr>
                            <w:rFonts w:ascii="Cambria Math" w:hAnsi="Cambria Math" w:cs="Times New Roman"/>
                            <w:bCs/>
                            <w:iCs/>
                            <w:sz w:val="24"/>
                            <w:szCs w:val="24"/>
                          </w:rPr>
                        </m:ctrlPr>
                      </m:sSubSup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m:t>
                        </m:r>
                      </m:sub>
                    </m:sSub>
                  </m:e>
                </m:nary>
              </m:e>
            </m:nary>
          </m:e>
        </m:nary>
      </m:oMath>
      <w:r w:rsidR="00ED5041" w:rsidRPr="00F629D3">
        <w:rPr>
          <w:rFonts w:ascii="Times New Roman" w:hAnsi="Times New Roman" w:cs="Times New Roman"/>
          <w:bCs/>
          <w:iCs/>
          <w:sz w:val="24"/>
          <w:szCs w:val="24"/>
        </w:rPr>
        <w:t xml:space="preserve">    </w:t>
      </w:r>
      <w:r w:rsidR="00ED5041" w:rsidRPr="00F629D3">
        <w:rPr>
          <w:rFonts w:ascii="Times New Roman" w:hAnsi="Times New Roman" w:cs="Times New Roman"/>
          <w:bCs/>
          <w:iCs/>
          <w:sz w:val="24"/>
          <w:szCs w:val="24"/>
        </w:rPr>
        <w:tab/>
      </w:r>
      <w:r w:rsidR="00ED5041" w:rsidRPr="00F629D3">
        <w:rPr>
          <w:rFonts w:ascii="Times New Roman" w:hAnsi="Times New Roman" w:cs="Times New Roman"/>
          <w:bCs/>
          <w:iCs/>
          <w:sz w:val="24"/>
          <w:szCs w:val="24"/>
        </w:rPr>
        <w:tab/>
      </w:r>
      <w:r w:rsidR="00ED5041" w:rsidRPr="00F629D3">
        <w:rPr>
          <w:rFonts w:ascii="Times New Roman" w:hAnsi="Times New Roman" w:cs="Times New Roman"/>
          <w:bCs/>
          <w:iCs/>
          <w:sz w:val="24"/>
          <w:szCs w:val="24"/>
        </w:rPr>
        <w:tab/>
      </w:r>
      <w:r w:rsidR="00ED5041" w:rsidRPr="00F629D3">
        <w:rPr>
          <w:rFonts w:ascii="Times New Roman" w:hAnsi="Times New Roman" w:cs="Times New Roman"/>
          <w:bCs/>
          <w:iCs/>
          <w:sz w:val="24"/>
          <w:szCs w:val="24"/>
        </w:rPr>
        <w:tab/>
      </w:r>
      <w:r w:rsidR="00ED5041" w:rsidRPr="00F629D3">
        <w:rPr>
          <w:rFonts w:ascii="Times New Roman" w:hAnsi="Times New Roman" w:cs="Times New Roman"/>
          <w:bCs/>
          <w:iCs/>
          <w:sz w:val="24"/>
          <w:szCs w:val="24"/>
        </w:rPr>
        <w:tab/>
      </w:r>
      <w:r w:rsidR="00ED5041" w:rsidRPr="00F629D3">
        <w:rPr>
          <w:rFonts w:ascii="Times New Roman" w:hAnsi="Times New Roman" w:cs="Times New Roman"/>
          <w:bCs/>
          <w:iCs/>
          <w:sz w:val="24"/>
          <w:szCs w:val="24"/>
        </w:rPr>
        <w:tab/>
      </w:r>
      <w:r w:rsidR="00ED5041">
        <w:rPr>
          <w:rFonts w:ascii="Times New Roman" w:hAnsi="Times New Roman" w:cs="Times New Roman"/>
          <w:bCs/>
          <w:iCs/>
          <w:sz w:val="24"/>
          <w:szCs w:val="24"/>
        </w:rPr>
        <w:tab/>
      </w:r>
      <w:r w:rsidR="00ED5041">
        <w:rPr>
          <w:rFonts w:ascii="Times New Roman" w:hAnsi="Times New Roman" w:cs="Times New Roman"/>
          <w:bCs/>
          <w:iCs/>
          <w:sz w:val="24"/>
          <w:szCs w:val="24"/>
        </w:rPr>
        <w:tab/>
      </w:r>
      <w:r w:rsidR="00ED5041" w:rsidRPr="00F629D3">
        <w:rPr>
          <w:rFonts w:ascii="Times New Roman" w:hAnsi="Times New Roman" w:cs="Times New Roman"/>
          <w:bCs/>
          <w:iCs/>
          <w:sz w:val="24"/>
          <w:szCs w:val="24"/>
        </w:rPr>
        <w:t>(2)</w:t>
      </w:r>
    </w:p>
    <w:p w14:paraId="781D83BE" w14:textId="38694EBF"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Where, Y</w:t>
      </w:r>
      <w:r w:rsidRPr="00F629D3">
        <w:rPr>
          <w:rFonts w:ascii="Times New Roman" w:hAnsi="Times New Roman" w:cs="Times New Roman"/>
          <w:bCs/>
          <w:iCs/>
          <w:sz w:val="24"/>
          <w:szCs w:val="24"/>
          <w:vertAlign w:val="subscript"/>
        </w:rPr>
        <w:t>i</w:t>
      </w:r>
      <w:r w:rsidRPr="00F629D3">
        <w:rPr>
          <w:rFonts w:ascii="Times New Roman" w:hAnsi="Times New Roman" w:cs="Times New Roman"/>
          <w:bCs/>
          <w:iCs/>
          <w:sz w:val="24"/>
          <w:szCs w:val="24"/>
        </w:rPr>
        <w:t xml:space="preserve"> denotes the predicted response, b</w:t>
      </w:r>
      <w:r w:rsidRPr="00F629D3">
        <w:rPr>
          <w:rFonts w:ascii="Times New Roman" w:hAnsi="Times New Roman" w:cs="Times New Roman"/>
          <w:bCs/>
          <w:iCs/>
          <w:sz w:val="24"/>
          <w:szCs w:val="24"/>
          <w:vertAlign w:val="subscript"/>
        </w:rPr>
        <w:t>o</w:t>
      </w:r>
      <w:r w:rsidRPr="00F629D3">
        <w:rPr>
          <w:rFonts w:ascii="Times New Roman" w:hAnsi="Times New Roman" w:cs="Times New Roman"/>
          <w:bCs/>
          <w:iCs/>
          <w:sz w:val="24"/>
          <w:szCs w:val="24"/>
        </w:rPr>
        <w:t xml:space="preserve">  is the value at intercept, b</w:t>
      </w:r>
      <w:r w:rsidRPr="00F629D3">
        <w:rPr>
          <w:rFonts w:ascii="Times New Roman" w:hAnsi="Times New Roman" w:cs="Times New Roman"/>
          <w:bCs/>
          <w:iCs/>
          <w:sz w:val="24"/>
          <w:szCs w:val="24"/>
          <w:vertAlign w:val="subscript"/>
        </w:rPr>
        <w:t>i</w:t>
      </w:r>
      <w:r w:rsidRPr="00F629D3">
        <w:rPr>
          <w:rFonts w:ascii="Times New Roman" w:hAnsi="Times New Roman" w:cs="Times New Roman"/>
          <w:bCs/>
          <w:iCs/>
          <w:sz w:val="24"/>
          <w:szCs w:val="24"/>
        </w:rPr>
        <w:t xml:space="preserve">  is the coefficient of first order, b</w:t>
      </w:r>
      <w:r w:rsidRPr="00F629D3">
        <w:rPr>
          <w:rFonts w:ascii="Times New Roman" w:hAnsi="Times New Roman" w:cs="Times New Roman"/>
          <w:bCs/>
          <w:iCs/>
          <w:sz w:val="24"/>
          <w:szCs w:val="24"/>
          <w:vertAlign w:val="subscript"/>
        </w:rPr>
        <w:t>ii</w:t>
      </w:r>
      <w:r w:rsidRPr="00F629D3">
        <w:rPr>
          <w:rFonts w:ascii="Times New Roman" w:hAnsi="Times New Roman" w:cs="Times New Roman"/>
          <w:bCs/>
          <w:iCs/>
          <w:sz w:val="24"/>
          <w:szCs w:val="24"/>
        </w:rPr>
        <w:t xml:space="preserve"> is the quadratic effect coefficient, b</w:t>
      </w:r>
      <w:r w:rsidRPr="00F629D3">
        <w:rPr>
          <w:rFonts w:ascii="Times New Roman" w:hAnsi="Times New Roman" w:cs="Times New Roman"/>
          <w:bCs/>
          <w:iCs/>
          <w:sz w:val="24"/>
          <w:szCs w:val="24"/>
          <w:vertAlign w:val="subscript"/>
        </w:rPr>
        <w:t>ij</w:t>
      </w:r>
      <w:r w:rsidRPr="00F629D3">
        <w:rPr>
          <w:rFonts w:ascii="Times New Roman" w:hAnsi="Times New Roman" w:cs="Times New Roman"/>
          <w:bCs/>
          <w:iCs/>
          <w:sz w:val="24"/>
          <w:szCs w:val="24"/>
        </w:rPr>
        <w:t xml:space="preserve">  is the interacting effect coefficient, X</w:t>
      </w:r>
      <w:r w:rsidRPr="00F629D3">
        <w:rPr>
          <w:rFonts w:ascii="Times New Roman" w:hAnsi="Times New Roman" w:cs="Times New Roman"/>
          <w:bCs/>
          <w:iCs/>
          <w:sz w:val="24"/>
          <w:szCs w:val="24"/>
          <w:vertAlign w:val="subscript"/>
        </w:rPr>
        <w:t>i</w:t>
      </w:r>
      <w:r w:rsidRPr="00F629D3">
        <w:rPr>
          <w:rFonts w:ascii="Times New Roman" w:hAnsi="Times New Roman" w:cs="Times New Roman"/>
          <w:bCs/>
          <w:iCs/>
          <w:sz w:val="24"/>
          <w:szCs w:val="24"/>
        </w:rPr>
        <w:t xml:space="preserve"> and X</w:t>
      </w:r>
      <w:r w:rsidRPr="00F629D3">
        <w:rPr>
          <w:rFonts w:ascii="Times New Roman" w:hAnsi="Times New Roman" w:cs="Times New Roman"/>
          <w:bCs/>
          <w:iCs/>
          <w:sz w:val="24"/>
          <w:szCs w:val="24"/>
          <w:vertAlign w:val="subscript"/>
        </w:rPr>
        <w:t>j</w:t>
      </w:r>
      <w:r w:rsidRPr="00F629D3">
        <w:rPr>
          <w:rFonts w:ascii="Times New Roman" w:hAnsi="Times New Roman" w:cs="Times New Roman"/>
          <w:bCs/>
          <w:iCs/>
          <w:sz w:val="24"/>
          <w:szCs w:val="24"/>
        </w:rPr>
        <w:t xml:space="preserve"> are the process variables that affect the response, and e</w:t>
      </w:r>
      <w:r w:rsidRPr="00F629D3">
        <w:rPr>
          <w:rFonts w:ascii="Times New Roman" w:hAnsi="Times New Roman" w:cs="Times New Roman"/>
          <w:bCs/>
          <w:iCs/>
          <w:sz w:val="24"/>
          <w:szCs w:val="24"/>
          <w:vertAlign w:val="subscript"/>
        </w:rPr>
        <w:t>i</w:t>
      </w:r>
      <w:r w:rsidRPr="00F629D3">
        <w:rPr>
          <w:rFonts w:ascii="Times New Roman" w:hAnsi="Times New Roman" w:cs="Times New Roman"/>
          <w:bCs/>
          <w:iCs/>
          <w:sz w:val="24"/>
          <w:szCs w:val="24"/>
        </w:rPr>
        <w:t xml:space="preserve">  is the experimental random error</w:t>
      </w:r>
      <w:r w:rsidR="006D5F3A">
        <w:rPr>
          <w:rFonts w:ascii="Times New Roman" w:eastAsiaTheme="minorEastAsia" w:hAnsi="Times New Roman" w:cs="Times New Roman"/>
          <w:sz w:val="24"/>
          <w:szCs w:val="24"/>
        </w:rPr>
        <w:t xml:space="preserve"> [4]</w:t>
      </w:r>
      <w:r w:rsidRPr="00F629D3">
        <w:rPr>
          <w:rFonts w:ascii="Times New Roman" w:hAnsi="Times New Roman" w:cs="Times New Roman"/>
          <w:bCs/>
          <w:iCs/>
          <w:sz w:val="24"/>
          <w:szCs w:val="24"/>
        </w:rPr>
        <w:t>.</w:t>
      </w:r>
    </w:p>
    <w:p w14:paraId="1F5418C5" w14:textId="77777777" w:rsidR="00ED5041" w:rsidRPr="00B57752" w:rsidRDefault="00ED5041" w:rsidP="00ED5041">
      <w:pPr>
        <w:spacing w:line="240" w:lineRule="auto"/>
        <w:jc w:val="both"/>
        <w:rPr>
          <w:rFonts w:ascii="Times New Roman" w:hAnsi="Times New Roman" w:cs="Times New Roman"/>
          <w:b/>
          <w:bCs/>
          <w:iCs/>
          <w:sz w:val="28"/>
          <w:szCs w:val="28"/>
        </w:rPr>
      </w:pPr>
      <w:r w:rsidRPr="00B57752">
        <w:rPr>
          <w:rFonts w:ascii="Times New Roman" w:hAnsi="Times New Roman" w:cs="Times New Roman"/>
          <w:b/>
          <w:bCs/>
          <w:iCs/>
          <w:sz w:val="28"/>
          <w:szCs w:val="28"/>
        </w:rPr>
        <w:t>RESULTS AND DISCUSSIONS</w:t>
      </w:r>
    </w:p>
    <w:p w14:paraId="78470412" w14:textId="77777777"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iCs/>
          <w:sz w:val="24"/>
          <w:szCs w:val="24"/>
        </w:rPr>
        <w:t>Catalyst characterization</w:t>
      </w:r>
    </w:p>
    <w:p w14:paraId="577423D1"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X-ray Fluorescence (XRF) Analysis</w:t>
      </w:r>
    </w:p>
    <w:p w14:paraId="1D8EFDBE" w14:textId="36B99043" w:rsidR="00ED5041" w:rsidRPr="004D2B57"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lastRenderedPageBreak/>
        <w:t>Using XRF, the chemical composition of the precursors and produced catalyst (before and af</w:t>
      </w:r>
      <w:r>
        <w:rPr>
          <w:rFonts w:ascii="Times New Roman" w:hAnsi="Times New Roman" w:cs="Times New Roman"/>
          <w:bCs/>
          <w:iCs/>
          <w:sz w:val="24"/>
          <w:szCs w:val="24"/>
          <w:lang w:val="en-GB"/>
        </w:rPr>
        <w:t>ter use) were analysed. Table 3</w:t>
      </w:r>
      <w:r w:rsidRPr="00F629D3">
        <w:rPr>
          <w:rFonts w:ascii="Times New Roman" w:hAnsi="Times New Roman" w:cs="Times New Roman"/>
          <w:bCs/>
          <w:iCs/>
          <w:sz w:val="24"/>
          <w:szCs w:val="24"/>
          <w:lang w:val="en-GB"/>
        </w:rPr>
        <w:t xml:space="preserve"> shows the results of the analysis, which give useful perception of the oxides the precursors and produced catalyst comprise, thereby offering important information about their composition and potential catalytic activity.</w:t>
      </w:r>
      <w:r>
        <w:rPr>
          <w:rFonts w:ascii="Times New Roman" w:hAnsi="Times New Roman" w:cs="Times New Roman"/>
          <w:bCs/>
          <w:iCs/>
          <w:sz w:val="24"/>
          <w:szCs w:val="24"/>
          <w:lang w:val="en-GB"/>
        </w:rPr>
        <w:t xml:space="preserve"> </w:t>
      </w:r>
      <w:r w:rsidRPr="00F629D3">
        <w:rPr>
          <w:rFonts w:ascii="Times New Roman" w:hAnsi="Times New Roman" w:cs="Times New Roman"/>
          <w:bCs/>
          <w:iCs/>
          <w:sz w:val="24"/>
          <w:szCs w:val="24"/>
        </w:rPr>
        <w:t xml:space="preserve">The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precursor's strong basicity and suitability as the primary source of basic active sites for transesterification reactions were confirmed by the XRF analysis, which revealed that it was primarily CaO-rich </w:t>
      </w:r>
      <w:r w:rsidR="003F5052">
        <w:rPr>
          <w:rFonts w:ascii="Times New Roman" w:hAnsi="Times New Roman" w:cs="Times New Roman"/>
          <w:bCs/>
          <w:iCs/>
          <w:sz w:val="24"/>
          <w:szCs w:val="24"/>
        </w:rPr>
        <w:t>[20]</w:t>
      </w:r>
      <w:r w:rsidR="008517E2">
        <w:rPr>
          <w:rFonts w:ascii="Times New Roman" w:hAnsi="Times New Roman" w:cs="Times New Roman"/>
          <w:bCs/>
          <w:iCs/>
          <w:sz w:val="24"/>
          <w:szCs w:val="24"/>
        </w:rPr>
        <w:t>; [56]</w:t>
      </w:r>
      <w:r w:rsidRPr="00F629D3">
        <w:rPr>
          <w:rFonts w:ascii="Times New Roman" w:hAnsi="Times New Roman" w:cs="Times New Roman"/>
          <w:bCs/>
          <w:iCs/>
          <w:sz w:val="24"/>
          <w:szCs w:val="24"/>
        </w:rPr>
        <w:t>. The THC precursor, on the other hand, had a much lower CaO content but larger SiO₂, AlO₃ and FeO₃ proportions, suggesting an aluminosilicate and iron structure that primarily supports structural stability and moderate acidity</w:t>
      </w:r>
      <w:r w:rsidR="0077177E">
        <w:rPr>
          <w:rFonts w:ascii="Times New Roman" w:hAnsi="Times New Roman" w:cs="Times New Roman"/>
          <w:bCs/>
          <w:iCs/>
          <w:sz w:val="24"/>
          <w:szCs w:val="24"/>
        </w:rPr>
        <w:t xml:space="preserve"> [25]</w:t>
      </w:r>
      <w:r w:rsidRPr="00F629D3">
        <w:rPr>
          <w:rFonts w:ascii="Times New Roman" w:hAnsi="Times New Roman" w:cs="Times New Roman"/>
          <w:bCs/>
          <w:iCs/>
          <w:sz w:val="24"/>
          <w:szCs w:val="24"/>
        </w:rPr>
        <w:fldChar w:fldCharType="begin" w:fldLock="1"/>
      </w:r>
      <w:r w:rsidR="004711E0">
        <w:rPr>
          <w:rFonts w:ascii="Times New Roman" w:hAnsi="Times New Roman" w:cs="Times New Roman"/>
          <w:bCs/>
          <w:iCs/>
          <w:sz w:val="24"/>
          <w:szCs w:val="24"/>
        </w:rPr>
        <w:instrText>ADDIN CSL_CITATION {"citationItems":[{"id":"ITEM-1","itemData":{"DOI":"10.1016/j.biotechadv.2010.03.002","ISSN":"0734-9750","author":[{"dropping-particle":"","family":"Lam","given":"Man Kee","non-dropping-particle":"","parse-names":false,"suffix":""},{"dropping-particle":"","family":"Lee","given":"Keat Teong","non-dropping-particle":"","parse-names":false,"suffix":""},{"dropping-particle":"","family":"Mohamed","given":"Abdul Rahman","non-dropping-particle":"","parse-names":false,"suffix":""}],"container-title":"Biotechnology Advances","id":"ITEM-1","issue":"4","issued":{"date-parts":[["2010"]]},"page":"500-518","publisher":"Elsevier Inc.","title":"Homogeneous , heterogeneous and enzymatic catalysis for transesteri fi cation of high free fatty acid oil ( waste cooking oil ) to biodiesel : A review","type":"article-journal","volume":"28"},"uris":["http://www.mendeley.com/documents/?uuid=8dd82811-0be5-45ed-8dca-36c161761112"]},{"id":"ITEM-2","itemData":{"DOI":"10.1016/j.clay.2016.05.001","ISSN":"0169-1317","author":[{"dropping-particle":"","family":"Komadel","given":"Peter","non-dropping-particle":"","parse-names":false,"suffix":""}],"container-title":"Applied Clay Science","id":"ITEM-2","issued":{"date-parts":[["2016"]]},"page":"84-99","publisher":"Elsevier B.V.","title":"Acid activated clays : Materials in continuous demand","type":"article-journal","volume":"131"},"uris":["http://www.mendeley.com/documents/?uuid=b821b3d9-1fa7-4c51-b7cc-3c221f60ccf6"]}],"mendeley":{"formattedCitation":"(Komadel, 2016; Lam et al., 2010)","manualFormatting":";","plainTextFormattedCitation":"(Komadel, 2016; Lam et al., 2010)","previouslyFormattedCitation":"(Komadel, 2016; Lam et al., 2010)"},"properties":{"noteIndex":0},"schema":"https://github.com/citation-style-language/schema/raw/master/csl-citation.json"}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7D7CBB" w:rsidRPr="007D7CBB">
        <w:rPr>
          <w:rFonts w:ascii="Times New Roman" w:hAnsi="Times New Roman" w:cs="Times New Roman"/>
          <w:bCs/>
          <w:iCs/>
          <w:noProof/>
          <w:sz w:val="24"/>
          <w:szCs w:val="24"/>
        </w:rPr>
        <w:t>;</w:t>
      </w:r>
      <w:r w:rsidRPr="00F629D3">
        <w:rPr>
          <w:rFonts w:ascii="Times New Roman" w:hAnsi="Times New Roman" w:cs="Times New Roman"/>
          <w:bCs/>
          <w:iCs/>
          <w:sz w:val="24"/>
          <w:szCs w:val="24"/>
        </w:rPr>
        <w:fldChar w:fldCharType="end"/>
      </w:r>
      <w:r w:rsidR="00E21DBD">
        <w:rPr>
          <w:rFonts w:ascii="Times New Roman" w:hAnsi="Times New Roman" w:cs="Times New Roman"/>
          <w:bCs/>
          <w:iCs/>
          <w:sz w:val="24"/>
          <w:szCs w:val="24"/>
        </w:rPr>
        <w:t xml:space="preserve"> [29]</w:t>
      </w:r>
      <w:r w:rsidRPr="00F629D3">
        <w:rPr>
          <w:rFonts w:ascii="Times New Roman" w:hAnsi="Times New Roman" w:cs="Times New Roman"/>
          <w:bCs/>
          <w:iCs/>
          <w:sz w:val="24"/>
          <w:szCs w:val="24"/>
        </w:rPr>
        <w:t xml:space="preserve">. </w:t>
      </w:r>
    </w:p>
    <w:p w14:paraId="11A91C52" w14:textId="5A314F6A"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rPr>
        <w:t>The THC precursor diluted the CaO content during the formation of the composite catalyst, but it was still high enough to retain strong basicity. Both precursors were successfully integrated, as indicated by the intermediate quantities of SiO₂ and Al2O₃. Effective doping with zinc nitrate and its conversion to ZnO following calcination were amply demonstrated by the composite catalyst's notable rise in ZnO. Lewis acidic sites are introduced by this ZnO phase, which increases the esterification activity and allows the catalyst to operate bifunctionally for simultaneous esterification and transesterification</w:t>
      </w:r>
      <w:r w:rsidR="00E940E7">
        <w:rPr>
          <w:rFonts w:ascii="Times New Roman" w:hAnsi="Times New Roman" w:cs="Times New Roman"/>
          <w:bCs/>
          <w:iCs/>
          <w:sz w:val="24"/>
          <w:szCs w:val="24"/>
          <w:lang w:val="en-GB"/>
        </w:rPr>
        <w:t xml:space="preserve"> [31]</w:t>
      </w:r>
      <w:r w:rsidRPr="00F629D3">
        <w:rPr>
          <w:rFonts w:ascii="Times New Roman" w:hAnsi="Times New Roman" w:cs="Times New Roman"/>
          <w:bCs/>
          <w:iCs/>
          <w:sz w:val="24"/>
          <w:szCs w:val="24"/>
          <w:lang w:val="en-GB"/>
        </w:rPr>
        <w:t>.</w:t>
      </w:r>
    </w:p>
    <w:p w14:paraId="1FB03568" w14:textId="777777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The presence of SiO</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ml:space="preserve"> enhances stability of the catalyst. For solid catalysed reaction, high surface area and mechanical stability are required and SiO</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ml:space="preserve"> provides the catalyst with these requirements.</w:t>
      </w:r>
      <w:r>
        <w:rPr>
          <w:rFonts w:ascii="Times New Roman" w:hAnsi="Times New Roman" w:cs="Times New Roman"/>
          <w:bCs/>
          <w:iCs/>
          <w:sz w:val="24"/>
          <w:szCs w:val="24"/>
          <w:lang w:val="en-GB"/>
        </w:rPr>
        <w:t xml:space="preserve"> </w:t>
      </w:r>
      <w:r w:rsidRPr="00F629D3">
        <w:rPr>
          <w:rFonts w:ascii="Times New Roman" w:hAnsi="Times New Roman" w:cs="Times New Roman"/>
          <w:bCs/>
          <w:iCs/>
          <w:sz w:val="24"/>
          <w:szCs w:val="24"/>
        </w:rPr>
        <w:t xml:space="preserve">Only minimal changes in elemental composition are seen following catalytic application, with a relative rise in ZnO due to the loss of volatile or organic species and a slight decrease in CaO due to partial leaching or carbonation during reaction. The slight rise in SO₃ could be the result of adsorption or migration of sulfur-containing species, whereas small fluctuations in other metal oxides indicate surface remodeling and involvement in catalytic activities. On the whole, the XRF results show that the catalyst has good structural stability and validate the complementing functions of THC and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in producing a long-lasting and efficient bifunctional catalyst for the production of biodiesel.</w:t>
      </w:r>
    </w:p>
    <w:p w14:paraId="45FD926D"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 xml:space="preserve">Table 3: Elemental composition of </w:t>
      </w:r>
      <w:r>
        <w:rPr>
          <w:rFonts w:ascii="Times New Roman" w:hAnsi="Times New Roman" w:cs="Times New Roman"/>
          <w:b/>
          <w:bCs/>
          <w:iCs/>
          <w:sz w:val="24"/>
          <w:szCs w:val="24"/>
          <w:lang w:val="en-GB"/>
        </w:rPr>
        <w:t>carbide slag</w:t>
      </w:r>
      <w:r w:rsidRPr="00F629D3">
        <w:rPr>
          <w:rFonts w:ascii="Times New Roman" w:hAnsi="Times New Roman" w:cs="Times New Roman"/>
          <w:b/>
          <w:bCs/>
          <w:iCs/>
          <w:sz w:val="24"/>
          <w:szCs w:val="24"/>
          <w:lang w:val="en-GB"/>
        </w:rPr>
        <w:t xml:space="preserve"> precursor, THC precursor, composite catalyst before use, and composite catalyst after use.</w:t>
      </w:r>
    </w:p>
    <w:tbl>
      <w:tblPr>
        <w:tblStyle w:val="TableGrid"/>
        <w:tblW w:w="0" w:type="auto"/>
        <w:jc w:val="center"/>
        <w:tblLook w:val="04A0" w:firstRow="1" w:lastRow="0" w:firstColumn="1" w:lastColumn="0" w:noHBand="0" w:noVBand="1"/>
      </w:tblPr>
      <w:tblGrid>
        <w:gridCol w:w="1615"/>
        <w:gridCol w:w="1620"/>
        <w:gridCol w:w="1890"/>
        <w:gridCol w:w="2089"/>
        <w:gridCol w:w="2136"/>
      </w:tblGrid>
      <w:tr w:rsidR="00ED5041" w:rsidRPr="00F629D3" w14:paraId="560AF987" w14:textId="77777777" w:rsidTr="001E1A7B">
        <w:trPr>
          <w:jc w:val="center"/>
        </w:trPr>
        <w:tc>
          <w:tcPr>
            <w:tcW w:w="1615" w:type="dxa"/>
          </w:tcPr>
          <w:p w14:paraId="2BE7298E" w14:textId="77777777" w:rsidR="00ED5041" w:rsidRPr="00F629D3" w:rsidRDefault="00ED5041" w:rsidP="001E1A7B">
            <w:pPr>
              <w:jc w:val="both"/>
              <w:rPr>
                <w:rFonts w:ascii="Times New Roman" w:hAnsi="Times New Roman" w:cs="Times New Roman"/>
                <w:b/>
                <w:bCs/>
                <w:iCs/>
                <w:sz w:val="24"/>
                <w:szCs w:val="24"/>
                <w:lang w:val="en-GB"/>
              </w:rPr>
            </w:pPr>
            <w:bookmarkStart w:id="1" w:name="_Hlk220172099"/>
            <w:r w:rsidRPr="00F629D3">
              <w:rPr>
                <w:rFonts w:ascii="Times New Roman" w:hAnsi="Times New Roman" w:cs="Times New Roman"/>
                <w:b/>
                <w:bCs/>
                <w:iCs/>
                <w:sz w:val="24"/>
                <w:szCs w:val="24"/>
                <w:lang w:val="en-GB"/>
              </w:rPr>
              <w:t>Component</w:t>
            </w:r>
          </w:p>
        </w:tc>
        <w:tc>
          <w:tcPr>
            <w:tcW w:w="1620" w:type="dxa"/>
          </w:tcPr>
          <w:p w14:paraId="5E31EAC6" w14:textId="77777777" w:rsidR="00ED5041" w:rsidRPr="00F629D3" w:rsidRDefault="00ED5041" w:rsidP="001E1A7B">
            <w:pPr>
              <w:jc w:val="both"/>
              <w:rPr>
                <w:rFonts w:ascii="Times New Roman" w:hAnsi="Times New Roman" w:cs="Times New Roman"/>
                <w:b/>
                <w:bCs/>
                <w:iCs/>
                <w:sz w:val="24"/>
                <w:szCs w:val="24"/>
                <w:lang w:val="en-GB"/>
              </w:rPr>
            </w:pPr>
            <w:r>
              <w:rPr>
                <w:rFonts w:ascii="Times New Roman" w:hAnsi="Times New Roman" w:cs="Times New Roman"/>
                <w:b/>
                <w:bCs/>
                <w:iCs/>
                <w:sz w:val="24"/>
                <w:szCs w:val="24"/>
                <w:lang w:val="en-GB"/>
              </w:rPr>
              <w:t>carbide slag</w:t>
            </w:r>
            <w:r w:rsidRPr="00F629D3">
              <w:rPr>
                <w:rFonts w:ascii="Times New Roman" w:hAnsi="Times New Roman" w:cs="Times New Roman"/>
                <w:b/>
                <w:bCs/>
                <w:iCs/>
                <w:sz w:val="24"/>
                <w:szCs w:val="24"/>
                <w:lang w:val="en-GB"/>
              </w:rPr>
              <w:t xml:space="preserve"> precursor</w:t>
            </w:r>
          </w:p>
        </w:tc>
        <w:tc>
          <w:tcPr>
            <w:tcW w:w="1890" w:type="dxa"/>
          </w:tcPr>
          <w:p w14:paraId="3C08A4FE"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THC precursor</w:t>
            </w:r>
          </w:p>
        </w:tc>
        <w:tc>
          <w:tcPr>
            <w:tcW w:w="2089" w:type="dxa"/>
          </w:tcPr>
          <w:p w14:paraId="32AE6FCD"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Concentration (%) of composite catalyst before use</w:t>
            </w:r>
          </w:p>
        </w:tc>
        <w:tc>
          <w:tcPr>
            <w:tcW w:w="2136" w:type="dxa"/>
          </w:tcPr>
          <w:p w14:paraId="6903E8E8"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Concentration (%) of composite catalyst after use</w:t>
            </w:r>
          </w:p>
        </w:tc>
      </w:tr>
      <w:tr w:rsidR="00ED5041" w:rsidRPr="00F629D3" w14:paraId="35FBD905" w14:textId="77777777" w:rsidTr="001E1A7B">
        <w:trPr>
          <w:jc w:val="center"/>
        </w:trPr>
        <w:tc>
          <w:tcPr>
            <w:tcW w:w="1615" w:type="dxa"/>
          </w:tcPr>
          <w:p w14:paraId="7E13836F"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vertAlign w:val="subscript"/>
                <w:lang w:val="en-GB"/>
              </w:rPr>
              <w:t xml:space="preserve"> </w:t>
            </w:r>
            <w:r w:rsidRPr="00F629D3">
              <w:rPr>
                <w:rFonts w:ascii="Times New Roman" w:hAnsi="Times New Roman" w:cs="Times New Roman"/>
                <w:bCs/>
                <w:iCs/>
                <w:sz w:val="24"/>
                <w:szCs w:val="24"/>
                <w:lang w:val="en-GB"/>
              </w:rPr>
              <w:t>CaO</w:t>
            </w:r>
          </w:p>
        </w:tc>
        <w:tc>
          <w:tcPr>
            <w:tcW w:w="1620" w:type="dxa"/>
          </w:tcPr>
          <w:p w14:paraId="4DA63FE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89.763</w:t>
            </w:r>
          </w:p>
        </w:tc>
        <w:tc>
          <w:tcPr>
            <w:tcW w:w="1890" w:type="dxa"/>
          </w:tcPr>
          <w:p w14:paraId="7DEE16B8"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1.463</w:t>
            </w:r>
          </w:p>
        </w:tc>
        <w:tc>
          <w:tcPr>
            <w:tcW w:w="2089" w:type="dxa"/>
          </w:tcPr>
          <w:p w14:paraId="31EA8B9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52.1448</w:t>
            </w:r>
          </w:p>
        </w:tc>
        <w:tc>
          <w:tcPr>
            <w:tcW w:w="2136" w:type="dxa"/>
          </w:tcPr>
          <w:p w14:paraId="0DF974A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49.853</w:t>
            </w:r>
          </w:p>
        </w:tc>
      </w:tr>
      <w:tr w:rsidR="00ED5041" w:rsidRPr="00F629D3" w14:paraId="41BFEF93" w14:textId="77777777" w:rsidTr="001E1A7B">
        <w:trPr>
          <w:jc w:val="center"/>
        </w:trPr>
        <w:tc>
          <w:tcPr>
            <w:tcW w:w="1615" w:type="dxa"/>
          </w:tcPr>
          <w:p w14:paraId="19C165D1"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SiO</w:t>
            </w:r>
            <w:r w:rsidRPr="00F629D3">
              <w:rPr>
                <w:rFonts w:ascii="Times New Roman" w:hAnsi="Times New Roman" w:cs="Times New Roman"/>
                <w:bCs/>
                <w:iCs/>
                <w:sz w:val="24"/>
                <w:szCs w:val="24"/>
                <w:vertAlign w:val="subscript"/>
                <w:lang w:val="en-GB"/>
              </w:rPr>
              <w:t>2</w:t>
            </w:r>
          </w:p>
        </w:tc>
        <w:tc>
          <w:tcPr>
            <w:tcW w:w="1620" w:type="dxa"/>
          </w:tcPr>
          <w:p w14:paraId="2B6BC3F7"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4.036</w:t>
            </w:r>
          </w:p>
        </w:tc>
        <w:tc>
          <w:tcPr>
            <w:tcW w:w="1890" w:type="dxa"/>
          </w:tcPr>
          <w:p w14:paraId="6049A7A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46.924</w:t>
            </w:r>
          </w:p>
        </w:tc>
        <w:tc>
          <w:tcPr>
            <w:tcW w:w="2089" w:type="dxa"/>
          </w:tcPr>
          <w:p w14:paraId="04B2ACF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10.3888</w:t>
            </w:r>
          </w:p>
        </w:tc>
        <w:tc>
          <w:tcPr>
            <w:tcW w:w="2136" w:type="dxa"/>
          </w:tcPr>
          <w:p w14:paraId="55A1F85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7.931</w:t>
            </w:r>
          </w:p>
        </w:tc>
      </w:tr>
      <w:tr w:rsidR="00ED5041" w:rsidRPr="00F629D3" w14:paraId="16092E58" w14:textId="77777777" w:rsidTr="001E1A7B">
        <w:trPr>
          <w:jc w:val="center"/>
        </w:trPr>
        <w:tc>
          <w:tcPr>
            <w:tcW w:w="1615" w:type="dxa"/>
          </w:tcPr>
          <w:p w14:paraId="7B56C46C"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Al</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3</w:t>
            </w:r>
          </w:p>
        </w:tc>
        <w:tc>
          <w:tcPr>
            <w:tcW w:w="1620" w:type="dxa"/>
          </w:tcPr>
          <w:p w14:paraId="4ABA6443"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3.880</w:t>
            </w:r>
          </w:p>
        </w:tc>
        <w:tc>
          <w:tcPr>
            <w:tcW w:w="1890" w:type="dxa"/>
          </w:tcPr>
          <w:p w14:paraId="6BA5301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24.144</w:t>
            </w:r>
          </w:p>
        </w:tc>
        <w:tc>
          <w:tcPr>
            <w:tcW w:w="2089" w:type="dxa"/>
          </w:tcPr>
          <w:p w14:paraId="3B329C5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7.4389</w:t>
            </w:r>
          </w:p>
        </w:tc>
        <w:tc>
          <w:tcPr>
            <w:tcW w:w="2136" w:type="dxa"/>
          </w:tcPr>
          <w:p w14:paraId="1FA4F2F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7.9001</w:t>
            </w:r>
          </w:p>
        </w:tc>
      </w:tr>
      <w:tr w:rsidR="00ED5041" w:rsidRPr="00F629D3" w14:paraId="170529A4" w14:textId="77777777" w:rsidTr="001E1A7B">
        <w:trPr>
          <w:jc w:val="center"/>
        </w:trPr>
        <w:tc>
          <w:tcPr>
            <w:tcW w:w="1615" w:type="dxa"/>
          </w:tcPr>
          <w:p w14:paraId="7943A62E"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SO</w:t>
            </w:r>
            <w:r w:rsidRPr="00F629D3">
              <w:rPr>
                <w:rFonts w:ascii="Times New Roman" w:hAnsi="Times New Roman" w:cs="Times New Roman"/>
                <w:bCs/>
                <w:iCs/>
                <w:sz w:val="24"/>
                <w:szCs w:val="24"/>
                <w:vertAlign w:val="subscript"/>
                <w:lang w:val="en-GB"/>
              </w:rPr>
              <w:t>3</w:t>
            </w:r>
          </w:p>
        </w:tc>
        <w:tc>
          <w:tcPr>
            <w:tcW w:w="1620" w:type="dxa"/>
          </w:tcPr>
          <w:p w14:paraId="334B261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0.583</w:t>
            </w:r>
          </w:p>
        </w:tc>
        <w:tc>
          <w:tcPr>
            <w:tcW w:w="1890" w:type="dxa"/>
          </w:tcPr>
          <w:p w14:paraId="650182C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0.388</w:t>
            </w:r>
          </w:p>
        </w:tc>
        <w:tc>
          <w:tcPr>
            <w:tcW w:w="2089" w:type="dxa"/>
          </w:tcPr>
          <w:p w14:paraId="06038D4D"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0.2958</w:t>
            </w:r>
          </w:p>
        </w:tc>
        <w:tc>
          <w:tcPr>
            <w:tcW w:w="2136" w:type="dxa"/>
          </w:tcPr>
          <w:p w14:paraId="5150777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0.4005</w:t>
            </w:r>
          </w:p>
        </w:tc>
      </w:tr>
      <w:tr w:rsidR="00ED5041" w:rsidRPr="00F629D3" w14:paraId="07B940A8" w14:textId="77777777" w:rsidTr="001E1A7B">
        <w:trPr>
          <w:jc w:val="center"/>
        </w:trPr>
        <w:tc>
          <w:tcPr>
            <w:tcW w:w="1615" w:type="dxa"/>
          </w:tcPr>
          <w:p w14:paraId="3C1B3EA3"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Fe</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3</w:t>
            </w:r>
          </w:p>
        </w:tc>
        <w:tc>
          <w:tcPr>
            <w:tcW w:w="1620" w:type="dxa"/>
          </w:tcPr>
          <w:p w14:paraId="7C3EC6AE"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w:t>
            </w:r>
            <w:r w:rsidRPr="00F629D3">
              <w:rPr>
                <w:rFonts w:ascii="Times New Roman" w:hAnsi="Times New Roman" w:cs="Times New Roman"/>
                <w:b/>
                <w:bCs/>
                <w:iCs/>
                <w:sz w:val="24"/>
                <w:szCs w:val="24"/>
                <w:lang w:val="en-GB"/>
              </w:rPr>
              <w:t>.</w:t>
            </w:r>
            <w:r w:rsidRPr="00F629D3">
              <w:rPr>
                <w:rFonts w:ascii="Times New Roman" w:hAnsi="Times New Roman" w:cs="Times New Roman"/>
                <w:bCs/>
                <w:iCs/>
                <w:sz w:val="24"/>
                <w:szCs w:val="24"/>
                <w:lang w:val="en-GB"/>
              </w:rPr>
              <w:t xml:space="preserve"> 439</w:t>
            </w:r>
          </w:p>
        </w:tc>
        <w:tc>
          <w:tcPr>
            <w:tcW w:w="1890" w:type="dxa"/>
          </w:tcPr>
          <w:p w14:paraId="0F590EC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20.619</w:t>
            </w:r>
          </w:p>
        </w:tc>
        <w:tc>
          <w:tcPr>
            <w:tcW w:w="2089" w:type="dxa"/>
          </w:tcPr>
          <w:p w14:paraId="6697BA3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5.2058</w:t>
            </w:r>
          </w:p>
        </w:tc>
        <w:tc>
          <w:tcPr>
            <w:tcW w:w="2136" w:type="dxa"/>
          </w:tcPr>
          <w:p w14:paraId="65D06B8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2.5286</w:t>
            </w:r>
          </w:p>
        </w:tc>
      </w:tr>
      <w:tr w:rsidR="00ED5041" w:rsidRPr="00F629D3" w14:paraId="45AA0801" w14:textId="77777777" w:rsidTr="001E1A7B">
        <w:trPr>
          <w:jc w:val="center"/>
        </w:trPr>
        <w:tc>
          <w:tcPr>
            <w:tcW w:w="1615" w:type="dxa"/>
          </w:tcPr>
          <w:p w14:paraId="68F22C1E"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Cl</w:t>
            </w:r>
          </w:p>
        </w:tc>
        <w:tc>
          <w:tcPr>
            <w:tcW w:w="1620" w:type="dxa"/>
          </w:tcPr>
          <w:p w14:paraId="2D9378D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0. 431</w:t>
            </w:r>
          </w:p>
        </w:tc>
        <w:tc>
          <w:tcPr>
            <w:tcW w:w="1890" w:type="dxa"/>
          </w:tcPr>
          <w:p w14:paraId="0D902A0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0.702</w:t>
            </w:r>
          </w:p>
        </w:tc>
        <w:tc>
          <w:tcPr>
            <w:tcW w:w="2089" w:type="dxa"/>
          </w:tcPr>
          <w:p w14:paraId="6EA7FD9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0.9034</w:t>
            </w:r>
          </w:p>
        </w:tc>
        <w:tc>
          <w:tcPr>
            <w:tcW w:w="2136" w:type="dxa"/>
          </w:tcPr>
          <w:p w14:paraId="3DB78D07"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0.7813</w:t>
            </w:r>
          </w:p>
        </w:tc>
      </w:tr>
      <w:tr w:rsidR="00ED5041" w:rsidRPr="00F629D3" w14:paraId="178F88A1" w14:textId="77777777" w:rsidTr="001E1A7B">
        <w:trPr>
          <w:jc w:val="center"/>
        </w:trPr>
        <w:tc>
          <w:tcPr>
            <w:tcW w:w="1615" w:type="dxa"/>
          </w:tcPr>
          <w:p w14:paraId="2701ECA0"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SnO</w:t>
            </w:r>
            <w:r w:rsidRPr="00F629D3">
              <w:rPr>
                <w:rFonts w:ascii="Times New Roman" w:hAnsi="Times New Roman" w:cs="Times New Roman"/>
                <w:bCs/>
                <w:iCs/>
                <w:sz w:val="24"/>
                <w:szCs w:val="24"/>
                <w:vertAlign w:val="subscript"/>
                <w:lang w:val="en-GB"/>
              </w:rPr>
              <w:t>2</w:t>
            </w:r>
          </w:p>
        </w:tc>
        <w:tc>
          <w:tcPr>
            <w:tcW w:w="1620" w:type="dxa"/>
          </w:tcPr>
          <w:p w14:paraId="0FDF7CE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0. 246</w:t>
            </w:r>
          </w:p>
        </w:tc>
        <w:tc>
          <w:tcPr>
            <w:tcW w:w="1890" w:type="dxa"/>
          </w:tcPr>
          <w:p w14:paraId="0BC8A94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w:t>
            </w:r>
          </w:p>
        </w:tc>
        <w:tc>
          <w:tcPr>
            <w:tcW w:w="2089" w:type="dxa"/>
          </w:tcPr>
          <w:p w14:paraId="2C11E09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0.2900</w:t>
            </w:r>
          </w:p>
        </w:tc>
        <w:tc>
          <w:tcPr>
            <w:tcW w:w="2136" w:type="dxa"/>
          </w:tcPr>
          <w:p w14:paraId="44E16FE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0.3453</w:t>
            </w:r>
          </w:p>
        </w:tc>
      </w:tr>
      <w:tr w:rsidR="00ED5041" w:rsidRPr="00F629D3" w14:paraId="3EFECCCA" w14:textId="77777777" w:rsidTr="001E1A7B">
        <w:trPr>
          <w:jc w:val="center"/>
        </w:trPr>
        <w:tc>
          <w:tcPr>
            <w:tcW w:w="1615" w:type="dxa"/>
          </w:tcPr>
          <w:p w14:paraId="78793E6F"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TiO</w:t>
            </w:r>
            <w:r w:rsidRPr="00F629D3">
              <w:rPr>
                <w:rFonts w:ascii="Times New Roman" w:hAnsi="Times New Roman" w:cs="Times New Roman"/>
                <w:bCs/>
                <w:iCs/>
                <w:sz w:val="24"/>
                <w:szCs w:val="24"/>
                <w:vertAlign w:val="subscript"/>
                <w:lang w:val="en-GB"/>
              </w:rPr>
              <w:t>2</w:t>
            </w:r>
          </w:p>
        </w:tc>
        <w:tc>
          <w:tcPr>
            <w:tcW w:w="1620" w:type="dxa"/>
          </w:tcPr>
          <w:p w14:paraId="5E5D2022"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0.131</w:t>
            </w:r>
          </w:p>
        </w:tc>
        <w:tc>
          <w:tcPr>
            <w:tcW w:w="1890" w:type="dxa"/>
          </w:tcPr>
          <w:p w14:paraId="35A6A34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3.804</w:t>
            </w:r>
          </w:p>
        </w:tc>
        <w:tc>
          <w:tcPr>
            <w:tcW w:w="2089" w:type="dxa"/>
          </w:tcPr>
          <w:p w14:paraId="54D295F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0.9012</w:t>
            </w:r>
          </w:p>
        </w:tc>
        <w:tc>
          <w:tcPr>
            <w:tcW w:w="2136" w:type="dxa"/>
          </w:tcPr>
          <w:p w14:paraId="2DD0D16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0.5234</w:t>
            </w:r>
          </w:p>
        </w:tc>
      </w:tr>
      <w:tr w:rsidR="00ED5041" w:rsidRPr="00F629D3" w14:paraId="0CDDEB13" w14:textId="77777777" w:rsidTr="001E1A7B">
        <w:trPr>
          <w:jc w:val="center"/>
        </w:trPr>
        <w:tc>
          <w:tcPr>
            <w:tcW w:w="1615" w:type="dxa"/>
          </w:tcPr>
          <w:p w14:paraId="50032FD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CoO</w:t>
            </w:r>
          </w:p>
        </w:tc>
        <w:tc>
          <w:tcPr>
            <w:tcW w:w="1620" w:type="dxa"/>
          </w:tcPr>
          <w:p w14:paraId="254EDF0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0.088</w:t>
            </w:r>
          </w:p>
        </w:tc>
        <w:tc>
          <w:tcPr>
            <w:tcW w:w="1890" w:type="dxa"/>
          </w:tcPr>
          <w:p w14:paraId="5DCF423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0.090</w:t>
            </w:r>
          </w:p>
        </w:tc>
        <w:tc>
          <w:tcPr>
            <w:tcW w:w="2089" w:type="dxa"/>
          </w:tcPr>
          <w:p w14:paraId="732D4CE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0.0177</w:t>
            </w:r>
          </w:p>
        </w:tc>
        <w:tc>
          <w:tcPr>
            <w:tcW w:w="2136" w:type="dxa"/>
          </w:tcPr>
          <w:p w14:paraId="2BEBB72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0.0108</w:t>
            </w:r>
          </w:p>
        </w:tc>
      </w:tr>
      <w:tr w:rsidR="00ED5041" w:rsidRPr="00F629D3" w14:paraId="54CC8585" w14:textId="77777777" w:rsidTr="001E1A7B">
        <w:trPr>
          <w:jc w:val="center"/>
        </w:trPr>
        <w:tc>
          <w:tcPr>
            <w:tcW w:w="1615" w:type="dxa"/>
          </w:tcPr>
          <w:p w14:paraId="388FE93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BaO</w:t>
            </w:r>
          </w:p>
        </w:tc>
        <w:tc>
          <w:tcPr>
            <w:tcW w:w="1620" w:type="dxa"/>
          </w:tcPr>
          <w:p w14:paraId="03F25DA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0.085</w:t>
            </w:r>
          </w:p>
        </w:tc>
        <w:tc>
          <w:tcPr>
            <w:tcW w:w="1890" w:type="dxa"/>
          </w:tcPr>
          <w:p w14:paraId="03FFFA3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w:t>
            </w:r>
          </w:p>
        </w:tc>
        <w:tc>
          <w:tcPr>
            <w:tcW w:w="2089" w:type="dxa"/>
          </w:tcPr>
          <w:p w14:paraId="0E2E869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0.0200</w:t>
            </w:r>
          </w:p>
        </w:tc>
        <w:tc>
          <w:tcPr>
            <w:tcW w:w="2136" w:type="dxa"/>
          </w:tcPr>
          <w:p w14:paraId="29EF1A3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0.0211</w:t>
            </w:r>
          </w:p>
        </w:tc>
      </w:tr>
      <w:tr w:rsidR="00ED5041" w:rsidRPr="00F629D3" w14:paraId="2662852C" w14:textId="77777777" w:rsidTr="001E1A7B">
        <w:trPr>
          <w:jc w:val="center"/>
        </w:trPr>
        <w:tc>
          <w:tcPr>
            <w:tcW w:w="1615" w:type="dxa"/>
          </w:tcPr>
          <w:p w14:paraId="452B103D"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lastRenderedPageBreak/>
              <w:t>SrO</w:t>
            </w:r>
          </w:p>
        </w:tc>
        <w:tc>
          <w:tcPr>
            <w:tcW w:w="1620" w:type="dxa"/>
          </w:tcPr>
          <w:p w14:paraId="201AD498"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0.061</w:t>
            </w:r>
          </w:p>
        </w:tc>
        <w:tc>
          <w:tcPr>
            <w:tcW w:w="1890" w:type="dxa"/>
          </w:tcPr>
          <w:p w14:paraId="405A9C4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0.026</w:t>
            </w:r>
          </w:p>
        </w:tc>
        <w:tc>
          <w:tcPr>
            <w:tcW w:w="2089" w:type="dxa"/>
          </w:tcPr>
          <w:p w14:paraId="6F2AB14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0.0584</w:t>
            </w:r>
          </w:p>
        </w:tc>
        <w:tc>
          <w:tcPr>
            <w:tcW w:w="2136" w:type="dxa"/>
          </w:tcPr>
          <w:p w14:paraId="53DED37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0.0346</w:t>
            </w:r>
          </w:p>
        </w:tc>
      </w:tr>
      <w:tr w:rsidR="00ED5041" w:rsidRPr="00F629D3" w14:paraId="42D26161" w14:textId="77777777" w:rsidTr="001E1A7B">
        <w:trPr>
          <w:jc w:val="center"/>
        </w:trPr>
        <w:tc>
          <w:tcPr>
            <w:tcW w:w="1615" w:type="dxa"/>
          </w:tcPr>
          <w:p w14:paraId="2C9BAAC6"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CuO</w:t>
            </w:r>
          </w:p>
        </w:tc>
        <w:tc>
          <w:tcPr>
            <w:tcW w:w="1620" w:type="dxa"/>
          </w:tcPr>
          <w:p w14:paraId="6AF333D6"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0.055</w:t>
            </w:r>
          </w:p>
        </w:tc>
        <w:tc>
          <w:tcPr>
            <w:tcW w:w="1890" w:type="dxa"/>
          </w:tcPr>
          <w:p w14:paraId="0F1884A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0.145</w:t>
            </w:r>
          </w:p>
        </w:tc>
        <w:tc>
          <w:tcPr>
            <w:tcW w:w="2089" w:type="dxa"/>
          </w:tcPr>
          <w:p w14:paraId="3AA550A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0.0536</w:t>
            </w:r>
          </w:p>
        </w:tc>
        <w:tc>
          <w:tcPr>
            <w:tcW w:w="2136" w:type="dxa"/>
          </w:tcPr>
          <w:p w14:paraId="7313348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0.0387</w:t>
            </w:r>
          </w:p>
        </w:tc>
      </w:tr>
      <w:tr w:rsidR="00ED5041" w:rsidRPr="00F629D3" w14:paraId="248F80FD" w14:textId="77777777" w:rsidTr="001E1A7B">
        <w:trPr>
          <w:jc w:val="center"/>
        </w:trPr>
        <w:tc>
          <w:tcPr>
            <w:tcW w:w="1615" w:type="dxa"/>
          </w:tcPr>
          <w:p w14:paraId="1BEE8D59"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Ta</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5</w:t>
            </w:r>
          </w:p>
        </w:tc>
        <w:tc>
          <w:tcPr>
            <w:tcW w:w="1620" w:type="dxa"/>
          </w:tcPr>
          <w:p w14:paraId="29B1514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0.046</w:t>
            </w:r>
          </w:p>
        </w:tc>
        <w:tc>
          <w:tcPr>
            <w:tcW w:w="1890" w:type="dxa"/>
          </w:tcPr>
          <w:p w14:paraId="128797E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0.060</w:t>
            </w:r>
          </w:p>
        </w:tc>
        <w:tc>
          <w:tcPr>
            <w:tcW w:w="2089" w:type="dxa"/>
          </w:tcPr>
          <w:p w14:paraId="76DBA94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0.2323</w:t>
            </w:r>
          </w:p>
        </w:tc>
        <w:tc>
          <w:tcPr>
            <w:tcW w:w="2136" w:type="dxa"/>
          </w:tcPr>
          <w:p w14:paraId="63FAB8C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0.2148</w:t>
            </w:r>
          </w:p>
        </w:tc>
      </w:tr>
      <w:tr w:rsidR="00ED5041" w:rsidRPr="00F629D3" w14:paraId="65750914" w14:textId="77777777" w:rsidTr="001E1A7B">
        <w:trPr>
          <w:jc w:val="center"/>
        </w:trPr>
        <w:tc>
          <w:tcPr>
            <w:tcW w:w="1615" w:type="dxa"/>
          </w:tcPr>
          <w:p w14:paraId="3054237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ZrO</w:t>
            </w:r>
            <w:r w:rsidRPr="00F629D3">
              <w:rPr>
                <w:rFonts w:ascii="Times New Roman" w:hAnsi="Times New Roman" w:cs="Times New Roman"/>
                <w:bCs/>
                <w:iCs/>
                <w:sz w:val="24"/>
                <w:szCs w:val="24"/>
                <w:vertAlign w:val="subscript"/>
                <w:lang w:val="en-GB"/>
              </w:rPr>
              <w:t>2</w:t>
            </w:r>
          </w:p>
        </w:tc>
        <w:tc>
          <w:tcPr>
            <w:tcW w:w="1620" w:type="dxa"/>
          </w:tcPr>
          <w:p w14:paraId="26E1062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0.028</w:t>
            </w:r>
          </w:p>
        </w:tc>
        <w:tc>
          <w:tcPr>
            <w:tcW w:w="1890" w:type="dxa"/>
          </w:tcPr>
          <w:p w14:paraId="21B637C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0.513</w:t>
            </w:r>
          </w:p>
        </w:tc>
        <w:tc>
          <w:tcPr>
            <w:tcW w:w="2089" w:type="dxa"/>
          </w:tcPr>
          <w:p w14:paraId="668586F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0.2658</w:t>
            </w:r>
          </w:p>
        </w:tc>
        <w:tc>
          <w:tcPr>
            <w:tcW w:w="2136" w:type="dxa"/>
          </w:tcPr>
          <w:p w14:paraId="2B97466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0.0978</w:t>
            </w:r>
          </w:p>
        </w:tc>
      </w:tr>
      <w:tr w:rsidR="00ED5041" w:rsidRPr="00F629D3" w14:paraId="3AEC365C" w14:textId="77777777" w:rsidTr="001E1A7B">
        <w:trPr>
          <w:jc w:val="center"/>
        </w:trPr>
        <w:tc>
          <w:tcPr>
            <w:tcW w:w="1615" w:type="dxa"/>
          </w:tcPr>
          <w:p w14:paraId="55EA236C"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Cr</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3</w:t>
            </w:r>
          </w:p>
        </w:tc>
        <w:tc>
          <w:tcPr>
            <w:tcW w:w="1620" w:type="dxa"/>
          </w:tcPr>
          <w:p w14:paraId="125DDA4D"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0.027</w:t>
            </w:r>
          </w:p>
        </w:tc>
        <w:tc>
          <w:tcPr>
            <w:tcW w:w="1890" w:type="dxa"/>
          </w:tcPr>
          <w:p w14:paraId="358C7D5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0.081</w:t>
            </w:r>
          </w:p>
        </w:tc>
        <w:tc>
          <w:tcPr>
            <w:tcW w:w="2089" w:type="dxa"/>
          </w:tcPr>
          <w:p w14:paraId="69B0288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0.0340</w:t>
            </w:r>
          </w:p>
        </w:tc>
        <w:tc>
          <w:tcPr>
            <w:tcW w:w="2136" w:type="dxa"/>
          </w:tcPr>
          <w:p w14:paraId="260F7AF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0.0458</w:t>
            </w:r>
          </w:p>
        </w:tc>
      </w:tr>
      <w:tr w:rsidR="00ED5041" w:rsidRPr="00F629D3" w14:paraId="1AE7ABBA" w14:textId="77777777" w:rsidTr="001E1A7B">
        <w:trPr>
          <w:jc w:val="center"/>
        </w:trPr>
        <w:tc>
          <w:tcPr>
            <w:tcW w:w="1615" w:type="dxa"/>
          </w:tcPr>
          <w:p w14:paraId="12EE33D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WO</w:t>
            </w:r>
            <w:r w:rsidRPr="00F629D3">
              <w:rPr>
                <w:rFonts w:ascii="Times New Roman" w:hAnsi="Times New Roman" w:cs="Times New Roman"/>
                <w:bCs/>
                <w:iCs/>
                <w:sz w:val="24"/>
                <w:szCs w:val="24"/>
                <w:vertAlign w:val="subscript"/>
                <w:lang w:val="en-GB"/>
              </w:rPr>
              <w:t>3</w:t>
            </w:r>
          </w:p>
        </w:tc>
        <w:tc>
          <w:tcPr>
            <w:tcW w:w="1620" w:type="dxa"/>
          </w:tcPr>
          <w:p w14:paraId="5747F029"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0.024</w:t>
            </w:r>
          </w:p>
        </w:tc>
        <w:tc>
          <w:tcPr>
            <w:tcW w:w="1890" w:type="dxa"/>
          </w:tcPr>
          <w:p w14:paraId="7DD5370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w:t>
            </w:r>
          </w:p>
        </w:tc>
        <w:tc>
          <w:tcPr>
            <w:tcW w:w="2089" w:type="dxa"/>
          </w:tcPr>
          <w:p w14:paraId="77ADC59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0.5220</w:t>
            </w:r>
          </w:p>
        </w:tc>
        <w:tc>
          <w:tcPr>
            <w:tcW w:w="2136" w:type="dxa"/>
          </w:tcPr>
          <w:p w14:paraId="6082F46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0.4491</w:t>
            </w:r>
          </w:p>
        </w:tc>
      </w:tr>
      <w:tr w:rsidR="00ED5041" w:rsidRPr="00F629D3" w14:paraId="707BDC51" w14:textId="77777777" w:rsidTr="001E1A7B">
        <w:trPr>
          <w:jc w:val="center"/>
        </w:trPr>
        <w:tc>
          <w:tcPr>
            <w:tcW w:w="1615" w:type="dxa"/>
          </w:tcPr>
          <w:p w14:paraId="44B3C5E7"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NiO</w:t>
            </w:r>
          </w:p>
        </w:tc>
        <w:tc>
          <w:tcPr>
            <w:tcW w:w="1620" w:type="dxa"/>
          </w:tcPr>
          <w:p w14:paraId="3FBC05C3"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0.023</w:t>
            </w:r>
          </w:p>
        </w:tc>
        <w:tc>
          <w:tcPr>
            <w:tcW w:w="1890" w:type="dxa"/>
          </w:tcPr>
          <w:p w14:paraId="2B35D153"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0.005</w:t>
            </w:r>
          </w:p>
        </w:tc>
        <w:tc>
          <w:tcPr>
            <w:tcW w:w="2089" w:type="dxa"/>
          </w:tcPr>
          <w:p w14:paraId="4AAC1B9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0.0000</w:t>
            </w:r>
          </w:p>
        </w:tc>
        <w:tc>
          <w:tcPr>
            <w:tcW w:w="2136" w:type="dxa"/>
          </w:tcPr>
          <w:p w14:paraId="47AA6F47"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0.0000</w:t>
            </w:r>
          </w:p>
        </w:tc>
      </w:tr>
      <w:tr w:rsidR="00ED5041" w:rsidRPr="00F629D3" w14:paraId="4B7ECEE6" w14:textId="77777777" w:rsidTr="001E1A7B">
        <w:trPr>
          <w:jc w:val="center"/>
        </w:trPr>
        <w:tc>
          <w:tcPr>
            <w:tcW w:w="1615" w:type="dxa"/>
          </w:tcPr>
          <w:p w14:paraId="5AC01459"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PbO</w:t>
            </w:r>
          </w:p>
        </w:tc>
        <w:tc>
          <w:tcPr>
            <w:tcW w:w="1620" w:type="dxa"/>
          </w:tcPr>
          <w:p w14:paraId="15D97D2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0.014</w:t>
            </w:r>
          </w:p>
        </w:tc>
        <w:tc>
          <w:tcPr>
            <w:tcW w:w="1890" w:type="dxa"/>
          </w:tcPr>
          <w:p w14:paraId="53A37E23"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0.035</w:t>
            </w:r>
          </w:p>
        </w:tc>
        <w:tc>
          <w:tcPr>
            <w:tcW w:w="2089" w:type="dxa"/>
          </w:tcPr>
          <w:p w14:paraId="422AE24D"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0.0281</w:t>
            </w:r>
          </w:p>
        </w:tc>
        <w:tc>
          <w:tcPr>
            <w:tcW w:w="2136" w:type="dxa"/>
          </w:tcPr>
          <w:p w14:paraId="023878C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0.0333</w:t>
            </w:r>
          </w:p>
        </w:tc>
      </w:tr>
      <w:tr w:rsidR="00ED5041" w:rsidRPr="00F629D3" w14:paraId="7D2DB3E6" w14:textId="77777777" w:rsidTr="001E1A7B">
        <w:trPr>
          <w:jc w:val="center"/>
        </w:trPr>
        <w:tc>
          <w:tcPr>
            <w:tcW w:w="1615" w:type="dxa"/>
          </w:tcPr>
          <w:p w14:paraId="5AD42E83"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V</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5</w:t>
            </w:r>
          </w:p>
        </w:tc>
        <w:tc>
          <w:tcPr>
            <w:tcW w:w="1620" w:type="dxa"/>
          </w:tcPr>
          <w:p w14:paraId="19094A1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0.013</w:t>
            </w:r>
          </w:p>
        </w:tc>
        <w:tc>
          <w:tcPr>
            <w:tcW w:w="1890" w:type="dxa"/>
          </w:tcPr>
          <w:p w14:paraId="146BD01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0.186</w:t>
            </w:r>
          </w:p>
        </w:tc>
        <w:tc>
          <w:tcPr>
            <w:tcW w:w="2089" w:type="dxa"/>
          </w:tcPr>
          <w:p w14:paraId="071AA84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0.0746</w:t>
            </w:r>
          </w:p>
        </w:tc>
        <w:tc>
          <w:tcPr>
            <w:tcW w:w="2136" w:type="dxa"/>
          </w:tcPr>
          <w:p w14:paraId="24B6357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0.0436</w:t>
            </w:r>
          </w:p>
        </w:tc>
      </w:tr>
      <w:tr w:rsidR="00ED5041" w:rsidRPr="00F629D3" w14:paraId="3E423558" w14:textId="77777777" w:rsidTr="001E1A7B">
        <w:trPr>
          <w:jc w:val="center"/>
        </w:trPr>
        <w:tc>
          <w:tcPr>
            <w:tcW w:w="1615" w:type="dxa"/>
          </w:tcPr>
          <w:p w14:paraId="5D5B7C0F"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MnO</w:t>
            </w:r>
          </w:p>
        </w:tc>
        <w:tc>
          <w:tcPr>
            <w:tcW w:w="1620" w:type="dxa"/>
          </w:tcPr>
          <w:p w14:paraId="19B32EE2"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0.010</w:t>
            </w:r>
          </w:p>
        </w:tc>
        <w:tc>
          <w:tcPr>
            <w:tcW w:w="1890" w:type="dxa"/>
          </w:tcPr>
          <w:p w14:paraId="0A1A490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0.111</w:t>
            </w:r>
          </w:p>
        </w:tc>
        <w:tc>
          <w:tcPr>
            <w:tcW w:w="2089" w:type="dxa"/>
          </w:tcPr>
          <w:p w14:paraId="2D6F67F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0.0388</w:t>
            </w:r>
          </w:p>
        </w:tc>
        <w:tc>
          <w:tcPr>
            <w:tcW w:w="2136" w:type="dxa"/>
          </w:tcPr>
          <w:p w14:paraId="25F4E00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0.0096</w:t>
            </w:r>
          </w:p>
        </w:tc>
      </w:tr>
      <w:tr w:rsidR="00ED5041" w:rsidRPr="00F629D3" w14:paraId="171F54FA" w14:textId="77777777" w:rsidTr="001E1A7B">
        <w:trPr>
          <w:jc w:val="center"/>
        </w:trPr>
        <w:tc>
          <w:tcPr>
            <w:tcW w:w="1615" w:type="dxa"/>
          </w:tcPr>
          <w:p w14:paraId="0D05468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Cs</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p>
        </w:tc>
        <w:tc>
          <w:tcPr>
            <w:tcW w:w="1620" w:type="dxa"/>
          </w:tcPr>
          <w:p w14:paraId="1E6FE03F"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0.008</w:t>
            </w:r>
          </w:p>
        </w:tc>
        <w:tc>
          <w:tcPr>
            <w:tcW w:w="1890" w:type="dxa"/>
          </w:tcPr>
          <w:p w14:paraId="44FA88A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0.090</w:t>
            </w:r>
          </w:p>
        </w:tc>
        <w:tc>
          <w:tcPr>
            <w:tcW w:w="2089" w:type="dxa"/>
          </w:tcPr>
          <w:p w14:paraId="5A588E1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0.0811</w:t>
            </w:r>
          </w:p>
        </w:tc>
        <w:tc>
          <w:tcPr>
            <w:tcW w:w="2136" w:type="dxa"/>
          </w:tcPr>
          <w:p w14:paraId="124FB6A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0.0365</w:t>
            </w:r>
          </w:p>
        </w:tc>
      </w:tr>
      <w:tr w:rsidR="00ED5041" w:rsidRPr="00F629D3" w14:paraId="41B7B52F" w14:textId="77777777" w:rsidTr="001E1A7B">
        <w:trPr>
          <w:jc w:val="center"/>
        </w:trPr>
        <w:tc>
          <w:tcPr>
            <w:tcW w:w="1615" w:type="dxa"/>
          </w:tcPr>
          <w:p w14:paraId="280BBDA8"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ZnO</w:t>
            </w:r>
          </w:p>
        </w:tc>
        <w:tc>
          <w:tcPr>
            <w:tcW w:w="1620" w:type="dxa"/>
          </w:tcPr>
          <w:p w14:paraId="6577B0C4"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0.007</w:t>
            </w:r>
          </w:p>
        </w:tc>
        <w:tc>
          <w:tcPr>
            <w:tcW w:w="1890" w:type="dxa"/>
          </w:tcPr>
          <w:p w14:paraId="3BC54E2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0.040</w:t>
            </w:r>
          </w:p>
        </w:tc>
        <w:tc>
          <w:tcPr>
            <w:tcW w:w="2089" w:type="dxa"/>
          </w:tcPr>
          <w:p w14:paraId="1B533CA7"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20.8653</w:t>
            </w:r>
          </w:p>
        </w:tc>
        <w:tc>
          <w:tcPr>
            <w:tcW w:w="2136" w:type="dxa"/>
          </w:tcPr>
          <w:p w14:paraId="634AA563"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23.0555</w:t>
            </w:r>
          </w:p>
        </w:tc>
      </w:tr>
      <w:tr w:rsidR="00ED5041" w:rsidRPr="00F629D3" w14:paraId="427B4660" w14:textId="77777777" w:rsidTr="001E1A7B">
        <w:trPr>
          <w:jc w:val="center"/>
        </w:trPr>
        <w:tc>
          <w:tcPr>
            <w:tcW w:w="1615" w:type="dxa"/>
          </w:tcPr>
          <w:p w14:paraId="3FAEAD5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Rb</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p>
        </w:tc>
        <w:tc>
          <w:tcPr>
            <w:tcW w:w="1620" w:type="dxa"/>
          </w:tcPr>
          <w:p w14:paraId="2B3C66E1"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0.002</w:t>
            </w:r>
          </w:p>
        </w:tc>
        <w:tc>
          <w:tcPr>
            <w:tcW w:w="1890" w:type="dxa"/>
          </w:tcPr>
          <w:p w14:paraId="474386C7"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0.010</w:t>
            </w:r>
          </w:p>
        </w:tc>
        <w:tc>
          <w:tcPr>
            <w:tcW w:w="2089" w:type="dxa"/>
          </w:tcPr>
          <w:p w14:paraId="04964D4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0.0067</w:t>
            </w:r>
          </w:p>
        </w:tc>
        <w:tc>
          <w:tcPr>
            <w:tcW w:w="2136" w:type="dxa"/>
          </w:tcPr>
          <w:p w14:paraId="151E324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0.0183</w:t>
            </w:r>
          </w:p>
        </w:tc>
      </w:tr>
      <w:tr w:rsidR="00ED5041" w:rsidRPr="00F629D3" w14:paraId="1E9A925E" w14:textId="77777777" w:rsidTr="001E1A7B">
        <w:trPr>
          <w:jc w:val="center"/>
        </w:trPr>
        <w:tc>
          <w:tcPr>
            <w:tcW w:w="1615" w:type="dxa"/>
          </w:tcPr>
          <w:p w14:paraId="0E47AB64"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Nb</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5</w:t>
            </w:r>
          </w:p>
        </w:tc>
        <w:tc>
          <w:tcPr>
            <w:tcW w:w="1620" w:type="dxa"/>
          </w:tcPr>
          <w:p w14:paraId="6E86DEFC"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0.000</w:t>
            </w:r>
          </w:p>
        </w:tc>
        <w:tc>
          <w:tcPr>
            <w:tcW w:w="1890" w:type="dxa"/>
          </w:tcPr>
          <w:p w14:paraId="47256A93"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0.037</w:t>
            </w:r>
          </w:p>
        </w:tc>
        <w:tc>
          <w:tcPr>
            <w:tcW w:w="2089" w:type="dxa"/>
          </w:tcPr>
          <w:p w14:paraId="01765B27"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0.0331</w:t>
            </w:r>
          </w:p>
        </w:tc>
        <w:tc>
          <w:tcPr>
            <w:tcW w:w="2136" w:type="dxa"/>
          </w:tcPr>
          <w:p w14:paraId="3493A12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0.0061</w:t>
            </w:r>
          </w:p>
        </w:tc>
      </w:tr>
      <w:tr w:rsidR="00ED5041" w:rsidRPr="00F629D3" w14:paraId="63A2E689" w14:textId="77777777" w:rsidTr="001E1A7B">
        <w:trPr>
          <w:jc w:val="center"/>
        </w:trPr>
        <w:tc>
          <w:tcPr>
            <w:tcW w:w="1615" w:type="dxa"/>
          </w:tcPr>
          <w:p w14:paraId="2AEDD16A"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P</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r w:rsidRPr="00F629D3">
              <w:rPr>
                <w:rFonts w:ascii="Times New Roman" w:hAnsi="Times New Roman" w:cs="Times New Roman"/>
                <w:bCs/>
                <w:iCs/>
                <w:sz w:val="24"/>
                <w:szCs w:val="24"/>
                <w:vertAlign w:val="subscript"/>
                <w:lang w:val="en-GB"/>
              </w:rPr>
              <w:t>5</w:t>
            </w:r>
          </w:p>
        </w:tc>
        <w:tc>
          <w:tcPr>
            <w:tcW w:w="1620" w:type="dxa"/>
          </w:tcPr>
          <w:p w14:paraId="0087A69E"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0.000</w:t>
            </w:r>
          </w:p>
        </w:tc>
        <w:tc>
          <w:tcPr>
            <w:tcW w:w="1890" w:type="dxa"/>
          </w:tcPr>
          <w:p w14:paraId="6F0FA1B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0.182</w:t>
            </w:r>
          </w:p>
        </w:tc>
        <w:tc>
          <w:tcPr>
            <w:tcW w:w="2089" w:type="dxa"/>
          </w:tcPr>
          <w:p w14:paraId="45BC1FB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0.0175</w:t>
            </w:r>
          </w:p>
        </w:tc>
        <w:tc>
          <w:tcPr>
            <w:tcW w:w="2136" w:type="dxa"/>
          </w:tcPr>
          <w:p w14:paraId="5D1AAE7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0.0026</w:t>
            </w:r>
          </w:p>
        </w:tc>
      </w:tr>
      <w:tr w:rsidR="00ED5041" w:rsidRPr="00F629D3" w14:paraId="30F33A50" w14:textId="77777777" w:rsidTr="001E1A7B">
        <w:trPr>
          <w:jc w:val="center"/>
        </w:trPr>
        <w:tc>
          <w:tcPr>
            <w:tcW w:w="1615" w:type="dxa"/>
          </w:tcPr>
          <w:p w14:paraId="7B730C87"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MgO</w:t>
            </w:r>
          </w:p>
        </w:tc>
        <w:tc>
          <w:tcPr>
            <w:tcW w:w="1620" w:type="dxa"/>
          </w:tcPr>
          <w:p w14:paraId="07B4936D"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0.000</w:t>
            </w:r>
          </w:p>
        </w:tc>
        <w:tc>
          <w:tcPr>
            <w:tcW w:w="1890" w:type="dxa"/>
          </w:tcPr>
          <w:p w14:paraId="35888428"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w:t>
            </w:r>
          </w:p>
        </w:tc>
        <w:tc>
          <w:tcPr>
            <w:tcW w:w="2089" w:type="dxa"/>
          </w:tcPr>
          <w:p w14:paraId="5142B7E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w:t>
            </w:r>
          </w:p>
        </w:tc>
        <w:tc>
          <w:tcPr>
            <w:tcW w:w="2136" w:type="dxa"/>
          </w:tcPr>
          <w:p w14:paraId="07966D7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5.5968</w:t>
            </w:r>
          </w:p>
        </w:tc>
      </w:tr>
      <w:tr w:rsidR="00ED5041" w:rsidRPr="00F629D3" w14:paraId="7F11C582" w14:textId="77777777" w:rsidTr="001E1A7B">
        <w:trPr>
          <w:jc w:val="center"/>
        </w:trPr>
        <w:tc>
          <w:tcPr>
            <w:tcW w:w="1615" w:type="dxa"/>
          </w:tcPr>
          <w:p w14:paraId="7E10EA19"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K</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p>
        </w:tc>
        <w:tc>
          <w:tcPr>
            <w:tcW w:w="1620" w:type="dxa"/>
          </w:tcPr>
          <w:p w14:paraId="69F1B58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0.000</w:t>
            </w:r>
          </w:p>
        </w:tc>
        <w:tc>
          <w:tcPr>
            <w:tcW w:w="1890" w:type="dxa"/>
          </w:tcPr>
          <w:p w14:paraId="78CD93A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0.308</w:t>
            </w:r>
          </w:p>
        </w:tc>
        <w:tc>
          <w:tcPr>
            <w:tcW w:w="2089" w:type="dxa"/>
          </w:tcPr>
          <w:p w14:paraId="01A6031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0.0331</w:t>
            </w:r>
          </w:p>
        </w:tc>
        <w:tc>
          <w:tcPr>
            <w:tcW w:w="2136" w:type="dxa"/>
          </w:tcPr>
          <w:p w14:paraId="58D1AE1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0.0006</w:t>
            </w:r>
          </w:p>
        </w:tc>
      </w:tr>
      <w:tr w:rsidR="00ED5041" w:rsidRPr="00F629D3" w14:paraId="6354E508" w14:textId="77777777" w:rsidTr="001E1A7B">
        <w:trPr>
          <w:jc w:val="center"/>
        </w:trPr>
        <w:tc>
          <w:tcPr>
            <w:tcW w:w="1615" w:type="dxa"/>
          </w:tcPr>
          <w:p w14:paraId="67D30742"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Ag</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O</w:t>
            </w:r>
          </w:p>
        </w:tc>
        <w:tc>
          <w:tcPr>
            <w:tcW w:w="1620" w:type="dxa"/>
          </w:tcPr>
          <w:p w14:paraId="25CA52B5" w14:textId="77777777" w:rsidR="00ED5041" w:rsidRPr="00F629D3" w:rsidRDefault="00ED5041" w:rsidP="001E1A7B">
            <w:pPr>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0.000</w:t>
            </w:r>
          </w:p>
        </w:tc>
        <w:tc>
          <w:tcPr>
            <w:tcW w:w="1890" w:type="dxa"/>
          </w:tcPr>
          <w:p w14:paraId="5DD3BA8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0.037</w:t>
            </w:r>
          </w:p>
        </w:tc>
        <w:tc>
          <w:tcPr>
            <w:tcW w:w="2089" w:type="dxa"/>
          </w:tcPr>
          <w:p w14:paraId="1EA79F8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0.0492</w:t>
            </w:r>
          </w:p>
        </w:tc>
        <w:tc>
          <w:tcPr>
            <w:tcW w:w="2136" w:type="dxa"/>
          </w:tcPr>
          <w:p w14:paraId="1FA04A73"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0.0212</w:t>
            </w:r>
          </w:p>
        </w:tc>
      </w:tr>
    </w:tbl>
    <w:bookmarkEnd w:id="1"/>
    <w:p w14:paraId="4AE35A25"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X-ray diffraction (XRD) analysis</w:t>
      </w:r>
    </w:p>
    <w:p w14:paraId="0F06090C" w14:textId="1A80437B"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 xml:space="preserve">The XRD analysis was used to identify the crystalline phases and to determine the structure and physical properties of the calcine precursors and composite catalyst before and after use. Diffraction peaks typical of calcium oxide-derived phases are visible in the XRD pattern of the calcined </w:t>
      </w:r>
      <w:r>
        <w:rPr>
          <w:rFonts w:ascii="Times New Roman" w:hAnsi="Times New Roman" w:cs="Times New Roman"/>
          <w:bCs/>
          <w:iCs/>
          <w:sz w:val="24"/>
          <w:szCs w:val="24"/>
          <w:lang w:val="en-GB"/>
        </w:rPr>
        <w:t>carbide slag</w:t>
      </w:r>
      <w:r w:rsidRPr="00F629D3">
        <w:rPr>
          <w:rFonts w:ascii="Times New Roman" w:hAnsi="Times New Roman" w:cs="Times New Roman"/>
          <w:bCs/>
          <w:iCs/>
          <w:sz w:val="24"/>
          <w:szCs w:val="24"/>
          <w:lang w:val="en-GB"/>
        </w:rPr>
        <w:t>, with dominant reflections linked to calcium silicate and calcium-containing mixed oxides created during high temperature calcination, as shown in figure 2. The efficient breakdown of Ca(OH)</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ml:space="preserve"> during calcination is confirmed by the absence or weak intensity of calcium hydroxide peaks </w:t>
      </w:r>
      <w:r w:rsidRPr="00F629D3">
        <w:rPr>
          <w:rFonts w:ascii="Times New Roman" w:hAnsi="Times New Roman" w:cs="Times New Roman"/>
          <w:bCs/>
          <w:iCs/>
          <w:sz w:val="24"/>
          <w:szCs w:val="24"/>
          <w:lang w:val="en-GB"/>
        </w:rPr>
        <w:fldChar w:fldCharType="begin" w:fldLock="1"/>
      </w:r>
      <w:r w:rsidR="003933ED">
        <w:rPr>
          <w:rFonts w:ascii="Times New Roman" w:hAnsi="Times New Roman" w:cs="Times New Roman"/>
          <w:bCs/>
          <w:iCs/>
          <w:sz w:val="24"/>
          <w:szCs w:val="24"/>
          <w:lang w:val="en-GB"/>
        </w:rPr>
        <w:instrText>ADDIN CSL_CITATION {"citationItems":[{"id":"ITEM-1","itemData":{"author":[{"dropping-particle":"","family":"Qader","given":"Diyar N","non-dropping-particle":"","parse-names":false,"suffix":""},{"dropping-particle":"","family":"Jamil","given":"Ary Shehab","non-dropping-particle":"","parse-names":false,"suffix":""},{"dropping-particle":"","family":"Bahrami","given":"Alireza","non-dropping-particle":"","parse-names":false,"suffix":""},{"dropping-particle":"","family":"Ali","given":"Mujahid","non-dropping-particle":"","parse-names":false,"suffix":""},{"dropping-particle":"","family":"Arunachalam","given":"Krishna Prakash","non-dropping-particle":"","parse-names":false,"suffix":""}],"container-title":"Reviews on Advanced Materials Science","id":"ITEM-1","issue":"1","issued":{"date-parts":[["2025"]]},"page":"20240076","title":"A systematic review of metakaolin-based alkali- activated and geopolymer concrete : A step toward green concrete","type":"article-journal","volume":"64"},"uris":["http://www.mendeley.com/documents/?uuid=54695905-0cb8-40a0-aa75-8887c8348ec9"]},{"id":"ITEM-2","itemData":{"DOI":"10.1016/j.fuel.2011.09.015","ISSN":"0016-2361","author":[{"dropping-particle":"","family":"Kouzu","given":"Masato","non-dropping-particle":"","parse-names":false,"suffix":""},{"dropping-particle":"","family":"Hidaka","given":"Jyu-suke","non-dropping-particle":"","parse-names":false,"suffix":""}],"container-title":"Fuel","id":"ITEM-2","issued":{"date-parts":[["2012"]]},"page":"1-12","publisher":"Elsevier Ltd","title":"Transesterification of vegetable oil into biodiesel catalyzed by CaO : A review","type":"article-journal","volume":"93"},"uris":["http://www.mendeley.com/documents/?uuid=0247ac33-2a3f-4f5c-8730-aeeab279427c"]}],"mendeley":{"formattedCitation":"(Kouzu &amp; Hidaka, 2012; Qader et al., 2025)","manualFormatting":"[26]; Qader et al., 2025)","plainTextFormattedCitation":"(Kouzu &amp; Hidaka, 2012; Qader et al., 2025)","previouslyFormattedCitation":"(Kouzu &amp; Hidaka, 2012; Qader et al., 2025)"},"properties":{"noteIndex":0},"schema":"https://github.com/citation-style-language/schema/raw/master/csl-citation.json"}</w:instrText>
      </w:r>
      <w:r w:rsidRPr="00F629D3">
        <w:rPr>
          <w:rFonts w:ascii="Times New Roman" w:hAnsi="Times New Roman" w:cs="Times New Roman"/>
          <w:bCs/>
          <w:iCs/>
          <w:sz w:val="24"/>
          <w:szCs w:val="24"/>
          <w:lang w:val="en-GB"/>
        </w:rPr>
        <w:fldChar w:fldCharType="separate"/>
      </w:r>
      <w:r w:rsidR="003933ED">
        <w:rPr>
          <w:rFonts w:ascii="Times New Roman" w:hAnsi="Times New Roman" w:cs="Times New Roman"/>
          <w:bCs/>
          <w:iCs/>
          <w:noProof/>
          <w:sz w:val="24"/>
          <w:szCs w:val="24"/>
          <w:lang w:val="en-GB"/>
        </w:rPr>
        <w:t>[26]</w:t>
      </w:r>
      <w:r w:rsidR="007D7CBB" w:rsidRPr="007D7CBB">
        <w:rPr>
          <w:rFonts w:ascii="Times New Roman" w:hAnsi="Times New Roman" w:cs="Times New Roman"/>
          <w:bCs/>
          <w:iCs/>
          <w:noProof/>
          <w:sz w:val="24"/>
          <w:szCs w:val="24"/>
          <w:lang w:val="en-GB"/>
        </w:rPr>
        <w:t xml:space="preserve">; </w:t>
      </w:r>
      <w:r w:rsidRPr="00F629D3">
        <w:rPr>
          <w:rFonts w:ascii="Times New Roman" w:hAnsi="Times New Roman" w:cs="Times New Roman"/>
          <w:bCs/>
          <w:iCs/>
          <w:sz w:val="24"/>
          <w:szCs w:val="24"/>
        </w:rPr>
        <w:fldChar w:fldCharType="end"/>
      </w:r>
      <w:r w:rsidR="007536A4">
        <w:rPr>
          <w:rFonts w:ascii="Times New Roman" w:hAnsi="Times New Roman" w:cs="Times New Roman"/>
          <w:bCs/>
          <w:iCs/>
          <w:sz w:val="24"/>
          <w:szCs w:val="24"/>
        </w:rPr>
        <w:t>[49]</w:t>
      </w:r>
      <w:r w:rsidRPr="00F629D3">
        <w:rPr>
          <w:rFonts w:ascii="Times New Roman" w:hAnsi="Times New Roman" w:cs="Times New Roman"/>
          <w:bCs/>
          <w:iCs/>
          <w:sz w:val="24"/>
          <w:szCs w:val="24"/>
          <w:lang w:val="en-GB"/>
        </w:rPr>
        <w:t xml:space="preserve">. Small reflections ascribed to calcium carbonate point to partial surface carbonation brought on by air exposure following calcination </w:t>
      </w:r>
      <w:r w:rsidRPr="00F629D3">
        <w:rPr>
          <w:rFonts w:ascii="Times New Roman" w:hAnsi="Times New Roman" w:cs="Times New Roman"/>
          <w:bCs/>
          <w:iCs/>
          <w:sz w:val="24"/>
          <w:szCs w:val="24"/>
          <w:lang w:val="en-GB"/>
        </w:rPr>
        <w:fldChar w:fldCharType="begin" w:fldLock="1"/>
      </w:r>
      <w:r w:rsidR="001C7002">
        <w:rPr>
          <w:rFonts w:ascii="Times New Roman" w:hAnsi="Times New Roman" w:cs="Times New Roman"/>
          <w:bCs/>
          <w:iCs/>
          <w:sz w:val="24"/>
          <w:szCs w:val="24"/>
          <w:lang w:val="en-GB"/>
        </w:rPr>
        <w:instrText>ADDIN CSL_CITATION {"citationItems":[{"id":"ITEM-1","itemData":{"DOI":"10.1016/j.fuel.2011.09.015","ISSN":"0016-2361","author":[{"dropping-particle":"","family":"Kouzu","given":"Masato","non-dropping-particle":"","parse-names":false,"suffix":""},{"dropping-particle":"","family":"Hidaka","given":"Jyu-suke","non-dropping-particle":"","parse-names":false,"suffix":""}],"container-title":"Fuel","id":"ITEM-1","issued":{"date-parts":[["2012"]]},"page":"1-12","publisher":"Elsevier Ltd","title":"Transesterification of vegetable oil into biodiesel catalyzed by CaO : A review","type":"article-journal","volume":"93"},"uris":["http://www.mendeley.com/documents/?uuid=0247ac33-2a3f-4f5c-8730-aeeab279427c"]},{"id":"ITEM-2","itemData":{"author":[{"dropping-particle":"","family":"Granados","given":"M López","non-dropping-particle":"","parse-names":false,"suffix":""},{"dropping-particle":"","family":"Poves","given":"M D Zafra","non-dropping-particle":"","parse-names":false,"suffix":""},{"dropping-particle":"","family":"Alonso","given":"D Martín","non-dropping-particle":"","parse-names":false,"suffix":""},{"dropping-particle":"","family":"Mariscal","given":"R","non-dropping-particle":"","parse-names":false,"suffix":""}],"id":"ITEM-2","issue":"May","issued":{"date-parts":[["2007"]]},"page":"317-326","title":"Granados, M. L., et al. (2007). Biodiesel production from sunflower oil using activated calcium oxide. Applied Catalysis B: Environmental, 73, 317–326.","type":"article-journal","volume":"73"},"uris":["http://www.mendeley.com/documents/?uuid=f53bf5c0-bd71-4c80-a968-fc1942133eb5"]},{"id":"ITEM-3","itemData":{"author":[{"dropping-particle":"Di","family":"Serio","given":"M","non-dropping-particle":"","parse-names":false,"suffix":""},{"dropping-particle":"","family":"Cozzolino","given":"M","non-dropping-particle":"","parse-names":false,"suffix":""},{"dropping-particle":"","family":"Giordano","given":"M","non-dropping-particle":"","parse-names":false,"suffix":""},{"dropping-particle":"","family":"Tesser","given":"R","non-dropping-particle":"","parse-names":false,"suffix":""},{"dropping-particle":"","family":"Patrono","given":"P","non-dropping-particle":"","parse-names":false,"suffix":""},{"dropping-particle":"","family":"Santacesaria","given":"E","non-dropping-particle":"","parse-names":false,"suffix":""},{"dropping-particle":"","family":"Uni","given":"V","non-dropping-particle":"","parse-names":false,"suffix":""},{"dropping-particle":"","family":"Ii","given":"Federico","non-dropping-particle":"","parse-names":false,"suffix":""},{"dropping-particle":"","family":"Uni","given":"Complesso","non-dropping-particle":"","parse-names":false,"suffix":""},{"dropping-particle":"","family":"Monte","given":"V","non-dropping-particle":"","parse-names":false,"suffix":""}],"id":"ITEM-3","issued":{"date-parts":[["2007"]]},"page":"6379-6384","title":"From Homogeneous to Heterogeneous Catalysts in Biodiesel Production","type":"article-journal"},"uris":["http://www.mendeley.com/documents/?uuid=fd71ed1c-0e24-409c-9068-ea204d7bb3b6"]}],"mendeley":{"formattedCitation":"(Granados et al., 2007; Kouzu &amp; Hidaka, 2012; Serio et al., 2007)","manualFormatting":"[18]; Kouzu &amp; Hidaka, 2012; Serio et al., 2007)","plainTextFormattedCitation":"(Granados et al., 2007; Kouzu &amp; Hidaka, 2012; Serio et al., 2007)","previouslyFormattedCitation":"(Granados et al., 2007; Kouzu &amp; Hidaka, 2012; Serio et al., 2007)"},"properties":{"noteIndex":0},"schema":"https://github.com/citation-style-language/schema/raw/master/csl-citation.json"}</w:instrText>
      </w:r>
      <w:r w:rsidRPr="00F629D3">
        <w:rPr>
          <w:rFonts w:ascii="Times New Roman" w:hAnsi="Times New Roman" w:cs="Times New Roman"/>
          <w:bCs/>
          <w:iCs/>
          <w:sz w:val="24"/>
          <w:szCs w:val="24"/>
          <w:lang w:val="en-GB"/>
        </w:rPr>
        <w:fldChar w:fldCharType="separate"/>
      </w:r>
      <w:r w:rsidR="003F4567">
        <w:rPr>
          <w:rFonts w:ascii="Times New Roman" w:hAnsi="Times New Roman" w:cs="Times New Roman"/>
          <w:bCs/>
          <w:iCs/>
          <w:noProof/>
          <w:sz w:val="24"/>
          <w:szCs w:val="24"/>
          <w:lang w:val="en-GB"/>
        </w:rPr>
        <w:t>[18]</w:t>
      </w:r>
      <w:r w:rsidR="007D7CBB" w:rsidRPr="007D7CBB">
        <w:rPr>
          <w:rFonts w:ascii="Times New Roman" w:hAnsi="Times New Roman" w:cs="Times New Roman"/>
          <w:bCs/>
          <w:iCs/>
          <w:noProof/>
          <w:sz w:val="24"/>
          <w:szCs w:val="24"/>
          <w:lang w:val="en-GB"/>
        </w:rPr>
        <w:t xml:space="preserve">; </w:t>
      </w:r>
      <w:r w:rsidR="003933ED">
        <w:rPr>
          <w:rFonts w:ascii="Times New Roman" w:hAnsi="Times New Roman" w:cs="Times New Roman"/>
          <w:bCs/>
          <w:iCs/>
          <w:noProof/>
          <w:sz w:val="24"/>
          <w:szCs w:val="24"/>
          <w:lang w:val="en-GB"/>
        </w:rPr>
        <w:t>[26]</w:t>
      </w:r>
      <w:r w:rsidR="007D7CBB" w:rsidRPr="007D7CBB">
        <w:rPr>
          <w:rFonts w:ascii="Times New Roman" w:hAnsi="Times New Roman" w:cs="Times New Roman"/>
          <w:bCs/>
          <w:iCs/>
          <w:noProof/>
          <w:sz w:val="24"/>
          <w:szCs w:val="24"/>
          <w:lang w:val="en-GB"/>
        </w:rPr>
        <w:t>;</w:t>
      </w:r>
      <w:r w:rsidRPr="00F629D3">
        <w:rPr>
          <w:rFonts w:ascii="Times New Roman" w:hAnsi="Times New Roman" w:cs="Times New Roman"/>
          <w:bCs/>
          <w:iCs/>
          <w:sz w:val="24"/>
          <w:szCs w:val="24"/>
        </w:rPr>
        <w:fldChar w:fldCharType="end"/>
      </w:r>
      <w:r w:rsidR="008C7C2E">
        <w:rPr>
          <w:rFonts w:ascii="Times New Roman" w:hAnsi="Times New Roman" w:cs="Times New Roman"/>
          <w:bCs/>
          <w:iCs/>
          <w:sz w:val="24"/>
          <w:szCs w:val="24"/>
        </w:rPr>
        <w:t xml:space="preserve"> [55]</w:t>
      </w:r>
      <w:r w:rsidRPr="00F629D3">
        <w:rPr>
          <w:rFonts w:ascii="Times New Roman" w:hAnsi="Times New Roman" w:cs="Times New Roman"/>
          <w:bCs/>
          <w:iCs/>
          <w:sz w:val="24"/>
          <w:szCs w:val="24"/>
          <w:lang w:val="en-GB"/>
        </w:rPr>
        <w:t xml:space="preserve">. Broad diffraction peaks are advantageous for catalytic activity because they show partial amorphous character and small crystallite size. This implies that </w:t>
      </w:r>
      <w:r w:rsidRPr="00F629D3">
        <w:rPr>
          <w:rFonts w:ascii="Times New Roman" w:hAnsi="Times New Roman" w:cs="Times New Roman"/>
          <w:bCs/>
          <w:iCs/>
          <w:sz w:val="24"/>
          <w:szCs w:val="24"/>
        </w:rPr>
        <w:t xml:space="preserve">Calcined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yields Ca-based basic phases that are thermally stable and appropriate for transesterification processes.</w:t>
      </w:r>
    </w:p>
    <w:p w14:paraId="7595CF66" w14:textId="13C7C361"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A highly crystalline aluminosilicate structure is indicated by the calcined termite hill clay's (THC) XRD pattern in figure 3, which shows distinct and sharp diffraction peaks. Quartz (SiO₂) and aluminosilicate phases, including mullite, which are produced or stabilized during calcination are shown by dominant reflections. With no collapse of the clay structure following heat treatment, the preservation of these peaks attests to the thermal stability of THC. </w:t>
      </w:r>
      <w:r w:rsidRPr="00F629D3">
        <w:rPr>
          <w:rFonts w:ascii="Times New Roman" w:hAnsi="Times New Roman" w:cs="Times New Roman"/>
          <w:bCs/>
          <w:iCs/>
          <w:sz w:val="24"/>
          <w:szCs w:val="24"/>
        </w:rPr>
        <w:lastRenderedPageBreak/>
        <w:t>This implies that during catalytic operation, calcined THC functions as a strong SiO₂–AlO₃ support that can disperse Ca-based active species and prevent sintering</w:t>
      </w:r>
      <w:r w:rsidR="00814901">
        <w:rPr>
          <w:rFonts w:ascii="Times New Roman" w:hAnsi="Times New Roman" w:cs="Times New Roman"/>
          <w:bCs/>
          <w:iCs/>
          <w:sz w:val="24"/>
          <w:szCs w:val="24"/>
        </w:rPr>
        <w:t xml:space="preserve"> </w:t>
      </w:r>
      <w:r w:rsidR="003E7ABB">
        <w:rPr>
          <w:rFonts w:ascii="Times New Roman" w:hAnsi="Times New Roman" w:cs="Times New Roman"/>
          <w:bCs/>
          <w:iCs/>
          <w:sz w:val="24"/>
          <w:szCs w:val="24"/>
        </w:rPr>
        <w:t>[72]</w:t>
      </w:r>
      <w:r w:rsidRPr="00F629D3">
        <w:rPr>
          <w:rFonts w:ascii="Times New Roman" w:hAnsi="Times New Roman" w:cs="Times New Roman"/>
          <w:bCs/>
          <w:iCs/>
          <w:sz w:val="24"/>
          <w:szCs w:val="24"/>
        </w:rPr>
        <w:t xml:space="preserve">. </w:t>
      </w:r>
    </w:p>
    <w:p w14:paraId="0F42652F" w14:textId="1DEEF732"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In figure 4 and figure 5, the XRD patterns for both the composite catalyst before and after use reveal diffraction peaks primarily located in the low-angle area between 10° and 30° (2θ), featuring a significant broad peak around 20–23°. This region is indicative of amorphous to poorly crystalline aluminosilicate and calcium silicate phases, demonstrating a strong interaction between CaO derived from welder’s carbide waste and the SiO₂–Al₂O₃ framework of termite hill clay. The minor diffraction peaks detected in the 25–35° (2θ) range are associated with crystalline SiO₂ (quartz) and calcium-containing mixed oxide phases, while the lack of sharp CaO reflections at higher angles (approximately 32°, 37°, and 54°) implies that free CaO has largely transformed into stable Ca–Al–Si mixed oxides.</w:t>
      </w:r>
      <w:r w:rsidRPr="00F629D3">
        <w:rPr>
          <w:rFonts w:ascii="Times New Roman" w:hAnsi="Times New Roman" w:cs="Times New Roman"/>
          <w:bCs/>
          <w:iCs/>
          <w:sz w:val="24"/>
          <w:szCs w:val="24"/>
          <w:lang w:val="en-GB"/>
        </w:rPr>
        <w:fldChar w:fldCharType="begin" w:fldLock="1"/>
      </w:r>
      <w:r w:rsidR="007F029E">
        <w:rPr>
          <w:rFonts w:ascii="Times New Roman" w:hAnsi="Times New Roman" w:cs="Times New Roman"/>
          <w:bCs/>
          <w:iCs/>
          <w:sz w:val="24"/>
          <w:szCs w:val="24"/>
          <w:lang w:val="en-GB"/>
        </w:rPr>
        <w:instrText>ADDIN CSL_CITATION {"citationItems":[{"id":"ITEM-1","itemData":{"DOI":"10.1039/d4ra03580a","author":[{"dropping-particle":"","family":"Gonçalves","given":"Matheus Arrais","non-dropping-particle":"","parse-names":false,"suffix":""},{"dropping-particle":"","family":"Cristina","given":"Hiarla","non-dropping-particle":"","parse-names":false,"suffix":""},{"dropping-particle":"","family":"Maria","given":"Paula","non-dropping-particle":"","parse-names":false,"suffix":""},{"dropping-particle":"","family":"Paula","given":"Ana","non-dropping-particle":"","parse-names":false,"suffix":""}],"container-title":"Royal Society of Chemistry","id":"ITEM-1","issued":{"date-parts":[["2024"]]},"page":"20743-20756","title":"Catalytic conversion of residual raw material into biodiesel using a superior magnetic solid acid catalyst based on Zn – Fe ferrite : thermodynamic and kinetic studies","type":"article-journal","volume":"14"},"uris":["http://www.mendeley.com/documents/?uuid=298b997e-a9b3-4873-bf8a-b526ddb82296"]},{"id":"ITEM-2","itemData":{"DOI":"10.1021/jacsau.3c00475","author":[{"dropping-particle":"","family":"Krödel","given":"Maximilian","non-dropping-particle":"","parse-names":false,"suffix":""},{"dropping-particle":"","family":"Leroy","given":"César","non-dropping-particle":"","parse-names":false,"suffix":""},{"dropping-particle":"","family":"Kim","given":"Sung Min","non-dropping-particle":"","parse-names":false,"suffix":""},{"dropping-particle":"","family":"Naeem","given":"Muhammad Awais","non-dropping-particle":"","parse-names":false,"suffix":""},{"dropping-particle":"","family":"Kierzkowska","given":"Agnieszka","non-dropping-particle":"","parse-names":false,"suffix":""},{"dropping-particle":"","family":"Wu","given":"Yi-Hsuan","non-dropping-particle":"","parse-names":false,"suffix":""},{"dropping-particle":"","family":"Armutlulu","given":"Andac","non-dropping-particle":"","parse-names":false,"suffix":""},{"dropping-particle":"","family":"Fedorov","given":"Alexey","non-dropping-particle":"","parse-names":false,"suffix":""},{"dropping-particle":"","family":"Florian","given":"Pierre","non-dropping-particle":"","parse-names":false,"suffix":""},{"dropping-particle":"","family":"Müller","given":"Christoph R.","non-dropping-particle":"","parse-names":false,"suffix":""}],"container-title":"Journal of the American Chemical Society","id":"ITEM-2","issued":{"date-parts":[["2023"]]},"page":"3111-3126","title":"Of Glasses and Crystals: Mitigating the Deactivation of CaO-Based CO 2 Sorbents through Calcium Aluminosilicates","type":"article-journal","volume":"3"},"uris":["http://www.mendeley.com/documents/?uuid=dcba4881-fda3-42a6-94f6-8819d761ec3f"]}],"mendeley":{"formattedCitation":"(Gonçalves et al., 2024; Krödel et al., 2023)","manualFormatting":"[17]; ","plainTextFormattedCitation":"(Gonçalves et al., 2024; Krödel et al., 2023)","previouslyFormattedCitation":"(Gonçalves et al., 2024; Krödel et al., 2023)"},"properties":{"noteIndex":0},"schema":"https://github.com/citation-style-language/schema/raw/master/csl-citation.json"}</w:instrText>
      </w:r>
      <w:r w:rsidRPr="00F629D3">
        <w:rPr>
          <w:rFonts w:ascii="Times New Roman" w:hAnsi="Times New Roman" w:cs="Times New Roman"/>
          <w:bCs/>
          <w:iCs/>
          <w:sz w:val="24"/>
          <w:szCs w:val="24"/>
          <w:lang w:val="en-GB"/>
        </w:rPr>
        <w:fldChar w:fldCharType="separate"/>
      </w:r>
      <w:r w:rsidR="00E3587A">
        <w:rPr>
          <w:rFonts w:ascii="Times New Roman" w:hAnsi="Times New Roman" w:cs="Times New Roman"/>
          <w:bCs/>
          <w:iCs/>
          <w:sz w:val="24"/>
          <w:szCs w:val="24"/>
          <w:lang w:val="en-GB"/>
        </w:rPr>
        <w:t>[17]</w:t>
      </w:r>
      <w:r w:rsidR="007D7CBB" w:rsidRPr="007D7CBB">
        <w:rPr>
          <w:rFonts w:ascii="Times New Roman" w:hAnsi="Times New Roman" w:cs="Times New Roman"/>
          <w:bCs/>
          <w:iCs/>
          <w:noProof/>
          <w:sz w:val="24"/>
          <w:szCs w:val="24"/>
          <w:lang w:val="en-GB"/>
        </w:rPr>
        <w:t xml:space="preserve">; </w:t>
      </w:r>
      <w:r w:rsidRPr="00F629D3">
        <w:rPr>
          <w:rFonts w:ascii="Times New Roman" w:hAnsi="Times New Roman" w:cs="Times New Roman"/>
          <w:bCs/>
          <w:iCs/>
          <w:sz w:val="24"/>
          <w:szCs w:val="24"/>
        </w:rPr>
        <w:fldChar w:fldCharType="end"/>
      </w:r>
      <w:r w:rsidR="001C62DD">
        <w:rPr>
          <w:rFonts w:ascii="Times New Roman" w:hAnsi="Times New Roman" w:cs="Times New Roman"/>
          <w:bCs/>
          <w:iCs/>
          <w:sz w:val="24"/>
          <w:szCs w:val="24"/>
        </w:rPr>
        <w:t>[27].</w:t>
      </w:r>
    </w:p>
    <w:p w14:paraId="0130698F" w14:textId="298A164D"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Following the production of biodiesel, phase rearrangement and partial carbonation during catalytic use caused the diffraction peaks to become slightly sharper and more intense, especially in the 20 – 30</w:t>
      </w:r>
      <w:r w:rsidRPr="00F629D3">
        <w:rPr>
          <w:rFonts w:ascii="Times New Roman" w:hAnsi="Times New Roman" w:cs="Times New Roman"/>
          <w:bCs/>
          <w:iCs/>
          <w:sz w:val="24"/>
          <w:szCs w:val="24"/>
          <w:vertAlign w:val="superscript"/>
          <w:lang w:val="en-GB"/>
        </w:rPr>
        <w:t>o</w:t>
      </w:r>
      <w:r w:rsidRPr="00F629D3">
        <w:rPr>
          <w:rFonts w:ascii="Times New Roman" w:hAnsi="Times New Roman" w:cs="Times New Roman"/>
          <w:bCs/>
          <w:iCs/>
          <w:sz w:val="24"/>
          <w:szCs w:val="24"/>
          <w:lang w:val="en-GB"/>
        </w:rPr>
        <w:t xml:space="preserve"> (2θ) region</w:t>
      </w:r>
      <w:r w:rsidR="001222B1">
        <w:rPr>
          <w:rFonts w:ascii="Times New Roman" w:hAnsi="Times New Roman" w:cs="Times New Roman"/>
          <w:bCs/>
          <w:iCs/>
          <w:sz w:val="24"/>
          <w:szCs w:val="24"/>
          <w:lang w:val="en-GB"/>
        </w:rPr>
        <w:t xml:space="preserve"> [11]</w:t>
      </w:r>
      <w:r w:rsidRPr="00F629D3">
        <w:rPr>
          <w:rFonts w:ascii="Times New Roman" w:hAnsi="Times New Roman" w:cs="Times New Roman"/>
          <w:bCs/>
          <w:iCs/>
          <w:sz w:val="24"/>
          <w:szCs w:val="24"/>
          <w:lang w:val="en-GB"/>
        </w:rPr>
        <w:t>. This indicates an increase in crystallinity. Nevertheless, at higher diffraction angles, no new high-intensity peaks emerged, indicating that the composite catalyst maintained its structural stability after its use.</w:t>
      </w:r>
    </w:p>
    <w:p w14:paraId="394E503E" w14:textId="0700A1F0"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lang w:val="en-GB"/>
        </w:rPr>
        <w:t xml:space="preserve">The shift from a poorly crystalline mixed oxide structure to a more crystalline phase that includes carbonate accounts for the minor deactivation of the catalyst following biodiesel production </w:t>
      </w:r>
      <w:r w:rsidRPr="00F629D3">
        <w:rPr>
          <w:rFonts w:ascii="Times New Roman" w:hAnsi="Times New Roman" w:cs="Times New Roman"/>
          <w:bCs/>
          <w:iCs/>
          <w:sz w:val="24"/>
          <w:szCs w:val="24"/>
          <w:lang w:val="en-GB"/>
        </w:rPr>
        <w:fldChar w:fldCharType="begin" w:fldLock="1"/>
      </w:r>
      <w:r w:rsidR="001E7D98">
        <w:rPr>
          <w:rFonts w:ascii="Times New Roman" w:hAnsi="Times New Roman" w:cs="Times New Roman"/>
          <w:bCs/>
          <w:iCs/>
          <w:sz w:val="24"/>
          <w:szCs w:val="24"/>
          <w:lang w:val="en-GB"/>
        </w:rPr>
        <w:instrText>ADDIN CSL_CITATION {"citationItems":[{"id":"ITEM-1","itemData":{"author":[{"dropping-particle":"","family":"Kingkam","given":"Wilasinee","non-dropping-particle":"","parse-names":false,"suffix":""},{"dropping-particle":"","family":"Maisomboon","given":"Jirapa","non-dropping-particle":"","parse-names":false,"suffix":""},{"dropping-particle":"","family":"Khamenkit","given":"Khemmanich","non-dropping-particle":"","parse-names":false,"suffix":""},{"dropping-particle":"","family":"Nuchdang","given":"Sasikarn","non-dropping-particle":"","parse-names":false,"suffix":""},{"dropping-particle":"","family":"Nilgumhang","given":"Kewalee","non-dropping-particle":"","parse-names":false,"suffix":""},{"dropping-particle":"","family":"Issarapanacheewin","given":"Sudarat","non-dropping-particle":"","parse-names":false,"suffix":""},{"dropping-particle":"","family":"Rattanaphra","given":"Dussadee","non-dropping-particle":"","parse-names":false,"suffix":""}],"container-title":"catalysts","id":"ITEM-1","issue":"4","issued":{"date-parts":[["2024"]]},"page":"240","title":"Preparation of CaO @ CeO 2 Solid Base Catalysts Used for Biodiesel Production","type":"article-journal","volume":"14"},"uris":["http://www.mendeley.com/documents/?uuid=16a365fd-38e0-433d-919d-a7d41d1f20e9"]},{"id":"ITEM-2","itemData":{"DOI":"10.1016/j.rineng.2024.102202","ISSN":"2590-1230","author":[{"dropping-particle":"","family":"Widayat","given":"","non-dropping-particle":"","parse-names":false,"suffix":""},{"dropping-particle":"","family":"Satriadi","given":"Hantoro","non-dropping-particle":"","parse-names":false,"suffix":""},{"dropping-particle":"","family":"Setyojati","given":"Prambudi Widi","non-dropping-particle":"","parse-names":false,"suffix":""},{"dropping-particle":"","family":"Shihab","given":"Dimas","non-dropping-particle":"","parse-names":false,"suffix":""},{"dropping-particle":"","family":"Buchori","given":"Luqman","non-dropping-particle":"","parse-names":false,"suffix":""},{"dropping-particle":"","family":"Hadiyanto","given":"Hadiyanto","non-dropping-particle":"","parse-names":false,"suffix":""},{"dropping-particle":"","family":"Nurushofa","given":"Faustina Alda","non-dropping-particle":"","parse-names":false,"suffix":""}],"container-title":"Results in Engineering","id":"ITEM-2","issued":{"date-parts":[["2024"]]},"page":"102202","publisher":"Elsevier B.V.","title":"Preparation CaO / MgO / Fe 3 O 4 magnetite catalyst and catalytic test for biodiesel production","type":"article-journal","volume":"22"},"uris":["http://www.mendeley.com/documents/?uuid=165bc84b-defa-462f-92dd-ac61dc66a25a"]}],"mendeley":{"formattedCitation":"(Kingkam et al., 2024; Widayat et al., 2024)","manualFormatting":"[24]; Widayat et al., 2024)","plainTextFormattedCitation":"(Kingkam et al., 2024; Widayat et al., 2024)","previouslyFormattedCitation":"(Kingkam et al., 2024; Widayat et al., 2024)"},"properties":{"noteIndex":0},"schema":"https://github.com/citation-style-language/schema/raw/master/csl-citation.json"}</w:instrText>
      </w:r>
      <w:r w:rsidRPr="00F629D3">
        <w:rPr>
          <w:rFonts w:ascii="Times New Roman" w:hAnsi="Times New Roman" w:cs="Times New Roman"/>
          <w:bCs/>
          <w:iCs/>
          <w:sz w:val="24"/>
          <w:szCs w:val="24"/>
          <w:lang w:val="en-GB"/>
        </w:rPr>
        <w:fldChar w:fldCharType="separate"/>
      </w:r>
      <w:r w:rsidR="001E7D98">
        <w:rPr>
          <w:rFonts w:ascii="Times New Roman" w:hAnsi="Times New Roman" w:cs="Times New Roman"/>
          <w:bCs/>
          <w:iCs/>
          <w:noProof/>
          <w:sz w:val="24"/>
          <w:szCs w:val="24"/>
          <w:lang w:val="en-GB"/>
        </w:rPr>
        <w:t>[24]</w:t>
      </w:r>
      <w:r w:rsidR="007D7CBB" w:rsidRPr="007D7CBB">
        <w:rPr>
          <w:rFonts w:ascii="Times New Roman" w:hAnsi="Times New Roman" w:cs="Times New Roman"/>
          <w:bCs/>
          <w:iCs/>
          <w:noProof/>
          <w:sz w:val="24"/>
          <w:szCs w:val="24"/>
          <w:lang w:val="en-GB"/>
        </w:rPr>
        <w:t xml:space="preserve">; </w:t>
      </w:r>
      <w:r w:rsidR="00AC2227">
        <w:rPr>
          <w:rFonts w:ascii="Times New Roman" w:hAnsi="Times New Roman" w:cs="Times New Roman"/>
          <w:bCs/>
          <w:iCs/>
          <w:noProof/>
          <w:sz w:val="24"/>
          <w:szCs w:val="24"/>
          <w:lang w:val="en-GB"/>
        </w:rPr>
        <w:t>[67]</w:t>
      </w:r>
      <w:r w:rsidRPr="00F629D3">
        <w:rPr>
          <w:rFonts w:ascii="Times New Roman" w:hAnsi="Times New Roman" w:cs="Times New Roman"/>
          <w:bCs/>
          <w:iCs/>
          <w:sz w:val="24"/>
          <w:szCs w:val="24"/>
        </w:rPr>
        <w:fldChar w:fldCharType="end"/>
      </w:r>
      <w:r w:rsidRPr="00F629D3">
        <w:rPr>
          <w:rFonts w:ascii="Times New Roman" w:hAnsi="Times New Roman" w:cs="Times New Roman"/>
          <w:bCs/>
          <w:iCs/>
          <w:sz w:val="24"/>
          <w:szCs w:val="24"/>
          <w:lang w:val="en-GB"/>
        </w:rPr>
        <w:t xml:space="preserve">. </w:t>
      </w:r>
    </w:p>
    <w:p w14:paraId="0C692455"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drawing>
          <wp:inline distT="0" distB="0" distL="0" distR="0" wp14:anchorId="7B519500" wp14:editId="03CE197D">
            <wp:extent cx="3829616" cy="2138045"/>
            <wp:effectExtent l="0" t="0" r="0" b="0"/>
            <wp:docPr id="20" name="Picture 20" descr="C:\Users\hp\Desktop\New folder (2)\Screenshot_20250630-202301_Microsoft 365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New folder (2)\Screenshot_20250630-202301_Microsoft 365 (Offi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9591" cy="2149197"/>
                    </a:xfrm>
                    <a:prstGeom prst="rect">
                      <a:avLst/>
                    </a:prstGeom>
                    <a:noFill/>
                    <a:ln>
                      <a:noFill/>
                    </a:ln>
                  </pic:spPr>
                </pic:pic>
              </a:graphicData>
            </a:graphic>
          </wp:inline>
        </w:drawing>
      </w:r>
    </w:p>
    <w:p w14:paraId="38A38C99" w14:textId="77777777" w:rsidR="00ED5041" w:rsidRPr="00B55490" w:rsidRDefault="00ED5041" w:rsidP="00ED5041">
      <w:pPr>
        <w:spacing w:line="240" w:lineRule="auto"/>
        <w:jc w:val="both"/>
        <w:rPr>
          <w:rFonts w:ascii="Times New Roman" w:hAnsi="Times New Roman" w:cs="Times New Roman"/>
          <w:b/>
          <w:bCs/>
          <w:iCs/>
          <w:sz w:val="24"/>
          <w:szCs w:val="24"/>
          <w:lang w:val="en-GB"/>
        </w:rPr>
      </w:pPr>
      <w:r w:rsidRPr="00CE452F">
        <w:rPr>
          <w:rFonts w:ascii="Times New Roman" w:hAnsi="Times New Roman" w:cs="Times New Roman"/>
          <w:b/>
          <w:bCs/>
          <w:iCs/>
          <w:sz w:val="24"/>
          <w:szCs w:val="24"/>
          <w:lang w:val="en-GB"/>
        </w:rPr>
        <w:t>Figure 2: XRD pattern of carbide slag</w:t>
      </w:r>
      <w:r>
        <w:rPr>
          <w:rFonts w:ascii="Times New Roman" w:hAnsi="Times New Roman" w:cs="Times New Roman"/>
          <w:b/>
          <w:bCs/>
          <w:iCs/>
          <w:sz w:val="24"/>
          <w:szCs w:val="24"/>
          <w:lang w:val="en-GB"/>
        </w:rPr>
        <w:t xml:space="preserve"> precursor</w:t>
      </w:r>
    </w:p>
    <w:p w14:paraId="75559A80"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drawing>
          <wp:inline distT="0" distB="0" distL="0" distR="0" wp14:anchorId="14B486E3" wp14:editId="6CA767F6">
            <wp:extent cx="3772147" cy="1828800"/>
            <wp:effectExtent l="0" t="0" r="0" b="0"/>
            <wp:docPr id="21" name="Picture 21" descr="C:\Users\hp\Desktop\New folder (2)\Screenshot_20250630-201956_Microsoft 365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New folder (2)\Screenshot_20250630-201956_Microsoft 365 (Off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8249" cy="1841455"/>
                    </a:xfrm>
                    <a:prstGeom prst="rect">
                      <a:avLst/>
                    </a:prstGeom>
                    <a:noFill/>
                    <a:ln>
                      <a:noFill/>
                    </a:ln>
                  </pic:spPr>
                </pic:pic>
              </a:graphicData>
            </a:graphic>
          </wp:inline>
        </w:drawing>
      </w:r>
    </w:p>
    <w:p w14:paraId="7015274B" w14:textId="77777777" w:rsidR="00ED5041" w:rsidRPr="00CE452F"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lang w:val="en-GB"/>
        </w:rPr>
        <w:t xml:space="preserve">     </w:t>
      </w:r>
      <w:r w:rsidRPr="00CE452F">
        <w:rPr>
          <w:rFonts w:ascii="Times New Roman" w:hAnsi="Times New Roman" w:cs="Times New Roman"/>
          <w:b/>
          <w:bCs/>
          <w:iCs/>
          <w:sz w:val="24"/>
          <w:szCs w:val="24"/>
          <w:lang w:val="en-GB"/>
        </w:rPr>
        <w:t>Figure 3: XRD pattern of THC precursor</w:t>
      </w:r>
      <w:r w:rsidRPr="00CE452F">
        <w:rPr>
          <w:rFonts w:ascii="Times New Roman" w:hAnsi="Times New Roman" w:cs="Times New Roman"/>
          <w:b/>
          <w:bCs/>
          <w:iCs/>
          <w:sz w:val="24"/>
          <w:szCs w:val="24"/>
          <w:lang w:val="en-GB"/>
        </w:rPr>
        <w:tab/>
      </w:r>
    </w:p>
    <w:p w14:paraId="76915FC1"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lastRenderedPageBreak/>
        <w:drawing>
          <wp:inline distT="0" distB="0" distL="0" distR="0" wp14:anchorId="6D4C3CBA" wp14:editId="20C2AF39">
            <wp:extent cx="3739081" cy="1861551"/>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5780" cy="1874844"/>
                    </a:xfrm>
                    <a:prstGeom prst="rect">
                      <a:avLst/>
                    </a:prstGeom>
                    <a:noFill/>
                    <a:ln>
                      <a:noFill/>
                    </a:ln>
                  </pic:spPr>
                </pic:pic>
              </a:graphicData>
            </a:graphic>
          </wp:inline>
        </w:drawing>
      </w:r>
    </w:p>
    <w:p w14:paraId="42136487" w14:textId="77777777" w:rsidR="00ED5041" w:rsidRPr="00CE452F" w:rsidRDefault="00ED5041" w:rsidP="00ED5041">
      <w:pPr>
        <w:spacing w:line="240" w:lineRule="auto"/>
        <w:jc w:val="both"/>
        <w:rPr>
          <w:rFonts w:ascii="Times New Roman" w:hAnsi="Times New Roman" w:cs="Times New Roman"/>
          <w:b/>
          <w:bCs/>
          <w:iCs/>
          <w:sz w:val="24"/>
          <w:szCs w:val="24"/>
          <w:lang w:val="en-GB"/>
        </w:rPr>
      </w:pPr>
      <w:r w:rsidRPr="00CE452F">
        <w:rPr>
          <w:rFonts w:ascii="Times New Roman" w:hAnsi="Times New Roman" w:cs="Times New Roman"/>
          <w:b/>
          <w:bCs/>
          <w:iCs/>
          <w:sz w:val="24"/>
          <w:szCs w:val="24"/>
          <w:lang w:val="en-GB"/>
        </w:rPr>
        <w:t xml:space="preserve">           Figure 4: XRD pattern of composite catalyst before use</w:t>
      </w:r>
      <w:r w:rsidRPr="00CE452F">
        <w:rPr>
          <w:rFonts w:ascii="Times New Roman" w:hAnsi="Times New Roman" w:cs="Times New Roman"/>
          <w:b/>
          <w:bCs/>
          <w:iCs/>
          <w:sz w:val="24"/>
          <w:szCs w:val="24"/>
          <w:lang w:val="en-GB"/>
        </w:rPr>
        <w:tab/>
      </w:r>
    </w:p>
    <w:p w14:paraId="7D045ACB"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drawing>
          <wp:inline distT="0" distB="0" distL="0" distR="0" wp14:anchorId="67C8D6BA" wp14:editId="1EE2802E">
            <wp:extent cx="3784349" cy="227061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4317" cy="2312591"/>
                    </a:xfrm>
                    <a:prstGeom prst="rect">
                      <a:avLst/>
                    </a:prstGeom>
                    <a:noFill/>
                    <a:ln>
                      <a:noFill/>
                    </a:ln>
                  </pic:spPr>
                </pic:pic>
              </a:graphicData>
            </a:graphic>
          </wp:inline>
        </w:drawing>
      </w:r>
    </w:p>
    <w:p w14:paraId="2B1C1017" w14:textId="77777777" w:rsidR="00ED5041" w:rsidRPr="00CE452F" w:rsidRDefault="00ED5041" w:rsidP="00ED5041">
      <w:pPr>
        <w:spacing w:line="240" w:lineRule="auto"/>
        <w:jc w:val="both"/>
        <w:rPr>
          <w:rFonts w:ascii="Times New Roman" w:hAnsi="Times New Roman" w:cs="Times New Roman"/>
          <w:b/>
          <w:bCs/>
          <w:iCs/>
          <w:sz w:val="24"/>
          <w:szCs w:val="24"/>
          <w:lang w:val="en-GB"/>
        </w:rPr>
      </w:pPr>
      <w:r w:rsidRPr="00CE452F">
        <w:rPr>
          <w:rFonts w:ascii="Times New Roman" w:hAnsi="Times New Roman" w:cs="Times New Roman"/>
          <w:b/>
          <w:bCs/>
          <w:iCs/>
          <w:sz w:val="24"/>
          <w:szCs w:val="24"/>
          <w:lang w:val="en-GB"/>
        </w:rPr>
        <w:t>Figure 5: XRD pattern of composite catalyst after use</w:t>
      </w:r>
    </w:p>
    <w:p w14:paraId="6EA1FD06"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Brunauer-Emmett-Teller (BET) analysis</w:t>
      </w:r>
    </w:p>
    <w:p w14:paraId="5774B1A2" w14:textId="777777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 xml:space="preserve">The Brunauer-Emmett-Teller (BET) analysis was conducted to quantitatively ascertain the surface characteristics of the precursors and composite catalyst before and after use. Information on their surface area, pore diameter and pore volume were obtained from the analysis as displayed on table 4. It was observed that the </w:t>
      </w:r>
      <w:r>
        <w:rPr>
          <w:rFonts w:ascii="Times New Roman" w:hAnsi="Times New Roman" w:cs="Times New Roman"/>
          <w:bCs/>
          <w:iCs/>
          <w:sz w:val="24"/>
          <w:szCs w:val="24"/>
          <w:lang w:val="en-GB"/>
        </w:rPr>
        <w:t>CARBIDE SLAG</w:t>
      </w:r>
      <w:r w:rsidRPr="00F629D3">
        <w:rPr>
          <w:rFonts w:ascii="Times New Roman" w:hAnsi="Times New Roman" w:cs="Times New Roman"/>
          <w:bCs/>
          <w:iCs/>
          <w:sz w:val="24"/>
          <w:szCs w:val="24"/>
          <w:lang w:val="en-GB"/>
        </w:rPr>
        <w:t xml:space="preserve"> precursor had a surface area of 221.643 m</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/g, a pore diameter of 2.940 nm, and a pore volume of 0.202 cc/g, while the THC precursor had a surface area 314.180 m</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/g, a pore diameter of 2.800nm, and a pore volume of 0.283 cc/g. The surface area, pore diameter, and pore volume of the composite catalyst before use were found to be 226.888 m</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/g, 2.940 nm, and 0.207 cc/g respectively. For the composite catalyst after use, 165.708 m</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/g, 2.700 nm, and 0.103 cc/g were obtained as the surface area, pore diameter, and pore volume respectively.</w:t>
      </w:r>
    </w:p>
    <w:p w14:paraId="32CF87C4" w14:textId="10E0A57F"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As expected, the surface area of the composite catalyst typically lies between the surface area of the two precursors. This can be attributed to the blockage of some micropores by the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It was observed that the pore diameter of the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was retained by the composite catalyst. This shows that the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precursor dominated the architecture and its pore network remained intact during the mixing, impregnation and calcination processes. The precursor with smaller pores does not collapse or occupy the larger ones. Hence the THC precursor, which was the precursor with the smaller pores in this case, did not collapse or occupy the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precursor pores. Thus, the composite’s average diameter reflected the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pores system</w:t>
      </w:r>
      <w:r w:rsidR="00E828AA">
        <w:rPr>
          <w:rFonts w:ascii="Times New Roman" w:hAnsi="Times New Roman" w:cs="Times New Roman"/>
          <w:bCs/>
          <w:iCs/>
          <w:sz w:val="24"/>
          <w:szCs w:val="24"/>
        </w:rPr>
        <w:t xml:space="preserve"> [54]</w:t>
      </w:r>
      <w:r w:rsidRPr="00F629D3">
        <w:rPr>
          <w:rFonts w:ascii="Times New Roman" w:hAnsi="Times New Roman" w:cs="Times New Roman"/>
          <w:bCs/>
          <w:iCs/>
          <w:sz w:val="24"/>
          <w:szCs w:val="24"/>
        </w:rPr>
        <w:t xml:space="preserve">. </w:t>
      </w:r>
    </w:p>
    <w:p w14:paraId="5E9843F7"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For pore volume, combining two different porous precursors of different pore volume results in a composite pore volume which is approximately equal to the mass weighted sum of the pore volumes of the precursors, if any of the pore structures was not altered during the mixing, impregnation and calcination, and if there was no pore blockage. In this case the pore composite pore volume was found to be close to the mass weighted sum of the pore volumes </w:t>
      </w:r>
      <w:r w:rsidRPr="00F629D3">
        <w:rPr>
          <w:rFonts w:ascii="Times New Roman" w:hAnsi="Times New Roman" w:cs="Times New Roman"/>
          <w:bCs/>
          <w:iCs/>
          <w:sz w:val="24"/>
          <w:szCs w:val="24"/>
        </w:rPr>
        <w:lastRenderedPageBreak/>
        <w:t>of the precursors, which shows that there was no significant alteration of the pore structures during the mixing, impregnation and calcination processes.</w:t>
      </w:r>
    </w:p>
    <w:p w14:paraId="12744BCD" w14:textId="2AF337F4"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Cs/>
          <w:iCs/>
          <w:sz w:val="24"/>
          <w:szCs w:val="24"/>
        </w:rPr>
        <w:t xml:space="preserve">A decrease was observed in the surface area of the composite catalyst after use. This is attributed to the occupation of the catalyst surface active sites by unreacted triglycerides </w:t>
      </w:r>
      <w:r w:rsidR="00E425D3">
        <w:rPr>
          <w:rFonts w:ascii="Times New Roman" w:hAnsi="Times New Roman" w:cs="Times New Roman"/>
          <w:bCs/>
          <w:iCs/>
          <w:sz w:val="24"/>
          <w:szCs w:val="24"/>
        </w:rPr>
        <w:t>[</w:t>
      </w:r>
      <w:r w:rsidR="00814901">
        <w:rPr>
          <w:rFonts w:ascii="Times New Roman" w:hAnsi="Times New Roman" w:cs="Times New Roman"/>
          <w:bCs/>
          <w:iCs/>
          <w:sz w:val="24"/>
          <w:szCs w:val="24"/>
        </w:rPr>
        <w:t>71]</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{"citationItems":[{"id":"ITEM-1","itemData":{"DOI":"10.1016/j.jece.2020.104955","ISSN":"2213-3437","author":[{"dropping-particle":"","family":"Yusuff","given":"Adeyinka Sikiru","non-dropping-particle":"","parse-names":false,"suffix":""},{"dropping-particle":"","family":"Gbadamosi","given":"Afeez Olayinka","non-dropping-particle":"","parse-names":false,"suffix":""},{"dropping-particle":"","family":"Popoola","given":"Lekan Taofeek","non-dropping-particle":"","parse-names":false,"suffix":""}],"container-title":"Journal of Environmental Chemical Engineering","id":"ITEM-1","issue":"2","issued":{"date-parts":[["2021"]]},"page":"104955","publisher":"Elsevier Ltd","title":"Journal of Environmental Chemical Engineering Biodiesel production from transesterified waste cooking oil by zinc-modified anthill catalyst : Parametric optimization and biodiesel properties improvement","type":"article-journal","volume":"9"},"uris":["http://www.mendeley.com/documents/?uuid=98688d88-2c8e-4f53-91f9-5f0054f967aa"]}],"mendeley":{"formattedCitation":"(Yusuff et al., 2021)","plainTextFormattedCitation":"(Yusuff et al., 2021)","previouslyFormattedCitation":"(Yusuff et al., 2021)"},"properties":{"noteIndex":0},"schema":"https://github.com/citation-style-language/schema/raw/master/csl-citation.json"}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Pr="00F629D3">
        <w:rPr>
          <w:rFonts w:ascii="Times New Roman" w:hAnsi="Times New Roman" w:cs="Times New Roman"/>
          <w:bCs/>
          <w:iCs/>
          <w:sz w:val="24"/>
          <w:szCs w:val="24"/>
        </w:rPr>
        <w:fldChar w:fldCharType="end"/>
      </w:r>
      <w:r w:rsidRPr="00F629D3">
        <w:rPr>
          <w:rFonts w:ascii="Times New Roman" w:hAnsi="Times New Roman" w:cs="Times New Roman"/>
          <w:bCs/>
          <w:iCs/>
          <w:sz w:val="24"/>
          <w:szCs w:val="24"/>
        </w:rPr>
        <w:t>. A decrease in the pore diameter and pore volume was also noted.</w:t>
      </w:r>
    </w:p>
    <w:p w14:paraId="128CAE9F"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Table 4: Surface characteristics of precursors and composite catalyst (before and after use)</w:t>
      </w:r>
    </w:p>
    <w:tbl>
      <w:tblPr>
        <w:tblStyle w:val="TableGrid"/>
        <w:tblW w:w="9445" w:type="dxa"/>
        <w:jc w:val="center"/>
        <w:tblLook w:val="04A0" w:firstRow="1" w:lastRow="0" w:firstColumn="1" w:lastColumn="0" w:noHBand="0" w:noVBand="1"/>
      </w:tblPr>
      <w:tblGrid>
        <w:gridCol w:w="2337"/>
        <w:gridCol w:w="2332"/>
        <w:gridCol w:w="2166"/>
        <w:gridCol w:w="1345"/>
        <w:gridCol w:w="1265"/>
      </w:tblGrid>
      <w:tr w:rsidR="00ED5041" w:rsidRPr="00F629D3" w14:paraId="16DD7A63" w14:textId="77777777" w:rsidTr="001E1A7B">
        <w:trPr>
          <w:trHeight w:val="244"/>
          <w:jc w:val="center"/>
        </w:trPr>
        <w:tc>
          <w:tcPr>
            <w:tcW w:w="2337" w:type="dxa"/>
            <w:vMerge w:val="restart"/>
          </w:tcPr>
          <w:p w14:paraId="3A13D79D"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Parameter</w:t>
            </w:r>
          </w:p>
        </w:tc>
        <w:tc>
          <w:tcPr>
            <w:tcW w:w="2332" w:type="dxa"/>
            <w:vMerge w:val="restart"/>
          </w:tcPr>
          <w:p w14:paraId="26437150"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carbide slag</w:t>
            </w:r>
          </w:p>
        </w:tc>
        <w:tc>
          <w:tcPr>
            <w:tcW w:w="2166" w:type="dxa"/>
            <w:vMerge w:val="restart"/>
          </w:tcPr>
          <w:p w14:paraId="045EC449"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THC</w:t>
            </w:r>
          </w:p>
        </w:tc>
        <w:tc>
          <w:tcPr>
            <w:tcW w:w="2610" w:type="dxa"/>
            <w:gridSpan w:val="2"/>
          </w:tcPr>
          <w:p w14:paraId="429CDD2A"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Composite catalyst</w:t>
            </w:r>
          </w:p>
        </w:tc>
      </w:tr>
      <w:tr w:rsidR="00ED5041" w:rsidRPr="00F629D3" w14:paraId="492F3205" w14:textId="77777777" w:rsidTr="001E1A7B">
        <w:trPr>
          <w:trHeight w:val="310"/>
          <w:jc w:val="center"/>
        </w:trPr>
        <w:tc>
          <w:tcPr>
            <w:tcW w:w="2337" w:type="dxa"/>
            <w:vMerge/>
          </w:tcPr>
          <w:p w14:paraId="49ACF18B" w14:textId="77777777" w:rsidR="00ED5041" w:rsidRPr="00B4669C" w:rsidRDefault="00ED5041" w:rsidP="001E1A7B">
            <w:pPr>
              <w:jc w:val="both"/>
              <w:rPr>
                <w:rFonts w:ascii="Times New Roman" w:hAnsi="Times New Roman" w:cs="Times New Roman"/>
                <w:b/>
                <w:bCs/>
                <w:iCs/>
                <w:sz w:val="24"/>
                <w:szCs w:val="24"/>
                <w:lang w:val="en-GB"/>
              </w:rPr>
            </w:pPr>
          </w:p>
        </w:tc>
        <w:tc>
          <w:tcPr>
            <w:tcW w:w="2332" w:type="dxa"/>
            <w:vMerge/>
          </w:tcPr>
          <w:p w14:paraId="0ABB4993" w14:textId="77777777" w:rsidR="00ED5041" w:rsidRPr="00B4669C" w:rsidRDefault="00ED5041" w:rsidP="001E1A7B">
            <w:pPr>
              <w:jc w:val="both"/>
              <w:rPr>
                <w:rFonts w:ascii="Times New Roman" w:hAnsi="Times New Roman" w:cs="Times New Roman"/>
                <w:b/>
                <w:bCs/>
                <w:iCs/>
                <w:sz w:val="24"/>
                <w:szCs w:val="24"/>
                <w:lang w:val="en-GB"/>
              </w:rPr>
            </w:pPr>
          </w:p>
        </w:tc>
        <w:tc>
          <w:tcPr>
            <w:tcW w:w="2166" w:type="dxa"/>
            <w:vMerge/>
          </w:tcPr>
          <w:p w14:paraId="4E024B57" w14:textId="77777777" w:rsidR="00ED5041" w:rsidRPr="00B4669C" w:rsidRDefault="00ED5041" w:rsidP="001E1A7B">
            <w:pPr>
              <w:jc w:val="both"/>
              <w:rPr>
                <w:rFonts w:ascii="Times New Roman" w:hAnsi="Times New Roman" w:cs="Times New Roman"/>
                <w:b/>
                <w:bCs/>
                <w:iCs/>
                <w:sz w:val="24"/>
                <w:szCs w:val="24"/>
                <w:lang w:val="en-GB"/>
              </w:rPr>
            </w:pPr>
          </w:p>
        </w:tc>
        <w:tc>
          <w:tcPr>
            <w:tcW w:w="1345" w:type="dxa"/>
          </w:tcPr>
          <w:p w14:paraId="4911389F"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Before use</w:t>
            </w:r>
          </w:p>
        </w:tc>
        <w:tc>
          <w:tcPr>
            <w:tcW w:w="1265" w:type="dxa"/>
          </w:tcPr>
          <w:p w14:paraId="34B61ACE"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After use</w:t>
            </w:r>
          </w:p>
        </w:tc>
      </w:tr>
      <w:tr w:rsidR="00ED5041" w:rsidRPr="00F629D3" w14:paraId="49ED5247" w14:textId="77777777" w:rsidTr="001E1A7B">
        <w:trPr>
          <w:jc w:val="center"/>
        </w:trPr>
        <w:tc>
          <w:tcPr>
            <w:tcW w:w="2337" w:type="dxa"/>
          </w:tcPr>
          <w:p w14:paraId="329EB3D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Surface area (m</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/g)</w:t>
            </w:r>
          </w:p>
        </w:tc>
        <w:tc>
          <w:tcPr>
            <w:tcW w:w="2332" w:type="dxa"/>
          </w:tcPr>
          <w:p w14:paraId="0D6650F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221.643</w:t>
            </w:r>
          </w:p>
        </w:tc>
        <w:tc>
          <w:tcPr>
            <w:tcW w:w="2166" w:type="dxa"/>
          </w:tcPr>
          <w:p w14:paraId="293DECD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314.180</w:t>
            </w:r>
          </w:p>
        </w:tc>
        <w:tc>
          <w:tcPr>
            <w:tcW w:w="1345" w:type="dxa"/>
          </w:tcPr>
          <w:p w14:paraId="47B4331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226.888</w:t>
            </w:r>
          </w:p>
        </w:tc>
        <w:tc>
          <w:tcPr>
            <w:tcW w:w="1265" w:type="dxa"/>
          </w:tcPr>
          <w:p w14:paraId="67191FF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165.708</w:t>
            </w:r>
          </w:p>
        </w:tc>
      </w:tr>
      <w:tr w:rsidR="00ED5041" w:rsidRPr="00F629D3" w14:paraId="1CE963B2" w14:textId="77777777" w:rsidTr="001E1A7B">
        <w:trPr>
          <w:jc w:val="center"/>
        </w:trPr>
        <w:tc>
          <w:tcPr>
            <w:tcW w:w="2337" w:type="dxa"/>
          </w:tcPr>
          <w:p w14:paraId="307A431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Pore diameter (nm)</w:t>
            </w:r>
          </w:p>
        </w:tc>
        <w:tc>
          <w:tcPr>
            <w:tcW w:w="2332" w:type="dxa"/>
          </w:tcPr>
          <w:p w14:paraId="5D6B8B6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2.940</w:t>
            </w:r>
          </w:p>
        </w:tc>
        <w:tc>
          <w:tcPr>
            <w:tcW w:w="2166" w:type="dxa"/>
          </w:tcPr>
          <w:p w14:paraId="01D029B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2.800</w:t>
            </w:r>
          </w:p>
        </w:tc>
        <w:tc>
          <w:tcPr>
            <w:tcW w:w="1345" w:type="dxa"/>
          </w:tcPr>
          <w:p w14:paraId="29DE156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2.940</w:t>
            </w:r>
          </w:p>
        </w:tc>
        <w:tc>
          <w:tcPr>
            <w:tcW w:w="1265" w:type="dxa"/>
          </w:tcPr>
          <w:p w14:paraId="47E7A673"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2.700</w:t>
            </w:r>
          </w:p>
        </w:tc>
      </w:tr>
      <w:tr w:rsidR="00ED5041" w:rsidRPr="00F629D3" w14:paraId="43B8E2D4" w14:textId="77777777" w:rsidTr="001E1A7B">
        <w:trPr>
          <w:jc w:val="center"/>
        </w:trPr>
        <w:tc>
          <w:tcPr>
            <w:tcW w:w="2337" w:type="dxa"/>
          </w:tcPr>
          <w:p w14:paraId="40A255F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Pore volume (cc/g)</w:t>
            </w:r>
          </w:p>
        </w:tc>
        <w:tc>
          <w:tcPr>
            <w:tcW w:w="2332" w:type="dxa"/>
          </w:tcPr>
          <w:p w14:paraId="2EC7D3D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0.202</w:t>
            </w:r>
          </w:p>
        </w:tc>
        <w:tc>
          <w:tcPr>
            <w:tcW w:w="2166" w:type="dxa"/>
          </w:tcPr>
          <w:p w14:paraId="4315EDE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0.283</w:t>
            </w:r>
          </w:p>
        </w:tc>
        <w:tc>
          <w:tcPr>
            <w:tcW w:w="1345" w:type="dxa"/>
          </w:tcPr>
          <w:p w14:paraId="3B540C0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0.207</w:t>
            </w:r>
          </w:p>
        </w:tc>
        <w:tc>
          <w:tcPr>
            <w:tcW w:w="1265" w:type="dxa"/>
          </w:tcPr>
          <w:p w14:paraId="225F793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0.146</w:t>
            </w:r>
          </w:p>
        </w:tc>
      </w:tr>
    </w:tbl>
    <w:p w14:paraId="26E2C84B" w14:textId="77777777" w:rsidR="00ED5041" w:rsidRPr="00B55490"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
          <w:bCs/>
          <w:iCs/>
          <w:sz w:val="24"/>
          <w:szCs w:val="24"/>
          <w:lang w:val="en-GB"/>
        </w:rPr>
        <w:t xml:space="preserve">Scanning electron microscopy (SEM) </w:t>
      </w:r>
      <w:r>
        <w:rPr>
          <w:rFonts w:ascii="Times New Roman" w:hAnsi="Times New Roman" w:cs="Times New Roman"/>
          <w:b/>
          <w:bCs/>
          <w:iCs/>
          <w:sz w:val="24"/>
          <w:szCs w:val="24"/>
          <w:lang w:val="en-GB"/>
        </w:rPr>
        <w:t>analysis</w:t>
      </w:r>
    </w:p>
    <w:p w14:paraId="652AA096" w14:textId="33F81B69"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 xml:space="preserve">SEM was used to observe the surface morphology of the calcined </w:t>
      </w:r>
      <w:r>
        <w:rPr>
          <w:rFonts w:ascii="Times New Roman" w:hAnsi="Times New Roman" w:cs="Times New Roman"/>
          <w:bCs/>
          <w:iCs/>
          <w:sz w:val="24"/>
          <w:szCs w:val="24"/>
          <w:lang w:val="en-GB"/>
        </w:rPr>
        <w:t>carbide slag</w:t>
      </w:r>
      <w:r w:rsidRPr="00F629D3">
        <w:rPr>
          <w:rFonts w:ascii="Times New Roman" w:hAnsi="Times New Roman" w:cs="Times New Roman"/>
          <w:bCs/>
          <w:iCs/>
          <w:sz w:val="24"/>
          <w:szCs w:val="24"/>
          <w:lang w:val="en-GB"/>
        </w:rPr>
        <w:t>, THC, composite catalyst before use and composite catalyst after use</w:t>
      </w:r>
      <w:r w:rsidR="00FF1F7B">
        <w:rPr>
          <w:rFonts w:ascii="Times New Roman" w:hAnsi="Times New Roman" w:cs="Times New Roman"/>
          <w:bCs/>
          <w:iCs/>
          <w:sz w:val="24"/>
          <w:szCs w:val="24"/>
          <w:lang w:val="en-GB"/>
        </w:rPr>
        <w:t xml:space="preserve"> [43]</w:t>
      </w:r>
      <w:r w:rsidRPr="00F629D3">
        <w:rPr>
          <w:rFonts w:ascii="Times New Roman" w:hAnsi="Times New Roman" w:cs="Times New Roman"/>
          <w:bCs/>
          <w:iCs/>
          <w:sz w:val="24"/>
          <w:szCs w:val="24"/>
          <w:lang w:val="en-GB"/>
        </w:rPr>
        <w:t>.</w:t>
      </w:r>
    </w:p>
    <w:p w14:paraId="2F5F954D" w14:textId="7ABDB9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At magnifications of 340×, 500×, and 1000×, the SEM micrographs of the calcined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in figure 6 (a), (b), and (c) show an irregular, rough, and compact surface morphology made up of large agglomerated particles with cracked edges</w:t>
      </w:r>
      <w:r w:rsidR="00BA5B99">
        <w:rPr>
          <w:rFonts w:ascii="Times New Roman" w:hAnsi="Times New Roman" w:cs="Times New Roman"/>
          <w:bCs/>
          <w:iCs/>
          <w:sz w:val="24"/>
          <w:szCs w:val="24"/>
        </w:rPr>
        <w:t xml:space="preserve"> [58]</w:t>
      </w:r>
      <w:r w:rsidRPr="00F629D3">
        <w:rPr>
          <w:rFonts w:ascii="Times New Roman" w:hAnsi="Times New Roman" w:cs="Times New Roman"/>
          <w:bCs/>
          <w:iCs/>
          <w:sz w:val="24"/>
          <w:szCs w:val="24"/>
        </w:rPr>
        <w:t>. Due to particle sintering during high-temperature calcination, the surface appears rather solid with no visible porosity.</w:t>
      </w:r>
    </w:p>
    <w:p w14:paraId="00EF79A7"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The irregular crystal development and partial fusion of Ca-based particles, characteristic of calcined calcium-rich materials, are shown by the heterogeneous texture. Although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's restricted porosity emphasizes the necessity for a support material to increase dispersion, its compact and rough shape implies it is a good source of Ca-based active phases.</w:t>
      </w:r>
    </w:p>
    <w:p w14:paraId="7E1AA480" w14:textId="63297FCA"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As displayed in figure 7 (a), (b), and (c), the calcined termite hill clay (THC) has a layered, flaky, and plate-like structure that is typical of aluminosilicate clay minerals in SEM images taken at 500×, 1000×, and 1500× magnifications. In comparison to </w:t>
      </w:r>
      <w:r>
        <w:rPr>
          <w:rFonts w:ascii="Times New Roman" w:hAnsi="Times New Roman" w:cs="Times New Roman"/>
          <w:bCs/>
          <w:iCs/>
          <w:sz w:val="24"/>
          <w:szCs w:val="24"/>
        </w:rPr>
        <w:t>CARBIDE SLAG</w:t>
      </w:r>
      <w:r w:rsidRPr="00F629D3">
        <w:rPr>
          <w:rFonts w:ascii="Times New Roman" w:hAnsi="Times New Roman" w:cs="Times New Roman"/>
          <w:bCs/>
          <w:iCs/>
          <w:sz w:val="24"/>
          <w:szCs w:val="24"/>
        </w:rPr>
        <w:t xml:space="preserve">, the particles are more evenly dispersed and exhibit visible micro-pores and interparticle spaces, suggesting a higher surface roughness and porosity. The clay framework's thermal resilience is confirmed by the lamellar structure that was maintained following calcination  </w:t>
      </w:r>
      <w:r w:rsidR="00241629">
        <w:rPr>
          <w:rFonts w:ascii="Times New Roman" w:hAnsi="Times New Roman" w:cs="Times New Roman"/>
          <w:bCs/>
          <w:iCs/>
          <w:sz w:val="24"/>
          <w:szCs w:val="24"/>
        </w:rPr>
        <w:t>[57]</w:t>
      </w:r>
      <w:r w:rsidRPr="00F629D3">
        <w:rPr>
          <w:rFonts w:ascii="Times New Roman" w:hAnsi="Times New Roman" w:cs="Times New Roman"/>
          <w:bCs/>
          <w:iCs/>
          <w:sz w:val="24"/>
          <w:szCs w:val="24"/>
        </w:rPr>
        <w:t>. This implies that THC is an efficient support material that can improve the dispersion and stabilization of Ca-based active species due to its porous and layered shape.</w:t>
      </w:r>
    </w:p>
    <w:p w14:paraId="5F25C27A"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Prior to usage, the composite catalyst's SEM micrographs at 320×, 500×, and 750× magnifications reveal a rough and varied surface morphology made up of agglomerates with uneven shapes, as shown in figure 8 (a), (b), and (c). The structure shows good dispersion of Ca-based particles over the aluminosilicate matrix, appearing loosely packed with visible interparticle gaps and pores. The rough texture and porous nature suggest the presence of accessible active sites, which are favorable for catalytic transesterification reactions.</w:t>
      </w:r>
    </w:p>
    <w:p w14:paraId="46A2B0FD"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After biodiesel production, the SEM images in figure 9 (a), (b), and (c) reveal a more compact and denser surface structure with reduced visible porosity. The particles appear more fused and agglomerated, and some pores seem partially blocked. This morphological change can be attributed to surface carbonation of Ca-based sites, partial sintering, and deposition of reaction by-products such as glycerol and organic residues during catalytic operation. These changes are consistent with partial deactivation of the catalyst after reuse.</w:t>
      </w:r>
    </w:p>
    <w:p w14:paraId="6A6CBE9D"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lastRenderedPageBreak/>
        <w:t xml:space="preserve">Comparing the SEM images of the catalyst before use and after use, surface densification and pore blockage happened during the production of biodiesel, which could have lowered the availability of active sites and accounted for any observed decrease in catalytic activity, even though the composite catalyst maintained its overall </w:t>
      </w:r>
      <w:r>
        <w:rPr>
          <w:rFonts w:ascii="Times New Roman" w:hAnsi="Times New Roman" w:cs="Times New Roman"/>
          <w:bCs/>
          <w:iCs/>
          <w:sz w:val="24"/>
          <w:szCs w:val="24"/>
        </w:rPr>
        <w:t>structural integrity after use.</w:t>
      </w:r>
    </w:p>
    <w:p w14:paraId="68D96BAB" w14:textId="77777777" w:rsidR="00ED5041" w:rsidRPr="00F629D3" w:rsidRDefault="00ED5041" w:rsidP="00ED5041">
      <w:pPr>
        <w:spacing w:line="240" w:lineRule="auto"/>
        <w:jc w:val="center"/>
        <w:rPr>
          <w:rFonts w:ascii="Times New Roman" w:hAnsi="Times New Roman" w:cs="Times New Roman"/>
          <w:b/>
          <w:bCs/>
          <w:iCs/>
          <w:sz w:val="24"/>
          <w:szCs w:val="24"/>
          <w:lang w:val="en-GB"/>
        </w:rPr>
      </w:pPr>
      <w:r w:rsidRPr="00F629D3">
        <w:rPr>
          <w:rFonts w:ascii="Times New Roman" w:hAnsi="Times New Roman" w:cs="Times New Roman"/>
          <w:b/>
          <w:bCs/>
          <w:iCs/>
          <w:noProof/>
          <w:sz w:val="24"/>
          <w:szCs w:val="24"/>
        </w:rPr>
        <w:drawing>
          <wp:inline distT="0" distB="0" distL="0" distR="0" wp14:anchorId="725C19AF" wp14:editId="52523886">
            <wp:extent cx="1580549" cy="1546495"/>
            <wp:effectExtent l="0" t="0" r="635" b="0"/>
            <wp:docPr id="3" name="Picture 3" descr="C:\Users\hp\Desktop\Precursors characterization\SEM-EDS Sample A\IMG-20250605-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ecursors characterization\SEM-EDS Sample A\IMG-20250605-WA0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1444" cy="1566940"/>
                    </a:xfrm>
                    <a:prstGeom prst="rect">
                      <a:avLst/>
                    </a:prstGeom>
                    <a:noFill/>
                    <a:ln>
                      <a:noFill/>
                    </a:ln>
                  </pic:spPr>
                </pic:pic>
              </a:graphicData>
            </a:graphic>
          </wp:inline>
        </w:drawing>
      </w:r>
      <w:r>
        <w:rPr>
          <w:rFonts w:ascii="Times New Roman" w:hAnsi="Times New Roman" w:cs="Times New Roman"/>
          <w:b/>
          <w:bCs/>
          <w:iCs/>
          <w:noProof/>
          <w:sz w:val="24"/>
          <w:szCs w:val="24"/>
        </w:rPr>
        <w:t xml:space="preserve">  </w:t>
      </w:r>
      <w:r w:rsidRPr="00F629D3">
        <w:rPr>
          <w:rFonts w:ascii="Times New Roman" w:hAnsi="Times New Roman" w:cs="Times New Roman"/>
          <w:b/>
          <w:bCs/>
          <w:iCs/>
          <w:noProof/>
          <w:sz w:val="24"/>
          <w:szCs w:val="24"/>
        </w:rPr>
        <w:drawing>
          <wp:inline distT="0" distB="0" distL="0" distR="0" wp14:anchorId="374F4086" wp14:editId="766B3855">
            <wp:extent cx="1555854" cy="1536172"/>
            <wp:effectExtent l="0" t="0" r="6350" b="6985"/>
            <wp:docPr id="4" name="Picture 4" descr="C:\Users\hp\Desktop\Precursors characterization\SEM-EDS Sample A\IMG-20250605-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recursors characterization\SEM-EDS Sample A\IMG-20250605-WA0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315" cy="1557361"/>
                    </a:xfrm>
                    <a:prstGeom prst="rect">
                      <a:avLst/>
                    </a:prstGeom>
                    <a:noFill/>
                    <a:ln>
                      <a:noFill/>
                    </a:ln>
                  </pic:spPr>
                </pic:pic>
              </a:graphicData>
            </a:graphic>
          </wp:inline>
        </w:drawing>
      </w:r>
      <w:r>
        <w:rPr>
          <w:rFonts w:ascii="Times New Roman" w:hAnsi="Times New Roman" w:cs="Times New Roman"/>
          <w:b/>
          <w:bCs/>
          <w:iCs/>
          <w:noProof/>
          <w:sz w:val="24"/>
          <w:szCs w:val="24"/>
        </w:rPr>
        <w:t xml:space="preserve"> </w:t>
      </w:r>
      <w:r w:rsidRPr="00F629D3">
        <w:rPr>
          <w:rFonts w:ascii="Times New Roman" w:hAnsi="Times New Roman" w:cs="Times New Roman"/>
          <w:b/>
          <w:bCs/>
          <w:iCs/>
          <w:noProof/>
          <w:sz w:val="24"/>
          <w:szCs w:val="24"/>
        </w:rPr>
        <w:drawing>
          <wp:inline distT="0" distB="0" distL="0" distR="0" wp14:anchorId="0A5D050D" wp14:editId="2D97740E">
            <wp:extent cx="1646383" cy="1541887"/>
            <wp:effectExtent l="0" t="0" r="0" b="1270"/>
            <wp:docPr id="11" name="Picture 11" descr="C:\Users\hp\Desktop\Precursors characterization\SEM-EDS Sample A\IMG-20250605-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recursors characterization\SEM-EDS Sample A\IMG-20250605-WA00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411" cy="1557834"/>
                    </a:xfrm>
                    <a:prstGeom prst="rect">
                      <a:avLst/>
                    </a:prstGeom>
                    <a:noFill/>
                    <a:ln>
                      <a:noFill/>
                    </a:ln>
                  </pic:spPr>
                </pic:pic>
              </a:graphicData>
            </a:graphic>
          </wp:inline>
        </w:drawing>
      </w:r>
    </w:p>
    <w:p w14:paraId="780468C4" w14:textId="77777777" w:rsidR="00ED5041" w:rsidRPr="00B4669C" w:rsidRDefault="00ED5041" w:rsidP="00ED5041">
      <w:pPr>
        <w:spacing w:line="240" w:lineRule="auto"/>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Figure 6: SEM images of carbide slag precursor (a) x340 (b) x500 (c) x1000</w:t>
      </w:r>
    </w:p>
    <w:p w14:paraId="5C342BC0" w14:textId="77777777" w:rsidR="00ED5041" w:rsidRPr="00B4669C" w:rsidRDefault="00ED5041" w:rsidP="00ED5041">
      <w:pPr>
        <w:spacing w:line="240" w:lineRule="auto"/>
        <w:jc w:val="center"/>
        <w:rPr>
          <w:rFonts w:ascii="Times New Roman" w:hAnsi="Times New Roman" w:cs="Times New Roman"/>
          <w:b/>
          <w:bCs/>
          <w:iCs/>
          <w:sz w:val="24"/>
          <w:szCs w:val="24"/>
          <w:lang w:val="en-GB"/>
        </w:rPr>
      </w:pPr>
      <w:r w:rsidRPr="00F629D3">
        <w:rPr>
          <w:rFonts w:ascii="Times New Roman" w:hAnsi="Times New Roman" w:cs="Times New Roman"/>
          <w:b/>
          <w:bCs/>
          <w:iCs/>
          <w:noProof/>
          <w:sz w:val="24"/>
          <w:szCs w:val="24"/>
        </w:rPr>
        <w:drawing>
          <wp:inline distT="0" distB="0" distL="0" distR="0" wp14:anchorId="264BF6A2" wp14:editId="4B416B82">
            <wp:extent cx="1581065" cy="1538549"/>
            <wp:effectExtent l="0" t="0" r="635" b="5080"/>
            <wp:docPr id="18" name="Picture 18" descr="C:\Users\hp\Desktop\Precursors characterization\SEM-EDS Sample B\IMG-20250605-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recursors characterization\SEM-EDS Sample B\IMG-20250605-WA00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239" cy="1554288"/>
                    </a:xfrm>
                    <a:prstGeom prst="rect">
                      <a:avLst/>
                    </a:prstGeom>
                    <a:noFill/>
                    <a:ln>
                      <a:noFill/>
                    </a:ln>
                  </pic:spPr>
                </pic:pic>
              </a:graphicData>
            </a:graphic>
          </wp:inline>
        </w:drawing>
      </w:r>
      <w:r>
        <w:rPr>
          <w:rFonts w:ascii="Times New Roman" w:hAnsi="Times New Roman" w:cs="Times New Roman"/>
          <w:bCs/>
          <w:iCs/>
          <w:noProof/>
          <w:sz w:val="24"/>
          <w:szCs w:val="24"/>
        </w:rPr>
        <w:t xml:space="preserve"> </w:t>
      </w:r>
      <w:r w:rsidRPr="00F629D3">
        <w:rPr>
          <w:rFonts w:ascii="Times New Roman" w:hAnsi="Times New Roman" w:cs="Times New Roman"/>
          <w:bCs/>
          <w:iCs/>
          <w:noProof/>
          <w:sz w:val="24"/>
          <w:szCs w:val="24"/>
        </w:rPr>
        <w:drawing>
          <wp:inline distT="0" distB="0" distL="0" distR="0" wp14:anchorId="27C63F15" wp14:editId="7B6ECED5">
            <wp:extent cx="1601470" cy="154645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549" cy="1589017"/>
                    </a:xfrm>
                    <a:prstGeom prst="rect">
                      <a:avLst/>
                    </a:prstGeom>
                    <a:noFill/>
                    <a:ln>
                      <a:noFill/>
                    </a:ln>
                  </pic:spPr>
                </pic:pic>
              </a:graphicData>
            </a:graphic>
          </wp:inline>
        </w:drawing>
      </w:r>
      <w:r>
        <w:rPr>
          <w:rFonts w:ascii="Times New Roman" w:hAnsi="Times New Roman" w:cs="Times New Roman"/>
          <w:b/>
          <w:bCs/>
          <w:iCs/>
          <w:noProof/>
          <w:sz w:val="24"/>
          <w:szCs w:val="24"/>
        </w:rPr>
        <w:t xml:space="preserve"> </w:t>
      </w:r>
      <w:r w:rsidRPr="00B4669C">
        <w:rPr>
          <w:rFonts w:ascii="Times New Roman" w:hAnsi="Times New Roman" w:cs="Times New Roman"/>
          <w:b/>
          <w:bCs/>
          <w:iCs/>
          <w:noProof/>
          <w:sz w:val="24"/>
          <w:szCs w:val="24"/>
        </w:rPr>
        <w:drawing>
          <wp:inline distT="0" distB="0" distL="0" distR="0" wp14:anchorId="6501C926" wp14:editId="108E95BE">
            <wp:extent cx="1646389" cy="1539347"/>
            <wp:effectExtent l="0" t="0" r="0" b="3810"/>
            <wp:docPr id="2" name="Picture 2" descr="C:\Users\hp\Desktop\Precursors characterization\SEM-EDS Sample B\IMG-20250605-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recursors characterization\SEM-EDS Sample B\IMG-20250605-WA00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811" cy="1591165"/>
                    </a:xfrm>
                    <a:prstGeom prst="rect">
                      <a:avLst/>
                    </a:prstGeom>
                    <a:noFill/>
                    <a:ln>
                      <a:noFill/>
                    </a:ln>
                  </pic:spPr>
                </pic:pic>
              </a:graphicData>
            </a:graphic>
          </wp:inline>
        </w:drawing>
      </w:r>
    </w:p>
    <w:p w14:paraId="587F4B07" w14:textId="77777777" w:rsidR="00ED5041" w:rsidRPr="00B4669C" w:rsidRDefault="00ED5041" w:rsidP="00ED5041">
      <w:pPr>
        <w:spacing w:line="240" w:lineRule="auto"/>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Figure 7: SEM images of THC precursor (a) x500 (b) x1000 (c) x1500</w:t>
      </w:r>
    </w:p>
    <w:p w14:paraId="266E2310"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drawing>
          <wp:inline distT="0" distB="0" distL="0" distR="0" wp14:anchorId="491352D2" wp14:editId="055D0FFE">
            <wp:extent cx="1554480" cy="1560441"/>
            <wp:effectExtent l="0" t="0" r="762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53" cy="1590128"/>
                    </a:xfrm>
                    <a:prstGeom prst="rect">
                      <a:avLst/>
                    </a:prstGeom>
                    <a:noFill/>
                    <a:ln>
                      <a:noFill/>
                    </a:ln>
                  </pic:spPr>
                </pic:pic>
              </a:graphicData>
            </a:graphic>
          </wp:inline>
        </w:drawing>
      </w:r>
      <w:r>
        <w:rPr>
          <w:rFonts w:ascii="Times New Roman" w:hAnsi="Times New Roman" w:cs="Times New Roman"/>
          <w:bCs/>
          <w:iCs/>
          <w:noProof/>
          <w:sz w:val="24"/>
          <w:szCs w:val="24"/>
        </w:rPr>
        <w:t xml:space="preserve"> </w:t>
      </w:r>
      <w:r w:rsidRPr="00F629D3">
        <w:rPr>
          <w:rFonts w:ascii="Times New Roman" w:hAnsi="Times New Roman" w:cs="Times New Roman"/>
          <w:bCs/>
          <w:iCs/>
          <w:noProof/>
          <w:sz w:val="24"/>
          <w:szCs w:val="24"/>
        </w:rPr>
        <w:drawing>
          <wp:inline distT="0" distB="0" distL="0" distR="0" wp14:anchorId="5E3B449C" wp14:editId="22C3FD80">
            <wp:extent cx="1628025" cy="1557309"/>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5109" cy="1592782"/>
                    </a:xfrm>
                    <a:prstGeom prst="rect">
                      <a:avLst/>
                    </a:prstGeom>
                    <a:noFill/>
                    <a:ln>
                      <a:noFill/>
                    </a:ln>
                  </pic:spPr>
                </pic:pic>
              </a:graphicData>
            </a:graphic>
          </wp:inline>
        </w:drawing>
      </w:r>
      <w:r>
        <w:rPr>
          <w:rFonts w:ascii="Times New Roman" w:hAnsi="Times New Roman" w:cs="Times New Roman"/>
          <w:bCs/>
          <w:iCs/>
          <w:noProof/>
          <w:sz w:val="24"/>
          <w:szCs w:val="24"/>
        </w:rPr>
        <w:t xml:space="preserve"> </w:t>
      </w:r>
      <w:r w:rsidRPr="00F629D3">
        <w:rPr>
          <w:rFonts w:ascii="Times New Roman" w:hAnsi="Times New Roman" w:cs="Times New Roman"/>
          <w:bCs/>
          <w:iCs/>
          <w:noProof/>
          <w:sz w:val="24"/>
          <w:szCs w:val="24"/>
        </w:rPr>
        <w:drawing>
          <wp:inline distT="0" distB="0" distL="0" distR="0" wp14:anchorId="53E0CF65" wp14:editId="728142DC">
            <wp:extent cx="1645920" cy="1554874"/>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1157" cy="1578715"/>
                    </a:xfrm>
                    <a:prstGeom prst="rect">
                      <a:avLst/>
                    </a:prstGeom>
                    <a:noFill/>
                    <a:ln>
                      <a:noFill/>
                    </a:ln>
                  </pic:spPr>
                </pic:pic>
              </a:graphicData>
            </a:graphic>
          </wp:inline>
        </w:drawing>
      </w:r>
    </w:p>
    <w:p w14:paraId="6A43D648" w14:textId="77777777" w:rsidR="00ED5041" w:rsidRDefault="00ED5041" w:rsidP="00ED5041">
      <w:pPr>
        <w:spacing w:line="240" w:lineRule="auto"/>
        <w:jc w:val="both"/>
        <w:rPr>
          <w:rFonts w:ascii="Times New Roman" w:hAnsi="Times New Roman" w:cs="Times New Roman"/>
          <w:b/>
          <w:bCs/>
          <w:iCs/>
          <w:sz w:val="24"/>
          <w:szCs w:val="24"/>
          <w:lang w:val="en-GB"/>
        </w:rPr>
      </w:pPr>
      <w:r w:rsidRPr="004D2B57">
        <w:rPr>
          <w:rFonts w:ascii="Times New Roman" w:hAnsi="Times New Roman" w:cs="Times New Roman"/>
          <w:b/>
          <w:bCs/>
          <w:iCs/>
          <w:sz w:val="24"/>
          <w:szCs w:val="24"/>
          <w:lang w:val="en-GB"/>
        </w:rPr>
        <w:t>Figure 8: SEM images of composite catalyst before use (a) x320 (b) x500 (c) x750</w:t>
      </w:r>
    </w:p>
    <w:p w14:paraId="47806E35" w14:textId="77777777" w:rsidR="00ED5041" w:rsidRDefault="00ED5041" w:rsidP="00ED5041">
      <w:pPr>
        <w:spacing w:line="240" w:lineRule="auto"/>
        <w:jc w:val="center"/>
        <w:rPr>
          <w:rFonts w:ascii="Times New Roman" w:hAnsi="Times New Roman" w:cs="Times New Roman"/>
          <w:b/>
          <w:bCs/>
          <w:iCs/>
          <w:sz w:val="24"/>
          <w:szCs w:val="24"/>
          <w:lang w:val="en-GB"/>
        </w:rPr>
      </w:pPr>
      <w:r w:rsidRPr="00F629D3">
        <w:rPr>
          <w:rFonts w:ascii="Times New Roman" w:hAnsi="Times New Roman" w:cs="Times New Roman"/>
          <w:bCs/>
          <w:iCs/>
          <w:noProof/>
          <w:sz w:val="24"/>
          <w:szCs w:val="24"/>
        </w:rPr>
        <w:drawing>
          <wp:inline distT="0" distB="0" distL="0" distR="0" wp14:anchorId="63EEE4B6" wp14:editId="5EC8FE72">
            <wp:extent cx="1649885" cy="158379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6743" cy="1590380"/>
                    </a:xfrm>
                    <a:prstGeom prst="rect">
                      <a:avLst/>
                    </a:prstGeom>
                    <a:noFill/>
                    <a:ln>
                      <a:noFill/>
                    </a:ln>
                  </pic:spPr>
                </pic:pic>
              </a:graphicData>
            </a:graphic>
          </wp:inline>
        </w:drawing>
      </w:r>
      <w:r>
        <w:rPr>
          <w:rFonts w:ascii="Times New Roman" w:hAnsi="Times New Roman" w:cs="Times New Roman"/>
          <w:bCs/>
          <w:iCs/>
          <w:noProof/>
          <w:sz w:val="24"/>
          <w:szCs w:val="24"/>
        </w:rPr>
        <w:t xml:space="preserve"> </w:t>
      </w:r>
      <w:r w:rsidRPr="00F629D3">
        <w:rPr>
          <w:rFonts w:ascii="Times New Roman" w:hAnsi="Times New Roman" w:cs="Times New Roman"/>
          <w:bCs/>
          <w:iCs/>
          <w:noProof/>
          <w:sz w:val="24"/>
          <w:szCs w:val="24"/>
        </w:rPr>
        <w:drawing>
          <wp:inline distT="0" distB="0" distL="0" distR="0" wp14:anchorId="5FD63D92" wp14:editId="3904E1EE">
            <wp:extent cx="1558793" cy="158270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335" cy="1634027"/>
                    </a:xfrm>
                    <a:prstGeom prst="rect">
                      <a:avLst/>
                    </a:prstGeom>
                    <a:noFill/>
                    <a:ln>
                      <a:noFill/>
                    </a:ln>
                  </pic:spPr>
                </pic:pic>
              </a:graphicData>
            </a:graphic>
          </wp:inline>
        </w:drawing>
      </w:r>
      <w:r>
        <w:rPr>
          <w:rFonts w:ascii="Times New Roman" w:hAnsi="Times New Roman" w:cs="Times New Roman"/>
          <w:bCs/>
          <w:iCs/>
          <w:noProof/>
          <w:sz w:val="24"/>
          <w:szCs w:val="24"/>
        </w:rPr>
        <w:t xml:space="preserve"> </w:t>
      </w:r>
      <w:r w:rsidRPr="00F629D3">
        <w:rPr>
          <w:rFonts w:ascii="Times New Roman" w:hAnsi="Times New Roman" w:cs="Times New Roman"/>
          <w:bCs/>
          <w:iCs/>
          <w:noProof/>
          <w:sz w:val="24"/>
          <w:szCs w:val="24"/>
        </w:rPr>
        <w:drawing>
          <wp:inline distT="0" distB="0" distL="0" distR="0" wp14:anchorId="0B5C43C7" wp14:editId="6DA0D460">
            <wp:extent cx="1544027" cy="1584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784" cy="1588211"/>
                    </a:xfrm>
                    <a:prstGeom prst="rect">
                      <a:avLst/>
                    </a:prstGeom>
                    <a:noFill/>
                    <a:ln>
                      <a:noFill/>
                    </a:ln>
                  </pic:spPr>
                </pic:pic>
              </a:graphicData>
            </a:graphic>
          </wp:inline>
        </w:drawing>
      </w:r>
    </w:p>
    <w:p w14:paraId="2510D03B" w14:textId="77777777" w:rsidR="00ED5041" w:rsidRDefault="00ED5041" w:rsidP="00ED5041">
      <w:pPr>
        <w:spacing w:line="240" w:lineRule="auto"/>
        <w:rPr>
          <w:rFonts w:ascii="Times New Roman" w:hAnsi="Times New Roman" w:cs="Times New Roman"/>
          <w:b/>
          <w:bCs/>
          <w:iCs/>
          <w:sz w:val="24"/>
          <w:szCs w:val="24"/>
          <w:lang w:val="en-GB"/>
        </w:rPr>
      </w:pPr>
      <w:r w:rsidRPr="004D2B57">
        <w:rPr>
          <w:rFonts w:ascii="Times New Roman" w:hAnsi="Times New Roman" w:cs="Times New Roman"/>
          <w:b/>
          <w:bCs/>
          <w:iCs/>
          <w:sz w:val="24"/>
          <w:szCs w:val="24"/>
          <w:lang w:val="en-GB"/>
        </w:rPr>
        <w:t>Figure 9: SEM images of composite catalyst after use (a) x320 (b) x500 (c) x750</w:t>
      </w:r>
    </w:p>
    <w:p w14:paraId="11112D45"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Fourier transform infrared (FTIR) spectroscopy analysis</w:t>
      </w:r>
    </w:p>
    <w:p w14:paraId="5B026EA1" w14:textId="69838EC4" w:rsidR="00ED5041" w:rsidRPr="00CE452F"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lastRenderedPageBreak/>
        <w:t>The identification of different functional groups available on the precursors and prepared catalyst (both before use and after use) surfaces was carried out using Fourier transform infrared (FTIR) analysis and the results are displayed below in figure 10 to figure 13. Various absorption peaks which correlate with various functional groups were indicated on the precursors and catalyst surface. The functional groups indicated by the peaks were interpreted with the aid of the Infrared Spectroscopy Absorption Table</w:t>
      </w:r>
      <w:r w:rsidR="00272006">
        <w:rPr>
          <w:rFonts w:ascii="Times New Roman" w:hAnsi="Times New Roman" w:cs="Times New Roman"/>
          <w:bCs/>
          <w:iCs/>
          <w:sz w:val="24"/>
          <w:szCs w:val="24"/>
          <w:lang w:val="en-GB"/>
        </w:rPr>
        <w:t xml:space="preserve"> </w:t>
      </w:r>
      <w:r w:rsidR="0011617A">
        <w:rPr>
          <w:rFonts w:ascii="Times New Roman" w:hAnsi="Times New Roman" w:cs="Times New Roman"/>
          <w:bCs/>
          <w:iCs/>
          <w:sz w:val="24"/>
          <w:szCs w:val="24"/>
          <w:lang w:val="en-GB"/>
        </w:rPr>
        <w:t>[32]</w:t>
      </w:r>
      <w:r w:rsidRPr="00F629D3">
        <w:rPr>
          <w:rFonts w:ascii="Times New Roman" w:hAnsi="Times New Roman" w:cs="Times New Roman"/>
          <w:bCs/>
          <w:iCs/>
          <w:sz w:val="24"/>
          <w:szCs w:val="24"/>
          <w:lang w:val="en-GB"/>
        </w:rPr>
        <w:t xml:space="preserve">. The result shown in figure 10 for the </w:t>
      </w:r>
      <w:r>
        <w:rPr>
          <w:rFonts w:ascii="Times New Roman" w:hAnsi="Times New Roman" w:cs="Times New Roman"/>
          <w:bCs/>
          <w:iCs/>
          <w:sz w:val="24"/>
          <w:szCs w:val="24"/>
          <w:lang w:val="en-GB"/>
        </w:rPr>
        <w:t>carbide slag</w:t>
      </w:r>
      <w:r w:rsidRPr="00F629D3">
        <w:rPr>
          <w:rFonts w:ascii="Times New Roman" w:hAnsi="Times New Roman" w:cs="Times New Roman"/>
          <w:bCs/>
          <w:iCs/>
          <w:sz w:val="24"/>
          <w:szCs w:val="24"/>
          <w:lang w:val="en-GB"/>
        </w:rPr>
        <w:t xml:space="preserve"> precursor indicated a peak at 3965.9 which is typically attributed to either noise from CO</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ml:space="preserve"> or water vapor in the air or instrument, or as a very weak, perhaps erroneous signal. Major peaks at 3906.3, 3872.7, 3842.9 and 3641.6 were attributed to the stretching of the O-H bond. A peak at 2816.0 was attributed to the stretching of the C-H bond, while the peak at 2346.4 was attributed to the stretching of the O=C=O bond.  The peak at 2176.8 was attributed to the stretching of the C≡C bond.  The peaks at 2104.1, 2079.9, 2027.7 and 1996.0 were attributed to the stretching of the N=C=S bond. The peaks at 1973.6, 1953.1, 1938.2 and 1917.7 were attributed to the stretching of the C=C=C bond. The peak at 1607.7 was attributed to the stretching of the C=C bond. The peak at 1559.9 was attributed to the stretching of the N-O bond.  The peak at 1407.1 was attributed to the stretching of the S=O bond. The peak at 1131.2 was attributed to the stretching of the C-O bond. The peaks at 948.6, 930.0, 877.8 and 702.6 were attributed to the bending of the C-C bond while the peak at 663.5 was attributed to t</w:t>
      </w:r>
      <w:r>
        <w:rPr>
          <w:rFonts w:ascii="Times New Roman" w:hAnsi="Times New Roman" w:cs="Times New Roman"/>
          <w:bCs/>
          <w:iCs/>
          <w:sz w:val="24"/>
          <w:szCs w:val="24"/>
          <w:lang w:val="en-GB"/>
        </w:rPr>
        <w:t>he stretching of the C-Br bond.</w:t>
      </w:r>
    </w:p>
    <w:p w14:paraId="075B0A08" w14:textId="77777777" w:rsidR="00ED5041" w:rsidRPr="00F629D3" w:rsidRDefault="00ED5041" w:rsidP="00ED5041">
      <w:pPr>
        <w:spacing w:line="240" w:lineRule="auto"/>
        <w:jc w:val="center"/>
        <w:rPr>
          <w:rFonts w:ascii="Times New Roman" w:hAnsi="Times New Roman" w:cs="Times New Roman"/>
          <w:b/>
          <w:bCs/>
          <w:iCs/>
          <w:sz w:val="24"/>
          <w:szCs w:val="24"/>
          <w:lang w:val="en-GB"/>
        </w:rPr>
      </w:pPr>
      <w:r w:rsidRPr="00F629D3">
        <w:rPr>
          <w:rFonts w:ascii="Times New Roman" w:hAnsi="Times New Roman" w:cs="Times New Roman"/>
          <w:b/>
          <w:bCs/>
          <w:iCs/>
          <w:noProof/>
          <w:sz w:val="24"/>
          <w:szCs w:val="24"/>
        </w:rPr>
        <w:drawing>
          <wp:inline distT="0" distB="0" distL="0" distR="0" wp14:anchorId="4E0051B9" wp14:editId="7D4C00F1">
            <wp:extent cx="4282289" cy="1990038"/>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2201" cy="1994644"/>
                    </a:xfrm>
                    <a:prstGeom prst="rect">
                      <a:avLst/>
                    </a:prstGeom>
                    <a:noFill/>
                    <a:ln>
                      <a:noFill/>
                    </a:ln>
                  </pic:spPr>
                </pic:pic>
              </a:graphicData>
            </a:graphic>
          </wp:inline>
        </w:drawing>
      </w:r>
    </w:p>
    <w:p w14:paraId="4A9C8BD4" w14:textId="77777777" w:rsidR="00ED5041" w:rsidRPr="00B4669C" w:rsidRDefault="00ED5041" w:rsidP="00ED5041">
      <w:pPr>
        <w:spacing w:line="240" w:lineRule="auto"/>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Figure 10: FTIR spectra of carbide slag precursor</w:t>
      </w:r>
    </w:p>
    <w:p w14:paraId="72AD2352" w14:textId="777777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The result displayed in figure 11 for THC precursor shows major peaks at 3718.0 and 3557.7, which were attributed to the stretching of the O-H bond. The peak at 3418.1 was attributed to the stretching of the N-H bond, while the peak at 2488.0 indicated a triple bond region of C≡C. Peaks at 1943.8, 2010.9, and 2079.9 were attributed to the stretching of N=C=S bond. The peak at 663.5 was attributed to the stretching of C-Br bond and the peak at 693.3 was attributed to the bending of the C=C bond, while the peak at 1071.6 was attributed to the stretching of the C-O bond.</w:t>
      </w:r>
    </w:p>
    <w:p w14:paraId="773102C9" w14:textId="77777777" w:rsidR="00ED5041" w:rsidRPr="00F629D3" w:rsidRDefault="00ED5041" w:rsidP="00ED5041">
      <w:pPr>
        <w:spacing w:line="240" w:lineRule="auto"/>
        <w:jc w:val="center"/>
        <w:rPr>
          <w:rFonts w:ascii="Times New Roman" w:hAnsi="Times New Roman" w:cs="Times New Roman"/>
          <w:b/>
          <w:bCs/>
          <w:iCs/>
          <w:sz w:val="24"/>
          <w:szCs w:val="24"/>
          <w:lang w:val="en-GB"/>
        </w:rPr>
      </w:pPr>
      <w:r w:rsidRPr="00F629D3">
        <w:rPr>
          <w:rFonts w:ascii="Times New Roman" w:hAnsi="Times New Roman" w:cs="Times New Roman"/>
          <w:b/>
          <w:bCs/>
          <w:iCs/>
          <w:noProof/>
          <w:sz w:val="24"/>
          <w:szCs w:val="24"/>
        </w:rPr>
        <w:drawing>
          <wp:inline distT="0" distB="0" distL="0" distR="0" wp14:anchorId="67CD1C7A" wp14:editId="42CA6922">
            <wp:extent cx="4345663" cy="20194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4792" cy="2023731"/>
                    </a:xfrm>
                    <a:prstGeom prst="rect">
                      <a:avLst/>
                    </a:prstGeom>
                    <a:noFill/>
                    <a:ln>
                      <a:noFill/>
                    </a:ln>
                  </pic:spPr>
                </pic:pic>
              </a:graphicData>
            </a:graphic>
          </wp:inline>
        </w:drawing>
      </w:r>
    </w:p>
    <w:p w14:paraId="2E44DEEB" w14:textId="77777777" w:rsidR="00ED5041" w:rsidRPr="00B4669C" w:rsidRDefault="00ED5041" w:rsidP="00ED5041">
      <w:pPr>
        <w:spacing w:line="240" w:lineRule="auto"/>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Figure 11: FTIR spectra of THC precursor</w:t>
      </w:r>
    </w:p>
    <w:p w14:paraId="2328A7A1" w14:textId="777777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lastRenderedPageBreak/>
        <w:t>The result displayed in figure 12 for the composite catalyst before use, shows major peaks at 3689.97 and 3619.61, which were attributed to the O-H bond stretching. The peaks at 1028.30 and 1004.06 were attributed to the stretching of the C-O bond while the peaks at 910.80 and 680.86 were attributed to the C=C bond bending. Peaks at 788.41 and 749.74 corresponded to the bending of the C-H bond while the peak at 530.24 corresponded to the bending vibrations of the Si-O-Al bond.</w:t>
      </w:r>
    </w:p>
    <w:p w14:paraId="69B37F30"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drawing>
          <wp:inline distT="0" distB="0" distL="0" distR="0" wp14:anchorId="6A301E02" wp14:editId="52FC18B4">
            <wp:extent cx="4246809" cy="1964602"/>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2674" cy="1976567"/>
                    </a:xfrm>
                    <a:prstGeom prst="rect">
                      <a:avLst/>
                    </a:prstGeom>
                    <a:noFill/>
                    <a:ln>
                      <a:noFill/>
                    </a:ln>
                  </pic:spPr>
                </pic:pic>
              </a:graphicData>
            </a:graphic>
          </wp:inline>
        </w:drawing>
      </w:r>
    </w:p>
    <w:p w14:paraId="26233B04" w14:textId="77777777" w:rsidR="00ED5041" w:rsidRPr="00B4669C" w:rsidRDefault="00ED5041" w:rsidP="00ED5041">
      <w:pPr>
        <w:spacing w:line="240" w:lineRule="auto"/>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Figure 12: FTIR spectra of composite catalyst before use</w:t>
      </w:r>
    </w:p>
    <w:p w14:paraId="309BD57B" w14:textId="777777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Figure 13 shows the FTIR spectra of the composite catalyst after use. The different adsorption peaks identified were at 3084.15, 1979.50, 1577.88, 1058.30 and 791.95 and they corresponded to the O-H bond stretching, C-H bond bending, stretching of the C=C bond, stretching of the C-O bond and bending of the C=C bond respectively.</w:t>
      </w:r>
    </w:p>
    <w:p w14:paraId="65599F08"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hAnsi="Times New Roman" w:cs="Times New Roman"/>
          <w:bCs/>
          <w:iCs/>
          <w:noProof/>
          <w:sz w:val="24"/>
          <w:szCs w:val="24"/>
        </w:rPr>
        <w:drawing>
          <wp:inline distT="0" distB="0" distL="0" distR="0" wp14:anchorId="2C4C9366" wp14:editId="10BF7A03">
            <wp:extent cx="4447915" cy="210040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4637" cy="2108301"/>
                    </a:xfrm>
                    <a:prstGeom prst="rect">
                      <a:avLst/>
                    </a:prstGeom>
                    <a:noFill/>
                    <a:ln>
                      <a:noFill/>
                    </a:ln>
                  </pic:spPr>
                </pic:pic>
              </a:graphicData>
            </a:graphic>
          </wp:inline>
        </w:drawing>
      </w:r>
    </w:p>
    <w:p w14:paraId="3A36DD75" w14:textId="77777777" w:rsidR="00ED5041" w:rsidRPr="00CE452F" w:rsidRDefault="00ED5041" w:rsidP="00ED5041">
      <w:pPr>
        <w:spacing w:line="240" w:lineRule="auto"/>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 xml:space="preserve">Figure 13: FTIR spectra </w:t>
      </w:r>
      <w:r>
        <w:rPr>
          <w:rFonts w:ascii="Times New Roman" w:hAnsi="Times New Roman" w:cs="Times New Roman"/>
          <w:b/>
          <w:bCs/>
          <w:iCs/>
          <w:sz w:val="24"/>
          <w:szCs w:val="24"/>
          <w:lang w:val="en-GB"/>
        </w:rPr>
        <w:t>of composite catalyst after use</w:t>
      </w:r>
    </w:p>
    <w:p w14:paraId="65DAAC64" w14:textId="77777777"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iCs/>
          <w:sz w:val="24"/>
          <w:szCs w:val="24"/>
        </w:rPr>
        <w:t>Optimization using RSM</w:t>
      </w:r>
    </w:p>
    <w:p w14:paraId="11145ED5"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Cs/>
          <w:iCs/>
          <w:sz w:val="24"/>
          <w:szCs w:val="24"/>
        </w:rPr>
        <w:t>The statistical analysis of the biodiesel production using produced catalyst was carried out after the responses from the Box-Behkhen generated experimental runs were performed and their respective yield inputed. The biodiesel actual yield and their predicted values are shown in table 5. The predicted biodiesel yield was obtained using equation 3. It was noticed that similar values were obtained for both predicted and experimental results. This validates the statistical model developed for the prediction of the biodiesel yield.</w:t>
      </w:r>
    </w:p>
    <w:p w14:paraId="5586D770" w14:textId="77777777" w:rsidR="00ED5041" w:rsidRPr="004D2B57" w:rsidRDefault="00ED5041" w:rsidP="00ED5041">
      <w:pPr>
        <w:spacing w:line="240" w:lineRule="auto"/>
        <w:jc w:val="both"/>
        <w:rPr>
          <w:rFonts w:ascii="Times New Roman" w:hAnsi="Times New Roman" w:cs="Times New Roman"/>
          <w:bCs/>
          <w:iCs/>
          <w:sz w:val="24"/>
          <w:szCs w:val="24"/>
          <w:lang w:val="en-GB"/>
        </w:rPr>
      </w:pPr>
      <m:oMath>
        <m:r>
          <w:rPr>
            <w:rFonts w:ascii="Cambria Math" w:hAnsi="Cambria Math" w:cs="Times New Roman"/>
            <w:sz w:val="24"/>
            <w:szCs w:val="24"/>
            <w:lang w:val="en-GB"/>
          </w:rPr>
          <m:t xml:space="preserve">Biodiesel yield </m:t>
        </m:r>
        <m:d>
          <m:dPr>
            <m:begChr m:val="["/>
            <m:endChr m:val="]"/>
            <m:ctrlPr>
              <w:rPr>
                <w:rFonts w:ascii="Cambria Math" w:hAnsi="Cambria Math" w:cs="Times New Roman"/>
                <w:bCs/>
                <w:i/>
                <w:iCs/>
                <w:sz w:val="24"/>
                <w:szCs w:val="24"/>
                <w:lang w:val="en-GB"/>
              </w:rPr>
            </m:ctrlPr>
          </m:dPr>
          <m:e>
            <m:r>
              <w:rPr>
                <w:rFonts w:ascii="Cambria Math" w:hAnsi="Cambria Math" w:cs="Times New Roman"/>
                <w:sz w:val="24"/>
                <w:szCs w:val="24"/>
                <w:lang w:val="en-GB"/>
              </w:rPr>
              <m:t>%</m:t>
            </m:r>
          </m:e>
        </m:d>
        <m:r>
          <w:rPr>
            <w:rFonts w:ascii="Cambria Math" w:hAnsi="Cambria Math" w:cs="Times New Roman"/>
            <w:sz w:val="24"/>
            <w:szCs w:val="24"/>
            <w:lang w:val="en-GB"/>
          </w:rPr>
          <m:t>= -618.85+11.63</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1</m:t>
            </m:r>
          </m:sub>
        </m:sSub>
        <m:r>
          <w:rPr>
            <w:rFonts w:ascii="Cambria Math" w:hAnsi="Cambria Math" w:cs="Times New Roman"/>
            <w:sz w:val="24"/>
            <w:szCs w:val="24"/>
            <w:lang w:val="en-GB"/>
          </w:rPr>
          <m:t>+3.45</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2</m:t>
            </m:r>
          </m:sub>
        </m:sSub>
        <m:r>
          <w:rPr>
            <w:rFonts w:ascii="Cambria Math" w:hAnsi="Cambria Math" w:cs="Times New Roman"/>
            <w:sz w:val="24"/>
            <w:szCs w:val="24"/>
            <w:lang w:val="en-GB"/>
          </w:rPr>
          <m:t>+12.48</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3</m:t>
            </m:r>
          </m:sub>
        </m:sSub>
        <m:r>
          <w:rPr>
            <w:rFonts w:ascii="Cambria Math" w:hAnsi="Cambria Math" w:cs="Times New Roman"/>
            <w:sz w:val="24"/>
            <w:szCs w:val="24"/>
            <w:lang w:val="en-GB"/>
          </w:rPr>
          <m:t>+58.43</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4</m:t>
            </m:r>
          </m:sub>
        </m:sSub>
        <m:r>
          <w:rPr>
            <w:rFonts w:ascii="Cambria Math" w:hAnsi="Cambria Math" w:cs="Times New Roman"/>
            <w:sz w:val="24"/>
            <w:szCs w:val="24"/>
            <w:lang w:val="en-GB"/>
          </w:rPr>
          <m:t>-0.0185</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1</m:t>
            </m:r>
          </m:sub>
        </m:sSub>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2</m:t>
            </m:r>
          </m:sub>
        </m:sSub>
        <m:r>
          <w:rPr>
            <w:rFonts w:ascii="Cambria Math" w:hAnsi="Cambria Math" w:cs="Times New Roman"/>
            <w:sz w:val="24"/>
            <w:szCs w:val="24"/>
            <w:lang w:val="en-GB"/>
          </w:rPr>
          <m:t>-0.0735</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1</m:t>
            </m:r>
          </m:sub>
        </m:sSub>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3</m:t>
            </m:r>
          </m:sub>
        </m:sSub>
        <m:r>
          <w:rPr>
            <w:rFonts w:ascii="Cambria Math" w:hAnsi="Cambria Math" w:cs="Times New Roman"/>
            <w:sz w:val="24"/>
            <w:szCs w:val="24"/>
            <w:lang w:val="en-GB"/>
          </w:rPr>
          <m:t>-0.3996</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1</m:t>
            </m:r>
          </m:sub>
        </m:sSub>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4</m:t>
            </m:r>
          </m:sub>
        </m:sSub>
        <m:r>
          <w:rPr>
            <w:rFonts w:ascii="Cambria Math" w:hAnsi="Cambria Math" w:cs="Times New Roman"/>
            <w:sz w:val="24"/>
            <w:szCs w:val="24"/>
            <w:lang w:val="en-GB"/>
          </w:rPr>
          <m:t>-0.0504</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2</m:t>
            </m:r>
          </m:sub>
        </m:sSub>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3</m:t>
            </m:r>
          </m:sub>
        </m:sSub>
        <m:r>
          <w:rPr>
            <w:rFonts w:ascii="Cambria Math" w:hAnsi="Cambria Math" w:cs="Times New Roman"/>
            <w:sz w:val="24"/>
            <w:szCs w:val="24"/>
            <w:lang w:val="en-GB"/>
          </w:rPr>
          <m:t>-0.1918</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2</m:t>
            </m:r>
          </m:sub>
        </m:sSub>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4</m:t>
            </m:r>
          </m:sub>
        </m:sSub>
        <m:r>
          <w:rPr>
            <w:rFonts w:ascii="Cambria Math" w:hAnsi="Cambria Math" w:cs="Times New Roman"/>
            <w:sz w:val="24"/>
            <w:szCs w:val="24"/>
            <w:lang w:val="en-GB"/>
          </w:rPr>
          <m:t>-0.7517</m:t>
        </m:r>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3</m:t>
            </m:r>
          </m:sub>
        </m:sSub>
        <m:sSub>
          <m:sSubPr>
            <m:ctrlPr>
              <w:rPr>
                <w:rFonts w:ascii="Cambria Math" w:hAnsi="Cambria Math" w:cs="Times New Roman"/>
                <w:bCs/>
                <w:i/>
                <w:iCs/>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4</m:t>
            </m:r>
          </m:sub>
        </m:sSub>
        <m:r>
          <w:rPr>
            <w:rFonts w:ascii="Cambria Math" w:hAnsi="Cambria Math" w:cs="Times New Roman"/>
            <w:sz w:val="24"/>
            <w:szCs w:val="24"/>
            <w:lang w:val="en-GB"/>
          </w:rPr>
          <m:t>-0.0569</m:t>
        </m:r>
        <m:sSubSup>
          <m:sSubSupPr>
            <m:ctrlPr>
              <w:rPr>
                <w:rFonts w:ascii="Cambria Math" w:hAnsi="Cambria Math" w:cs="Times New Roman"/>
                <w:bCs/>
                <w:i/>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1</m:t>
            </m:r>
          </m:sub>
          <m:sup>
            <m:r>
              <w:rPr>
                <w:rFonts w:ascii="Cambria Math" w:hAnsi="Cambria Math" w:cs="Times New Roman"/>
                <w:sz w:val="24"/>
                <w:szCs w:val="24"/>
                <w:lang w:val="en-GB"/>
              </w:rPr>
              <m:t>2</m:t>
            </m:r>
          </m:sup>
        </m:sSubSup>
        <m:r>
          <w:rPr>
            <w:rFonts w:ascii="Cambria Math" w:hAnsi="Cambria Math" w:cs="Times New Roman"/>
            <w:sz w:val="24"/>
            <w:szCs w:val="24"/>
            <w:lang w:val="en-GB"/>
          </w:rPr>
          <m:t>-0.0060</m:t>
        </m:r>
        <m:sSubSup>
          <m:sSubSupPr>
            <m:ctrlPr>
              <w:rPr>
                <w:rFonts w:ascii="Cambria Math" w:hAnsi="Cambria Math" w:cs="Times New Roman"/>
                <w:bCs/>
                <w:i/>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2</m:t>
            </m:r>
          </m:sub>
          <m:sup>
            <m:r>
              <w:rPr>
                <w:rFonts w:ascii="Cambria Math" w:hAnsi="Cambria Math" w:cs="Times New Roman"/>
                <w:sz w:val="24"/>
                <w:szCs w:val="24"/>
                <w:lang w:val="en-GB"/>
              </w:rPr>
              <m:t>2</m:t>
            </m:r>
          </m:sup>
        </m:sSubSup>
        <m:r>
          <w:rPr>
            <w:rFonts w:ascii="Cambria Math" w:hAnsi="Cambria Math" w:cs="Times New Roman"/>
            <w:sz w:val="24"/>
            <w:szCs w:val="24"/>
            <w:lang w:val="en-GB"/>
          </w:rPr>
          <m:t>+0.0095</m:t>
        </m:r>
        <m:sSubSup>
          <m:sSubSupPr>
            <m:ctrlPr>
              <w:rPr>
                <w:rFonts w:ascii="Cambria Math" w:hAnsi="Cambria Math" w:cs="Times New Roman"/>
                <w:bCs/>
                <w:i/>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3</m:t>
            </m:r>
          </m:sub>
          <m:sup>
            <m:r>
              <w:rPr>
                <w:rFonts w:ascii="Cambria Math" w:hAnsi="Cambria Math" w:cs="Times New Roman"/>
                <w:sz w:val="24"/>
                <w:szCs w:val="24"/>
                <w:lang w:val="en-GB"/>
              </w:rPr>
              <m:t>2</m:t>
            </m:r>
          </m:sup>
        </m:sSubSup>
        <m:r>
          <w:rPr>
            <w:rFonts w:ascii="Cambria Math" w:hAnsi="Cambria Math" w:cs="Times New Roman"/>
            <w:sz w:val="24"/>
            <w:szCs w:val="24"/>
            <w:lang w:val="en-GB"/>
          </w:rPr>
          <m:t>-1.3397</m:t>
        </m:r>
        <m:sSubSup>
          <m:sSubSupPr>
            <m:ctrlPr>
              <w:rPr>
                <w:rFonts w:ascii="Cambria Math" w:hAnsi="Cambria Math" w:cs="Times New Roman"/>
                <w:bCs/>
                <w:i/>
                <w:iCs/>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4</m:t>
            </m:r>
          </m:sub>
          <m:sup>
            <m:r>
              <w:rPr>
                <w:rFonts w:ascii="Cambria Math" w:hAnsi="Cambria Math" w:cs="Times New Roman"/>
                <w:sz w:val="24"/>
                <w:szCs w:val="24"/>
                <w:lang w:val="en-GB"/>
              </w:rPr>
              <m:t>2</m:t>
            </m:r>
          </m:sup>
        </m:sSubSup>
        <m:r>
          <w:rPr>
            <w:rFonts w:ascii="Cambria Math" w:hAnsi="Cambria Math" w:cs="Times New Roman"/>
            <w:sz w:val="24"/>
            <w:szCs w:val="24"/>
            <w:lang w:val="en-GB"/>
          </w:rPr>
          <m:t xml:space="preserve">                                 </m:t>
        </m:r>
      </m:oMath>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t>(3)</w:t>
      </w:r>
    </w:p>
    <w:p w14:paraId="140892EE" w14:textId="54C3628D" w:rsidR="000C2694" w:rsidRDefault="000C2694"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Table 5: Experimental and RSM predicted results for biodiesel yield</w:t>
      </w:r>
    </w:p>
    <w:tbl>
      <w:tblPr>
        <w:tblStyle w:val="TableGrid4"/>
        <w:tblW w:w="0" w:type="auto"/>
        <w:jc w:val="center"/>
        <w:tblLook w:val="0000" w:firstRow="0" w:lastRow="0" w:firstColumn="0" w:lastColumn="0" w:noHBand="0" w:noVBand="0"/>
      </w:tblPr>
      <w:tblGrid>
        <w:gridCol w:w="792"/>
        <w:gridCol w:w="638"/>
        <w:gridCol w:w="639"/>
        <w:gridCol w:w="639"/>
        <w:gridCol w:w="639"/>
        <w:gridCol w:w="640"/>
        <w:gridCol w:w="640"/>
        <w:gridCol w:w="641"/>
        <w:gridCol w:w="640"/>
        <w:gridCol w:w="1616"/>
        <w:gridCol w:w="1270"/>
      </w:tblGrid>
      <w:tr w:rsidR="0078719B" w:rsidRPr="00F629D3" w14:paraId="17B83915" w14:textId="77777777" w:rsidTr="00B7469A">
        <w:trPr>
          <w:trHeight w:val="255"/>
          <w:jc w:val="center"/>
        </w:trPr>
        <w:tc>
          <w:tcPr>
            <w:tcW w:w="792" w:type="dxa"/>
            <w:vMerge w:val="restart"/>
          </w:tcPr>
          <w:p w14:paraId="07DD0117" w14:textId="77777777" w:rsidR="0078719B" w:rsidRPr="00B4669C" w:rsidRDefault="0078719B" w:rsidP="008730A9">
            <w:pPr>
              <w:keepNext/>
              <w:keepLines/>
              <w:ind w:left="108"/>
              <w:jc w:val="center"/>
              <w:outlineLvl w:val="2"/>
              <w:rPr>
                <w:rFonts w:ascii="Times New Roman" w:eastAsia="Times New Roman" w:hAnsi="Times New Roman" w:cs="Times New Roman"/>
                <w:b/>
                <w:color w:val="000000"/>
                <w:sz w:val="24"/>
                <w:szCs w:val="24"/>
              </w:rPr>
            </w:pPr>
          </w:p>
          <w:p w14:paraId="447F8B73" w14:textId="77777777" w:rsidR="0078719B" w:rsidRPr="00B4669C" w:rsidRDefault="0078719B" w:rsidP="008730A9">
            <w:pPr>
              <w:keepNext/>
              <w:keepLines/>
              <w:ind w:left="108"/>
              <w:jc w:val="center"/>
              <w:outlineLvl w:val="2"/>
              <w:rPr>
                <w:rFonts w:ascii="Times New Roman" w:eastAsia="Times New Roman" w:hAnsi="Times New Roman" w:cs="Times New Roman"/>
                <w:b/>
                <w:color w:val="000000"/>
                <w:sz w:val="24"/>
                <w:szCs w:val="24"/>
              </w:rPr>
            </w:pPr>
            <w:bookmarkStart w:id="2" w:name="_Toc223076474"/>
            <w:r w:rsidRPr="00B4669C">
              <w:rPr>
                <w:rFonts w:ascii="Times New Roman" w:eastAsia="Times New Roman" w:hAnsi="Times New Roman" w:cs="Times New Roman"/>
                <w:b/>
                <w:color w:val="000000"/>
                <w:sz w:val="24"/>
                <w:szCs w:val="24"/>
              </w:rPr>
              <w:t>Run</w:t>
            </w:r>
            <w:bookmarkEnd w:id="2"/>
            <w:r w:rsidRPr="00B4669C">
              <w:rPr>
                <w:rFonts w:ascii="Times New Roman" w:eastAsia="Times New Roman" w:hAnsi="Times New Roman" w:cs="Times New Roman"/>
                <w:b/>
                <w:color w:val="000000"/>
                <w:sz w:val="24"/>
                <w:szCs w:val="24"/>
              </w:rPr>
              <w:t xml:space="preserve"> </w:t>
            </w:r>
          </w:p>
        </w:tc>
        <w:tc>
          <w:tcPr>
            <w:tcW w:w="5116" w:type="dxa"/>
            <w:gridSpan w:val="8"/>
          </w:tcPr>
          <w:p w14:paraId="6C15882D" w14:textId="77777777" w:rsidR="0078719B" w:rsidRPr="00B4669C" w:rsidRDefault="0078719B" w:rsidP="008730A9">
            <w:pPr>
              <w:keepNext/>
              <w:keepLines/>
              <w:jc w:val="center"/>
              <w:outlineLvl w:val="2"/>
              <w:rPr>
                <w:rFonts w:ascii="Times New Roman" w:eastAsia="Times New Roman" w:hAnsi="Times New Roman" w:cs="Times New Roman"/>
                <w:b/>
                <w:color w:val="000000"/>
                <w:sz w:val="24"/>
                <w:szCs w:val="24"/>
              </w:rPr>
            </w:pPr>
            <w:bookmarkStart w:id="3" w:name="_Toc223076475"/>
            <w:r w:rsidRPr="00B4669C">
              <w:rPr>
                <w:rFonts w:ascii="Times New Roman" w:eastAsia="Times New Roman" w:hAnsi="Times New Roman" w:cs="Times New Roman"/>
                <w:b/>
                <w:color w:val="000000"/>
                <w:sz w:val="24"/>
                <w:szCs w:val="24"/>
              </w:rPr>
              <w:t>Factors</w:t>
            </w:r>
            <w:bookmarkEnd w:id="3"/>
          </w:p>
        </w:tc>
        <w:tc>
          <w:tcPr>
            <w:tcW w:w="2886" w:type="dxa"/>
            <w:gridSpan w:val="2"/>
          </w:tcPr>
          <w:p w14:paraId="1116188B" w14:textId="77777777" w:rsidR="0078719B" w:rsidRPr="00B4669C" w:rsidRDefault="0078719B" w:rsidP="008730A9">
            <w:pPr>
              <w:keepNext/>
              <w:keepLines/>
              <w:jc w:val="center"/>
              <w:outlineLvl w:val="2"/>
              <w:rPr>
                <w:rFonts w:ascii="Times New Roman" w:eastAsia="Times New Roman" w:hAnsi="Times New Roman" w:cs="Times New Roman"/>
                <w:b/>
                <w:color w:val="000000"/>
                <w:sz w:val="24"/>
                <w:szCs w:val="24"/>
              </w:rPr>
            </w:pPr>
            <w:bookmarkStart w:id="4" w:name="_Toc223076476"/>
            <w:r w:rsidRPr="00B4669C">
              <w:rPr>
                <w:rFonts w:ascii="Times New Roman" w:eastAsia="Times New Roman" w:hAnsi="Times New Roman" w:cs="Times New Roman"/>
                <w:b/>
                <w:color w:val="000000"/>
                <w:sz w:val="24"/>
                <w:szCs w:val="24"/>
              </w:rPr>
              <w:t>Response</w:t>
            </w:r>
            <w:bookmarkEnd w:id="4"/>
          </w:p>
        </w:tc>
      </w:tr>
      <w:tr w:rsidR="0078719B" w:rsidRPr="00F629D3" w14:paraId="5167FF35" w14:textId="77777777" w:rsidTr="00B7469A">
        <w:trPr>
          <w:trHeight w:val="420"/>
          <w:jc w:val="center"/>
        </w:trPr>
        <w:tc>
          <w:tcPr>
            <w:tcW w:w="792" w:type="dxa"/>
            <w:vMerge/>
          </w:tcPr>
          <w:p w14:paraId="11729108" w14:textId="77777777" w:rsidR="0078719B" w:rsidRPr="00B4669C" w:rsidRDefault="0078719B" w:rsidP="008730A9">
            <w:pPr>
              <w:keepNext/>
              <w:keepLines/>
              <w:ind w:left="108"/>
              <w:jc w:val="center"/>
              <w:outlineLvl w:val="2"/>
              <w:rPr>
                <w:rFonts w:ascii="Times New Roman" w:eastAsia="Times New Roman" w:hAnsi="Times New Roman" w:cs="Times New Roman"/>
                <w:b/>
                <w:color w:val="000000"/>
                <w:sz w:val="24"/>
                <w:szCs w:val="24"/>
              </w:rPr>
            </w:pPr>
          </w:p>
        </w:tc>
        <w:tc>
          <w:tcPr>
            <w:tcW w:w="2555" w:type="dxa"/>
            <w:gridSpan w:val="4"/>
          </w:tcPr>
          <w:p w14:paraId="73328E6F" w14:textId="77777777" w:rsidR="0078719B" w:rsidRPr="00B4669C" w:rsidRDefault="0078719B" w:rsidP="008730A9">
            <w:pPr>
              <w:keepNext/>
              <w:keepLines/>
              <w:jc w:val="center"/>
              <w:outlineLvl w:val="2"/>
              <w:rPr>
                <w:rFonts w:ascii="Times New Roman" w:eastAsia="Times New Roman" w:hAnsi="Times New Roman" w:cs="Times New Roman"/>
                <w:b/>
                <w:bCs/>
                <w:color w:val="000000"/>
                <w:sz w:val="24"/>
                <w:szCs w:val="24"/>
              </w:rPr>
            </w:pPr>
            <w:bookmarkStart w:id="5" w:name="_Toc223076477"/>
            <w:r w:rsidRPr="00B4669C">
              <w:rPr>
                <w:rFonts w:ascii="Times New Roman" w:eastAsia="Times New Roman" w:hAnsi="Times New Roman" w:cs="Times New Roman"/>
                <w:b/>
                <w:bCs/>
                <w:color w:val="000000"/>
                <w:sz w:val="24"/>
                <w:szCs w:val="24"/>
              </w:rPr>
              <w:t>Coded values</w:t>
            </w:r>
            <w:bookmarkEnd w:id="5"/>
          </w:p>
        </w:tc>
        <w:tc>
          <w:tcPr>
            <w:tcW w:w="2561" w:type="dxa"/>
            <w:gridSpan w:val="4"/>
          </w:tcPr>
          <w:p w14:paraId="758F30CE" w14:textId="77777777" w:rsidR="0078719B" w:rsidRPr="00B4669C" w:rsidRDefault="0078719B" w:rsidP="008730A9">
            <w:pPr>
              <w:keepNext/>
              <w:keepLines/>
              <w:jc w:val="center"/>
              <w:outlineLvl w:val="2"/>
              <w:rPr>
                <w:rFonts w:ascii="Times New Roman" w:eastAsia="Times New Roman" w:hAnsi="Times New Roman" w:cs="Times New Roman"/>
                <w:b/>
                <w:bCs/>
                <w:color w:val="000000"/>
                <w:sz w:val="24"/>
                <w:szCs w:val="24"/>
              </w:rPr>
            </w:pPr>
            <w:bookmarkStart w:id="6" w:name="_Toc223076478"/>
            <w:r w:rsidRPr="00B4669C">
              <w:rPr>
                <w:rFonts w:ascii="Times New Roman" w:eastAsia="Times New Roman" w:hAnsi="Times New Roman" w:cs="Times New Roman"/>
                <w:b/>
                <w:bCs/>
                <w:color w:val="000000"/>
                <w:sz w:val="24"/>
                <w:szCs w:val="24"/>
              </w:rPr>
              <w:t>Actual values</w:t>
            </w:r>
            <w:bookmarkEnd w:id="6"/>
          </w:p>
        </w:tc>
        <w:tc>
          <w:tcPr>
            <w:tcW w:w="2886" w:type="dxa"/>
            <w:gridSpan w:val="2"/>
          </w:tcPr>
          <w:p w14:paraId="1150520A" w14:textId="77777777" w:rsidR="0078719B" w:rsidRPr="00B4669C" w:rsidRDefault="0078719B" w:rsidP="008730A9">
            <w:pPr>
              <w:keepNext/>
              <w:keepLines/>
              <w:jc w:val="center"/>
              <w:outlineLvl w:val="2"/>
              <w:rPr>
                <w:rFonts w:ascii="Times New Roman" w:eastAsia="Times New Roman" w:hAnsi="Times New Roman" w:cs="Times New Roman"/>
                <w:b/>
                <w:bCs/>
                <w:color w:val="000000"/>
                <w:sz w:val="24"/>
                <w:szCs w:val="24"/>
              </w:rPr>
            </w:pPr>
            <w:bookmarkStart w:id="7" w:name="_Toc223076479"/>
            <w:r w:rsidRPr="00B4669C">
              <w:rPr>
                <w:rFonts w:ascii="Times New Roman" w:eastAsia="Times New Roman" w:hAnsi="Times New Roman" w:cs="Times New Roman"/>
                <w:b/>
                <w:bCs/>
                <w:color w:val="000000"/>
                <w:sz w:val="24"/>
                <w:szCs w:val="24"/>
              </w:rPr>
              <w:t>Biodiesel yield (%)</w:t>
            </w:r>
            <w:bookmarkEnd w:id="7"/>
          </w:p>
        </w:tc>
      </w:tr>
      <w:tr w:rsidR="0078719B" w:rsidRPr="00F629D3" w14:paraId="159BE98A" w14:textId="77777777" w:rsidTr="00645865">
        <w:trPr>
          <w:trHeight w:val="912"/>
          <w:jc w:val="center"/>
        </w:trPr>
        <w:tc>
          <w:tcPr>
            <w:tcW w:w="792" w:type="dxa"/>
            <w:vMerge/>
          </w:tcPr>
          <w:p w14:paraId="1DB6693A" w14:textId="77777777" w:rsidR="0078719B" w:rsidRPr="00B4669C" w:rsidRDefault="0078719B" w:rsidP="008730A9">
            <w:pPr>
              <w:keepNext/>
              <w:keepLines/>
              <w:ind w:left="108"/>
              <w:jc w:val="center"/>
              <w:outlineLvl w:val="2"/>
              <w:rPr>
                <w:rFonts w:ascii="Times New Roman" w:eastAsia="Times New Roman" w:hAnsi="Times New Roman" w:cs="Times New Roman"/>
                <w:b/>
                <w:color w:val="000000"/>
                <w:sz w:val="24"/>
                <w:szCs w:val="24"/>
              </w:rPr>
            </w:pPr>
          </w:p>
        </w:tc>
        <w:tc>
          <w:tcPr>
            <w:tcW w:w="638" w:type="dxa"/>
            <w:vAlign w:val="center"/>
          </w:tcPr>
          <w:p w14:paraId="79EF88CB" w14:textId="77777777" w:rsidR="0078719B" w:rsidRPr="00B4669C" w:rsidRDefault="0078719B" w:rsidP="008730A9">
            <w:pP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1</w:t>
            </w:r>
          </w:p>
        </w:tc>
        <w:tc>
          <w:tcPr>
            <w:tcW w:w="639" w:type="dxa"/>
          </w:tcPr>
          <w:p w14:paraId="755FD2D2" w14:textId="77777777" w:rsidR="0078719B" w:rsidRPr="00B4669C" w:rsidRDefault="0078719B" w:rsidP="008730A9">
            <w:pPr>
              <w:jc w:val="center"/>
              <w:rPr>
                <w:rFonts w:ascii="Times New Roman" w:eastAsia="Calibri" w:hAnsi="Times New Roman" w:cs="Times New Roman"/>
                <w:b/>
                <w:color w:val="000000"/>
                <w:sz w:val="24"/>
                <w:szCs w:val="24"/>
              </w:rPr>
            </w:pPr>
          </w:p>
          <w:p w14:paraId="7827C4E3" w14:textId="77777777" w:rsidR="0078719B" w:rsidRPr="00B4669C" w:rsidRDefault="0078719B" w:rsidP="008730A9">
            <w:pPr>
              <w:jc w:val="cente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2</w:t>
            </w:r>
          </w:p>
        </w:tc>
        <w:tc>
          <w:tcPr>
            <w:tcW w:w="639" w:type="dxa"/>
            <w:vAlign w:val="center"/>
          </w:tcPr>
          <w:p w14:paraId="28B92962" w14:textId="77777777" w:rsidR="0078719B" w:rsidRPr="00B4669C" w:rsidRDefault="0078719B" w:rsidP="008730A9">
            <w:pP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3</w:t>
            </w:r>
          </w:p>
        </w:tc>
        <w:tc>
          <w:tcPr>
            <w:tcW w:w="639" w:type="dxa"/>
          </w:tcPr>
          <w:p w14:paraId="62756440" w14:textId="77777777" w:rsidR="0078719B" w:rsidRPr="00B4669C" w:rsidRDefault="0078719B" w:rsidP="008730A9">
            <w:pPr>
              <w:jc w:val="center"/>
              <w:rPr>
                <w:rFonts w:ascii="Times New Roman" w:eastAsia="Calibri" w:hAnsi="Times New Roman" w:cs="Times New Roman"/>
                <w:b/>
                <w:color w:val="000000"/>
                <w:sz w:val="24"/>
                <w:szCs w:val="24"/>
              </w:rPr>
            </w:pPr>
          </w:p>
          <w:p w14:paraId="4C93C84F" w14:textId="77777777" w:rsidR="0078719B" w:rsidRPr="00B4669C" w:rsidRDefault="0078719B" w:rsidP="008730A9">
            <w:pPr>
              <w:jc w:val="cente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4</w:t>
            </w:r>
          </w:p>
        </w:tc>
        <w:tc>
          <w:tcPr>
            <w:tcW w:w="640" w:type="dxa"/>
            <w:vAlign w:val="center"/>
          </w:tcPr>
          <w:p w14:paraId="5C786F77" w14:textId="77777777" w:rsidR="0078719B" w:rsidRPr="00B4669C" w:rsidRDefault="0078719B" w:rsidP="008730A9">
            <w:pP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1</w:t>
            </w:r>
          </w:p>
        </w:tc>
        <w:tc>
          <w:tcPr>
            <w:tcW w:w="640" w:type="dxa"/>
          </w:tcPr>
          <w:p w14:paraId="1359103C" w14:textId="77777777" w:rsidR="0078719B" w:rsidRPr="00B4669C" w:rsidRDefault="0078719B" w:rsidP="008730A9">
            <w:pPr>
              <w:jc w:val="center"/>
              <w:rPr>
                <w:rFonts w:ascii="Times New Roman" w:eastAsia="Calibri" w:hAnsi="Times New Roman" w:cs="Times New Roman"/>
                <w:b/>
                <w:color w:val="000000"/>
                <w:sz w:val="24"/>
                <w:szCs w:val="24"/>
              </w:rPr>
            </w:pPr>
          </w:p>
          <w:p w14:paraId="5AD085C4" w14:textId="77777777" w:rsidR="0078719B" w:rsidRPr="00B4669C" w:rsidRDefault="0078719B" w:rsidP="008730A9">
            <w:pPr>
              <w:jc w:val="cente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2</w:t>
            </w:r>
          </w:p>
        </w:tc>
        <w:tc>
          <w:tcPr>
            <w:tcW w:w="641" w:type="dxa"/>
            <w:vAlign w:val="center"/>
          </w:tcPr>
          <w:p w14:paraId="0CA8A458" w14:textId="77777777" w:rsidR="0078719B" w:rsidRPr="00B4669C" w:rsidRDefault="0078719B" w:rsidP="008730A9">
            <w:pP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3</w:t>
            </w:r>
          </w:p>
        </w:tc>
        <w:tc>
          <w:tcPr>
            <w:tcW w:w="640" w:type="dxa"/>
          </w:tcPr>
          <w:p w14:paraId="3CB58C46" w14:textId="77777777" w:rsidR="0078719B" w:rsidRPr="00B4669C" w:rsidRDefault="0078719B" w:rsidP="008730A9">
            <w:pPr>
              <w:jc w:val="center"/>
              <w:rPr>
                <w:rFonts w:ascii="Times New Roman" w:eastAsia="Calibri" w:hAnsi="Times New Roman" w:cs="Times New Roman"/>
                <w:b/>
                <w:color w:val="000000"/>
                <w:sz w:val="24"/>
                <w:szCs w:val="24"/>
              </w:rPr>
            </w:pPr>
          </w:p>
          <w:p w14:paraId="1BD33E23" w14:textId="77777777" w:rsidR="0078719B" w:rsidRPr="00B4669C" w:rsidRDefault="0078719B" w:rsidP="008730A9">
            <w:pP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X</w:t>
            </w:r>
            <w:r w:rsidRPr="00B4669C">
              <w:rPr>
                <w:rFonts w:ascii="Times New Roman" w:eastAsia="Calibri" w:hAnsi="Times New Roman" w:cs="Times New Roman"/>
                <w:b/>
                <w:color w:val="000000"/>
                <w:sz w:val="24"/>
                <w:szCs w:val="24"/>
                <w:vertAlign w:val="subscript"/>
              </w:rPr>
              <w:t>4</w:t>
            </w:r>
          </w:p>
          <w:p w14:paraId="12037CFD" w14:textId="77777777" w:rsidR="0078719B" w:rsidRPr="00B4669C" w:rsidRDefault="0078719B" w:rsidP="008730A9">
            <w:pPr>
              <w:rPr>
                <w:rFonts w:ascii="Times New Roman" w:eastAsia="Calibri" w:hAnsi="Times New Roman" w:cs="Times New Roman"/>
                <w:b/>
                <w:color w:val="000000"/>
                <w:sz w:val="24"/>
                <w:szCs w:val="24"/>
              </w:rPr>
            </w:pPr>
          </w:p>
        </w:tc>
        <w:tc>
          <w:tcPr>
            <w:tcW w:w="1616" w:type="dxa"/>
          </w:tcPr>
          <w:p w14:paraId="2ADEB933" w14:textId="77777777" w:rsidR="0078719B" w:rsidRPr="00B4669C" w:rsidRDefault="0078719B" w:rsidP="008730A9">
            <w:pPr>
              <w:keepNext/>
              <w:keepLines/>
              <w:jc w:val="center"/>
              <w:outlineLvl w:val="2"/>
              <w:rPr>
                <w:rFonts w:ascii="Times New Roman" w:eastAsia="Times New Roman" w:hAnsi="Times New Roman" w:cs="Times New Roman"/>
                <w:b/>
                <w:bCs/>
                <w:color w:val="000000"/>
                <w:sz w:val="24"/>
                <w:szCs w:val="24"/>
              </w:rPr>
            </w:pPr>
            <w:bookmarkStart w:id="8" w:name="_Toc223076480"/>
            <w:r w:rsidRPr="00B4669C">
              <w:rPr>
                <w:rFonts w:ascii="Times New Roman" w:eastAsia="Times New Roman" w:hAnsi="Times New Roman" w:cs="Times New Roman"/>
                <w:b/>
                <w:bCs/>
                <w:color w:val="000000"/>
                <w:sz w:val="24"/>
                <w:szCs w:val="24"/>
              </w:rPr>
              <w:t>Experimental observation</w:t>
            </w:r>
            <w:bookmarkEnd w:id="8"/>
          </w:p>
        </w:tc>
        <w:tc>
          <w:tcPr>
            <w:tcW w:w="1270" w:type="dxa"/>
          </w:tcPr>
          <w:p w14:paraId="3D739159" w14:textId="77777777" w:rsidR="0078719B" w:rsidRPr="00B4669C" w:rsidRDefault="0078719B" w:rsidP="008730A9">
            <w:pPr>
              <w:keepNext/>
              <w:keepLines/>
              <w:jc w:val="center"/>
              <w:outlineLvl w:val="2"/>
              <w:rPr>
                <w:rFonts w:ascii="Times New Roman" w:eastAsia="Times New Roman" w:hAnsi="Times New Roman" w:cs="Times New Roman"/>
                <w:b/>
                <w:bCs/>
                <w:color w:val="000000"/>
                <w:sz w:val="24"/>
                <w:szCs w:val="24"/>
              </w:rPr>
            </w:pPr>
            <w:bookmarkStart w:id="9" w:name="_Toc223076481"/>
            <w:r w:rsidRPr="00B4669C">
              <w:rPr>
                <w:rFonts w:ascii="Times New Roman" w:eastAsia="Times New Roman" w:hAnsi="Times New Roman" w:cs="Times New Roman"/>
                <w:b/>
                <w:bCs/>
                <w:color w:val="000000"/>
                <w:sz w:val="24"/>
                <w:szCs w:val="24"/>
              </w:rPr>
              <w:t>RSM prediction</w:t>
            </w:r>
            <w:bookmarkEnd w:id="9"/>
          </w:p>
        </w:tc>
      </w:tr>
      <w:tr w:rsidR="0078719B" w:rsidRPr="00F629D3" w14:paraId="622AAA9F" w14:textId="77777777" w:rsidTr="00B7469A">
        <w:tblPrEx>
          <w:tblLook w:val="04A0" w:firstRow="1" w:lastRow="0" w:firstColumn="1" w:lastColumn="0" w:noHBand="0" w:noVBand="1"/>
        </w:tblPrEx>
        <w:trPr>
          <w:jc w:val="center"/>
        </w:trPr>
        <w:tc>
          <w:tcPr>
            <w:tcW w:w="792" w:type="dxa"/>
          </w:tcPr>
          <w:p w14:paraId="195AFD52" w14:textId="128876B9"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 w:name="_Toc223076482"/>
            <w:r w:rsidRPr="00F629D3">
              <w:rPr>
                <w:rFonts w:ascii="Times New Roman" w:eastAsia="Times New Roman" w:hAnsi="Times New Roman" w:cs="Times New Roman"/>
                <w:color w:val="000000"/>
                <w:sz w:val="24"/>
                <w:szCs w:val="24"/>
              </w:rPr>
              <w:t>1</w:t>
            </w:r>
            <w:bookmarkEnd w:id="10"/>
          </w:p>
        </w:tc>
        <w:tc>
          <w:tcPr>
            <w:tcW w:w="638" w:type="dxa"/>
          </w:tcPr>
          <w:p w14:paraId="52B4F06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 w:name="_Toc223076483"/>
            <w:r w:rsidRPr="00F629D3">
              <w:rPr>
                <w:rFonts w:ascii="Times New Roman" w:eastAsia="Times New Roman" w:hAnsi="Times New Roman" w:cs="Times New Roman"/>
                <w:color w:val="000000"/>
                <w:sz w:val="24"/>
                <w:szCs w:val="24"/>
              </w:rPr>
              <w:t>0</w:t>
            </w:r>
            <w:bookmarkEnd w:id="11"/>
          </w:p>
        </w:tc>
        <w:tc>
          <w:tcPr>
            <w:tcW w:w="639" w:type="dxa"/>
          </w:tcPr>
          <w:p w14:paraId="02769EE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 w:name="_Toc223076484"/>
            <w:r w:rsidRPr="00F629D3">
              <w:rPr>
                <w:rFonts w:ascii="Times New Roman" w:eastAsia="Times New Roman" w:hAnsi="Times New Roman" w:cs="Times New Roman"/>
                <w:color w:val="000000"/>
                <w:sz w:val="24"/>
                <w:szCs w:val="24"/>
              </w:rPr>
              <w:t>1</w:t>
            </w:r>
            <w:bookmarkEnd w:id="12"/>
          </w:p>
        </w:tc>
        <w:tc>
          <w:tcPr>
            <w:tcW w:w="639" w:type="dxa"/>
          </w:tcPr>
          <w:p w14:paraId="1BBB638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 w:name="_Toc223076485"/>
            <w:r w:rsidRPr="00F629D3">
              <w:rPr>
                <w:rFonts w:ascii="Times New Roman" w:eastAsia="Times New Roman" w:hAnsi="Times New Roman" w:cs="Times New Roman"/>
                <w:color w:val="000000"/>
                <w:sz w:val="24"/>
                <w:szCs w:val="24"/>
              </w:rPr>
              <w:t>0</w:t>
            </w:r>
            <w:bookmarkEnd w:id="13"/>
          </w:p>
        </w:tc>
        <w:tc>
          <w:tcPr>
            <w:tcW w:w="639" w:type="dxa"/>
          </w:tcPr>
          <w:p w14:paraId="7EE5264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 w:name="_Toc223076486"/>
            <w:r w:rsidRPr="00F629D3">
              <w:rPr>
                <w:rFonts w:ascii="Times New Roman" w:eastAsia="Times New Roman" w:hAnsi="Times New Roman" w:cs="Times New Roman"/>
                <w:color w:val="000000"/>
                <w:sz w:val="24"/>
                <w:szCs w:val="24"/>
              </w:rPr>
              <w:t>-1</w:t>
            </w:r>
            <w:bookmarkEnd w:id="14"/>
          </w:p>
        </w:tc>
        <w:tc>
          <w:tcPr>
            <w:tcW w:w="640" w:type="dxa"/>
            <w:vAlign w:val="center"/>
          </w:tcPr>
          <w:p w14:paraId="37FB520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 w:name="_Toc223076487"/>
            <w:r w:rsidRPr="00F629D3">
              <w:rPr>
                <w:rFonts w:ascii="Times New Roman" w:eastAsia="Times New Roman" w:hAnsi="Times New Roman" w:cs="Times New Roman"/>
                <w:color w:val="000000"/>
                <w:sz w:val="24"/>
                <w:szCs w:val="24"/>
              </w:rPr>
              <w:t>65</w:t>
            </w:r>
            <w:bookmarkEnd w:id="15"/>
          </w:p>
        </w:tc>
        <w:tc>
          <w:tcPr>
            <w:tcW w:w="640" w:type="dxa"/>
            <w:vAlign w:val="center"/>
          </w:tcPr>
          <w:p w14:paraId="3F86D2B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 w:name="_Toc223076488"/>
            <w:r w:rsidRPr="00F629D3">
              <w:rPr>
                <w:rFonts w:ascii="Times New Roman" w:eastAsia="Times New Roman" w:hAnsi="Times New Roman" w:cs="Times New Roman"/>
                <w:color w:val="000000"/>
                <w:sz w:val="24"/>
                <w:szCs w:val="24"/>
              </w:rPr>
              <w:t>120</w:t>
            </w:r>
            <w:bookmarkEnd w:id="16"/>
          </w:p>
        </w:tc>
        <w:tc>
          <w:tcPr>
            <w:tcW w:w="641" w:type="dxa"/>
            <w:vAlign w:val="center"/>
          </w:tcPr>
          <w:p w14:paraId="324DF60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 w:name="_Toc223076489"/>
            <w:r w:rsidRPr="00F629D3">
              <w:rPr>
                <w:rFonts w:ascii="Times New Roman" w:eastAsia="Times New Roman" w:hAnsi="Times New Roman" w:cs="Times New Roman"/>
                <w:color w:val="000000"/>
                <w:sz w:val="24"/>
                <w:szCs w:val="24"/>
              </w:rPr>
              <w:t>9</w:t>
            </w:r>
            <w:bookmarkEnd w:id="17"/>
          </w:p>
        </w:tc>
        <w:tc>
          <w:tcPr>
            <w:tcW w:w="640" w:type="dxa"/>
            <w:vAlign w:val="center"/>
          </w:tcPr>
          <w:p w14:paraId="73E4D5B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 w:name="_Toc223076490"/>
            <w:r w:rsidRPr="00F629D3">
              <w:rPr>
                <w:rFonts w:ascii="Times New Roman" w:eastAsia="Times New Roman" w:hAnsi="Times New Roman" w:cs="Times New Roman"/>
                <w:color w:val="000000"/>
                <w:sz w:val="24"/>
                <w:szCs w:val="24"/>
              </w:rPr>
              <w:t>1</w:t>
            </w:r>
            <w:bookmarkEnd w:id="18"/>
          </w:p>
        </w:tc>
        <w:tc>
          <w:tcPr>
            <w:tcW w:w="1616" w:type="dxa"/>
            <w:vAlign w:val="center"/>
          </w:tcPr>
          <w:p w14:paraId="2CE8BA62"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97.96</w:t>
            </w:r>
          </w:p>
        </w:tc>
        <w:tc>
          <w:tcPr>
            <w:tcW w:w="1270" w:type="dxa"/>
            <w:vAlign w:val="center"/>
          </w:tcPr>
          <w:p w14:paraId="77430BDA"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96.90</w:t>
            </w:r>
          </w:p>
        </w:tc>
      </w:tr>
      <w:tr w:rsidR="0078719B" w:rsidRPr="00F629D3" w14:paraId="382B6541" w14:textId="77777777" w:rsidTr="00B7469A">
        <w:tblPrEx>
          <w:tblLook w:val="04A0" w:firstRow="1" w:lastRow="0" w:firstColumn="1" w:lastColumn="0" w:noHBand="0" w:noVBand="1"/>
        </w:tblPrEx>
        <w:trPr>
          <w:jc w:val="center"/>
        </w:trPr>
        <w:tc>
          <w:tcPr>
            <w:tcW w:w="792" w:type="dxa"/>
          </w:tcPr>
          <w:p w14:paraId="19E07C7E" w14:textId="38C46C43"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 w:name="_Toc223076491"/>
            <w:r w:rsidRPr="00F629D3">
              <w:rPr>
                <w:rFonts w:ascii="Times New Roman" w:eastAsia="Times New Roman" w:hAnsi="Times New Roman" w:cs="Times New Roman"/>
                <w:color w:val="000000"/>
                <w:sz w:val="24"/>
                <w:szCs w:val="24"/>
              </w:rPr>
              <w:t>2</w:t>
            </w:r>
            <w:bookmarkEnd w:id="19"/>
          </w:p>
        </w:tc>
        <w:tc>
          <w:tcPr>
            <w:tcW w:w="638" w:type="dxa"/>
          </w:tcPr>
          <w:p w14:paraId="5414A25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 w:name="_Toc223076492"/>
            <w:r w:rsidRPr="00F629D3">
              <w:rPr>
                <w:rFonts w:ascii="Times New Roman" w:eastAsia="Times New Roman" w:hAnsi="Times New Roman" w:cs="Times New Roman"/>
                <w:color w:val="000000"/>
                <w:sz w:val="24"/>
                <w:szCs w:val="24"/>
              </w:rPr>
              <w:t>1</w:t>
            </w:r>
            <w:bookmarkEnd w:id="20"/>
          </w:p>
        </w:tc>
        <w:tc>
          <w:tcPr>
            <w:tcW w:w="639" w:type="dxa"/>
          </w:tcPr>
          <w:p w14:paraId="36A603F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 w:name="_Toc223076493"/>
            <w:r w:rsidRPr="00F629D3">
              <w:rPr>
                <w:rFonts w:ascii="Times New Roman" w:eastAsia="Times New Roman" w:hAnsi="Times New Roman" w:cs="Times New Roman"/>
                <w:color w:val="000000"/>
                <w:sz w:val="24"/>
                <w:szCs w:val="24"/>
              </w:rPr>
              <w:t>0</w:t>
            </w:r>
            <w:bookmarkEnd w:id="21"/>
          </w:p>
        </w:tc>
        <w:tc>
          <w:tcPr>
            <w:tcW w:w="639" w:type="dxa"/>
          </w:tcPr>
          <w:p w14:paraId="19F39C7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 w:name="_Toc223076494"/>
            <w:r w:rsidRPr="00F629D3">
              <w:rPr>
                <w:rFonts w:ascii="Times New Roman" w:eastAsia="Times New Roman" w:hAnsi="Times New Roman" w:cs="Times New Roman"/>
                <w:color w:val="000000"/>
                <w:sz w:val="24"/>
                <w:szCs w:val="24"/>
              </w:rPr>
              <w:t>0</w:t>
            </w:r>
            <w:bookmarkEnd w:id="22"/>
          </w:p>
        </w:tc>
        <w:tc>
          <w:tcPr>
            <w:tcW w:w="639" w:type="dxa"/>
          </w:tcPr>
          <w:p w14:paraId="31C714E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 w:name="_Toc223076495"/>
            <w:r w:rsidRPr="00F629D3">
              <w:rPr>
                <w:rFonts w:ascii="Times New Roman" w:eastAsia="Times New Roman" w:hAnsi="Times New Roman" w:cs="Times New Roman"/>
                <w:color w:val="000000"/>
                <w:sz w:val="24"/>
                <w:szCs w:val="24"/>
              </w:rPr>
              <w:t>1</w:t>
            </w:r>
            <w:bookmarkEnd w:id="23"/>
          </w:p>
        </w:tc>
        <w:tc>
          <w:tcPr>
            <w:tcW w:w="640" w:type="dxa"/>
            <w:vAlign w:val="center"/>
          </w:tcPr>
          <w:p w14:paraId="3D79527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 w:name="_Toc223076496"/>
            <w:r w:rsidRPr="00F629D3">
              <w:rPr>
                <w:rFonts w:ascii="Times New Roman" w:eastAsia="Times New Roman" w:hAnsi="Times New Roman" w:cs="Times New Roman"/>
                <w:color w:val="000000"/>
                <w:sz w:val="24"/>
                <w:szCs w:val="24"/>
              </w:rPr>
              <w:t>70</w:t>
            </w:r>
            <w:bookmarkEnd w:id="24"/>
          </w:p>
        </w:tc>
        <w:tc>
          <w:tcPr>
            <w:tcW w:w="640" w:type="dxa"/>
            <w:vAlign w:val="center"/>
          </w:tcPr>
          <w:p w14:paraId="725E28D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 w:name="_Toc223076497"/>
            <w:r w:rsidRPr="00F629D3">
              <w:rPr>
                <w:rFonts w:ascii="Times New Roman" w:eastAsia="Times New Roman" w:hAnsi="Times New Roman" w:cs="Times New Roman"/>
                <w:color w:val="000000"/>
                <w:sz w:val="24"/>
                <w:szCs w:val="24"/>
              </w:rPr>
              <w:t>90</w:t>
            </w:r>
            <w:bookmarkEnd w:id="25"/>
          </w:p>
        </w:tc>
        <w:tc>
          <w:tcPr>
            <w:tcW w:w="641" w:type="dxa"/>
            <w:vAlign w:val="center"/>
          </w:tcPr>
          <w:p w14:paraId="215209D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 w:name="_Toc223076498"/>
            <w:r w:rsidRPr="00F629D3">
              <w:rPr>
                <w:rFonts w:ascii="Times New Roman" w:eastAsia="Times New Roman" w:hAnsi="Times New Roman" w:cs="Times New Roman"/>
                <w:color w:val="000000"/>
                <w:sz w:val="24"/>
                <w:szCs w:val="24"/>
              </w:rPr>
              <w:t>9</w:t>
            </w:r>
            <w:bookmarkEnd w:id="26"/>
          </w:p>
        </w:tc>
        <w:tc>
          <w:tcPr>
            <w:tcW w:w="640" w:type="dxa"/>
            <w:vAlign w:val="center"/>
          </w:tcPr>
          <w:p w14:paraId="634F498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7" w:name="_Toc223076499"/>
            <w:r w:rsidRPr="00F629D3">
              <w:rPr>
                <w:rFonts w:ascii="Times New Roman" w:eastAsia="Times New Roman" w:hAnsi="Times New Roman" w:cs="Times New Roman"/>
                <w:color w:val="000000"/>
                <w:sz w:val="24"/>
                <w:szCs w:val="24"/>
              </w:rPr>
              <w:t>6</w:t>
            </w:r>
            <w:bookmarkEnd w:id="27"/>
          </w:p>
        </w:tc>
        <w:tc>
          <w:tcPr>
            <w:tcW w:w="1616" w:type="dxa"/>
            <w:vAlign w:val="center"/>
          </w:tcPr>
          <w:p w14:paraId="73C3A4A4"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79.58</w:t>
            </w:r>
          </w:p>
        </w:tc>
        <w:tc>
          <w:tcPr>
            <w:tcW w:w="1270" w:type="dxa"/>
            <w:vAlign w:val="center"/>
          </w:tcPr>
          <w:p w14:paraId="33900C0F"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78.17</w:t>
            </w:r>
          </w:p>
        </w:tc>
      </w:tr>
      <w:tr w:rsidR="0078719B" w:rsidRPr="00F629D3" w14:paraId="7083E351" w14:textId="77777777" w:rsidTr="00B7469A">
        <w:tblPrEx>
          <w:tblLook w:val="04A0" w:firstRow="1" w:lastRow="0" w:firstColumn="1" w:lastColumn="0" w:noHBand="0" w:noVBand="1"/>
        </w:tblPrEx>
        <w:trPr>
          <w:jc w:val="center"/>
        </w:trPr>
        <w:tc>
          <w:tcPr>
            <w:tcW w:w="792" w:type="dxa"/>
          </w:tcPr>
          <w:p w14:paraId="73D8453A" w14:textId="6EA81D88"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8" w:name="_Toc223076500"/>
            <w:r w:rsidRPr="00F629D3">
              <w:rPr>
                <w:rFonts w:ascii="Times New Roman" w:eastAsia="Times New Roman" w:hAnsi="Times New Roman" w:cs="Times New Roman"/>
                <w:color w:val="000000"/>
                <w:sz w:val="24"/>
                <w:szCs w:val="24"/>
              </w:rPr>
              <w:t>3</w:t>
            </w:r>
            <w:bookmarkEnd w:id="28"/>
          </w:p>
        </w:tc>
        <w:tc>
          <w:tcPr>
            <w:tcW w:w="638" w:type="dxa"/>
          </w:tcPr>
          <w:p w14:paraId="4AE4C16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9" w:name="_Toc223076501"/>
            <w:r w:rsidRPr="00F629D3">
              <w:rPr>
                <w:rFonts w:ascii="Times New Roman" w:eastAsia="Times New Roman" w:hAnsi="Times New Roman" w:cs="Times New Roman"/>
                <w:color w:val="000000"/>
                <w:sz w:val="24"/>
                <w:szCs w:val="24"/>
              </w:rPr>
              <w:t>0</w:t>
            </w:r>
            <w:bookmarkEnd w:id="29"/>
          </w:p>
        </w:tc>
        <w:tc>
          <w:tcPr>
            <w:tcW w:w="639" w:type="dxa"/>
          </w:tcPr>
          <w:p w14:paraId="44DB4AB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0" w:name="_Toc223076502"/>
            <w:r w:rsidRPr="00F629D3">
              <w:rPr>
                <w:rFonts w:ascii="Times New Roman" w:eastAsia="Times New Roman" w:hAnsi="Times New Roman" w:cs="Times New Roman"/>
                <w:color w:val="000000"/>
                <w:sz w:val="24"/>
                <w:szCs w:val="24"/>
              </w:rPr>
              <w:t>-1</w:t>
            </w:r>
            <w:bookmarkEnd w:id="30"/>
          </w:p>
        </w:tc>
        <w:tc>
          <w:tcPr>
            <w:tcW w:w="639" w:type="dxa"/>
          </w:tcPr>
          <w:p w14:paraId="2BCEAD0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1" w:name="_Toc223076503"/>
            <w:r w:rsidRPr="00F629D3">
              <w:rPr>
                <w:rFonts w:ascii="Times New Roman" w:eastAsia="Times New Roman" w:hAnsi="Times New Roman" w:cs="Times New Roman"/>
                <w:color w:val="000000"/>
                <w:sz w:val="24"/>
                <w:szCs w:val="24"/>
              </w:rPr>
              <w:t>0</w:t>
            </w:r>
            <w:bookmarkEnd w:id="31"/>
          </w:p>
        </w:tc>
        <w:tc>
          <w:tcPr>
            <w:tcW w:w="639" w:type="dxa"/>
          </w:tcPr>
          <w:p w14:paraId="32D05E6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2" w:name="_Toc223076504"/>
            <w:r w:rsidRPr="00F629D3">
              <w:rPr>
                <w:rFonts w:ascii="Times New Roman" w:eastAsia="Times New Roman" w:hAnsi="Times New Roman" w:cs="Times New Roman"/>
                <w:color w:val="000000"/>
                <w:sz w:val="24"/>
                <w:szCs w:val="24"/>
              </w:rPr>
              <w:t>1</w:t>
            </w:r>
            <w:bookmarkEnd w:id="32"/>
          </w:p>
        </w:tc>
        <w:tc>
          <w:tcPr>
            <w:tcW w:w="640" w:type="dxa"/>
            <w:vAlign w:val="center"/>
          </w:tcPr>
          <w:p w14:paraId="7EC34B9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3" w:name="_Toc223076505"/>
            <w:r w:rsidRPr="00F629D3">
              <w:rPr>
                <w:rFonts w:ascii="Times New Roman" w:eastAsia="Times New Roman" w:hAnsi="Times New Roman" w:cs="Times New Roman"/>
                <w:color w:val="000000"/>
                <w:sz w:val="24"/>
                <w:szCs w:val="24"/>
              </w:rPr>
              <w:t>65</w:t>
            </w:r>
            <w:bookmarkEnd w:id="33"/>
          </w:p>
        </w:tc>
        <w:tc>
          <w:tcPr>
            <w:tcW w:w="640" w:type="dxa"/>
            <w:vAlign w:val="center"/>
          </w:tcPr>
          <w:p w14:paraId="2538EC4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4" w:name="_Toc223076506"/>
            <w:r w:rsidRPr="00F629D3">
              <w:rPr>
                <w:rFonts w:ascii="Times New Roman" w:eastAsia="Times New Roman" w:hAnsi="Times New Roman" w:cs="Times New Roman"/>
                <w:color w:val="000000"/>
                <w:sz w:val="24"/>
                <w:szCs w:val="24"/>
              </w:rPr>
              <w:t>60</w:t>
            </w:r>
            <w:bookmarkEnd w:id="34"/>
          </w:p>
        </w:tc>
        <w:tc>
          <w:tcPr>
            <w:tcW w:w="641" w:type="dxa"/>
            <w:vAlign w:val="center"/>
          </w:tcPr>
          <w:p w14:paraId="13CE223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5" w:name="_Toc223076507"/>
            <w:r w:rsidRPr="00F629D3">
              <w:rPr>
                <w:rFonts w:ascii="Times New Roman" w:eastAsia="Times New Roman" w:hAnsi="Times New Roman" w:cs="Times New Roman"/>
                <w:color w:val="000000"/>
                <w:sz w:val="24"/>
                <w:szCs w:val="24"/>
              </w:rPr>
              <w:t>9</w:t>
            </w:r>
            <w:bookmarkEnd w:id="35"/>
          </w:p>
        </w:tc>
        <w:tc>
          <w:tcPr>
            <w:tcW w:w="640" w:type="dxa"/>
            <w:vAlign w:val="center"/>
          </w:tcPr>
          <w:p w14:paraId="66033C1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6" w:name="_Toc223076508"/>
            <w:r w:rsidRPr="00F629D3">
              <w:rPr>
                <w:rFonts w:ascii="Times New Roman" w:eastAsia="Times New Roman" w:hAnsi="Times New Roman" w:cs="Times New Roman"/>
                <w:color w:val="000000"/>
                <w:sz w:val="24"/>
                <w:szCs w:val="24"/>
              </w:rPr>
              <w:t>6</w:t>
            </w:r>
            <w:bookmarkEnd w:id="36"/>
          </w:p>
        </w:tc>
        <w:tc>
          <w:tcPr>
            <w:tcW w:w="1616" w:type="dxa"/>
            <w:vAlign w:val="center"/>
          </w:tcPr>
          <w:p w14:paraId="252553B1"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89.46</w:t>
            </w:r>
          </w:p>
        </w:tc>
        <w:tc>
          <w:tcPr>
            <w:tcW w:w="1270" w:type="dxa"/>
            <w:vAlign w:val="center"/>
          </w:tcPr>
          <w:p w14:paraId="24086127"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89.81</w:t>
            </w:r>
          </w:p>
        </w:tc>
      </w:tr>
      <w:tr w:rsidR="0078719B" w:rsidRPr="00F629D3" w14:paraId="381BF993" w14:textId="77777777" w:rsidTr="00B7469A">
        <w:tblPrEx>
          <w:tblLook w:val="04A0" w:firstRow="1" w:lastRow="0" w:firstColumn="1" w:lastColumn="0" w:noHBand="0" w:noVBand="1"/>
        </w:tblPrEx>
        <w:trPr>
          <w:jc w:val="center"/>
        </w:trPr>
        <w:tc>
          <w:tcPr>
            <w:tcW w:w="792" w:type="dxa"/>
          </w:tcPr>
          <w:p w14:paraId="0EB48594" w14:textId="0518C2C1"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7" w:name="_Toc223076509"/>
            <w:r w:rsidRPr="00F629D3">
              <w:rPr>
                <w:rFonts w:ascii="Times New Roman" w:eastAsia="Times New Roman" w:hAnsi="Times New Roman" w:cs="Times New Roman"/>
                <w:color w:val="000000"/>
                <w:sz w:val="24"/>
                <w:szCs w:val="24"/>
              </w:rPr>
              <w:t>4</w:t>
            </w:r>
            <w:bookmarkEnd w:id="37"/>
          </w:p>
        </w:tc>
        <w:tc>
          <w:tcPr>
            <w:tcW w:w="638" w:type="dxa"/>
          </w:tcPr>
          <w:p w14:paraId="3E7528A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8" w:name="_Toc223076510"/>
            <w:r w:rsidRPr="00F629D3">
              <w:rPr>
                <w:rFonts w:ascii="Times New Roman" w:eastAsia="Times New Roman" w:hAnsi="Times New Roman" w:cs="Times New Roman"/>
                <w:color w:val="000000"/>
                <w:sz w:val="24"/>
                <w:szCs w:val="24"/>
              </w:rPr>
              <w:t>-1</w:t>
            </w:r>
            <w:bookmarkEnd w:id="38"/>
          </w:p>
        </w:tc>
        <w:tc>
          <w:tcPr>
            <w:tcW w:w="639" w:type="dxa"/>
          </w:tcPr>
          <w:p w14:paraId="2FA556C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39" w:name="_Toc223076511"/>
            <w:r w:rsidRPr="00F629D3">
              <w:rPr>
                <w:rFonts w:ascii="Times New Roman" w:eastAsia="Times New Roman" w:hAnsi="Times New Roman" w:cs="Times New Roman"/>
                <w:color w:val="000000"/>
                <w:sz w:val="24"/>
                <w:szCs w:val="24"/>
              </w:rPr>
              <w:t>0</w:t>
            </w:r>
            <w:bookmarkEnd w:id="39"/>
          </w:p>
        </w:tc>
        <w:tc>
          <w:tcPr>
            <w:tcW w:w="639" w:type="dxa"/>
          </w:tcPr>
          <w:p w14:paraId="74FDD38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0" w:name="_Toc223076512"/>
            <w:r w:rsidRPr="00F629D3">
              <w:rPr>
                <w:rFonts w:ascii="Times New Roman" w:eastAsia="Times New Roman" w:hAnsi="Times New Roman" w:cs="Times New Roman"/>
                <w:color w:val="000000"/>
                <w:sz w:val="24"/>
                <w:szCs w:val="24"/>
              </w:rPr>
              <w:t>-1</w:t>
            </w:r>
            <w:bookmarkEnd w:id="40"/>
          </w:p>
        </w:tc>
        <w:tc>
          <w:tcPr>
            <w:tcW w:w="639" w:type="dxa"/>
          </w:tcPr>
          <w:p w14:paraId="48A98CD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1" w:name="_Toc223076513"/>
            <w:r w:rsidRPr="00F629D3">
              <w:rPr>
                <w:rFonts w:ascii="Times New Roman" w:eastAsia="Times New Roman" w:hAnsi="Times New Roman" w:cs="Times New Roman"/>
                <w:color w:val="000000"/>
                <w:sz w:val="24"/>
                <w:szCs w:val="24"/>
              </w:rPr>
              <w:t>0</w:t>
            </w:r>
            <w:bookmarkEnd w:id="41"/>
          </w:p>
        </w:tc>
        <w:tc>
          <w:tcPr>
            <w:tcW w:w="640" w:type="dxa"/>
            <w:vAlign w:val="center"/>
          </w:tcPr>
          <w:p w14:paraId="2B8D961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2" w:name="_Toc223076514"/>
            <w:r w:rsidRPr="00F629D3">
              <w:rPr>
                <w:rFonts w:ascii="Times New Roman" w:eastAsia="Times New Roman" w:hAnsi="Times New Roman" w:cs="Times New Roman"/>
                <w:color w:val="000000"/>
                <w:sz w:val="24"/>
                <w:szCs w:val="24"/>
              </w:rPr>
              <w:t>60</w:t>
            </w:r>
            <w:bookmarkEnd w:id="42"/>
          </w:p>
        </w:tc>
        <w:tc>
          <w:tcPr>
            <w:tcW w:w="640" w:type="dxa"/>
            <w:vAlign w:val="center"/>
          </w:tcPr>
          <w:p w14:paraId="71C38C6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3" w:name="_Toc223076515"/>
            <w:r w:rsidRPr="00F629D3">
              <w:rPr>
                <w:rFonts w:ascii="Times New Roman" w:eastAsia="Times New Roman" w:hAnsi="Times New Roman" w:cs="Times New Roman"/>
                <w:color w:val="000000"/>
                <w:sz w:val="24"/>
                <w:szCs w:val="24"/>
              </w:rPr>
              <w:t>90</w:t>
            </w:r>
            <w:bookmarkEnd w:id="43"/>
          </w:p>
        </w:tc>
        <w:tc>
          <w:tcPr>
            <w:tcW w:w="641" w:type="dxa"/>
            <w:vAlign w:val="center"/>
          </w:tcPr>
          <w:p w14:paraId="75ED3C8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4" w:name="_Toc223076516"/>
            <w:r w:rsidRPr="00F629D3">
              <w:rPr>
                <w:rFonts w:ascii="Times New Roman" w:eastAsia="Times New Roman" w:hAnsi="Times New Roman" w:cs="Times New Roman"/>
                <w:color w:val="000000"/>
                <w:sz w:val="24"/>
                <w:szCs w:val="24"/>
              </w:rPr>
              <w:t>6</w:t>
            </w:r>
            <w:bookmarkEnd w:id="44"/>
          </w:p>
        </w:tc>
        <w:tc>
          <w:tcPr>
            <w:tcW w:w="640" w:type="dxa"/>
            <w:vAlign w:val="center"/>
          </w:tcPr>
          <w:p w14:paraId="2937F86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5" w:name="_Toc223076517"/>
            <w:r w:rsidRPr="00F629D3">
              <w:rPr>
                <w:rFonts w:ascii="Times New Roman" w:eastAsia="Times New Roman" w:hAnsi="Times New Roman" w:cs="Times New Roman"/>
                <w:color w:val="000000"/>
                <w:sz w:val="24"/>
                <w:szCs w:val="24"/>
              </w:rPr>
              <w:t>3.5</w:t>
            </w:r>
            <w:bookmarkEnd w:id="45"/>
          </w:p>
        </w:tc>
        <w:tc>
          <w:tcPr>
            <w:tcW w:w="1616" w:type="dxa"/>
            <w:vAlign w:val="center"/>
          </w:tcPr>
          <w:p w14:paraId="6341A73D"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87.91</w:t>
            </w:r>
          </w:p>
        </w:tc>
        <w:tc>
          <w:tcPr>
            <w:tcW w:w="1270" w:type="dxa"/>
            <w:vAlign w:val="center"/>
          </w:tcPr>
          <w:p w14:paraId="68B9B9DB"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85.65</w:t>
            </w:r>
          </w:p>
        </w:tc>
      </w:tr>
      <w:tr w:rsidR="0078719B" w:rsidRPr="00F629D3" w14:paraId="72B239CE" w14:textId="77777777" w:rsidTr="00B7469A">
        <w:tblPrEx>
          <w:tblLook w:val="04A0" w:firstRow="1" w:lastRow="0" w:firstColumn="1" w:lastColumn="0" w:noHBand="0" w:noVBand="1"/>
        </w:tblPrEx>
        <w:trPr>
          <w:jc w:val="center"/>
        </w:trPr>
        <w:tc>
          <w:tcPr>
            <w:tcW w:w="792" w:type="dxa"/>
          </w:tcPr>
          <w:p w14:paraId="24424F46" w14:textId="5027925A"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6" w:name="_Toc223076518"/>
            <w:r w:rsidRPr="00F629D3">
              <w:rPr>
                <w:rFonts w:ascii="Times New Roman" w:eastAsia="Times New Roman" w:hAnsi="Times New Roman" w:cs="Times New Roman"/>
                <w:color w:val="000000"/>
                <w:sz w:val="24"/>
                <w:szCs w:val="24"/>
              </w:rPr>
              <w:t>5</w:t>
            </w:r>
            <w:bookmarkEnd w:id="46"/>
          </w:p>
        </w:tc>
        <w:tc>
          <w:tcPr>
            <w:tcW w:w="638" w:type="dxa"/>
          </w:tcPr>
          <w:p w14:paraId="1EE8063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7" w:name="_Toc223076519"/>
            <w:r w:rsidRPr="00F629D3">
              <w:rPr>
                <w:rFonts w:ascii="Times New Roman" w:eastAsia="Times New Roman" w:hAnsi="Times New Roman" w:cs="Times New Roman"/>
                <w:color w:val="000000"/>
                <w:sz w:val="24"/>
                <w:szCs w:val="24"/>
              </w:rPr>
              <w:t>0</w:t>
            </w:r>
            <w:bookmarkEnd w:id="47"/>
          </w:p>
        </w:tc>
        <w:tc>
          <w:tcPr>
            <w:tcW w:w="639" w:type="dxa"/>
          </w:tcPr>
          <w:p w14:paraId="464391B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8" w:name="_Toc223076520"/>
            <w:r w:rsidRPr="00F629D3">
              <w:rPr>
                <w:rFonts w:ascii="Times New Roman" w:eastAsia="Times New Roman" w:hAnsi="Times New Roman" w:cs="Times New Roman"/>
                <w:color w:val="000000"/>
                <w:sz w:val="24"/>
                <w:szCs w:val="24"/>
              </w:rPr>
              <w:t>1</w:t>
            </w:r>
            <w:bookmarkEnd w:id="48"/>
          </w:p>
        </w:tc>
        <w:tc>
          <w:tcPr>
            <w:tcW w:w="639" w:type="dxa"/>
          </w:tcPr>
          <w:p w14:paraId="293A37F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49" w:name="_Toc223076521"/>
            <w:r w:rsidRPr="00F629D3">
              <w:rPr>
                <w:rFonts w:ascii="Times New Roman" w:eastAsia="Times New Roman" w:hAnsi="Times New Roman" w:cs="Times New Roman"/>
                <w:color w:val="000000"/>
                <w:sz w:val="24"/>
                <w:szCs w:val="24"/>
              </w:rPr>
              <w:t>1</w:t>
            </w:r>
            <w:bookmarkEnd w:id="49"/>
          </w:p>
        </w:tc>
        <w:tc>
          <w:tcPr>
            <w:tcW w:w="639" w:type="dxa"/>
          </w:tcPr>
          <w:p w14:paraId="39816C0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0" w:name="_Toc223076522"/>
            <w:r w:rsidRPr="00F629D3">
              <w:rPr>
                <w:rFonts w:ascii="Times New Roman" w:eastAsia="Times New Roman" w:hAnsi="Times New Roman" w:cs="Times New Roman"/>
                <w:color w:val="000000"/>
                <w:sz w:val="24"/>
                <w:szCs w:val="24"/>
              </w:rPr>
              <w:t>0</w:t>
            </w:r>
            <w:bookmarkEnd w:id="50"/>
          </w:p>
        </w:tc>
        <w:tc>
          <w:tcPr>
            <w:tcW w:w="640" w:type="dxa"/>
            <w:vAlign w:val="center"/>
          </w:tcPr>
          <w:p w14:paraId="3519061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1" w:name="_Toc223076523"/>
            <w:r w:rsidRPr="00F629D3">
              <w:rPr>
                <w:rFonts w:ascii="Times New Roman" w:eastAsia="Times New Roman" w:hAnsi="Times New Roman" w:cs="Times New Roman"/>
                <w:color w:val="000000"/>
                <w:sz w:val="24"/>
                <w:szCs w:val="24"/>
              </w:rPr>
              <w:t>65</w:t>
            </w:r>
            <w:bookmarkEnd w:id="51"/>
          </w:p>
        </w:tc>
        <w:tc>
          <w:tcPr>
            <w:tcW w:w="640" w:type="dxa"/>
            <w:vAlign w:val="center"/>
          </w:tcPr>
          <w:p w14:paraId="1C0C05F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2" w:name="_Toc223076524"/>
            <w:r w:rsidRPr="00F629D3">
              <w:rPr>
                <w:rFonts w:ascii="Times New Roman" w:eastAsia="Times New Roman" w:hAnsi="Times New Roman" w:cs="Times New Roman"/>
                <w:color w:val="000000"/>
                <w:sz w:val="24"/>
                <w:szCs w:val="24"/>
              </w:rPr>
              <w:t>120</w:t>
            </w:r>
            <w:bookmarkEnd w:id="52"/>
          </w:p>
        </w:tc>
        <w:tc>
          <w:tcPr>
            <w:tcW w:w="641" w:type="dxa"/>
            <w:vAlign w:val="center"/>
          </w:tcPr>
          <w:p w14:paraId="144C90A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3" w:name="_Toc223076525"/>
            <w:r w:rsidRPr="00F629D3">
              <w:rPr>
                <w:rFonts w:ascii="Times New Roman" w:eastAsia="Times New Roman" w:hAnsi="Times New Roman" w:cs="Times New Roman"/>
                <w:color w:val="000000"/>
                <w:sz w:val="24"/>
                <w:szCs w:val="24"/>
              </w:rPr>
              <w:t>12</w:t>
            </w:r>
            <w:bookmarkEnd w:id="53"/>
          </w:p>
        </w:tc>
        <w:tc>
          <w:tcPr>
            <w:tcW w:w="640" w:type="dxa"/>
            <w:vAlign w:val="center"/>
          </w:tcPr>
          <w:p w14:paraId="5855D63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4" w:name="_Toc223076526"/>
            <w:r w:rsidRPr="00F629D3">
              <w:rPr>
                <w:rFonts w:ascii="Times New Roman" w:eastAsia="Times New Roman" w:hAnsi="Times New Roman" w:cs="Times New Roman"/>
                <w:color w:val="000000"/>
                <w:sz w:val="24"/>
                <w:szCs w:val="24"/>
              </w:rPr>
              <w:t>3.5</w:t>
            </w:r>
            <w:bookmarkEnd w:id="54"/>
          </w:p>
        </w:tc>
        <w:tc>
          <w:tcPr>
            <w:tcW w:w="1616" w:type="dxa"/>
            <w:vAlign w:val="center"/>
          </w:tcPr>
          <w:p w14:paraId="7007F8BC"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87.09</w:t>
            </w:r>
          </w:p>
        </w:tc>
        <w:tc>
          <w:tcPr>
            <w:tcW w:w="1270" w:type="dxa"/>
            <w:vAlign w:val="center"/>
          </w:tcPr>
          <w:p w14:paraId="7CDE2EB1"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86.19</w:t>
            </w:r>
          </w:p>
        </w:tc>
      </w:tr>
      <w:tr w:rsidR="0078719B" w:rsidRPr="00F629D3" w14:paraId="40C8387E" w14:textId="77777777" w:rsidTr="00B7469A">
        <w:tblPrEx>
          <w:tblLook w:val="04A0" w:firstRow="1" w:lastRow="0" w:firstColumn="1" w:lastColumn="0" w:noHBand="0" w:noVBand="1"/>
        </w:tblPrEx>
        <w:trPr>
          <w:jc w:val="center"/>
        </w:trPr>
        <w:tc>
          <w:tcPr>
            <w:tcW w:w="792" w:type="dxa"/>
          </w:tcPr>
          <w:p w14:paraId="3A607744" w14:textId="58D42F54"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5" w:name="_Toc223076527"/>
            <w:r w:rsidRPr="00F629D3">
              <w:rPr>
                <w:rFonts w:ascii="Times New Roman" w:eastAsia="Times New Roman" w:hAnsi="Times New Roman" w:cs="Times New Roman"/>
                <w:color w:val="000000"/>
                <w:sz w:val="24"/>
                <w:szCs w:val="24"/>
              </w:rPr>
              <w:t>6</w:t>
            </w:r>
            <w:bookmarkEnd w:id="55"/>
          </w:p>
        </w:tc>
        <w:tc>
          <w:tcPr>
            <w:tcW w:w="638" w:type="dxa"/>
          </w:tcPr>
          <w:p w14:paraId="21CC470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6" w:name="_Toc223076528"/>
            <w:r w:rsidRPr="00F629D3">
              <w:rPr>
                <w:rFonts w:ascii="Times New Roman" w:eastAsia="Times New Roman" w:hAnsi="Times New Roman" w:cs="Times New Roman"/>
                <w:color w:val="000000"/>
                <w:sz w:val="24"/>
                <w:szCs w:val="24"/>
              </w:rPr>
              <w:t>-1</w:t>
            </w:r>
            <w:bookmarkEnd w:id="56"/>
          </w:p>
        </w:tc>
        <w:tc>
          <w:tcPr>
            <w:tcW w:w="639" w:type="dxa"/>
          </w:tcPr>
          <w:p w14:paraId="34CE349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7" w:name="_Toc223076529"/>
            <w:r w:rsidRPr="00F629D3">
              <w:rPr>
                <w:rFonts w:ascii="Times New Roman" w:eastAsia="Times New Roman" w:hAnsi="Times New Roman" w:cs="Times New Roman"/>
                <w:color w:val="000000"/>
                <w:sz w:val="24"/>
                <w:szCs w:val="24"/>
              </w:rPr>
              <w:t>0</w:t>
            </w:r>
            <w:bookmarkEnd w:id="57"/>
          </w:p>
        </w:tc>
        <w:tc>
          <w:tcPr>
            <w:tcW w:w="639" w:type="dxa"/>
          </w:tcPr>
          <w:p w14:paraId="65C40BD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8" w:name="_Toc223076530"/>
            <w:r w:rsidRPr="00F629D3">
              <w:rPr>
                <w:rFonts w:ascii="Times New Roman" w:eastAsia="Times New Roman" w:hAnsi="Times New Roman" w:cs="Times New Roman"/>
                <w:color w:val="000000"/>
                <w:sz w:val="24"/>
                <w:szCs w:val="24"/>
              </w:rPr>
              <w:t>0</w:t>
            </w:r>
            <w:bookmarkEnd w:id="58"/>
          </w:p>
        </w:tc>
        <w:tc>
          <w:tcPr>
            <w:tcW w:w="639" w:type="dxa"/>
          </w:tcPr>
          <w:p w14:paraId="2D06735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59" w:name="_Toc223076531"/>
            <w:r w:rsidRPr="00F629D3">
              <w:rPr>
                <w:rFonts w:ascii="Times New Roman" w:eastAsia="Times New Roman" w:hAnsi="Times New Roman" w:cs="Times New Roman"/>
                <w:color w:val="000000"/>
                <w:sz w:val="24"/>
                <w:szCs w:val="24"/>
              </w:rPr>
              <w:t>-1</w:t>
            </w:r>
            <w:bookmarkEnd w:id="59"/>
          </w:p>
        </w:tc>
        <w:tc>
          <w:tcPr>
            <w:tcW w:w="640" w:type="dxa"/>
            <w:vAlign w:val="center"/>
          </w:tcPr>
          <w:p w14:paraId="6B84D58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0" w:name="_Toc223076532"/>
            <w:r w:rsidRPr="00F629D3">
              <w:rPr>
                <w:rFonts w:ascii="Times New Roman" w:eastAsia="Times New Roman" w:hAnsi="Times New Roman" w:cs="Times New Roman"/>
                <w:color w:val="000000"/>
                <w:sz w:val="24"/>
                <w:szCs w:val="24"/>
              </w:rPr>
              <w:t>60</w:t>
            </w:r>
            <w:bookmarkEnd w:id="60"/>
          </w:p>
        </w:tc>
        <w:tc>
          <w:tcPr>
            <w:tcW w:w="640" w:type="dxa"/>
            <w:vAlign w:val="center"/>
          </w:tcPr>
          <w:p w14:paraId="6201A4D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1" w:name="_Toc223076533"/>
            <w:r w:rsidRPr="00F629D3">
              <w:rPr>
                <w:rFonts w:ascii="Times New Roman" w:eastAsia="Times New Roman" w:hAnsi="Times New Roman" w:cs="Times New Roman"/>
                <w:color w:val="000000"/>
                <w:sz w:val="24"/>
                <w:szCs w:val="24"/>
              </w:rPr>
              <w:t>90</w:t>
            </w:r>
            <w:bookmarkEnd w:id="61"/>
          </w:p>
        </w:tc>
        <w:tc>
          <w:tcPr>
            <w:tcW w:w="641" w:type="dxa"/>
            <w:vAlign w:val="center"/>
          </w:tcPr>
          <w:p w14:paraId="741CC60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2" w:name="_Toc223076534"/>
            <w:r w:rsidRPr="00F629D3">
              <w:rPr>
                <w:rFonts w:ascii="Times New Roman" w:eastAsia="Times New Roman" w:hAnsi="Times New Roman" w:cs="Times New Roman"/>
                <w:color w:val="000000"/>
                <w:sz w:val="24"/>
                <w:szCs w:val="24"/>
              </w:rPr>
              <w:t>9</w:t>
            </w:r>
            <w:bookmarkEnd w:id="62"/>
          </w:p>
        </w:tc>
        <w:tc>
          <w:tcPr>
            <w:tcW w:w="640" w:type="dxa"/>
            <w:vAlign w:val="center"/>
          </w:tcPr>
          <w:p w14:paraId="0EE7090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3" w:name="_Toc223076535"/>
            <w:r w:rsidRPr="00F629D3">
              <w:rPr>
                <w:rFonts w:ascii="Times New Roman" w:eastAsia="Times New Roman" w:hAnsi="Times New Roman" w:cs="Times New Roman"/>
                <w:color w:val="000000"/>
                <w:sz w:val="24"/>
                <w:szCs w:val="24"/>
              </w:rPr>
              <w:t>1</w:t>
            </w:r>
            <w:bookmarkEnd w:id="63"/>
          </w:p>
        </w:tc>
        <w:tc>
          <w:tcPr>
            <w:tcW w:w="1616" w:type="dxa"/>
            <w:vAlign w:val="center"/>
          </w:tcPr>
          <w:p w14:paraId="505190BB"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76.03</w:t>
            </w:r>
          </w:p>
        </w:tc>
        <w:tc>
          <w:tcPr>
            <w:tcW w:w="1270" w:type="dxa"/>
            <w:vAlign w:val="center"/>
          </w:tcPr>
          <w:p w14:paraId="642A2B33"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77.78</w:t>
            </w:r>
          </w:p>
        </w:tc>
      </w:tr>
      <w:tr w:rsidR="0078719B" w:rsidRPr="00F629D3" w14:paraId="3DFAD1F1" w14:textId="77777777" w:rsidTr="00B7469A">
        <w:tblPrEx>
          <w:tblLook w:val="04A0" w:firstRow="1" w:lastRow="0" w:firstColumn="1" w:lastColumn="0" w:noHBand="0" w:noVBand="1"/>
        </w:tblPrEx>
        <w:trPr>
          <w:jc w:val="center"/>
        </w:trPr>
        <w:tc>
          <w:tcPr>
            <w:tcW w:w="792" w:type="dxa"/>
          </w:tcPr>
          <w:p w14:paraId="5C2C0201" w14:textId="417D6A13"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4" w:name="_Toc223076536"/>
            <w:r w:rsidRPr="00F629D3">
              <w:rPr>
                <w:rFonts w:ascii="Times New Roman" w:eastAsia="Times New Roman" w:hAnsi="Times New Roman" w:cs="Times New Roman"/>
                <w:color w:val="000000"/>
                <w:sz w:val="24"/>
                <w:szCs w:val="24"/>
              </w:rPr>
              <w:t>7</w:t>
            </w:r>
            <w:bookmarkEnd w:id="64"/>
          </w:p>
        </w:tc>
        <w:tc>
          <w:tcPr>
            <w:tcW w:w="638" w:type="dxa"/>
          </w:tcPr>
          <w:p w14:paraId="1F55BE1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5" w:name="_Toc223076537"/>
            <w:r w:rsidRPr="00F629D3">
              <w:rPr>
                <w:rFonts w:ascii="Times New Roman" w:eastAsia="Times New Roman" w:hAnsi="Times New Roman" w:cs="Times New Roman"/>
                <w:color w:val="000000"/>
                <w:sz w:val="24"/>
                <w:szCs w:val="24"/>
              </w:rPr>
              <w:t>0</w:t>
            </w:r>
            <w:bookmarkEnd w:id="65"/>
          </w:p>
        </w:tc>
        <w:tc>
          <w:tcPr>
            <w:tcW w:w="639" w:type="dxa"/>
          </w:tcPr>
          <w:p w14:paraId="376AA7D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6" w:name="_Toc223076538"/>
            <w:r w:rsidRPr="00F629D3">
              <w:rPr>
                <w:rFonts w:ascii="Times New Roman" w:eastAsia="Times New Roman" w:hAnsi="Times New Roman" w:cs="Times New Roman"/>
                <w:color w:val="000000"/>
                <w:sz w:val="24"/>
                <w:szCs w:val="24"/>
              </w:rPr>
              <w:t>-1</w:t>
            </w:r>
            <w:bookmarkEnd w:id="66"/>
          </w:p>
        </w:tc>
        <w:tc>
          <w:tcPr>
            <w:tcW w:w="639" w:type="dxa"/>
          </w:tcPr>
          <w:p w14:paraId="11B5A60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7" w:name="_Toc223076539"/>
            <w:r w:rsidRPr="00F629D3">
              <w:rPr>
                <w:rFonts w:ascii="Times New Roman" w:eastAsia="Times New Roman" w:hAnsi="Times New Roman" w:cs="Times New Roman"/>
                <w:color w:val="000000"/>
                <w:sz w:val="24"/>
                <w:szCs w:val="24"/>
              </w:rPr>
              <w:t>-1</w:t>
            </w:r>
            <w:bookmarkEnd w:id="67"/>
          </w:p>
        </w:tc>
        <w:tc>
          <w:tcPr>
            <w:tcW w:w="639" w:type="dxa"/>
          </w:tcPr>
          <w:p w14:paraId="00AEC92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8" w:name="_Toc223076540"/>
            <w:r w:rsidRPr="00F629D3">
              <w:rPr>
                <w:rFonts w:ascii="Times New Roman" w:eastAsia="Times New Roman" w:hAnsi="Times New Roman" w:cs="Times New Roman"/>
                <w:color w:val="000000"/>
                <w:sz w:val="24"/>
                <w:szCs w:val="24"/>
              </w:rPr>
              <w:t>0</w:t>
            </w:r>
            <w:bookmarkEnd w:id="68"/>
          </w:p>
        </w:tc>
        <w:tc>
          <w:tcPr>
            <w:tcW w:w="640" w:type="dxa"/>
            <w:vAlign w:val="center"/>
          </w:tcPr>
          <w:p w14:paraId="4C67FE5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69" w:name="_Toc223076541"/>
            <w:r w:rsidRPr="00F629D3">
              <w:rPr>
                <w:rFonts w:ascii="Times New Roman" w:eastAsia="Times New Roman" w:hAnsi="Times New Roman" w:cs="Times New Roman"/>
                <w:color w:val="000000"/>
                <w:sz w:val="24"/>
                <w:szCs w:val="24"/>
              </w:rPr>
              <w:t>65</w:t>
            </w:r>
            <w:bookmarkEnd w:id="69"/>
          </w:p>
        </w:tc>
        <w:tc>
          <w:tcPr>
            <w:tcW w:w="640" w:type="dxa"/>
            <w:vAlign w:val="center"/>
          </w:tcPr>
          <w:p w14:paraId="4C951E4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0" w:name="_Toc223076542"/>
            <w:r w:rsidRPr="00F629D3">
              <w:rPr>
                <w:rFonts w:ascii="Times New Roman" w:eastAsia="Times New Roman" w:hAnsi="Times New Roman" w:cs="Times New Roman"/>
                <w:color w:val="000000"/>
                <w:sz w:val="24"/>
                <w:szCs w:val="24"/>
              </w:rPr>
              <w:t>60</w:t>
            </w:r>
            <w:bookmarkEnd w:id="70"/>
          </w:p>
        </w:tc>
        <w:tc>
          <w:tcPr>
            <w:tcW w:w="641" w:type="dxa"/>
            <w:vAlign w:val="center"/>
          </w:tcPr>
          <w:p w14:paraId="0FB78AD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1" w:name="_Toc223076543"/>
            <w:r w:rsidRPr="00F629D3">
              <w:rPr>
                <w:rFonts w:ascii="Times New Roman" w:eastAsia="Times New Roman" w:hAnsi="Times New Roman" w:cs="Times New Roman"/>
                <w:color w:val="000000"/>
                <w:sz w:val="24"/>
                <w:szCs w:val="24"/>
              </w:rPr>
              <w:t>6</w:t>
            </w:r>
            <w:bookmarkEnd w:id="71"/>
          </w:p>
        </w:tc>
        <w:tc>
          <w:tcPr>
            <w:tcW w:w="640" w:type="dxa"/>
            <w:vAlign w:val="center"/>
          </w:tcPr>
          <w:p w14:paraId="0F556BE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2" w:name="_Toc223076544"/>
            <w:r w:rsidRPr="00F629D3">
              <w:rPr>
                <w:rFonts w:ascii="Times New Roman" w:eastAsia="Times New Roman" w:hAnsi="Times New Roman" w:cs="Times New Roman"/>
                <w:color w:val="000000"/>
                <w:sz w:val="24"/>
                <w:szCs w:val="24"/>
              </w:rPr>
              <w:t>3.5</w:t>
            </w:r>
            <w:bookmarkEnd w:id="72"/>
          </w:p>
        </w:tc>
        <w:tc>
          <w:tcPr>
            <w:tcW w:w="1616" w:type="dxa"/>
            <w:vAlign w:val="center"/>
          </w:tcPr>
          <w:p w14:paraId="5B18B5E2"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78.36</w:t>
            </w:r>
          </w:p>
        </w:tc>
        <w:tc>
          <w:tcPr>
            <w:tcW w:w="1270" w:type="dxa"/>
            <w:vAlign w:val="center"/>
          </w:tcPr>
          <w:p w14:paraId="5E0697CF"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79.59</w:t>
            </w:r>
          </w:p>
        </w:tc>
      </w:tr>
      <w:tr w:rsidR="0078719B" w:rsidRPr="00F629D3" w14:paraId="2C71D398" w14:textId="77777777" w:rsidTr="00B7469A">
        <w:tblPrEx>
          <w:tblLook w:val="04A0" w:firstRow="1" w:lastRow="0" w:firstColumn="1" w:lastColumn="0" w:noHBand="0" w:noVBand="1"/>
        </w:tblPrEx>
        <w:trPr>
          <w:jc w:val="center"/>
        </w:trPr>
        <w:tc>
          <w:tcPr>
            <w:tcW w:w="792" w:type="dxa"/>
          </w:tcPr>
          <w:p w14:paraId="5A54DA0C" w14:textId="48D94FA4"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3" w:name="_Toc223076545"/>
            <w:r w:rsidRPr="00F629D3">
              <w:rPr>
                <w:rFonts w:ascii="Times New Roman" w:eastAsia="Times New Roman" w:hAnsi="Times New Roman" w:cs="Times New Roman"/>
                <w:color w:val="000000"/>
                <w:sz w:val="24"/>
                <w:szCs w:val="24"/>
              </w:rPr>
              <w:t>8</w:t>
            </w:r>
            <w:bookmarkEnd w:id="73"/>
          </w:p>
        </w:tc>
        <w:tc>
          <w:tcPr>
            <w:tcW w:w="638" w:type="dxa"/>
          </w:tcPr>
          <w:p w14:paraId="043DF3D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4" w:name="_Toc223076546"/>
            <w:r w:rsidRPr="00F629D3">
              <w:rPr>
                <w:rFonts w:ascii="Times New Roman" w:eastAsia="Times New Roman" w:hAnsi="Times New Roman" w:cs="Times New Roman"/>
                <w:color w:val="000000"/>
                <w:sz w:val="24"/>
                <w:szCs w:val="24"/>
              </w:rPr>
              <w:t>-1</w:t>
            </w:r>
            <w:bookmarkEnd w:id="74"/>
          </w:p>
        </w:tc>
        <w:tc>
          <w:tcPr>
            <w:tcW w:w="639" w:type="dxa"/>
          </w:tcPr>
          <w:p w14:paraId="57C09E7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5" w:name="_Toc223076547"/>
            <w:r w:rsidRPr="00F629D3">
              <w:rPr>
                <w:rFonts w:ascii="Times New Roman" w:eastAsia="Times New Roman" w:hAnsi="Times New Roman" w:cs="Times New Roman"/>
                <w:color w:val="000000"/>
                <w:sz w:val="24"/>
                <w:szCs w:val="24"/>
              </w:rPr>
              <w:t>-1</w:t>
            </w:r>
            <w:bookmarkEnd w:id="75"/>
          </w:p>
        </w:tc>
        <w:tc>
          <w:tcPr>
            <w:tcW w:w="639" w:type="dxa"/>
          </w:tcPr>
          <w:p w14:paraId="138C959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6" w:name="_Toc223076548"/>
            <w:r w:rsidRPr="00F629D3">
              <w:rPr>
                <w:rFonts w:ascii="Times New Roman" w:eastAsia="Times New Roman" w:hAnsi="Times New Roman" w:cs="Times New Roman"/>
                <w:color w:val="000000"/>
                <w:sz w:val="24"/>
                <w:szCs w:val="24"/>
              </w:rPr>
              <w:t>0</w:t>
            </w:r>
            <w:bookmarkEnd w:id="76"/>
          </w:p>
        </w:tc>
        <w:tc>
          <w:tcPr>
            <w:tcW w:w="639" w:type="dxa"/>
          </w:tcPr>
          <w:p w14:paraId="1352E76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7" w:name="_Toc223076549"/>
            <w:r w:rsidRPr="00F629D3">
              <w:rPr>
                <w:rFonts w:ascii="Times New Roman" w:eastAsia="Times New Roman" w:hAnsi="Times New Roman" w:cs="Times New Roman"/>
                <w:color w:val="000000"/>
                <w:sz w:val="24"/>
                <w:szCs w:val="24"/>
              </w:rPr>
              <w:t>0</w:t>
            </w:r>
            <w:bookmarkEnd w:id="77"/>
          </w:p>
        </w:tc>
        <w:tc>
          <w:tcPr>
            <w:tcW w:w="640" w:type="dxa"/>
            <w:vAlign w:val="center"/>
          </w:tcPr>
          <w:p w14:paraId="6E84C47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8" w:name="_Toc223076550"/>
            <w:r w:rsidRPr="00F629D3">
              <w:rPr>
                <w:rFonts w:ascii="Times New Roman" w:eastAsia="Times New Roman" w:hAnsi="Times New Roman" w:cs="Times New Roman"/>
                <w:color w:val="000000"/>
                <w:sz w:val="24"/>
                <w:szCs w:val="24"/>
              </w:rPr>
              <w:t>60</w:t>
            </w:r>
            <w:bookmarkEnd w:id="78"/>
          </w:p>
        </w:tc>
        <w:tc>
          <w:tcPr>
            <w:tcW w:w="640" w:type="dxa"/>
            <w:vAlign w:val="center"/>
          </w:tcPr>
          <w:p w14:paraId="767300B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79" w:name="_Toc223076551"/>
            <w:r w:rsidRPr="00F629D3">
              <w:rPr>
                <w:rFonts w:ascii="Times New Roman" w:eastAsia="Times New Roman" w:hAnsi="Times New Roman" w:cs="Times New Roman"/>
                <w:color w:val="000000"/>
                <w:sz w:val="24"/>
                <w:szCs w:val="24"/>
              </w:rPr>
              <w:t>60</w:t>
            </w:r>
            <w:bookmarkEnd w:id="79"/>
          </w:p>
        </w:tc>
        <w:tc>
          <w:tcPr>
            <w:tcW w:w="641" w:type="dxa"/>
            <w:vAlign w:val="center"/>
          </w:tcPr>
          <w:p w14:paraId="34EE8E4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0" w:name="_Toc223076552"/>
            <w:r w:rsidRPr="00F629D3">
              <w:rPr>
                <w:rFonts w:ascii="Times New Roman" w:eastAsia="Times New Roman" w:hAnsi="Times New Roman" w:cs="Times New Roman"/>
                <w:color w:val="000000"/>
                <w:sz w:val="24"/>
                <w:szCs w:val="24"/>
              </w:rPr>
              <w:t>9</w:t>
            </w:r>
            <w:bookmarkEnd w:id="80"/>
          </w:p>
        </w:tc>
        <w:tc>
          <w:tcPr>
            <w:tcW w:w="640" w:type="dxa"/>
            <w:vAlign w:val="center"/>
          </w:tcPr>
          <w:p w14:paraId="3ED5C72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1" w:name="_Toc223076553"/>
            <w:r w:rsidRPr="00F629D3">
              <w:rPr>
                <w:rFonts w:ascii="Times New Roman" w:eastAsia="Times New Roman" w:hAnsi="Times New Roman" w:cs="Times New Roman"/>
                <w:color w:val="000000"/>
                <w:sz w:val="24"/>
                <w:szCs w:val="24"/>
              </w:rPr>
              <w:t>3.5</w:t>
            </w:r>
            <w:bookmarkEnd w:id="81"/>
          </w:p>
        </w:tc>
        <w:tc>
          <w:tcPr>
            <w:tcW w:w="1616" w:type="dxa"/>
            <w:vAlign w:val="center"/>
          </w:tcPr>
          <w:p w14:paraId="2A4649A9"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78.82</w:t>
            </w:r>
          </w:p>
        </w:tc>
        <w:tc>
          <w:tcPr>
            <w:tcW w:w="1270" w:type="dxa"/>
            <w:vAlign w:val="center"/>
          </w:tcPr>
          <w:p w14:paraId="6584A319"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79.41</w:t>
            </w:r>
          </w:p>
        </w:tc>
      </w:tr>
      <w:tr w:rsidR="0078719B" w:rsidRPr="00F629D3" w14:paraId="5C8201A5" w14:textId="77777777" w:rsidTr="00B7469A">
        <w:tblPrEx>
          <w:tblLook w:val="04A0" w:firstRow="1" w:lastRow="0" w:firstColumn="1" w:lastColumn="0" w:noHBand="0" w:noVBand="1"/>
        </w:tblPrEx>
        <w:trPr>
          <w:jc w:val="center"/>
        </w:trPr>
        <w:tc>
          <w:tcPr>
            <w:tcW w:w="792" w:type="dxa"/>
          </w:tcPr>
          <w:p w14:paraId="25CF3C12" w14:textId="21C19D74"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2" w:name="_Toc223076554"/>
            <w:r w:rsidRPr="00F629D3">
              <w:rPr>
                <w:rFonts w:ascii="Times New Roman" w:eastAsia="Times New Roman" w:hAnsi="Times New Roman" w:cs="Times New Roman"/>
                <w:color w:val="000000"/>
                <w:sz w:val="24"/>
                <w:szCs w:val="24"/>
              </w:rPr>
              <w:t>9</w:t>
            </w:r>
            <w:bookmarkEnd w:id="82"/>
          </w:p>
        </w:tc>
        <w:tc>
          <w:tcPr>
            <w:tcW w:w="638" w:type="dxa"/>
          </w:tcPr>
          <w:p w14:paraId="1A404DD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3" w:name="_Toc223076555"/>
            <w:r w:rsidRPr="00F629D3">
              <w:rPr>
                <w:rFonts w:ascii="Times New Roman" w:eastAsia="Times New Roman" w:hAnsi="Times New Roman" w:cs="Times New Roman"/>
                <w:color w:val="000000"/>
                <w:sz w:val="24"/>
                <w:szCs w:val="24"/>
              </w:rPr>
              <w:t>-1</w:t>
            </w:r>
            <w:bookmarkEnd w:id="83"/>
          </w:p>
        </w:tc>
        <w:tc>
          <w:tcPr>
            <w:tcW w:w="639" w:type="dxa"/>
          </w:tcPr>
          <w:p w14:paraId="2FF6052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4" w:name="_Toc223076556"/>
            <w:r w:rsidRPr="00F629D3">
              <w:rPr>
                <w:rFonts w:ascii="Times New Roman" w:eastAsia="Times New Roman" w:hAnsi="Times New Roman" w:cs="Times New Roman"/>
                <w:color w:val="000000"/>
                <w:sz w:val="24"/>
                <w:szCs w:val="24"/>
              </w:rPr>
              <w:t>0</w:t>
            </w:r>
            <w:bookmarkEnd w:id="84"/>
          </w:p>
        </w:tc>
        <w:tc>
          <w:tcPr>
            <w:tcW w:w="639" w:type="dxa"/>
          </w:tcPr>
          <w:p w14:paraId="0C303B7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5" w:name="_Toc223076557"/>
            <w:r w:rsidRPr="00F629D3">
              <w:rPr>
                <w:rFonts w:ascii="Times New Roman" w:eastAsia="Times New Roman" w:hAnsi="Times New Roman" w:cs="Times New Roman"/>
                <w:color w:val="000000"/>
                <w:sz w:val="24"/>
                <w:szCs w:val="24"/>
              </w:rPr>
              <w:t>1</w:t>
            </w:r>
            <w:bookmarkEnd w:id="85"/>
          </w:p>
        </w:tc>
        <w:tc>
          <w:tcPr>
            <w:tcW w:w="639" w:type="dxa"/>
          </w:tcPr>
          <w:p w14:paraId="316590E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6" w:name="_Toc223076558"/>
            <w:r w:rsidRPr="00F629D3">
              <w:rPr>
                <w:rFonts w:ascii="Times New Roman" w:eastAsia="Times New Roman" w:hAnsi="Times New Roman" w:cs="Times New Roman"/>
                <w:color w:val="000000"/>
                <w:sz w:val="24"/>
                <w:szCs w:val="24"/>
              </w:rPr>
              <w:t>0</w:t>
            </w:r>
            <w:bookmarkEnd w:id="86"/>
          </w:p>
        </w:tc>
        <w:tc>
          <w:tcPr>
            <w:tcW w:w="640" w:type="dxa"/>
            <w:vAlign w:val="center"/>
          </w:tcPr>
          <w:p w14:paraId="2074DDD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7" w:name="_Toc223076559"/>
            <w:r w:rsidRPr="00F629D3">
              <w:rPr>
                <w:rFonts w:ascii="Times New Roman" w:eastAsia="Times New Roman" w:hAnsi="Times New Roman" w:cs="Times New Roman"/>
                <w:color w:val="000000"/>
                <w:sz w:val="24"/>
                <w:szCs w:val="24"/>
              </w:rPr>
              <w:t>60</w:t>
            </w:r>
            <w:bookmarkEnd w:id="87"/>
          </w:p>
        </w:tc>
        <w:tc>
          <w:tcPr>
            <w:tcW w:w="640" w:type="dxa"/>
            <w:vAlign w:val="center"/>
          </w:tcPr>
          <w:p w14:paraId="3E7028F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8" w:name="_Toc223076560"/>
            <w:r w:rsidRPr="00F629D3">
              <w:rPr>
                <w:rFonts w:ascii="Times New Roman" w:eastAsia="Times New Roman" w:hAnsi="Times New Roman" w:cs="Times New Roman"/>
                <w:color w:val="000000"/>
                <w:sz w:val="24"/>
                <w:szCs w:val="24"/>
              </w:rPr>
              <w:t>90</w:t>
            </w:r>
            <w:bookmarkEnd w:id="88"/>
          </w:p>
        </w:tc>
        <w:tc>
          <w:tcPr>
            <w:tcW w:w="641" w:type="dxa"/>
            <w:vAlign w:val="center"/>
          </w:tcPr>
          <w:p w14:paraId="6FE1A3F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89" w:name="_Toc223076561"/>
            <w:r w:rsidRPr="00F629D3">
              <w:rPr>
                <w:rFonts w:ascii="Times New Roman" w:eastAsia="Times New Roman" w:hAnsi="Times New Roman" w:cs="Times New Roman"/>
                <w:color w:val="000000"/>
                <w:sz w:val="24"/>
                <w:szCs w:val="24"/>
              </w:rPr>
              <w:t>12</w:t>
            </w:r>
            <w:bookmarkEnd w:id="89"/>
          </w:p>
        </w:tc>
        <w:tc>
          <w:tcPr>
            <w:tcW w:w="640" w:type="dxa"/>
            <w:vAlign w:val="center"/>
          </w:tcPr>
          <w:p w14:paraId="3E5B1E3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0" w:name="_Toc223076562"/>
            <w:r w:rsidRPr="00F629D3">
              <w:rPr>
                <w:rFonts w:ascii="Times New Roman" w:eastAsia="Times New Roman" w:hAnsi="Times New Roman" w:cs="Times New Roman"/>
                <w:color w:val="000000"/>
                <w:sz w:val="24"/>
                <w:szCs w:val="24"/>
              </w:rPr>
              <w:t>3.5</w:t>
            </w:r>
            <w:bookmarkEnd w:id="90"/>
          </w:p>
        </w:tc>
        <w:tc>
          <w:tcPr>
            <w:tcW w:w="1616" w:type="dxa"/>
            <w:vAlign w:val="center"/>
          </w:tcPr>
          <w:p w14:paraId="48A2A002"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91.54</w:t>
            </w:r>
          </w:p>
        </w:tc>
        <w:tc>
          <w:tcPr>
            <w:tcW w:w="1270" w:type="dxa"/>
            <w:vAlign w:val="center"/>
          </w:tcPr>
          <w:p w14:paraId="21E154E1"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92.09</w:t>
            </w:r>
          </w:p>
        </w:tc>
      </w:tr>
      <w:tr w:rsidR="0078719B" w:rsidRPr="00F629D3" w14:paraId="28CB19CF" w14:textId="77777777" w:rsidTr="00B7469A">
        <w:tblPrEx>
          <w:tblLook w:val="04A0" w:firstRow="1" w:lastRow="0" w:firstColumn="1" w:lastColumn="0" w:noHBand="0" w:noVBand="1"/>
        </w:tblPrEx>
        <w:trPr>
          <w:jc w:val="center"/>
        </w:trPr>
        <w:tc>
          <w:tcPr>
            <w:tcW w:w="792" w:type="dxa"/>
          </w:tcPr>
          <w:p w14:paraId="028602D8" w14:textId="3D6F9D09"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1" w:name="_Toc223076563"/>
            <w:r w:rsidRPr="00F629D3">
              <w:rPr>
                <w:rFonts w:ascii="Times New Roman" w:eastAsia="Times New Roman" w:hAnsi="Times New Roman" w:cs="Times New Roman"/>
                <w:color w:val="000000"/>
                <w:sz w:val="24"/>
                <w:szCs w:val="24"/>
              </w:rPr>
              <w:t>10</w:t>
            </w:r>
            <w:bookmarkEnd w:id="91"/>
          </w:p>
        </w:tc>
        <w:tc>
          <w:tcPr>
            <w:tcW w:w="638" w:type="dxa"/>
          </w:tcPr>
          <w:p w14:paraId="6A27BB2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2" w:name="_Toc223076564"/>
            <w:r w:rsidRPr="00F629D3">
              <w:rPr>
                <w:rFonts w:ascii="Times New Roman" w:eastAsia="Times New Roman" w:hAnsi="Times New Roman" w:cs="Times New Roman"/>
                <w:color w:val="000000"/>
                <w:sz w:val="24"/>
                <w:szCs w:val="24"/>
              </w:rPr>
              <w:t>0</w:t>
            </w:r>
            <w:bookmarkEnd w:id="92"/>
          </w:p>
        </w:tc>
        <w:tc>
          <w:tcPr>
            <w:tcW w:w="639" w:type="dxa"/>
          </w:tcPr>
          <w:p w14:paraId="1143F18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3" w:name="_Toc223076565"/>
            <w:r w:rsidRPr="00F629D3">
              <w:rPr>
                <w:rFonts w:ascii="Times New Roman" w:eastAsia="Times New Roman" w:hAnsi="Times New Roman" w:cs="Times New Roman"/>
                <w:color w:val="000000"/>
                <w:sz w:val="24"/>
                <w:szCs w:val="24"/>
              </w:rPr>
              <w:t>0</w:t>
            </w:r>
            <w:bookmarkEnd w:id="93"/>
          </w:p>
        </w:tc>
        <w:tc>
          <w:tcPr>
            <w:tcW w:w="639" w:type="dxa"/>
          </w:tcPr>
          <w:p w14:paraId="7696C76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4" w:name="_Toc223076566"/>
            <w:r w:rsidRPr="00F629D3">
              <w:rPr>
                <w:rFonts w:ascii="Times New Roman" w:eastAsia="Times New Roman" w:hAnsi="Times New Roman" w:cs="Times New Roman"/>
                <w:color w:val="000000"/>
                <w:sz w:val="24"/>
                <w:szCs w:val="24"/>
              </w:rPr>
              <w:t>0</w:t>
            </w:r>
            <w:bookmarkEnd w:id="94"/>
          </w:p>
        </w:tc>
        <w:tc>
          <w:tcPr>
            <w:tcW w:w="639" w:type="dxa"/>
          </w:tcPr>
          <w:p w14:paraId="116B923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5" w:name="_Toc223076567"/>
            <w:r w:rsidRPr="00F629D3">
              <w:rPr>
                <w:rFonts w:ascii="Times New Roman" w:eastAsia="Times New Roman" w:hAnsi="Times New Roman" w:cs="Times New Roman"/>
                <w:color w:val="000000"/>
                <w:sz w:val="24"/>
                <w:szCs w:val="24"/>
              </w:rPr>
              <w:t>0</w:t>
            </w:r>
            <w:bookmarkEnd w:id="95"/>
          </w:p>
        </w:tc>
        <w:tc>
          <w:tcPr>
            <w:tcW w:w="640" w:type="dxa"/>
            <w:vAlign w:val="center"/>
          </w:tcPr>
          <w:p w14:paraId="66D4B71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6" w:name="_Toc223076568"/>
            <w:r w:rsidRPr="00F629D3">
              <w:rPr>
                <w:rFonts w:ascii="Times New Roman" w:eastAsia="Times New Roman" w:hAnsi="Times New Roman" w:cs="Times New Roman"/>
                <w:color w:val="000000"/>
                <w:sz w:val="24"/>
                <w:szCs w:val="24"/>
              </w:rPr>
              <w:t>65</w:t>
            </w:r>
            <w:bookmarkEnd w:id="96"/>
          </w:p>
        </w:tc>
        <w:tc>
          <w:tcPr>
            <w:tcW w:w="640" w:type="dxa"/>
            <w:vAlign w:val="center"/>
          </w:tcPr>
          <w:p w14:paraId="0981FF2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7" w:name="_Toc223076569"/>
            <w:r w:rsidRPr="00F629D3">
              <w:rPr>
                <w:rFonts w:ascii="Times New Roman" w:eastAsia="Times New Roman" w:hAnsi="Times New Roman" w:cs="Times New Roman"/>
                <w:color w:val="000000"/>
                <w:sz w:val="24"/>
                <w:szCs w:val="24"/>
              </w:rPr>
              <w:t>90</w:t>
            </w:r>
            <w:bookmarkEnd w:id="97"/>
          </w:p>
        </w:tc>
        <w:tc>
          <w:tcPr>
            <w:tcW w:w="641" w:type="dxa"/>
            <w:vAlign w:val="center"/>
          </w:tcPr>
          <w:p w14:paraId="5B25207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8" w:name="_Toc223076570"/>
            <w:r w:rsidRPr="00F629D3">
              <w:rPr>
                <w:rFonts w:ascii="Times New Roman" w:eastAsia="Times New Roman" w:hAnsi="Times New Roman" w:cs="Times New Roman"/>
                <w:color w:val="000000"/>
                <w:sz w:val="24"/>
                <w:szCs w:val="24"/>
              </w:rPr>
              <w:t>9</w:t>
            </w:r>
            <w:bookmarkEnd w:id="98"/>
          </w:p>
        </w:tc>
        <w:tc>
          <w:tcPr>
            <w:tcW w:w="640" w:type="dxa"/>
            <w:vAlign w:val="center"/>
          </w:tcPr>
          <w:p w14:paraId="3A5AD3F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99" w:name="_Toc223076571"/>
            <w:r w:rsidRPr="00F629D3">
              <w:rPr>
                <w:rFonts w:ascii="Times New Roman" w:eastAsia="Times New Roman" w:hAnsi="Times New Roman" w:cs="Times New Roman"/>
                <w:color w:val="000000"/>
                <w:sz w:val="24"/>
                <w:szCs w:val="24"/>
              </w:rPr>
              <w:t>3.5</w:t>
            </w:r>
            <w:bookmarkEnd w:id="99"/>
          </w:p>
        </w:tc>
        <w:tc>
          <w:tcPr>
            <w:tcW w:w="1616" w:type="dxa"/>
            <w:vAlign w:val="center"/>
          </w:tcPr>
          <w:p w14:paraId="49826BB1"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92.56</w:t>
            </w:r>
          </w:p>
        </w:tc>
        <w:tc>
          <w:tcPr>
            <w:tcW w:w="1270" w:type="dxa"/>
            <w:vAlign w:val="center"/>
          </w:tcPr>
          <w:p w14:paraId="2B6A51A6"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92.76</w:t>
            </w:r>
          </w:p>
        </w:tc>
      </w:tr>
      <w:tr w:rsidR="0078719B" w:rsidRPr="00F629D3" w14:paraId="746BD16C" w14:textId="77777777" w:rsidTr="00B7469A">
        <w:tblPrEx>
          <w:tblLook w:val="04A0" w:firstRow="1" w:lastRow="0" w:firstColumn="1" w:lastColumn="0" w:noHBand="0" w:noVBand="1"/>
        </w:tblPrEx>
        <w:trPr>
          <w:jc w:val="center"/>
        </w:trPr>
        <w:tc>
          <w:tcPr>
            <w:tcW w:w="792" w:type="dxa"/>
          </w:tcPr>
          <w:p w14:paraId="12A9DF23" w14:textId="7E81BDEE"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0" w:name="_Toc223076572"/>
            <w:r w:rsidRPr="00F629D3">
              <w:rPr>
                <w:rFonts w:ascii="Times New Roman" w:eastAsia="Times New Roman" w:hAnsi="Times New Roman" w:cs="Times New Roman"/>
                <w:color w:val="000000"/>
                <w:sz w:val="24"/>
                <w:szCs w:val="24"/>
              </w:rPr>
              <w:t>11</w:t>
            </w:r>
            <w:bookmarkEnd w:id="100"/>
          </w:p>
        </w:tc>
        <w:tc>
          <w:tcPr>
            <w:tcW w:w="638" w:type="dxa"/>
          </w:tcPr>
          <w:p w14:paraId="19E1F96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1" w:name="_Toc223076573"/>
            <w:r w:rsidRPr="00F629D3">
              <w:rPr>
                <w:rFonts w:ascii="Times New Roman" w:eastAsia="Times New Roman" w:hAnsi="Times New Roman" w:cs="Times New Roman"/>
                <w:color w:val="000000"/>
                <w:sz w:val="24"/>
                <w:szCs w:val="24"/>
              </w:rPr>
              <w:t>0</w:t>
            </w:r>
            <w:bookmarkEnd w:id="101"/>
          </w:p>
        </w:tc>
        <w:tc>
          <w:tcPr>
            <w:tcW w:w="639" w:type="dxa"/>
          </w:tcPr>
          <w:p w14:paraId="0D29233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2" w:name="_Toc223076574"/>
            <w:r w:rsidRPr="00F629D3">
              <w:rPr>
                <w:rFonts w:ascii="Times New Roman" w:eastAsia="Times New Roman" w:hAnsi="Times New Roman" w:cs="Times New Roman"/>
                <w:color w:val="000000"/>
                <w:sz w:val="24"/>
                <w:szCs w:val="24"/>
              </w:rPr>
              <w:t>0</w:t>
            </w:r>
            <w:bookmarkEnd w:id="102"/>
          </w:p>
        </w:tc>
        <w:tc>
          <w:tcPr>
            <w:tcW w:w="639" w:type="dxa"/>
          </w:tcPr>
          <w:p w14:paraId="7E39673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3" w:name="_Toc223076575"/>
            <w:r w:rsidRPr="00F629D3">
              <w:rPr>
                <w:rFonts w:ascii="Times New Roman" w:eastAsia="Times New Roman" w:hAnsi="Times New Roman" w:cs="Times New Roman"/>
                <w:color w:val="000000"/>
                <w:sz w:val="24"/>
                <w:szCs w:val="24"/>
              </w:rPr>
              <w:t>-1</w:t>
            </w:r>
            <w:bookmarkEnd w:id="103"/>
          </w:p>
        </w:tc>
        <w:tc>
          <w:tcPr>
            <w:tcW w:w="639" w:type="dxa"/>
          </w:tcPr>
          <w:p w14:paraId="7B39D8E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4" w:name="_Toc223076576"/>
            <w:r w:rsidRPr="00F629D3">
              <w:rPr>
                <w:rFonts w:ascii="Times New Roman" w:eastAsia="Times New Roman" w:hAnsi="Times New Roman" w:cs="Times New Roman"/>
                <w:color w:val="000000"/>
                <w:sz w:val="24"/>
                <w:szCs w:val="24"/>
              </w:rPr>
              <w:t>-1</w:t>
            </w:r>
            <w:bookmarkEnd w:id="104"/>
          </w:p>
        </w:tc>
        <w:tc>
          <w:tcPr>
            <w:tcW w:w="640" w:type="dxa"/>
            <w:vAlign w:val="center"/>
          </w:tcPr>
          <w:p w14:paraId="75434F5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5" w:name="_Toc223076577"/>
            <w:r w:rsidRPr="00F629D3">
              <w:rPr>
                <w:rFonts w:ascii="Times New Roman" w:eastAsia="Times New Roman" w:hAnsi="Times New Roman" w:cs="Times New Roman"/>
                <w:color w:val="000000"/>
                <w:sz w:val="24"/>
                <w:szCs w:val="24"/>
              </w:rPr>
              <w:t>65</w:t>
            </w:r>
            <w:bookmarkEnd w:id="105"/>
          </w:p>
        </w:tc>
        <w:tc>
          <w:tcPr>
            <w:tcW w:w="640" w:type="dxa"/>
            <w:vAlign w:val="center"/>
          </w:tcPr>
          <w:p w14:paraId="3248923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6" w:name="_Toc223076578"/>
            <w:r w:rsidRPr="00F629D3">
              <w:rPr>
                <w:rFonts w:ascii="Times New Roman" w:eastAsia="Times New Roman" w:hAnsi="Times New Roman" w:cs="Times New Roman"/>
                <w:color w:val="000000"/>
                <w:sz w:val="24"/>
                <w:szCs w:val="24"/>
              </w:rPr>
              <w:t>90</w:t>
            </w:r>
            <w:bookmarkEnd w:id="106"/>
          </w:p>
        </w:tc>
        <w:tc>
          <w:tcPr>
            <w:tcW w:w="641" w:type="dxa"/>
            <w:vAlign w:val="center"/>
          </w:tcPr>
          <w:p w14:paraId="251DB2A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7" w:name="_Toc223076579"/>
            <w:r w:rsidRPr="00F629D3">
              <w:rPr>
                <w:rFonts w:ascii="Times New Roman" w:eastAsia="Times New Roman" w:hAnsi="Times New Roman" w:cs="Times New Roman"/>
                <w:color w:val="000000"/>
                <w:sz w:val="24"/>
                <w:szCs w:val="24"/>
              </w:rPr>
              <w:t>6</w:t>
            </w:r>
            <w:bookmarkEnd w:id="107"/>
          </w:p>
        </w:tc>
        <w:tc>
          <w:tcPr>
            <w:tcW w:w="640" w:type="dxa"/>
            <w:vAlign w:val="center"/>
          </w:tcPr>
          <w:p w14:paraId="7F5A86E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8" w:name="_Toc223076580"/>
            <w:r w:rsidRPr="00F629D3">
              <w:rPr>
                <w:rFonts w:ascii="Times New Roman" w:eastAsia="Times New Roman" w:hAnsi="Times New Roman" w:cs="Times New Roman"/>
                <w:color w:val="000000"/>
                <w:sz w:val="24"/>
                <w:szCs w:val="24"/>
              </w:rPr>
              <w:t>1</w:t>
            </w:r>
            <w:bookmarkEnd w:id="108"/>
          </w:p>
        </w:tc>
        <w:tc>
          <w:tcPr>
            <w:tcW w:w="1616" w:type="dxa"/>
            <w:vAlign w:val="center"/>
          </w:tcPr>
          <w:p w14:paraId="4EF54F03"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78.67</w:t>
            </w:r>
          </w:p>
        </w:tc>
        <w:tc>
          <w:tcPr>
            <w:tcW w:w="1270" w:type="dxa"/>
            <w:vAlign w:val="center"/>
          </w:tcPr>
          <w:p w14:paraId="33E507DF"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79.08</w:t>
            </w:r>
          </w:p>
        </w:tc>
      </w:tr>
      <w:tr w:rsidR="0078719B" w:rsidRPr="00F629D3" w14:paraId="752BCAC2" w14:textId="77777777" w:rsidTr="00B7469A">
        <w:tblPrEx>
          <w:tblLook w:val="04A0" w:firstRow="1" w:lastRow="0" w:firstColumn="1" w:lastColumn="0" w:noHBand="0" w:noVBand="1"/>
        </w:tblPrEx>
        <w:trPr>
          <w:jc w:val="center"/>
        </w:trPr>
        <w:tc>
          <w:tcPr>
            <w:tcW w:w="792" w:type="dxa"/>
          </w:tcPr>
          <w:p w14:paraId="674E0D26" w14:textId="6DA9BD1E"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09" w:name="_Toc223076581"/>
            <w:r w:rsidRPr="00F629D3">
              <w:rPr>
                <w:rFonts w:ascii="Times New Roman" w:eastAsia="Times New Roman" w:hAnsi="Times New Roman" w:cs="Times New Roman"/>
                <w:color w:val="000000"/>
                <w:sz w:val="24"/>
                <w:szCs w:val="24"/>
              </w:rPr>
              <w:t>12</w:t>
            </w:r>
            <w:bookmarkEnd w:id="109"/>
          </w:p>
        </w:tc>
        <w:tc>
          <w:tcPr>
            <w:tcW w:w="638" w:type="dxa"/>
          </w:tcPr>
          <w:p w14:paraId="385B60D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0" w:name="_Toc223076582"/>
            <w:r w:rsidRPr="00F629D3">
              <w:rPr>
                <w:rFonts w:ascii="Times New Roman" w:eastAsia="Times New Roman" w:hAnsi="Times New Roman" w:cs="Times New Roman"/>
                <w:color w:val="000000"/>
                <w:sz w:val="24"/>
                <w:szCs w:val="24"/>
              </w:rPr>
              <w:t>0</w:t>
            </w:r>
            <w:bookmarkEnd w:id="110"/>
          </w:p>
        </w:tc>
        <w:tc>
          <w:tcPr>
            <w:tcW w:w="639" w:type="dxa"/>
          </w:tcPr>
          <w:p w14:paraId="249E0EF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1" w:name="_Toc223076583"/>
            <w:r w:rsidRPr="00F629D3">
              <w:rPr>
                <w:rFonts w:ascii="Times New Roman" w:eastAsia="Times New Roman" w:hAnsi="Times New Roman" w:cs="Times New Roman"/>
                <w:color w:val="000000"/>
                <w:sz w:val="24"/>
                <w:szCs w:val="24"/>
              </w:rPr>
              <w:t>0</w:t>
            </w:r>
            <w:bookmarkEnd w:id="111"/>
          </w:p>
        </w:tc>
        <w:tc>
          <w:tcPr>
            <w:tcW w:w="639" w:type="dxa"/>
          </w:tcPr>
          <w:p w14:paraId="5EB1CA5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2" w:name="_Toc223076584"/>
            <w:r w:rsidRPr="00F629D3">
              <w:rPr>
                <w:rFonts w:ascii="Times New Roman" w:eastAsia="Times New Roman" w:hAnsi="Times New Roman" w:cs="Times New Roman"/>
                <w:color w:val="000000"/>
                <w:sz w:val="24"/>
                <w:szCs w:val="24"/>
              </w:rPr>
              <w:t>1</w:t>
            </w:r>
            <w:bookmarkEnd w:id="112"/>
          </w:p>
        </w:tc>
        <w:tc>
          <w:tcPr>
            <w:tcW w:w="639" w:type="dxa"/>
          </w:tcPr>
          <w:p w14:paraId="65AB471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3" w:name="_Toc223076585"/>
            <w:r w:rsidRPr="00F629D3">
              <w:rPr>
                <w:rFonts w:ascii="Times New Roman" w:eastAsia="Times New Roman" w:hAnsi="Times New Roman" w:cs="Times New Roman"/>
                <w:color w:val="000000"/>
                <w:sz w:val="24"/>
                <w:szCs w:val="24"/>
              </w:rPr>
              <w:t>-1</w:t>
            </w:r>
            <w:bookmarkEnd w:id="113"/>
          </w:p>
        </w:tc>
        <w:tc>
          <w:tcPr>
            <w:tcW w:w="640" w:type="dxa"/>
            <w:vAlign w:val="center"/>
          </w:tcPr>
          <w:p w14:paraId="76D20F2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4" w:name="_Toc223076586"/>
            <w:r w:rsidRPr="00F629D3">
              <w:rPr>
                <w:rFonts w:ascii="Times New Roman" w:eastAsia="Times New Roman" w:hAnsi="Times New Roman" w:cs="Times New Roman"/>
                <w:color w:val="000000"/>
                <w:sz w:val="24"/>
                <w:szCs w:val="24"/>
              </w:rPr>
              <w:t>65</w:t>
            </w:r>
            <w:bookmarkEnd w:id="114"/>
          </w:p>
        </w:tc>
        <w:tc>
          <w:tcPr>
            <w:tcW w:w="640" w:type="dxa"/>
            <w:vAlign w:val="center"/>
          </w:tcPr>
          <w:p w14:paraId="739BF29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5" w:name="_Toc223076587"/>
            <w:r w:rsidRPr="00F629D3">
              <w:rPr>
                <w:rFonts w:ascii="Times New Roman" w:eastAsia="Times New Roman" w:hAnsi="Times New Roman" w:cs="Times New Roman"/>
                <w:color w:val="000000"/>
                <w:sz w:val="24"/>
                <w:szCs w:val="24"/>
              </w:rPr>
              <w:t>90</w:t>
            </w:r>
            <w:bookmarkEnd w:id="115"/>
          </w:p>
        </w:tc>
        <w:tc>
          <w:tcPr>
            <w:tcW w:w="641" w:type="dxa"/>
            <w:vAlign w:val="center"/>
          </w:tcPr>
          <w:p w14:paraId="40B6069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6" w:name="_Toc223076588"/>
            <w:r w:rsidRPr="00F629D3">
              <w:rPr>
                <w:rFonts w:ascii="Times New Roman" w:eastAsia="Times New Roman" w:hAnsi="Times New Roman" w:cs="Times New Roman"/>
                <w:color w:val="000000"/>
                <w:sz w:val="24"/>
                <w:szCs w:val="24"/>
              </w:rPr>
              <w:t>12</w:t>
            </w:r>
            <w:bookmarkEnd w:id="116"/>
          </w:p>
        </w:tc>
        <w:tc>
          <w:tcPr>
            <w:tcW w:w="640" w:type="dxa"/>
            <w:vAlign w:val="center"/>
          </w:tcPr>
          <w:p w14:paraId="222774D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7" w:name="_Toc223076589"/>
            <w:r w:rsidRPr="00F629D3">
              <w:rPr>
                <w:rFonts w:ascii="Times New Roman" w:eastAsia="Times New Roman" w:hAnsi="Times New Roman" w:cs="Times New Roman"/>
                <w:color w:val="000000"/>
                <w:sz w:val="24"/>
                <w:szCs w:val="24"/>
              </w:rPr>
              <w:t>1</w:t>
            </w:r>
            <w:bookmarkEnd w:id="117"/>
          </w:p>
        </w:tc>
        <w:tc>
          <w:tcPr>
            <w:tcW w:w="1616" w:type="dxa"/>
            <w:vAlign w:val="center"/>
          </w:tcPr>
          <w:p w14:paraId="5EBA5FD4"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95.31</w:t>
            </w:r>
          </w:p>
        </w:tc>
        <w:tc>
          <w:tcPr>
            <w:tcW w:w="1270" w:type="dxa"/>
            <w:vAlign w:val="center"/>
          </w:tcPr>
          <w:p w14:paraId="2EFB2E4B"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94.59</w:t>
            </w:r>
          </w:p>
        </w:tc>
      </w:tr>
      <w:tr w:rsidR="0078719B" w:rsidRPr="00F629D3" w14:paraId="443EEC4E" w14:textId="77777777" w:rsidTr="00B7469A">
        <w:tblPrEx>
          <w:tblLook w:val="04A0" w:firstRow="1" w:lastRow="0" w:firstColumn="1" w:lastColumn="0" w:noHBand="0" w:noVBand="1"/>
        </w:tblPrEx>
        <w:trPr>
          <w:jc w:val="center"/>
        </w:trPr>
        <w:tc>
          <w:tcPr>
            <w:tcW w:w="792" w:type="dxa"/>
          </w:tcPr>
          <w:p w14:paraId="2C0E7AAD" w14:textId="53018A81"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8" w:name="_Toc223076590"/>
            <w:r w:rsidRPr="00F629D3">
              <w:rPr>
                <w:rFonts w:ascii="Times New Roman" w:eastAsia="Times New Roman" w:hAnsi="Times New Roman" w:cs="Times New Roman"/>
                <w:color w:val="000000"/>
                <w:sz w:val="24"/>
                <w:szCs w:val="24"/>
              </w:rPr>
              <w:t>13</w:t>
            </w:r>
            <w:bookmarkEnd w:id="118"/>
          </w:p>
        </w:tc>
        <w:tc>
          <w:tcPr>
            <w:tcW w:w="638" w:type="dxa"/>
          </w:tcPr>
          <w:p w14:paraId="4284FE9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19" w:name="_Toc223076591"/>
            <w:r w:rsidRPr="00F629D3">
              <w:rPr>
                <w:rFonts w:ascii="Times New Roman" w:eastAsia="Times New Roman" w:hAnsi="Times New Roman" w:cs="Times New Roman"/>
                <w:color w:val="000000"/>
                <w:sz w:val="24"/>
                <w:szCs w:val="24"/>
              </w:rPr>
              <w:t>1</w:t>
            </w:r>
            <w:bookmarkEnd w:id="119"/>
          </w:p>
        </w:tc>
        <w:tc>
          <w:tcPr>
            <w:tcW w:w="639" w:type="dxa"/>
          </w:tcPr>
          <w:p w14:paraId="0328969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0" w:name="_Toc223076592"/>
            <w:r w:rsidRPr="00F629D3">
              <w:rPr>
                <w:rFonts w:ascii="Times New Roman" w:eastAsia="Times New Roman" w:hAnsi="Times New Roman" w:cs="Times New Roman"/>
                <w:color w:val="000000"/>
                <w:sz w:val="24"/>
                <w:szCs w:val="24"/>
              </w:rPr>
              <w:t>-1</w:t>
            </w:r>
            <w:bookmarkEnd w:id="120"/>
          </w:p>
        </w:tc>
        <w:tc>
          <w:tcPr>
            <w:tcW w:w="639" w:type="dxa"/>
          </w:tcPr>
          <w:p w14:paraId="4726ED1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1" w:name="_Toc223076593"/>
            <w:r w:rsidRPr="00F629D3">
              <w:rPr>
                <w:rFonts w:ascii="Times New Roman" w:eastAsia="Times New Roman" w:hAnsi="Times New Roman" w:cs="Times New Roman"/>
                <w:color w:val="000000"/>
                <w:sz w:val="24"/>
                <w:szCs w:val="24"/>
              </w:rPr>
              <w:t>0</w:t>
            </w:r>
            <w:bookmarkEnd w:id="121"/>
          </w:p>
        </w:tc>
        <w:tc>
          <w:tcPr>
            <w:tcW w:w="639" w:type="dxa"/>
          </w:tcPr>
          <w:p w14:paraId="3B63307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2" w:name="_Toc223076594"/>
            <w:r w:rsidRPr="00F629D3">
              <w:rPr>
                <w:rFonts w:ascii="Times New Roman" w:eastAsia="Times New Roman" w:hAnsi="Times New Roman" w:cs="Times New Roman"/>
                <w:color w:val="000000"/>
                <w:sz w:val="24"/>
                <w:szCs w:val="24"/>
              </w:rPr>
              <w:t>0</w:t>
            </w:r>
            <w:bookmarkEnd w:id="122"/>
          </w:p>
        </w:tc>
        <w:tc>
          <w:tcPr>
            <w:tcW w:w="640" w:type="dxa"/>
            <w:vAlign w:val="center"/>
          </w:tcPr>
          <w:p w14:paraId="674798F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3" w:name="_Toc223076595"/>
            <w:r w:rsidRPr="00F629D3">
              <w:rPr>
                <w:rFonts w:ascii="Times New Roman" w:eastAsia="Times New Roman" w:hAnsi="Times New Roman" w:cs="Times New Roman"/>
                <w:color w:val="000000"/>
                <w:sz w:val="24"/>
                <w:szCs w:val="24"/>
              </w:rPr>
              <w:t>70</w:t>
            </w:r>
            <w:bookmarkEnd w:id="123"/>
          </w:p>
        </w:tc>
        <w:tc>
          <w:tcPr>
            <w:tcW w:w="640" w:type="dxa"/>
            <w:vAlign w:val="center"/>
          </w:tcPr>
          <w:p w14:paraId="40C494C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4" w:name="_Toc223076596"/>
            <w:r w:rsidRPr="00F629D3">
              <w:rPr>
                <w:rFonts w:ascii="Times New Roman" w:eastAsia="Times New Roman" w:hAnsi="Times New Roman" w:cs="Times New Roman"/>
                <w:color w:val="000000"/>
                <w:sz w:val="24"/>
                <w:szCs w:val="24"/>
              </w:rPr>
              <w:t>60</w:t>
            </w:r>
            <w:bookmarkEnd w:id="124"/>
          </w:p>
        </w:tc>
        <w:tc>
          <w:tcPr>
            <w:tcW w:w="641" w:type="dxa"/>
            <w:vAlign w:val="center"/>
          </w:tcPr>
          <w:p w14:paraId="508D381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5" w:name="_Toc223076597"/>
            <w:r w:rsidRPr="00F629D3">
              <w:rPr>
                <w:rFonts w:ascii="Times New Roman" w:eastAsia="Times New Roman" w:hAnsi="Times New Roman" w:cs="Times New Roman"/>
                <w:color w:val="000000"/>
                <w:sz w:val="24"/>
                <w:szCs w:val="24"/>
              </w:rPr>
              <w:t>9</w:t>
            </w:r>
            <w:bookmarkEnd w:id="125"/>
          </w:p>
        </w:tc>
        <w:tc>
          <w:tcPr>
            <w:tcW w:w="640" w:type="dxa"/>
            <w:vAlign w:val="center"/>
          </w:tcPr>
          <w:p w14:paraId="54AEA0D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6" w:name="_Toc223076598"/>
            <w:r w:rsidRPr="00F629D3">
              <w:rPr>
                <w:rFonts w:ascii="Times New Roman" w:eastAsia="Times New Roman" w:hAnsi="Times New Roman" w:cs="Times New Roman"/>
                <w:color w:val="000000"/>
                <w:sz w:val="24"/>
                <w:szCs w:val="24"/>
              </w:rPr>
              <w:t>3.5</w:t>
            </w:r>
            <w:bookmarkEnd w:id="126"/>
          </w:p>
        </w:tc>
        <w:tc>
          <w:tcPr>
            <w:tcW w:w="1616" w:type="dxa"/>
            <w:vAlign w:val="center"/>
          </w:tcPr>
          <w:p w14:paraId="4A5DAFC0"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90.06</w:t>
            </w:r>
          </w:p>
        </w:tc>
        <w:tc>
          <w:tcPr>
            <w:tcW w:w="1270" w:type="dxa"/>
            <w:vAlign w:val="center"/>
          </w:tcPr>
          <w:p w14:paraId="072C2974"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90.06</w:t>
            </w:r>
          </w:p>
        </w:tc>
      </w:tr>
      <w:tr w:rsidR="0078719B" w:rsidRPr="00F629D3" w14:paraId="6798BE15" w14:textId="77777777" w:rsidTr="00B7469A">
        <w:tblPrEx>
          <w:tblLook w:val="04A0" w:firstRow="1" w:lastRow="0" w:firstColumn="1" w:lastColumn="0" w:noHBand="0" w:noVBand="1"/>
        </w:tblPrEx>
        <w:trPr>
          <w:jc w:val="center"/>
        </w:trPr>
        <w:tc>
          <w:tcPr>
            <w:tcW w:w="792" w:type="dxa"/>
          </w:tcPr>
          <w:p w14:paraId="3CFC49C6" w14:textId="644E42E9"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7" w:name="_Toc223076599"/>
            <w:r w:rsidRPr="00F629D3">
              <w:rPr>
                <w:rFonts w:ascii="Times New Roman" w:eastAsia="Times New Roman" w:hAnsi="Times New Roman" w:cs="Times New Roman"/>
                <w:color w:val="000000"/>
                <w:sz w:val="24"/>
                <w:szCs w:val="24"/>
              </w:rPr>
              <w:t>14</w:t>
            </w:r>
            <w:bookmarkEnd w:id="127"/>
          </w:p>
        </w:tc>
        <w:tc>
          <w:tcPr>
            <w:tcW w:w="638" w:type="dxa"/>
          </w:tcPr>
          <w:p w14:paraId="35A6F7D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8" w:name="_Toc223076600"/>
            <w:r w:rsidRPr="00F629D3">
              <w:rPr>
                <w:rFonts w:ascii="Times New Roman" w:eastAsia="Times New Roman" w:hAnsi="Times New Roman" w:cs="Times New Roman"/>
                <w:color w:val="000000"/>
                <w:sz w:val="24"/>
                <w:szCs w:val="24"/>
              </w:rPr>
              <w:t>1</w:t>
            </w:r>
            <w:bookmarkEnd w:id="128"/>
          </w:p>
        </w:tc>
        <w:tc>
          <w:tcPr>
            <w:tcW w:w="639" w:type="dxa"/>
          </w:tcPr>
          <w:p w14:paraId="617DB9F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29" w:name="_Toc223076601"/>
            <w:r w:rsidRPr="00F629D3">
              <w:rPr>
                <w:rFonts w:ascii="Times New Roman" w:eastAsia="Times New Roman" w:hAnsi="Times New Roman" w:cs="Times New Roman"/>
                <w:color w:val="000000"/>
                <w:sz w:val="24"/>
                <w:szCs w:val="24"/>
              </w:rPr>
              <w:t>0</w:t>
            </w:r>
            <w:bookmarkEnd w:id="129"/>
          </w:p>
        </w:tc>
        <w:tc>
          <w:tcPr>
            <w:tcW w:w="639" w:type="dxa"/>
          </w:tcPr>
          <w:p w14:paraId="2F53CC3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0" w:name="_Toc223076602"/>
            <w:r w:rsidRPr="00F629D3">
              <w:rPr>
                <w:rFonts w:ascii="Times New Roman" w:eastAsia="Times New Roman" w:hAnsi="Times New Roman" w:cs="Times New Roman"/>
                <w:color w:val="000000"/>
                <w:sz w:val="24"/>
                <w:szCs w:val="24"/>
              </w:rPr>
              <w:t>0</w:t>
            </w:r>
            <w:bookmarkEnd w:id="130"/>
          </w:p>
        </w:tc>
        <w:tc>
          <w:tcPr>
            <w:tcW w:w="639" w:type="dxa"/>
          </w:tcPr>
          <w:p w14:paraId="3CCE162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1" w:name="_Toc223076603"/>
            <w:r w:rsidRPr="00F629D3">
              <w:rPr>
                <w:rFonts w:ascii="Times New Roman" w:eastAsia="Times New Roman" w:hAnsi="Times New Roman" w:cs="Times New Roman"/>
                <w:color w:val="000000"/>
                <w:sz w:val="24"/>
                <w:szCs w:val="24"/>
              </w:rPr>
              <w:t>-1</w:t>
            </w:r>
            <w:bookmarkEnd w:id="131"/>
          </w:p>
        </w:tc>
        <w:tc>
          <w:tcPr>
            <w:tcW w:w="640" w:type="dxa"/>
            <w:vAlign w:val="center"/>
          </w:tcPr>
          <w:p w14:paraId="4934842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2" w:name="_Toc223076604"/>
            <w:r w:rsidRPr="00F629D3">
              <w:rPr>
                <w:rFonts w:ascii="Times New Roman" w:eastAsia="Times New Roman" w:hAnsi="Times New Roman" w:cs="Times New Roman"/>
                <w:color w:val="000000"/>
                <w:sz w:val="24"/>
                <w:szCs w:val="24"/>
              </w:rPr>
              <w:t>70</w:t>
            </w:r>
            <w:bookmarkEnd w:id="132"/>
          </w:p>
        </w:tc>
        <w:tc>
          <w:tcPr>
            <w:tcW w:w="640" w:type="dxa"/>
            <w:vAlign w:val="center"/>
          </w:tcPr>
          <w:p w14:paraId="7EBF7A0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3" w:name="_Toc223076605"/>
            <w:r w:rsidRPr="00F629D3">
              <w:rPr>
                <w:rFonts w:ascii="Times New Roman" w:eastAsia="Times New Roman" w:hAnsi="Times New Roman" w:cs="Times New Roman"/>
                <w:color w:val="000000"/>
                <w:sz w:val="24"/>
                <w:szCs w:val="24"/>
              </w:rPr>
              <w:t>90</w:t>
            </w:r>
            <w:bookmarkEnd w:id="133"/>
          </w:p>
        </w:tc>
        <w:tc>
          <w:tcPr>
            <w:tcW w:w="641" w:type="dxa"/>
            <w:vAlign w:val="center"/>
          </w:tcPr>
          <w:p w14:paraId="12BA3E6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4" w:name="_Toc223076606"/>
            <w:r w:rsidRPr="00F629D3">
              <w:rPr>
                <w:rFonts w:ascii="Times New Roman" w:eastAsia="Times New Roman" w:hAnsi="Times New Roman" w:cs="Times New Roman"/>
                <w:color w:val="000000"/>
                <w:sz w:val="24"/>
                <w:szCs w:val="24"/>
              </w:rPr>
              <w:t>9</w:t>
            </w:r>
            <w:bookmarkEnd w:id="134"/>
          </w:p>
        </w:tc>
        <w:tc>
          <w:tcPr>
            <w:tcW w:w="640" w:type="dxa"/>
            <w:vAlign w:val="center"/>
          </w:tcPr>
          <w:p w14:paraId="0DF8F50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5" w:name="_Toc223076607"/>
            <w:r w:rsidRPr="00F629D3">
              <w:rPr>
                <w:rFonts w:ascii="Times New Roman" w:eastAsia="Times New Roman" w:hAnsi="Times New Roman" w:cs="Times New Roman"/>
                <w:color w:val="000000"/>
                <w:sz w:val="24"/>
                <w:szCs w:val="24"/>
              </w:rPr>
              <w:t>1</w:t>
            </w:r>
            <w:bookmarkEnd w:id="135"/>
          </w:p>
        </w:tc>
        <w:tc>
          <w:tcPr>
            <w:tcW w:w="1616" w:type="dxa"/>
            <w:vAlign w:val="center"/>
          </w:tcPr>
          <w:p w14:paraId="22DCA778"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91.54</w:t>
            </w:r>
          </w:p>
        </w:tc>
        <w:tc>
          <w:tcPr>
            <w:tcW w:w="1270" w:type="dxa"/>
            <w:vAlign w:val="center"/>
          </w:tcPr>
          <w:p w14:paraId="06117A98"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92.88</w:t>
            </w:r>
          </w:p>
        </w:tc>
      </w:tr>
      <w:tr w:rsidR="0078719B" w:rsidRPr="00F629D3" w14:paraId="5B97BD57" w14:textId="77777777" w:rsidTr="00B7469A">
        <w:tblPrEx>
          <w:tblLook w:val="04A0" w:firstRow="1" w:lastRow="0" w:firstColumn="1" w:lastColumn="0" w:noHBand="0" w:noVBand="1"/>
        </w:tblPrEx>
        <w:trPr>
          <w:jc w:val="center"/>
        </w:trPr>
        <w:tc>
          <w:tcPr>
            <w:tcW w:w="792" w:type="dxa"/>
          </w:tcPr>
          <w:p w14:paraId="69C1138D" w14:textId="2C4EE452"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6" w:name="_Toc223076608"/>
            <w:r w:rsidRPr="00F629D3">
              <w:rPr>
                <w:rFonts w:ascii="Times New Roman" w:eastAsia="Times New Roman" w:hAnsi="Times New Roman" w:cs="Times New Roman"/>
                <w:color w:val="000000"/>
                <w:sz w:val="24"/>
                <w:szCs w:val="24"/>
              </w:rPr>
              <w:t>15</w:t>
            </w:r>
            <w:bookmarkEnd w:id="136"/>
          </w:p>
        </w:tc>
        <w:tc>
          <w:tcPr>
            <w:tcW w:w="638" w:type="dxa"/>
          </w:tcPr>
          <w:p w14:paraId="2F1805F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7" w:name="_Toc223076609"/>
            <w:r w:rsidRPr="00F629D3">
              <w:rPr>
                <w:rFonts w:ascii="Times New Roman" w:eastAsia="Times New Roman" w:hAnsi="Times New Roman" w:cs="Times New Roman"/>
                <w:color w:val="000000"/>
                <w:sz w:val="24"/>
                <w:szCs w:val="24"/>
              </w:rPr>
              <w:t>-1</w:t>
            </w:r>
            <w:bookmarkEnd w:id="137"/>
          </w:p>
        </w:tc>
        <w:tc>
          <w:tcPr>
            <w:tcW w:w="639" w:type="dxa"/>
          </w:tcPr>
          <w:p w14:paraId="47A9338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8" w:name="_Toc223076610"/>
            <w:r w:rsidRPr="00F629D3">
              <w:rPr>
                <w:rFonts w:ascii="Times New Roman" w:eastAsia="Times New Roman" w:hAnsi="Times New Roman" w:cs="Times New Roman"/>
                <w:color w:val="000000"/>
                <w:sz w:val="24"/>
                <w:szCs w:val="24"/>
              </w:rPr>
              <w:t>0</w:t>
            </w:r>
            <w:bookmarkEnd w:id="138"/>
          </w:p>
        </w:tc>
        <w:tc>
          <w:tcPr>
            <w:tcW w:w="639" w:type="dxa"/>
          </w:tcPr>
          <w:p w14:paraId="412AFD1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39" w:name="_Toc223076611"/>
            <w:r w:rsidRPr="00F629D3">
              <w:rPr>
                <w:rFonts w:ascii="Times New Roman" w:eastAsia="Times New Roman" w:hAnsi="Times New Roman" w:cs="Times New Roman"/>
                <w:color w:val="000000"/>
                <w:sz w:val="24"/>
                <w:szCs w:val="24"/>
              </w:rPr>
              <w:t>0</w:t>
            </w:r>
            <w:bookmarkEnd w:id="139"/>
          </w:p>
        </w:tc>
        <w:tc>
          <w:tcPr>
            <w:tcW w:w="639" w:type="dxa"/>
          </w:tcPr>
          <w:p w14:paraId="293B370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0" w:name="_Toc223076612"/>
            <w:r w:rsidRPr="00F629D3">
              <w:rPr>
                <w:rFonts w:ascii="Times New Roman" w:eastAsia="Times New Roman" w:hAnsi="Times New Roman" w:cs="Times New Roman"/>
                <w:color w:val="000000"/>
                <w:sz w:val="24"/>
                <w:szCs w:val="24"/>
              </w:rPr>
              <w:t>1</w:t>
            </w:r>
            <w:bookmarkEnd w:id="140"/>
          </w:p>
        </w:tc>
        <w:tc>
          <w:tcPr>
            <w:tcW w:w="640" w:type="dxa"/>
            <w:vAlign w:val="center"/>
          </w:tcPr>
          <w:p w14:paraId="5FBB478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1" w:name="_Toc223076613"/>
            <w:r w:rsidRPr="00F629D3">
              <w:rPr>
                <w:rFonts w:ascii="Times New Roman" w:eastAsia="Times New Roman" w:hAnsi="Times New Roman" w:cs="Times New Roman"/>
                <w:color w:val="000000"/>
                <w:sz w:val="24"/>
                <w:szCs w:val="24"/>
              </w:rPr>
              <w:t>60</w:t>
            </w:r>
            <w:bookmarkEnd w:id="141"/>
          </w:p>
        </w:tc>
        <w:tc>
          <w:tcPr>
            <w:tcW w:w="640" w:type="dxa"/>
            <w:vAlign w:val="center"/>
          </w:tcPr>
          <w:p w14:paraId="2EB32E0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2" w:name="_Toc223076614"/>
            <w:r w:rsidRPr="00F629D3">
              <w:rPr>
                <w:rFonts w:ascii="Times New Roman" w:eastAsia="Times New Roman" w:hAnsi="Times New Roman" w:cs="Times New Roman"/>
                <w:color w:val="000000"/>
                <w:sz w:val="24"/>
                <w:szCs w:val="24"/>
              </w:rPr>
              <w:t>90</w:t>
            </w:r>
            <w:bookmarkEnd w:id="142"/>
          </w:p>
        </w:tc>
        <w:tc>
          <w:tcPr>
            <w:tcW w:w="641" w:type="dxa"/>
            <w:vAlign w:val="center"/>
          </w:tcPr>
          <w:p w14:paraId="2AF8A5C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3" w:name="_Toc223076615"/>
            <w:r w:rsidRPr="00F629D3">
              <w:rPr>
                <w:rFonts w:ascii="Times New Roman" w:eastAsia="Times New Roman" w:hAnsi="Times New Roman" w:cs="Times New Roman"/>
                <w:color w:val="000000"/>
                <w:sz w:val="24"/>
                <w:szCs w:val="24"/>
              </w:rPr>
              <w:t>9</w:t>
            </w:r>
            <w:bookmarkEnd w:id="143"/>
          </w:p>
        </w:tc>
        <w:tc>
          <w:tcPr>
            <w:tcW w:w="640" w:type="dxa"/>
            <w:vAlign w:val="center"/>
          </w:tcPr>
          <w:p w14:paraId="1FFD36E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4" w:name="_Toc223076616"/>
            <w:r w:rsidRPr="00F629D3">
              <w:rPr>
                <w:rFonts w:ascii="Times New Roman" w:eastAsia="Times New Roman" w:hAnsi="Times New Roman" w:cs="Times New Roman"/>
                <w:color w:val="000000"/>
                <w:sz w:val="24"/>
                <w:szCs w:val="24"/>
              </w:rPr>
              <w:t>6</w:t>
            </w:r>
            <w:bookmarkEnd w:id="144"/>
          </w:p>
        </w:tc>
        <w:tc>
          <w:tcPr>
            <w:tcW w:w="1616" w:type="dxa"/>
            <w:vAlign w:val="center"/>
          </w:tcPr>
          <w:p w14:paraId="502F69A5"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84.05</w:t>
            </w:r>
          </w:p>
        </w:tc>
        <w:tc>
          <w:tcPr>
            <w:tcW w:w="1270" w:type="dxa"/>
            <w:vAlign w:val="center"/>
          </w:tcPr>
          <w:p w14:paraId="45F4CE36"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83.04</w:t>
            </w:r>
          </w:p>
        </w:tc>
      </w:tr>
      <w:tr w:rsidR="0078719B" w:rsidRPr="00F629D3" w14:paraId="2C70A8FA" w14:textId="77777777" w:rsidTr="00B7469A">
        <w:tblPrEx>
          <w:tblLook w:val="04A0" w:firstRow="1" w:lastRow="0" w:firstColumn="1" w:lastColumn="0" w:noHBand="0" w:noVBand="1"/>
        </w:tblPrEx>
        <w:trPr>
          <w:jc w:val="center"/>
        </w:trPr>
        <w:tc>
          <w:tcPr>
            <w:tcW w:w="792" w:type="dxa"/>
          </w:tcPr>
          <w:p w14:paraId="674796A2" w14:textId="17A48F21"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5" w:name="_Toc223076617"/>
            <w:r w:rsidRPr="00F629D3">
              <w:rPr>
                <w:rFonts w:ascii="Times New Roman" w:eastAsia="Times New Roman" w:hAnsi="Times New Roman" w:cs="Times New Roman"/>
                <w:color w:val="000000"/>
                <w:sz w:val="24"/>
                <w:szCs w:val="24"/>
              </w:rPr>
              <w:t>16</w:t>
            </w:r>
            <w:bookmarkEnd w:id="145"/>
          </w:p>
        </w:tc>
        <w:tc>
          <w:tcPr>
            <w:tcW w:w="638" w:type="dxa"/>
          </w:tcPr>
          <w:p w14:paraId="406AB17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6" w:name="_Toc223076618"/>
            <w:r w:rsidRPr="00F629D3">
              <w:rPr>
                <w:rFonts w:ascii="Times New Roman" w:eastAsia="Times New Roman" w:hAnsi="Times New Roman" w:cs="Times New Roman"/>
                <w:color w:val="000000"/>
                <w:sz w:val="24"/>
                <w:szCs w:val="24"/>
              </w:rPr>
              <w:t>-1</w:t>
            </w:r>
            <w:bookmarkEnd w:id="146"/>
          </w:p>
        </w:tc>
        <w:tc>
          <w:tcPr>
            <w:tcW w:w="639" w:type="dxa"/>
          </w:tcPr>
          <w:p w14:paraId="58283D8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7" w:name="_Toc223076619"/>
            <w:r w:rsidRPr="00F629D3">
              <w:rPr>
                <w:rFonts w:ascii="Times New Roman" w:eastAsia="Times New Roman" w:hAnsi="Times New Roman" w:cs="Times New Roman"/>
                <w:color w:val="000000"/>
                <w:sz w:val="24"/>
                <w:szCs w:val="24"/>
              </w:rPr>
              <w:t>1</w:t>
            </w:r>
            <w:bookmarkEnd w:id="147"/>
          </w:p>
        </w:tc>
        <w:tc>
          <w:tcPr>
            <w:tcW w:w="639" w:type="dxa"/>
          </w:tcPr>
          <w:p w14:paraId="1ACCA56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8" w:name="_Toc223076620"/>
            <w:r w:rsidRPr="00F629D3">
              <w:rPr>
                <w:rFonts w:ascii="Times New Roman" w:eastAsia="Times New Roman" w:hAnsi="Times New Roman" w:cs="Times New Roman"/>
                <w:color w:val="000000"/>
                <w:sz w:val="24"/>
                <w:szCs w:val="24"/>
              </w:rPr>
              <w:t>0</w:t>
            </w:r>
            <w:bookmarkEnd w:id="148"/>
          </w:p>
        </w:tc>
        <w:tc>
          <w:tcPr>
            <w:tcW w:w="639" w:type="dxa"/>
          </w:tcPr>
          <w:p w14:paraId="37F23FF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49" w:name="_Toc223076621"/>
            <w:r w:rsidRPr="00F629D3">
              <w:rPr>
                <w:rFonts w:ascii="Times New Roman" w:eastAsia="Times New Roman" w:hAnsi="Times New Roman" w:cs="Times New Roman"/>
                <w:color w:val="000000"/>
                <w:sz w:val="24"/>
                <w:szCs w:val="24"/>
              </w:rPr>
              <w:t>0</w:t>
            </w:r>
            <w:bookmarkEnd w:id="149"/>
          </w:p>
        </w:tc>
        <w:tc>
          <w:tcPr>
            <w:tcW w:w="640" w:type="dxa"/>
            <w:vAlign w:val="center"/>
          </w:tcPr>
          <w:p w14:paraId="638C3DD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0" w:name="_Toc223076622"/>
            <w:r w:rsidRPr="00F629D3">
              <w:rPr>
                <w:rFonts w:ascii="Times New Roman" w:eastAsia="Times New Roman" w:hAnsi="Times New Roman" w:cs="Times New Roman"/>
                <w:color w:val="000000"/>
                <w:sz w:val="24"/>
                <w:szCs w:val="24"/>
              </w:rPr>
              <w:t>60</w:t>
            </w:r>
            <w:bookmarkEnd w:id="150"/>
          </w:p>
        </w:tc>
        <w:tc>
          <w:tcPr>
            <w:tcW w:w="640" w:type="dxa"/>
            <w:vAlign w:val="center"/>
          </w:tcPr>
          <w:p w14:paraId="162C746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1" w:name="_Toc223076623"/>
            <w:r w:rsidRPr="00F629D3">
              <w:rPr>
                <w:rFonts w:ascii="Times New Roman" w:eastAsia="Times New Roman" w:hAnsi="Times New Roman" w:cs="Times New Roman"/>
                <w:color w:val="000000"/>
                <w:sz w:val="24"/>
                <w:szCs w:val="24"/>
              </w:rPr>
              <w:t>120</w:t>
            </w:r>
            <w:bookmarkEnd w:id="151"/>
          </w:p>
        </w:tc>
        <w:tc>
          <w:tcPr>
            <w:tcW w:w="641" w:type="dxa"/>
            <w:vAlign w:val="center"/>
          </w:tcPr>
          <w:p w14:paraId="4279BE4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2" w:name="_Toc223076624"/>
            <w:r w:rsidRPr="00F629D3">
              <w:rPr>
                <w:rFonts w:ascii="Times New Roman" w:eastAsia="Times New Roman" w:hAnsi="Times New Roman" w:cs="Times New Roman"/>
                <w:color w:val="000000"/>
                <w:sz w:val="24"/>
                <w:szCs w:val="24"/>
              </w:rPr>
              <w:t>9</w:t>
            </w:r>
            <w:bookmarkEnd w:id="152"/>
          </w:p>
        </w:tc>
        <w:tc>
          <w:tcPr>
            <w:tcW w:w="640" w:type="dxa"/>
            <w:vAlign w:val="center"/>
          </w:tcPr>
          <w:p w14:paraId="53865CA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3" w:name="_Toc223076625"/>
            <w:r w:rsidRPr="00F629D3">
              <w:rPr>
                <w:rFonts w:ascii="Times New Roman" w:eastAsia="Times New Roman" w:hAnsi="Times New Roman" w:cs="Times New Roman"/>
                <w:color w:val="000000"/>
                <w:sz w:val="24"/>
                <w:szCs w:val="24"/>
              </w:rPr>
              <w:t>3.5</w:t>
            </w:r>
            <w:bookmarkEnd w:id="153"/>
          </w:p>
        </w:tc>
        <w:tc>
          <w:tcPr>
            <w:tcW w:w="1616" w:type="dxa"/>
            <w:vAlign w:val="center"/>
          </w:tcPr>
          <w:p w14:paraId="649C38FE"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86.93</w:t>
            </w:r>
          </w:p>
        </w:tc>
        <w:tc>
          <w:tcPr>
            <w:tcW w:w="1270" w:type="dxa"/>
            <w:vAlign w:val="center"/>
          </w:tcPr>
          <w:p w14:paraId="5843646E"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87.32</w:t>
            </w:r>
          </w:p>
        </w:tc>
      </w:tr>
      <w:tr w:rsidR="0078719B" w:rsidRPr="00F629D3" w14:paraId="427CE976" w14:textId="77777777" w:rsidTr="00B7469A">
        <w:tblPrEx>
          <w:tblLook w:val="04A0" w:firstRow="1" w:lastRow="0" w:firstColumn="1" w:lastColumn="0" w:noHBand="0" w:noVBand="1"/>
        </w:tblPrEx>
        <w:trPr>
          <w:jc w:val="center"/>
        </w:trPr>
        <w:tc>
          <w:tcPr>
            <w:tcW w:w="792" w:type="dxa"/>
          </w:tcPr>
          <w:p w14:paraId="790F5090" w14:textId="39F398E9"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4" w:name="_Toc223076626"/>
            <w:r w:rsidRPr="00F629D3">
              <w:rPr>
                <w:rFonts w:ascii="Times New Roman" w:eastAsia="Times New Roman" w:hAnsi="Times New Roman" w:cs="Times New Roman"/>
                <w:color w:val="000000"/>
                <w:sz w:val="24"/>
                <w:szCs w:val="24"/>
              </w:rPr>
              <w:t>17</w:t>
            </w:r>
            <w:bookmarkEnd w:id="154"/>
          </w:p>
        </w:tc>
        <w:tc>
          <w:tcPr>
            <w:tcW w:w="638" w:type="dxa"/>
          </w:tcPr>
          <w:p w14:paraId="5B92AB0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5" w:name="_Toc223076627"/>
            <w:r w:rsidRPr="00F629D3">
              <w:rPr>
                <w:rFonts w:ascii="Times New Roman" w:eastAsia="Times New Roman" w:hAnsi="Times New Roman" w:cs="Times New Roman"/>
                <w:color w:val="000000"/>
                <w:sz w:val="24"/>
                <w:szCs w:val="24"/>
              </w:rPr>
              <w:t>0</w:t>
            </w:r>
            <w:bookmarkEnd w:id="155"/>
          </w:p>
        </w:tc>
        <w:tc>
          <w:tcPr>
            <w:tcW w:w="639" w:type="dxa"/>
          </w:tcPr>
          <w:p w14:paraId="24B8428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6" w:name="_Toc223076628"/>
            <w:r w:rsidRPr="00F629D3">
              <w:rPr>
                <w:rFonts w:ascii="Times New Roman" w:eastAsia="Times New Roman" w:hAnsi="Times New Roman" w:cs="Times New Roman"/>
                <w:color w:val="000000"/>
                <w:sz w:val="24"/>
                <w:szCs w:val="24"/>
              </w:rPr>
              <w:t>-1</w:t>
            </w:r>
            <w:bookmarkEnd w:id="156"/>
          </w:p>
        </w:tc>
        <w:tc>
          <w:tcPr>
            <w:tcW w:w="639" w:type="dxa"/>
          </w:tcPr>
          <w:p w14:paraId="4BDCE8B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7" w:name="_Toc223076629"/>
            <w:r w:rsidRPr="00F629D3">
              <w:rPr>
                <w:rFonts w:ascii="Times New Roman" w:eastAsia="Times New Roman" w:hAnsi="Times New Roman" w:cs="Times New Roman"/>
                <w:color w:val="000000"/>
                <w:sz w:val="24"/>
                <w:szCs w:val="24"/>
              </w:rPr>
              <w:t>0</w:t>
            </w:r>
            <w:bookmarkEnd w:id="157"/>
          </w:p>
        </w:tc>
        <w:tc>
          <w:tcPr>
            <w:tcW w:w="639" w:type="dxa"/>
          </w:tcPr>
          <w:p w14:paraId="74D9A79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8" w:name="_Toc223076630"/>
            <w:r w:rsidRPr="00F629D3">
              <w:rPr>
                <w:rFonts w:ascii="Times New Roman" w:eastAsia="Times New Roman" w:hAnsi="Times New Roman" w:cs="Times New Roman"/>
                <w:color w:val="000000"/>
                <w:sz w:val="24"/>
                <w:szCs w:val="24"/>
              </w:rPr>
              <w:t>-1</w:t>
            </w:r>
            <w:bookmarkEnd w:id="158"/>
          </w:p>
        </w:tc>
        <w:tc>
          <w:tcPr>
            <w:tcW w:w="640" w:type="dxa"/>
            <w:vAlign w:val="center"/>
          </w:tcPr>
          <w:p w14:paraId="5CFF8BF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59" w:name="_Toc223076631"/>
            <w:r w:rsidRPr="00F629D3">
              <w:rPr>
                <w:rFonts w:ascii="Times New Roman" w:eastAsia="Times New Roman" w:hAnsi="Times New Roman" w:cs="Times New Roman"/>
                <w:color w:val="000000"/>
                <w:sz w:val="24"/>
                <w:szCs w:val="24"/>
              </w:rPr>
              <w:t>65</w:t>
            </w:r>
            <w:bookmarkEnd w:id="159"/>
          </w:p>
        </w:tc>
        <w:tc>
          <w:tcPr>
            <w:tcW w:w="640" w:type="dxa"/>
            <w:vAlign w:val="center"/>
          </w:tcPr>
          <w:p w14:paraId="52A99EC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0" w:name="_Toc223076632"/>
            <w:r w:rsidRPr="00F629D3">
              <w:rPr>
                <w:rFonts w:ascii="Times New Roman" w:eastAsia="Times New Roman" w:hAnsi="Times New Roman" w:cs="Times New Roman"/>
                <w:color w:val="000000"/>
                <w:sz w:val="24"/>
                <w:szCs w:val="24"/>
              </w:rPr>
              <w:t>60</w:t>
            </w:r>
            <w:bookmarkEnd w:id="160"/>
          </w:p>
        </w:tc>
        <w:tc>
          <w:tcPr>
            <w:tcW w:w="641" w:type="dxa"/>
            <w:vAlign w:val="center"/>
          </w:tcPr>
          <w:p w14:paraId="503E2C6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1" w:name="_Toc223076633"/>
            <w:r w:rsidRPr="00F629D3">
              <w:rPr>
                <w:rFonts w:ascii="Times New Roman" w:eastAsia="Times New Roman" w:hAnsi="Times New Roman" w:cs="Times New Roman"/>
                <w:color w:val="000000"/>
                <w:sz w:val="24"/>
                <w:szCs w:val="24"/>
              </w:rPr>
              <w:t>9</w:t>
            </w:r>
            <w:bookmarkEnd w:id="161"/>
          </w:p>
        </w:tc>
        <w:tc>
          <w:tcPr>
            <w:tcW w:w="640" w:type="dxa"/>
            <w:vAlign w:val="center"/>
          </w:tcPr>
          <w:p w14:paraId="7C39ACD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2" w:name="_Toc223076634"/>
            <w:r w:rsidRPr="00F629D3">
              <w:rPr>
                <w:rFonts w:ascii="Times New Roman" w:eastAsia="Times New Roman" w:hAnsi="Times New Roman" w:cs="Times New Roman"/>
                <w:color w:val="000000"/>
                <w:sz w:val="24"/>
                <w:szCs w:val="24"/>
              </w:rPr>
              <w:t>1</w:t>
            </w:r>
            <w:bookmarkEnd w:id="162"/>
          </w:p>
        </w:tc>
        <w:tc>
          <w:tcPr>
            <w:tcW w:w="1616" w:type="dxa"/>
            <w:vAlign w:val="center"/>
          </w:tcPr>
          <w:p w14:paraId="4BA90DB2"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67.47</w:t>
            </w:r>
          </w:p>
        </w:tc>
        <w:tc>
          <w:tcPr>
            <w:tcW w:w="1270" w:type="dxa"/>
            <w:vAlign w:val="center"/>
          </w:tcPr>
          <w:p w14:paraId="2F7F5216"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65.76</w:t>
            </w:r>
          </w:p>
        </w:tc>
      </w:tr>
      <w:tr w:rsidR="0078719B" w:rsidRPr="00F629D3" w14:paraId="61953863" w14:textId="77777777" w:rsidTr="00B7469A">
        <w:tblPrEx>
          <w:tblLook w:val="04A0" w:firstRow="1" w:lastRow="0" w:firstColumn="1" w:lastColumn="0" w:noHBand="0" w:noVBand="1"/>
        </w:tblPrEx>
        <w:trPr>
          <w:jc w:val="center"/>
        </w:trPr>
        <w:tc>
          <w:tcPr>
            <w:tcW w:w="792" w:type="dxa"/>
          </w:tcPr>
          <w:p w14:paraId="4D153B0B" w14:textId="66139BDD"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3" w:name="_Toc223076635"/>
            <w:r w:rsidRPr="00F629D3">
              <w:rPr>
                <w:rFonts w:ascii="Times New Roman" w:eastAsia="Times New Roman" w:hAnsi="Times New Roman" w:cs="Times New Roman"/>
                <w:color w:val="000000"/>
                <w:sz w:val="24"/>
                <w:szCs w:val="24"/>
              </w:rPr>
              <w:t>18</w:t>
            </w:r>
            <w:bookmarkEnd w:id="163"/>
          </w:p>
        </w:tc>
        <w:tc>
          <w:tcPr>
            <w:tcW w:w="638" w:type="dxa"/>
          </w:tcPr>
          <w:p w14:paraId="4286F36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4" w:name="_Toc223076636"/>
            <w:r w:rsidRPr="00F629D3">
              <w:rPr>
                <w:rFonts w:ascii="Times New Roman" w:eastAsia="Times New Roman" w:hAnsi="Times New Roman" w:cs="Times New Roman"/>
                <w:color w:val="000000"/>
                <w:sz w:val="24"/>
                <w:szCs w:val="24"/>
              </w:rPr>
              <w:t>0</w:t>
            </w:r>
            <w:bookmarkEnd w:id="164"/>
          </w:p>
        </w:tc>
        <w:tc>
          <w:tcPr>
            <w:tcW w:w="639" w:type="dxa"/>
          </w:tcPr>
          <w:p w14:paraId="4E34B18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5" w:name="_Toc223076637"/>
            <w:r w:rsidRPr="00F629D3">
              <w:rPr>
                <w:rFonts w:ascii="Times New Roman" w:eastAsia="Times New Roman" w:hAnsi="Times New Roman" w:cs="Times New Roman"/>
                <w:color w:val="000000"/>
                <w:sz w:val="24"/>
                <w:szCs w:val="24"/>
              </w:rPr>
              <w:t>1</w:t>
            </w:r>
            <w:bookmarkEnd w:id="165"/>
          </w:p>
        </w:tc>
        <w:tc>
          <w:tcPr>
            <w:tcW w:w="639" w:type="dxa"/>
          </w:tcPr>
          <w:p w14:paraId="568B4C3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6" w:name="_Toc223076638"/>
            <w:r w:rsidRPr="00F629D3">
              <w:rPr>
                <w:rFonts w:ascii="Times New Roman" w:eastAsia="Times New Roman" w:hAnsi="Times New Roman" w:cs="Times New Roman"/>
                <w:color w:val="000000"/>
                <w:sz w:val="24"/>
                <w:szCs w:val="24"/>
              </w:rPr>
              <w:t>-1</w:t>
            </w:r>
            <w:bookmarkEnd w:id="166"/>
          </w:p>
        </w:tc>
        <w:tc>
          <w:tcPr>
            <w:tcW w:w="639" w:type="dxa"/>
          </w:tcPr>
          <w:p w14:paraId="38F8322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7" w:name="_Toc223076639"/>
            <w:r w:rsidRPr="00F629D3">
              <w:rPr>
                <w:rFonts w:ascii="Times New Roman" w:eastAsia="Times New Roman" w:hAnsi="Times New Roman" w:cs="Times New Roman"/>
                <w:color w:val="000000"/>
                <w:sz w:val="24"/>
                <w:szCs w:val="24"/>
              </w:rPr>
              <w:t>0</w:t>
            </w:r>
            <w:bookmarkEnd w:id="167"/>
          </w:p>
        </w:tc>
        <w:tc>
          <w:tcPr>
            <w:tcW w:w="640" w:type="dxa"/>
            <w:vAlign w:val="center"/>
          </w:tcPr>
          <w:p w14:paraId="24A8B6E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8" w:name="_Toc223076640"/>
            <w:r w:rsidRPr="00F629D3">
              <w:rPr>
                <w:rFonts w:ascii="Times New Roman" w:eastAsia="Times New Roman" w:hAnsi="Times New Roman" w:cs="Times New Roman"/>
                <w:color w:val="000000"/>
                <w:sz w:val="24"/>
                <w:szCs w:val="24"/>
              </w:rPr>
              <w:t>65</w:t>
            </w:r>
            <w:bookmarkEnd w:id="168"/>
          </w:p>
        </w:tc>
        <w:tc>
          <w:tcPr>
            <w:tcW w:w="640" w:type="dxa"/>
            <w:vAlign w:val="center"/>
          </w:tcPr>
          <w:p w14:paraId="777E2A6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69" w:name="_Toc223076641"/>
            <w:r w:rsidRPr="00F629D3">
              <w:rPr>
                <w:rFonts w:ascii="Times New Roman" w:eastAsia="Times New Roman" w:hAnsi="Times New Roman" w:cs="Times New Roman"/>
                <w:color w:val="000000"/>
                <w:sz w:val="24"/>
                <w:szCs w:val="24"/>
              </w:rPr>
              <w:t>120</w:t>
            </w:r>
            <w:bookmarkEnd w:id="169"/>
          </w:p>
        </w:tc>
        <w:tc>
          <w:tcPr>
            <w:tcW w:w="641" w:type="dxa"/>
            <w:vAlign w:val="center"/>
          </w:tcPr>
          <w:p w14:paraId="3E2E049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0" w:name="_Toc223076642"/>
            <w:r w:rsidRPr="00F629D3">
              <w:rPr>
                <w:rFonts w:ascii="Times New Roman" w:eastAsia="Times New Roman" w:hAnsi="Times New Roman" w:cs="Times New Roman"/>
                <w:color w:val="000000"/>
                <w:sz w:val="24"/>
                <w:szCs w:val="24"/>
              </w:rPr>
              <w:t>6</w:t>
            </w:r>
            <w:bookmarkEnd w:id="170"/>
          </w:p>
        </w:tc>
        <w:tc>
          <w:tcPr>
            <w:tcW w:w="640" w:type="dxa"/>
            <w:vAlign w:val="center"/>
          </w:tcPr>
          <w:p w14:paraId="0672036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1" w:name="_Toc223076643"/>
            <w:r w:rsidRPr="00F629D3">
              <w:rPr>
                <w:rFonts w:ascii="Times New Roman" w:eastAsia="Times New Roman" w:hAnsi="Times New Roman" w:cs="Times New Roman"/>
                <w:color w:val="000000"/>
                <w:sz w:val="24"/>
                <w:szCs w:val="24"/>
              </w:rPr>
              <w:t>3.5</w:t>
            </w:r>
            <w:bookmarkEnd w:id="171"/>
          </w:p>
        </w:tc>
        <w:tc>
          <w:tcPr>
            <w:tcW w:w="1616" w:type="dxa"/>
            <w:vAlign w:val="center"/>
          </w:tcPr>
          <w:p w14:paraId="5EFA0A6B"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90.25</w:t>
            </w:r>
          </w:p>
        </w:tc>
        <w:tc>
          <w:tcPr>
            <w:tcW w:w="1270" w:type="dxa"/>
            <w:vAlign w:val="center"/>
          </w:tcPr>
          <w:p w14:paraId="396E8FF3"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91.03</w:t>
            </w:r>
          </w:p>
        </w:tc>
      </w:tr>
      <w:tr w:rsidR="0078719B" w:rsidRPr="00F629D3" w14:paraId="02D2AC44" w14:textId="77777777" w:rsidTr="00B7469A">
        <w:tblPrEx>
          <w:tblLook w:val="04A0" w:firstRow="1" w:lastRow="0" w:firstColumn="1" w:lastColumn="0" w:noHBand="0" w:noVBand="1"/>
        </w:tblPrEx>
        <w:trPr>
          <w:jc w:val="center"/>
        </w:trPr>
        <w:tc>
          <w:tcPr>
            <w:tcW w:w="792" w:type="dxa"/>
          </w:tcPr>
          <w:p w14:paraId="34A1295F" w14:textId="0C5398D0"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2" w:name="_Toc223076644"/>
            <w:r w:rsidRPr="00F629D3">
              <w:rPr>
                <w:rFonts w:ascii="Times New Roman" w:eastAsia="Times New Roman" w:hAnsi="Times New Roman" w:cs="Times New Roman"/>
                <w:color w:val="000000"/>
                <w:sz w:val="24"/>
                <w:szCs w:val="24"/>
              </w:rPr>
              <w:t>19</w:t>
            </w:r>
            <w:bookmarkEnd w:id="172"/>
          </w:p>
        </w:tc>
        <w:tc>
          <w:tcPr>
            <w:tcW w:w="638" w:type="dxa"/>
          </w:tcPr>
          <w:p w14:paraId="25BD019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3" w:name="_Toc223076645"/>
            <w:r w:rsidRPr="00F629D3">
              <w:rPr>
                <w:rFonts w:ascii="Times New Roman" w:eastAsia="Times New Roman" w:hAnsi="Times New Roman" w:cs="Times New Roman"/>
                <w:color w:val="000000"/>
                <w:sz w:val="24"/>
                <w:szCs w:val="24"/>
              </w:rPr>
              <w:t>0</w:t>
            </w:r>
            <w:bookmarkEnd w:id="173"/>
          </w:p>
        </w:tc>
        <w:tc>
          <w:tcPr>
            <w:tcW w:w="639" w:type="dxa"/>
          </w:tcPr>
          <w:p w14:paraId="5EF212A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4" w:name="_Toc223076646"/>
            <w:r w:rsidRPr="00F629D3">
              <w:rPr>
                <w:rFonts w:ascii="Times New Roman" w:eastAsia="Times New Roman" w:hAnsi="Times New Roman" w:cs="Times New Roman"/>
                <w:color w:val="000000"/>
                <w:sz w:val="24"/>
                <w:szCs w:val="24"/>
              </w:rPr>
              <w:t>0</w:t>
            </w:r>
            <w:bookmarkEnd w:id="174"/>
          </w:p>
        </w:tc>
        <w:tc>
          <w:tcPr>
            <w:tcW w:w="639" w:type="dxa"/>
          </w:tcPr>
          <w:p w14:paraId="07C1AD7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5" w:name="_Toc223076647"/>
            <w:r w:rsidRPr="00F629D3">
              <w:rPr>
                <w:rFonts w:ascii="Times New Roman" w:eastAsia="Times New Roman" w:hAnsi="Times New Roman" w:cs="Times New Roman"/>
                <w:color w:val="000000"/>
                <w:sz w:val="24"/>
                <w:szCs w:val="24"/>
              </w:rPr>
              <w:t>1</w:t>
            </w:r>
            <w:bookmarkEnd w:id="175"/>
          </w:p>
        </w:tc>
        <w:tc>
          <w:tcPr>
            <w:tcW w:w="639" w:type="dxa"/>
          </w:tcPr>
          <w:p w14:paraId="2C28753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6" w:name="_Toc223076648"/>
            <w:r w:rsidRPr="00F629D3">
              <w:rPr>
                <w:rFonts w:ascii="Times New Roman" w:eastAsia="Times New Roman" w:hAnsi="Times New Roman" w:cs="Times New Roman"/>
                <w:color w:val="000000"/>
                <w:sz w:val="24"/>
                <w:szCs w:val="24"/>
              </w:rPr>
              <w:t>1</w:t>
            </w:r>
            <w:bookmarkEnd w:id="176"/>
          </w:p>
        </w:tc>
        <w:tc>
          <w:tcPr>
            <w:tcW w:w="640" w:type="dxa"/>
            <w:vAlign w:val="center"/>
          </w:tcPr>
          <w:p w14:paraId="27248CC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7" w:name="_Toc223076649"/>
            <w:r w:rsidRPr="00F629D3">
              <w:rPr>
                <w:rFonts w:ascii="Times New Roman" w:eastAsia="Times New Roman" w:hAnsi="Times New Roman" w:cs="Times New Roman"/>
                <w:color w:val="000000"/>
                <w:sz w:val="24"/>
                <w:szCs w:val="24"/>
              </w:rPr>
              <w:t>65</w:t>
            </w:r>
            <w:bookmarkEnd w:id="177"/>
          </w:p>
        </w:tc>
        <w:tc>
          <w:tcPr>
            <w:tcW w:w="640" w:type="dxa"/>
            <w:vAlign w:val="center"/>
          </w:tcPr>
          <w:p w14:paraId="403A708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8" w:name="_Toc223076650"/>
            <w:r w:rsidRPr="00F629D3">
              <w:rPr>
                <w:rFonts w:ascii="Times New Roman" w:eastAsia="Times New Roman" w:hAnsi="Times New Roman" w:cs="Times New Roman"/>
                <w:color w:val="000000"/>
                <w:sz w:val="24"/>
                <w:szCs w:val="24"/>
              </w:rPr>
              <w:t>90</w:t>
            </w:r>
            <w:bookmarkEnd w:id="178"/>
          </w:p>
        </w:tc>
        <w:tc>
          <w:tcPr>
            <w:tcW w:w="641" w:type="dxa"/>
            <w:vAlign w:val="center"/>
          </w:tcPr>
          <w:p w14:paraId="1CFD00D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79" w:name="_Toc223076651"/>
            <w:r w:rsidRPr="00F629D3">
              <w:rPr>
                <w:rFonts w:ascii="Times New Roman" w:eastAsia="Times New Roman" w:hAnsi="Times New Roman" w:cs="Times New Roman"/>
                <w:color w:val="000000"/>
                <w:sz w:val="24"/>
                <w:szCs w:val="24"/>
              </w:rPr>
              <w:t>12</w:t>
            </w:r>
            <w:bookmarkEnd w:id="179"/>
          </w:p>
        </w:tc>
        <w:tc>
          <w:tcPr>
            <w:tcW w:w="640" w:type="dxa"/>
            <w:vAlign w:val="center"/>
          </w:tcPr>
          <w:p w14:paraId="3116A26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0" w:name="_Toc223076652"/>
            <w:r w:rsidRPr="00F629D3">
              <w:rPr>
                <w:rFonts w:ascii="Times New Roman" w:eastAsia="Times New Roman" w:hAnsi="Times New Roman" w:cs="Times New Roman"/>
                <w:color w:val="000000"/>
                <w:sz w:val="24"/>
                <w:szCs w:val="24"/>
              </w:rPr>
              <w:t>6</w:t>
            </w:r>
            <w:bookmarkEnd w:id="180"/>
          </w:p>
        </w:tc>
        <w:tc>
          <w:tcPr>
            <w:tcW w:w="1616" w:type="dxa"/>
            <w:vAlign w:val="center"/>
          </w:tcPr>
          <w:p w14:paraId="4C61493F"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78.62</w:t>
            </w:r>
          </w:p>
        </w:tc>
        <w:tc>
          <w:tcPr>
            <w:tcW w:w="1270" w:type="dxa"/>
            <w:vAlign w:val="center"/>
          </w:tcPr>
          <w:p w14:paraId="4B43CB14"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78.59</w:t>
            </w:r>
          </w:p>
        </w:tc>
      </w:tr>
      <w:tr w:rsidR="0078719B" w:rsidRPr="00F629D3" w14:paraId="23A12C17" w14:textId="77777777" w:rsidTr="00B7469A">
        <w:tblPrEx>
          <w:tblLook w:val="04A0" w:firstRow="1" w:lastRow="0" w:firstColumn="1" w:lastColumn="0" w:noHBand="0" w:noVBand="1"/>
        </w:tblPrEx>
        <w:trPr>
          <w:jc w:val="center"/>
        </w:trPr>
        <w:tc>
          <w:tcPr>
            <w:tcW w:w="792" w:type="dxa"/>
          </w:tcPr>
          <w:p w14:paraId="672752B1" w14:textId="59CD78EF"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1" w:name="_Toc223076653"/>
            <w:r w:rsidRPr="00F629D3">
              <w:rPr>
                <w:rFonts w:ascii="Times New Roman" w:eastAsia="Times New Roman" w:hAnsi="Times New Roman" w:cs="Times New Roman"/>
                <w:color w:val="000000"/>
                <w:sz w:val="24"/>
                <w:szCs w:val="24"/>
              </w:rPr>
              <w:t>20</w:t>
            </w:r>
            <w:bookmarkEnd w:id="181"/>
          </w:p>
        </w:tc>
        <w:tc>
          <w:tcPr>
            <w:tcW w:w="638" w:type="dxa"/>
          </w:tcPr>
          <w:p w14:paraId="6A9C2DA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2" w:name="_Toc223076654"/>
            <w:r w:rsidRPr="00F629D3">
              <w:rPr>
                <w:rFonts w:ascii="Times New Roman" w:eastAsia="Times New Roman" w:hAnsi="Times New Roman" w:cs="Times New Roman"/>
                <w:color w:val="000000"/>
                <w:sz w:val="24"/>
                <w:szCs w:val="24"/>
              </w:rPr>
              <w:t>1</w:t>
            </w:r>
            <w:bookmarkEnd w:id="182"/>
          </w:p>
        </w:tc>
        <w:tc>
          <w:tcPr>
            <w:tcW w:w="639" w:type="dxa"/>
          </w:tcPr>
          <w:p w14:paraId="0490A9A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3" w:name="_Toc223076655"/>
            <w:r w:rsidRPr="00F629D3">
              <w:rPr>
                <w:rFonts w:ascii="Times New Roman" w:eastAsia="Times New Roman" w:hAnsi="Times New Roman" w:cs="Times New Roman"/>
                <w:color w:val="000000"/>
                <w:sz w:val="24"/>
                <w:szCs w:val="24"/>
              </w:rPr>
              <w:t>1</w:t>
            </w:r>
            <w:bookmarkEnd w:id="183"/>
          </w:p>
        </w:tc>
        <w:tc>
          <w:tcPr>
            <w:tcW w:w="639" w:type="dxa"/>
          </w:tcPr>
          <w:p w14:paraId="3CCA204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4" w:name="_Toc223076656"/>
            <w:r w:rsidRPr="00F629D3">
              <w:rPr>
                <w:rFonts w:ascii="Times New Roman" w:eastAsia="Times New Roman" w:hAnsi="Times New Roman" w:cs="Times New Roman"/>
                <w:color w:val="000000"/>
                <w:sz w:val="24"/>
                <w:szCs w:val="24"/>
              </w:rPr>
              <w:t>0</w:t>
            </w:r>
            <w:bookmarkEnd w:id="184"/>
          </w:p>
        </w:tc>
        <w:tc>
          <w:tcPr>
            <w:tcW w:w="639" w:type="dxa"/>
          </w:tcPr>
          <w:p w14:paraId="3145E44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5" w:name="_Toc223076657"/>
            <w:r w:rsidRPr="00F629D3">
              <w:rPr>
                <w:rFonts w:ascii="Times New Roman" w:eastAsia="Times New Roman" w:hAnsi="Times New Roman" w:cs="Times New Roman"/>
                <w:color w:val="000000"/>
                <w:sz w:val="24"/>
                <w:szCs w:val="24"/>
              </w:rPr>
              <w:t>0</w:t>
            </w:r>
            <w:bookmarkEnd w:id="185"/>
          </w:p>
        </w:tc>
        <w:tc>
          <w:tcPr>
            <w:tcW w:w="640" w:type="dxa"/>
            <w:vAlign w:val="center"/>
          </w:tcPr>
          <w:p w14:paraId="6152EAAE"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6" w:name="_Toc223076658"/>
            <w:r w:rsidRPr="00F629D3">
              <w:rPr>
                <w:rFonts w:ascii="Times New Roman" w:eastAsia="Times New Roman" w:hAnsi="Times New Roman" w:cs="Times New Roman"/>
                <w:color w:val="000000"/>
                <w:sz w:val="24"/>
                <w:szCs w:val="24"/>
              </w:rPr>
              <w:t>70</w:t>
            </w:r>
            <w:bookmarkEnd w:id="186"/>
          </w:p>
        </w:tc>
        <w:tc>
          <w:tcPr>
            <w:tcW w:w="640" w:type="dxa"/>
            <w:vAlign w:val="center"/>
          </w:tcPr>
          <w:p w14:paraId="4501F73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7" w:name="_Toc223076659"/>
            <w:r w:rsidRPr="00F629D3">
              <w:rPr>
                <w:rFonts w:ascii="Times New Roman" w:eastAsia="Times New Roman" w:hAnsi="Times New Roman" w:cs="Times New Roman"/>
                <w:color w:val="000000"/>
                <w:sz w:val="24"/>
                <w:szCs w:val="24"/>
              </w:rPr>
              <w:t>120</w:t>
            </w:r>
            <w:bookmarkEnd w:id="187"/>
          </w:p>
        </w:tc>
        <w:tc>
          <w:tcPr>
            <w:tcW w:w="641" w:type="dxa"/>
            <w:vAlign w:val="center"/>
          </w:tcPr>
          <w:p w14:paraId="7775E94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8" w:name="_Toc223076660"/>
            <w:r w:rsidRPr="00F629D3">
              <w:rPr>
                <w:rFonts w:ascii="Times New Roman" w:eastAsia="Times New Roman" w:hAnsi="Times New Roman" w:cs="Times New Roman"/>
                <w:color w:val="000000"/>
                <w:sz w:val="24"/>
                <w:szCs w:val="24"/>
              </w:rPr>
              <w:t>9</w:t>
            </w:r>
            <w:bookmarkEnd w:id="188"/>
          </w:p>
        </w:tc>
        <w:tc>
          <w:tcPr>
            <w:tcW w:w="640" w:type="dxa"/>
            <w:vAlign w:val="center"/>
          </w:tcPr>
          <w:p w14:paraId="0183ED2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89" w:name="_Toc223076661"/>
            <w:r w:rsidRPr="00F629D3">
              <w:rPr>
                <w:rFonts w:ascii="Times New Roman" w:eastAsia="Times New Roman" w:hAnsi="Times New Roman" w:cs="Times New Roman"/>
                <w:color w:val="000000"/>
                <w:sz w:val="24"/>
                <w:szCs w:val="24"/>
              </w:rPr>
              <w:t>3.5</w:t>
            </w:r>
            <w:bookmarkEnd w:id="189"/>
          </w:p>
        </w:tc>
        <w:tc>
          <w:tcPr>
            <w:tcW w:w="1616" w:type="dxa"/>
            <w:vAlign w:val="center"/>
          </w:tcPr>
          <w:p w14:paraId="3D2E351B"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87.09</w:t>
            </w:r>
          </w:p>
        </w:tc>
        <w:tc>
          <w:tcPr>
            <w:tcW w:w="1270" w:type="dxa"/>
            <w:vAlign w:val="center"/>
          </w:tcPr>
          <w:p w14:paraId="30B82647"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86.89</w:t>
            </w:r>
          </w:p>
        </w:tc>
      </w:tr>
      <w:tr w:rsidR="0078719B" w:rsidRPr="00F629D3" w14:paraId="198E2B89" w14:textId="77777777" w:rsidTr="00B7469A">
        <w:tblPrEx>
          <w:tblLook w:val="04A0" w:firstRow="1" w:lastRow="0" w:firstColumn="1" w:lastColumn="0" w:noHBand="0" w:noVBand="1"/>
        </w:tblPrEx>
        <w:trPr>
          <w:jc w:val="center"/>
        </w:trPr>
        <w:tc>
          <w:tcPr>
            <w:tcW w:w="792" w:type="dxa"/>
          </w:tcPr>
          <w:p w14:paraId="79252DF7" w14:textId="609F36F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0" w:name="_Toc223076662"/>
            <w:r w:rsidRPr="00F629D3">
              <w:rPr>
                <w:rFonts w:ascii="Times New Roman" w:eastAsia="Times New Roman" w:hAnsi="Times New Roman" w:cs="Times New Roman"/>
                <w:color w:val="000000"/>
                <w:sz w:val="24"/>
                <w:szCs w:val="24"/>
              </w:rPr>
              <w:t>21</w:t>
            </w:r>
            <w:bookmarkEnd w:id="190"/>
          </w:p>
        </w:tc>
        <w:tc>
          <w:tcPr>
            <w:tcW w:w="638" w:type="dxa"/>
          </w:tcPr>
          <w:p w14:paraId="2261651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1" w:name="_Toc223076663"/>
            <w:r w:rsidRPr="00F629D3">
              <w:rPr>
                <w:rFonts w:ascii="Times New Roman" w:eastAsia="Times New Roman" w:hAnsi="Times New Roman" w:cs="Times New Roman"/>
                <w:color w:val="000000"/>
                <w:sz w:val="24"/>
                <w:szCs w:val="24"/>
              </w:rPr>
              <w:t>0</w:t>
            </w:r>
            <w:bookmarkEnd w:id="191"/>
          </w:p>
        </w:tc>
        <w:tc>
          <w:tcPr>
            <w:tcW w:w="639" w:type="dxa"/>
          </w:tcPr>
          <w:p w14:paraId="0D70606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2" w:name="_Toc223076664"/>
            <w:r w:rsidRPr="00F629D3">
              <w:rPr>
                <w:rFonts w:ascii="Times New Roman" w:eastAsia="Times New Roman" w:hAnsi="Times New Roman" w:cs="Times New Roman"/>
                <w:color w:val="000000"/>
                <w:sz w:val="24"/>
                <w:szCs w:val="24"/>
              </w:rPr>
              <w:t>1</w:t>
            </w:r>
            <w:bookmarkEnd w:id="192"/>
          </w:p>
        </w:tc>
        <w:tc>
          <w:tcPr>
            <w:tcW w:w="639" w:type="dxa"/>
          </w:tcPr>
          <w:p w14:paraId="2B2F0D9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3" w:name="_Toc223076665"/>
            <w:r w:rsidRPr="00F629D3">
              <w:rPr>
                <w:rFonts w:ascii="Times New Roman" w:eastAsia="Times New Roman" w:hAnsi="Times New Roman" w:cs="Times New Roman"/>
                <w:color w:val="000000"/>
                <w:sz w:val="24"/>
                <w:szCs w:val="24"/>
              </w:rPr>
              <w:t>0</w:t>
            </w:r>
            <w:bookmarkEnd w:id="193"/>
          </w:p>
        </w:tc>
        <w:tc>
          <w:tcPr>
            <w:tcW w:w="639" w:type="dxa"/>
          </w:tcPr>
          <w:p w14:paraId="4729EA5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4" w:name="_Toc223076666"/>
            <w:r w:rsidRPr="00F629D3">
              <w:rPr>
                <w:rFonts w:ascii="Times New Roman" w:eastAsia="Times New Roman" w:hAnsi="Times New Roman" w:cs="Times New Roman"/>
                <w:color w:val="000000"/>
                <w:sz w:val="24"/>
                <w:szCs w:val="24"/>
              </w:rPr>
              <w:t>1</w:t>
            </w:r>
            <w:bookmarkEnd w:id="194"/>
          </w:p>
        </w:tc>
        <w:tc>
          <w:tcPr>
            <w:tcW w:w="640" w:type="dxa"/>
            <w:vAlign w:val="center"/>
          </w:tcPr>
          <w:p w14:paraId="2E110A0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5" w:name="_Toc223076667"/>
            <w:r w:rsidRPr="00F629D3">
              <w:rPr>
                <w:rFonts w:ascii="Times New Roman" w:eastAsia="Times New Roman" w:hAnsi="Times New Roman" w:cs="Times New Roman"/>
                <w:color w:val="000000"/>
                <w:sz w:val="24"/>
                <w:szCs w:val="24"/>
              </w:rPr>
              <w:t>65</w:t>
            </w:r>
            <w:bookmarkEnd w:id="195"/>
          </w:p>
        </w:tc>
        <w:tc>
          <w:tcPr>
            <w:tcW w:w="640" w:type="dxa"/>
            <w:vAlign w:val="center"/>
          </w:tcPr>
          <w:p w14:paraId="5EBAFF1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6" w:name="_Toc223076668"/>
            <w:r w:rsidRPr="00F629D3">
              <w:rPr>
                <w:rFonts w:ascii="Times New Roman" w:eastAsia="Times New Roman" w:hAnsi="Times New Roman" w:cs="Times New Roman"/>
                <w:color w:val="000000"/>
                <w:sz w:val="24"/>
                <w:szCs w:val="24"/>
              </w:rPr>
              <w:t>120</w:t>
            </w:r>
            <w:bookmarkEnd w:id="196"/>
          </w:p>
        </w:tc>
        <w:tc>
          <w:tcPr>
            <w:tcW w:w="641" w:type="dxa"/>
            <w:vAlign w:val="center"/>
          </w:tcPr>
          <w:p w14:paraId="46D81C6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7" w:name="_Toc223076669"/>
            <w:r w:rsidRPr="00F629D3">
              <w:rPr>
                <w:rFonts w:ascii="Times New Roman" w:eastAsia="Times New Roman" w:hAnsi="Times New Roman" w:cs="Times New Roman"/>
                <w:color w:val="000000"/>
                <w:sz w:val="24"/>
                <w:szCs w:val="24"/>
              </w:rPr>
              <w:t>9</w:t>
            </w:r>
            <w:bookmarkEnd w:id="197"/>
          </w:p>
        </w:tc>
        <w:tc>
          <w:tcPr>
            <w:tcW w:w="640" w:type="dxa"/>
            <w:vAlign w:val="center"/>
          </w:tcPr>
          <w:p w14:paraId="6BC72EA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8" w:name="_Toc223076670"/>
            <w:r w:rsidRPr="00F629D3">
              <w:rPr>
                <w:rFonts w:ascii="Times New Roman" w:eastAsia="Times New Roman" w:hAnsi="Times New Roman" w:cs="Times New Roman"/>
                <w:color w:val="000000"/>
                <w:sz w:val="24"/>
                <w:szCs w:val="24"/>
              </w:rPr>
              <w:t>6</w:t>
            </w:r>
            <w:bookmarkEnd w:id="198"/>
          </w:p>
        </w:tc>
        <w:tc>
          <w:tcPr>
            <w:tcW w:w="1616" w:type="dxa"/>
            <w:vAlign w:val="center"/>
          </w:tcPr>
          <w:p w14:paraId="5354B6B2"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62.41</w:t>
            </w:r>
          </w:p>
        </w:tc>
        <w:tc>
          <w:tcPr>
            <w:tcW w:w="1270" w:type="dxa"/>
            <w:vAlign w:val="center"/>
          </w:tcPr>
          <w:p w14:paraId="73F1AD31"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63.41</w:t>
            </w:r>
          </w:p>
        </w:tc>
      </w:tr>
      <w:tr w:rsidR="0078719B" w:rsidRPr="00F629D3" w14:paraId="0981F214" w14:textId="77777777" w:rsidTr="00B7469A">
        <w:tblPrEx>
          <w:tblLook w:val="04A0" w:firstRow="1" w:lastRow="0" w:firstColumn="1" w:lastColumn="0" w:noHBand="0" w:noVBand="1"/>
        </w:tblPrEx>
        <w:trPr>
          <w:jc w:val="center"/>
        </w:trPr>
        <w:tc>
          <w:tcPr>
            <w:tcW w:w="792" w:type="dxa"/>
          </w:tcPr>
          <w:p w14:paraId="7E28EE9F" w14:textId="5015317D"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199" w:name="_Toc223076671"/>
            <w:r w:rsidRPr="00F629D3">
              <w:rPr>
                <w:rFonts w:ascii="Times New Roman" w:eastAsia="Times New Roman" w:hAnsi="Times New Roman" w:cs="Times New Roman"/>
                <w:color w:val="000000"/>
                <w:sz w:val="24"/>
                <w:szCs w:val="24"/>
              </w:rPr>
              <w:lastRenderedPageBreak/>
              <w:t>22</w:t>
            </w:r>
            <w:bookmarkEnd w:id="199"/>
          </w:p>
        </w:tc>
        <w:tc>
          <w:tcPr>
            <w:tcW w:w="638" w:type="dxa"/>
          </w:tcPr>
          <w:p w14:paraId="0357516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0" w:name="_Toc223076672"/>
            <w:r w:rsidRPr="00F629D3">
              <w:rPr>
                <w:rFonts w:ascii="Times New Roman" w:eastAsia="Times New Roman" w:hAnsi="Times New Roman" w:cs="Times New Roman"/>
                <w:color w:val="000000"/>
                <w:sz w:val="24"/>
                <w:szCs w:val="24"/>
              </w:rPr>
              <w:t>1</w:t>
            </w:r>
            <w:bookmarkEnd w:id="200"/>
          </w:p>
        </w:tc>
        <w:tc>
          <w:tcPr>
            <w:tcW w:w="639" w:type="dxa"/>
          </w:tcPr>
          <w:p w14:paraId="47D9EDC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1" w:name="_Toc223076673"/>
            <w:r w:rsidRPr="00F629D3">
              <w:rPr>
                <w:rFonts w:ascii="Times New Roman" w:eastAsia="Times New Roman" w:hAnsi="Times New Roman" w:cs="Times New Roman"/>
                <w:color w:val="000000"/>
                <w:sz w:val="24"/>
                <w:szCs w:val="24"/>
              </w:rPr>
              <w:t>0</w:t>
            </w:r>
            <w:bookmarkEnd w:id="201"/>
          </w:p>
        </w:tc>
        <w:tc>
          <w:tcPr>
            <w:tcW w:w="639" w:type="dxa"/>
          </w:tcPr>
          <w:p w14:paraId="0E82ADB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2" w:name="_Toc223076674"/>
            <w:r w:rsidRPr="00F629D3">
              <w:rPr>
                <w:rFonts w:ascii="Times New Roman" w:eastAsia="Times New Roman" w:hAnsi="Times New Roman" w:cs="Times New Roman"/>
                <w:color w:val="000000"/>
                <w:sz w:val="24"/>
                <w:szCs w:val="24"/>
              </w:rPr>
              <w:t>-1</w:t>
            </w:r>
            <w:bookmarkEnd w:id="202"/>
          </w:p>
        </w:tc>
        <w:tc>
          <w:tcPr>
            <w:tcW w:w="639" w:type="dxa"/>
          </w:tcPr>
          <w:p w14:paraId="464F7D4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3" w:name="_Toc223076675"/>
            <w:r w:rsidRPr="00F629D3">
              <w:rPr>
                <w:rFonts w:ascii="Times New Roman" w:eastAsia="Times New Roman" w:hAnsi="Times New Roman" w:cs="Times New Roman"/>
                <w:color w:val="000000"/>
                <w:sz w:val="24"/>
                <w:szCs w:val="24"/>
              </w:rPr>
              <w:t>0</w:t>
            </w:r>
            <w:bookmarkEnd w:id="203"/>
          </w:p>
        </w:tc>
        <w:tc>
          <w:tcPr>
            <w:tcW w:w="640" w:type="dxa"/>
            <w:vAlign w:val="center"/>
          </w:tcPr>
          <w:p w14:paraId="7285FC4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4" w:name="_Toc223076676"/>
            <w:r w:rsidRPr="00F629D3">
              <w:rPr>
                <w:rFonts w:ascii="Times New Roman" w:eastAsia="Times New Roman" w:hAnsi="Times New Roman" w:cs="Times New Roman"/>
                <w:color w:val="000000"/>
                <w:sz w:val="24"/>
                <w:szCs w:val="24"/>
              </w:rPr>
              <w:t>70</w:t>
            </w:r>
            <w:bookmarkEnd w:id="204"/>
          </w:p>
        </w:tc>
        <w:tc>
          <w:tcPr>
            <w:tcW w:w="640" w:type="dxa"/>
            <w:vAlign w:val="center"/>
          </w:tcPr>
          <w:p w14:paraId="192C612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5" w:name="_Toc223076677"/>
            <w:r w:rsidRPr="00F629D3">
              <w:rPr>
                <w:rFonts w:ascii="Times New Roman" w:eastAsia="Times New Roman" w:hAnsi="Times New Roman" w:cs="Times New Roman"/>
                <w:color w:val="000000"/>
                <w:sz w:val="24"/>
                <w:szCs w:val="24"/>
              </w:rPr>
              <w:t>90</w:t>
            </w:r>
            <w:bookmarkEnd w:id="205"/>
          </w:p>
        </w:tc>
        <w:tc>
          <w:tcPr>
            <w:tcW w:w="641" w:type="dxa"/>
            <w:vAlign w:val="center"/>
          </w:tcPr>
          <w:p w14:paraId="5697C68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6" w:name="_Toc223076678"/>
            <w:r w:rsidRPr="00F629D3">
              <w:rPr>
                <w:rFonts w:ascii="Times New Roman" w:eastAsia="Times New Roman" w:hAnsi="Times New Roman" w:cs="Times New Roman"/>
                <w:color w:val="000000"/>
                <w:sz w:val="24"/>
                <w:szCs w:val="24"/>
              </w:rPr>
              <w:t>6</w:t>
            </w:r>
            <w:bookmarkEnd w:id="206"/>
          </w:p>
        </w:tc>
        <w:tc>
          <w:tcPr>
            <w:tcW w:w="640" w:type="dxa"/>
            <w:vAlign w:val="center"/>
          </w:tcPr>
          <w:p w14:paraId="17A8B73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7" w:name="_Toc223076679"/>
            <w:r w:rsidRPr="00F629D3">
              <w:rPr>
                <w:rFonts w:ascii="Times New Roman" w:eastAsia="Times New Roman" w:hAnsi="Times New Roman" w:cs="Times New Roman"/>
                <w:color w:val="000000"/>
                <w:sz w:val="24"/>
                <w:szCs w:val="24"/>
              </w:rPr>
              <w:t>3.5</w:t>
            </w:r>
            <w:bookmarkEnd w:id="207"/>
          </w:p>
        </w:tc>
        <w:tc>
          <w:tcPr>
            <w:tcW w:w="1616" w:type="dxa"/>
            <w:vAlign w:val="center"/>
          </w:tcPr>
          <w:p w14:paraId="3E8A527D"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94.23</w:t>
            </w:r>
          </w:p>
        </w:tc>
        <w:tc>
          <w:tcPr>
            <w:tcW w:w="1270" w:type="dxa"/>
            <w:vAlign w:val="center"/>
          </w:tcPr>
          <w:p w14:paraId="5B8B4925"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92.97</w:t>
            </w:r>
          </w:p>
        </w:tc>
      </w:tr>
      <w:tr w:rsidR="0078719B" w:rsidRPr="00F629D3" w14:paraId="40C5C2FE" w14:textId="77777777" w:rsidTr="00B7469A">
        <w:tblPrEx>
          <w:tblLook w:val="04A0" w:firstRow="1" w:lastRow="0" w:firstColumn="1" w:lastColumn="0" w:noHBand="0" w:noVBand="1"/>
        </w:tblPrEx>
        <w:trPr>
          <w:jc w:val="center"/>
        </w:trPr>
        <w:tc>
          <w:tcPr>
            <w:tcW w:w="792" w:type="dxa"/>
          </w:tcPr>
          <w:p w14:paraId="59309061" w14:textId="7A5AFCBF"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8" w:name="_Toc223076680"/>
            <w:r w:rsidRPr="00F629D3">
              <w:rPr>
                <w:rFonts w:ascii="Times New Roman" w:eastAsia="Times New Roman" w:hAnsi="Times New Roman" w:cs="Times New Roman"/>
                <w:color w:val="000000"/>
                <w:sz w:val="24"/>
                <w:szCs w:val="24"/>
              </w:rPr>
              <w:t>23</w:t>
            </w:r>
            <w:bookmarkEnd w:id="208"/>
          </w:p>
        </w:tc>
        <w:tc>
          <w:tcPr>
            <w:tcW w:w="638" w:type="dxa"/>
          </w:tcPr>
          <w:p w14:paraId="371FAC0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09" w:name="_Toc223076681"/>
            <w:r w:rsidRPr="00F629D3">
              <w:rPr>
                <w:rFonts w:ascii="Times New Roman" w:eastAsia="Times New Roman" w:hAnsi="Times New Roman" w:cs="Times New Roman"/>
                <w:color w:val="000000"/>
                <w:sz w:val="24"/>
                <w:szCs w:val="24"/>
              </w:rPr>
              <w:t>0</w:t>
            </w:r>
            <w:bookmarkEnd w:id="209"/>
          </w:p>
        </w:tc>
        <w:tc>
          <w:tcPr>
            <w:tcW w:w="639" w:type="dxa"/>
          </w:tcPr>
          <w:p w14:paraId="5517A41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0" w:name="_Toc223076682"/>
            <w:r w:rsidRPr="00F629D3">
              <w:rPr>
                <w:rFonts w:ascii="Times New Roman" w:eastAsia="Times New Roman" w:hAnsi="Times New Roman" w:cs="Times New Roman"/>
                <w:color w:val="000000"/>
                <w:sz w:val="24"/>
                <w:szCs w:val="24"/>
              </w:rPr>
              <w:t>0</w:t>
            </w:r>
            <w:bookmarkEnd w:id="210"/>
          </w:p>
        </w:tc>
        <w:tc>
          <w:tcPr>
            <w:tcW w:w="639" w:type="dxa"/>
          </w:tcPr>
          <w:p w14:paraId="06FF09DC"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1" w:name="_Toc223076683"/>
            <w:r w:rsidRPr="00F629D3">
              <w:rPr>
                <w:rFonts w:ascii="Times New Roman" w:eastAsia="Times New Roman" w:hAnsi="Times New Roman" w:cs="Times New Roman"/>
                <w:color w:val="000000"/>
                <w:sz w:val="24"/>
                <w:szCs w:val="24"/>
              </w:rPr>
              <w:t>0</w:t>
            </w:r>
            <w:bookmarkEnd w:id="211"/>
          </w:p>
        </w:tc>
        <w:tc>
          <w:tcPr>
            <w:tcW w:w="639" w:type="dxa"/>
          </w:tcPr>
          <w:p w14:paraId="0129E7E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2" w:name="_Toc223076684"/>
            <w:r w:rsidRPr="00F629D3">
              <w:rPr>
                <w:rFonts w:ascii="Times New Roman" w:eastAsia="Times New Roman" w:hAnsi="Times New Roman" w:cs="Times New Roman"/>
                <w:color w:val="000000"/>
                <w:sz w:val="24"/>
                <w:szCs w:val="24"/>
              </w:rPr>
              <w:t>0</w:t>
            </w:r>
            <w:bookmarkEnd w:id="212"/>
          </w:p>
        </w:tc>
        <w:tc>
          <w:tcPr>
            <w:tcW w:w="640" w:type="dxa"/>
            <w:vAlign w:val="center"/>
          </w:tcPr>
          <w:p w14:paraId="3FB3795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3" w:name="_Toc223076685"/>
            <w:r w:rsidRPr="00F629D3">
              <w:rPr>
                <w:rFonts w:ascii="Times New Roman" w:eastAsia="Times New Roman" w:hAnsi="Times New Roman" w:cs="Times New Roman"/>
                <w:color w:val="000000"/>
                <w:sz w:val="24"/>
                <w:szCs w:val="24"/>
              </w:rPr>
              <w:t>65</w:t>
            </w:r>
            <w:bookmarkEnd w:id="213"/>
          </w:p>
        </w:tc>
        <w:tc>
          <w:tcPr>
            <w:tcW w:w="640" w:type="dxa"/>
            <w:vAlign w:val="center"/>
          </w:tcPr>
          <w:p w14:paraId="6342DD5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4" w:name="_Toc223076686"/>
            <w:r w:rsidRPr="00F629D3">
              <w:rPr>
                <w:rFonts w:ascii="Times New Roman" w:eastAsia="Times New Roman" w:hAnsi="Times New Roman" w:cs="Times New Roman"/>
                <w:color w:val="000000"/>
                <w:sz w:val="24"/>
                <w:szCs w:val="24"/>
              </w:rPr>
              <w:t>90</w:t>
            </w:r>
            <w:bookmarkEnd w:id="214"/>
          </w:p>
        </w:tc>
        <w:tc>
          <w:tcPr>
            <w:tcW w:w="641" w:type="dxa"/>
            <w:vAlign w:val="center"/>
          </w:tcPr>
          <w:p w14:paraId="1731422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5" w:name="_Toc223076687"/>
            <w:r w:rsidRPr="00F629D3">
              <w:rPr>
                <w:rFonts w:ascii="Times New Roman" w:eastAsia="Times New Roman" w:hAnsi="Times New Roman" w:cs="Times New Roman"/>
                <w:color w:val="000000"/>
                <w:sz w:val="24"/>
                <w:szCs w:val="24"/>
              </w:rPr>
              <w:t>9</w:t>
            </w:r>
            <w:bookmarkEnd w:id="215"/>
          </w:p>
        </w:tc>
        <w:tc>
          <w:tcPr>
            <w:tcW w:w="640" w:type="dxa"/>
            <w:vAlign w:val="center"/>
          </w:tcPr>
          <w:p w14:paraId="57C3577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6" w:name="_Toc223076688"/>
            <w:r w:rsidRPr="00F629D3">
              <w:rPr>
                <w:rFonts w:ascii="Times New Roman" w:eastAsia="Times New Roman" w:hAnsi="Times New Roman" w:cs="Times New Roman"/>
                <w:color w:val="000000"/>
                <w:sz w:val="24"/>
                <w:szCs w:val="24"/>
              </w:rPr>
              <w:t>3.5</w:t>
            </w:r>
            <w:bookmarkEnd w:id="216"/>
          </w:p>
        </w:tc>
        <w:tc>
          <w:tcPr>
            <w:tcW w:w="1616" w:type="dxa"/>
            <w:vAlign w:val="center"/>
          </w:tcPr>
          <w:p w14:paraId="7C002C46"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92.64</w:t>
            </w:r>
          </w:p>
        </w:tc>
        <w:tc>
          <w:tcPr>
            <w:tcW w:w="1270" w:type="dxa"/>
            <w:vAlign w:val="center"/>
          </w:tcPr>
          <w:p w14:paraId="2DAF7FC7"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92.76</w:t>
            </w:r>
          </w:p>
        </w:tc>
      </w:tr>
      <w:tr w:rsidR="0078719B" w:rsidRPr="00F629D3" w14:paraId="1CC772CA" w14:textId="77777777" w:rsidTr="00B7469A">
        <w:tblPrEx>
          <w:tblLook w:val="04A0" w:firstRow="1" w:lastRow="0" w:firstColumn="1" w:lastColumn="0" w:noHBand="0" w:noVBand="1"/>
        </w:tblPrEx>
        <w:trPr>
          <w:jc w:val="center"/>
        </w:trPr>
        <w:tc>
          <w:tcPr>
            <w:tcW w:w="792" w:type="dxa"/>
          </w:tcPr>
          <w:p w14:paraId="7DD671F9" w14:textId="13255A3F"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7" w:name="_Toc223076689"/>
            <w:r w:rsidRPr="00F629D3">
              <w:rPr>
                <w:rFonts w:ascii="Times New Roman" w:eastAsia="Times New Roman" w:hAnsi="Times New Roman" w:cs="Times New Roman"/>
                <w:color w:val="000000"/>
                <w:sz w:val="24"/>
                <w:szCs w:val="24"/>
              </w:rPr>
              <w:t>24</w:t>
            </w:r>
            <w:bookmarkEnd w:id="217"/>
          </w:p>
        </w:tc>
        <w:tc>
          <w:tcPr>
            <w:tcW w:w="638" w:type="dxa"/>
          </w:tcPr>
          <w:p w14:paraId="26DF464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8" w:name="_Toc223076690"/>
            <w:r w:rsidRPr="00F629D3">
              <w:rPr>
                <w:rFonts w:ascii="Times New Roman" w:eastAsia="Times New Roman" w:hAnsi="Times New Roman" w:cs="Times New Roman"/>
                <w:color w:val="000000"/>
                <w:sz w:val="24"/>
                <w:szCs w:val="24"/>
              </w:rPr>
              <w:t>0</w:t>
            </w:r>
            <w:bookmarkEnd w:id="218"/>
          </w:p>
        </w:tc>
        <w:tc>
          <w:tcPr>
            <w:tcW w:w="639" w:type="dxa"/>
          </w:tcPr>
          <w:p w14:paraId="5E98167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19" w:name="_Toc223076691"/>
            <w:r w:rsidRPr="00F629D3">
              <w:rPr>
                <w:rFonts w:ascii="Times New Roman" w:eastAsia="Times New Roman" w:hAnsi="Times New Roman" w:cs="Times New Roman"/>
                <w:color w:val="000000"/>
                <w:sz w:val="24"/>
                <w:szCs w:val="24"/>
              </w:rPr>
              <w:t>-1</w:t>
            </w:r>
            <w:bookmarkEnd w:id="219"/>
          </w:p>
        </w:tc>
        <w:tc>
          <w:tcPr>
            <w:tcW w:w="639" w:type="dxa"/>
          </w:tcPr>
          <w:p w14:paraId="0BA3AD8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0" w:name="_Toc223076692"/>
            <w:r w:rsidRPr="00F629D3">
              <w:rPr>
                <w:rFonts w:ascii="Times New Roman" w:eastAsia="Times New Roman" w:hAnsi="Times New Roman" w:cs="Times New Roman"/>
                <w:color w:val="000000"/>
                <w:sz w:val="24"/>
                <w:szCs w:val="24"/>
              </w:rPr>
              <w:t>1</w:t>
            </w:r>
            <w:bookmarkEnd w:id="220"/>
          </w:p>
        </w:tc>
        <w:tc>
          <w:tcPr>
            <w:tcW w:w="639" w:type="dxa"/>
          </w:tcPr>
          <w:p w14:paraId="2145C28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1" w:name="_Toc223076693"/>
            <w:r w:rsidRPr="00F629D3">
              <w:rPr>
                <w:rFonts w:ascii="Times New Roman" w:eastAsia="Times New Roman" w:hAnsi="Times New Roman" w:cs="Times New Roman"/>
                <w:color w:val="000000"/>
                <w:sz w:val="24"/>
                <w:szCs w:val="24"/>
              </w:rPr>
              <w:t>0</w:t>
            </w:r>
            <w:bookmarkEnd w:id="221"/>
          </w:p>
        </w:tc>
        <w:tc>
          <w:tcPr>
            <w:tcW w:w="640" w:type="dxa"/>
            <w:vAlign w:val="center"/>
          </w:tcPr>
          <w:p w14:paraId="0C4499C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2" w:name="_Toc223076694"/>
            <w:r w:rsidRPr="00F629D3">
              <w:rPr>
                <w:rFonts w:ascii="Times New Roman" w:eastAsia="Times New Roman" w:hAnsi="Times New Roman" w:cs="Times New Roman"/>
                <w:color w:val="000000"/>
                <w:sz w:val="24"/>
                <w:szCs w:val="24"/>
              </w:rPr>
              <w:t>65</w:t>
            </w:r>
            <w:bookmarkEnd w:id="222"/>
          </w:p>
        </w:tc>
        <w:tc>
          <w:tcPr>
            <w:tcW w:w="640" w:type="dxa"/>
            <w:vAlign w:val="center"/>
          </w:tcPr>
          <w:p w14:paraId="3ECB130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3" w:name="_Toc223076695"/>
            <w:r w:rsidRPr="00F629D3">
              <w:rPr>
                <w:rFonts w:ascii="Times New Roman" w:eastAsia="Times New Roman" w:hAnsi="Times New Roman" w:cs="Times New Roman"/>
                <w:color w:val="000000"/>
                <w:sz w:val="24"/>
                <w:szCs w:val="24"/>
              </w:rPr>
              <w:t>60</w:t>
            </w:r>
            <w:bookmarkEnd w:id="223"/>
          </w:p>
        </w:tc>
        <w:tc>
          <w:tcPr>
            <w:tcW w:w="641" w:type="dxa"/>
            <w:vAlign w:val="center"/>
          </w:tcPr>
          <w:p w14:paraId="0FA5907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4" w:name="_Toc223076696"/>
            <w:r w:rsidRPr="00F629D3">
              <w:rPr>
                <w:rFonts w:ascii="Times New Roman" w:eastAsia="Times New Roman" w:hAnsi="Times New Roman" w:cs="Times New Roman"/>
                <w:color w:val="000000"/>
                <w:sz w:val="24"/>
                <w:szCs w:val="24"/>
              </w:rPr>
              <w:t>12</w:t>
            </w:r>
            <w:bookmarkEnd w:id="224"/>
          </w:p>
        </w:tc>
        <w:tc>
          <w:tcPr>
            <w:tcW w:w="640" w:type="dxa"/>
            <w:vAlign w:val="center"/>
          </w:tcPr>
          <w:p w14:paraId="5DA4036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5" w:name="_Toc223076697"/>
            <w:r w:rsidRPr="00F629D3">
              <w:rPr>
                <w:rFonts w:ascii="Times New Roman" w:eastAsia="Times New Roman" w:hAnsi="Times New Roman" w:cs="Times New Roman"/>
                <w:color w:val="000000"/>
                <w:sz w:val="24"/>
                <w:szCs w:val="24"/>
              </w:rPr>
              <w:t>3.5</w:t>
            </w:r>
            <w:bookmarkEnd w:id="225"/>
          </w:p>
        </w:tc>
        <w:tc>
          <w:tcPr>
            <w:tcW w:w="1616" w:type="dxa"/>
            <w:vAlign w:val="center"/>
          </w:tcPr>
          <w:p w14:paraId="7823DFB5"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93.34</w:t>
            </w:r>
          </w:p>
        </w:tc>
        <w:tc>
          <w:tcPr>
            <w:tcW w:w="1270" w:type="dxa"/>
            <w:vAlign w:val="center"/>
          </w:tcPr>
          <w:p w14:paraId="134A19AB"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92.89</w:t>
            </w:r>
          </w:p>
        </w:tc>
      </w:tr>
      <w:tr w:rsidR="0078719B" w:rsidRPr="00F629D3" w14:paraId="3D4A7BFC" w14:textId="77777777" w:rsidTr="00B7469A">
        <w:tblPrEx>
          <w:tblLook w:val="04A0" w:firstRow="1" w:lastRow="0" w:firstColumn="1" w:lastColumn="0" w:noHBand="0" w:noVBand="1"/>
        </w:tblPrEx>
        <w:trPr>
          <w:jc w:val="center"/>
        </w:trPr>
        <w:tc>
          <w:tcPr>
            <w:tcW w:w="792" w:type="dxa"/>
          </w:tcPr>
          <w:p w14:paraId="2A8B75AB" w14:textId="7D35D52B"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6" w:name="_Toc223076698"/>
            <w:r w:rsidRPr="00F629D3">
              <w:rPr>
                <w:rFonts w:ascii="Times New Roman" w:eastAsia="Times New Roman" w:hAnsi="Times New Roman" w:cs="Times New Roman"/>
                <w:color w:val="000000"/>
                <w:sz w:val="24"/>
                <w:szCs w:val="24"/>
              </w:rPr>
              <w:t>25</w:t>
            </w:r>
            <w:bookmarkEnd w:id="226"/>
          </w:p>
        </w:tc>
        <w:tc>
          <w:tcPr>
            <w:tcW w:w="638" w:type="dxa"/>
          </w:tcPr>
          <w:p w14:paraId="432DE32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7" w:name="_Toc223076699"/>
            <w:r w:rsidRPr="00F629D3">
              <w:rPr>
                <w:rFonts w:ascii="Times New Roman" w:eastAsia="Times New Roman" w:hAnsi="Times New Roman" w:cs="Times New Roman"/>
                <w:color w:val="000000"/>
                <w:sz w:val="24"/>
                <w:szCs w:val="24"/>
              </w:rPr>
              <w:t>0</w:t>
            </w:r>
            <w:bookmarkEnd w:id="227"/>
          </w:p>
        </w:tc>
        <w:tc>
          <w:tcPr>
            <w:tcW w:w="639" w:type="dxa"/>
          </w:tcPr>
          <w:p w14:paraId="526F6A2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8" w:name="_Toc223076700"/>
            <w:r w:rsidRPr="00F629D3">
              <w:rPr>
                <w:rFonts w:ascii="Times New Roman" w:eastAsia="Times New Roman" w:hAnsi="Times New Roman" w:cs="Times New Roman"/>
                <w:color w:val="000000"/>
                <w:sz w:val="24"/>
                <w:szCs w:val="24"/>
              </w:rPr>
              <w:t>0</w:t>
            </w:r>
            <w:bookmarkEnd w:id="228"/>
          </w:p>
        </w:tc>
        <w:tc>
          <w:tcPr>
            <w:tcW w:w="639" w:type="dxa"/>
          </w:tcPr>
          <w:p w14:paraId="1748ACC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29" w:name="_Toc223076701"/>
            <w:r w:rsidRPr="00F629D3">
              <w:rPr>
                <w:rFonts w:ascii="Times New Roman" w:eastAsia="Times New Roman" w:hAnsi="Times New Roman" w:cs="Times New Roman"/>
                <w:color w:val="000000"/>
                <w:sz w:val="24"/>
                <w:szCs w:val="24"/>
              </w:rPr>
              <w:t>0</w:t>
            </w:r>
            <w:bookmarkEnd w:id="229"/>
          </w:p>
        </w:tc>
        <w:tc>
          <w:tcPr>
            <w:tcW w:w="639" w:type="dxa"/>
          </w:tcPr>
          <w:p w14:paraId="5A19B1E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0" w:name="_Toc223076702"/>
            <w:r w:rsidRPr="00F629D3">
              <w:rPr>
                <w:rFonts w:ascii="Times New Roman" w:eastAsia="Times New Roman" w:hAnsi="Times New Roman" w:cs="Times New Roman"/>
                <w:color w:val="000000"/>
                <w:sz w:val="24"/>
                <w:szCs w:val="24"/>
              </w:rPr>
              <w:t>0</w:t>
            </w:r>
            <w:bookmarkEnd w:id="230"/>
          </w:p>
        </w:tc>
        <w:tc>
          <w:tcPr>
            <w:tcW w:w="640" w:type="dxa"/>
            <w:vAlign w:val="center"/>
          </w:tcPr>
          <w:p w14:paraId="26CBA43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1" w:name="_Toc223076703"/>
            <w:r w:rsidRPr="00F629D3">
              <w:rPr>
                <w:rFonts w:ascii="Times New Roman" w:eastAsia="Times New Roman" w:hAnsi="Times New Roman" w:cs="Times New Roman"/>
                <w:color w:val="000000"/>
                <w:sz w:val="24"/>
                <w:szCs w:val="24"/>
              </w:rPr>
              <w:t>65</w:t>
            </w:r>
            <w:bookmarkEnd w:id="231"/>
          </w:p>
        </w:tc>
        <w:tc>
          <w:tcPr>
            <w:tcW w:w="640" w:type="dxa"/>
            <w:vAlign w:val="center"/>
          </w:tcPr>
          <w:p w14:paraId="6D66D67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2" w:name="_Toc223076704"/>
            <w:r w:rsidRPr="00F629D3">
              <w:rPr>
                <w:rFonts w:ascii="Times New Roman" w:eastAsia="Times New Roman" w:hAnsi="Times New Roman" w:cs="Times New Roman"/>
                <w:color w:val="000000"/>
                <w:sz w:val="24"/>
                <w:szCs w:val="24"/>
              </w:rPr>
              <w:t>90</w:t>
            </w:r>
            <w:bookmarkEnd w:id="232"/>
          </w:p>
        </w:tc>
        <w:tc>
          <w:tcPr>
            <w:tcW w:w="641" w:type="dxa"/>
            <w:vAlign w:val="center"/>
          </w:tcPr>
          <w:p w14:paraId="1D3FB92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3" w:name="_Toc223076705"/>
            <w:r w:rsidRPr="00F629D3">
              <w:rPr>
                <w:rFonts w:ascii="Times New Roman" w:eastAsia="Times New Roman" w:hAnsi="Times New Roman" w:cs="Times New Roman"/>
                <w:color w:val="000000"/>
                <w:sz w:val="24"/>
                <w:szCs w:val="24"/>
              </w:rPr>
              <w:t>9</w:t>
            </w:r>
            <w:bookmarkEnd w:id="233"/>
          </w:p>
        </w:tc>
        <w:tc>
          <w:tcPr>
            <w:tcW w:w="640" w:type="dxa"/>
            <w:vAlign w:val="center"/>
          </w:tcPr>
          <w:p w14:paraId="30AEE01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4" w:name="_Toc223076706"/>
            <w:r w:rsidRPr="00F629D3">
              <w:rPr>
                <w:rFonts w:ascii="Times New Roman" w:eastAsia="Times New Roman" w:hAnsi="Times New Roman" w:cs="Times New Roman"/>
                <w:color w:val="000000"/>
                <w:sz w:val="24"/>
                <w:szCs w:val="24"/>
              </w:rPr>
              <w:t>3.5</w:t>
            </w:r>
            <w:bookmarkEnd w:id="234"/>
          </w:p>
        </w:tc>
        <w:tc>
          <w:tcPr>
            <w:tcW w:w="1616" w:type="dxa"/>
            <w:vAlign w:val="center"/>
          </w:tcPr>
          <w:p w14:paraId="3FD8954C"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91.97</w:t>
            </w:r>
          </w:p>
        </w:tc>
        <w:tc>
          <w:tcPr>
            <w:tcW w:w="1270" w:type="dxa"/>
            <w:vAlign w:val="center"/>
          </w:tcPr>
          <w:p w14:paraId="72E45980"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92.76</w:t>
            </w:r>
          </w:p>
        </w:tc>
      </w:tr>
      <w:tr w:rsidR="0078719B" w:rsidRPr="00F629D3" w14:paraId="3686544D" w14:textId="77777777" w:rsidTr="00B7469A">
        <w:tblPrEx>
          <w:tblLook w:val="04A0" w:firstRow="1" w:lastRow="0" w:firstColumn="1" w:lastColumn="0" w:noHBand="0" w:noVBand="1"/>
        </w:tblPrEx>
        <w:trPr>
          <w:jc w:val="center"/>
        </w:trPr>
        <w:tc>
          <w:tcPr>
            <w:tcW w:w="792" w:type="dxa"/>
          </w:tcPr>
          <w:p w14:paraId="6D834F61" w14:textId="6C5D0303"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5" w:name="_Toc223076707"/>
            <w:r w:rsidRPr="00F629D3">
              <w:rPr>
                <w:rFonts w:ascii="Times New Roman" w:eastAsia="Times New Roman" w:hAnsi="Times New Roman" w:cs="Times New Roman"/>
                <w:color w:val="000000"/>
                <w:sz w:val="24"/>
                <w:szCs w:val="24"/>
              </w:rPr>
              <w:t>26</w:t>
            </w:r>
            <w:bookmarkEnd w:id="235"/>
          </w:p>
        </w:tc>
        <w:tc>
          <w:tcPr>
            <w:tcW w:w="638" w:type="dxa"/>
          </w:tcPr>
          <w:p w14:paraId="61893E7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6" w:name="_Toc223076708"/>
            <w:r w:rsidRPr="00F629D3">
              <w:rPr>
                <w:rFonts w:ascii="Times New Roman" w:eastAsia="Times New Roman" w:hAnsi="Times New Roman" w:cs="Times New Roman"/>
                <w:color w:val="000000"/>
                <w:sz w:val="24"/>
                <w:szCs w:val="24"/>
              </w:rPr>
              <w:t>0</w:t>
            </w:r>
            <w:bookmarkEnd w:id="236"/>
          </w:p>
        </w:tc>
        <w:tc>
          <w:tcPr>
            <w:tcW w:w="639" w:type="dxa"/>
          </w:tcPr>
          <w:p w14:paraId="692E296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7" w:name="_Toc223076709"/>
            <w:r w:rsidRPr="00F629D3">
              <w:rPr>
                <w:rFonts w:ascii="Times New Roman" w:eastAsia="Times New Roman" w:hAnsi="Times New Roman" w:cs="Times New Roman"/>
                <w:color w:val="000000"/>
                <w:sz w:val="24"/>
                <w:szCs w:val="24"/>
              </w:rPr>
              <w:t>0</w:t>
            </w:r>
            <w:bookmarkEnd w:id="237"/>
          </w:p>
        </w:tc>
        <w:tc>
          <w:tcPr>
            <w:tcW w:w="639" w:type="dxa"/>
          </w:tcPr>
          <w:p w14:paraId="2AF6596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8" w:name="_Toc223076710"/>
            <w:r w:rsidRPr="00F629D3">
              <w:rPr>
                <w:rFonts w:ascii="Times New Roman" w:eastAsia="Times New Roman" w:hAnsi="Times New Roman" w:cs="Times New Roman"/>
                <w:color w:val="000000"/>
                <w:sz w:val="24"/>
                <w:szCs w:val="24"/>
              </w:rPr>
              <w:t>0</w:t>
            </w:r>
            <w:bookmarkEnd w:id="238"/>
          </w:p>
        </w:tc>
        <w:tc>
          <w:tcPr>
            <w:tcW w:w="639" w:type="dxa"/>
          </w:tcPr>
          <w:p w14:paraId="47CFFB1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39" w:name="_Toc223076711"/>
            <w:r w:rsidRPr="00F629D3">
              <w:rPr>
                <w:rFonts w:ascii="Times New Roman" w:eastAsia="Times New Roman" w:hAnsi="Times New Roman" w:cs="Times New Roman"/>
                <w:color w:val="000000"/>
                <w:sz w:val="24"/>
                <w:szCs w:val="24"/>
              </w:rPr>
              <w:t>0</w:t>
            </w:r>
            <w:bookmarkEnd w:id="239"/>
          </w:p>
        </w:tc>
        <w:tc>
          <w:tcPr>
            <w:tcW w:w="640" w:type="dxa"/>
            <w:vAlign w:val="center"/>
          </w:tcPr>
          <w:p w14:paraId="10DF7553"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0" w:name="_Toc223076712"/>
            <w:r w:rsidRPr="00F629D3">
              <w:rPr>
                <w:rFonts w:ascii="Times New Roman" w:eastAsia="Times New Roman" w:hAnsi="Times New Roman" w:cs="Times New Roman"/>
                <w:color w:val="000000"/>
                <w:sz w:val="24"/>
                <w:szCs w:val="24"/>
              </w:rPr>
              <w:t>65</w:t>
            </w:r>
            <w:bookmarkEnd w:id="240"/>
          </w:p>
        </w:tc>
        <w:tc>
          <w:tcPr>
            <w:tcW w:w="640" w:type="dxa"/>
            <w:vAlign w:val="center"/>
          </w:tcPr>
          <w:p w14:paraId="67A4A2D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1" w:name="_Toc223076713"/>
            <w:r w:rsidRPr="00F629D3">
              <w:rPr>
                <w:rFonts w:ascii="Times New Roman" w:eastAsia="Times New Roman" w:hAnsi="Times New Roman" w:cs="Times New Roman"/>
                <w:color w:val="000000"/>
                <w:sz w:val="24"/>
                <w:szCs w:val="24"/>
              </w:rPr>
              <w:t>90</w:t>
            </w:r>
            <w:bookmarkEnd w:id="241"/>
          </w:p>
        </w:tc>
        <w:tc>
          <w:tcPr>
            <w:tcW w:w="641" w:type="dxa"/>
            <w:vAlign w:val="center"/>
          </w:tcPr>
          <w:p w14:paraId="3207894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2" w:name="_Toc223076714"/>
            <w:r w:rsidRPr="00F629D3">
              <w:rPr>
                <w:rFonts w:ascii="Times New Roman" w:eastAsia="Times New Roman" w:hAnsi="Times New Roman" w:cs="Times New Roman"/>
                <w:color w:val="000000"/>
                <w:sz w:val="24"/>
                <w:szCs w:val="24"/>
              </w:rPr>
              <w:t>9</w:t>
            </w:r>
            <w:bookmarkEnd w:id="242"/>
          </w:p>
        </w:tc>
        <w:tc>
          <w:tcPr>
            <w:tcW w:w="640" w:type="dxa"/>
            <w:vAlign w:val="center"/>
          </w:tcPr>
          <w:p w14:paraId="6629BEE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3" w:name="_Toc223076715"/>
            <w:r w:rsidRPr="00F629D3">
              <w:rPr>
                <w:rFonts w:ascii="Times New Roman" w:eastAsia="Times New Roman" w:hAnsi="Times New Roman" w:cs="Times New Roman"/>
                <w:color w:val="000000"/>
                <w:sz w:val="24"/>
                <w:szCs w:val="24"/>
              </w:rPr>
              <w:t>3.5</w:t>
            </w:r>
            <w:bookmarkEnd w:id="243"/>
          </w:p>
        </w:tc>
        <w:tc>
          <w:tcPr>
            <w:tcW w:w="1616" w:type="dxa"/>
            <w:vAlign w:val="center"/>
          </w:tcPr>
          <w:p w14:paraId="6A8DB5E0"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93.56</w:t>
            </w:r>
          </w:p>
        </w:tc>
        <w:tc>
          <w:tcPr>
            <w:tcW w:w="1270" w:type="dxa"/>
            <w:vAlign w:val="center"/>
          </w:tcPr>
          <w:p w14:paraId="59874C48"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92.76</w:t>
            </w:r>
          </w:p>
        </w:tc>
      </w:tr>
      <w:tr w:rsidR="0078719B" w:rsidRPr="00F629D3" w14:paraId="65D6F00E" w14:textId="77777777" w:rsidTr="00B7469A">
        <w:tblPrEx>
          <w:tblLook w:val="04A0" w:firstRow="1" w:lastRow="0" w:firstColumn="1" w:lastColumn="0" w:noHBand="0" w:noVBand="1"/>
        </w:tblPrEx>
        <w:trPr>
          <w:jc w:val="center"/>
        </w:trPr>
        <w:tc>
          <w:tcPr>
            <w:tcW w:w="792" w:type="dxa"/>
          </w:tcPr>
          <w:p w14:paraId="5A5CE843" w14:textId="72A5E42B"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4" w:name="_Toc223076716"/>
            <w:r w:rsidRPr="00F629D3">
              <w:rPr>
                <w:rFonts w:ascii="Times New Roman" w:eastAsia="Times New Roman" w:hAnsi="Times New Roman" w:cs="Times New Roman"/>
                <w:color w:val="000000"/>
                <w:sz w:val="24"/>
                <w:szCs w:val="24"/>
              </w:rPr>
              <w:t>27</w:t>
            </w:r>
            <w:bookmarkEnd w:id="244"/>
          </w:p>
        </w:tc>
        <w:tc>
          <w:tcPr>
            <w:tcW w:w="638" w:type="dxa"/>
          </w:tcPr>
          <w:p w14:paraId="39472776"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5" w:name="_Toc223076717"/>
            <w:r w:rsidRPr="00F629D3">
              <w:rPr>
                <w:rFonts w:ascii="Times New Roman" w:eastAsia="Times New Roman" w:hAnsi="Times New Roman" w:cs="Times New Roman"/>
                <w:color w:val="000000"/>
                <w:sz w:val="24"/>
                <w:szCs w:val="24"/>
              </w:rPr>
              <w:t>1</w:t>
            </w:r>
            <w:bookmarkEnd w:id="245"/>
          </w:p>
        </w:tc>
        <w:tc>
          <w:tcPr>
            <w:tcW w:w="639" w:type="dxa"/>
          </w:tcPr>
          <w:p w14:paraId="79C19A8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6" w:name="_Toc223076718"/>
            <w:r w:rsidRPr="00F629D3">
              <w:rPr>
                <w:rFonts w:ascii="Times New Roman" w:eastAsia="Times New Roman" w:hAnsi="Times New Roman" w:cs="Times New Roman"/>
                <w:color w:val="000000"/>
                <w:sz w:val="24"/>
                <w:szCs w:val="24"/>
              </w:rPr>
              <w:t>0</w:t>
            </w:r>
            <w:bookmarkEnd w:id="246"/>
          </w:p>
        </w:tc>
        <w:tc>
          <w:tcPr>
            <w:tcW w:w="639" w:type="dxa"/>
          </w:tcPr>
          <w:p w14:paraId="135223E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7" w:name="_Toc223076719"/>
            <w:r w:rsidRPr="00F629D3">
              <w:rPr>
                <w:rFonts w:ascii="Times New Roman" w:eastAsia="Times New Roman" w:hAnsi="Times New Roman" w:cs="Times New Roman"/>
                <w:color w:val="000000"/>
                <w:sz w:val="24"/>
                <w:szCs w:val="24"/>
              </w:rPr>
              <w:t>1</w:t>
            </w:r>
            <w:bookmarkEnd w:id="247"/>
          </w:p>
        </w:tc>
        <w:tc>
          <w:tcPr>
            <w:tcW w:w="639" w:type="dxa"/>
          </w:tcPr>
          <w:p w14:paraId="51374BE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8" w:name="_Toc223076720"/>
            <w:r w:rsidRPr="00F629D3">
              <w:rPr>
                <w:rFonts w:ascii="Times New Roman" w:eastAsia="Times New Roman" w:hAnsi="Times New Roman" w:cs="Times New Roman"/>
                <w:color w:val="000000"/>
                <w:sz w:val="24"/>
                <w:szCs w:val="24"/>
              </w:rPr>
              <w:t>0</w:t>
            </w:r>
            <w:bookmarkEnd w:id="248"/>
          </w:p>
        </w:tc>
        <w:tc>
          <w:tcPr>
            <w:tcW w:w="640" w:type="dxa"/>
            <w:vAlign w:val="center"/>
          </w:tcPr>
          <w:p w14:paraId="5166A1BF"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49" w:name="_Toc223076721"/>
            <w:r w:rsidRPr="00F629D3">
              <w:rPr>
                <w:rFonts w:ascii="Times New Roman" w:eastAsia="Times New Roman" w:hAnsi="Times New Roman" w:cs="Times New Roman"/>
                <w:color w:val="000000"/>
                <w:sz w:val="24"/>
                <w:szCs w:val="24"/>
              </w:rPr>
              <w:t>70</w:t>
            </w:r>
            <w:bookmarkEnd w:id="249"/>
          </w:p>
        </w:tc>
        <w:tc>
          <w:tcPr>
            <w:tcW w:w="640" w:type="dxa"/>
            <w:vAlign w:val="center"/>
          </w:tcPr>
          <w:p w14:paraId="6958004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0" w:name="_Toc223076722"/>
            <w:r w:rsidRPr="00F629D3">
              <w:rPr>
                <w:rFonts w:ascii="Times New Roman" w:eastAsia="Times New Roman" w:hAnsi="Times New Roman" w:cs="Times New Roman"/>
                <w:color w:val="000000"/>
                <w:sz w:val="24"/>
                <w:szCs w:val="24"/>
              </w:rPr>
              <w:t>90</w:t>
            </w:r>
            <w:bookmarkEnd w:id="250"/>
          </w:p>
        </w:tc>
        <w:tc>
          <w:tcPr>
            <w:tcW w:w="641" w:type="dxa"/>
            <w:vAlign w:val="center"/>
          </w:tcPr>
          <w:p w14:paraId="700F0F6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1" w:name="_Toc223076723"/>
            <w:r w:rsidRPr="00F629D3">
              <w:rPr>
                <w:rFonts w:ascii="Times New Roman" w:eastAsia="Times New Roman" w:hAnsi="Times New Roman" w:cs="Times New Roman"/>
                <w:color w:val="000000"/>
                <w:sz w:val="24"/>
                <w:szCs w:val="24"/>
              </w:rPr>
              <w:t>12</w:t>
            </w:r>
            <w:bookmarkEnd w:id="251"/>
          </w:p>
        </w:tc>
        <w:tc>
          <w:tcPr>
            <w:tcW w:w="640" w:type="dxa"/>
            <w:vAlign w:val="center"/>
          </w:tcPr>
          <w:p w14:paraId="0CCF1FC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2" w:name="_Toc223076724"/>
            <w:r w:rsidRPr="00F629D3">
              <w:rPr>
                <w:rFonts w:ascii="Times New Roman" w:eastAsia="Times New Roman" w:hAnsi="Times New Roman" w:cs="Times New Roman"/>
                <w:color w:val="000000"/>
                <w:sz w:val="24"/>
                <w:szCs w:val="24"/>
              </w:rPr>
              <w:t>3.5</w:t>
            </w:r>
            <w:bookmarkEnd w:id="252"/>
          </w:p>
        </w:tc>
        <w:tc>
          <w:tcPr>
            <w:tcW w:w="1616" w:type="dxa"/>
            <w:vAlign w:val="center"/>
          </w:tcPr>
          <w:p w14:paraId="010255FC"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93.45</w:t>
            </w:r>
          </w:p>
        </w:tc>
        <w:tc>
          <w:tcPr>
            <w:tcW w:w="1270" w:type="dxa"/>
            <w:vAlign w:val="center"/>
          </w:tcPr>
          <w:p w14:paraId="51A9455D"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94.99</w:t>
            </w:r>
          </w:p>
        </w:tc>
      </w:tr>
      <w:tr w:rsidR="0078719B" w:rsidRPr="00F629D3" w14:paraId="40F74553" w14:textId="77777777" w:rsidTr="00B7469A">
        <w:tblPrEx>
          <w:tblLook w:val="04A0" w:firstRow="1" w:lastRow="0" w:firstColumn="1" w:lastColumn="0" w:noHBand="0" w:noVBand="1"/>
        </w:tblPrEx>
        <w:trPr>
          <w:jc w:val="center"/>
        </w:trPr>
        <w:tc>
          <w:tcPr>
            <w:tcW w:w="792" w:type="dxa"/>
          </w:tcPr>
          <w:p w14:paraId="01C42447" w14:textId="74C71F02"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3" w:name="_Toc223076725"/>
            <w:r w:rsidRPr="00F629D3">
              <w:rPr>
                <w:rFonts w:ascii="Times New Roman" w:eastAsia="Times New Roman" w:hAnsi="Times New Roman" w:cs="Times New Roman"/>
                <w:color w:val="000000"/>
                <w:sz w:val="24"/>
                <w:szCs w:val="24"/>
              </w:rPr>
              <w:t>28</w:t>
            </w:r>
            <w:bookmarkEnd w:id="253"/>
          </w:p>
        </w:tc>
        <w:tc>
          <w:tcPr>
            <w:tcW w:w="638" w:type="dxa"/>
          </w:tcPr>
          <w:p w14:paraId="5CB06D71"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4" w:name="_Toc223076726"/>
            <w:r w:rsidRPr="00F629D3">
              <w:rPr>
                <w:rFonts w:ascii="Times New Roman" w:eastAsia="Times New Roman" w:hAnsi="Times New Roman" w:cs="Times New Roman"/>
                <w:color w:val="000000"/>
                <w:sz w:val="24"/>
                <w:szCs w:val="24"/>
              </w:rPr>
              <w:t>0</w:t>
            </w:r>
            <w:bookmarkEnd w:id="254"/>
          </w:p>
        </w:tc>
        <w:tc>
          <w:tcPr>
            <w:tcW w:w="639" w:type="dxa"/>
          </w:tcPr>
          <w:p w14:paraId="776363FD"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5" w:name="_Toc223076727"/>
            <w:r w:rsidRPr="00F629D3">
              <w:rPr>
                <w:rFonts w:ascii="Times New Roman" w:eastAsia="Times New Roman" w:hAnsi="Times New Roman" w:cs="Times New Roman"/>
                <w:color w:val="000000"/>
                <w:sz w:val="24"/>
                <w:szCs w:val="24"/>
              </w:rPr>
              <w:t>0</w:t>
            </w:r>
            <w:bookmarkEnd w:id="255"/>
          </w:p>
        </w:tc>
        <w:tc>
          <w:tcPr>
            <w:tcW w:w="639" w:type="dxa"/>
          </w:tcPr>
          <w:p w14:paraId="3AFFCCE2"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6" w:name="_Toc223076728"/>
            <w:r w:rsidRPr="00F629D3">
              <w:rPr>
                <w:rFonts w:ascii="Times New Roman" w:eastAsia="Times New Roman" w:hAnsi="Times New Roman" w:cs="Times New Roman"/>
                <w:color w:val="000000"/>
                <w:sz w:val="24"/>
                <w:szCs w:val="24"/>
              </w:rPr>
              <w:t>-1</w:t>
            </w:r>
            <w:bookmarkEnd w:id="256"/>
          </w:p>
        </w:tc>
        <w:tc>
          <w:tcPr>
            <w:tcW w:w="639" w:type="dxa"/>
          </w:tcPr>
          <w:p w14:paraId="0263CA3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7" w:name="_Toc223076729"/>
            <w:r w:rsidRPr="00F629D3">
              <w:rPr>
                <w:rFonts w:ascii="Times New Roman" w:eastAsia="Times New Roman" w:hAnsi="Times New Roman" w:cs="Times New Roman"/>
                <w:color w:val="000000"/>
                <w:sz w:val="24"/>
                <w:szCs w:val="24"/>
              </w:rPr>
              <w:t>1</w:t>
            </w:r>
            <w:bookmarkEnd w:id="257"/>
          </w:p>
        </w:tc>
        <w:tc>
          <w:tcPr>
            <w:tcW w:w="640" w:type="dxa"/>
            <w:vAlign w:val="center"/>
          </w:tcPr>
          <w:p w14:paraId="4950E709"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8" w:name="_Toc223076730"/>
            <w:r w:rsidRPr="00F629D3">
              <w:rPr>
                <w:rFonts w:ascii="Times New Roman" w:eastAsia="Times New Roman" w:hAnsi="Times New Roman" w:cs="Times New Roman"/>
                <w:color w:val="000000"/>
                <w:sz w:val="24"/>
                <w:szCs w:val="24"/>
              </w:rPr>
              <w:t>65</w:t>
            </w:r>
            <w:bookmarkEnd w:id="258"/>
          </w:p>
        </w:tc>
        <w:tc>
          <w:tcPr>
            <w:tcW w:w="640" w:type="dxa"/>
            <w:vAlign w:val="center"/>
          </w:tcPr>
          <w:p w14:paraId="3FBC1C50"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59" w:name="_Toc223076731"/>
            <w:r w:rsidRPr="00F629D3">
              <w:rPr>
                <w:rFonts w:ascii="Times New Roman" w:eastAsia="Times New Roman" w:hAnsi="Times New Roman" w:cs="Times New Roman"/>
                <w:color w:val="000000"/>
                <w:sz w:val="24"/>
                <w:szCs w:val="24"/>
              </w:rPr>
              <w:t>90</w:t>
            </w:r>
            <w:bookmarkEnd w:id="259"/>
          </w:p>
        </w:tc>
        <w:tc>
          <w:tcPr>
            <w:tcW w:w="641" w:type="dxa"/>
            <w:vAlign w:val="center"/>
          </w:tcPr>
          <w:p w14:paraId="2E9703F4"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0" w:name="_Toc223076732"/>
            <w:r w:rsidRPr="00F629D3">
              <w:rPr>
                <w:rFonts w:ascii="Times New Roman" w:eastAsia="Times New Roman" w:hAnsi="Times New Roman" w:cs="Times New Roman"/>
                <w:color w:val="000000"/>
                <w:sz w:val="24"/>
                <w:szCs w:val="24"/>
              </w:rPr>
              <w:t>6</w:t>
            </w:r>
            <w:bookmarkEnd w:id="260"/>
          </w:p>
        </w:tc>
        <w:tc>
          <w:tcPr>
            <w:tcW w:w="640" w:type="dxa"/>
            <w:vAlign w:val="center"/>
          </w:tcPr>
          <w:p w14:paraId="727F67C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1" w:name="_Toc223076733"/>
            <w:r w:rsidRPr="00F629D3">
              <w:rPr>
                <w:rFonts w:ascii="Times New Roman" w:eastAsia="Times New Roman" w:hAnsi="Times New Roman" w:cs="Times New Roman"/>
                <w:color w:val="000000"/>
                <w:sz w:val="24"/>
                <w:szCs w:val="24"/>
              </w:rPr>
              <w:t>6</w:t>
            </w:r>
            <w:bookmarkEnd w:id="261"/>
          </w:p>
        </w:tc>
        <w:tc>
          <w:tcPr>
            <w:tcW w:w="1616" w:type="dxa"/>
            <w:vAlign w:val="center"/>
          </w:tcPr>
          <w:p w14:paraId="1CBD29B7"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84.53</w:t>
            </w:r>
          </w:p>
        </w:tc>
        <w:tc>
          <w:tcPr>
            <w:tcW w:w="1270" w:type="dxa"/>
            <w:vAlign w:val="center"/>
          </w:tcPr>
          <w:p w14:paraId="1FF62507"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85.63</w:t>
            </w:r>
          </w:p>
        </w:tc>
      </w:tr>
      <w:tr w:rsidR="0078719B" w:rsidRPr="00F629D3" w14:paraId="5A9D5BF7" w14:textId="77777777" w:rsidTr="00B7469A">
        <w:tblPrEx>
          <w:tblLook w:val="04A0" w:firstRow="1" w:lastRow="0" w:firstColumn="1" w:lastColumn="0" w:noHBand="0" w:noVBand="1"/>
        </w:tblPrEx>
        <w:trPr>
          <w:jc w:val="center"/>
        </w:trPr>
        <w:tc>
          <w:tcPr>
            <w:tcW w:w="792" w:type="dxa"/>
          </w:tcPr>
          <w:p w14:paraId="692B5B70" w14:textId="1071B914"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2" w:name="_Toc223076734"/>
            <w:r w:rsidRPr="00F629D3">
              <w:rPr>
                <w:rFonts w:ascii="Times New Roman" w:eastAsia="Times New Roman" w:hAnsi="Times New Roman" w:cs="Times New Roman"/>
                <w:color w:val="000000"/>
                <w:sz w:val="24"/>
                <w:szCs w:val="24"/>
              </w:rPr>
              <w:t>29</w:t>
            </w:r>
            <w:bookmarkEnd w:id="262"/>
          </w:p>
        </w:tc>
        <w:tc>
          <w:tcPr>
            <w:tcW w:w="638" w:type="dxa"/>
          </w:tcPr>
          <w:p w14:paraId="3F5FD32B"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3" w:name="_Toc223076735"/>
            <w:r w:rsidRPr="00F629D3">
              <w:rPr>
                <w:rFonts w:ascii="Times New Roman" w:eastAsia="Times New Roman" w:hAnsi="Times New Roman" w:cs="Times New Roman"/>
                <w:color w:val="000000"/>
                <w:sz w:val="24"/>
                <w:szCs w:val="24"/>
              </w:rPr>
              <w:t>0</w:t>
            </w:r>
            <w:bookmarkEnd w:id="263"/>
          </w:p>
        </w:tc>
        <w:tc>
          <w:tcPr>
            <w:tcW w:w="639" w:type="dxa"/>
          </w:tcPr>
          <w:p w14:paraId="5A34FFA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4" w:name="_Toc223076736"/>
            <w:r w:rsidRPr="00F629D3">
              <w:rPr>
                <w:rFonts w:ascii="Times New Roman" w:eastAsia="Times New Roman" w:hAnsi="Times New Roman" w:cs="Times New Roman"/>
                <w:color w:val="000000"/>
                <w:sz w:val="24"/>
                <w:szCs w:val="24"/>
              </w:rPr>
              <w:t>0</w:t>
            </w:r>
            <w:bookmarkEnd w:id="264"/>
          </w:p>
        </w:tc>
        <w:tc>
          <w:tcPr>
            <w:tcW w:w="639" w:type="dxa"/>
          </w:tcPr>
          <w:p w14:paraId="3E4053C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5" w:name="_Toc223076737"/>
            <w:r w:rsidRPr="00F629D3">
              <w:rPr>
                <w:rFonts w:ascii="Times New Roman" w:eastAsia="Times New Roman" w:hAnsi="Times New Roman" w:cs="Times New Roman"/>
                <w:color w:val="000000"/>
                <w:sz w:val="24"/>
                <w:szCs w:val="24"/>
              </w:rPr>
              <w:t>0</w:t>
            </w:r>
            <w:bookmarkEnd w:id="265"/>
          </w:p>
        </w:tc>
        <w:tc>
          <w:tcPr>
            <w:tcW w:w="639" w:type="dxa"/>
          </w:tcPr>
          <w:p w14:paraId="44DAD647"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6" w:name="_Toc223076738"/>
            <w:r w:rsidRPr="00F629D3">
              <w:rPr>
                <w:rFonts w:ascii="Times New Roman" w:eastAsia="Times New Roman" w:hAnsi="Times New Roman" w:cs="Times New Roman"/>
                <w:color w:val="000000"/>
                <w:sz w:val="24"/>
                <w:szCs w:val="24"/>
              </w:rPr>
              <w:t>0</w:t>
            </w:r>
            <w:bookmarkEnd w:id="266"/>
          </w:p>
        </w:tc>
        <w:tc>
          <w:tcPr>
            <w:tcW w:w="640" w:type="dxa"/>
            <w:vAlign w:val="center"/>
          </w:tcPr>
          <w:p w14:paraId="1A5B4B9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7" w:name="_Toc223076739"/>
            <w:r w:rsidRPr="00F629D3">
              <w:rPr>
                <w:rFonts w:ascii="Times New Roman" w:eastAsia="Times New Roman" w:hAnsi="Times New Roman" w:cs="Times New Roman"/>
                <w:color w:val="000000"/>
                <w:sz w:val="24"/>
                <w:szCs w:val="24"/>
              </w:rPr>
              <w:t>65</w:t>
            </w:r>
            <w:bookmarkEnd w:id="267"/>
          </w:p>
        </w:tc>
        <w:tc>
          <w:tcPr>
            <w:tcW w:w="640" w:type="dxa"/>
            <w:vAlign w:val="center"/>
          </w:tcPr>
          <w:p w14:paraId="3B6FCBFA"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8" w:name="_Toc223076740"/>
            <w:r w:rsidRPr="00F629D3">
              <w:rPr>
                <w:rFonts w:ascii="Times New Roman" w:eastAsia="Times New Roman" w:hAnsi="Times New Roman" w:cs="Times New Roman"/>
                <w:color w:val="000000"/>
                <w:sz w:val="24"/>
                <w:szCs w:val="24"/>
              </w:rPr>
              <w:t>90</w:t>
            </w:r>
            <w:bookmarkEnd w:id="268"/>
          </w:p>
        </w:tc>
        <w:tc>
          <w:tcPr>
            <w:tcW w:w="641" w:type="dxa"/>
            <w:vAlign w:val="center"/>
          </w:tcPr>
          <w:p w14:paraId="4AF113C8"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69" w:name="_Toc223076741"/>
            <w:r w:rsidRPr="00F629D3">
              <w:rPr>
                <w:rFonts w:ascii="Times New Roman" w:eastAsia="Times New Roman" w:hAnsi="Times New Roman" w:cs="Times New Roman"/>
                <w:color w:val="000000"/>
                <w:sz w:val="24"/>
                <w:szCs w:val="24"/>
              </w:rPr>
              <w:t>9</w:t>
            </w:r>
            <w:bookmarkEnd w:id="269"/>
          </w:p>
        </w:tc>
        <w:tc>
          <w:tcPr>
            <w:tcW w:w="640" w:type="dxa"/>
            <w:vAlign w:val="center"/>
          </w:tcPr>
          <w:p w14:paraId="1D90B0F5" w14:textId="77777777" w:rsidR="0078719B" w:rsidRPr="00F629D3" w:rsidRDefault="0078719B" w:rsidP="008730A9">
            <w:pPr>
              <w:keepNext/>
              <w:keepLines/>
              <w:jc w:val="center"/>
              <w:outlineLvl w:val="2"/>
              <w:rPr>
                <w:rFonts w:ascii="Times New Roman" w:eastAsia="Times New Roman" w:hAnsi="Times New Roman" w:cs="Times New Roman"/>
                <w:color w:val="000000"/>
                <w:sz w:val="24"/>
                <w:szCs w:val="24"/>
              </w:rPr>
            </w:pPr>
            <w:bookmarkStart w:id="270" w:name="_Toc223076742"/>
            <w:r w:rsidRPr="00F629D3">
              <w:rPr>
                <w:rFonts w:ascii="Times New Roman" w:eastAsia="Times New Roman" w:hAnsi="Times New Roman" w:cs="Times New Roman"/>
                <w:color w:val="000000"/>
                <w:sz w:val="24"/>
                <w:szCs w:val="24"/>
              </w:rPr>
              <w:t>3.5</w:t>
            </w:r>
            <w:bookmarkEnd w:id="270"/>
          </w:p>
        </w:tc>
        <w:tc>
          <w:tcPr>
            <w:tcW w:w="1616" w:type="dxa"/>
            <w:vAlign w:val="center"/>
          </w:tcPr>
          <w:p w14:paraId="52E15D8D"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93.08</w:t>
            </w:r>
          </w:p>
        </w:tc>
        <w:tc>
          <w:tcPr>
            <w:tcW w:w="1270" w:type="dxa"/>
            <w:vAlign w:val="center"/>
          </w:tcPr>
          <w:p w14:paraId="2ACECD0E" w14:textId="77777777" w:rsidR="0078719B" w:rsidRPr="00F629D3" w:rsidRDefault="0078719B" w:rsidP="008730A9">
            <w:pPr>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92.76</w:t>
            </w:r>
          </w:p>
        </w:tc>
      </w:tr>
    </w:tbl>
    <w:p w14:paraId="0B5617D9" w14:textId="77777777" w:rsidR="00ED5041" w:rsidRPr="00F629D3" w:rsidRDefault="00ED5041" w:rsidP="00ED5041">
      <w:pPr>
        <w:spacing w:line="240" w:lineRule="auto"/>
        <w:jc w:val="both"/>
        <w:rPr>
          <w:rFonts w:ascii="Times New Roman" w:hAnsi="Times New Roman" w:cs="Times New Roman"/>
          <w:bCs/>
          <w:iCs/>
          <w:sz w:val="24"/>
          <w:szCs w:val="24"/>
        </w:rPr>
      </w:pPr>
    </w:p>
    <w:p w14:paraId="00DDA06D" w14:textId="77777777" w:rsidR="00ED5041" w:rsidRPr="004D2B57" w:rsidRDefault="00ED5041" w:rsidP="00ED5041">
      <w:pPr>
        <w:spacing w:line="240" w:lineRule="auto"/>
        <w:jc w:val="both"/>
        <w:rPr>
          <w:rFonts w:ascii="Times New Roman" w:hAnsi="Times New Roman" w:cs="Times New Roman"/>
          <w:bCs/>
          <w:iCs/>
          <w:sz w:val="24"/>
          <w:szCs w:val="24"/>
        </w:rPr>
      </w:pPr>
      <w:bookmarkStart w:id="271" w:name="_Toc123302988"/>
      <w:r w:rsidRPr="00F629D3">
        <w:rPr>
          <w:rFonts w:ascii="Times New Roman" w:hAnsi="Times New Roman" w:cs="Times New Roman"/>
          <w:bCs/>
          <w:iCs/>
          <w:sz w:val="24"/>
          <w:szCs w:val="24"/>
        </w:rPr>
        <w:t xml:space="preserve">The quadratic model displayed remarkable fitting and predictive capabilities, leading to its recommendation as the most suitable model. The elevated R² value of 0.9854 signifies that more than 98% of the overall variability in the response is accounted for by the model. The close alignment between the adjusted R² (0.9707) and predicted R² (0.9187) confirms the model's strong predictability, while the low standard deviation (1.45) and the lowest PRESS value (163.38) among the non-aliased models further substantiate its reliability. </w:t>
      </w:r>
      <w:r w:rsidRPr="00F629D3">
        <w:rPr>
          <w:rFonts w:ascii="Times New Roman" w:hAnsi="Times New Roman" w:cs="Times New Roman"/>
          <w:bCs/>
          <w:iCs/>
          <w:sz w:val="24"/>
          <w:szCs w:val="24"/>
          <w:lang w:val="en-GB"/>
        </w:rPr>
        <w:t>Even though the cubic model produced an exceptionally high R² value of 0.9985 and a low standard deviation of 0.7025, it was identified as being aliased, which suggests confounding between model terms. As a result, in spite of its seemingly good fit, the cubic model is statistically questionable and not appropriate for additional analysis.</w:t>
      </w:r>
    </w:p>
    <w:p w14:paraId="516018BD"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Table 6:  Model Summary for Biodiesel Yield</w:t>
      </w:r>
      <w:bookmarkEnd w:id="271"/>
    </w:p>
    <w:tbl>
      <w:tblPr>
        <w:tblStyle w:val="TableGrid"/>
        <w:tblW w:w="9576" w:type="dxa"/>
        <w:jc w:val="center"/>
        <w:tblLook w:val="04A0" w:firstRow="1" w:lastRow="0" w:firstColumn="1" w:lastColumn="0" w:noHBand="0" w:noVBand="1"/>
      </w:tblPr>
      <w:tblGrid>
        <w:gridCol w:w="1255"/>
        <w:gridCol w:w="1530"/>
        <w:gridCol w:w="1333"/>
        <w:gridCol w:w="1364"/>
        <w:gridCol w:w="1533"/>
        <w:gridCol w:w="1194"/>
        <w:gridCol w:w="1367"/>
      </w:tblGrid>
      <w:tr w:rsidR="00ED5041" w:rsidRPr="00F629D3" w14:paraId="17F1D361" w14:textId="77777777" w:rsidTr="001E1A7B">
        <w:trPr>
          <w:jc w:val="center"/>
        </w:trPr>
        <w:tc>
          <w:tcPr>
            <w:tcW w:w="1255" w:type="dxa"/>
          </w:tcPr>
          <w:p w14:paraId="6EA1EBC4"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Source</w:t>
            </w:r>
          </w:p>
        </w:tc>
        <w:tc>
          <w:tcPr>
            <w:tcW w:w="1530" w:type="dxa"/>
            <w:vAlign w:val="center"/>
          </w:tcPr>
          <w:p w14:paraId="54DEB317"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Standard Deviation</w:t>
            </w:r>
          </w:p>
        </w:tc>
        <w:tc>
          <w:tcPr>
            <w:tcW w:w="1333" w:type="dxa"/>
            <w:vAlign w:val="center"/>
          </w:tcPr>
          <w:p w14:paraId="7E8960FA"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R²</w:t>
            </w:r>
          </w:p>
        </w:tc>
        <w:tc>
          <w:tcPr>
            <w:tcW w:w="1364" w:type="dxa"/>
          </w:tcPr>
          <w:p w14:paraId="775A5F09"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Adjusted R²</w:t>
            </w:r>
          </w:p>
        </w:tc>
        <w:tc>
          <w:tcPr>
            <w:tcW w:w="1533" w:type="dxa"/>
            <w:vAlign w:val="center"/>
          </w:tcPr>
          <w:p w14:paraId="60FCE529"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Predicted R²</w:t>
            </w:r>
          </w:p>
        </w:tc>
        <w:tc>
          <w:tcPr>
            <w:tcW w:w="1194" w:type="dxa"/>
            <w:vAlign w:val="center"/>
          </w:tcPr>
          <w:p w14:paraId="60F050B3"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PRESS</w:t>
            </w:r>
          </w:p>
        </w:tc>
        <w:tc>
          <w:tcPr>
            <w:tcW w:w="1367" w:type="dxa"/>
            <w:vAlign w:val="center"/>
          </w:tcPr>
          <w:p w14:paraId="7E54D810" w14:textId="77777777" w:rsidR="00ED5041" w:rsidRPr="00B4669C" w:rsidRDefault="00ED5041" w:rsidP="001E1A7B">
            <w:pPr>
              <w:jc w:val="both"/>
              <w:rPr>
                <w:rFonts w:ascii="Times New Roman" w:hAnsi="Times New Roman" w:cs="Times New Roman"/>
                <w:b/>
                <w:bCs/>
                <w:iCs/>
                <w:sz w:val="24"/>
                <w:szCs w:val="24"/>
                <w:lang w:val="en-GB"/>
              </w:rPr>
            </w:pPr>
            <w:r w:rsidRPr="00B4669C">
              <w:rPr>
                <w:rFonts w:ascii="Times New Roman" w:hAnsi="Times New Roman" w:cs="Times New Roman"/>
                <w:b/>
                <w:bCs/>
                <w:iCs/>
                <w:sz w:val="24"/>
                <w:szCs w:val="24"/>
                <w:lang w:val="en-GB"/>
              </w:rPr>
              <w:t xml:space="preserve">Remark </w:t>
            </w:r>
          </w:p>
        </w:tc>
      </w:tr>
      <w:tr w:rsidR="00ED5041" w:rsidRPr="00F629D3" w14:paraId="71B04454" w14:textId="77777777" w:rsidTr="001E1A7B">
        <w:trPr>
          <w:jc w:val="center"/>
        </w:trPr>
        <w:tc>
          <w:tcPr>
            <w:tcW w:w="1255" w:type="dxa"/>
          </w:tcPr>
          <w:p w14:paraId="3346E39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Linear</w:t>
            </w:r>
          </w:p>
        </w:tc>
        <w:tc>
          <w:tcPr>
            <w:tcW w:w="1530" w:type="dxa"/>
            <w:vAlign w:val="center"/>
          </w:tcPr>
          <w:p w14:paraId="4194F56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8.64</w:t>
            </w:r>
          </w:p>
        </w:tc>
        <w:tc>
          <w:tcPr>
            <w:tcW w:w="1333" w:type="dxa"/>
            <w:vAlign w:val="center"/>
          </w:tcPr>
          <w:p w14:paraId="0A979EC8"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0.1075</w:t>
            </w:r>
          </w:p>
        </w:tc>
        <w:tc>
          <w:tcPr>
            <w:tcW w:w="1364" w:type="dxa"/>
            <w:vAlign w:val="center"/>
          </w:tcPr>
          <w:p w14:paraId="75B305C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-0.0413</w:t>
            </w:r>
          </w:p>
        </w:tc>
        <w:tc>
          <w:tcPr>
            <w:tcW w:w="1533" w:type="dxa"/>
            <w:vAlign w:val="center"/>
          </w:tcPr>
          <w:p w14:paraId="6FF1295C"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-0.3500</w:t>
            </w:r>
          </w:p>
        </w:tc>
        <w:tc>
          <w:tcPr>
            <w:tcW w:w="1194" w:type="dxa"/>
            <w:vAlign w:val="center"/>
          </w:tcPr>
          <w:p w14:paraId="11CCA3B0"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2712.13</w:t>
            </w:r>
          </w:p>
        </w:tc>
        <w:tc>
          <w:tcPr>
            <w:tcW w:w="1367" w:type="dxa"/>
            <w:vAlign w:val="center"/>
          </w:tcPr>
          <w:p w14:paraId="72B054C0" w14:textId="77777777" w:rsidR="00ED5041" w:rsidRPr="00F629D3" w:rsidRDefault="00ED5041" w:rsidP="001E1A7B">
            <w:pPr>
              <w:jc w:val="both"/>
              <w:rPr>
                <w:rFonts w:ascii="Times New Roman" w:hAnsi="Times New Roman" w:cs="Times New Roman"/>
                <w:bCs/>
                <w:iCs/>
                <w:sz w:val="24"/>
                <w:szCs w:val="24"/>
                <w:lang w:val="en-GB"/>
              </w:rPr>
            </w:pPr>
          </w:p>
        </w:tc>
      </w:tr>
      <w:tr w:rsidR="00ED5041" w:rsidRPr="00F629D3" w14:paraId="46009432" w14:textId="77777777" w:rsidTr="001E1A7B">
        <w:trPr>
          <w:jc w:val="center"/>
        </w:trPr>
        <w:tc>
          <w:tcPr>
            <w:tcW w:w="1255" w:type="dxa"/>
          </w:tcPr>
          <w:p w14:paraId="123A510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2FI</w:t>
            </w:r>
          </w:p>
        </w:tc>
        <w:tc>
          <w:tcPr>
            <w:tcW w:w="1530" w:type="dxa"/>
            <w:vAlign w:val="center"/>
          </w:tcPr>
          <w:p w14:paraId="6242BBBA"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5.87</w:t>
            </w:r>
          </w:p>
        </w:tc>
        <w:tc>
          <w:tcPr>
            <w:tcW w:w="1333" w:type="dxa"/>
            <w:vAlign w:val="center"/>
          </w:tcPr>
          <w:p w14:paraId="3528AE08"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0.6911</w:t>
            </w:r>
          </w:p>
        </w:tc>
        <w:tc>
          <w:tcPr>
            <w:tcW w:w="1364" w:type="dxa"/>
            <w:vAlign w:val="center"/>
          </w:tcPr>
          <w:p w14:paraId="74A92C1D"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0.5195</w:t>
            </w:r>
          </w:p>
        </w:tc>
        <w:tc>
          <w:tcPr>
            <w:tcW w:w="1533" w:type="dxa"/>
            <w:vAlign w:val="center"/>
          </w:tcPr>
          <w:p w14:paraId="190E521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0.1953</w:t>
            </w:r>
          </w:p>
        </w:tc>
        <w:tc>
          <w:tcPr>
            <w:tcW w:w="1194" w:type="dxa"/>
            <w:vAlign w:val="center"/>
          </w:tcPr>
          <w:p w14:paraId="55710CDB"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1616.51</w:t>
            </w:r>
          </w:p>
        </w:tc>
        <w:tc>
          <w:tcPr>
            <w:tcW w:w="1367" w:type="dxa"/>
            <w:vAlign w:val="center"/>
          </w:tcPr>
          <w:p w14:paraId="6D072418" w14:textId="77777777" w:rsidR="00ED5041" w:rsidRPr="00F629D3" w:rsidRDefault="00ED5041" w:rsidP="001E1A7B">
            <w:pPr>
              <w:jc w:val="both"/>
              <w:rPr>
                <w:rFonts w:ascii="Times New Roman" w:hAnsi="Times New Roman" w:cs="Times New Roman"/>
                <w:bCs/>
                <w:iCs/>
                <w:sz w:val="24"/>
                <w:szCs w:val="24"/>
                <w:lang w:val="en-GB"/>
              </w:rPr>
            </w:pPr>
          </w:p>
        </w:tc>
      </w:tr>
      <w:tr w:rsidR="00ED5041" w:rsidRPr="00F629D3" w14:paraId="2252B8E5" w14:textId="77777777" w:rsidTr="001E1A7B">
        <w:trPr>
          <w:jc w:val="center"/>
        </w:trPr>
        <w:tc>
          <w:tcPr>
            <w:tcW w:w="1255" w:type="dxa"/>
          </w:tcPr>
          <w:p w14:paraId="1F42162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Quadratic</w:t>
            </w:r>
          </w:p>
        </w:tc>
        <w:tc>
          <w:tcPr>
            <w:tcW w:w="1530" w:type="dxa"/>
            <w:vAlign w:val="center"/>
          </w:tcPr>
          <w:p w14:paraId="4558EE1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1.45</w:t>
            </w:r>
          </w:p>
        </w:tc>
        <w:tc>
          <w:tcPr>
            <w:tcW w:w="1333" w:type="dxa"/>
            <w:vAlign w:val="center"/>
          </w:tcPr>
          <w:p w14:paraId="7FB4032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0.9854</w:t>
            </w:r>
          </w:p>
        </w:tc>
        <w:tc>
          <w:tcPr>
            <w:tcW w:w="1364" w:type="dxa"/>
            <w:vAlign w:val="center"/>
          </w:tcPr>
          <w:p w14:paraId="37EB1FCE"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0.9707</w:t>
            </w:r>
          </w:p>
        </w:tc>
        <w:tc>
          <w:tcPr>
            <w:tcW w:w="1533" w:type="dxa"/>
            <w:vAlign w:val="center"/>
          </w:tcPr>
          <w:p w14:paraId="522FF3E2"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0.9187</w:t>
            </w:r>
          </w:p>
        </w:tc>
        <w:tc>
          <w:tcPr>
            <w:tcW w:w="1194" w:type="dxa"/>
            <w:vAlign w:val="center"/>
          </w:tcPr>
          <w:p w14:paraId="14ABFAF9"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163.38</w:t>
            </w:r>
          </w:p>
        </w:tc>
        <w:tc>
          <w:tcPr>
            <w:tcW w:w="1367" w:type="dxa"/>
            <w:vAlign w:val="center"/>
          </w:tcPr>
          <w:p w14:paraId="24C7DC1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Suggested</w:t>
            </w:r>
          </w:p>
        </w:tc>
      </w:tr>
      <w:tr w:rsidR="00ED5041" w:rsidRPr="00F629D3" w14:paraId="10EA9B41" w14:textId="77777777" w:rsidTr="001E1A7B">
        <w:trPr>
          <w:jc w:val="center"/>
        </w:trPr>
        <w:tc>
          <w:tcPr>
            <w:tcW w:w="1255" w:type="dxa"/>
          </w:tcPr>
          <w:p w14:paraId="5A8BE38F"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Cubic</w:t>
            </w:r>
          </w:p>
        </w:tc>
        <w:tc>
          <w:tcPr>
            <w:tcW w:w="1530" w:type="dxa"/>
            <w:vAlign w:val="center"/>
          </w:tcPr>
          <w:p w14:paraId="43A5D1E5"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0.7025</w:t>
            </w:r>
          </w:p>
        </w:tc>
        <w:tc>
          <w:tcPr>
            <w:tcW w:w="1333" w:type="dxa"/>
            <w:vAlign w:val="center"/>
          </w:tcPr>
          <w:p w14:paraId="4B721C14"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0.9985</w:t>
            </w:r>
          </w:p>
        </w:tc>
        <w:tc>
          <w:tcPr>
            <w:tcW w:w="1364" w:type="dxa"/>
            <w:vAlign w:val="center"/>
          </w:tcPr>
          <w:p w14:paraId="73ABF597"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0.9931</w:t>
            </w:r>
          </w:p>
        </w:tc>
        <w:tc>
          <w:tcPr>
            <w:tcW w:w="1533" w:type="dxa"/>
            <w:vAlign w:val="center"/>
          </w:tcPr>
          <w:p w14:paraId="26F9A941"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0.8885</w:t>
            </w:r>
          </w:p>
        </w:tc>
        <w:tc>
          <w:tcPr>
            <w:tcW w:w="1194" w:type="dxa"/>
            <w:vAlign w:val="center"/>
          </w:tcPr>
          <w:p w14:paraId="52DEDEC8"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223.98</w:t>
            </w:r>
          </w:p>
        </w:tc>
        <w:tc>
          <w:tcPr>
            <w:tcW w:w="1367" w:type="dxa"/>
            <w:vAlign w:val="center"/>
          </w:tcPr>
          <w:p w14:paraId="4B157306" w14:textId="77777777" w:rsidR="00ED5041" w:rsidRPr="00F629D3" w:rsidRDefault="00ED5041" w:rsidP="001E1A7B">
            <w:pPr>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t>Aliased</w:t>
            </w:r>
          </w:p>
        </w:tc>
      </w:tr>
    </w:tbl>
    <w:p w14:paraId="1352B993" w14:textId="4889D27A" w:rsidR="00ED5041" w:rsidRPr="00F629D3" w:rsidRDefault="00ED5041" w:rsidP="00ED5041">
      <w:pPr>
        <w:spacing w:line="240" w:lineRule="auto"/>
        <w:jc w:val="both"/>
        <w:rPr>
          <w:rFonts w:ascii="Times New Roman" w:hAnsi="Times New Roman" w:cs="Times New Roman"/>
          <w:bCs/>
          <w:iCs/>
          <w:sz w:val="24"/>
          <w:szCs w:val="24"/>
          <w:lang w:val="en-GB"/>
        </w:rPr>
      </w:pPr>
      <w:bookmarkStart w:id="272" w:name="_Toc123302989"/>
      <w:r w:rsidRPr="00F629D3">
        <w:rPr>
          <w:rFonts w:ascii="Times New Roman" w:hAnsi="Times New Roman" w:cs="Times New Roman"/>
          <w:bCs/>
          <w:iCs/>
          <w:sz w:val="24"/>
          <w:szCs w:val="24"/>
          <w:lang w:val="en-GB"/>
        </w:rPr>
        <w:t xml:space="preserve">The Lack of Fit F-value of 7.88 implies the Lack of Fit is not significant relative to the pure error. The Model F-value of 67.33 implies the model is significant. For individual model terms, p values less than 0.05 indicate model terms are significant. </w:t>
      </w:r>
      <w:r w:rsidRPr="00F629D3">
        <w:rPr>
          <w:rFonts w:ascii="Times New Roman" w:hAnsi="Times New Roman" w:cs="Times New Roman"/>
          <w:bCs/>
          <w:iCs/>
          <w:sz w:val="24"/>
          <w:szCs w:val="24"/>
        </w:rPr>
        <w:t xml:space="preserve">When a model term is considered significant, it means that changing its value will significantly impact the response's value. For non-significant model terms, the opposite is the case </w:t>
      </w:r>
      <w:r w:rsidR="00991A2D">
        <w:rPr>
          <w:rFonts w:ascii="Times New Roman" w:hAnsi="Times New Roman" w:cs="Times New Roman"/>
          <w:bCs/>
          <w:iCs/>
          <w:sz w:val="24"/>
          <w:szCs w:val="24"/>
        </w:rPr>
        <w:t>[65]</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{"citationItems":[{"id":"ITEM-1","itemData":{"DOI":"10.1371/journal.pone.0205076","ISBN":"1111111111","ISSN":"19326203","PMID":"30475804","abstract":"In the context of generalized linear models (GLMs), interactions are automatically induced on the natural scale of the data. The conventional approach to measuring effects in GLMs based on significance testing (e.g. the Wald test or using deviance to assess model fit) is not always appropriate. The objective of this paper is to demonstrate the limitations of these conventional approaches and to explore alternative strategies for determining the importance of effects. The paper compares four approaches to determining the importance of effects in the GLM using 1) the Wald statistic, 2) change in deviance (model fitting criteria), 3) Bayesian GLM using vaguely informative priors and 4) Bayesian Model Averaging analysis. The main points in this paper are illustrated using an example study, which examines the risk factors for cyber abuse victimization, and are further examined using a simulation study. Analysis of our example dataset shows that, in terms of a logistic GLM, the conventional methods using the Wald test and the change in deviance can produce results that are difficult to interpret; Bayesian analysis of GLM is a suitable alternative, which is enhanced with prior knowledge about the direction of the effects; and Bayesian Model Averaging (BMA) is especially suited for new areas of research, particularly in the absence of theory. We recommend that social scientists consider including BMA in their standard toolbox for analysis of GLMs.","author":[{"dropping-particle":"","family":"Vakhitova","given":"Zarina I.","non-dropping-particle":"","parse-names":false,"suffix":""},{"dropping-particle":"","family":"Alston-Knox","given":"Clair L.","non-dropping-particle":"","parse-names":false,"suffix":""}],"container-title":"PLoS ONE","id":"ITEM-1","issue":"11","issued":{"date-parts":[["2018"]]},"number-of-pages":"e0205076","title":"Non-significant p-values? Strategies to understand and better determine the importance of effects and interactions in logistic regression","type":"book","volume":"13"},"uris":["http://www.mendeley.com/documents/?uuid=a9cf7e0d-6403-4f1c-94ee-e40f971ac177"]}],"mendeley":{"formattedCitation":"(Vakhitova &amp; Alston-Knox, 2018)","plainTextFormattedCitation":"(Vakhitova &amp; Alston-Knox, 2018)","previouslyFormattedCitation":"(Vakhitova &amp; Alston-Knox, 2018)"},"properties":{"noteIndex":0},"schema":"https://github.com/citation-style-language/schema/raw/master/csl-citation.json"}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Pr="00F629D3">
        <w:rPr>
          <w:rFonts w:ascii="Times New Roman" w:hAnsi="Times New Roman" w:cs="Times New Roman"/>
          <w:bCs/>
          <w:iCs/>
          <w:sz w:val="24"/>
          <w:szCs w:val="24"/>
          <w:lang w:val="en-GB"/>
        </w:rPr>
        <w:fldChar w:fldCharType="end"/>
      </w:r>
      <w:r w:rsidRPr="00F629D3">
        <w:rPr>
          <w:rFonts w:ascii="Times New Roman" w:hAnsi="Times New Roman" w:cs="Times New Roman"/>
          <w:bCs/>
          <w:iCs/>
          <w:sz w:val="24"/>
          <w:szCs w:val="24"/>
        </w:rPr>
        <w:t>.</w:t>
      </w:r>
      <w:r w:rsidRPr="00F629D3">
        <w:rPr>
          <w:rFonts w:ascii="Times New Roman" w:hAnsi="Times New Roman" w:cs="Times New Roman"/>
          <w:bCs/>
          <w:iCs/>
          <w:sz w:val="24"/>
          <w:szCs w:val="24"/>
          <w:lang w:val="en-GB"/>
        </w:rPr>
        <w:t xml:space="preserve"> In this case X</w:t>
      </w:r>
      <w:r w:rsidRPr="00F629D3">
        <w:rPr>
          <w:rFonts w:ascii="Times New Roman" w:hAnsi="Times New Roman" w:cs="Times New Roman"/>
          <w:bCs/>
          <w:iCs/>
          <w:sz w:val="24"/>
          <w:szCs w:val="24"/>
          <w:vertAlign w:val="subscript"/>
          <w:lang w:val="en-GB"/>
        </w:rPr>
        <w:t>1</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3</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4</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1</w:t>
      </w:r>
      <w:r w:rsidRPr="00F629D3">
        <w:rPr>
          <w:rFonts w:ascii="Times New Roman" w:hAnsi="Times New Roman" w:cs="Times New Roman"/>
          <w:bCs/>
          <w:iCs/>
          <w:sz w:val="24"/>
          <w:szCs w:val="24"/>
          <w:lang w:val="en-GB"/>
        </w:rPr>
        <w:t xml:space="preserve"> X</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1</w:t>
      </w:r>
      <w:r w:rsidRPr="00F629D3">
        <w:rPr>
          <w:rFonts w:ascii="Times New Roman" w:hAnsi="Times New Roman" w:cs="Times New Roman"/>
          <w:bCs/>
          <w:iCs/>
          <w:sz w:val="24"/>
          <w:szCs w:val="24"/>
          <w:lang w:val="en-GB"/>
        </w:rPr>
        <w:t xml:space="preserve"> X</w:t>
      </w:r>
      <w:r w:rsidRPr="00F629D3">
        <w:rPr>
          <w:rFonts w:ascii="Times New Roman" w:hAnsi="Times New Roman" w:cs="Times New Roman"/>
          <w:bCs/>
          <w:iCs/>
          <w:sz w:val="24"/>
          <w:szCs w:val="24"/>
          <w:vertAlign w:val="subscript"/>
          <w:lang w:val="en-GB"/>
        </w:rPr>
        <w:t>4</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ml:space="preserve"> X</w:t>
      </w:r>
      <w:r w:rsidRPr="00F629D3">
        <w:rPr>
          <w:rFonts w:ascii="Times New Roman" w:hAnsi="Times New Roman" w:cs="Times New Roman"/>
          <w:bCs/>
          <w:iCs/>
          <w:sz w:val="24"/>
          <w:szCs w:val="24"/>
          <w:vertAlign w:val="subscript"/>
          <w:lang w:val="en-GB"/>
        </w:rPr>
        <w:t>3</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lang w:val="en-GB"/>
        </w:rPr>
        <w:t xml:space="preserve"> X</w:t>
      </w:r>
      <w:r w:rsidRPr="00F629D3">
        <w:rPr>
          <w:rFonts w:ascii="Times New Roman" w:hAnsi="Times New Roman" w:cs="Times New Roman"/>
          <w:bCs/>
          <w:iCs/>
          <w:sz w:val="24"/>
          <w:szCs w:val="24"/>
          <w:vertAlign w:val="subscript"/>
          <w:lang w:val="en-GB"/>
        </w:rPr>
        <w:t>4</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3</w:t>
      </w:r>
      <w:r w:rsidRPr="00F629D3">
        <w:rPr>
          <w:rFonts w:ascii="Times New Roman" w:hAnsi="Times New Roman" w:cs="Times New Roman"/>
          <w:bCs/>
          <w:iCs/>
          <w:sz w:val="24"/>
          <w:szCs w:val="24"/>
          <w:lang w:val="en-GB"/>
        </w:rPr>
        <w:t xml:space="preserve"> X</w:t>
      </w:r>
      <w:r w:rsidRPr="00F629D3">
        <w:rPr>
          <w:rFonts w:ascii="Times New Roman" w:hAnsi="Times New Roman" w:cs="Times New Roman"/>
          <w:bCs/>
          <w:iCs/>
          <w:sz w:val="24"/>
          <w:szCs w:val="24"/>
          <w:vertAlign w:val="subscript"/>
          <w:lang w:val="en-GB"/>
        </w:rPr>
        <w:t>4</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1</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 X</w:t>
      </w:r>
      <w:r w:rsidRPr="00F629D3">
        <w:rPr>
          <w:rFonts w:ascii="Times New Roman" w:hAnsi="Times New Roman" w:cs="Times New Roman"/>
          <w:bCs/>
          <w:iCs/>
          <w:sz w:val="24"/>
          <w:szCs w:val="24"/>
          <w:vertAlign w:val="subscript"/>
          <w:lang w:val="en-GB"/>
        </w:rPr>
        <w:t>2</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 and X</w:t>
      </w:r>
      <w:r w:rsidRPr="00F629D3">
        <w:rPr>
          <w:rFonts w:ascii="Times New Roman" w:hAnsi="Times New Roman" w:cs="Times New Roman"/>
          <w:bCs/>
          <w:iCs/>
          <w:sz w:val="24"/>
          <w:szCs w:val="24"/>
          <w:vertAlign w:val="subscript"/>
          <w:lang w:val="en-GB"/>
        </w:rPr>
        <w:t>4</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were significant while X</w:t>
      </w:r>
      <w:r w:rsidRPr="00F629D3">
        <w:rPr>
          <w:rFonts w:ascii="Times New Roman" w:hAnsi="Times New Roman" w:cs="Times New Roman"/>
          <w:bCs/>
          <w:iCs/>
          <w:sz w:val="24"/>
          <w:szCs w:val="24"/>
          <w:vertAlign w:val="subscript"/>
          <w:lang w:val="en-GB"/>
        </w:rPr>
        <w:t>1</w:t>
      </w:r>
      <w:r w:rsidRPr="00F629D3">
        <w:rPr>
          <w:rFonts w:ascii="Times New Roman" w:hAnsi="Times New Roman" w:cs="Times New Roman"/>
          <w:bCs/>
          <w:iCs/>
          <w:sz w:val="24"/>
          <w:szCs w:val="24"/>
          <w:lang w:val="en-GB"/>
        </w:rPr>
        <w:t>X</w:t>
      </w:r>
      <w:r w:rsidRPr="00F629D3">
        <w:rPr>
          <w:rFonts w:ascii="Times New Roman" w:hAnsi="Times New Roman" w:cs="Times New Roman"/>
          <w:bCs/>
          <w:iCs/>
          <w:sz w:val="24"/>
          <w:szCs w:val="24"/>
          <w:vertAlign w:val="subscript"/>
          <w:lang w:val="en-GB"/>
        </w:rPr>
        <w:t>3</w:t>
      </w:r>
      <w:r w:rsidRPr="00F629D3">
        <w:rPr>
          <w:rFonts w:ascii="Times New Roman" w:hAnsi="Times New Roman" w:cs="Times New Roman"/>
          <w:bCs/>
          <w:iCs/>
          <w:sz w:val="24"/>
          <w:szCs w:val="24"/>
          <w:lang w:val="en-GB"/>
        </w:rPr>
        <w:t xml:space="preserve"> and X</w:t>
      </w:r>
      <w:r w:rsidRPr="00F629D3">
        <w:rPr>
          <w:rFonts w:ascii="Times New Roman" w:hAnsi="Times New Roman" w:cs="Times New Roman"/>
          <w:bCs/>
          <w:iCs/>
          <w:sz w:val="24"/>
          <w:szCs w:val="24"/>
          <w:vertAlign w:val="subscript"/>
          <w:lang w:val="en-GB"/>
        </w:rPr>
        <w:t>3</w:t>
      </w:r>
      <w:r w:rsidRPr="00F629D3">
        <w:rPr>
          <w:rFonts w:ascii="Times New Roman" w:hAnsi="Times New Roman" w:cs="Times New Roman"/>
          <w:bCs/>
          <w:iCs/>
          <w:sz w:val="24"/>
          <w:szCs w:val="24"/>
          <w:vertAlign w:val="superscript"/>
          <w:lang w:val="en-GB"/>
        </w:rPr>
        <w:t>2</w:t>
      </w:r>
      <w:r w:rsidRPr="00F629D3">
        <w:rPr>
          <w:rFonts w:ascii="Times New Roman" w:hAnsi="Times New Roman" w:cs="Times New Roman"/>
          <w:bCs/>
          <w:iCs/>
          <w:sz w:val="24"/>
          <w:szCs w:val="24"/>
          <w:lang w:val="en-GB"/>
        </w:rPr>
        <w:t xml:space="preserve">, the terms representing the interaction between reaction temperature and methanol to oil ratio and the quadratic model term representing the methanol to oil ratio, were not significant. </w:t>
      </w:r>
      <w:r w:rsidRPr="00F629D3">
        <w:rPr>
          <w:rFonts w:ascii="Times New Roman" w:hAnsi="Times New Roman" w:cs="Times New Roman"/>
          <w:bCs/>
          <w:iCs/>
          <w:sz w:val="24"/>
          <w:szCs w:val="24"/>
        </w:rPr>
        <w:t>This suggests that the biodiesel yield will be significantly impacted by changes in the values of all other model terms other than these two.</w:t>
      </w:r>
    </w:p>
    <w:p w14:paraId="4ADF643A" w14:textId="77777777" w:rsidR="005226A5" w:rsidRDefault="005226A5" w:rsidP="00ED5041">
      <w:pPr>
        <w:spacing w:line="240" w:lineRule="auto"/>
        <w:jc w:val="both"/>
        <w:rPr>
          <w:rFonts w:ascii="Times New Roman" w:hAnsi="Times New Roman" w:cs="Times New Roman"/>
          <w:b/>
          <w:bCs/>
          <w:iCs/>
          <w:sz w:val="24"/>
          <w:szCs w:val="24"/>
          <w:lang w:val="en-GB"/>
        </w:rPr>
      </w:pPr>
    </w:p>
    <w:p w14:paraId="7618AB86" w14:textId="77777777" w:rsidR="005226A5" w:rsidRDefault="005226A5" w:rsidP="00ED5041">
      <w:pPr>
        <w:spacing w:line="240" w:lineRule="auto"/>
        <w:jc w:val="both"/>
        <w:rPr>
          <w:rFonts w:ascii="Times New Roman" w:hAnsi="Times New Roman" w:cs="Times New Roman"/>
          <w:b/>
          <w:bCs/>
          <w:iCs/>
          <w:sz w:val="24"/>
          <w:szCs w:val="24"/>
          <w:lang w:val="en-GB"/>
        </w:rPr>
      </w:pPr>
    </w:p>
    <w:bookmarkEnd w:id="272"/>
    <w:p w14:paraId="321E6CB7" w14:textId="77777777" w:rsidR="00F9421A" w:rsidRPr="00F629D3" w:rsidRDefault="00F9421A" w:rsidP="00F9421A">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lastRenderedPageBreak/>
        <w:t>Table 7: ANOVA for the Response Surface Quadratic Model</w:t>
      </w:r>
    </w:p>
    <w:tbl>
      <w:tblPr>
        <w:tblStyle w:val="TableGrid2"/>
        <w:tblW w:w="8222" w:type="dxa"/>
        <w:jc w:val="center"/>
        <w:tblLook w:val="04A0" w:firstRow="1" w:lastRow="0" w:firstColumn="1" w:lastColumn="0" w:noHBand="0" w:noVBand="1"/>
      </w:tblPr>
      <w:tblGrid>
        <w:gridCol w:w="2065"/>
        <w:gridCol w:w="1260"/>
        <w:gridCol w:w="1260"/>
        <w:gridCol w:w="1170"/>
        <w:gridCol w:w="1260"/>
        <w:gridCol w:w="1207"/>
      </w:tblGrid>
      <w:tr w:rsidR="00F9421A" w:rsidRPr="00F629D3" w14:paraId="180D1B2C" w14:textId="77777777" w:rsidTr="008730A9">
        <w:trPr>
          <w:jc w:val="center"/>
        </w:trPr>
        <w:tc>
          <w:tcPr>
            <w:tcW w:w="2065" w:type="dxa"/>
            <w:vAlign w:val="center"/>
          </w:tcPr>
          <w:p w14:paraId="543D77E7" w14:textId="77777777" w:rsidR="00F9421A" w:rsidRPr="00B4669C" w:rsidRDefault="00F9421A" w:rsidP="008730A9">
            <w:pPr>
              <w:jc w:val="center"/>
              <w:rPr>
                <w:rFonts w:ascii="Times New Roman" w:eastAsia="Calibri" w:hAnsi="Times New Roman" w:cs="Times New Roman"/>
                <w:b/>
                <w:bCs/>
                <w:color w:val="000000"/>
                <w:sz w:val="24"/>
                <w:szCs w:val="24"/>
              </w:rPr>
            </w:pPr>
            <w:r w:rsidRPr="00B4669C">
              <w:rPr>
                <w:rFonts w:ascii="Times New Roman" w:eastAsia="Calibri" w:hAnsi="Times New Roman" w:cs="Times New Roman"/>
                <w:b/>
                <w:bCs/>
                <w:color w:val="000000"/>
                <w:sz w:val="24"/>
                <w:szCs w:val="24"/>
              </w:rPr>
              <w:t>Source</w:t>
            </w:r>
          </w:p>
        </w:tc>
        <w:tc>
          <w:tcPr>
            <w:tcW w:w="1260" w:type="dxa"/>
            <w:vAlign w:val="center"/>
          </w:tcPr>
          <w:p w14:paraId="552DC770" w14:textId="77777777" w:rsidR="00F9421A" w:rsidRPr="00B4669C" w:rsidRDefault="00F9421A" w:rsidP="008730A9">
            <w:pPr>
              <w:jc w:val="center"/>
              <w:rPr>
                <w:rFonts w:ascii="Times New Roman" w:eastAsia="Calibri" w:hAnsi="Times New Roman" w:cs="Times New Roman"/>
                <w:b/>
                <w:bCs/>
                <w:color w:val="000000"/>
                <w:sz w:val="24"/>
                <w:szCs w:val="24"/>
              </w:rPr>
            </w:pPr>
            <w:r w:rsidRPr="00B4669C">
              <w:rPr>
                <w:rFonts w:ascii="Times New Roman" w:eastAsia="Calibri" w:hAnsi="Times New Roman" w:cs="Times New Roman"/>
                <w:b/>
                <w:bCs/>
                <w:color w:val="000000"/>
                <w:sz w:val="24"/>
                <w:szCs w:val="24"/>
              </w:rPr>
              <w:t>Sum of Squares</w:t>
            </w:r>
          </w:p>
        </w:tc>
        <w:tc>
          <w:tcPr>
            <w:tcW w:w="1260" w:type="dxa"/>
            <w:vAlign w:val="center"/>
          </w:tcPr>
          <w:p w14:paraId="5848EA74" w14:textId="77777777" w:rsidR="00F9421A" w:rsidRPr="00B4669C" w:rsidRDefault="00F9421A" w:rsidP="008730A9">
            <w:pPr>
              <w:jc w:val="center"/>
              <w:rPr>
                <w:rFonts w:ascii="Times New Roman" w:eastAsia="Calibri" w:hAnsi="Times New Roman" w:cs="Times New Roman"/>
                <w:b/>
                <w:bCs/>
                <w:color w:val="000000"/>
                <w:sz w:val="24"/>
                <w:szCs w:val="24"/>
              </w:rPr>
            </w:pPr>
            <w:r w:rsidRPr="00B4669C">
              <w:rPr>
                <w:rFonts w:ascii="Times New Roman" w:eastAsia="Calibri" w:hAnsi="Times New Roman" w:cs="Times New Roman"/>
                <w:b/>
                <w:bCs/>
                <w:color w:val="000000"/>
                <w:sz w:val="24"/>
                <w:szCs w:val="24"/>
              </w:rPr>
              <w:t>Degree of freedom</w:t>
            </w:r>
          </w:p>
        </w:tc>
        <w:tc>
          <w:tcPr>
            <w:tcW w:w="1170" w:type="dxa"/>
            <w:vAlign w:val="center"/>
          </w:tcPr>
          <w:p w14:paraId="00574B05" w14:textId="77777777" w:rsidR="00F9421A" w:rsidRPr="00B4669C" w:rsidRDefault="00F9421A" w:rsidP="008730A9">
            <w:pPr>
              <w:jc w:val="center"/>
              <w:rPr>
                <w:rFonts w:ascii="Times New Roman" w:eastAsia="Calibri" w:hAnsi="Times New Roman" w:cs="Times New Roman"/>
                <w:b/>
                <w:bCs/>
                <w:color w:val="000000"/>
                <w:sz w:val="24"/>
                <w:szCs w:val="24"/>
              </w:rPr>
            </w:pPr>
            <w:r w:rsidRPr="00B4669C">
              <w:rPr>
                <w:rFonts w:ascii="Times New Roman" w:eastAsia="Calibri" w:hAnsi="Times New Roman" w:cs="Times New Roman"/>
                <w:b/>
                <w:bCs/>
                <w:color w:val="000000"/>
                <w:sz w:val="24"/>
                <w:szCs w:val="24"/>
              </w:rPr>
              <w:t>Mean Square</w:t>
            </w:r>
          </w:p>
        </w:tc>
        <w:tc>
          <w:tcPr>
            <w:tcW w:w="1260" w:type="dxa"/>
            <w:vAlign w:val="center"/>
          </w:tcPr>
          <w:p w14:paraId="2FE5C15B" w14:textId="77777777" w:rsidR="00F9421A" w:rsidRPr="00B4669C" w:rsidRDefault="00F9421A" w:rsidP="008730A9">
            <w:pPr>
              <w:jc w:val="center"/>
              <w:rPr>
                <w:rFonts w:ascii="Times New Roman" w:eastAsia="Calibri" w:hAnsi="Times New Roman" w:cs="Times New Roman"/>
                <w:b/>
                <w:bCs/>
                <w:color w:val="000000"/>
                <w:sz w:val="24"/>
                <w:szCs w:val="24"/>
              </w:rPr>
            </w:pPr>
            <w:r w:rsidRPr="00B4669C">
              <w:rPr>
                <w:rFonts w:ascii="Times New Roman" w:eastAsia="Calibri" w:hAnsi="Times New Roman" w:cs="Times New Roman"/>
                <w:b/>
                <w:bCs/>
                <w:color w:val="000000"/>
                <w:sz w:val="24"/>
                <w:szCs w:val="24"/>
              </w:rPr>
              <w:t>F-value</w:t>
            </w:r>
          </w:p>
        </w:tc>
        <w:tc>
          <w:tcPr>
            <w:tcW w:w="1207" w:type="dxa"/>
            <w:vAlign w:val="center"/>
          </w:tcPr>
          <w:p w14:paraId="1C377EED" w14:textId="77777777" w:rsidR="00F9421A" w:rsidRPr="00B4669C" w:rsidRDefault="00F9421A" w:rsidP="008730A9">
            <w:pPr>
              <w:jc w:val="center"/>
              <w:rPr>
                <w:rFonts w:ascii="Times New Roman" w:eastAsia="Calibri" w:hAnsi="Times New Roman" w:cs="Times New Roman"/>
                <w:b/>
                <w:bCs/>
                <w:color w:val="000000"/>
                <w:sz w:val="24"/>
                <w:szCs w:val="24"/>
              </w:rPr>
            </w:pPr>
            <w:r w:rsidRPr="00B4669C">
              <w:rPr>
                <w:rFonts w:ascii="Times New Roman" w:eastAsia="Calibri" w:hAnsi="Times New Roman" w:cs="Times New Roman"/>
                <w:b/>
                <w:bCs/>
                <w:color w:val="000000"/>
                <w:sz w:val="24"/>
                <w:szCs w:val="24"/>
              </w:rPr>
              <w:t>p-value</w:t>
            </w:r>
          </w:p>
        </w:tc>
      </w:tr>
      <w:tr w:rsidR="00F9421A" w:rsidRPr="00F629D3" w14:paraId="5780DBBE" w14:textId="77777777" w:rsidTr="008730A9">
        <w:trPr>
          <w:jc w:val="center"/>
        </w:trPr>
        <w:tc>
          <w:tcPr>
            <w:tcW w:w="2065" w:type="dxa"/>
            <w:vAlign w:val="center"/>
          </w:tcPr>
          <w:p w14:paraId="49D82EFD" w14:textId="77777777" w:rsidR="00F9421A" w:rsidRPr="00F629D3" w:rsidRDefault="00F9421A"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Model</w:t>
            </w:r>
          </w:p>
        </w:tc>
        <w:tc>
          <w:tcPr>
            <w:tcW w:w="1260" w:type="dxa"/>
            <w:vAlign w:val="center"/>
          </w:tcPr>
          <w:p w14:paraId="058F8F1C"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1979.55</w:t>
            </w:r>
          </w:p>
        </w:tc>
        <w:tc>
          <w:tcPr>
            <w:tcW w:w="1260" w:type="dxa"/>
            <w:vAlign w:val="center"/>
          </w:tcPr>
          <w:p w14:paraId="6F71C790"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14</w:t>
            </w:r>
          </w:p>
        </w:tc>
        <w:tc>
          <w:tcPr>
            <w:tcW w:w="1170" w:type="dxa"/>
            <w:vAlign w:val="center"/>
          </w:tcPr>
          <w:p w14:paraId="7B01C77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141.40</w:t>
            </w:r>
          </w:p>
        </w:tc>
        <w:tc>
          <w:tcPr>
            <w:tcW w:w="1260" w:type="dxa"/>
            <w:vAlign w:val="center"/>
          </w:tcPr>
          <w:p w14:paraId="0E4DE64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67.33</w:t>
            </w:r>
          </w:p>
        </w:tc>
        <w:tc>
          <w:tcPr>
            <w:tcW w:w="1207" w:type="dxa"/>
            <w:vAlign w:val="center"/>
          </w:tcPr>
          <w:p w14:paraId="5D88786D"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62A427C1" w14:textId="77777777" w:rsidTr="008730A9">
        <w:trPr>
          <w:jc w:val="center"/>
        </w:trPr>
        <w:tc>
          <w:tcPr>
            <w:tcW w:w="2065" w:type="dxa"/>
            <w:vAlign w:val="center"/>
          </w:tcPr>
          <w:p w14:paraId="057AE251"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1</w:t>
            </w:r>
          </w:p>
        </w:tc>
        <w:tc>
          <w:tcPr>
            <w:tcW w:w="1260" w:type="dxa"/>
            <w:vAlign w:val="center"/>
          </w:tcPr>
          <w:p w14:paraId="5648EC2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78.39</w:t>
            </w:r>
          </w:p>
        </w:tc>
        <w:tc>
          <w:tcPr>
            <w:tcW w:w="1260" w:type="dxa"/>
            <w:vAlign w:val="center"/>
          </w:tcPr>
          <w:p w14:paraId="469987BD"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0AF92E23"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78.39</w:t>
            </w:r>
          </w:p>
        </w:tc>
        <w:tc>
          <w:tcPr>
            <w:tcW w:w="1260" w:type="dxa"/>
            <w:vAlign w:val="center"/>
          </w:tcPr>
          <w:p w14:paraId="146BAB57"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37.33</w:t>
            </w:r>
          </w:p>
        </w:tc>
        <w:tc>
          <w:tcPr>
            <w:tcW w:w="1207" w:type="dxa"/>
            <w:vAlign w:val="center"/>
          </w:tcPr>
          <w:p w14:paraId="0198EC0C"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01951569" w14:textId="77777777" w:rsidTr="008730A9">
        <w:trPr>
          <w:jc w:val="center"/>
        </w:trPr>
        <w:tc>
          <w:tcPr>
            <w:tcW w:w="2065" w:type="dxa"/>
            <w:vAlign w:val="center"/>
          </w:tcPr>
          <w:p w14:paraId="4E95F513"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2</w:t>
            </w:r>
          </w:p>
        </w:tc>
        <w:tc>
          <w:tcPr>
            <w:tcW w:w="1260" w:type="dxa"/>
            <w:vAlign w:val="center"/>
          </w:tcPr>
          <w:p w14:paraId="69E7B6A9"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16.85</w:t>
            </w:r>
          </w:p>
        </w:tc>
        <w:tc>
          <w:tcPr>
            <w:tcW w:w="1260" w:type="dxa"/>
            <w:vAlign w:val="center"/>
          </w:tcPr>
          <w:p w14:paraId="79576CA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29F014C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16.85</w:t>
            </w:r>
          </w:p>
        </w:tc>
        <w:tc>
          <w:tcPr>
            <w:tcW w:w="1260" w:type="dxa"/>
            <w:vAlign w:val="center"/>
          </w:tcPr>
          <w:p w14:paraId="7A5A6637"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8.02</w:t>
            </w:r>
          </w:p>
        </w:tc>
        <w:tc>
          <w:tcPr>
            <w:tcW w:w="1207" w:type="dxa"/>
            <w:vAlign w:val="center"/>
          </w:tcPr>
          <w:p w14:paraId="79104E34"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0.0133</w:t>
            </w:r>
          </w:p>
        </w:tc>
      </w:tr>
      <w:tr w:rsidR="00F9421A" w:rsidRPr="00F629D3" w14:paraId="180A63FC" w14:textId="77777777" w:rsidTr="008730A9">
        <w:trPr>
          <w:jc w:val="center"/>
        </w:trPr>
        <w:tc>
          <w:tcPr>
            <w:tcW w:w="2065" w:type="dxa"/>
            <w:vAlign w:val="center"/>
          </w:tcPr>
          <w:p w14:paraId="4F62FBA4"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3</w:t>
            </w:r>
          </w:p>
        </w:tc>
        <w:tc>
          <w:tcPr>
            <w:tcW w:w="1260" w:type="dxa"/>
            <w:vAlign w:val="center"/>
          </w:tcPr>
          <w:p w14:paraId="235C99A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53.76</w:t>
            </w:r>
          </w:p>
        </w:tc>
        <w:tc>
          <w:tcPr>
            <w:tcW w:w="1260" w:type="dxa"/>
            <w:vAlign w:val="center"/>
          </w:tcPr>
          <w:p w14:paraId="327F36C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5565DA25"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53.76</w:t>
            </w:r>
          </w:p>
        </w:tc>
        <w:tc>
          <w:tcPr>
            <w:tcW w:w="1260" w:type="dxa"/>
            <w:vAlign w:val="center"/>
          </w:tcPr>
          <w:p w14:paraId="3F6E937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25.60</w:t>
            </w:r>
          </w:p>
        </w:tc>
        <w:tc>
          <w:tcPr>
            <w:tcW w:w="1207" w:type="dxa"/>
            <w:vAlign w:val="center"/>
          </w:tcPr>
          <w:p w14:paraId="101BDD6D"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0.0002</w:t>
            </w:r>
          </w:p>
        </w:tc>
      </w:tr>
      <w:tr w:rsidR="00F9421A" w:rsidRPr="00F629D3" w14:paraId="06CC0A5F" w14:textId="77777777" w:rsidTr="008730A9">
        <w:trPr>
          <w:jc w:val="center"/>
        </w:trPr>
        <w:tc>
          <w:tcPr>
            <w:tcW w:w="2065" w:type="dxa"/>
            <w:vAlign w:val="center"/>
          </w:tcPr>
          <w:p w14:paraId="61AA75AA"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4</w:t>
            </w:r>
          </w:p>
        </w:tc>
        <w:tc>
          <w:tcPr>
            <w:tcW w:w="1260" w:type="dxa"/>
            <w:vAlign w:val="center"/>
          </w:tcPr>
          <w:p w14:paraId="6370E0A9"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66.88</w:t>
            </w:r>
          </w:p>
        </w:tc>
        <w:tc>
          <w:tcPr>
            <w:tcW w:w="1260" w:type="dxa"/>
            <w:vAlign w:val="center"/>
          </w:tcPr>
          <w:p w14:paraId="7C678E6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2BD00667"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66.88</w:t>
            </w:r>
          </w:p>
        </w:tc>
        <w:tc>
          <w:tcPr>
            <w:tcW w:w="1260" w:type="dxa"/>
            <w:vAlign w:val="center"/>
          </w:tcPr>
          <w:p w14:paraId="66925B62"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31.85</w:t>
            </w:r>
          </w:p>
        </w:tc>
        <w:tc>
          <w:tcPr>
            <w:tcW w:w="1207" w:type="dxa"/>
            <w:vAlign w:val="center"/>
          </w:tcPr>
          <w:p w14:paraId="17C8A0C3"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50A908F1" w14:textId="77777777" w:rsidTr="008730A9">
        <w:trPr>
          <w:jc w:val="center"/>
        </w:trPr>
        <w:tc>
          <w:tcPr>
            <w:tcW w:w="2065" w:type="dxa"/>
            <w:vAlign w:val="center"/>
          </w:tcPr>
          <w:p w14:paraId="5CB69475"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1</w:t>
            </w: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2</w:t>
            </w:r>
          </w:p>
        </w:tc>
        <w:tc>
          <w:tcPr>
            <w:tcW w:w="1260" w:type="dxa"/>
            <w:vAlign w:val="center"/>
          </w:tcPr>
          <w:p w14:paraId="636A4450"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30.69</w:t>
            </w:r>
          </w:p>
        </w:tc>
        <w:tc>
          <w:tcPr>
            <w:tcW w:w="1260" w:type="dxa"/>
            <w:vAlign w:val="center"/>
          </w:tcPr>
          <w:p w14:paraId="7ECB9BE8"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6429143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30.69</w:t>
            </w:r>
          </w:p>
        </w:tc>
        <w:tc>
          <w:tcPr>
            <w:tcW w:w="1260" w:type="dxa"/>
            <w:vAlign w:val="center"/>
          </w:tcPr>
          <w:p w14:paraId="16FA0C81"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14.62</w:t>
            </w:r>
          </w:p>
        </w:tc>
        <w:tc>
          <w:tcPr>
            <w:tcW w:w="1207" w:type="dxa"/>
            <w:vAlign w:val="center"/>
          </w:tcPr>
          <w:p w14:paraId="11BE6803"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0.0019</w:t>
            </w:r>
          </w:p>
        </w:tc>
      </w:tr>
      <w:tr w:rsidR="00F9421A" w:rsidRPr="00F629D3" w14:paraId="57191A9A" w14:textId="77777777" w:rsidTr="008730A9">
        <w:trPr>
          <w:jc w:val="center"/>
        </w:trPr>
        <w:tc>
          <w:tcPr>
            <w:tcW w:w="2065" w:type="dxa"/>
            <w:vAlign w:val="center"/>
          </w:tcPr>
          <w:p w14:paraId="7FC8D4D2"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1</w:t>
            </w: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3</w:t>
            </w:r>
          </w:p>
        </w:tc>
        <w:tc>
          <w:tcPr>
            <w:tcW w:w="1260" w:type="dxa"/>
            <w:vAlign w:val="center"/>
          </w:tcPr>
          <w:p w14:paraId="5699833C"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4.86</w:t>
            </w:r>
          </w:p>
        </w:tc>
        <w:tc>
          <w:tcPr>
            <w:tcW w:w="1260" w:type="dxa"/>
            <w:vAlign w:val="center"/>
          </w:tcPr>
          <w:p w14:paraId="5A4C73E1"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42066BD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4.86</w:t>
            </w:r>
          </w:p>
        </w:tc>
        <w:tc>
          <w:tcPr>
            <w:tcW w:w="1260" w:type="dxa"/>
            <w:vAlign w:val="center"/>
          </w:tcPr>
          <w:p w14:paraId="0B63B634"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2.32</w:t>
            </w:r>
          </w:p>
        </w:tc>
        <w:tc>
          <w:tcPr>
            <w:tcW w:w="1207" w:type="dxa"/>
            <w:vAlign w:val="center"/>
          </w:tcPr>
          <w:p w14:paraId="0B51AAF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0.1504</w:t>
            </w:r>
          </w:p>
        </w:tc>
      </w:tr>
      <w:tr w:rsidR="00F9421A" w:rsidRPr="00F629D3" w14:paraId="3C5F4D7D" w14:textId="77777777" w:rsidTr="008730A9">
        <w:trPr>
          <w:jc w:val="center"/>
        </w:trPr>
        <w:tc>
          <w:tcPr>
            <w:tcW w:w="2065" w:type="dxa"/>
            <w:vAlign w:val="center"/>
          </w:tcPr>
          <w:p w14:paraId="791E615B"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1</w:t>
            </w: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4</w:t>
            </w:r>
          </w:p>
        </w:tc>
        <w:tc>
          <w:tcPr>
            <w:tcW w:w="1260" w:type="dxa"/>
            <w:vAlign w:val="center"/>
          </w:tcPr>
          <w:p w14:paraId="1D89D0F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99.80</w:t>
            </w:r>
          </w:p>
        </w:tc>
        <w:tc>
          <w:tcPr>
            <w:tcW w:w="1260" w:type="dxa"/>
            <w:vAlign w:val="center"/>
          </w:tcPr>
          <w:p w14:paraId="4B22D678"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128A96A8"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99.80</w:t>
            </w:r>
          </w:p>
        </w:tc>
        <w:tc>
          <w:tcPr>
            <w:tcW w:w="1260" w:type="dxa"/>
            <w:vAlign w:val="center"/>
          </w:tcPr>
          <w:p w14:paraId="69C2756F"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47.52</w:t>
            </w:r>
          </w:p>
        </w:tc>
        <w:tc>
          <w:tcPr>
            <w:tcW w:w="1207" w:type="dxa"/>
            <w:vAlign w:val="center"/>
          </w:tcPr>
          <w:p w14:paraId="64200B53"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79F413A0" w14:textId="77777777" w:rsidTr="008730A9">
        <w:trPr>
          <w:jc w:val="center"/>
        </w:trPr>
        <w:tc>
          <w:tcPr>
            <w:tcW w:w="2065" w:type="dxa"/>
            <w:vAlign w:val="center"/>
          </w:tcPr>
          <w:p w14:paraId="2F2C8230"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2</w:t>
            </w: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3</w:t>
            </w:r>
          </w:p>
        </w:tc>
        <w:tc>
          <w:tcPr>
            <w:tcW w:w="1260" w:type="dxa"/>
            <w:vAlign w:val="center"/>
          </w:tcPr>
          <w:p w14:paraId="598B33B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82.26</w:t>
            </w:r>
          </w:p>
        </w:tc>
        <w:tc>
          <w:tcPr>
            <w:tcW w:w="1260" w:type="dxa"/>
            <w:vAlign w:val="center"/>
          </w:tcPr>
          <w:p w14:paraId="4C4CE4B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3CEF9235"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82.26</w:t>
            </w:r>
          </w:p>
        </w:tc>
        <w:tc>
          <w:tcPr>
            <w:tcW w:w="1260" w:type="dxa"/>
            <w:vAlign w:val="center"/>
          </w:tcPr>
          <w:p w14:paraId="4DC8BE8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39.17</w:t>
            </w:r>
          </w:p>
        </w:tc>
        <w:tc>
          <w:tcPr>
            <w:tcW w:w="1207" w:type="dxa"/>
            <w:vAlign w:val="center"/>
          </w:tcPr>
          <w:p w14:paraId="29429252"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58B37934" w14:textId="77777777" w:rsidTr="008730A9">
        <w:trPr>
          <w:jc w:val="center"/>
        </w:trPr>
        <w:tc>
          <w:tcPr>
            <w:tcW w:w="2065" w:type="dxa"/>
            <w:vAlign w:val="center"/>
          </w:tcPr>
          <w:p w14:paraId="23A1D80A"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2</w:t>
            </w: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4</w:t>
            </w:r>
          </w:p>
        </w:tc>
        <w:tc>
          <w:tcPr>
            <w:tcW w:w="1260" w:type="dxa"/>
            <w:vAlign w:val="center"/>
          </w:tcPr>
          <w:p w14:paraId="12E9B54D"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827.71</w:t>
            </w:r>
          </w:p>
        </w:tc>
        <w:tc>
          <w:tcPr>
            <w:tcW w:w="1260" w:type="dxa"/>
            <w:vAlign w:val="center"/>
          </w:tcPr>
          <w:p w14:paraId="2ADD1142"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7DEBD2FC"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827.71</w:t>
            </w:r>
          </w:p>
        </w:tc>
        <w:tc>
          <w:tcPr>
            <w:tcW w:w="1260" w:type="dxa"/>
            <w:vAlign w:val="center"/>
          </w:tcPr>
          <w:p w14:paraId="5B0A0EB9"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394.15</w:t>
            </w:r>
          </w:p>
        </w:tc>
        <w:tc>
          <w:tcPr>
            <w:tcW w:w="1207" w:type="dxa"/>
            <w:vAlign w:val="center"/>
          </w:tcPr>
          <w:p w14:paraId="2BE3AEB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16E6BDD0" w14:textId="77777777" w:rsidTr="008730A9">
        <w:trPr>
          <w:jc w:val="center"/>
        </w:trPr>
        <w:tc>
          <w:tcPr>
            <w:tcW w:w="2065" w:type="dxa"/>
            <w:vAlign w:val="center"/>
          </w:tcPr>
          <w:p w14:paraId="783D92FC"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3</w:t>
            </w: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4</w:t>
            </w:r>
          </w:p>
        </w:tc>
        <w:tc>
          <w:tcPr>
            <w:tcW w:w="1260" w:type="dxa"/>
            <w:vAlign w:val="center"/>
          </w:tcPr>
          <w:p w14:paraId="6D3CB83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127.13</w:t>
            </w:r>
          </w:p>
        </w:tc>
        <w:tc>
          <w:tcPr>
            <w:tcW w:w="1260" w:type="dxa"/>
            <w:vAlign w:val="center"/>
          </w:tcPr>
          <w:p w14:paraId="4D75158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1FC82215"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127.13</w:t>
            </w:r>
          </w:p>
        </w:tc>
        <w:tc>
          <w:tcPr>
            <w:tcW w:w="1260" w:type="dxa"/>
            <w:vAlign w:val="center"/>
          </w:tcPr>
          <w:p w14:paraId="5BD03607"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60.54</w:t>
            </w:r>
          </w:p>
        </w:tc>
        <w:tc>
          <w:tcPr>
            <w:tcW w:w="1207" w:type="dxa"/>
            <w:vAlign w:val="center"/>
          </w:tcPr>
          <w:p w14:paraId="5DB57F6F"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2104778D" w14:textId="77777777" w:rsidTr="008730A9">
        <w:trPr>
          <w:jc w:val="center"/>
        </w:trPr>
        <w:tc>
          <w:tcPr>
            <w:tcW w:w="2065" w:type="dxa"/>
            <w:vAlign w:val="center"/>
          </w:tcPr>
          <w:p w14:paraId="2D0C8B09" w14:textId="77777777" w:rsidR="00F9421A" w:rsidRPr="00F629D3" w:rsidRDefault="00F9421A" w:rsidP="008730A9">
            <w:pPr>
              <w:rPr>
                <w:rFonts w:ascii="Times New Roman" w:eastAsia="Calibri" w:hAnsi="Times New Roman" w:cs="Times New Roman"/>
                <w:color w:val="000000"/>
                <w:sz w:val="24"/>
                <w:szCs w:val="24"/>
                <w:vertAlign w:val="superscript"/>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1</w:t>
            </w:r>
            <w:r w:rsidRPr="00F629D3">
              <w:rPr>
                <w:rFonts w:ascii="Times New Roman" w:eastAsia="Calibri" w:hAnsi="Times New Roman" w:cs="Times New Roman"/>
                <w:color w:val="000000"/>
                <w:sz w:val="24"/>
                <w:szCs w:val="24"/>
                <w:vertAlign w:val="superscript"/>
              </w:rPr>
              <w:t>2</w:t>
            </w:r>
          </w:p>
        </w:tc>
        <w:tc>
          <w:tcPr>
            <w:tcW w:w="1260" w:type="dxa"/>
            <w:vAlign w:val="center"/>
          </w:tcPr>
          <w:p w14:paraId="553EB421"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13.14</w:t>
            </w:r>
          </w:p>
        </w:tc>
        <w:tc>
          <w:tcPr>
            <w:tcW w:w="1260" w:type="dxa"/>
            <w:vAlign w:val="center"/>
          </w:tcPr>
          <w:p w14:paraId="61914A5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1DDE3BE9"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13.14</w:t>
            </w:r>
          </w:p>
        </w:tc>
        <w:tc>
          <w:tcPr>
            <w:tcW w:w="1260" w:type="dxa"/>
            <w:vAlign w:val="center"/>
          </w:tcPr>
          <w:p w14:paraId="71AD0B9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6.26</w:t>
            </w:r>
          </w:p>
        </w:tc>
        <w:tc>
          <w:tcPr>
            <w:tcW w:w="1207" w:type="dxa"/>
            <w:vAlign w:val="center"/>
          </w:tcPr>
          <w:p w14:paraId="16A3B28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0.0254</w:t>
            </w:r>
          </w:p>
        </w:tc>
      </w:tr>
      <w:tr w:rsidR="00F9421A" w:rsidRPr="00F629D3" w14:paraId="45618196" w14:textId="77777777" w:rsidTr="008730A9">
        <w:trPr>
          <w:jc w:val="center"/>
        </w:trPr>
        <w:tc>
          <w:tcPr>
            <w:tcW w:w="2065" w:type="dxa"/>
            <w:vAlign w:val="center"/>
          </w:tcPr>
          <w:p w14:paraId="436B30E4"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2</w:t>
            </w:r>
            <w:r w:rsidRPr="00F629D3">
              <w:rPr>
                <w:rFonts w:ascii="Times New Roman" w:eastAsia="Calibri" w:hAnsi="Times New Roman" w:cs="Times New Roman"/>
                <w:color w:val="000000"/>
                <w:sz w:val="24"/>
                <w:szCs w:val="24"/>
              </w:rPr>
              <w:t>²</w:t>
            </w:r>
          </w:p>
        </w:tc>
        <w:tc>
          <w:tcPr>
            <w:tcW w:w="1260" w:type="dxa"/>
            <w:vAlign w:val="center"/>
          </w:tcPr>
          <w:p w14:paraId="023F7E69"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190.68</w:t>
            </w:r>
          </w:p>
        </w:tc>
        <w:tc>
          <w:tcPr>
            <w:tcW w:w="1260" w:type="dxa"/>
            <w:vAlign w:val="center"/>
          </w:tcPr>
          <w:p w14:paraId="58E144F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55202BEC"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190.68</w:t>
            </w:r>
          </w:p>
        </w:tc>
        <w:tc>
          <w:tcPr>
            <w:tcW w:w="1260" w:type="dxa"/>
            <w:vAlign w:val="center"/>
          </w:tcPr>
          <w:p w14:paraId="4E41EC4D"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90.80</w:t>
            </w:r>
          </w:p>
        </w:tc>
        <w:tc>
          <w:tcPr>
            <w:tcW w:w="1207" w:type="dxa"/>
            <w:vAlign w:val="center"/>
          </w:tcPr>
          <w:p w14:paraId="52133192"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7C3A0465" w14:textId="77777777" w:rsidTr="008730A9">
        <w:trPr>
          <w:jc w:val="center"/>
        </w:trPr>
        <w:tc>
          <w:tcPr>
            <w:tcW w:w="2065" w:type="dxa"/>
            <w:vAlign w:val="center"/>
          </w:tcPr>
          <w:p w14:paraId="48B51F46"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3</w:t>
            </w:r>
            <w:r w:rsidRPr="00F629D3">
              <w:rPr>
                <w:rFonts w:ascii="Times New Roman" w:eastAsia="Calibri" w:hAnsi="Times New Roman" w:cs="Times New Roman"/>
                <w:color w:val="000000"/>
                <w:sz w:val="24"/>
                <w:szCs w:val="24"/>
              </w:rPr>
              <w:t>²</w:t>
            </w:r>
          </w:p>
        </w:tc>
        <w:tc>
          <w:tcPr>
            <w:tcW w:w="1260" w:type="dxa"/>
            <w:vAlign w:val="center"/>
          </w:tcPr>
          <w:p w14:paraId="677D9AB7"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0.0476</w:t>
            </w:r>
          </w:p>
        </w:tc>
        <w:tc>
          <w:tcPr>
            <w:tcW w:w="1260" w:type="dxa"/>
            <w:vAlign w:val="center"/>
          </w:tcPr>
          <w:p w14:paraId="58A559F6"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5A791964"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0.0476</w:t>
            </w:r>
          </w:p>
        </w:tc>
        <w:tc>
          <w:tcPr>
            <w:tcW w:w="1260" w:type="dxa"/>
            <w:vAlign w:val="center"/>
          </w:tcPr>
          <w:p w14:paraId="72D00829"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0.0227</w:t>
            </w:r>
          </w:p>
        </w:tc>
        <w:tc>
          <w:tcPr>
            <w:tcW w:w="1207" w:type="dxa"/>
            <w:vAlign w:val="center"/>
          </w:tcPr>
          <w:p w14:paraId="31D6103F"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0.8825</w:t>
            </w:r>
          </w:p>
        </w:tc>
      </w:tr>
      <w:tr w:rsidR="00F9421A" w:rsidRPr="00F629D3" w14:paraId="464D19FC" w14:textId="77777777" w:rsidTr="008730A9">
        <w:trPr>
          <w:jc w:val="center"/>
        </w:trPr>
        <w:tc>
          <w:tcPr>
            <w:tcW w:w="2065" w:type="dxa"/>
            <w:vAlign w:val="center"/>
          </w:tcPr>
          <w:p w14:paraId="58C789C8"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X</w:t>
            </w:r>
            <w:r w:rsidRPr="00F629D3">
              <w:rPr>
                <w:rFonts w:ascii="Times New Roman" w:eastAsia="Calibri" w:hAnsi="Times New Roman" w:cs="Times New Roman"/>
                <w:color w:val="000000"/>
                <w:sz w:val="24"/>
                <w:szCs w:val="24"/>
                <w:vertAlign w:val="subscript"/>
              </w:rPr>
              <w:t>4</w:t>
            </w:r>
            <w:r w:rsidRPr="00F629D3">
              <w:rPr>
                <w:rFonts w:ascii="Times New Roman" w:eastAsia="Calibri" w:hAnsi="Times New Roman" w:cs="Times New Roman"/>
                <w:color w:val="000000"/>
                <w:sz w:val="24"/>
                <w:szCs w:val="24"/>
              </w:rPr>
              <w:t>²</w:t>
            </w:r>
          </w:p>
        </w:tc>
        <w:tc>
          <w:tcPr>
            <w:tcW w:w="1260" w:type="dxa"/>
            <w:vAlign w:val="center"/>
          </w:tcPr>
          <w:p w14:paraId="79FD977E"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454.76</w:t>
            </w:r>
          </w:p>
        </w:tc>
        <w:tc>
          <w:tcPr>
            <w:tcW w:w="1260" w:type="dxa"/>
            <w:vAlign w:val="center"/>
          </w:tcPr>
          <w:p w14:paraId="10A9B4D0"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w:t>
            </w:r>
          </w:p>
        </w:tc>
        <w:tc>
          <w:tcPr>
            <w:tcW w:w="1170" w:type="dxa"/>
            <w:vAlign w:val="center"/>
          </w:tcPr>
          <w:p w14:paraId="598A42BD"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454.76</w:t>
            </w:r>
          </w:p>
        </w:tc>
        <w:tc>
          <w:tcPr>
            <w:tcW w:w="1260" w:type="dxa"/>
            <w:vAlign w:val="center"/>
          </w:tcPr>
          <w:p w14:paraId="282F28D3"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216.55</w:t>
            </w:r>
          </w:p>
        </w:tc>
        <w:tc>
          <w:tcPr>
            <w:tcW w:w="1207" w:type="dxa"/>
            <w:vAlign w:val="center"/>
          </w:tcPr>
          <w:p w14:paraId="343DEA2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&lt; 0.0001</w:t>
            </w:r>
          </w:p>
        </w:tc>
      </w:tr>
      <w:tr w:rsidR="00F9421A" w:rsidRPr="00F629D3" w14:paraId="2B1DE3EA" w14:textId="77777777" w:rsidTr="008730A9">
        <w:trPr>
          <w:jc w:val="center"/>
        </w:trPr>
        <w:tc>
          <w:tcPr>
            <w:tcW w:w="2065" w:type="dxa"/>
            <w:vAlign w:val="center"/>
          </w:tcPr>
          <w:p w14:paraId="16EAB264" w14:textId="77777777" w:rsidR="00F9421A" w:rsidRPr="00F629D3" w:rsidRDefault="00F9421A"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Residual</w:t>
            </w:r>
          </w:p>
        </w:tc>
        <w:tc>
          <w:tcPr>
            <w:tcW w:w="1260" w:type="dxa"/>
            <w:vAlign w:val="center"/>
          </w:tcPr>
          <w:p w14:paraId="44CA51A3"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29.40</w:t>
            </w:r>
          </w:p>
        </w:tc>
        <w:tc>
          <w:tcPr>
            <w:tcW w:w="1260" w:type="dxa"/>
            <w:vAlign w:val="center"/>
          </w:tcPr>
          <w:p w14:paraId="20AAB39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14</w:t>
            </w:r>
          </w:p>
        </w:tc>
        <w:tc>
          <w:tcPr>
            <w:tcW w:w="1170" w:type="dxa"/>
            <w:vAlign w:val="center"/>
          </w:tcPr>
          <w:p w14:paraId="4FB90F88"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2.10</w:t>
            </w:r>
          </w:p>
        </w:tc>
        <w:tc>
          <w:tcPr>
            <w:tcW w:w="1260" w:type="dxa"/>
            <w:vAlign w:val="center"/>
          </w:tcPr>
          <w:p w14:paraId="0995C687" w14:textId="77777777" w:rsidR="00F9421A" w:rsidRPr="00F629D3" w:rsidRDefault="00F9421A" w:rsidP="008730A9">
            <w:pPr>
              <w:rPr>
                <w:rFonts w:ascii="Times New Roman" w:eastAsia="Calibri" w:hAnsi="Times New Roman" w:cs="Times New Roman"/>
                <w:color w:val="000000"/>
                <w:sz w:val="24"/>
                <w:szCs w:val="24"/>
              </w:rPr>
            </w:pPr>
          </w:p>
        </w:tc>
        <w:tc>
          <w:tcPr>
            <w:tcW w:w="1207" w:type="dxa"/>
            <w:vAlign w:val="center"/>
          </w:tcPr>
          <w:p w14:paraId="51EDCEA8" w14:textId="77777777" w:rsidR="00F9421A" w:rsidRPr="00F629D3" w:rsidRDefault="00F9421A" w:rsidP="008730A9">
            <w:pPr>
              <w:rPr>
                <w:rFonts w:ascii="Times New Roman" w:eastAsia="Calibri" w:hAnsi="Times New Roman" w:cs="Times New Roman"/>
                <w:color w:val="000000"/>
                <w:sz w:val="24"/>
                <w:szCs w:val="24"/>
              </w:rPr>
            </w:pPr>
          </w:p>
        </w:tc>
      </w:tr>
      <w:tr w:rsidR="00F9421A" w:rsidRPr="00F629D3" w14:paraId="50CD9B78" w14:textId="77777777" w:rsidTr="008730A9">
        <w:trPr>
          <w:jc w:val="center"/>
        </w:trPr>
        <w:tc>
          <w:tcPr>
            <w:tcW w:w="2065" w:type="dxa"/>
            <w:vAlign w:val="center"/>
          </w:tcPr>
          <w:p w14:paraId="34BD5C87"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Lack of Fit</w:t>
            </w:r>
          </w:p>
        </w:tc>
        <w:tc>
          <w:tcPr>
            <w:tcW w:w="1260" w:type="dxa"/>
            <w:vAlign w:val="center"/>
          </w:tcPr>
          <w:p w14:paraId="5F937CAF"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27.98</w:t>
            </w:r>
          </w:p>
        </w:tc>
        <w:tc>
          <w:tcPr>
            <w:tcW w:w="1260" w:type="dxa"/>
            <w:vAlign w:val="center"/>
          </w:tcPr>
          <w:p w14:paraId="38233704"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10</w:t>
            </w:r>
          </w:p>
        </w:tc>
        <w:tc>
          <w:tcPr>
            <w:tcW w:w="1170" w:type="dxa"/>
            <w:vAlign w:val="center"/>
          </w:tcPr>
          <w:p w14:paraId="3A026E71"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2.80</w:t>
            </w:r>
          </w:p>
        </w:tc>
        <w:tc>
          <w:tcPr>
            <w:tcW w:w="1260" w:type="dxa"/>
            <w:vAlign w:val="center"/>
          </w:tcPr>
          <w:p w14:paraId="0A53C4AA"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7.88</w:t>
            </w:r>
          </w:p>
        </w:tc>
        <w:tc>
          <w:tcPr>
            <w:tcW w:w="1207" w:type="dxa"/>
            <w:vAlign w:val="center"/>
          </w:tcPr>
          <w:p w14:paraId="4AAC588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0.0308</w:t>
            </w:r>
          </w:p>
        </w:tc>
      </w:tr>
      <w:tr w:rsidR="00F9421A" w:rsidRPr="00F629D3" w14:paraId="618EBAD0" w14:textId="77777777" w:rsidTr="008730A9">
        <w:trPr>
          <w:jc w:val="center"/>
        </w:trPr>
        <w:tc>
          <w:tcPr>
            <w:tcW w:w="2065" w:type="dxa"/>
            <w:vAlign w:val="center"/>
          </w:tcPr>
          <w:p w14:paraId="7AD235AA" w14:textId="77777777" w:rsidR="00F9421A" w:rsidRPr="00F629D3" w:rsidRDefault="00F9421A" w:rsidP="008730A9">
            <w:pP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Pure Error</w:t>
            </w:r>
          </w:p>
        </w:tc>
        <w:tc>
          <w:tcPr>
            <w:tcW w:w="1260" w:type="dxa"/>
            <w:vAlign w:val="center"/>
          </w:tcPr>
          <w:p w14:paraId="6D61AA40"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1.42</w:t>
            </w:r>
          </w:p>
        </w:tc>
        <w:tc>
          <w:tcPr>
            <w:tcW w:w="1260" w:type="dxa"/>
            <w:vAlign w:val="center"/>
          </w:tcPr>
          <w:p w14:paraId="56CD3DE1"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4</w:t>
            </w:r>
          </w:p>
        </w:tc>
        <w:tc>
          <w:tcPr>
            <w:tcW w:w="1170" w:type="dxa"/>
            <w:vAlign w:val="center"/>
          </w:tcPr>
          <w:p w14:paraId="1ACBB87B"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0.3552</w:t>
            </w:r>
          </w:p>
        </w:tc>
        <w:tc>
          <w:tcPr>
            <w:tcW w:w="1260" w:type="dxa"/>
            <w:vAlign w:val="center"/>
          </w:tcPr>
          <w:p w14:paraId="14711510" w14:textId="77777777" w:rsidR="00F9421A" w:rsidRPr="00F629D3" w:rsidRDefault="00F9421A" w:rsidP="008730A9">
            <w:pPr>
              <w:rPr>
                <w:rFonts w:ascii="Times New Roman" w:eastAsia="Calibri" w:hAnsi="Times New Roman" w:cs="Times New Roman"/>
                <w:color w:val="000000"/>
                <w:sz w:val="24"/>
                <w:szCs w:val="24"/>
              </w:rPr>
            </w:pPr>
          </w:p>
        </w:tc>
        <w:tc>
          <w:tcPr>
            <w:tcW w:w="1207" w:type="dxa"/>
            <w:vAlign w:val="center"/>
          </w:tcPr>
          <w:p w14:paraId="5141BA23" w14:textId="77777777" w:rsidR="00F9421A" w:rsidRPr="00F629D3" w:rsidRDefault="00F9421A" w:rsidP="008730A9">
            <w:pPr>
              <w:rPr>
                <w:rFonts w:ascii="Times New Roman" w:eastAsia="Calibri" w:hAnsi="Times New Roman" w:cs="Times New Roman"/>
                <w:color w:val="000000"/>
                <w:sz w:val="24"/>
                <w:szCs w:val="24"/>
              </w:rPr>
            </w:pPr>
          </w:p>
        </w:tc>
      </w:tr>
      <w:tr w:rsidR="00F9421A" w:rsidRPr="00F629D3" w14:paraId="068F915F" w14:textId="77777777" w:rsidTr="008730A9">
        <w:trPr>
          <w:jc w:val="center"/>
        </w:trPr>
        <w:tc>
          <w:tcPr>
            <w:tcW w:w="2065" w:type="dxa"/>
            <w:vAlign w:val="center"/>
          </w:tcPr>
          <w:p w14:paraId="3BA19F32" w14:textId="77777777" w:rsidR="00F9421A" w:rsidRPr="00F629D3" w:rsidRDefault="00F9421A"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Corrected Totals</w:t>
            </w:r>
          </w:p>
        </w:tc>
        <w:tc>
          <w:tcPr>
            <w:tcW w:w="1260" w:type="dxa"/>
            <w:vAlign w:val="center"/>
          </w:tcPr>
          <w:p w14:paraId="42650EA4"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2008.95</w:t>
            </w:r>
          </w:p>
        </w:tc>
        <w:tc>
          <w:tcPr>
            <w:tcW w:w="1260" w:type="dxa"/>
            <w:vAlign w:val="center"/>
          </w:tcPr>
          <w:p w14:paraId="39EF7C60" w14:textId="77777777" w:rsidR="00F9421A" w:rsidRPr="00F629D3" w:rsidRDefault="00F9421A" w:rsidP="008730A9">
            <w:pPr>
              <w:jc w:val="right"/>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28</w:t>
            </w:r>
          </w:p>
        </w:tc>
        <w:tc>
          <w:tcPr>
            <w:tcW w:w="1170" w:type="dxa"/>
            <w:vAlign w:val="center"/>
          </w:tcPr>
          <w:p w14:paraId="33833DB3" w14:textId="77777777" w:rsidR="00F9421A" w:rsidRPr="00F629D3" w:rsidRDefault="00F9421A" w:rsidP="008730A9">
            <w:pPr>
              <w:rPr>
                <w:rFonts w:ascii="Times New Roman" w:eastAsia="Calibri" w:hAnsi="Times New Roman" w:cs="Times New Roman"/>
                <w:color w:val="000000"/>
                <w:sz w:val="24"/>
                <w:szCs w:val="24"/>
              </w:rPr>
            </w:pPr>
          </w:p>
        </w:tc>
        <w:tc>
          <w:tcPr>
            <w:tcW w:w="1260" w:type="dxa"/>
            <w:vAlign w:val="center"/>
          </w:tcPr>
          <w:p w14:paraId="4CE2D92A" w14:textId="77777777" w:rsidR="00F9421A" w:rsidRPr="00F629D3" w:rsidRDefault="00F9421A" w:rsidP="008730A9">
            <w:pPr>
              <w:rPr>
                <w:rFonts w:ascii="Times New Roman" w:eastAsia="Calibri" w:hAnsi="Times New Roman" w:cs="Times New Roman"/>
                <w:color w:val="000000"/>
                <w:sz w:val="24"/>
                <w:szCs w:val="24"/>
              </w:rPr>
            </w:pPr>
          </w:p>
        </w:tc>
        <w:tc>
          <w:tcPr>
            <w:tcW w:w="1207" w:type="dxa"/>
            <w:vAlign w:val="center"/>
          </w:tcPr>
          <w:p w14:paraId="35B1F1A2" w14:textId="77777777" w:rsidR="00F9421A" w:rsidRPr="00F629D3" w:rsidRDefault="00F9421A" w:rsidP="008730A9">
            <w:pPr>
              <w:rPr>
                <w:rFonts w:ascii="Times New Roman" w:eastAsia="Calibri" w:hAnsi="Times New Roman" w:cs="Times New Roman"/>
                <w:color w:val="000000"/>
                <w:sz w:val="24"/>
                <w:szCs w:val="24"/>
              </w:rPr>
            </w:pPr>
          </w:p>
        </w:tc>
      </w:tr>
    </w:tbl>
    <w:p w14:paraId="3468D6F4" w14:textId="3EBF93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rPr>
        <w:t xml:space="preserve">The goodness-of-fit statistics for the RSM model generated to forecast biodiesel yield are shown in Table 7. High experimental precision and good reproducibility of the reaction are indicated by the low coefficient of variation (1.68%) and standard deviation (1.45) </w:t>
      </w:r>
      <w:r w:rsidR="00691299">
        <w:rPr>
          <w:rFonts w:ascii="Times New Roman" w:hAnsi="Times New Roman" w:cs="Times New Roman"/>
          <w:bCs/>
          <w:iCs/>
          <w:sz w:val="24"/>
          <w:szCs w:val="24"/>
        </w:rPr>
        <w:t>[40]</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{"citationItems":[{"id":"ITEM-1","itemData":{"ISBN":"9781119113478 (PBK); 9781119299455 (EVALC)","author":[{"dropping-particle":"","family":"Montgomery","given":"Douglas C.","non-dropping-particle":"","parse-names":false,"suffix":""}],"edition":"Ninth Edit","id":"ITEM-1","issued":{"date-parts":[["2017"]]},"number-of-pages":"697","publisher":"Copyright © 2017, 2013, 2009 John Wiley &amp; Sons, Inc.","publisher-place":"Arizona","title":"Design and analysis of experiments","type":"book"},"uris":["http://www.mendeley.com/documents/?uuid=f7ea88aa-2a56-4033-bd52-39f3e17d6945"]}],"mendeley":{"formattedCitation":"(Montgomery, 2017)","plainTextFormattedCitation":"(Montgomery, 2017)","previouslyFormattedCitation":"(Montgomery, 2017)"},"properties":{"noteIndex":0},"schema":"https://github.com/citation-style-language/schema/raw/master/csl-citation.json"}</w:instrText>
      </w:r>
      <w:r w:rsidR="003939F9">
        <w:rPr>
          <w:rFonts w:ascii="Times New Roman" w:hAnsi="Times New Roman" w:cs="Times New Roman"/>
          <w:bCs/>
          <w:iCs/>
          <w:sz w:val="24"/>
          <w:szCs w:val="24"/>
        </w:rPr>
        <w:fldChar w:fldCharType="separate"/>
      </w:r>
      <w:r w:rsidRPr="00F629D3">
        <w:rPr>
          <w:rFonts w:ascii="Times New Roman" w:hAnsi="Times New Roman" w:cs="Times New Roman"/>
          <w:bCs/>
          <w:iCs/>
          <w:sz w:val="24"/>
          <w:szCs w:val="24"/>
          <w:lang w:val="en-GB"/>
        </w:rPr>
        <w:fldChar w:fldCharType="end"/>
      </w:r>
      <w:r w:rsidRPr="00F629D3">
        <w:rPr>
          <w:rFonts w:ascii="Times New Roman" w:hAnsi="Times New Roman" w:cs="Times New Roman"/>
          <w:bCs/>
          <w:iCs/>
          <w:sz w:val="24"/>
          <w:szCs w:val="24"/>
        </w:rPr>
        <w:t xml:space="preserve">. The close agreement between the adjusted R2 (0.9707) and projected R2 (0.9198) validates good model dependability and predictive capabilities, while the high coefficient of determination (R2 = 0.9854) indicates that the model explains the great majority of the variability in biodiesel yield </w:t>
      </w:r>
      <w:r w:rsidR="00DD699B">
        <w:rPr>
          <w:rFonts w:ascii="Times New Roman" w:hAnsi="Times New Roman" w:cs="Times New Roman"/>
          <w:bCs/>
          <w:iCs/>
          <w:sz w:val="24"/>
          <w:szCs w:val="24"/>
        </w:rPr>
        <w:t>[42]</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{"citationItems":[{"id":"ITEM-1","itemData":{"DOI":"10.2166/wst.2013.733","author":[{"dropping-particle":"","family":"Nair","given":"Abhilash T","non-dropping-particle":"","parse-names":false,"suffix":""},{"dropping-particle":"","family":"Makwana","given":"Abhipsa R","non-dropping-particle":"","parse-names":false,"suffix":""},{"dropping-particle":"","family":"Ahammed","given":"M Mansoor","non-dropping-particle":"","parse-names":false,"suffix":""}],"id":"ITEM-1","issue":"November","issued":{"date-parts":[["2018"]]},"page":"464-478","title":"The use of response surface methodology for modelling and analysis of water and wastewater treatment processes : a review","type":"article-journal"},"uris":["http://www.mendeley.com/documents/?uuid=e01cdde5-0dcc-4eb0-9e37-5ee3bc91c8df"]}],"mendeley":{"formattedCitation":"(Nair et al., 2018)","plainTextFormattedCitation":"(Nair et al., 2018)","previouslyFormattedCitation":"(Nair et al., 2018)"},"properties":{"noteIndex":0},"schema":"https://github.com/citation-style-language/schema/raw/master/csl-citation.json"}</w:instrText>
      </w:r>
      <w:r w:rsidR="003939F9">
        <w:rPr>
          <w:rFonts w:ascii="Times New Roman" w:hAnsi="Times New Roman" w:cs="Times New Roman"/>
          <w:bCs/>
          <w:iCs/>
          <w:sz w:val="24"/>
          <w:szCs w:val="24"/>
        </w:rPr>
        <w:fldChar w:fldCharType="separate"/>
      </w:r>
      <w:r w:rsidRPr="00F629D3">
        <w:rPr>
          <w:rFonts w:ascii="Times New Roman" w:hAnsi="Times New Roman" w:cs="Times New Roman"/>
          <w:bCs/>
          <w:iCs/>
          <w:sz w:val="24"/>
          <w:szCs w:val="24"/>
          <w:lang w:val="en-GB"/>
        </w:rPr>
        <w:fldChar w:fldCharType="end"/>
      </w:r>
      <w:r w:rsidRPr="00F629D3">
        <w:rPr>
          <w:rFonts w:ascii="Times New Roman" w:hAnsi="Times New Roman" w:cs="Times New Roman"/>
          <w:bCs/>
          <w:iCs/>
          <w:sz w:val="24"/>
          <w:szCs w:val="24"/>
        </w:rPr>
        <w:t>. Additionally, the model is sufficient for navigating the design space and optimizing biodiesel yield, as seen by the outstanding signal-to-noise ratio and the suitable precision value of 32.14, which is significantly higher than the desired minimum of 4.</w:t>
      </w:r>
    </w:p>
    <w:p w14:paraId="009AF14A" w14:textId="77777777" w:rsidR="00CC66B0" w:rsidRDefault="00CC66B0" w:rsidP="00ED5041">
      <w:pPr>
        <w:spacing w:line="240" w:lineRule="auto"/>
        <w:jc w:val="both"/>
        <w:rPr>
          <w:rFonts w:ascii="Times New Roman" w:hAnsi="Times New Roman" w:cs="Times New Roman"/>
          <w:b/>
          <w:bCs/>
          <w:iCs/>
          <w:sz w:val="24"/>
          <w:szCs w:val="24"/>
          <w:lang w:val="en-GB"/>
        </w:rPr>
      </w:pPr>
    </w:p>
    <w:p w14:paraId="338A5548" w14:textId="77777777" w:rsidR="00CC66B0" w:rsidRPr="00F629D3" w:rsidRDefault="00CC66B0" w:rsidP="00CC66B0">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lastRenderedPageBreak/>
        <w:t>Table 8: Goodness of fit statistics for RSM model representing biodiesel yield</w:t>
      </w:r>
    </w:p>
    <w:tbl>
      <w:tblPr>
        <w:tblStyle w:val="TableGrid3"/>
        <w:tblW w:w="0" w:type="auto"/>
        <w:tblInd w:w="1951" w:type="dxa"/>
        <w:tblLook w:val="04A0" w:firstRow="1" w:lastRow="0" w:firstColumn="1" w:lastColumn="0" w:noHBand="0" w:noVBand="1"/>
      </w:tblPr>
      <w:tblGrid>
        <w:gridCol w:w="2837"/>
        <w:gridCol w:w="1841"/>
      </w:tblGrid>
      <w:tr w:rsidR="00CC66B0" w:rsidRPr="00F629D3" w14:paraId="3E201B86" w14:textId="77777777" w:rsidTr="008730A9">
        <w:tc>
          <w:tcPr>
            <w:tcW w:w="2837" w:type="dxa"/>
          </w:tcPr>
          <w:p w14:paraId="5CF67FE6" w14:textId="77777777" w:rsidR="00CC66B0" w:rsidRPr="00B4669C" w:rsidRDefault="00CC66B0" w:rsidP="002E33AB">
            <w:pPr>
              <w:spacing w:line="240" w:lineRule="auto"/>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Parameter</w:t>
            </w:r>
          </w:p>
        </w:tc>
        <w:tc>
          <w:tcPr>
            <w:tcW w:w="1841" w:type="dxa"/>
          </w:tcPr>
          <w:p w14:paraId="7795851A" w14:textId="77777777" w:rsidR="00CC66B0" w:rsidRPr="00B4669C" w:rsidRDefault="00CC66B0" w:rsidP="002E33AB">
            <w:pPr>
              <w:spacing w:line="240" w:lineRule="auto"/>
              <w:jc w:val="center"/>
              <w:rPr>
                <w:rFonts w:ascii="Times New Roman" w:eastAsia="Calibri" w:hAnsi="Times New Roman" w:cs="Times New Roman"/>
                <w:b/>
                <w:color w:val="000000"/>
                <w:sz w:val="24"/>
                <w:szCs w:val="24"/>
              </w:rPr>
            </w:pPr>
            <w:r w:rsidRPr="00B4669C">
              <w:rPr>
                <w:rFonts w:ascii="Times New Roman" w:eastAsia="Calibri" w:hAnsi="Times New Roman" w:cs="Times New Roman"/>
                <w:b/>
                <w:color w:val="000000"/>
                <w:sz w:val="24"/>
                <w:szCs w:val="24"/>
              </w:rPr>
              <w:t>Value</w:t>
            </w:r>
          </w:p>
        </w:tc>
      </w:tr>
      <w:tr w:rsidR="00CC66B0" w:rsidRPr="00F629D3" w14:paraId="4EAEFD55" w14:textId="77777777" w:rsidTr="008730A9">
        <w:tc>
          <w:tcPr>
            <w:tcW w:w="2837" w:type="dxa"/>
          </w:tcPr>
          <w:p w14:paraId="70CCBEDD" w14:textId="77777777" w:rsidR="00CC66B0" w:rsidRPr="00F629D3" w:rsidRDefault="00CC66B0" w:rsidP="002E33AB">
            <w:pPr>
              <w:spacing w:line="240" w:lineRule="auto"/>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Standard Deviation</w:t>
            </w:r>
          </w:p>
        </w:tc>
        <w:tc>
          <w:tcPr>
            <w:tcW w:w="1841" w:type="dxa"/>
            <w:vAlign w:val="center"/>
          </w:tcPr>
          <w:p w14:paraId="79C326A8"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1.45</w:t>
            </w:r>
          </w:p>
        </w:tc>
      </w:tr>
      <w:tr w:rsidR="00CC66B0" w:rsidRPr="00F629D3" w14:paraId="40F23357" w14:textId="77777777" w:rsidTr="008730A9">
        <w:tc>
          <w:tcPr>
            <w:tcW w:w="2837" w:type="dxa"/>
            <w:vAlign w:val="center"/>
          </w:tcPr>
          <w:p w14:paraId="2A397AED" w14:textId="77777777" w:rsidR="00CC66B0" w:rsidRPr="00F629D3" w:rsidRDefault="00CC66B0" w:rsidP="002E33AB">
            <w:pPr>
              <w:spacing w:line="240" w:lineRule="auto"/>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Mean</w:t>
            </w:r>
          </w:p>
        </w:tc>
        <w:tc>
          <w:tcPr>
            <w:tcW w:w="1841" w:type="dxa"/>
            <w:vAlign w:val="center"/>
          </w:tcPr>
          <w:p w14:paraId="7A2D8FCA"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86.50</w:t>
            </w:r>
          </w:p>
        </w:tc>
      </w:tr>
      <w:tr w:rsidR="00CC66B0" w:rsidRPr="00F629D3" w14:paraId="0A28023B" w14:textId="77777777" w:rsidTr="008730A9">
        <w:tc>
          <w:tcPr>
            <w:tcW w:w="2837" w:type="dxa"/>
            <w:vAlign w:val="center"/>
          </w:tcPr>
          <w:p w14:paraId="26A86D4B" w14:textId="77777777" w:rsidR="00CC66B0" w:rsidRPr="00F629D3" w:rsidRDefault="00CC66B0" w:rsidP="002E33AB">
            <w:pPr>
              <w:spacing w:line="240" w:lineRule="auto"/>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C.V. %</w:t>
            </w:r>
          </w:p>
        </w:tc>
        <w:tc>
          <w:tcPr>
            <w:tcW w:w="1841" w:type="dxa"/>
          </w:tcPr>
          <w:p w14:paraId="2675A42C"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1.68</w:t>
            </w:r>
          </w:p>
        </w:tc>
      </w:tr>
      <w:tr w:rsidR="00CC66B0" w:rsidRPr="00F629D3" w14:paraId="601C26FD" w14:textId="77777777" w:rsidTr="008730A9">
        <w:tc>
          <w:tcPr>
            <w:tcW w:w="2837" w:type="dxa"/>
            <w:vAlign w:val="center"/>
          </w:tcPr>
          <w:p w14:paraId="3BEA4788" w14:textId="77777777" w:rsidR="00CC66B0" w:rsidRPr="00F629D3" w:rsidRDefault="00CC66B0" w:rsidP="002E33AB">
            <w:pPr>
              <w:spacing w:line="240" w:lineRule="auto"/>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R²</w:t>
            </w:r>
          </w:p>
        </w:tc>
        <w:tc>
          <w:tcPr>
            <w:tcW w:w="1841" w:type="dxa"/>
            <w:vAlign w:val="center"/>
          </w:tcPr>
          <w:p w14:paraId="25C70BCB"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0.9854</w:t>
            </w:r>
          </w:p>
        </w:tc>
      </w:tr>
      <w:tr w:rsidR="00CC66B0" w:rsidRPr="00F629D3" w14:paraId="45320270" w14:textId="77777777" w:rsidTr="008730A9">
        <w:tc>
          <w:tcPr>
            <w:tcW w:w="2837" w:type="dxa"/>
            <w:vAlign w:val="center"/>
          </w:tcPr>
          <w:p w14:paraId="33109340" w14:textId="77777777" w:rsidR="00CC66B0" w:rsidRPr="00F629D3" w:rsidRDefault="00CC66B0" w:rsidP="002E33AB">
            <w:pPr>
              <w:spacing w:line="240" w:lineRule="auto"/>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Adjusted R²</w:t>
            </w:r>
          </w:p>
        </w:tc>
        <w:tc>
          <w:tcPr>
            <w:tcW w:w="1841" w:type="dxa"/>
            <w:vAlign w:val="center"/>
          </w:tcPr>
          <w:p w14:paraId="1DEDC1D6"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0.9707</w:t>
            </w:r>
          </w:p>
        </w:tc>
      </w:tr>
      <w:tr w:rsidR="00CC66B0" w:rsidRPr="00F629D3" w14:paraId="47391DE2" w14:textId="77777777" w:rsidTr="008730A9">
        <w:tc>
          <w:tcPr>
            <w:tcW w:w="2837" w:type="dxa"/>
            <w:vAlign w:val="center"/>
          </w:tcPr>
          <w:p w14:paraId="2A945868" w14:textId="77777777" w:rsidR="00CC66B0" w:rsidRPr="00F629D3" w:rsidRDefault="00CC66B0" w:rsidP="002E33AB">
            <w:pPr>
              <w:spacing w:line="240" w:lineRule="auto"/>
              <w:rPr>
                <w:rFonts w:ascii="Times New Roman" w:eastAsia="Calibri" w:hAnsi="Times New Roman" w:cs="Times New Roman"/>
                <w:color w:val="000000"/>
                <w:sz w:val="24"/>
                <w:szCs w:val="24"/>
              </w:rPr>
            </w:pPr>
            <w:r w:rsidRPr="00F629D3">
              <w:rPr>
                <w:rFonts w:ascii="Times New Roman" w:eastAsia="Calibri" w:hAnsi="Times New Roman" w:cs="Times New Roman"/>
                <w:bCs/>
                <w:color w:val="000000"/>
                <w:sz w:val="24"/>
                <w:szCs w:val="24"/>
              </w:rPr>
              <w:t>Predicted R²</w:t>
            </w:r>
          </w:p>
        </w:tc>
        <w:tc>
          <w:tcPr>
            <w:tcW w:w="1841" w:type="dxa"/>
            <w:vAlign w:val="center"/>
          </w:tcPr>
          <w:p w14:paraId="18105FD5"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0.9198</w:t>
            </w:r>
          </w:p>
        </w:tc>
      </w:tr>
      <w:tr w:rsidR="00CC66B0" w:rsidRPr="00F629D3" w14:paraId="59726221" w14:textId="77777777" w:rsidTr="008730A9">
        <w:tc>
          <w:tcPr>
            <w:tcW w:w="2837" w:type="dxa"/>
            <w:vAlign w:val="center"/>
          </w:tcPr>
          <w:p w14:paraId="753C4715" w14:textId="77777777" w:rsidR="00CC66B0" w:rsidRPr="00F629D3" w:rsidRDefault="00CC66B0" w:rsidP="002E33AB">
            <w:pPr>
              <w:spacing w:line="240" w:lineRule="auto"/>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Adequate Precision</w:t>
            </w:r>
          </w:p>
        </w:tc>
        <w:tc>
          <w:tcPr>
            <w:tcW w:w="1841" w:type="dxa"/>
            <w:vAlign w:val="center"/>
          </w:tcPr>
          <w:p w14:paraId="247FE49F" w14:textId="77777777" w:rsidR="00CC66B0" w:rsidRPr="00F629D3" w:rsidRDefault="00CC66B0" w:rsidP="002E33AB">
            <w:pPr>
              <w:spacing w:line="240" w:lineRule="auto"/>
              <w:jc w:val="center"/>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32.1352</w:t>
            </w:r>
          </w:p>
        </w:tc>
      </w:tr>
    </w:tbl>
    <w:p w14:paraId="3D1293CC"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Excellent agreement between model predictions and experimental values is indicated by the data points lying close to the 45° reference line in the parity plot of expected versus actual biodiesel yield as shown in figure 14. This shows that the RSM model has good prediction power and accurately depicts the system's behavior. Small variations from the line have little effect on the model's overall dependability.</w:t>
      </w:r>
    </w:p>
    <w:p w14:paraId="0CBCC098" w14:textId="77777777" w:rsidR="00ED5041" w:rsidRPr="00F629D3" w:rsidRDefault="00ED5041" w:rsidP="00ED5041">
      <w:pPr>
        <w:spacing w:line="240" w:lineRule="auto"/>
        <w:jc w:val="center"/>
        <w:rPr>
          <w:rFonts w:ascii="Times New Roman" w:hAnsi="Times New Roman" w:cs="Times New Roman"/>
          <w:bCs/>
          <w:iCs/>
          <w:sz w:val="24"/>
          <w:szCs w:val="24"/>
          <w:lang w:val="en-GB"/>
        </w:rPr>
      </w:pPr>
      <w:r w:rsidRPr="00F629D3">
        <w:rPr>
          <w:rFonts w:ascii="Times New Roman" w:eastAsia="Calibri" w:hAnsi="Times New Roman" w:cs="Times New Roman"/>
          <w:noProof/>
          <w:color w:val="000000"/>
          <w:sz w:val="24"/>
          <w:szCs w:val="24"/>
        </w:rPr>
        <w:drawing>
          <wp:inline distT="0" distB="0" distL="0" distR="0" wp14:anchorId="1CB88348" wp14:editId="6D9131DA">
            <wp:extent cx="4495842" cy="252891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9531" cy="2536610"/>
                    </a:xfrm>
                    <a:prstGeom prst="rect">
                      <a:avLst/>
                    </a:prstGeom>
                  </pic:spPr>
                </pic:pic>
              </a:graphicData>
            </a:graphic>
          </wp:inline>
        </w:drawing>
      </w:r>
    </w:p>
    <w:p w14:paraId="403545A2" w14:textId="77777777" w:rsidR="00ED5041" w:rsidRPr="00F629D3" w:rsidRDefault="00ED5041" w:rsidP="00ED5041">
      <w:pPr>
        <w:spacing w:line="240" w:lineRule="auto"/>
        <w:jc w:val="both"/>
        <w:rPr>
          <w:rFonts w:ascii="Times New Roman" w:hAnsi="Times New Roman" w:cs="Times New Roman"/>
          <w:b/>
          <w:bCs/>
          <w:iCs/>
          <w:sz w:val="24"/>
          <w:szCs w:val="24"/>
          <w:lang w:val="en-GB"/>
        </w:rPr>
      </w:pPr>
      <w:bookmarkStart w:id="273" w:name="_Toc123181171"/>
      <w:r w:rsidRPr="00F629D3">
        <w:rPr>
          <w:rFonts w:ascii="Times New Roman" w:hAnsi="Times New Roman" w:cs="Times New Roman"/>
          <w:b/>
          <w:bCs/>
          <w:iCs/>
          <w:sz w:val="24"/>
          <w:szCs w:val="24"/>
          <w:lang w:val="en-GB"/>
        </w:rPr>
        <w:t xml:space="preserve">Figure 14: </w:t>
      </w:r>
      <w:bookmarkEnd w:id="273"/>
      <w:r w:rsidRPr="00F629D3">
        <w:rPr>
          <w:rFonts w:ascii="Times New Roman" w:hAnsi="Times New Roman" w:cs="Times New Roman"/>
          <w:b/>
          <w:bCs/>
          <w:iCs/>
          <w:sz w:val="24"/>
          <w:szCs w:val="24"/>
          <w:lang w:val="en-GB"/>
        </w:rPr>
        <w:t>Parity plot comparing experimental and RSM predicted biodiesel yield</w:t>
      </w:r>
    </w:p>
    <w:p w14:paraId="56BD3D74" w14:textId="77777777"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iCs/>
          <w:sz w:val="24"/>
          <w:szCs w:val="24"/>
        </w:rPr>
        <w:t>Effect of process variables on biodiesel yield</w:t>
      </w:r>
    </w:p>
    <w:p w14:paraId="34EB70AB" w14:textId="262EDAF1"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As shown in figure 15, the yield of biodiesel increases noticeably when the reaction temperature is raised. The yield is comparatively poor at lower temperatures, which is explained by a lack of kinetic energy necessary for efficient mass transfer and reaction completion. The yield significantly improves and reaches its maximum as the temperature rises toward higher range. Better contact between reactants, decreased viscosity of the reaction mixture, and enhanced reaction kinetics are probably the causes of this improvement </w:t>
      </w:r>
      <w:r w:rsidR="00715567">
        <w:rPr>
          <w:rFonts w:ascii="Times New Roman" w:hAnsi="Times New Roman" w:cs="Times New Roman"/>
          <w:bCs/>
          <w:iCs/>
          <w:sz w:val="24"/>
          <w:szCs w:val="24"/>
        </w:rPr>
        <w:t xml:space="preserve">[63]. </w:t>
      </w:r>
      <w:r w:rsidRPr="00F629D3">
        <w:rPr>
          <w:rFonts w:ascii="Times New Roman" w:hAnsi="Times New Roman" w:cs="Times New Roman"/>
          <w:bCs/>
          <w:iCs/>
          <w:sz w:val="24"/>
          <w:szCs w:val="24"/>
        </w:rPr>
        <w:t>In agreement with the principles of Arrhenius equation, biodiesel yield is favoured at higher temperatures as an increase in reaction rates is predicted with an increase in temperature</w:t>
      </w:r>
      <w:r w:rsidR="001222B1">
        <w:rPr>
          <w:rFonts w:ascii="Times New Roman" w:hAnsi="Times New Roman" w:cs="Times New Roman"/>
          <w:bCs/>
          <w:iCs/>
          <w:sz w:val="24"/>
          <w:szCs w:val="24"/>
        </w:rPr>
        <w:t xml:space="preserve"> [13]</w:t>
      </w:r>
      <w:r>
        <w:rPr>
          <w:rFonts w:ascii="Times New Roman" w:hAnsi="Times New Roman" w:cs="Times New Roman"/>
          <w:bCs/>
          <w:iCs/>
          <w:sz w:val="24"/>
          <w:szCs w:val="24"/>
        </w:rPr>
        <w:t xml:space="preserve">. </w:t>
      </w:r>
      <w:r w:rsidRPr="00F629D3">
        <w:rPr>
          <w:rFonts w:ascii="Times New Roman" w:hAnsi="Times New Roman" w:cs="Times New Roman"/>
          <w:bCs/>
          <w:iCs/>
          <w:sz w:val="24"/>
          <w:szCs w:val="24"/>
        </w:rPr>
        <w:t xml:space="preserve">Previous studies showed corresponding pattern of increase in biodiesel yield with reaction temperature </w:t>
      </w:r>
      <w:r w:rsidRPr="00F629D3">
        <w:rPr>
          <w:rFonts w:ascii="Times New Roman" w:hAnsi="Times New Roman" w:cs="Times New Roman"/>
          <w:bCs/>
          <w:iCs/>
          <w:sz w:val="24"/>
          <w:szCs w:val="24"/>
        </w:rPr>
        <w:fldChar w:fldCharType="begin" w:fldLock="1"/>
      </w:r>
      <w:r w:rsidR="001A2AF2">
        <w:rPr>
          <w:rFonts w:ascii="Times New Roman" w:hAnsi="Times New Roman" w:cs="Times New Roman"/>
          <w:bCs/>
          <w:iCs/>
          <w:sz w:val="24"/>
          <w:szCs w:val="24"/>
        </w:rPr>
        <w:instrText>ADDIN CSL_CITATION {"citationItems":[{"id":"ITEM-1","itemData":{"DOI":"https://doi.org/10.1016/j.energy.2020.117092","author":[{"dropping-particle":"","family":"Khoobbakht","given":"Golmohammad","non-dropping-particle":"","parse-names":false,"suffix":""},{"dropping-particle":"","family":"Kheiralipour","given":"Kamran","non-dropping-particle":"","parse-names":false,"suffix":""},{"dropping-particle":"","family":"Rasouli","given":"Hamed","non-dropping-particle":"","parse-names":false,"suffix":""},{"dropping-particle":"","family":"Ra","given":"Mojtaba","non-dropping-particle":"","parse-names":false,"suffix":""}],"container-title":"Energy","id":"ITEM-1","issued":{"date-parts":[["2020"]]},"page":"117092","title":"Experimental exergy analysis of transesterification in biodiesel production","type":"article-journal","volume":"196"},"uris":["http://www.mendeley.com/documents/?uuid=644f823d-302a-400b-9474-a4cb386e15df"]},{"id":"ITEM-2","itemData":{"DOI":"10.1016/j.renene.2021.05.060","ISSN":"0960-1481","author":[{"dropping-particle":"","family":"Rezania","given":"Shahabaldin","non-dropping-particle":"","parse-names":false,"suffix":""},{"dropping-particle":"","family":"Sotoudehnia","given":"Zahra","non-dropping-particle":"","parse-names":false,"suffix":""},{"dropping-particle":"","family":"Ali","given":"Mohammad","non-dropping-particle":"","parse-names":false,"suffix":""},{"dropping-particle":"","family":"Cho","given":"Jinwoo","non-dropping-particle":"","parse-names":false,"suffix":""},{"dropping-particle":"","family":"Kumar","given":"Krishna","non-dropping-particle":"","parse-names":false,"suffix":""},{"dropping-particle":"","family":"Cabral-pinto","given":"Marina M S","non-dropping-particle":"","parse-names":false,"suffix":""},{"dropping-particle":"","family":"Alam","given":"Javed","non-dropping-particle":"","parse-names":false,"suffix":""},{"dropping-particle":"","family":"Ahamed","given":"Maqusood","non-dropping-particle":"","parse-names":false,"suffix":""},{"dropping-particle":"","family":"Rashidi","given":"Hamid","non-dropping-particle":"","parse-names":false,"suffix":""}],"container-title":"Renewable Energy","id":"ITEM-2","issued":{"date-parts":[["2021"]]},"page":"228-236","publisher":"Elsevier Ltd","title":"Lanthanum phosphate foam as novel heterogeneous nanocatalyst for biodiesel production from waste cooking oil","type":"article-journal","volume":"176"},"uris":["http://www.mendeley.com/documents/?uuid=1e629365-9d19-490e-a1be-495327297f2e"]}],"mendeley":{"formattedCitation":"(Khoobbakht et al., 2020; Rezania et al., 2021)","manualFormatting":"[23]; Rezania et al., 2021)","plainTextFormattedCitation":"(Khoobbakht et al., 2020; Rezania et al., 2021)","previouslyFormattedCitation":"(Khoobbakht et al., 2020; Rezania et al., 2021)"},"properties":{"noteIndex":0},"schema":"https://github.com/citation-style-language/schema/raw/master/csl-citation.json"}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1A2AF2">
        <w:rPr>
          <w:rFonts w:ascii="Times New Roman" w:hAnsi="Times New Roman" w:cs="Times New Roman"/>
          <w:bCs/>
          <w:iCs/>
          <w:noProof/>
          <w:sz w:val="24"/>
          <w:szCs w:val="24"/>
        </w:rPr>
        <w:t>[23]</w:t>
      </w:r>
      <w:r w:rsidR="007D7CBB" w:rsidRPr="007D7CBB">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rPr>
        <w:fldChar w:fldCharType="end"/>
      </w:r>
      <w:r w:rsidR="003A0C27">
        <w:rPr>
          <w:rFonts w:ascii="Times New Roman" w:hAnsi="Times New Roman" w:cs="Times New Roman"/>
          <w:bCs/>
          <w:iCs/>
          <w:sz w:val="24"/>
          <w:szCs w:val="24"/>
        </w:rPr>
        <w:t>[52]</w:t>
      </w:r>
      <w:r>
        <w:rPr>
          <w:rFonts w:ascii="Times New Roman" w:hAnsi="Times New Roman" w:cs="Times New Roman"/>
          <w:bCs/>
          <w:iCs/>
          <w:sz w:val="24"/>
          <w:szCs w:val="24"/>
        </w:rPr>
        <w:t xml:space="preserve">. </w:t>
      </w:r>
      <w:r w:rsidRPr="00F629D3">
        <w:rPr>
          <w:rFonts w:ascii="Times New Roman" w:hAnsi="Times New Roman" w:cs="Times New Roman"/>
          <w:bCs/>
          <w:iCs/>
          <w:sz w:val="24"/>
          <w:szCs w:val="24"/>
        </w:rPr>
        <w:t>It is observed that forward reaction is also favoured when reaction time is increased. The increase in biodiesel yield with increase in reaction time is as a result of conversion of triglycerides available in the oil to fatty acid methyl esters, which is the major composition of biodiesel product</w:t>
      </w:r>
      <w:r w:rsidR="00B45323">
        <w:rPr>
          <w:rFonts w:ascii="Times New Roman" w:hAnsi="Times New Roman" w:cs="Times New Roman"/>
          <w:bCs/>
          <w:iCs/>
          <w:sz w:val="24"/>
          <w:szCs w:val="24"/>
        </w:rPr>
        <w:t xml:space="preserve"> [28]</w:t>
      </w:r>
      <w:r w:rsidRPr="00F629D3">
        <w:rPr>
          <w:rFonts w:ascii="Times New Roman" w:hAnsi="Times New Roman" w:cs="Times New Roman"/>
          <w:bCs/>
          <w:iCs/>
          <w:sz w:val="24"/>
          <w:szCs w:val="24"/>
        </w:rPr>
        <w:t>.</w:t>
      </w:r>
    </w:p>
    <w:p w14:paraId="474E2EAE"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lastRenderedPageBreak/>
        <w:t>An important interaction between reaction temperature and reaction time is suggested by the elliptical contour pattern seen at the surface's base. The yield tends to plateau outside of the ideal range, suggesting that equilibrium conditions are near and that additional temperature or time increases do not significantly improve conversion efficiency. These results show that in order to maximize the production of biodiesel, reaction temperature and reaction time both play crucial synergistic roles.</w:t>
      </w:r>
    </w:p>
    <w:p w14:paraId="1D61ABE5" w14:textId="5DC84739"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The combined effects of reaction temperature and methanol-to-oil ratio on biodiesel yield when examined within range, the surface shows a primarily linear rising trend, suggesting that both variables have a favorable impact on biodiesel production. Because of improved mass transfer between reactants, decreased oil viscosity, and improved reaction kinetics, the yield of biodiesel gradually rises as the reaction temperature rises </w:t>
      </w:r>
      <w:r w:rsidRPr="00F629D3">
        <w:rPr>
          <w:rFonts w:ascii="Times New Roman" w:hAnsi="Times New Roman" w:cs="Times New Roman"/>
          <w:bCs/>
          <w:iCs/>
          <w:sz w:val="24"/>
          <w:szCs w:val="24"/>
        </w:rPr>
        <w:fldChar w:fldCharType="begin" w:fldLock="1"/>
      </w:r>
      <w:r w:rsidR="00D11B6D">
        <w:rPr>
          <w:rFonts w:ascii="Times New Roman" w:hAnsi="Times New Roman" w:cs="Times New Roman"/>
          <w:bCs/>
          <w:iCs/>
          <w:sz w:val="24"/>
          <w:szCs w:val="24"/>
        </w:rPr>
        <w:instrText>ADDIN CSL_CITATION {"citationItems":[{"id":"ITEM-1","itemData":{"ISBN":"1402472633","abstract":"Biodiesel has become more attractive recently because of its environmental bene®ts and the fact that it is made from renewable resources. The cost of biodiesel, however, is the main hurdle to commercialization of the product. The used cooking oils are used as raw material, adaption of continuous transesteri®cation process and recovery of high quality glycerol from biodiesel by-product (glycerol) are primary options to be considered to lower the cost of biodiesel. There are four primary ways to make biodiesel, direct use and blending, microemulsions, thermal cracking (pyrolysis) and transesteri®cation. The most commonly used method is transesteri®cation of vegetable oils and animal fats. The transesteri®cation reaction is a?ected by molar ratio of glycerides to al- cohol, catalysts, reaction temperature, reaction time and free fatty acids and water content of oils or fats. The mechanism and kinetics of the transesteri®cation show how the reaction occurs and progresses. The processes of transesteri®cation and its down- stream operations are also addressed. Ó","author":[{"dropping-particle":"","family":"Maa","given":"Fangrui","non-dropping-particle":"","parse-names":false,"suffix":""},{"dropping-particle":"","family":"Hanna","given":"Milford A.","non-dropping-particle":"","parse-names":false,"suffix":""}],"container-title":"Bioresource Technology","id":"ITEM-1","issued":{"date-parts":[["1999"]]},"page":"1-15","title":"Biodiesel production : a review","type":"article-journal","volume":"70"},"uris":["http://www.mendeley.com/documents/?uuid=4945f648-87c0-43d5-9f02-45aecdd79587"]},{"id":"ITEM-2","itemData":{"DOI":"10.1016/j.rser.2004.09.002","author":[{"dropping-particle":"","family":"Meher","given":"L C","non-dropping-particle":"","parse-names":false,"suffix":""},{"dropping-particle":"","family":"Sagar","given":"D Vidya","non-dropping-particle":"","parse-names":false,"suffix":""},{"dropping-particle":"","family":"Naik","given":"S N","non-dropping-particle":"","parse-names":false,"suffix":""}],"id":"ITEM-2","issued":{"date-parts":[["2006"]]},"page":"248-268","title":"Technical aspects of biodiesel production by transesterification — a review","type":"article-journal","volume":"10"},"uris":["http://www.mendeley.com/documents/?uuid=a142ebc6-b406-4963-9db1-9b0611f3de90"]}],"mendeley":{"formattedCitation":"(Maa &amp; Hanna, 1999; Meher et al., 2006)","manualFormatting":"[33]; ","plainTextFormattedCitation":"(Maa &amp; Hanna, 1999; Meher et al., 2006)","previouslyFormattedCitation":"(Maa &amp; Hanna, 1999; Meher et al., 2006)"},"properties":{"noteIndex":0},"schema":"https://github.com/citation-style-language/schema/raw/master/csl-citation.json"}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362113">
        <w:rPr>
          <w:rFonts w:ascii="Times New Roman" w:hAnsi="Times New Roman" w:cs="Times New Roman"/>
          <w:bCs/>
          <w:iCs/>
          <w:noProof/>
          <w:sz w:val="24"/>
          <w:szCs w:val="24"/>
        </w:rPr>
        <w:t>[33]</w:t>
      </w:r>
      <w:r w:rsidR="007D7CBB" w:rsidRPr="007D7CBB">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rPr>
        <w:fldChar w:fldCharType="end"/>
      </w:r>
      <w:r w:rsidR="00CF3547">
        <w:rPr>
          <w:rFonts w:ascii="Times New Roman" w:hAnsi="Times New Roman" w:cs="Times New Roman"/>
          <w:bCs/>
          <w:iCs/>
          <w:sz w:val="24"/>
          <w:szCs w:val="24"/>
        </w:rPr>
        <w:t>[37]</w:t>
      </w:r>
      <w:r w:rsidRPr="00F629D3">
        <w:rPr>
          <w:rFonts w:ascii="Times New Roman" w:hAnsi="Times New Roman" w:cs="Times New Roman"/>
          <w:bCs/>
          <w:iCs/>
          <w:sz w:val="24"/>
          <w:szCs w:val="24"/>
        </w:rPr>
        <w:t xml:space="preserve">. According to Le Chatelier's principle, raising the methanol-to-oil ratio also encourages the formation of ester by moving the reversible transesterification reaction in the direction of product formation </w:t>
      </w:r>
      <w:r w:rsidRPr="00F629D3">
        <w:rPr>
          <w:rFonts w:ascii="Times New Roman" w:hAnsi="Times New Roman" w:cs="Times New Roman"/>
          <w:bCs/>
          <w:iCs/>
          <w:sz w:val="24"/>
          <w:szCs w:val="24"/>
        </w:rPr>
        <w:fldChar w:fldCharType="begin" w:fldLock="1"/>
      </w:r>
      <w:r w:rsidR="00633410">
        <w:rPr>
          <w:rFonts w:ascii="Times New Roman" w:hAnsi="Times New Roman" w:cs="Times New Roman"/>
          <w:bCs/>
          <w:iCs/>
          <w:sz w:val="24"/>
          <w:szCs w:val="24"/>
        </w:rPr>
        <w:instrText>ADDIN CSL_CITATION {"citationItems":[{"id":"ITEM-1","itemData":{"DOI":"10.1016/j.apenergy.2009.10.006","ISSN":"03062619","abstract":"Biodiesel is a low-emissions diesel substitute fuel made from renewable resources and waste lipid. The most common way to produce biodiesel is through transesterification, especially alkali-catalyzed transesterification. When the raw materials (oils or fats) have a high percentage of free fatty acids or water, the alkali catalyst will react with the free fatty acids to form soaps. The water can hydrolyze the triglycerides into diglycerides and form more free fatty acids. Both of the above reactions are undesirable and reduce the yield of the biodiesel product. In this situation, the acidic materials should be pre-treated to inhibit the saponification reaction. This paper reviews the different approaches of reducing free fatty acids in the raw oil and refinement of crude biodiesel that are adopted in the industry. The main factors affecting the yield of biodiesel, i.e. alcohol quantity, reaction time, reaction temperature and catalyst concentration, are discussed. This paper also described other new processes of biodiesel production. For instance, the Biox co-solvent process converts triglycerides to esters through the selection of inert co-solvents that generates a one-phase oil-rich system. The non-catalytic supercritical methanol process is advantageous in terms of shorter reaction time and lesser purification steps but requires high temperature and pressure. For the in situ biodiesel process, the oilseeds are treated directly with methanol in which the catalyst has been preciously dissolved at ambient temperatures and pressure to perform the transesterification of oils in the oilseeds. This process, however, cannot handle waste cooking oils and animal fats. © 2009 Elsevier Ltd. All rights reserved.","author":[{"dropping-particle":"","family":"Leung","given":"Dennis Y.C.","non-dropping-particle":"","parse-names":false,"suffix":""},{"dropping-particle":"","family":"Wu","given":"Xuan","non-dropping-particle":"","parse-names":false,"suffix":""},{"dropping-particle":"","family":"Leung","given":"M. K.H.","non-dropping-particle":"","parse-names":false,"suffix":""}],"container-title":"Applied Energy","id":"ITEM-1","issue":"4","issued":{"date-parts":[["2010"]]},"page":"1083-1095","publisher":"Elsevier Ltd","title":"A review on biodiesel production using catalyzed transesterification","type":"article-journal","volume":"87"},"uris":["http://www.mendeley.com/documents/?uuid=f6771bfc-f3da-43a6-88d5-f9ba61a3714f"]},{"id":"ITEM-2","itemData":{"DOI":"10.1145/3017680.3017802","ISBN":"9781450346986","abstract":"In this special session, we share a variety of ways in which CS 1 courses can broaden their focus beyond programming. These courses strive to effectively introduce the fundamental ideas of computer science, and the importance of computing in broader contexts, without sacrificing programming rigor.","author":[{"dropping-particle":"","family":"Mounts.","given":"B. Freedman; E. H. Pryde; T. L.","non-dropping-particle":"","parse-names":false,"suffix":""}],"container-title":"Proceedings of the Conference on Integrating Technology into Computer Science Education, ITiCSE","id":"ITEM-2","issue":"10","issued":{"date-parts":[["1984"]]},"page":"677-678","title":"Variables Affecting the Yields of Fatty Esters from Transesterified Vegetable Oils","type":"article-journal","volume":"61"},"uris":["http://www.mendeley.com/documents/?uuid=44f4dee4-eb89-41fe-a64b-8e88f1269dac"]}],"mendeley":{"formattedCitation":"(Leung et al., 2010; Mounts., 1984)","manualFormatting":"[30]; ","plainTextFormattedCitation":"(Leung et al., 2010; Mounts., 1984)","previouslyFormattedCitation":"(Leung et al., 2010; Mounts., 1984)"},"properties":{"noteIndex":0},"schema":"https://github.com/citation-style-language/schema/raw/master/csl-citation.json"}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71102E">
        <w:rPr>
          <w:rFonts w:ascii="Times New Roman" w:hAnsi="Times New Roman" w:cs="Times New Roman"/>
          <w:bCs/>
          <w:iCs/>
          <w:noProof/>
          <w:sz w:val="24"/>
          <w:szCs w:val="24"/>
        </w:rPr>
        <w:t>[30]</w:t>
      </w:r>
      <w:r w:rsidR="007D7CBB" w:rsidRPr="007D7CBB">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rPr>
        <w:fldChar w:fldCharType="end"/>
      </w:r>
      <w:r w:rsidR="0027396E">
        <w:rPr>
          <w:rFonts w:ascii="Times New Roman" w:hAnsi="Times New Roman" w:cs="Times New Roman"/>
          <w:bCs/>
          <w:iCs/>
          <w:sz w:val="24"/>
          <w:szCs w:val="24"/>
        </w:rPr>
        <w:t>[41]</w:t>
      </w:r>
      <w:r w:rsidRPr="00F629D3">
        <w:rPr>
          <w:rFonts w:ascii="Times New Roman" w:hAnsi="Times New Roman" w:cs="Times New Roman"/>
          <w:bCs/>
          <w:iCs/>
          <w:sz w:val="24"/>
          <w:szCs w:val="24"/>
        </w:rPr>
        <w:t>. The comparatively straight contour lines at the surface's base point to a weak interaction effect between the methanol-to-oil ratio and temperature, suggesting that their contributions to the yield of biodiesel are mostly additive rather than highly synergistic. Higher Temperatures and methanol-to-oil ratios provide ideal kinetic and equilibrium conditions for effective conversion, resulting to high yield. However, yield may not be appreciably increased by exceeding the ideal range of methanol ratios, and downstream separation procedures may become more difficult</w:t>
      </w:r>
      <w:r w:rsidR="00E07FA2">
        <w:rPr>
          <w:rFonts w:ascii="Times New Roman" w:hAnsi="Times New Roman" w:cs="Times New Roman"/>
          <w:bCs/>
          <w:iCs/>
          <w:sz w:val="24"/>
          <w:szCs w:val="24"/>
        </w:rPr>
        <w:t xml:space="preserve"> [15]</w:t>
      </w:r>
      <w:r w:rsidRPr="00F629D3">
        <w:rPr>
          <w:rFonts w:ascii="Times New Roman" w:hAnsi="Times New Roman" w:cs="Times New Roman"/>
          <w:bCs/>
          <w:iCs/>
          <w:sz w:val="24"/>
          <w:szCs w:val="24"/>
        </w:rPr>
        <w:t>.</w:t>
      </w:r>
    </w:p>
    <w:p w14:paraId="470C2C22" w14:textId="62663EF9"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The interactions between catalyst loading and reaction temperature on biodiesel yield is illustrated by the three-dimensional response surface plot in figure </w:t>
      </w:r>
      <w:r>
        <w:rPr>
          <w:rFonts w:ascii="Times New Roman" w:hAnsi="Times New Roman" w:cs="Times New Roman"/>
          <w:bCs/>
          <w:iCs/>
          <w:sz w:val="24"/>
          <w:szCs w:val="24"/>
        </w:rPr>
        <w:t xml:space="preserve">15d. </w:t>
      </w:r>
      <w:r w:rsidRPr="00F629D3">
        <w:rPr>
          <w:rFonts w:ascii="Times New Roman" w:hAnsi="Times New Roman" w:cs="Times New Roman"/>
          <w:bCs/>
          <w:iCs/>
          <w:sz w:val="24"/>
          <w:szCs w:val="24"/>
        </w:rPr>
        <w:t xml:space="preserve">Due to better mass transfer, decreased oil viscosity, and improved reaction kinetics at higher temperatures, the yield of biodiesel gradually rises with reaction temperature </w:t>
      </w:r>
      <w:r w:rsidRPr="00F629D3">
        <w:rPr>
          <w:rFonts w:ascii="Times New Roman" w:hAnsi="Times New Roman" w:cs="Times New Roman"/>
          <w:bCs/>
          <w:iCs/>
          <w:sz w:val="24"/>
          <w:szCs w:val="24"/>
        </w:rPr>
        <w:fldChar w:fldCharType="begin" w:fldLock="1"/>
      </w:r>
      <w:r w:rsidR="00CF3547">
        <w:rPr>
          <w:rFonts w:ascii="Times New Roman" w:hAnsi="Times New Roman" w:cs="Times New Roman"/>
          <w:bCs/>
          <w:iCs/>
          <w:sz w:val="24"/>
          <w:szCs w:val="24"/>
        </w:rPr>
        <w:instrText>ADDIN CSL_CITATION {"citationItems":[{"id":"ITEM-1","itemData":{"DOI":"10.1016/j.rser.2004.09.002","author":[{"dropping-particle":"","family":"Meher","given":"L C","non-dropping-particle":"","parse-names":false,"suffix":""},{"dropping-particle":"","family":"Sagar","given":"D Vidya","non-dropping-particle":"","parse-names":false,"suffix":""},{"dropping-particle":"","family":"Naik","given":"S N","non-dropping-particle":"","parse-names":false,"suffix":""}],"id":"ITEM-1","issued":{"date-parts":[["2006"]]},"page":"248-268","title":"Technical aspects of biodiesel production by transesterification — a review","type":"article-journal","volume":"10"},"uris":["http://www.mendeley.com/documents/?uuid=a142ebc6-b406-4963-9db1-9b0611f3de90"]},{"id":"ITEM-2","itemData":{"ISBN":"1402472633","abstract":"Biodiesel has become more attractive recently because of its environmental bene®ts and the fact that it is made from renewable resources. The cost of biodiesel, however, is the main hurdle to commercialization of the product. The used cooking oils are used as raw material, adaption of continuous transesteri®cation process and recovery of high quality glycerol from biodiesel by-product (glycerol) are primary options to be considered to lower the cost of biodiesel. There are four primary ways to make biodiesel, direct use and blending, microemulsions, thermal cracking (pyrolysis) and transesteri®cation. The most commonly used method is transesteri®cation of vegetable oils and animal fats. The transesteri®cation reaction is a?ected by molar ratio of glycerides to al- cohol, catalysts, reaction temperature, reaction time and free fatty acids and water content of oils or fats. The mechanism and kinetics of the transesteri®cation show how the reaction occurs and progresses. The processes of transesteri®cation and its down- stream operations are also addressed. Ó","author":[{"dropping-particle":"","family":"Maa","given":"Fangrui","non-dropping-particle":"","parse-names":false,"suffix":""},{"dropping-particle":"","family":"Hanna","given":"Milford A.","non-dropping-particle":"","parse-names":false,"suffix":""}],"container-title":"Bioresource Technology","id":"ITEM-2","issued":{"date-parts":[["1999"]]},"page":"1-15","title":"Biodiesel production : a review","type":"article-journal","volume":"70"},"uris":["http://www.mendeley.com/documents/?uuid=4945f648-87c0-43d5-9f02-45aecdd79587"]}],"mendeley":{"formattedCitation":"(Maa &amp; Hanna, 1999; Meher et al., 2006)","manualFormatting":"[33]; ","plainTextFormattedCitation":"(Maa &amp; Hanna, 1999; Meher et al., 2006)","previouslyFormattedCitation":"(Maa &amp; Hanna, 1999; Meher et al., 2006)"},"properties":{"noteIndex":0},"schema":"https://github.com/citation-style-language/schema/raw/master/csl-citation.json"}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455E76">
        <w:rPr>
          <w:rFonts w:ascii="Times New Roman" w:hAnsi="Times New Roman" w:cs="Times New Roman"/>
          <w:bCs/>
          <w:iCs/>
          <w:noProof/>
          <w:sz w:val="24"/>
          <w:szCs w:val="24"/>
        </w:rPr>
        <w:t>[33]</w:t>
      </w:r>
      <w:r w:rsidR="007D7CBB" w:rsidRPr="007D7CBB">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rPr>
        <w:fldChar w:fldCharType="end"/>
      </w:r>
      <w:r w:rsidR="00CF3547">
        <w:rPr>
          <w:rFonts w:ascii="Times New Roman" w:hAnsi="Times New Roman" w:cs="Times New Roman"/>
          <w:bCs/>
          <w:iCs/>
          <w:sz w:val="24"/>
          <w:szCs w:val="24"/>
        </w:rPr>
        <w:t>[</w:t>
      </w:r>
      <w:r w:rsidR="003B77B0">
        <w:rPr>
          <w:rFonts w:ascii="Times New Roman" w:hAnsi="Times New Roman" w:cs="Times New Roman"/>
          <w:bCs/>
          <w:iCs/>
          <w:sz w:val="24"/>
          <w:szCs w:val="24"/>
        </w:rPr>
        <w:t>37]</w:t>
      </w:r>
      <w:r w:rsidRPr="00F629D3">
        <w:rPr>
          <w:rFonts w:ascii="Times New Roman" w:hAnsi="Times New Roman" w:cs="Times New Roman"/>
          <w:bCs/>
          <w:iCs/>
          <w:sz w:val="24"/>
          <w:szCs w:val="24"/>
        </w:rPr>
        <w:t>. Catalyst loading has a noticeable quadratic effect, raising yield from 1 weight percent to about 4–5 weight percent, after which it only slightly improves. This effect is explained by the fact that moderate doses increase the number of active catalytic sites accessible, hence improving the efficiency of triglyceride conversion</w:t>
      </w:r>
      <w:r w:rsidR="0071102E">
        <w:rPr>
          <w:rFonts w:ascii="Times New Roman" w:hAnsi="Times New Roman" w:cs="Times New Roman"/>
          <w:bCs/>
          <w:iCs/>
          <w:sz w:val="24"/>
          <w:szCs w:val="24"/>
        </w:rPr>
        <w:t xml:space="preserve"> [30]</w:t>
      </w:r>
      <w:r w:rsidRPr="00F629D3">
        <w:rPr>
          <w:rFonts w:ascii="Times New Roman" w:hAnsi="Times New Roman" w:cs="Times New Roman"/>
          <w:bCs/>
          <w:iCs/>
          <w:sz w:val="24"/>
          <w:szCs w:val="24"/>
        </w:rPr>
        <w:fldChar w:fldCharType="begin" w:fldLock="1"/>
      </w:r>
      <w:r w:rsidR="0027396E">
        <w:rPr>
          <w:rFonts w:ascii="Times New Roman" w:hAnsi="Times New Roman" w:cs="Times New Roman"/>
          <w:bCs/>
          <w:iCs/>
          <w:sz w:val="24"/>
          <w:szCs w:val="24"/>
        </w:rPr>
        <w:instrText>ADDIN CSL_CITATION {"citationItems":[{"id":"ITEM-1","itemData":{"DOI":"10.1145/3017680.3017802","ISBN":"9781450346986","abstract":"In this special session, we share a variety of ways in which CS 1 courses can broaden their focus beyond programming. These courses strive to effectively introduce the fundamental ideas of computer science, and the importance of computing in broader contexts, without sacrificing programming rigor.","author":[{"dropping-particle":"","family":"Mounts.","given":"B. Freedman; E. H. Pryde; T. L.","non-dropping-particle":"","parse-names":false,"suffix":""}],"container-title":"Proceedings of the Conference on Integrating Technology into Computer Science Education, ITiCSE","id":"ITEM-1","issue":"10","issued":{"date-parts":[["1984"]]},"page":"677-678","title":"Variables Affecting the Yields of Fatty Esters from Transesterified Vegetable Oils","type":"article-journal","volume":"61"},"uris":["http://www.mendeley.com/documents/?uuid=44f4dee4-eb89-41fe-a64b-8e88f1269dac"]},{"id":"ITEM-2","itemData":{"DOI":"10.1016/j.apenergy.2009.10.006","ISSN":"03062619","abstract":"Biodiesel is a low-emissions diesel substitute fuel made from renewable resources and waste lipid. The most common way to produce biodiesel is through transesterification, especially alkali-catalyzed transesterification. When the raw materials (oils or fats) have a high percentage of free fatty acids or water, the alkali catalyst will react with the free fatty acids to form soaps. The water can hydrolyze the triglycerides into diglycerides and form more free fatty acids. Both of the above reactions are undesirable and reduce the yield of the biodiesel product. In this situation, the acidic materials should be pre-treated to inhibit the saponification reaction. This paper reviews the different approaches of reducing free fatty acids in the raw oil and refinement of crude biodiesel that are adopted in the industry. The main factors affecting the yield of biodiesel, i.e. alcohol quantity, reaction time, reaction temperature and catalyst concentration, are discussed. This paper also described other new processes of biodiesel production. For instance, the Biox co-solvent process converts triglycerides to esters through the selection of inert co-solvents that generates a one-phase oil-rich system. The non-catalytic supercritical methanol process is advantageous in terms of shorter reaction time and lesser purification steps but requires high temperature and pressure. For the in situ biodiesel process, the oilseeds are treated directly with methanol in which the catalyst has been preciously dissolved at ambient temperatures and pressure to perform the transesterification of oils in the oilseeds. This process, however, cannot handle waste cooking oils and animal fats. © 2009 Elsevier Ltd. All rights reserved.","author":[{"dropping-particle":"","family":"Leung","given":"Dennis Y.C.","non-dropping-particle":"","parse-names":false,"suffix":""},{"dropping-particle":"","family":"Wu","given":"Xuan","non-dropping-particle":"","parse-names":false,"suffix":""},{"dropping-particle":"","family":"Leung","given":"M. K.H.","non-dropping-particle":"","parse-names":false,"suffix":""}],"container-title":"Applied Energy","id":"ITEM-2","issue":"4","issued":{"date-parts":[["2010"]]},"page":"1083-1095","publisher":"Elsevier Ltd","title":"A review on biodiesel production using catalyzed transesterification","type":"article-journal","volume":"87"},"uris":["http://www.mendeley.com/documents/?uuid=f6771bfc-f3da-43a6-88d5-f9ba61a3714f"]}],"mendeley":{"formattedCitation":"(Leung et al., 2010; Mounts., 1984)","manualFormatting":";","plainTextFormattedCitation":"(Leung et al., 2010; Mounts., 1984)","previouslyFormattedCitation":"(Leung et al., 2010; Mounts., 1984)"},"properties":{"noteIndex":0},"schema":"https://github.com/citation-style-language/schema/raw/master/csl-citation.json"}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7D7CBB" w:rsidRPr="007D7CBB">
        <w:rPr>
          <w:rFonts w:ascii="Times New Roman" w:hAnsi="Times New Roman" w:cs="Times New Roman"/>
          <w:bCs/>
          <w:iCs/>
          <w:noProof/>
          <w:sz w:val="24"/>
          <w:szCs w:val="24"/>
        </w:rPr>
        <w:t>;</w:t>
      </w:r>
      <w:r w:rsidRPr="00F629D3">
        <w:rPr>
          <w:rFonts w:ascii="Times New Roman" w:hAnsi="Times New Roman" w:cs="Times New Roman"/>
          <w:bCs/>
          <w:iCs/>
          <w:sz w:val="24"/>
          <w:szCs w:val="24"/>
        </w:rPr>
        <w:fldChar w:fldCharType="end"/>
      </w:r>
      <w:r w:rsidR="0027396E">
        <w:rPr>
          <w:rFonts w:ascii="Times New Roman" w:hAnsi="Times New Roman" w:cs="Times New Roman"/>
          <w:bCs/>
          <w:iCs/>
          <w:sz w:val="24"/>
          <w:szCs w:val="24"/>
        </w:rPr>
        <w:t xml:space="preserve"> </w:t>
      </w:r>
      <w:r w:rsidR="00EE7D4B">
        <w:rPr>
          <w:rFonts w:ascii="Times New Roman" w:hAnsi="Times New Roman" w:cs="Times New Roman"/>
          <w:bCs/>
          <w:iCs/>
          <w:sz w:val="24"/>
          <w:szCs w:val="24"/>
        </w:rPr>
        <w:t>[41]</w:t>
      </w:r>
      <w:r w:rsidRPr="00F629D3">
        <w:rPr>
          <w:rFonts w:ascii="Times New Roman" w:hAnsi="Times New Roman" w:cs="Times New Roman"/>
          <w:bCs/>
          <w:iCs/>
          <w:sz w:val="24"/>
          <w:szCs w:val="24"/>
        </w:rPr>
        <w:t>.</w:t>
      </w:r>
    </w:p>
    <w:p w14:paraId="3905FA2E" w14:textId="6B6D3813"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rPr>
        <w:t xml:space="preserve">Excessive catalyst loading, however, may limit further yield improvement by increasing mixture viscosity, leading to soap formation, and making product separation challenging </w:t>
      </w:r>
      <w:r w:rsidR="00D80A1A">
        <w:rPr>
          <w:rFonts w:ascii="Times New Roman" w:hAnsi="Times New Roman" w:cs="Times New Roman"/>
          <w:bCs/>
          <w:iCs/>
          <w:sz w:val="24"/>
          <w:szCs w:val="24"/>
        </w:rPr>
        <w:t>[</w:t>
      </w:r>
      <w:r w:rsidRPr="00F629D3">
        <w:rPr>
          <w:rFonts w:ascii="Times New Roman" w:hAnsi="Times New Roman" w:cs="Times New Roman"/>
          <w:bCs/>
          <w:iCs/>
          <w:sz w:val="24"/>
          <w:szCs w:val="24"/>
        </w:rPr>
        <w:fldChar w:fldCharType="begin" w:fldLock="1"/>
      </w:r>
      <w:r w:rsidR="0040750C">
        <w:rPr>
          <w:rFonts w:ascii="Times New Roman" w:hAnsi="Times New Roman" w:cs="Times New Roman"/>
          <w:bCs/>
          <w:iCs/>
          <w:sz w:val="24"/>
          <w:szCs w:val="24"/>
        </w:rPr>
        <w:instrText>ADDIN CSL_CITATION {"citationItems":[{"id":"ITEM-1","itemData":{"author":[{"dropping-particle":"","family":"Encinar","given":"J. M.","non-dropping-particle":"","parse-names":false,"suffix":""},{"dropping-particle":"","family":"Gonza´lez","given":"J. F.","non-dropping-particle":"","parse-names":false,"suffix":""},{"dropping-particle":"","family":"Rodrı´guez","given":"J. J.","non-dropping-particle":"","parse-names":false,"suffix":""},{"dropping-particle":"","family":"Tejedor","given":"A.","non-dropping-particle":"","parse-names":false,"suffix":""}],"container-title":"Energy &amp; Fuels","id":"ITEM-1","issue":"7","issued":{"date-parts":[["2002"]]},"page":"443-450","title":"Biodiesel Fuels from Vegetable Oils : Transesterification of Cynara cardunculus L . Oils with Ethanol","type":"article-journal"},"uris":["http://www.mendeley.com/documents/?uuid=fa8e5ac5-031d-4f53-9700-c8a13248e6be"]},{"id":"ITEM-2","itemData":{"DOI":"10.1016/j.biotechadv.2010.03.002","ISSN":"0734-9750","author":[{"dropping-particle":"","family":"Lam","given":"Man Kee","non-dropping-particle":"","parse-names":false,"suffix":""},{"dropping-particle":"","family":"Lee","given":"Keat Teong","non-dropping-particle":"","parse-names":false,"suffix":""},{"dropping-particle":"","family":"Mohamed","given":"Abdul Rahman","non-dropping-particle":"","parse-names":false,"suffix":""}],"container-title":"Biotechnology Advances","id":"ITEM-2","issue":"4","issued":{"date-parts":[["2010"]]},"page":"500-518","publisher":"Elsevier Inc.","title":"Homogeneous , heterogeneous and enzymatic catalysis for transesteri fi cation of high free fatty acid oil ( waste cooking oil ) to biodiesel : A review","type":"article-journal","volume":"28"},"uris":["http://www.mendeley.com/documents/?uuid=8dd82811-0be5-45ed-8dca-36c161761112"]}],"mendeley":{"formattedCitation":"(Encinar et al., 2002; Lam et al., 2010)","manualFormatting":"15]; ","plainTextFormattedCitation":"(Encinar et al., 2002; Lam et al., 2010)","previouslyFormattedCitation":"(Encinar et al., 2002; Lam et al., 2010)"},"properties":{"noteIndex":0},"schema":"https://github.com/citation-style-language/schema/raw/master/csl-citation.json"}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D80A1A">
        <w:rPr>
          <w:rFonts w:ascii="Times New Roman" w:hAnsi="Times New Roman" w:cs="Times New Roman"/>
          <w:bCs/>
          <w:iCs/>
          <w:noProof/>
          <w:sz w:val="24"/>
          <w:szCs w:val="24"/>
        </w:rPr>
        <w:t>15]</w:t>
      </w:r>
      <w:r w:rsidR="007D7CBB" w:rsidRPr="007D7CBB">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rPr>
        <w:fldChar w:fldCharType="end"/>
      </w:r>
      <w:r w:rsidR="00B763AD">
        <w:rPr>
          <w:rFonts w:ascii="Times New Roman" w:hAnsi="Times New Roman" w:cs="Times New Roman"/>
          <w:bCs/>
          <w:iCs/>
          <w:sz w:val="24"/>
          <w:szCs w:val="24"/>
        </w:rPr>
        <w:t>[29]</w:t>
      </w:r>
      <w:r w:rsidRPr="00F629D3">
        <w:rPr>
          <w:rFonts w:ascii="Times New Roman" w:hAnsi="Times New Roman" w:cs="Times New Roman"/>
          <w:bCs/>
          <w:iCs/>
          <w:sz w:val="24"/>
          <w:szCs w:val="24"/>
        </w:rPr>
        <w:t>. The plot's curved contour lines show a moderate interaction between temperature and catalyst loading, indicating that the catalytic effect intensifies at higher temperatures as a result of increased molecule collision frequency and reaction rate</w:t>
      </w:r>
      <w:r w:rsidR="003B77B0">
        <w:rPr>
          <w:rFonts w:ascii="Times New Roman" w:hAnsi="Times New Roman" w:cs="Times New Roman"/>
          <w:bCs/>
          <w:iCs/>
          <w:sz w:val="24"/>
          <w:szCs w:val="24"/>
        </w:rPr>
        <w:t xml:space="preserve"> [37]</w:t>
      </w:r>
      <w:r w:rsidRPr="00F629D3">
        <w:rPr>
          <w:rFonts w:ascii="Times New Roman" w:hAnsi="Times New Roman" w:cs="Times New Roman"/>
          <w:bCs/>
          <w:iCs/>
          <w:sz w:val="24"/>
          <w:szCs w:val="24"/>
        </w:rPr>
        <w:t>. At temperatures close to 70°C and catalyst loading between 4 and 5 weight percent, the best biodiesel yield of about 98% is obtained, suggesting ideal kinetic and catalytic conditions for effective transesterification.</w:t>
      </w:r>
    </w:p>
    <w:p w14:paraId="355B8AC8" w14:textId="5422BAD4"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The 3 D surface pl</w:t>
      </w:r>
      <w:r>
        <w:rPr>
          <w:rFonts w:ascii="Times New Roman" w:hAnsi="Times New Roman" w:cs="Times New Roman"/>
          <w:bCs/>
          <w:iCs/>
          <w:sz w:val="24"/>
          <w:szCs w:val="24"/>
        </w:rPr>
        <w:t>ot</w:t>
      </w:r>
      <w:r w:rsidRPr="00F629D3">
        <w:rPr>
          <w:rFonts w:ascii="Times New Roman" w:hAnsi="Times New Roman" w:cs="Times New Roman"/>
          <w:bCs/>
          <w:iCs/>
          <w:sz w:val="24"/>
          <w:szCs w:val="24"/>
        </w:rPr>
        <w:t xml:space="preserve"> indicates that the production of biodiesel is significantly influenced by the ratio of methanol to oil. As the ratio grows near 12:1, the yield increases dramatically, demonstrating that additional methanol leads to increase in yield. At lower ratios, around 6:1, the yield stays small. This discovery is consistent with research that indicates a higher methanol-to-oil ratio improves the efficiency of transesterification and the production of biodiesel</w:t>
      </w:r>
      <w:r w:rsidR="003456CB">
        <w:rPr>
          <w:rFonts w:ascii="Times New Roman" w:hAnsi="Times New Roman" w:cs="Times New Roman"/>
          <w:bCs/>
          <w:iCs/>
          <w:sz w:val="24"/>
          <w:szCs w:val="24"/>
        </w:rPr>
        <w:t xml:space="preserve"> [14]</w:t>
      </w:r>
      <w:r w:rsidRPr="00F629D3">
        <w:rPr>
          <w:rFonts w:ascii="Times New Roman" w:hAnsi="Times New Roman" w:cs="Times New Roman"/>
          <w:bCs/>
          <w:iCs/>
          <w:sz w:val="24"/>
          <w:szCs w:val="24"/>
        </w:rPr>
        <w:t>. Reaction time is also a significant factor. While shorter reaction time of around 60 minutes produce lower yields, longer reaction times of more than 90 minutes enable the process to attain completion and increase yield. Longer reaction time and enough methanol produce higher yields, frequently surpassing 85–90%, according to previous research</w:t>
      </w:r>
      <w:r w:rsidR="001F6CF6">
        <w:rPr>
          <w:rFonts w:ascii="Times New Roman" w:hAnsi="Times New Roman" w:cs="Times New Roman"/>
          <w:bCs/>
          <w:iCs/>
          <w:sz w:val="24"/>
          <w:szCs w:val="24"/>
        </w:rPr>
        <w:t xml:space="preserve"> [36]</w:t>
      </w:r>
      <w:r w:rsidRPr="00F629D3">
        <w:rPr>
          <w:rFonts w:ascii="Times New Roman" w:hAnsi="Times New Roman" w:cs="Times New Roman"/>
          <w:bCs/>
          <w:iCs/>
          <w:sz w:val="24"/>
          <w:szCs w:val="24"/>
        </w:rPr>
        <w:t>.</w:t>
      </w:r>
    </w:p>
    <w:p w14:paraId="13E7ECDB" w14:textId="553DDD4D"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T</w:t>
      </w:r>
      <w:r>
        <w:rPr>
          <w:rFonts w:ascii="Times New Roman" w:hAnsi="Times New Roman" w:cs="Times New Roman"/>
          <w:bCs/>
          <w:iCs/>
          <w:sz w:val="24"/>
          <w:szCs w:val="24"/>
        </w:rPr>
        <w:t>he 3 D surface plot in figure 15f</w:t>
      </w:r>
      <w:r w:rsidRPr="00F629D3">
        <w:rPr>
          <w:rFonts w:ascii="Times New Roman" w:hAnsi="Times New Roman" w:cs="Times New Roman"/>
          <w:bCs/>
          <w:iCs/>
          <w:sz w:val="24"/>
          <w:szCs w:val="24"/>
        </w:rPr>
        <w:t xml:space="preserve"> illustrates how catalyst loading and reaction time affect biodiesel yield. Even with prolonged reaction time, yields are still small at low catalyst loadings (around 1 wt %). The yield dramatically increases as catalyst loading approaches 4 wt%, showing that more catalyst speeds up transesterification and increases yield. This is in line with research by Masango et al.</w:t>
      </w:r>
      <w:r w:rsidR="000E2E22">
        <w:rPr>
          <w:rFonts w:ascii="Times New Roman" w:hAnsi="Times New Roman" w:cs="Times New Roman"/>
          <w:bCs/>
          <w:iCs/>
          <w:sz w:val="24"/>
          <w:szCs w:val="24"/>
        </w:rPr>
        <w:t xml:space="preserve"> [36]</w:t>
      </w:r>
      <w:r w:rsidRPr="00F629D3">
        <w:rPr>
          <w:rFonts w:ascii="Times New Roman" w:hAnsi="Times New Roman" w:cs="Times New Roman"/>
          <w:bCs/>
          <w:iCs/>
          <w:sz w:val="24"/>
          <w:szCs w:val="24"/>
        </w:rPr>
        <w:t xml:space="preserve"> that found that higher catalyst concentrations increase the efficiency of biodiesel production. Another important factor is reaction time. Shorter reaction times (about 60 minutes) result in lower yields, whereas longer reaction time (above 90 minutes) enable the reaction to proceed further and provide higher yields. This is consistent with previous studies that showed that yields above 85–90% are achieved when longer reaction times are paired with an adequate amount of catalyst </w:t>
      </w:r>
      <w:r w:rsidR="00AC2227">
        <w:rPr>
          <w:rFonts w:ascii="Times New Roman" w:hAnsi="Times New Roman" w:cs="Times New Roman"/>
          <w:bCs/>
          <w:iCs/>
          <w:sz w:val="24"/>
          <w:szCs w:val="24"/>
        </w:rPr>
        <w:t>[68]</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author":[{"dropping-particle":"","family":"Yaghi","given":"Maya","non-dropping-particle":"","parse-names":false,"suffix":""},{"dropping-particle":"","family":"Chidiac","given":"Sandra","non-dropping-particle":"","parse-names":false,"suffix":""},{"dropping-particle":"","family":"Awad","given":"Sary","non-dropping-particle":"","parse-names":false,"suffix":""},{"dropping-particle":"El","family":"Rayess","given":"Youssef","non-dropping-particle":"","parse-names":false,"suffix":""},{"dropping-particle":"","family":"Zgheib","given":"Nancy","non-dropping-particle":"","parse-names":false,"suffix":""}],"container-title":"Clean Technologies","id":"ITEM-1","issued":{"date-parts":[["2025"]]},"page":"1-55","title":"An Overview of Biodiesel Production via Heterogeneous Catalysts : Synthesis , Current Advances , and Challenges","type":"article-journal"},"uris":["http://www.mendeley.com/documents/?uuid=a218e8f4-eaee-4329-844b-817f1858eae7"]}],"mendeley":{"formattedCitation":"(Yaghi et al., 2025)","plainTextFormattedCitation":"(Yaghi et al., 2025)","previouslyFormattedCitation":"(Yaghi et al., 2025)"},"properties":{"noteIndex":0},"schema":"https://github.com/citation-style-language/schema/raw/master/csl-citation.json"}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Pr="00F629D3">
        <w:rPr>
          <w:rFonts w:ascii="Times New Roman" w:hAnsi="Times New Roman" w:cs="Times New Roman"/>
          <w:bCs/>
          <w:iCs/>
          <w:sz w:val="24"/>
          <w:szCs w:val="24"/>
        </w:rPr>
        <w:fldChar w:fldCharType="end"/>
      </w:r>
      <w:r w:rsidRPr="00F629D3">
        <w:rPr>
          <w:rFonts w:ascii="Times New Roman" w:hAnsi="Times New Roman" w:cs="Times New Roman"/>
          <w:bCs/>
          <w:iCs/>
          <w:sz w:val="24"/>
          <w:szCs w:val="24"/>
        </w:rPr>
        <w:t>.</w:t>
      </w:r>
    </w:p>
    <w:p w14:paraId="43764B00" w14:textId="7F31CD4D"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This 3D re</w:t>
      </w:r>
      <w:r>
        <w:rPr>
          <w:rFonts w:ascii="Times New Roman" w:hAnsi="Times New Roman" w:cs="Times New Roman"/>
          <w:bCs/>
          <w:iCs/>
          <w:sz w:val="24"/>
          <w:szCs w:val="24"/>
        </w:rPr>
        <w:t>sponse surface plot in figure 15b</w:t>
      </w:r>
      <w:r w:rsidRPr="00F629D3">
        <w:rPr>
          <w:rFonts w:ascii="Times New Roman" w:hAnsi="Times New Roman" w:cs="Times New Roman"/>
          <w:bCs/>
          <w:iCs/>
          <w:sz w:val="24"/>
          <w:szCs w:val="24"/>
        </w:rPr>
        <w:t xml:space="preserve"> illustrates how the methanol-to-oil ratio and catalyst loading interact to affect the yield of biodiesel. Even when the methanol-to-oil ratio is raised, yields are still small at low catalyst </w:t>
      </w:r>
      <w:r w:rsidRPr="00F629D3">
        <w:rPr>
          <w:rFonts w:ascii="Times New Roman" w:hAnsi="Times New Roman" w:cs="Times New Roman"/>
          <w:bCs/>
          <w:iCs/>
          <w:sz w:val="24"/>
          <w:szCs w:val="24"/>
        </w:rPr>
        <w:lastRenderedPageBreak/>
        <w:t xml:space="preserve">loadings (around 1 wt%). The yield dramatically improves as catalyst loading increases toward 4 wt%, demonstrating that additional catalyst speeds up the transesterification reaction and increases conversion efficiency and yield. This discovery is in line with research showing that increased catalyst concentrations increase the efficiency of biodiesel production </w:t>
      </w:r>
      <w:r w:rsidR="00F17244">
        <w:rPr>
          <w:rFonts w:ascii="Times New Roman" w:hAnsi="Times New Roman" w:cs="Times New Roman"/>
          <w:bCs/>
          <w:iCs/>
          <w:sz w:val="24"/>
          <w:szCs w:val="24"/>
        </w:rPr>
        <w:t>[64]</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{"citationItems":[{"id":"ITEM-1","itemData":{"DOI":"https://doi.org/10.3390/pr11072035","ISBN":"9022429423","author":[{"dropping-particle":"","family":"Ulukardesler","given":"Ayse Hilal","non-dropping-particle":"","parse-names":false,"suffix":""}],"container-title":"Processes","id":"ITEM-1","issue":"7","issued":{"date-parts":[["2023"]]},"page":"2035","title":"Biodiesel Production from Waste Cooking Oil Using Different Types of Catalysts","type":"article-journal","volume":"11"},"uris":["http://www.mendeley.com/documents/?uuid=ebadc29b-e7df-428f-b445-665a394ede92"]}],"mendeley":{"formattedCitation":"(Ulukardesler, 2023)","plainTextFormattedCitation":"(Ulukardesler, 2023)","previouslyFormattedCitation":"(Ulukardesler, 2023)"},"properties":{"noteIndex":0},"schema":"https://github.com/citation-style-language/schema/raw/master/csl-citation.json"}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Pr="00F629D3">
        <w:rPr>
          <w:rFonts w:ascii="Times New Roman" w:hAnsi="Times New Roman" w:cs="Times New Roman"/>
          <w:bCs/>
          <w:iCs/>
          <w:sz w:val="24"/>
          <w:szCs w:val="24"/>
        </w:rPr>
        <w:fldChar w:fldCharType="end"/>
      </w:r>
      <w:r w:rsidRPr="00F629D3">
        <w:rPr>
          <w:rFonts w:ascii="Times New Roman" w:hAnsi="Times New Roman" w:cs="Times New Roman"/>
          <w:bCs/>
          <w:iCs/>
          <w:sz w:val="24"/>
          <w:szCs w:val="24"/>
        </w:rPr>
        <w:t>. Likewise, as additional methanol propels the process toward completion, raising the methanol-to-oil ratio from 6:1 to 12:1 increases yield. Optimizing the methanol-to-oil ratio is essential for improving the yield of biodiesel, according to previous studies</w:t>
      </w:r>
      <w:r w:rsidR="00825E09">
        <w:rPr>
          <w:rFonts w:ascii="Times New Roman" w:hAnsi="Times New Roman" w:cs="Times New Roman"/>
          <w:bCs/>
          <w:iCs/>
          <w:sz w:val="24"/>
          <w:szCs w:val="24"/>
        </w:rPr>
        <w:t xml:space="preserve"> [14]</w:t>
      </w:r>
      <w:r w:rsidRPr="00F629D3">
        <w:rPr>
          <w:rFonts w:ascii="Times New Roman" w:hAnsi="Times New Roman" w:cs="Times New Roman"/>
          <w:bCs/>
          <w:iCs/>
          <w:sz w:val="24"/>
          <w:szCs w:val="24"/>
        </w:rPr>
        <w:t>. Additionally, studies show that in order to achieve high conversion rates without using too much reagent, the methanol ratio and catalyst concentration need to be balanced</w:t>
      </w:r>
      <w:r w:rsidR="005C5F98">
        <w:rPr>
          <w:rFonts w:ascii="Times New Roman" w:hAnsi="Times New Roman" w:cs="Times New Roman"/>
          <w:bCs/>
          <w:iCs/>
          <w:sz w:val="24"/>
          <w:szCs w:val="24"/>
        </w:rPr>
        <w:t xml:space="preserve"> [6]</w:t>
      </w:r>
      <w:r>
        <w:rPr>
          <w:rFonts w:ascii="Times New Roman" w:hAnsi="Times New Roman" w:cs="Times New Roman"/>
          <w:bCs/>
          <w:iCs/>
          <w:sz w:val="24"/>
          <w:szCs w:val="24"/>
        </w:rPr>
        <w:t>.</w:t>
      </w:r>
    </w:p>
    <w:p w14:paraId="2C2816BE"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noProof/>
          <w:sz w:val="24"/>
          <w:szCs w:val="24"/>
        </w:rPr>
        <w:drawing>
          <wp:inline distT="0" distB="0" distL="0" distR="0" wp14:anchorId="76326A15" wp14:editId="071CAB6E">
            <wp:extent cx="2895172" cy="162855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0664" cy="1637269"/>
                    </a:xfrm>
                    <a:prstGeom prst="rect">
                      <a:avLst/>
                    </a:prstGeom>
                  </pic:spPr>
                </pic:pic>
              </a:graphicData>
            </a:graphic>
          </wp:inline>
        </w:drawing>
      </w:r>
      <w:r w:rsidRPr="00F629D3">
        <w:rPr>
          <w:rFonts w:ascii="Times New Roman" w:hAnsi="Times New Roman" w:cs="Times New Roman"/>
          <w:bCs/>
          <w:iCs/>
          <w:noProof/>
          <w:sz w:val="24"/>
          <w:szCs w:val="24"/>
        </w:rPr>
        <w:t xml:space="preserve">       </w:t>
      </w:r>
      <w:r w:rsidRPr="00F629D3">
        <w:rPr>
          <w:rFonts w:ascii="Times New Roman" w:hAnsi="Times New Roman" w:cs="Times New Roman"/>
          <w:bCs/>
          <w:iCs/>
          <w:noProof/>
          <w:sz w:val="24"/>
          <w:szCs w:val="24"/>
        </w:rPr>
        <w:drawing>
          <wp:inline distT="0" distB="0" distL="0" distR="0" wp14:anchorId="71E961EA" wp14:editId="215E4EBD">
            <wp:extent cx="2767876" cy="1556950"/>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8392" cy="1579740"/>
                    </a:xfrm>
                    <a:prstGeom prst="rect">
                      <a:avLst/>
                    </a:prstGeom>
                  </pic:spPr>
                </pic:pic>
              </a:graphicData>
            </a:graphic>
          </wp:inline>
        </w:drawing>
      </w:r>
    </w:p>
    <w:p w14:paraId="18FD4567" w14:textId="77777777" w:rsidR="00ED5041" w:rsidRPr="00F629D3" w:rsidRDefault="00ED5041" w:rsidP="00ED5041">
      <w:pPr>
        <w:spacing w:line="240" w:lineRule="auto"/>
        <w:ind w:left="1440"/>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          (a)    </w:t>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t>(b)</w:t>
      </w:r>
    </w:p>
    <w:p w14:paraId="475C33BE"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noProof/>
          <w:sz w:val="24"/>
          <w:szCs w:val="24"/>
        </w:rPr>
        <w:drawing>
          <wp:inline distT="0" distB="0" distL="0" distR="0" wp14:anchorId="39FF5E89" wp14:editId="14DA7840">
            <wp:extent cx="2833735" cy="1593998"/>
            <wp:effectExtent l="0" t="0" r="508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2715" cy="1615925"/>
                    </a:xfrm>
                    <a:prstGeom prst="rect">
                      <a:avLst/>
                    </a:prstGeom>
                  </pic:spPr>
                </pic:pic>
              </a:graphicData>
            </a:graphic>
          </wp:inline>
        </w:drawing>
      </w:r>
      <w:r w:rsidRPr="00F629D3">
        <w:rPr>
          <w:rFonts w:ascii="Times New Roman" w:eastAsia="Times New Roman" w:hAnsi="Times New Roman" w:cs="Times New Roman"/>
          <w:noProof/>
          <w:color w:val="000000"/>
          <w:sz w:val="24"/>
          <w:szCs w:val="24"/>
        </w:rPr>
        <w:t xml:space="preserve">  </w:t>
      </w:r>
      <w:r w:rsidRPr="00F629D3">
        <w:rPr>
          <w:rFonts w:ascii="Times New Roman" w:hAnsi="Times New Roman" w:cs="Times New Roman"/>
          <w:bCs/>
          <w:iCs/>
          <w:noProof/>
          <w:sz w:val="24"/>
          <w:szCs w:val="24"/>
        </w:rPr>
        <w:drawing>
          <wp:inline distT="0" distB="0" distL="0" distR="0" wp14:anchorId="1C43F7DC" wp14:editId="768866C5">
            <wp:extent cx="2911010" cy="1637465"/>
            <wp:effectExtent l="0" t="0" r="381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059" cy="1643118"/>
                    </a:xfrm>
                    <a:prstGeom prst="rect">
                      <a:avLst/>
                    </a:prstGeom>
                  </pic:spPr>
                </pic:pic>
              </a:graphicData>
            </a:graphic>
          </wp:inline>
        </w:drawing>
      </w:r>
    </w:p>
    <w:p w14:paraId="3739EA1F"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   </w:t>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t xml:space="preserve">      (c) </w:t>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t>(d)</w:t>
      </w:r>
    </w:p>
    <w:p w14:paraId="43D788E5"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noProof/>
          <w:sz w:val="24"/>
          <w:szCs w:val="24"/>
        </w:rPr>
        <w:drawing>
          <wp:inline distT="0" distB="0" distL="0" distR="0" wp14:anchorId="69DB8814" wp14:editId="2600527D">
            <wp:extent cx="2773418" cy="1560069"/>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3077" cy="1571128"/>
                    </a:xfrm>
                    <a:prstGeom prst="rect">
                      <a:avLst/>
                    </a:prstGeom>
                  </pic:spPr>
                </pic:pic>
              </a:graphicData>
            </a:graphic>
          </wp:inline>
        </w:drawing>
      </w:r>
      <w:r w:rsidRPr="00F629D3">
        <w:rPr>
          <w:rFonts w:ascii="Times New Roman" w:eastAsia="Times New Roman" w:hAnsi="Times New Roman" w:cs="Times New Roman"/>
          <w:noProof/>
          <w:color w:val="000000"/>
          <w:sz w:val="24"/>
          <w:szCs w:val="24"/>
        </w:rPr>
        <w:t xml:space="preserve">     </w:t>
      </w:r>
      <w:r w:rsidRPr="00F629D3">
        <w:rPr>
          <w:rFonts w:ascii="Times New Roman" w:hAnsi="Times New Roman" w:cs="Times New Roman"/>
          <w:bCs/>
          <w:iCs/>
          <w:noProof/>
          <w:sz w:val="24"/>
          <w:szCs w:val="24"/>
        </w:rPr>
        <w:drawing>
          <wp:inline distT="0" distB="0" distL="0" distR="0" wp14:anchorId="75695C79" wp14:editId="660D90B4">
            <wp:extent cx="2977545" cy="1674891"/>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5585" cy="1685038"/>
                    </a:xfrm>
                    <a:prstGeom prst="rect">
                      <a:avLst/>
                    </a:prstGeom>
                  </pic:spPr>
                </pic:pic>
              </a:graphicData>
            </a:graphic>
          </wp:inline>
        </w:drawing>
      </w:r>
      <w:r w:rsidRPr="00F629D3">
        <w:rPr>
          <w:rFonts w:ascii="Times New Roman" w:eastAsia="Times New Roman" w:hAnsi="Times New Roman" w:cs="Times New Roman"/>
          <w:noProof/>
          <w:color w:val="000000"/>
          <w:sz w:val="24"/>
          <w:szCs w:val="24"/>
        </w:rPr>
        <w:t xml:space="preserve"> </w:t>
      </w:r>
    </w:p>
    <w:p w14:paraId="3EAB86AB" w14:textId="77777777"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 </w:t>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t xml:space="preserve">(e)  </w:t>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r>
      <w:r w:rsidRPr="00F629D3">
        <w:rPr>
          <w:rFonts w:ascii="Times New Roman" w:hAnsi="Times New Roman" w:cs="Times New Roman"/>
          <w:bCs/>
          <w:iCs/>
          <w:sz w:val="24"/>
          <w:szCs w:val="24"/>
        </w:rPr>
        <w:tab/>
        <w:t xml:space="preserve">       (f)</w:t>
      </w:r>
    </w:p>
    <w:p w14:paraId="555A20EA" w14:textId="77777777" w:rsidR="00ED5041" w:rsidRPr="00CE452F" w:rsidRDefault="00ED5041" w:rsidP="00ED5041">
      <w:pPr>
        <w:spacing w:line="240" w:lineRule="auto"/>
        <w:jc w:val="both"/>
        <w:rPr>
          <w:rFonts w:ascii="Times New Roman" w:hAnsi="Times New Roman" w:cs="Times New Roman"/>
          <w:b/>
          <w:bCs/>
          <w:iCs/>
          <w:sz w:val="24"/>
          <w:szCs w:val="24"/>
          <w:lang w:val="en-GB"/>
        </w:rPr>
      </w:pPr>
      <w:bookmarkStart w:id="274" w:name="_Toc123181172"/>
      <w:bookmarkStart w:id="275" w:name="_Toc77192828"/>
      <w:r w:rsidRPr="00F629D3">
        <w:rPr>
          <w:rFonts w:ascii="Times New Roman" w:hAnsi="Times New Roman" w:cs="Times New Roman"/>
          <w:b/>
          <w:bCs/>
          <w:iCs/>
          <w:sz w:val="24"/>
          <w:szCs w:val="24"/>
          <w:lang w:val="en-GB"/>
        </w:rPr>
        <w:t xml:space="preserve">Figure 15: 3D surface plots showing interaction between (a) temperature and methanol: oil ratio </w:t>
      </w:r>
      <w:bookmarkEnd w:id="274"/>
      <w:r w:rsidRPr="00F629D3">
        <w:rPr>
          <w:rFonts w:ascii="Times New Roman" w:hAnsi="Times New Roman" w:cs="Times New Roman"/>
          <w:b/>
          <w:bCs/>
          <w:iCs/>
          <w:sz w:val="24"/>
          <w:szCs w:val="24"/>
          <w:lang w:val="en-GB"/>
        </w:rPr>
        <w:t>(b)</w:t>
      </w:r>
      <w:r w:rsidRPr="00F629D3">
        <w:rPr>
          <w:rFonts w:ascii="Times New Roman" w:hAnsi="Times New Roman" w:cs="Times New Roman"/>
          <w:b/>
          <w:bCs/>
          <w:iCs/>
          <w:sz w:val="24"/>
          <w:szCs w:val="24"/>
        </w:rPr>
        <w:t xml:space="preserve"> catalyst loading and methanol: oil ratio (c) time and methanol: oil ratio (d)</w:t>
      </w:r>
      <w:r w:rsidRPr="00F629D3">
        <w:rPr>
          <w:rFonts w:ascii="Times New Roman" w:hAnsi="Times New Roman" w:cs="Times New Roman"/>
          <w:b/>
          <w:bCs/>
          <w:iCs/>
          <w:sz w:val="24"/>
          <w:szCs w:val="24"/>
          <w:lang w:val="en-GB"/>
        </w:rPr>
        <w:t xml:space="preserve"> catalyst loading and temperature (e) temperature and time (f) catalyst loading</w:t>
      </w:r>
      <w:r>
        <w:rPr>
          <w:rFonts w:ascii="Times New Roman" w:hAnsi="Times New Roman" w:cs="Times New Roman"/>
          <w:b/>
          <w:bCs/>
          <w:iCs/>
          <w:sz w:val="24"/>
          <w:szCs w:val="24"/>
          <w:lang w:val="en-GB"/>
        </w:rPr>
        <w:t xml:space="preserve"> and time</w:t>
      </w:r>
    </w:p>
    <w:p w14:paraId="7DADA631" w14:textId="77777777" w:rsidR="00ED5041" w:rsidRDefault="00ED5041" w:rsidP="00ED5041">
      <w:pPr>
        <w:spacing w:line="240" w:lineRule="auto"/>
        <w:jc w:val="both"/>
        <w:rPr>
          <w:rFonts w:ascii="Times New Roman" w:hAnsi="Times New Roman" w:cs="Times New Roman"/>
          <w:b/>
          <w:bCs/>
          <w:iCs/>
          <w:sz w:val="24"/>
          <w:szCs w:val="24"/>
        </w:rPr>
      </w:pPr>
    </w:p>
    <w:p w14:paraId="09CDA94E" w14:textId="77777777" w:rsidR="00ED5041" w:rsidRPr="00F629D3"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iCs/>
          <w:sz w:val="24"/>
          <w:szCs w:val="24"/>
        </w:rPr>
        <w:t xml:space="preserve">Numerical optimization </w:t>
      </w:r>
    </w:p>
    <w:p w14:paraId="31E4C06C" w14:textId="77777777" w:rsidR="00ED5041" w:rsidRPr="00F629D3" w:rsidRDefault="00ED5041" w:rsidP="00ED5041">
      <w:pPr>
        <w:spacing w:line="240" w:lineRule="auto"/>
        <w:jc w:val="both"/>
        <w:rPr>
          <w:rFonts w:ascii="Times New Roman" w:hAnsi="Times New Roman" w:cs="Times New Roman"/>
          <w:bCs/>
          <w:iCs/>
          <w:sz w:val="24"/>
          <w:szCs w:val="24"/>
          <w:lang w:val="en-GB"/>
        </w:rPr>
      </w:pPr>
      <w:r w:rsidRPr="00F629D3">
        <w:rPr>
          <w:rFonts w:ascii="Times New Roman" w:hAnsi="Times New Roman" w:cs="Times New Roman"/>
          <w:bCs/>
          <w:iCs/>
          <w:sz w:val="24"/>
          <w:szCs w:val="24"/>
          <w:lang w:val="en-GB"/>
        </w:rPr>
        <w:lastRenderedPageBreak/>
        <w:t xml:space="preserve">From the numerical optimization, the optimum biodiesel yield was obtained as 98.22% at a reaction temperature of 66.95 </w:t>
      </w:r>
      <w:r w:rsidRPr="00F629D3">
        <w:rPr>
          <w:rFonts w:ascii="Times New Roman" w:hAnsi="Times New Roman" w:cs="Times New Roman"/>
          <w:bCs/>
          <w:iCs/>
          <w:sz w:val="24"/>
          <w:szCs w:val="24"/>
          <w:vertAlign w:val="superscript"/>
          <w:lang w:val="en-GB"/>
        </w:rPr>
        <w:t>o</w:t>
      </w:r>
      <w:r w:rsidRPr="00F629D3">
        <w:rPr>
          <w:rFonts w:ascii="Times New Roman" w:hAnsi="Times New Roman" w:cs="Times New Roman"/>
          <w:bCs/>
          <w:iCs/>
          <w:sz w:val="24"/>
          <w:szCs w:val="24"/>
          <w:lang w:val="en-GB"/>
        </w:rPr>
        <w:t xml:space="preserve">C, a reaction time of 94.04 mins, methanol to oil ratio of 11.98:1, and catalyst loading of 2.39 wt%. The desirability value for this achievement was one (1), which is an indication that the optimal values were totally acceptable. These results obtained from optimization were verified in the laboratory by carrying out 3 runs of biodiesel production with the optimal values and computing the average of the biodiesel yields obtained from the different runs. The average biodiesel yield was obtained as 98.16%, which is not too far from the predicted optimum biodiesel yield of 98.22%. </w:t>
      </w:r>
    </w:p>
    <w:p w14:paraId="2FB6B3B8" w14:textId="77777777" w:rsidR="00ED5041" w:rsidRPr="00F629D3" w:rsidRDefault="00ED5041" w:rsidP="00ED5041">
      <w:pPr>
        <w:spacing w:line="240" w:lineRule="auto"/>
        <w:jc w:val="both"/>
        <w:rPr>
          <w:rFonts w:ascii="Times New Roman" w:hAnsi="Times New Roman" w:cs="Times New Roman"/>
          <w:b/>
          <w:bCs/>
          <w:iCs/>
          <w:sz w:val="24"/>
          <w:szCs w:val="24"/>
          <w:lang w:val="en-GB"/>
        </w:rPr>
      </w:pPr>
      <w:r w:rsidRPr="00F629D3">
        <w:rPr>
          <w:rFonts w:ascii="Times New Roman" w:hAnsi="Times New Roman" w:cs="Times New Roman"/>
          <w:b/>
          <w:bCs/>
          <w:iCs/>
          <w:sz w:val="24"/>
          <w:szCs w:val="24"/>
          <w:lang w:val="en-GB"/>
        </w:rPr>
        <w:t>Catalyst Reusability Studies</w:t>
      </w:r>
    </w:p>
    <w:p w14:paraId="0F19746F" w14:textId="026E6F81" w:rsidR="00ED5041" w:rsidRPr="00F629D3" w:rsidRDefault="00ED5041" w:rsidP="00ED5041">
      <w:pPr>
        <w:spacing w:line="240" w:lineRule="auto"/>
        <w:jc w:val="both"/>
        <w:rPr>
          <w:rFonts w:ascii="Times New Roman" w:hAnsi="Times New Roman" w:cs="Times New Roman"/>
          <w:bCs/>
          <w:iCs/>
          <w:sz w:val="24"/>
          <w:szCs w:val="24"/>
        </w:rPr>
      </w:pPr>
      <w:r w:rsidRPr="00F629D3">
        <w:rPr>
          <w:rFonts w:ascii="Times New Roman" w:hAnsi="Times New Roman" w:cs="Times New Roman"/>
          <w:bCs/>
          <w:iCs/>
          <w:sz w:val="24"/>
          <w:szCs w:val="24"/>
        </w:rPr>
        <w:t xml:space="preserve">In the first run, the biodiesel yield was obtained as 98.2%. The second run gave a biodiesel yield of 92.4%, while the third run gave a biodiesel yield of 84.5%. the fourth, fifth and sixth runs gave biodiesel yields of 81.3%, 74.9%, and 69.8% respectively, as Figure 16 illustrates. Progressive reductions in biodiesel yields were observed as the number of cycles increased. There was an overall reduction of 28.4% in biodiesel yield between the first and sixth run. One possible explanation for the decrease in biodiesel production is that unreacted triglycerides are increasingly occupying the catalyst's surface active sites, which gradually reduces the catalyst's effectiveness </w:t>
      </w:r>
      <w:r w:rsidRPr="00F629D3">
        <w:rPr>
          <w:rFonts w:ascii="Times New Roman" w:hAnsi="Times New Roman" w:cs="Times New Roman"/>
          <w:bCs/>
          <w:iCs/>
          <w:sz w:val="24"/>
          <w:szCs w:val="24"/>
        </w:rPr>
        <w:fldChar w:fldCharType="begin" w:fldLock="1"/>
      </w:r>
      <w:r w:rsidR="006D5F3A">
        <w:rPr>
          <w:rFonts w:ascii="Times New Roman" w:hAnsi="Times New Roman" w:cs="Times New Roman"/>
          <w:bCs/>
          <w:iCs/>
          <w:sz w:val="24"/>
          <w:szCs w:val="24"/>
        </w:rPr>
        <w:instrText>ADDIN CSL_CITATION {"citationItems":[{"id":"ITEM-1","itemData":{"DOI":"10.1016/j.clet.2022.100501","ISSN":"2666-7908","author":[{"dropping-particle":"","family":"Amenaghawon","given":"Andrew Nosakhare","non-dropping-particle":"","parse-names":false,"suffix":""},{"dropping-particle":"","family":"Obahiagbon","given":"Kessington","non-dropping-particle":"","parse-names":false,"suffix":""},{"dropping-particle":"","family":"Isesele","given":"Victor","non-dropping-particle":"","parse-names":false,"suffix":""},{"dropping-particle":"","family":"Usman","given":"Fauzan","non-dropping-particle":"","parse-names":false,"suffix":""}],"container-title":"Cleaner Engineering and Technology","id":"ITEM-1","issue":"100501","issued":{"date-parts":[["2022"]]},"page":"100501","publisher":"Elsevier Ltd","title":"Optimized biodiesel production from waste cooking oil using a functionalized bio-based heterogeneous catalyst","type":"article-journal","volume":"8"},"uris":["http://www.mendeley.com/documents/?uuid=7e87074d-71b8-4461-86c1-d16ab1ad7395"]},{"id":"ITEM-2","itemData":{"DOI":"10.1016/j.jece.2020.104955","ISSN":"2213-3437","author":[{"dropping-particle":"","family":"Yusuff","given":"Adeyinka Sikiru","non-dropping-particle":"","parse-names":false,"suffix":""},{"dropping-particle":"","family":"Gbadamosi","given":"Afeez Olayinka","non-dropping-particle":"","parse-names":false,"suffix":""},{"dropping-particle":"","family":"Popoola","given":"Lekan Taofeek","non-dropping-particle":"","parse-names":false,"suffix":""}],"container-title":"Journal of Environmental Chemical Engineering","id":"ITEM-2","issue":"2","issued":{"date-parts":[["2021"]]},"page":"104955","publisher":"Elsevier Ltd","title":"Journal of Environmental Chemical Engineering Biodiesel production from transesterified waste cooking oil by zinc-modified anthill catalyst : Parametric optimization and biodiesel properties improvement","type":"article-journal","volume":"9"},"uris":["http://www.mendeley.com/documents/?uuid=98688d88-2c8e-4f53-91f9-5f0054f967aa"]}],"mendeley":{"formattedCitation":"(Amenaghawon et al., 2022; Yusuff et al., 2021)","manualFormatting":"[4]; Yusuff et al., 2021)","plainTextFormattedCitation":"(Amenaghawon et al., 2022; Yusuff et al., 2021)","previouslyFormattedCitation":"(Amenaghawon et al., 2022b; Yusuff et al., 2021)"},"properties":{"noteIndex":0},"schema":"https://github.com/citation-style-language/schema/raw/master/csl-citation.json"}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6D5F3A">
        <w:rPr>
          <w:rFonts w:ascii="Times New Roman" w:hAnsi="Times New Roman" w:cs="Times New Roman"/>
          <w:bCs/>
          <w:iCs/>
          <w:noProof/>
          <w:sz w:val="24"/>
          <w:szCs w:val="24"/>
        </w:rPr>
        <w:t>[4]</w:t>
      </w:r>
      <w:r w:rsidR="00E65108" w:rsidRPr="00E65108">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lang w:val="en-GB"/>
        </w:rPr>
        <w:fldChar w:fldCharType="end"/>
      </w:r>
      <w:r w:rsidR="00E425D3">
        <w:rPr>
          <w:rFonts w:ascii="Times New Roman" w:hAnsi="Times New Roman" w:cs="Times New Roman"/>
          <w:bCs/>
          <w:iCs/>
          <w:sz w:val="24"/>
          <w:szCs w:val="24"/>
          <w:lang w:val="en-GB"/>
        </w:rPr>
        <w:t>[71]</w:t>
      </w:r>
      <w:r w:rsidRPr="00F629D3">
        <w:rPr>
          <w:rFonts w:ascii="Times New Roman" w:hAnsi="Times New Roman" w:cs="Times New Roman"/>
          <w:bCs/>
          <w:iCs/>
          <w:sz w:val="24"/>
          <w:szCs w:val="24"/>
        </w:rPr>
        <w:t xml:space="preserve">. Some other researchers who studied the reusability of heterogeneous catalysts for the production of biodiesel reported similar findings </w:t>
      </w:r>
      <w:r w:rsidRPr="00F629D3">
        <w:rPr>
          <w:rFonts w:ascii="Times New Roman" w:hAnsi="Times New Roman" w:cs="Times New Roman"/>
          <w:bCs/>
          <w:iCs/>
          <w:sz w:val="24"/>
          <w:szCs w:val="24"/>
        </w:rPr>
        <w:fldChar w:fldCharType="begin" w:fldLock="1"/>
      </w:r>
      <w:r w:rsidR="001950EE">
        <w:rPr>
          <w:rFonts w:ascii="Times New Roman" w:hAnsi="Times New Roman" w:cs="Times New Roman"/>
          <w:bCs/>
          <w:iCs/>
          <w:sz w:val="24"/>
          <w:szCs w:val="24"/>
        </w:rPr>
        <w:instrText>ADDIN CSL_CITATION {"citationItems":[{"id":"ITEM-1","itemData":{"DOI":"10.1016/j.jece.2020.104955","ISSN":"2213-3437","author":[{"dropping-particle":"","family":"Yusuff","given":"Adeyinka Sikiru","non-dropping-particle":"","parse-names":false,"suffix":""},{"dropping-particle":"","family":"Gbadamosi","given":"Afeez Olayinka","non-dropping-particle":"","parse-names":false,"suffix":""},{"dropping-particle":"","family":"Popoola","given":"Lekan Taofeek","non-dropping-particle":"","parse-names":false,"suffix":""}],"container-title":"Journal of Environmental Chemical Engineering","id":"ITEM-1","issue":"2","issued":{"date-parts":[["2021"]]},"page":"104955","publisher":"Elsevier Ltd","title":"Journal of Environmental Chemical Engineering Biodiesel production from transesterified waste cooking oil by zinc-modified anthill catalyst : Parametric optimization and biodiesel properties improvement","type":"article-journal","volume":"9"},"uris":["http://www.mendeley.com/documents/?uuid=98688d88-2c8e-4f53-91f9-5f0054f967aa"]},{"id":"ITEM-2","itemData":{"DOI":"10.1016/j.renene.2020.12.132","ISBN":"2286133824","ISSN":"18790682","abstract":"Calcium oxide is one of the most promising heterogeneous catalysts for biodiesel production. However, an inherent drawback of CaO is the leaching of active species into the reaction solution with the degraded reusability. To strengthen the stability, different supports are composited with the SrO–CaO oxide through the hydrothermal method and mass ratio of SrO to CaO are optimized to get the best outcome of the catalyst. Meanwhile, various characterization methods, including TG, XRD, SEM-EDX, CO2-TPD, XPS, ATR-FTIR and ICP-AES, are used to explore the physicochemical properties of catalysts. The 0.4-SrO-CaO-Al2O3 catalyst shows the best catalytic capability in transesterification of palm oil with methanol to produce biodiesel, where the FAME yield of 98.16% is achieved with the molar ratio of methanol to oil of 18:1 and catalyst concentration of 7.5 wt% at 65 °C for 3 h. Besides, ascribed to the greatly reduced leaching out of the active species, this catalyst presents the satisfying reusability and the FAME yield is slightly decreased to 92.61% for the fifth reused cycle. Therefore, this modification method for SrO–CaO–Al2O3 is feasible for enhancing the catalytic stability in transesterification.","author":[{"dropping-particle":"","family":"Zhang","given":"Yujiao","non-dropping-particle":"","parse-names":false,"suffix":""},{"dropping-particle":"","family":"Niu","given":"Shengli","non-dropping-particle":"","parse-names":false,"suffix":""},{"dropping-particle":"","family":"Han","given":"Kuihua","non-dropping-particle":"","parse-names":false,"suffix":""},{"dropping-particle":"","family":"Li","given":"Yingjie","non-dropping-particle":"","parse-names":false,"suffix":""},{"dropping-particle":"","family":"Lu","given":"Chunmei","non-dropping-particle":"","parse-names":false,"suffix":""}],"container-title":"Renewable Energy","id":"ITEM-2","issued":{"date-parts":[["2021"]]},"page":"981-990","publisher":"Elsevier Ltd","title":"Synthesis of the SrO–CaO–Al2O3 trimetallic oxide catalyst for transesterification to produce biodiesel","type":"article-journal","volume":"168"},"uris":["http://www.mendeley.com/documents/?uuid=0d862716-fd5f-4b95-b483-543a47afe6cf"]}],"mendeley":{"formattedCitation":"(Yusuff et al., 2021; Zhang et al., 2021)","plainTextFormattedCitation":"(Yusuff et al., 2021; Zhang et al., 2021)","previouslyFormattedCitation":"(Yusuff et al., 2021; Zhang et al., 2021)"},"properties":{"noteIndex":0},"schema":"https://github.com/citation-style-language/schema/raw/master/csl-citation.json"}</w:instrText>
      </w:r>
      <w:r w:rsidRPr="00F629D3">
        <w:rPr>
          <w:rFonts w:ascii="Times New Roman" w:hAnsi="Times New Roman" w:cs="Times New Roman"/>
          <w:bCs/>
          <w:iCs/>
          <w:sz w:val="24"/>
          <w:szCs w:val="24"/>
        </w:rPr>
        <w:fldChar w:fldCharType="separate"/>
      </w:r>
      <w:r w:rsidR="008C260C">
        <w:rPr>
          <w:rFonts w:ascii="Times New Roman" w:hAnsi="Times New Roman" w:cs="Times New Roman"/>
          <w:bCs/>
          <w:iCs/>
          <w:noProof/>
          <w:sz w:val="24"/>
          <w:szCs w:val="24"/>
        </w:rPr>
        <w:t>[</w:t>
      </w:r>
      <w:r w:rsidR="00A31FF9">
        <w:rPr>
          <w:rFonts w:ascii="Times New Roman" w:hAnsi="Times New Roman" w:cs="Times New Roman"/>
          <w:bCs/>
          <w:iCs/>
          <w:noProof/>
          <w:sz w:val="24"/>
          <w:szCs w:val="24"/>
        </w:rPr>
        <w:t>71]</w:t>
      </w:r>
      <w:r w:rsidR="007D7CBB" w:rsidRPr="007D7CBB">
        <w:rPr>
          <w:rFonts w:ascii="Times New Roman" w:hAnsi="Times New Roman" w:cs="Times New Roman"/>
          <w:bCs/>
          <w:iCs/>
          <w:noProof/>
          <w:sz w:val="24"/>
          <w:szCs w:val="24"/>
        </w:rPr>
        <w:t xml:space="preserve">; </w:t>
      </w:r>
      <w:r w:rsidRPr="00F629D3">
        <w:rPr>
          <w:rFonts w:ascii="Times New Roman" w:hAnsi="Times New Roman" w:cs="Times New Roman"/>
          <w:bCs/>
          <w:iCs/>
          <w:sz w:val="24"/>
          <w:szCs w:val="24"/>
          <w:lang w:val="en-GB"/>
        </w:rPr>
        <w:fldChar w:fldCharType="end"/>
      </w:r>
      <w:r w:rsidR="00A27037">
        <w:rPr>
          <w:rFonts w:ascii="Times New Roman" w:hAnsi="Times New Roman" w:cs="Times New Roman"/>
          <w:bCs/>
          <w:iCs/>
          <w:sz w:val="24"/>
          <w:szCs w:val="24"/>
          <w:lang w:val="en-GB"/>
        </w:rPr>
        <w:t>[75]</w:t>
      </w:r>
      <w:r w:rsidRPr="00F629D3">
        <w:rPr>
          <w:rFonts w:ascii="Times New Roman" w:hAnsi="Times New Roman" w:cs="Times New Roman"/>
          <w:bCs/>
          <w:iCs/>
          <w:sz w:val="24"/>
          <w:szCs w:val="24"/>
        </w:rPr>
        <w:t xml:space="preserve">. </w:t>
      </w:r>
    </w:p>
    <w:p w14:paraId="5E9490F4" w14:textId="77777777" w:rsidR="00ED5041" w:rsidRPr="00F629D3" w:rsidRDefault="00ED5041" w:rsidP="00ED5041">
      <w:pPr>
        <w:spacing w:line="240" w:lineRule="auto"/>
        <w:jc w:val="center"/>
        <w:rPr>
          <w:rFonts w:ascii="Times New Roman" w:hAnsi="Times New Roman" w:cs="Times New Roman"/>
          <w:bCs/>
          <w:iCs/>
          <w:sz w:val="24"/>
          <w:szCs w:val="24"/>
        </w:rPr>
      </w:pPr>
      <w:r w:rsidRPr="00F629D3">
        <w:rPr>
          <w:rFonts w:ascii="Times New Roman" w:hAnsi="Times New Roman" w:cs="Times New Roman"/>
          <w:bCs/>
          <w:iCs/>
          <w:noProof/>
          <w:sz w:val="24"/>
          <w:szCs w:val="24"/>
        </w:rPr>
        <w:drawing>
          <wp:inline distT="0" distB="0" distL="0" distR="0" wp14:anchorId="3175483F" wp14:editId="7B616037">
            <wp:extent cx="3847465" cy="2435382"/>
            <wp:effectExtent l="0" t="0" r="635" b="3175"/>
            <wp:docPr id="47" name="Chart 47">
              <a:extLst xmlns:a="http://schemas.openxmlformats.org/drawingml/2006/main">
                <a:ext uri="{FF2B5EF4-FFF2-40B4-BE49-F238E27FC236}">
                  <a16:creationId xmlns:a16="http://schemas.microsoft.com/office/drawing/2014/main" id="{C54CEBC1-4C5A-4346-B8B4-5CB2FDB84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89B730" w14:textId="77777777" w:rsidR="00ED5041" w:rsidRDefault="00ED5041" w:rsidP="00ED5041">
      <w:pPr>
        <w:spacing w:line="240" w:lineRule="auto"/>
        <w:jc w:val="both"/>
        <w:rPr>
          <w:rFonts w:ascii="Times New Roman" w:hAnsi="Times New Roman" w:cs="Times New Roman"/>
          <w:b/>
          <w:bCs/>
          <w:iCs/>
          <w:sz w:val="24"/>
          <w:szCs w:val="24"/>
        </w:rPr>
      </w:pPr>
      <w:r w:rsidRPr="00B4669C">
        <w:rPr>
          <w:rFonts w:ascii="Times New Roman" w:hAnsi="Times New Roman" w:cs="Times New Roman"/>
          <w:b/>
          <w:bCs/>
          <w:iCs/>
          <w:sz w:val="24"/>
          <w:szCs w:val="24"/>
        </w:rPr>
        <w:t>Figure 16: Catalyst reusability studies results</w:t>
      </w:r>
    </w:p>
    <w:p w14:paraId="3245580C" w14:textId="7D73EC85" w:rsidR="00ED5041" w:rsidRPr="009B2F05" w:rsidRDefault="00ED5041" w:rsidP="00ED5041">
      <w:pPr>
        <w:spacing w:line="240" w:lineRule="auto"/>
        <w:jc w:val="both"/>
        <w:rPr>
          <w:rFonts w:ascii="Times New Roman" w:hAnsi="Times New Roman" w:cs="Times New Roman"/>
          <w:b/>
          <w:bCs/>
          <w:iCs/>
          <w:sz w:val="24"/>
          <w:szCs w:val="24"/>
        </w:rPr>
      </w:pPr>
      <w:r w:rsidRPr="00F629D3">
        <w:rPr>
          <w:rFonts w:ascii="Times New Roman" w:hAnsi="Times New Roman" w:cs="Times New Roman"/>
          <w:b/>
          <w:bCs/>
          <w:iCs/>
          <w:sz w:val="24"/>
          <w:szCs w:val="24"/>
          <w:lang w:val="en-GB"/>
        </w:rPr>
        <w:t>Characterization of Biodiesel</w:t>
      </w:r>
      <w:bookmarkEnd w:id="275"/>
    </w:p>
    <w:p w14:paraId="294F9343" w14:textId="6932A970" w:rsidR="00ED5041" w:rsidRPr="00F629D3" w:rsidRDefault="00ED5041" w:rsidP="00ED5041">
      <w:pPr>
        <w:tabs>
          <w:tab w:val="left" w:pos="4970"/>
        </w:tabs>
        <w:spacing w:line="240" w:lineRule="auto"/>
        <w:jc w:val="both"/>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Comparison was carried out between the characteristics of the produced biodiesel at the optimized conditions and the ASTM D6571 and EN 14214 standards and the results are shown in Table 9. There is agreement between the results obtained and the ASTM D6571 and EN 14214 standards. The density was obtained as 0.863g/cm</w:t>
      </w:r>
      <w:r w:rsidRPr="00F629D3">
        <w:rPr>
          <w:rFonts w:ascii="Times New Roman" w:eastAsia="Times New Roman" w:hAnsi="Times New Roman" w:cs="Times New Roman"/>
          <w:color w:val="000000"/>
          <w:sz w:val="24"/>
          <w:szCs w:val="24"/>
          <w:vertAlign w:val="superscript"/>
        </w:rPr>
        <w:t xml:space="preserve">3. </w:t>
      </w:r>
      <w:r w:rsidRPr="00F629D3">
        <w:rPr>
          <w:rFonts w:ascii="Times New Roman" w:eastAsia="Times New Roman" w:hAnsi="Times New Roman" w:cs="Times New Roman"/>
          <w:color w:val="000000"/>
          <w:sz w:val="24"/>
          <w:szCs w:val="24"/>
        </w:rPr>
        <w:t xml:space="preserve">The recommended acid value is &lt;0.5 and the acid value of the produced biodiesel was determined as 0.266 mgKOH/g. This low value is an indication that there will be little or no corrosion problems associated with using the biodiesel as fuel </w:t>
      </w:r>
      <w:r w:rsidR="00A02098">
        <w:rPr>
          <w:rFonts w:ascii="Times New Roman" w:eastAsia="Times New Roman" w:hAnsi="Times New Roman" w:cs="Times New Roman"/>
          <w:color w:val="000000"/>
          <w:sz w:val="24"/>
          <w:szCs w:val="24"/>
        </w:rPr>
        <w:t>[</w:t>
      </w:r>
      <w:r w:rsidR="00C80904">
        <w:rPr>
          <w:rFonts w:ascii="Times New Roman" w:eastAsia="Times New Roman" w:hAnsi="Times New Roman" w:cs="Times New Roman"/>
          <w:color w:val="000000"/>
          <w:sz w:val="24"/>
          <w:szCs w:val="24"/>
        </w:rPr>
        <w:t>70</w:t>
      </w:r>
      <w:r w:rsidR="00A02098">
        <w:rPr>
          <w:rFonts w:ascii="Times New Roman" w:eastAsia="Times New Roman" w:hAnsi="Times New Roman" w:cs="Times New Roman"/>
          <w:color w:val="000000"/>
          <w:sz w:val="24"/>
          <w:szCs w:val="24"/>
        </w:rPr>
        <w:t>]</w:t>
      </w:r>
      <w:r w:rsidRPr="00F629D3">
        <w:rPr>
          <w:rFonts w:ascii="Times New Roman" w:eastAsia="Times New Roman" w:hAnsi="Times New Roman" w:cs="Times New Roman"/>
          <w:color w:val="000000"/>
          <w:sz w:val="24"/>
          <w:szCs w:val="24"/>
        </w:rPr>
        <w:fldChar w:fldCharType="begin" w:fldLock="1"/>
      </w:r>
      <w:r w:rsidR="001950EE">
        <w:rPr>
          <w:rFonts w:ascii="Times New Roman" w:eastAsia="Times New Roman" w:hAnsi="Times New Roman" w:cs="Times New Roman"/>
          <w:color w:val="000000"/>
          <w:sz w:val="24"/>
          <w:szCs w:val="24"/>
        </w:rPr>
        <w:instrText>ADDIN CSL_CITATION {"citationItems":[{"id":"ITEM-1","itemData":{"DOI":"10.1016/j.rser.2019.109574","ISSN":"18790690","abstract":"Nowadays, energy consumption is progressively boosting in all sectors because of the rising in population and enhancing lifestyle. The dependency over fossil-based fuels has been increasing due to the ever-growing need for energy. The declining characterization of such energy sources and the increment nature of energy demand have led to vital apprehensions of energy regarding future energy safety. Keeping this in mind, the usage of alternative fuels such as biodiesel can be one of the possible solutions in order to accomplish the future energy demand. In this context, the biodiesel production is an attractive way for researchers. Biodiesel is non-toxic, biodegradable and renewable fuel that can be produced from vegetable oils, animal fats and also their wastes by applying different techniques. Contrary to the advantages, the biggest disadvantage of biodiesel is that costs are largely dependent on the feedstock. Although it has the nature of the food, safflower (Carthamus tinctorius L.) can be utilized as a feedstock for biodiesel production because its oil consumption is limited and it can be grown in arid and dry areas all over the world. This review paper has presented a detailed overview of safflower plant, the physicochemical properties of safflower oil and its biodiesel, the performance, emission and combustion characteristics of the safflower oil biodiesel when used in a diesel engine. The findings of the present work revealed that biodiesel production from safflower oil is possible and the observations from the literature resulted in comparable fuel properties, engine performance and emission parameters with those of diesel.","author":[{"dropping-particle":"","family":"Yesilyurt","given":"Murat Kadir","non-dropping-particle":"","parse-names":false,"suffix":""},{"dropping-particle":"","family":"Cesur","given":"Cüneyt","non-dropping-particle":"","parse-names":false,"suffix":""},{"dropping-particle":"","family":"Aslan","given":"Volkan","non-dropping-particle":"","parse-names":false,"suffix":""},{"dropping-particle":"","family":"Yilbasi","given":"Zeki","non-dropping-particle":"","parse-names":false,"suffix":""}],"container-title":"Renewable and Sustainable Energy Reviews","id":"ITEM-1","issue":"109574","issued":{"date-parts":[["2020"]]},"publisher":"Elsevier Ltd","title":"The production of biodiesel from safflower (Carthamus tinctorius L.) oil as a potential feedstock and its usage in compression ignition engine: A comprehensive review","type":"article-journal","volume":"119"},"uris":["http://www.mendeley.com/documents/?uuid=7696e23f-6d69-4be4-b61e-319da935e012"]}],"mendeley":{"formattedCitation":"(Yesilyurt et al., 2020)","plainTextFormattedCitation":"(Yesilyurt et al., 2020)","previouslyFormattedCitation":"(Yesilyurt et al., 2020)"},"properties":{"noteIndex":0},"schema":"https://github.com/citation-style-language/schema/raw/master/csl-citation.json"}</w:instrText>
      </w:r>
      <w:r w:rsidRPr="00F629D3">
        <w:rPr>
          <w:rFonts w:ascii="Times New Roman" w:eastAsia="Times New Roman" w:hAnsi="Times New Roman" w:cs="Times New Roman"/>
          <w:color w:val="000000"/>
          <w:sz w:val="24"/>
          <w:szCs w:val="24"/>
        </w:rPr>
        <w:fldChar w:fldCharType="separate"/>
      </w:r>
      <w:r w:rsidRPr="00F629D3">
        <w:rPr>
          <w:rFonts w:ascii="Times New Roman" w:eastAsia="Times New Roman" w:hAnsi="Times New Roman" w:cs="Times New Roman"/>
          <w:color w:val="000000"/>
          <w:sz w:val="24"/>
          <w:szCs w:val="24"/>
        </w:rPr>
        <w:fldChar w:fldCharType="end"/>
      </w:r>
      <w:r w:rsidRPr="00F629D3">
        <w:rPr>
          <w:rFonts w:ascii="Times New Roman" w:eastAsia="Times New Roman" w:hAnsi="Times New Roman" w:cs="Times New Roman"/>
          <w:color w:val="000000"/>
          <w:sz w:val="24"/>
          <w:szCs w:val="24"/>
        </w:rPr>
        <w:t>. The FFA was obtained as 0.133%, while the sap value was gotten as 206.44 mgKOH/g. The iodine value was determined as 23.5 I</w:t>
      </w:r>
      <w:r w:rsidRPr="00F629D3">
        <w:rPr>
          <w:rFonts w:ascii="Times New Roman" w:eastAsia="Times New Roman" w:hAnsi="Times New Roman" w:cs="Times New Roman"/>
          <w:color w:val="000000"/>
          <w:sz w:val="24"/>
          <w:szCs w:val="24"/>
          <w:vertAlign w:val="subscript"/>
        </w:rPr>
        <w:t>2</w:t>
      </w:r>
      <w:r w:rsidRPr="00F629D3">
        <w:rPr>
          <w:rFonts w:ascii="Times New Roman" w:eastAsia="Times New Roman" w:hAnsi="Times New Roman" w:cs="Times New Roman"/>
          <w:color w:val="000000"/>
          <w:sz w:val="24"/>
          <w:szCs w:val="24"/>
        </w:rPr>
        <w:t>/100g, while the viscosity was found to be 3.60 mPa.s at 40</w:t>
      </w:r>
      <w:r w:rsidRPr="00F629D3">
        <w:rPr>
          <w:rFonts w:ascii="Times New Roman" w:eastAsia="Times New Roman" w:hAnsi="Times New Roman" w:cs="Times New Roman"/>
          <w:color w:val="000000"/>
          <w:sz w:val="24"/>
          <w:szCs w:val="24"/>
          <w:vertAlign w:val="superscript"/>
        </w:rPr>
        <w:t>o</w:t>
      </w:r>
      <w:r w:rsidRPr="00F629D3">
        <w:rPr>
          <w:rFonts w:ascii="Times New Roman" w:eastAsia="Times New Roman" w:hAnsi="Times New Roman" w:cs="Times New Roman"/>
          <w:color w:val="000000"/>
          <w:sz w:val="24"/>
          <w:szCs w:val="24"/>
        </w:rPr>
        <w:t>C, 30.0 RPM, 18.0%. The pour point, flash point and cloud point were determined as -5</w:t>
      </w:r>
      <w:r w:rsidRPr="00F629D3">
        <w:rPr>
          <w:rFonts w:ascii="Times New Roman" w:eastAsia="Times New Roman" w:hAnsi="Times New Roman" w:cs="Times New Roman"/>
          <w:color w:val="000000"/>
          <w:sz w:val="24"/>
          <w:szCs w:val="24"/>
          <w:vertAlign w:val="superscript"/>
        </w:rPr>
        <w:t xml:space="preserve"> o</w:t>
      </w:r>
      <w:r w:rsidRPr="00F629D3">
        <w:rPr>
          <w:rFonts w:ascii="Times New Roman" w:eastAsia="Times New Roman" w:hAnsi="Times New Roman" w:cs="Times New Roman"/>
          <w:color w:val="000000"/>
          <w:sz w:val="24"/>
          <w:szCs w:val="24"/>
        </w:rPr>
        <w:t>C, 179</w:t>
      </w:r>
      <w:r w:rsidRPr="00F629D3">
        <w:rPr>
          <w:rFonts w:ascii="Times New Roman" w:eastAsia="Times New Roman" w:hAnsi="Times New Roman" w:cs="Times New Roman"/>
          <w:color w:val="000000"/>
          <w:sz w:val="24"/>
          <w:szCs w:val="24"/>
          <w:vertAlign w:val="superscript"/>
        </w:rPr>
        <w:t xml:space="preserve"> o</w:t>
      </w:r>
      <w:r w:rsidRPr="00F629D3">
        <w:rPr>
          <w:rFonts w:ascii="Times New Roman" w:eastAsia="Times New Roman" w:hAnsi="Times New Roman" w:cs="Times New Roman"/>
          <w:color w:val="000000"/>
          <w:sz w:val="24"/>
          <w:szCs w:val="24"/>
        </w:rPr>
        <w:t xml:space="preserve">C and -6 </w:t>
      </w:r>
      <w:r w:rsidRPr="00F629D3">
        <w:rPr>
          <w:rFonts w:ascii="Times New Roman" w:eastAsia="Times New Roman" w:hAnsi="Times New Roman" w:cs="Times New Roman"/>
          <w:color w:val="000000"/>
          <w:sz w:val="24"/>
          <w:szCs w:val="24"/>
          <w:vertAlign w:val="superscript"/>
        </w:rPr>
        <w:t>o</w:t>
      </w:r>
      <w:r w:rsidRPr="00F629D3">
        <w:rPr>
          <w:rFonts w:ascii="Times New Roman" w:eastAsia="Times New Roman" w:hAnsi="Times New Roman" w:cs="Times New Roman"/>
          <w:color w:val="000000"/>
          <w:sz w:val="24"/>
          <w:szCs w:val="24"/>
        </w:rPr>
        <w:t xml:space="preserve">C respectively, while the cetane number and higher heating value were obtained as 67.44 and 40.64 respectively. </w:t>
      </w:r>
    </w:p>
    <w:p w14:paraId="6CD12F14" w14:textId="77777777" w:rsidR="00ED5041" w:rsidRDefault="00ED5041" w:rsidP="00ED5041">
      <w:pPr>
        <w:spacing w:line="240" w:lineRule="auto"/>
        <w:rPr>
          <w:rFonts w:ascii="Times New Roman" w:eastAsia="Times New Roman" w:hAnsi="Times New Roman" w:cs="Times New Roman"/>
          <w:color w:val="000000"/>
          <w:sz w:val="24"/>
          <w:szCs w:val="24"/>
        </w:rPr>
      </w:pPr>
    </w:p>
    <w:p w14:paraId="1B1E10B2" w14:textId="77777777" w:rsidR="00476E6F" w:rsidRDefault="00476E6F" w:rsidP="00ED5041">
      <w:pPr>
        <w:spacing w:line="240" w:lineRule="auto"/>
        <w:rPr>
          <w:rFonts w:ascii="Times New Roman" w:eastAsia="Times New Roman" w:hAnsi="Times New Roman" w:cs="Times New Roman"/>
          <w:b/>
          <w:color w:val="000000"/>
          <w:sz w:val="24"/>
          <w:szCs w:val="24"/>
        </w:rPr>
      </w:pPr>
    </w:p>
    <w:p w14:paraId="3D35C4D0" w14:textId="77777777" w:rsidR="00476E6F" w:rsidRDefault="00476E6F" w:rsidP="00ED5041">
      <w:pPr>
        <w:spacing w:line="240" w:lineRule="auto"/>
        <w:rPr>
          <w:rFonts w:ascii="Times New Roman" w:eastAsia="Times New Roman" w:hAnsi="Times New Roman" w:cs="Times New Roman"/>
          <w:b/>
          <w:color w:val="000000"/>
          <w:sz w:val="24"/>
          <w:szCs w:val="24"/>
        </w:rPr>
      </w:pPr>
    </w:p>
    <w:p w14:paraId="56A0D74E" w14:textId="77777777" w:rsidR="004F6664" w:rsidRPr="004D2B57" w:rsidRDefault="004F6664" w:rsidP="004F6664">
      <w:pPr>
        <w:spacing w:line="240" w:lineRule="auto"/>
        <w:rPr>
          <w:rFonts w:ascii="Times New Roman" w:eastAsia="Times New Roman" w:hAnsi="Times New Roman" w:cs="Times New Roman"/>
          <w:b/>
          <w:color w:val="000000"/>
          <w:sz w:val="24"/>
          <w:szCs w:val="24"/>
        </w:rPr>
      </w:pPr>
      <w:r w:rsidRPr="004D2B57">
        <w:rPr>
          <w:rFonts w:ascii="Times New Roman" w:eastAsia="Times New Roman" w:hAnsi="Times New Roman" w:cs="Times New Roman"/>
          <w:b/>
          <w:color w:val="000000"/>
          <w:sz w:val="24"/>
          <w:szCs w:val="24"/>
        </w:rPr>
        <w:lastRenderedPageBreak/>
        <w:t>Table 9: Properties of biodiesel</w:t>
      </w:r>
    </w:p>
    <w:tbl>
      <w:tblPr>
        <w:tblStyle w:val="TableGrid5"/>
        <w:tblW w:w="0" w:type="auto"/>
        <w:jc w:val="center"/>
        <w:tblLook w:val="04A0" w:firstRow="1" w:lastRow="0" w:firstColumn="1" w:lastColumn="0" w:noHBand="0" w:noVBand="1"/>
      </w:tblPr>
      <w:tblGrid>
        <w:gridCol w:w="3780"/>
        <w:gridCol w:w="1710"/>
        <w:gridCol w:w="1620"/>
        <w:gridCol w:w="1726"/>
      </w:tblGrid>
      <w:tr w:rsidR="004F6664" w:rsidRPr="00F629D3" w14:paraId="1A56B94C" w14:textId="77777777" w:rsidTr="008730A9">
        <w:trPr>
          <w:jc w:val="center"/>
        </w:trPr>
        <w:tc>
          <w:tcPr>
            <w:tcW w:w="3780" w:type="dxa"/>
          </w:tcPr>
          <w:p w14:paraId="7370A0E7" w14:textId="77777777" w:rsidR="004F6664" w:rsidRPr="00F629D3" w:rsidRDefault="004F6664" w:rsidP="008730A9">
            <w:pPr>
              <w:tabs>
                <w:tab w:val="left" w:pos="4970"/>
              </w:tabs>
              <w:rPr>
                <w:rFonts w:ascii="Times New Roman" w:eastAsia="Times New Roman" w:hAnsi="Times New Roman" w:cs="Times New Roman"/>
                <w:b/>
                <w:color w:val="000000"/>
                <w:sz w:val="24"/>
                <w:szCs w:val="24"/>
              </w:rPr>
            </w:pPr>
            <w:r w:rsidRPr="00F629D3">
              <w:rPr>
                <w:rFonts w:ascii="Times New Roman" w:eastAsia="Times New Roman" w:hAnsi="Times New Roman" w:cs="Times New Roman"/>
                <w:b/>
                <w:color w:val="000000"/>
                <w:sz w:val="24"/>
                <w:szCs w:val="24"/>
              </w:rPr>
              <w:t>Properties</w:t>
            </w:r>
          </w:p>
        </w:tc>
        <w:tc>
          <w:tcPr>
            <w:tcW w:w="1710" w:type="dxa"/>
          </w:tcPr>
          <w:p w14:paraId="42D9A864" w14:textId="77777777" w:rsidR="004F6664" w:rsidRPr="00F629D3" w:rsidRDefault="004F6664" w:rsidP="008730A9">
            <w:pPr>
              <w:tabs>
                <w:tab w:val="left" w:pos="4970"/>
              </w:tabs>
              <w:rPr>
                <w:rFonts w:ascii="Times New Roman" w:eastAsia="Times New Roman" w:hAnsi="Times New Roman" w:cs="Times New Roman"/>
                <w:b/>
                <w:color w:val="000000"/>
                <w:sz w:val="24"/>
                <w:szCs w:val="24"/>
              </w:rPr>
            </w:pPr>
            <w:r w:rsidRPr="00F629D3">
              <w:rPr>
                <w:rFonts w:ascii="Times New Roman" w:eastAsia="Times New Roman" w:hAnsi="Times New Roman" w:cs="Times New Roman"/>
                <w:b/>
                <w:color w:val="000000"/>
                <w:sz w:val="24"/>
                <w:szCs w:val="24"/>
              </w:rPr>
              <w:t>Biodiesel</w:t>
            </w:r>
          </w:p>
        </w:tc>
        <w:tc>
          <w:tcPr>
            <w:tcW w:w="1620" w:type="dxa"/>
          </w:tcPr>
          <w:p w14:paraId="331DE284" w14:textId="77777777" w:rsidR="004F6664" w:rsidRPr="00F629D3" w:rsidRDefault="004F6664" w:rsidP="008730A9">
            <w:pPr>
              <w:tabs>
                <w:tab w:val="left" w:pos="4970"/>
              </w:tabs>
              <w:rPr>
                <w:rFonts w:ascii="Times New Roman" w:eastAsia="Times New Roman" w:hAnsi="Times New Roman" w:cs="Times New Roman"/>
                <w:b/>
                <w:color w:val="000000"/>
                <w:sz w:val="24"/>
                <w:szCs w:val="24"/>
              </w:rPr>
            </w:pPr>
            <w:r w:rsidRPr="00F629D3">
              <w:rPr>
                <w:rFonts w:ascii="Times New Roman" w:eastAsia="Times New Roman" w:hAnsi="Times New Roman" w:cs="Times New Roman"/>
                <w:b/>
                <w:color w:val="000000"/>
                <w:sz w:val="24"/>
                <w:szCs w:val="24"/>
              </w:rPr>
              <w:t>ASTM D6751</w:t>
            </w:r>
          </w:p>
        </w:tc>
        <w:tc>
          <w:tcPr>
            <w:tcW w:w="1726" w:type="dxa"/>
          </w:tcPr>
          <w:p w14:paraId="1C87A1CB" w14:textId="77777777" w:rsidR="004F6664" w:rsidRPr="00F629D3" w:rsidRDefault="004F6664" w:rsidP="008730A9">
            <w:pPr>
              <w:tabs>
                <w:tab w:val="left" w:pos="4970"/>
              </w:tabs>
              <w:rPr>
                <w:rFonts w:ascii="Times New Roman" w:eastAsia="Times New Roman" w:hAnsi="Times New Roman" w:cs="Times New Roman"/>
                <w:b/>
                <w:color w:val="000000"/>
                <w:sz w:val="24"/>
                <w:szCs w:val="24"/>
              </w:rPr>
            </w:pPr>
            <w:r w:rsidRPr="00F629D3">
              <w:rPr>
                <w:rFonts w:ascii="Times New Roman" w:eastAsia="Times New Roman" w:hAnsi="Times New Roman" w:cs="Times New Roman"/>
                <w:b/>
                <w:color w:val="000000"/>
                <w:sz w:val="24"/>
                <w:szCs w:val="24"/>
              </w:rPr>
              <w:t>EN 14214</w:t>
            </w:r>
          </w:p>
        </w:tc>
      </w:tr>
      <w:tr w:rsidR="004F6664" w:rsidRPr="00F629D3" w14:paraId="3CFFD98C" w14:textId="77777777" w:rsidTr="008730A9">
        <w:trPr>
          <w:jc w:val="center"/>
        </w:trPr>
        <w:tc>
          <w:tcPr>
            <w:tcW w:w="3780" w:type="dxa"/>
          </w:tcPr>
          <w:p w14:paraId="0C0F5634"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Colour</w:t>
            </w:r>
          </w:p>
        </w:tc>
        <w:tc>
          <w:tcPr>
            <w:tcW w:w="1710" w:type="dxa"/>
          </w:tcPr>
          <w:p w14:paraId="436AC835"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Golden yellow</w:t>
            </w:r>
          </w:p>
        </w:tc>
        <w:tc>
          <w:tcPr>
            <w:tcW w:w="1620" w:type="dxa"/>
          </w:tcPr>
          <w:p w14:paraId="728F5F62"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014B3368"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r w:rsidR="004F6664" w:rsidRPr="00F629D3" w14:paraId="0C209188" w14:textId="77777777" w:rsidTr="008730A9">
        <w:trPr>
          <w:jc w:val="center"/>
        </w:trPr>
        <w:tc>
          <w:tcPr>
            <w:tcW w:w="3780" w:type="dxa"/>
          </w:tcPr>
          <w:p w14:paraId="3E49B59D" w14:textId="77777777" w:rsidR="004F6664" w:rsidRPr="00F629D3" w:rsidRDefault="004F6664" w:rsidP="008730A9">
            <w:pPr>
              <w:tabs>
                <w:tab w:val="left" w:pos="4970"/>
              </w:tabs>
              <w:rPr>
                <w:rFonts w:ascii="Times New Roman" w:eastAsia="Calibri" w:hAnsi="Times New Roman" w:cs="Times New Roman"/>
                <w:color w:val="000000"/>
                <w:sz w:val="24"/>
                <w:szCs w:val="24"/>
              </w:rPr>
            </w:pPr>
            <w:r w:rsidRPr="00F629D3">
              <w:rPr>
                <w:rFonts w:ascii="Times New Roman" w:eastAsia="Calibri" w:hAnsi="Times New Roman" w:cs="Times New Roman"/>
                <w:color w:val="000000"/>
                <w:sz w:val="24"/>
                <w:szCs w:val="24"/>
              </w:rPr>
              <w:t>Physical state at room temperature</w:t>
            </w:r>
          </w:p>
        </w:tc>
        <w:tc>
          <w:tcPr>
            <w:tcW w:w="1710" w:type="dxa"/>
          </w:tcPr>
          <w:p w14:paraId="2CC9209A"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Liquid</w:t>
            </w:r>
          </w:p>
        </w:tc>
        <w:tc>
          <w:tcPr>
            <w:tcW w:w="1620" w:type="dxa"/>
          </w:tcPr>
          <w:p w14:paraId="3AF4823F"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51357D9B"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r w:rsidR="004F6664" w:rsidRPr="00F629D3" w14:paraId="15D2CFBD" w14:textId="77777777" w:rsidTr="008730A9">
        <w:trPr>
          <w:jc w:val="center"/>
        </w:trPr>
        <w:tc>
          <w:tcPr>
            <w:tcW w:w="3780" w:type="dxa"/>
          </w:tcPr>
          <w:p w14:paraId="587BC94C"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Density (g/cm</w:t>
            </w:r>
            <w:r w:rsidRPr="00F629D3">
              <w:rPr>
                <w:rFonts w:ascii="Times New Roman" w:eastAsia="Calibri" w:hAnsi="Times New Roman" w:cs="Times New Roman"/>
                <w:color w:val="000000"/>
                <w:sz w:val="24"/>
                <w:szCs w:val="24"/>
                <w:vertAlign w:val="superscript"/>
              </w:rPr>
              <w:t>3</w:t>
            </w:r>
            <w:r w:rsidRPr="00F629D3">
              <w:rPr>
                <w:rFonts w:ascii="Times New Roman" w:eastAsia="Calibri" w:hAnsi="Times New Roman" w:cs="Times New Roman"/>
                <w:color w:val="000000"/>
                <w:sz w:val="24"/>
                <w:szCs w:val="24"/>
              </w:rPr>
              <w:t>)</w:t>
            </w:r>
          </w:p>
        </w:tc>
        <w:tc>
          <w:tcPr>
            <w:tcW w:w="1710" w:type="dxa"/>
          </w:tcPr>
          <w:p w14:paraId="1FE65FF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0.863</w:t>
            </w:r>
          </w:p>
        </w:tc>
        <w:tc>
          <w:tcPr>
            <w:tcW w:w="1620" w:type="dxa"/>
          </w:tcPr>
          <w:p w14:paraId="63FC947E"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6BD99916"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r w:rsidR="004F6664" w:rsidRPr="00F629D3" w14:paraId="5921F1D4" w14:textId="77777777" w:rsidTr="008730A9">
        <w:trPr>
          <w:jc w:val="center"/>
        </w:trPr>
        <w:tc>
          <w:tcPr>
            <w:tcW w:w="3780" w:type="dxa"/>
          </w:tcPr>
          <w:p w14:paraId="53784B1E"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Acid value (</w:t>
            </w:r>
            <w:r w:rsidRPr="00F629D3">
              <w:rPr>
                <w:rFonts w:ascii="Times New Roman" w:eastAsia="Times New Roman" w:hAnsi="Times New Roman" w:cs="Times New Roman"/>
                <w:color w:val="000000"/>
                <w:sz w:val="24"/>
                <w:szCs w:val="24"/>
              </w:rPr>
              <w:t>mgKOH/g</w:t>
            </w:r>
            <w:r w:rsidRPr="00F629D3">
              <w:rPr>
                <w:rFonts w:ascii="Times New Roman" w:eastAsia="Calibri" w:hAnsi="Times New Roman" w:cs="Times New Roman"/>
                <w:color w:val="000000"/>
                <w:sz w:val="24"/>
                <w:szCs w:val="24"/>
              </w:rPr>
              <w:t>)</w:t>
            </w:r>
          </w:p>
        </w:tc>
        <w:tc>
          <w:tcPr>
            <w:tcW w:w="1710" w:type="dxa"/>
          </w:tcPr>
          <w:p w14:paraId="48E6A65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 xml:space="preserve">0.266 </w:t>
            </w:r>
          </w:p>
        </w:tc>
        <w:tc>
          <w:tcPr>
            <w:tcW w:w="1620" w:type="dxa"/>
          </w:tcPr>
          <w:p w14:paraId="5388861D"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&lt;0.5</w:t>
            </w:r>
          </w:p>
        </w:tc>
        <w:tc>
          <w:tcPr>
            <w:tcW w:w="1726" w:type="dxa"/>
          </w:tcPr>
          <w:p w14:paraId="378DE1F3"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&lt;0.5</w:t>
            </w:r>
          </w:p>
        </w:tc>
      </w:tr>
      <w:tr w:rsidR="004F6664" w:rsidRPr="00F629D3" w14:paraId="098FB4DE" w14:textId="77777777" w:rsidTr="008730A9">
        <w:trPr>
          <w:jc w:val="center"/>
        </w:trPr>
        <w:tc>
          <w:tcPr>
            <w:tcW w:w="3780" w:type="dxa"/>
          </w:tcPr>
          <w:p w14:paraId="064747F5"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Free fatty acid (%)</w:t>
            </w:r>
          </w:p>
        </w:tc>
        <w:tc>
          <w:tcPr>
            <w:tcW w:w="1710" w:type="dxa"/>
          </w:tcPr>
          <w:p w14:paraId="77A031BB"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0.133</w:t>
            </w:r>
          </w:p>
        </w:tc>
        <w:tc>
          <w:tcPr>
            <w:tcW w:w="1620" w:type="dxa"/>
          </w:tcPr>
          <w:p w14:paraId="57A0C7D2"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4E1EAAEA"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r w:rsidR="004F6664" w:rsidRPr="00F629D3" w14:paraId="118A4CE4" w14:textId="77777777" w:rsidTr="008730A9">
        <w:trPr>
          <w:jc w:val="center"/>
        </w:trPr>
        <w:tc>
          <w:tcPr>
            <w:tcW w:w="3780" w:type="dxa"/>
          </w:tcPr>
          <w:p w14:paraId="691A64AA"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Saponification value (</w:t>
            </w:r>
            <w:r w:rsidRPr="00F629D3">
              <w:rPr>
                <w:rFonts w:ascii="Times New Roman" w:eastAsia="Times New Roman" w:hAnsi="Times New Roman" w:cs="Times New Roman"/>
                <w:color w:val="000000"/>
                <w:sz w:val="24"/>
                <w:szCs w:val="24"/>
              </w:rPr>
              <w:t>mgKOH/g</w:t>
            </w:r>
            <w:r w:rsidRPr="00F629D3">
              <w:rPr>
                <w:rFonts w:ascii="Times New Roman" w:eastAsia="Calibri" w:hAnsi="Times New Roman" w:cs="Times New Roman"/>
                <w:color w:val="000000"/>
                <w:sz w:val="24"/>
                <w:szCs w:val="24"/>
              </w:rPr>
              <w:t>)</w:t>
            </w:r>
          </w:p>
        </w:tc>
        <w:tc>
          <w:tcPr>
            <w:tcW w:w="1710" w:type="dxa"/>
          </w:tcPr>
          <w:p w14:paraId="3494BA8E"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206.44</w:t>
            </w:r>
          </w:p>
        </w:tc>
        <w:tc>
          <w:tcPr>
            <w:tcW w:w="1620" w:type="dxa"/>
          </w:tcPr>
          <w:p w14:paraId="48C5A98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6205BF57"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r w:rsidR="004F6664" w:rsidRPr="00F629D3" w14:paraId="4F637AC8" w14:textId="77777777" w:rsidTr="008730A9">
        <w:trPr>
          <w:jc w:val="center"/>
        </w:trPr>
        <w:tc>
          <w:tcPr>
            <w:tcW w:w="3780" w:type="dxa"/>
          </w:tcPr>
          <w:p w14:paraId="01B489F8"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Iodine value (I</w:t>
            </w:r>
            <w:r w:rsidRPr="00F629D3">
              <w:rPr>
                <w:rFonts w:ascii="Times New Roman" w:eastAsia="Calibri" w:hAnsi="Times New Roman" w:cs="Times New Roman"/>
                <w:color w:val="000000"/>
                <w:sz w:val="24"/>
                <w:szCs w:val="24"/>
                <w:vertAlign w:val="subscript"/>
              </w:rPr>
              <w:t>2</w:t>
            </w:r>
            <w:r w:rsidRPr="00F629D3">
              <w:rPr>
                <w:rFonts w:ascii="Times New Roman" w:eastAsia="Calibri" w:hAnsi="Times New Roman" w:cs="Times New Roman"/>
                <w:color w:val="000000"/>
                <w:sz w:val="24"/>
                <w:szCs w:val="24"/>
              </w:rPr>
              <w:t>/100g)</w:t>
            </w:r>
          </w:p>
        </w:tc>
        <w:tc>
          <w:tcPr>
            <w:tcW w:w="1710" w:type="dxa"/>
          </w:tcPr>
          <w:p w14:paraId="061D98FC"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23 .5</w:t>
            </w:r>
          </w:p>
        </w:tc>
        <w:tc>
          <w:tcPr>
            <w:tcW w:w="1620" w:type="dxa"/>
          </w:tcPr>
          <w:p w14:paraId="38829D45"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05D82080"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&lt;120</w:t>
            </w:r>
          </w:p>
        </w:tc>
      </w:tr>
      <w:tr w:rsidR="004F6664" w:rsidRPr="00F629D3" w14:paraId="1B81CA6F" w14:textId="77777777" w:rsidTr="008730A9">
        <w:trPr>
          <w:jc w:val="center"/>
        </w:trPr>
        <w:tc>
          <w:tcPr>
            <w:tcW w:w="3780" w:type="dxa"/>
          </w:tcPr>
          <w:p w14:paraId="366A31E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V</w:t>
            </w:r>
            <w:r w:rsidRPr="00F629D3">
              <w:rPr>
                <w:rFonts w:ascii="Times New Roman" w:eastAsia="Calibri" w:hAnsi="Times New Roman" w:cs="Times New Roman"/>
                <w:color w:val="000000"/>
                <w:sz w:val="24"/>
                <w:szCs w:val="24"/>
              </w:rPr>
              <w:t xml:space="preserve">iscosity @ 40 </w:t>
            </w:r>
            <w:r w:rsidRPr="00F629D3">
              <w:rPr>
                <w:rFonts w:ascii="Times New Roman" w:eastAsia="Calibri" w:hAnsi="Times New Roman" w:cs="Times New Roman"/>
                <w:color w:val="000000"/>
                <w:sz w:val="24"/>
                <w:szCs w:val="24"/>
                <w:vertAlign w:val="superscript"/>
              </w:rPr>
              <w:t>o</w:t>
            </w:r>
            <w:r w:rsidRPr="00F629D3">
              <w:rPr>
                <w:rFonts w:ascii="Times New Roman" w:eastAsia="Calibri" w:hAnsi="Times New Roman" w:cs="Times New Roman"/>
                <w:color w:val="000000"/>
                <w:sz w:val="24"/>
                <w:szCs w:val="24"/>
              </w:rPr>
              <w:t xml:space="preserve">C (mPa.s) </w:t>
            </w:r>
          </w:p>
        </w:tc>
        <w:tc>
          <w:tcPr>
            <w:tcW w:w="1710" w:type="dxa"/>
          </w:tcPr>
          <w:p w14:paraId="230976A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3.6</w:t>
            </w:r>
          </w:p>
        </w:tc>
        <w:tc>
          <w:tcPr>
            <w:tcW w:w="1620" w:type="dxa"/>
          </w:tcPr>
          <w:p w14:paraId="3D1A0205"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1.9 to 6.0</w:t>
            </w:r>
          </w:p>
        </w:tc>
        <w:tc>
          <w:tcPr>
            <w:tcW w:w="1726" w:type="dxa"/>
          </w:tcPr>
          <w:p w14:paraId="29CC3E61"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3.5 to 5.0</w:t>
            </w:r>
          </w:p>
        </w:tc>
      </w:tr>
      <w:tr w:rsidR="004F6664" w:rsidRPr="00F629D3" w14:paraId="100567A9" w14:textId="77777777" w:rsidTr="008730A9">
        <w:trPr>
          <w:jc w:val="center"/>
        </w:trPr>
        <w:tc>
          <w:tcPr>
            <w:tcW w:w="3780" w:type="dxa"/>
          </w:tcPr>
          <w:p w14:paraId="5D3FCAD5"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Pour point (</w:t>
            </w:r>
            <w:r w:rsidRPr="00F629D3">
              <w:rPr>
                <w:rFonts w:ascii="Times New Roman" w:eastAsia="Calibri" w:hAnsi="Times New Roman" w:cs="Times New Roman"/>
                <w:color w:val="000000"/>
                <w:sz w:val="24"/>
                <w:szCs w:val="24"/>
                <w:vertAlign w:val="superscript"/>
              </w:rPr>
              <w:t>o</w:t>
            </w:r>
            <w:r w:rsidRPr="00F629D3">
              <w:rPr>
                <w:rFonts w:ascii="Times New Roman" w:eastAsia="Calibri" w:hAnsi="Times New Roman" w:cs="Times New Roman"/>
                <w:color w:val="000000"/>
                <w:sz w:val="24"/>
                <w:szCs w:val="24"/>
              </w:rPr>
              <w:t>C)</w:t>
            </w:r>
          </w:p>
        </w:tc>
        <w:tc>
          <w:tcPr>
            <w:tcW w:w="1710" w:type="dxa"/>
          </w:tcPr>
          <w:p w14:paraId="7355244B"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-5</w:t>
            </w:r>
          </w:p>
        </w:tc>
        <w:tc>
          <w:tcPr>
            <w:tcW w:w="1620" w:type="dxa"/>
          </w:tcPr>
          <w:p w14:paraId="245E4610"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&lt;0</w:t>
            </w:r>
          </w:p>
        </w:tc>
        <w:tc>
          <w:tcPr>
            <w:tcW w:w="1726" w:type="dxa"/>
          </w:tcPr>
          <w:p w14:paraId="4FB28E2E"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&lt;0</w:t>
            </w:r>
          </w:p>
        </w:tc>
      </w:tr>
      <w:tr w:rsidR="004F6664" w:rsidRPr="00F629D3" w14:paraId="7F156CAE" w14:textId="77777777" w:rsidTr="008730A9">
        <w:trPr>
          <w:jc w:val="center"/>
        </w:trPr>
        <w:tc>
          <w:tcPr>
            <w:tcW w:w="3780" w:type="dxa"/>
          </w:tcPr>
          <w:p w14:paraId="3A6675EB"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Flash point (</w:t>
            </w:r>
            <w:r w:rsidRPr="00F629D3">
              <w:rPr>
                <w:rFonts w:ascii="Times New Roman" w:eastAsia="Calibri" w:hAnsi="Times New Roman" w:cs="Times New Roman"/>
                <w:color w:val="000000"/>
                <w:sz w:val="24"/>
                <w:szCs w:val="24"/>
                <w:vertAlign w:val="superscript"/>
              </w:rPr>
              <w:t>o</w:t>
            </w:r>
            <w:r w:rsidRPr="00F629D3">
              <w:rPr>
                <w:rFonts w:ascii="Times New Roman" w:eastAsia="Calibri" w:hAnsi="Times New Roman" w:cs="Times New Roman"/>
                <w:color w:val="000000"/>
                <w:sz w:val="24"/>
                <w:szCs w:val="24"/>
              </w:rPr>
              <w:t>C)</w:t>
            </w:r>
          </w:p>
        </w:tc>
        <w:tc>
          <w:tcPr>
            <w:tcW w:w="1710" w:type="dxa"/>
          </w:tcPr>
          <w:p w14:paraId="07C682B4"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179</w:t>
            </w:r>
          </w:p>
        </w:tc>
        <w:tc>
          <w:tcPr>
            <w:tcW w:w="1620" w:type="dxa"/>
          </w:tcPr>
          <w:p w14:paraId="6590EE0F"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&gt;130</w:t>
            </w:r>
          </w:p>
        </w:tc>
        <w:tc>
          <w:tcPr>
            <w:tcW w:w="1726" w:type="dxa"/>
          </w:tcPr>
          <w:p w14:paraId="040997E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&gt;120</w:t>
            </w:r>
          </w:p>
        </w:tc>
      </w:tr>
      <w:tr w:rsidR="004F6664" w:rsidRPr="00F629D3" w14:paraId="773BC1FE" w14:textId="77777777" w:rsidTr="008730A9">
        <w:trPr>
          <w:jc w:val="center"/>
        </w:trPr>
        <w:tc>
          <w:tcPr>
            <w:tcW w:w="3780" w:type="dxa"/>
          </w:tcPr>
          <w:p w14:paraId="73F74166"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Cloud point (</w:t>
            </w:r>
            <w:r w:rsidRPr="00F629D3">
              <w:rPr>
                <w:rFonts w:ascii="Times New Roman" w:eastAsia="Calibri" w:hAnsi="Times New Roman" w:cs="Times New Roman"/>
                <w:color w:val="000000"/>
                <w:sz w:val="24"/>
                <w:szCs w:val="24"/>
                <w:vertAlign w:val="superscript"/>
              </w:rPr>
              <w:t>o</w:t>
            </w:r>
            <w:r w:rsidRPr="00F629D3">
              <w:rPr>
                <w:rFonts w:ascii="Times New Roman" w:eastAsia="Calibri" w:hAnsi="Times New Roman" w:cs="Times New Roman"/>
                <w:color w:val="000000"/>
                <w:sz w:val="24"/>
                <w:szCs w:val="24"/>
              </w:rPr>
              <w:t>C)</w:t>
            </w:r>
          </w:p>
        </w:tc>
        <w:tc>
          <w:tcPr>
            <w:tcW w:w="1710" w:type="dxa"/>
          </w:tcPr>
          <w:p w14:paraId="6F94DF5C"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-6</w:t>
            </w:r>
          </w:p>
        </w:tc>
        <w:tc>
          <w:tcPr>
            <w:tcW w:w="1620" w:type="dxa"/>
          </w:tcPr>
          <w:p w14:paraId="3D49CF9F"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53AEE2B3"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r w:rsidR="004F6664" w:rsidRPr="00F629D3" w14:paraId="4FF76BD0" w14:textId="77777777" w:rsidTr="008730A9">
        <w:trPr>
          <w:jc w:val="center"/>
        </w:trPr>
        <w:tc>
          <w:tcPr>
            <w:tcW w:w="3780" w:type="dxa"/>
          </w:tcPr>
          <w:p w14:paraId="4A8E2CBA"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Cetane number</w:t>
            </w:r>
          </w:p>
        </w:tc>
        <w:tc>
          <w:tcPr>
            <w:tcW w:w="1710" w:type="dxa"/>
          </w:tcPr>
          <w:p w14:paraId="4B56B45C"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67.44</w:t>
            </w:r>
          </w:p>
        </w:tc>
        <w:tc>
          <w:tcPr>
            <w:tcW w:w="1620" w:type="dxa"/>
          </w:tcPr>
          <w:p w14:paraId="585210A0"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≥47</w:t>
            </w:r>
          </w:p>
        </w:tc>
        <w:tc>
          <w:tcPr>
            <w:tcW w:w="1726" w:type="dxa"/>
          </w:tcPr>
          <w:p w14:paraId="5F54B6D8"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≥51</w:t>
            </w:r>
          </w:p>
        </w:tc>
      </w:tr>
      <w:tr w:rsidR="004F6664" w:rsidRPr="00F629D3" w14:paraId="6C0FE24A" w14:textId="77777777" w:rsidTr="008730A9">
        <w:trPr>
          <w:jc w:val="center"/>
        </w:trPr>
        <w:tc>
          <w:tcPr>
            <w:tcW w:w="3780" w:type="dxa"/>
          </w:tcPr>
          <w:p w14:paraId="61EFE141" w14:textId="77777777" w:rsidR="004F6664" w:rsidRPr="00F629D3" w:rsidRDefault="004F6664" w:rsidP="008730A9">
            <w:pPr>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Higher heating value</w:t>
            </w:r>
          </w:p>
        </w:tc>
        <w:tc>
          <w:tcPr>
            <w:tcW w:w="1710" w:type="dxa"/>
          </w:tcPr>
          <w:p w14:paraId="4AA15A85"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40.64</w:t>
            </w:r>
          </w:p>
        </w:tc>
        <w:tc>
          <w:tcPr>
            <w:tcW w:w="1620" w:type="dxa"/>
          </w:tcPr>
          <w:p w14:paraId="2B1A8D57"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34AD0119"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≥35</w:t>
            </w:r>
          </w:p>
        </w:tc>
      </w:tr>
      <w:tr w:rsidR="004F6664" w:rsidRPr="00F629D3" w14:paraId="1A7B7701" w14:textId="77777777" w:rsidTr="008730A9">
        <w:trPr>
          <w:jc w:val="center"/>
        </w:trPr>
        <w:tc>
          <w:tcPr>
            <w:tcW w:w="3780" w:type="dxa"/>
          </w:tcPr>
          <w:p w14:paraId="3869124A"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Calibri" w:hAnsi="Times New Roman" w:cs="Times New Roman"/>
                <w:color w:val="000000"/>
                <w:sz w:val="24"/>
                <w:szCs w:val="24"/>
              </w:rPr>
              <w:t>Aniline point</w:t>
            </w:r>
          </w:p>
        </w:tc>
        <w:tc>
          <w:tcPr>
            <w:tcW w:w="1710" w:type="dxa"/>
          </w:tcPr>
          <w:p w14:paraId="31EF7FD1"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81</w:t>
            </w:r>
          </w:p>
        </w:tc>
        <w:tc>
          <w:tcPr>
            <w:tcW w:w="1620" w:type="dxa"/>
          </w:tcPr>
          <w:p w14:paraId="4C075416"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c>
          <w:tcPr>
            <w:tcW w:w="1726" w:type="dxa"/>
          </w:tcPr>
          <w:p w14:paraId="50319DB1" w14:textId="77777777" w:rsidR="004F6664" w:rsidRPr="00F629D3" w:rsidRDefault="004F6664" w:rsidP="008730A9">
            <w:pPr>
              <w:tabs>
                <w:tab w:val="left" w:pos="4970"/>
              </w:tabs>
              <w:rPr>
                <w:rFonts w:ascii="Times New Roman" w:eastAsia="Times New Roman" w:hAnsi="Times New Roman" w:cs="Times New Roman"/>
                <w:color w:val="000000"/>
                <w:sz w:val="24"/>
                <w:szCs w:val="24"/>
              </w:rPr>
            </w:pPr>
            <w:r w:rsidRPr="00F629D3">
              <w:rPr>
                <w:rFonts w:ascii="Times New Roman" w:eastAsia="Times New Roman" w:hAnsi="Times New Roman" w:cs="Times New Roman"/>
                <w:color w:val="000000"/>
                <w:sz w:val="24"/>
                <w:szCs w:val="24"/>
              </w:rPr>
              <w:t>Not specified</w:t>
            </w:r>
          </w:p>
        </w:tc>
      </w:tr>
    </w:tbl>
    <w:p w14:paraId="256D1902" w14:textId="77777777" w:rsidR="00ED5041" w:rsidRPr="00F629D3" w:rsidRDefault="00ED5041" w:rsidP="00ED5041">
      <w:pPr>
        <w:spacing w:line="240" w:lineRule="auto"/>
        <w:jc w:val="both"/>
        <w:rPr>
          <w:rFonts w:ascii="Times New Roman" w:eastAsia="Calibri" w:hAnsi="Times New Roman" w:cs="Times New Roman"/>
          <w:b/>
          <w:color w:val="000000"/>
          <w:sz w:val="24"/>
          <w:szCs w:val="24"/>
          <w:lang w:val="en-GB"/>
        </w:rPr>
      </w:pPr>
    </w:p>
    <w:p w14:paraId="65651ECB" w14:textId="77777777" w:rsidR="00ED5041" w:rsidRPr="00F629D3" w:rsidRDefault="00ED5041" w:rsidP="00ED5041">
      <w:pPr>
        <w:spacing w:line="240" w:lineRule="auto"/>
        <w:jc w:val="both"/>
        <w:rPr>
          <w:rFonts w:ascii="Times New Roman" w:eastAsia="Times New Roman" w:hAnsi="Times New Roman" w:cs="Times New Roman"/>
          <w:sz w:val="24"/>
          <w:szCs w:val="24"/>
        </w:rPr>
      </w:pPr>
      <w:r w:rsidRPr="00F629D3">
        <w:rPr>
          <w:rFonts w:ascii="Times New Roman" w:eastAsia="Calibri" w:hAnsi="Times New Roman" w:cs="Times New Roman"/>
          <w:sz w:val="24"/>
          <w:szCs w:val="24"/>
        </w:rPr>
        <w:t xml:space="preserve">Table10 displays </w:t>
      </w:r>
      <w:r w:rsidRPr="00F629D3">
        <w:rPr>
          <w:rFonts w:ascii="Times New Roman" w:eastAsia="Times New Roman" w:hAnsi="Times New Roman" w:cs="Times New Roman"/>
          <w:color w:val="000000"/>
          <w:sz w:val="24"/>
          <w:szCs w:val="24"/>
        </w:rPr>
        <w:t xml:space="preserve">the </w:t>
      </w:r>
      <w:r w:rsidRPr="00F629D3">
        <w:rPr>
          <w:rFonts w:ascii="Times New Roman" w:eastAsia="Calibri" w:hAnsi="Times New Roman" w:cs="Times New Roman"/>
          <w:bCs/>
          <w:color w:val="000000"/>
          <w:sz w:val="24"/>
          <w:szCs w:val="24"/>
          <w:lang w:val="en-GB"/>
        </w:rPr>
        <w:t>major identified FAME Components of the produced biodiesel</w:t>
      </w:r>
      <w:r w:rsidRPr="00F629D3">
        <w:rPr>
          <w:rFonts w:ascii="Times New Roman" w:eastAsia="Calibri" w:hAnsi="Times New Roman" w:cs="Times New Roman"/>
          <w:sz w:val="24"/>
          <w:szCs w:val="24"/>
        </w:rPr>
        <w:t xml:space="preserve">. The FAME was dominated by oleic acid (44.5%), lauric acid (28.17%), palmitic acid (11.3%), stearic acid (8.81%), myristic acid (0.58%), and linoleic acid (0.48%). Other non-FAME components, such as phthalates (contaminants) and squalene were detected in the sample in proportion of 0.83% and 0.64% respectively. </w:t>
      </w:r>
      <w:r w:rsidRPr="00F629D3">
        <w:rPr>
          <w:rFonts w:ascii="Times New Roman" w:eastAsia="Calibri" w:hAnsi="Times New Roman" w:cs="Times New Roman"/>
          <w:bCs/>
          <w:color w:val="000000"/>
          <w:sz w:val="24"/>
          <w:szCs w:val="24"/>
          <w:lang w:val="en-GB"/>
        </w:rPr>
        <w:t xml:space="preserve">The presence of saturated components in the sample contributes to good oxidative stability and high cetane number of the biodiesel while the presence of the monounsaturated components suggests moderate cold flow properties. </w:t>
      </w:r>
    </w:p>
    <w:p w14:paraId="32773D89" w14:textId="77777777" w:rsidR="007553A6" w:rsidRPr="004D2B57" w:rsidRDefault="007553A6" w:rsidP="007553A6">
      <w:pPr>
        <w:spacing w:line="240" w:lineRule="auto"/>
        <w:jc w:val="both"/>
        <w:rPr>
          <w:rFonts w:ascii="Times New Roman" w:eastAsia="Calibri" w:hAnsi="Times New Roman" w:cs="Times New Roman"/>
          <w:b/>
          <w:bCs/>
          <w:color w:val="000000"/>
          <w:sz w:val="24"/>
          <w:szCs w:val="24"/>
          <w:lang w:val="en-GB"/>
        </w:rPr>
      </w:pPr>
      <w:r w:rsidRPr="004D2B57">
        <w:rPr>
          <w:rFonts w:ascii="Times New Roman" w:eastAsia="Times New Roman" w:hAnsi="Times New Roman" w:cs="Times New Roman"/>
          <w:b/>
          <w:color w:val="000000"/>
          <w:sz w:val="24"/>
          <w:szCs w:val="24"/>
        </w:rPr>
        <w:t xml:space="preserve">Table 10: </w:t>
      </w:r>
      <w:r w:rsidRPr="004D2B57">
        <w:rPr>
          <w:rFonts w:ascii="Times New Roman" w:eastAsia="Calibri" w:hAnsi="Times New Roman" w:cs="Times New Roman"/>
          <w:b/>
          <w:bCs/>
          <w:color w:val="000000"/>
          <w:sz w:val="24"/>
          <w:szCs w:val="24"/>
          <w:lang w:val="en-GB"/>
        </w:rPr>
        <w:t>Major Identified FAME Components (Desired Biodiesel Products)</w:t>
      </w:r>
    </w:p>
    <w:tbl>
      <w:tblPr>
        <w:tblStyle w:val="TableGrid5"/>
        <w:tblW w:w="0" w:type="auto"/>
        <w:jc w:val="center"/>
        <w:tblLook w:val="04A0" w:firstRow="1" w:lastRow="0" w:firstColumn="1" w:lastColumn="0" w:noHBand="0" w:noVBand="1"/>
      </w:tblPr>
      <w:tblGrid>
        <w:gridCol w:w="2820"/>
        <w:gridCol w:w="2095"/>
        <w:gridCol w:w="2915"/>
        <w:gridCol w:w="2160"/>
      </w:tblGrid>
      <w:tr w:rsidR="007553A6" w:rsidRPr="00F629D3" w14:paraId="2CE4F0D8" w14:textId="77777777" w:rsidTr="008730A9">
        <w:trPr>
          <w:jc w:val="center"/>
        </w:trPr>
        <w:tc>
          <w:tcPr>
            <w:tcW w:w="2820" w:type="dxa"/>
          </w:tcPr>
          <w:p w14:paraId="238078DB" w14:textId="77777777" w:rsidR="007553A6" w:rsidRPr="00F629D3" w:rsidRDefault="007553A6" w:rsidP="008730A9">
            <w:pPr>
              <w:rPr>
                <w:rFonts w:ascii="Times New Roman" w:eastAsia="Calibri" w:hAnsi="Times New Roman" w:cs="Times New Roman"/>
                <w:b/>
                <w:bCs/>
                <w:color w:val="000000"/>
                <w:sz w:val="24"/>
                <w:szCs w:val="24"/>
              </w:rPr>
            </w:pPr>
            <w:r w:rsidRPr="00F629D3">
              <w:rPr>
                <w:rFonts w:ascii="Times New Roman" w:eastAsia="Calibri" w:hAnsi="Times New Roman" w:cs="Times New Roman"/>
                <w:b/>
                <w:bCs/>
                <w:color w:val="000000"/>
                <w:sz w:val="24"/>
                <w:szCs w:val="24"/>
              </w:rPr>
              <w:t>Fatty acid</w:t>
            </w:r>
          </w:p>
        </w:tc>
        <w:tc>
          <w:tcPr>
            <w:tcW w:w="2095" w:type="dxa"/>
          </w:tcPr>
          <w:p w14:paraId="12A91E80" w14:textId="77777777" w:rsidR="007553A6" w:rsidRPr="00F629D3" w:rsidRDefault="007553A6" w:rsidP="008730A9">
            <w:pPr>
              <w:rPr>
                <w:rFonts w:ascii="Times New Roman" w:eastAsia="Calibri" w:hAnsi="Times New Roman" w:cs="Times New Roman"/>
                <w:b/>
                <w:bCs/>
                <w:color w:val="000000"/>
                <w:sz w:val="24"/>
                <w:szCs w:val="24"/>
              </w:rPr>
            </w:pPr>
            <w:r w:rsidRPr="00F629D3">
              <w:rPr>
                <w:rFonts w:ascii="Times New Roman" w:eastAsia="Calibri" w:hAnsi="Times New Roman" w:cs="Times New Roman"/>
                <w:b/>
                <w:bCs/>
                <w:color w:val="000000"/>
                <w:sz w:val="24"/>
                <w:szCs w:val="24"/>
              </w:rPr>
              <w:t>Chemical formula</w:t>
            </w:r>
          </w:p>
        </w:tc>
        <w:tc>
          <w:tcPr>
            <w:tcW w:w="2915" w:type="dxa"/>
          </w:tcPr>
          <w:p w14:paraId="7D03C16B" w14:textId="77777777" w:rsidR="007553A6" w:rsidRPr="00F629D3" w:rsidRDefault="007553A6" w:rsidP="008730A9">
            <w:pPr>
              <w:rPr>
                <w:rFonts w:ascii="Times New Roman" w:eastAsia="Calibri" w:hAnsi="Times New Roman" w:cs="Times New Roman"/>
                <w:b/>
                <w:bCs/>
                <w:color w:val="000000"/>
                <w:sz w:val="24"/>
                <w:szCs w:val="24"/>
              </w:rPr>
            </w:pPr>
            <w:r w:rsidRPr="00F629D3">
              <w:rPr>
                <w:rFonts w:ascii="Times New Roman" w:eastAsia="Calibri" w:hAnsi="Times New Roman" w:cs="Times New Roman"/>
                <w:b/>
                <w:bCs/>
                <w:color w:val="000000"/>
                <w:sz w:val="24"/>
                <w:szCs w:val="24"/>
              </w:rPr>
              <w:t>Nature</w:t>
            </w:r>
          </w:p>
        </w:tc>
        <w:tc>
          <w:tcPr>
            <w:tcW w:w="2160" w:type="dxa"/>
          </w:tcPr>
          <w:p w14:paraId="14200ED0" w14:textId="77777777" w:rsidR="007553A6" w:rsidRPr="00F629D3" w:rsidRDefault="007553A6" w:rsidP="008730A9">
            <w:pPr>
              <w:rPr>
                <w:rFonts w:ascii="Times New Roman" w:eastAsia="Calibri" w:hAnsi="Times New Roman" w:cs="Times New Roman"/>
                <w:b/>
                <w:bCs/>
                <w:color w:val="000000"/>
                <w:sz w:val="24"/>
                <w:szCs w:val="24"/>
              </w:rPr>
            </w:pPr>
            <w:r w:rsidRPr="00F629D3">
              <w:rPr>
                <w:rFonts w:ascii="Times New Roman" w:eastAsia="Calibri" w:hAnsi="Times New Roman" w:cs="Times New Roman"/>
                <w:b/>
                <w:bCs/>
                <w:color w:val="000000"/>
                <w:sz w:val="24"/>
                <w:szCs w:val="24"/>
              </w:rPr>
              <w:t>Composition (%)</w:t>
            </w:r>
          </w:p>
        </w:tc>
      </w:tr>
      <w:tr w:rsidR="007553A6" w:rsidRPr="00F629D3" w14:paraId="51B38480" w14:textId="77777777" w:rsidTr="008730A9">
        <w:trPr>
          <w:jc w:val="center"/>
        </w:trPr>
        <w:tc>
          <w:tcPr>
            <w:tcW w:w="2820" w:type="dxa"/>
          </w:tcPr>
          <w:p w14:paraId="65F8598B"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Oleic acid</w:t>
            </w:r>
          </w:p>
        </w:tc>
        <w:tc>
          <w:tcPr>
            <w:tcW w:w="2095" w:type="dxa"/>
          </w:tcPr>
          <w:p w14:paraId="039029DA"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w:t>
            </w:r>
            <w:r w:rsidRPr="00F629D3">
              <w:rPr>
                <w:rFonts w:ascii="Times New Roman" w:eastAsia="Calibri" w:hAnsi="Times New Roman" w:cs="Times New Roman"/>
                <w:bCs/>
                <w:color w:val="000000"/>
                <w:sz w:val="24"/>
                <w:szCs w:val="24"/>
                <w:vertAlign w:val="subscript"/>
              </w:rPr>
              <w:t>18</w:t>
            </w:r>
            <w:r w:rsidRPr="00F629D3">
              <w:rPr>
                <w:rFonts w:ascii="Times New Roman" w:eastAsia="Calibri" w:hAnsi="Times New Roman" w:cs="Times New Roman"/>
                <w:bCs/>
                <w:color w:val="000000"/>
                <w:sz w:val="24"/>
                <w:szCs w:val="24"/>
              </w:rPr>
              <w:t>H</w:t>
            </w:r>
            <w:r w:rsidRPr="00F629D3">
              <w:rPr>
                <w:rFonts w:ascii="Times New Roman" w:eastAsia="Calibri" w:hAnsi="Times New Roman" w:cs="Times New Roman"/>
                <w:bCs/>
                <w:color w:val="000000"/>
                <w:sz w:val="24"/>
                <w:szCs w:val="24"/>
                <w:vertAlign w:val="subscript"/>
              </w:rPr>
              <w:t>34</w:t>
            </w:r>
            <w:r w:rsidRPr="00F629D3">
              <w:rPr>
                <w:rFonts w:ascii="Times New Roman" w:eastAsia="Calibri" w:hAnsi="Times New Roman" w:cs="Times New Roman"/>
                <w:bCs/>
                <w:color w:val="000000"/>
                <w:sz w:val="24"/>
                <w:szCs w:val="24"/>
              </w:rPr>
              <w:t>O</w:t>
            </w:r>
            <w:r w:rsidRPr="00F629D3">
              <w:rPr>
                <w:rFonts w:ascii="Times New Roman" w:eastAsia="Calibri" w:hAnsi="Times New Roman" w:cs="Times New Roman"/>
                <w:bCs/>
                <w:color w:val="000000"/>
                <w:sz w:val="24"/>
                <w:szCs w:val="24"/>
                <w:vertAlign w:val="subscript"/>
              </w:rPr>
              <w:t>2</w:t>
            </w:r>
          </w:p>
        </w:tc>
        <w:tc>
          <w:tcPr>
            <w:tcW w:w="2915" w:type="dxa"/>
          </w:tcPr>
          <w:p w14:paraId="4CA24971"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Unsaturated</w:t>
            </w:r>
          </w:p>
        </w:tc>
        <w:tc>
          <w:tcPr>
            <w:tcW w:w="2160" w:type="dxa"/>
          </w:tcPr>
          <w:p w14:paraId="08E84534"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44.5</w:t>
            </w:r>
          </w:p>
        </w:tc>
      </w:tr>
      <w:tr w:rsidR="007553A6" w:rsidRPr="00F629D3" w14:paraId="2BD8D1BF" w14:textId="77777777" w:rsidTr="008730A9">
        <w:trPr>
          <w:jc w:val="center"/>
        </w:trPr>
        <w:tc>
          <w:tcPr>
            <w:tcW w:w="2820" w:type="dxa"/>
          </w:tcPr>
          <w:p w14:paraId="6EEF0D92"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Lauric acid</w:t>
            </w:r>
          </w:p>
        </w:tc>
        <w:tc>
          <w:tcPr>
            <w:tcW w:w="2095" w:type="dxa"/>
          </w:tcPr>
          <w:p w14:paraId="63E88988"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w:t>
            </w:r>
            <w:r w:rsidRPr="00F629D3">
              <w:rPr>
                <w:rFonts w:ascii="Times New Roman" w:eastAsia="Calibri" w:hAnsi="Times New Roman" w:cs="Times New Roman"/>
                <w:bCs/>
                <w:color w:val="000000"/>
                <w:sz w:val="24"/>
                <w:szCs w:val="24"/>
                <w:vertAlign w:val="subscript"/>
              </w:rPr>
              <w:t>12</w:t>
            </w:r>
            <w:r w:rsidRPr="00F629D3">
              <w:rPr>
                <w:rFonts w:ascii="Times New Roman" w:eastAsia="Calibri" w:hAnsi="Times New Roman" w:cs="Times New Roman"/>
                <w:bCs/>
                <w:color w:val="000000"/>
                <w:sz w:val="24"/>
                <w:szCs w:val="24"/>
              </w:rPr>
              <w:t>H</w:t>
            </w:r>
            <w:r w:rsidRPr="00F629D3">
              <w:rPr>
                <w:rFonts w:ascii="Times New Roman" w:eastAsia="Calibri" w:hAnsi="Times New Roman" w:cs="Times New Roman"/>
                <w:bCs/>
                <w:color w:val="000000"/>
                <w:sz w:val="24"/>
                <w:szCs w:val="24"/>
                <w:vertAlign w:val="subscript"/>
              </w:rPr>
              <w:t>24</w:t>
            </w:r>
            <w:r w:rsidRPr="00F629D3">
              <w:rPr>
                <w:rFonts w:ascii="Times New Roman" w:eastAsia="Calibri" w:hAnsi="Times New Roman" w:cs="Times New Roman"/>
                <w:bCs/>
                <w:color w:val="000000"/>
                <w:sz w:val="24"/>
                <w:szCs w:val="24"/>
              </w:rPr>
              <w:t>O</w:t>
            </w:r>
            <w:r w:rsidRPr="00F629D3">
              <w:rPr>
                <w:rFonts w:ascii="Times New Roman" w:eastAsia="Calibri" w:hAnsi="Times New Roman" w:cs="Times New Roman"/>
                <w:bCs/>
                <w:color w:val="000000"/>
                <w:sz w:val="24"/>
                <w:szCs w:val="24"/>
                <w:vertAlign w:val="subscript"/>
              </w:rPr>
              <w:t>2</w:t>
            </w:r>
          </w:p>
        </w:tc>
        <w:tc>
          <w:tcPr>
            <w:tcW w:w="2915" w:type="dxa"/>
          </w:tcPr>
          <w:p w14:paraId="6AF10B08"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Saturated</w:t>
            </w:r>
          </w:p>
        </w:tc>
        <w:tc>
          <w:tcPr>
            <w:tcW w:w="2160" w:type="dxa"/>
          </w:tcPr>
          <w:p w14:paraId="3C412FF0"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28.17</w:t>
            </w:r>
          </w:p>
        </w:tc>
      </w:tr>
      <w:tr w:rsidR="007553A6" w:rsidRPr="00F629D3" w14:paraId="7EE66E4F" w14:textId="77777777" w:rsidTr="008730A9">
        <w:trPr>
          <w:jc w:val="center"/>
        </w:trPr>
        <w:tc>
          <w:tcPr>
            <w:tcW w:w="2820" w:type="dxa"/>
          </w:tcPr>
          <w:p w14:paraId="37F351C5"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Palmitic acid</w:t>
            </w:r>
          </w:p>
        </w:tc>
        <w:tc>
          <w:tcPr>
            <w:tcW w:w="2095" w:type="dxa"/>
          </w:tcPr>
          <w:p w14:paraId="0C94D40D"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w:t>
            </w:r>
            <w:r w:rsidRPr="00F629D3">
              <w:rPr>
                <w:rFonts w:ascii="Times New Roman" w:eastAsia="Calibri" w:hAnsi="Times New Roman" w:cs="Times New Roman"/>
                <w:bCs/>
                <w:color w:val="000000"/>
                <w:sz w:val="24"/>
                <w:szCs w:val="24"/>
                <w:vertAlign w:val="subscript"/>
              </w:rPr>
              <w:t>16</w:t>
            </w:r>
            <w:r w:rsidRPr="00F629D3">
              <w:rPr>
                <w:rFonts w:ascii="Times New Roman" w:eastAsia="Calibri" w:hAnsi="Times New Roman" w:cs="Times New Roman"/>
                <w:bCs/>
                <w:color w:val="000000"/>
                <w:sz w:val="24"/>
                <w:szCs w:val="24"/>
              </w:rPr>
              <w:t>H</w:t>
            </w:r>
            <w:r w:rsidRPr="00F629D3">
              <w:rPr>
                <w:rFonts w:ascii="Times New Roman" w:eastAsia="Calibri" w:hAnsi="Times New Roman" w:cs="Times New Roman"/>
                <w:bCs/>
                <w:color w:val="000000"/>
                <w:sz w:val="24"/>
                <w:szCs w:val="24"/>
                <w:vertAlign w:val="subscript"/>
              </w:rPr>
              <w:t>32</w:t>
            </w:r>
            <w:r w:rsidRPr="00F629D3">
              <w:rPr>
                <w:rFonts w:ascii="Times New Roman" w:eastAsia="Calibri" w:hAnsi="Times New Roman" w:cs="Times New Roman"/>
                <w:bCs/>
                <w:color w:val="000000"/>
                <w:sz w:val="24"/>
                <w:szCs w:val="24"/>
              </w:rPr>
              <w:t>O</w:t>
            </w:r>
            <w:r w:rsidRPr="00F629D3">
              <w:rPr>
                <w:rFonts w:ascii="Times New Roman" w:eastAsia="Calibri" w:hAnsi="Times New Roman" w:cs="Times New Roman"/>
                <w:bCs/>
                <w:color w:val="000000"/>
                <w:sz w:val="24"/>
                <w:szCs w:val="24"/>
                <w:vertAlign w:val="subscript"/>
              </w:rPr>
              <w:t>2</w:t>
            </w:r>
          </w:p>
        </w:tc>
        <w:tc>
          <w:tcPr>
            <w:tcW w:w="2915" w:type="dxa"/>
          </w:tcPr>
          <w:p w14:paraId="4497B643"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Saturated</w:t>
            </w:r>
          </w:p>
        </w:tc>
        <w:tc>
          <w:tcPr>
            <w:tcW w:w="2160" w:type="dxa"/>
          </w:tcPr>
          <w:p w14:paraId="0B380362"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11.3</w:t>
            </w:r>
          </w:p>
        </w:tc>
      </w:tr>
      <w:tr w:rsidR="007553A6" w:rsidRPr="00F629D3" w14:paraId="448EF169" w14:textId="77777777" w:rsidTr="008730A9">
        <w:trPr>
          <w:jc w:val="center"/>
        </w:trPr>
        <w:tc>
          <w:tcPr>
            <w:tcW w:w="2820" w:type="dxa"/>
          </w:tcPr>
          <w:p w14:paraId="6922D73D"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Stearic acid</w:t>
            </w:r>
          </w:p>
        </w:tc>
        <w:tc>
          <w:tcPr>
            <w:tcW w:w="2095" w:type="dxa"/>
          </w:tcPr>
          <w:p w14:paraId="78A839D1"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w:t>
            </w:r>
            <w:r w:rsidRPr="00F629D3">
              <w:rPr>
                <w:rFonts w:ascii="Times New Roman" w:eastAsia="Calibri" w:hAnsi="Times New Roman" w:cs="Times New Roman"/>
                <w:bCs/>
                <w:color w:val="000000"/>
                <w:sz w:val="24"/>
                <w:szCs w:val="24"/>
                <w:vertAlign w:val="subscript"/>
              </w:rPr>
              <w:t>18</w:t>
            </w:r>
            <w:r w:rsidRPr="00F629D3">
              <w:rPr>
                <w:rFonts w:ascii="Times New Roman" w:eastAsia="Calibri" w:hAnsi="Times New Roman" w:cs="Times New Roman"/>
                <w:bCs/>
                <w:color w:val="000000"/>
                <w:sz w:val="24"/>
                <w:szCs w:val="24"/>
              </w:rPr>
              <w:t>H</w:t>
            </w:r>
            <w:r w:rsidRPr="00F629D3">
              <w:rPr>
                <w:rFonts w:ascii="Times New Roman" w:eastAsia="Calibri" w:hAnsi="Times New Roman" w:cs="Times New Roman"/>
                <w:bCs/>
                <w:color w:val="000000"/>
                <w:sz w:val="24"/>
                <w:szCs w:val="24"/>
                <w:vertAlign w:val="subscript"/>
              </w:rPr>
              <w:t>36</w:t>
            </w:r>
            <w:r w:rsidRPr="00F629D3">
              <w:rPr>
                <w:rFonts w:ascii="Times New Roman" w:eastAsia="Calibri" w:hAnsi="Times New Roman" w:cs="Times New Roman"/>
                <w:bCs/>
                <w:color w:val="000000"/>
                <w:sz w:val="24"/>
                <w:szCs w:val="24"/>
              </w:rPr>
              <w:t>O</w:t>
            </w:r>
            <w:r w:rsidRPr="00F629D3">
              <w:rPr>
                <w:rFonts w:ascii="Times New Roman" w:eastAsia="Calibri" w:hAnsi="Times New Roman" w:cs="Times New Roman"/>
                <w:bCs/>
                <w:color w:val="000000"/>
                <w:sz w:val="24"/>
                <w:szCs w:val="24"/>
                <w:vertAlign w:val="subscript"/>
              </w:rPr>
              <w:t>2</w:t>
            </w:r>
          </w:p>
        </w:tc>
        <w:tc>
          <w:tcPr>
            <w:tcW w:w="2915" w:type="dxa"/>
          </w:tcPr>
          <w:p w14:paraId="68BEEE06"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Saturated</w:t>
            </w:r>
          </w:p>
        </w:tc>
        <w:tc>
          <w:tcPr>
            <w:tcW w:w="2160" w:type="dxa"/>
          </w:tcPr>
          <w:p w14:paraId="7FBE59FB"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8.81</w:t>
            </w:r>
          </w:p>
        </w:tc>
      </w:tr>
      <w:tr w:rsidR="007553A6" w:rsidRPr="00F629D3" w14:paraId="120D579D" w14:textId="77777777" w:rsidTr="008730A9">
        <w:trPr>
          <w:jc w:val="center"/>
        </w:trPr>
        <w:tc>
          <w:tcPr>
            <w:tcW w:w="2820" w:type="dxa"/>
          </w:tcPr>
          <w:p w14:paraId="3AD03378"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lastRenderedPageBreak/>
              <w:t>Myristic acid</w:t>
            </w:r>
          </w:p>
        </w:tc>
        <w:tc>
          <w:tcPr>
            <w:tcW w:w="2095" w:type="dxa"/>
          </w:tcPr>
          <w:p w14:paraId="605352C4"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w:t>
            </w:r>
            <w:r w:rsidRPr="00F629D3">
              <w:rPr>
                <w:rFonts w:ascii="Times New Roman" w:eastAsia="Calibri" w:hAnsi="Times New Roman" w:cs="Times New Roman"/>
                <w:bCs/>
                <w:color w:val="000000"/>
                <w:sz w:val="24"/>
                <w:szCs w:val="24"/>
                <w:vertAlign w:val="subscript"/>
              </w:rPr>
              <w:t>14</w:t>
            </w:r>
            <w:r w:rsidRPr="00F629D3">
              <w:rPr>
                <w:rFonts w:ascii="Times New Roman" w:eastAsia="Calibri" w:hAnsi="Times New Roman" w:cs="Times New Roman"/>
                <w:bCs/>
                <w:color w:val="000000"/>
                <w:sz w:val="24"/>
                <w:szCs w:val="24"/>
              </w:rPr>
              <w:t>H</w:t>
            </w:r>
            <w:r w:rsidRPr="00F629D3">
              <w:rPr>
                <w:rFonts w:ascii="Times New Roman" w:eastAsia="Calibri" w:hAnsi="Times New Roman" w:cs="Times New Roman"/>
                <w:bCs/>
                <w:color w:val="000000"/>
                <w:sz w:val="24"/>
                <w:szCs w:val="24"/>
                <w:vertAlign w:val="subscript"/>
              </w:rPr>
              <w:t>28</w:t>
            </w:r>
            <w:r w:rsidRPr="00F629D3">
              <w:rPr>
                <w:rFonts w:ascii="Times New Roman" w:eastAsia="Calibri" w:hAnsi="Times New Roman" w:cs="Times New Roman"/>
                <w:bCs/>
                <w:color w:val="000000"/>
                <w:sz w:val="24"/>
                <w:szCs w:val="24"/>
              </w:rPr>
              <w:t>O</w:t>
            </w:r>
            <w:r w:rsidRPr="00F629D3">
              <w:rPr>
                <w:rFonts w:ascii="Times New Roman" w:eastAsia="Calibri" w:hAnsi="Times New Roman" w:cs="Times New Roman"/>
                <w:bCs/>
                <w:color w:val="000000"/>
                <w:sz w:val="24"/>
                <w:szCs w:val="24"/>
                <w:vertAlign w:val="subscript"/>
              </w:rPr>
              <w:t>2</w:t>
            </w:r>
          </w:p>
        </w:tc>
        <w:tc>
          <w:tcPr>
            <w:tcW w:w="2915" w:type="dxa"/>
          </w:tcPr>
          <w:p w14:paraId="779B10AD"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Saturated</w:t>
            </w:r>
          </w:p>
        </w:tc>
        <w:tc>
          <w:tcPr>
            <w:tcW w:w="2160" w:type="dxa"/>
          </w:tcPr>
          <w:p w14:paraId="12DBB722"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0.58</w:t>
            </w:r>
          </w:p>
        </w:tc>
      </w:tr>
      <w:tr w:rsidR="007553A6" w:rsidRPr="00F629D3" w14:paraId="253CC251" w14:textId="77777777" w:rsidTr="008730A9">
        <w:trPr>
          <w:jc w:val="center"/>
        </w:trPr>
        <w:tc>
          <w:tcPr>
            <w:tcW w:w="2820" w:type="dxa"/>
          </w:tcPr>
          <w:p w14:paraId="24E6E7B8"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Linoleic acid</w:t>
            </w:r>
          </w:p>
        </w:tc>
        <w:tc>
          <w:tcPr>
            <w:tcW w:w="2095" w:type="dxa"/>
          </w:tcPr>
          <w:p w14:paraId="495454D6"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C</w:t>
            </w:r>
            <w:r w:rsidRPr="00F629D3">
              <w:rPr>
                <w:rFonts w:ascii="Times New Roman" w:eastAsia="Calibri" w:hAnsi="Times New Roman" w:cs="Times New Roman"/>
                <w:bCs/>
                <w:color w:val="000000"/>
                <w:sz w:val="24"/>
                <w:szCs w:val="24"/>
                <w:vertAlign w:val="subscript"/>
              </w:rPr>
              <w:t>18</w:t>
            </w:r>
            <w:r w:rsidRPr="00F629D3">
              <w:rPr>
                <w:rFonts w:ascii="Times New Roman" w:eastAsia="Calibri" w:hAnsi="Times New Roman" w:cs="Times New Roman"/>
                <w:bCs/>
                <w:color w:val="000000"/>
                <w:sz w:val="24"/>
                <w:szCs w:val="24"/>
              </w:rPr>
              <w:t>H</w:t>
            </w:r>
            <w:r w:rsidRPr="00F629D3">
              <w:rPr>
                <w:rFonts w:ascii="Times New Roman" w:eastAsia="Calibri" w:hAnsi="Times New Roman" w:cs="Times New Roman"/>
                <w:bCs/>
                <w:color w:val="000000"/>
                <w:sz w:val="24"/>
                <w:szCs w:val="24"/>
                <w:vertAlign w:val="subscript"/>
              </w:rPr>
              <w:t>32</w:t>
            </w:r>
            <w:r w:rsidRPr="00F629D3">
              <w:rPr>
                <w:rFonts w:ascii="Times New Roman" w:eastAsia="Calibri" w:hAnsi="Times New Roman" w:cs="Times New Roman"/>
                <w:bCs/>
                <w:color w:val="000000"/>
                <w:sz w:val="24"/>
                <w:szCs w:val="24"/>
              </w:rPr>
              <w:t>O</w:t>
            </w:r>
            <w:r w:rsidRPr="00F629D3">
              <w:rPr>
                <w:rFonts w:ascii="Times New Roman" w:eastAsia="Calibri" w:hAnsi="Times New Roman" w:cs="Times New Roman"/>
                <w:bCs/>
                <w:color w:val="000000"/>
                <w:sz w:val="24"/>
                <w:szCs w:val="24"/>
                <w:vertAlign w:val="subscript"/>
              </w:rPr>
              <w:t>2</w:t>
            </w:r>
          </w:p>
        </w:tc>
        <w:tc>
          <w:tcPr>
            <w:tcW w:w="2915" w:type="dxa"/>
          </w:tcPr>
          <w:p w14:paraId="43476B29"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Unsaturated</w:t>
            </w:r>
          </w:p>
        </w:tc>
        <w:tc>
          <w:tcPr>
            <w:tcW w:w="2160" w:type="dxa"/>
          </w:tcPr>
          <w:p w14:paraId="25E6E06F"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0.48</w:t>
            </w:r>
          </w:p>
        </w:tc>
      </w:tr>
      <w:tr w:rsidR="007553A6" w:rsidRPr="00F629D3" w14:paraId="45215509" w14:textId="77777777" w:rsidTr="008730A9">
        <w:trPr>
          <w:jc w:val="center"/>
        </w:trPr>
        <w:tc>
          <w:tcPr>
            <w:tcW w:w="2820" w:type="dxa"/>
          </w:tcPr>
          <w:p w14:paraId="26F7558D"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Phthalates (contaminants)</w:t>
            </w:r>
          </w:p>
        </w:tc>
        <w:tc>
          <w:tcPr>
            <w:tcW w:w="2095" w:type="dxa"/>
          </w:tcPr>
          <w:p w14:paraId="7999B792"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Various</w:t>
            </w:r>
          </w:p>
        </w:tc>
        <w:tc>
          <w:tcPr>
            <w:tcW w:w="2915" w:type="dxa"/>
          </w:tcPr>
          <w:p w14:paraId="19244278"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Non-FAME</w:t>
            </w:r>
          </w:p>
        </w:tc>
        <w:tc>
          <w:tcPr>
            <w:tcW w:w="2160" w:type="dxa"/>
          </w:tcPr>
          <w:p w14:paraId="1F16B4C3"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0.83</w:t>
            </w:r>
          </w:p>
        </w:tc>
      </w:tr>
      <w:tr w:rsidR="007553A6" w:rsidRPr="00F629D3" w14:paraId="4D674319" w14:textId="77777777" w:rsidTr="008730A9">
        <w:trPr>
          <w:jc w:val="center"/>
        </w:trPr>
        <w:tc>
          <w:tcPr>
            <w:tcW w:w="2820" w:type="dxa"/>
          </w:tcPr>
          <w:p w14:paraId="2AC81CF4"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Squalene</w:t>
            </w:r>
          </w:p>
        </w:tc>
        <w:tc>
          <w:tcPr>
            <w:tcW w:w="2095" w:type="dxa"/>
          </w:tcPr>
          <w:p w14:paraId="5A0B7895"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Hydrocarbon</w:t>
            </w:r>
          </w:p>
        </w:tc>
        <w:tc>
          <w:tcPr>
            <w:tcW w:w="2915" w:type="dxa"/>
          </w:tcPr>
          <w:p w14:paraId="051DD1F6"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Unsaturated (Non-FAME)</w:t>
            </w:r>
          </w:p>
        </w:tc>
        <w:tc>
          <w:tcPr>
            <w:tcW w:w="2160" w:type="dxa"/>
          </w:tcPr>
          <w:p w14:paraId="640C7812"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0.64</w:t>
            </w:r>
          </w:p>
        </w:tc>
      </w:tr>
      <w:tr w:rsidR="007553A6" w:rsidRPr="00F629D3" w14:paraId="13450673" w14:textId="77777777" w:rsidTr="008730A9">
        <w:trPr>
          <w:jc w:val="center"/>
        </w:trPr>
        <w:tc>
          <w:tcPr>
            <w:tcW w:w="2820" w:type="dxa"/>
          </w:tcPr>
          <w:p w14:paraId="0D85F9E4"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Others</w:t>
            </w:r>
          </w:p>
        </w:tc>
        <w:tc>
          <w:tcPr>
            <w:tcW w:w="2095" w:type="dxa"/>
          </w:tcPr>
          <w:p w14:paraId="67D05134" w14:textId="77777777" w:rsidR="007553A6" w:rsidRPr="00F629D3" w:rsidRDefault="007553A6" w:rsidP="008730A9">
            <w:pPr>
              <w:rPr>
                <w:rFonts w:ascii="Times New Roman" w:eastAsia="Calibri" w:hAnsi="Times New Roman" w:cs="Times New Roman"/>
                <w:bCs/>
                <w:color w:val="000000"/>
                <w:sz w:val="24"/>
                <w:szCs w:val="24"/>
              </w:rPr>
            </w:pPr>
          </w:p>
        </w:tc>
        <w:tc>
          <w:tcPr>
            <w:tcW w:w="2915" w:type="dxa"/>
          </w:tcPr>
          <w:p w14:paraId="3DC82CA1" w14:textId="77777777" w:rsidR="007553A6" w:rsidRPr="00F629D3" w:rsidRDefault="007553A6" w:rsidP="008730A9">
            <w:pPr>
              <w:rPr>
                <w:rFonts w:ascii="Times New Roman" w:eastAsia="Calibri" w:hAnsi="Times New Roman" w:cs="Times New Roman"/>
                <w:bCs/>
                <w:color w:val="000000"/>
                <w:sz w:val="24"/>
                <w:szCs w:val="24"/>
              </w:rPr>
            </w:pPr>
          </w:p>
        </w:tc>
        <w:tc>
          <w:tcPr>
            <w:tcW w:w="2160" w:type="dxa"/>
          </w:tcPr>
          <w:p w14:paraId="4364F62D"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4.69</w:t>
            </w:r>
          </w:p>
        </w:tc>
      </w:tr>
      <w:tr w:rsidR="007553A6" w:rsidRPr="00F629D3" w14:paraId="3C50B603" w14:textId="77777777" w:rsidTr="008730A9">
        <w:trPr>
          <w:jc w:val="center"/>
        </w:trPr>
        <w:tc>
          <w:tcPr>
            <w:tcW w:w="2820" w:type="dxa"/>
          </w:tcPr>
          <w:p w14:paraId="5A15250B"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Total</w:t>
            </w:r>
          </w:p>
        </w:tc>
        <w:tc>
          <w:tcPr>
            <w:tcW w:w="2095" w:type="dxa"/>
          </w:tcPr>
          <w:p w14:paraId="783B0AD5" w14:textId="77777777" w:rsidR="007553A6" w:rsidRPr="00F629D3" w:rsidRDefault="007553A6" w:rsidP="008730A9">
            <w:pPr>
              <w:rPr>
                <w:rFonts w:ascii="Times New Roman" w:eastAsia="Calibri" w:hAnsi="Times New Roman" w:cs="Times New Roman"/>
                <w:bCs/>
                <w:color w:val="000000"/>
                <w:sz w:val="24"/>
                <w:szCs w:val="24"/>
              </w:rPr>
            </w:pPr>
          </w:p>
        </w:tc>
        <w:tc>
          <w:tcPr>
            <w:tcW w:w="2915" w:type="dxa"/>
          </w:tcPr>
          <w:p w14:paraId="0C1B868B" w14:textId="77777777" w:rsidR="007553A6" w:rsidRPr="00F629D3" w:rsidRDefault="007553A6" w:rsidP="008730A9">
            <w:pPr>
              <w:rPr>
                <w:rFonts w:ascii="Times New Roman" w:eastAsia="Calibri" w:hAnsi="Times New Roman" w:cs="Times New Roman"/>
                <w:bCs/>
                <w:color w:val="000000"/>
                <w:sz w:val="24"/>
                <w:szCs w:val="24"/>
              </w:rPr>
            </w:pPr>
          </w:p>
        </w:tc>
        <w:tc>
          <w:tcPr>
            <w:tcW w:w="2160" w:type="dxa"/>
          </w:tcPr>
          <w:p w14:paraId="17052B09" w14:textId="77777777" w:rsidR="007553A6" w:rsidRPr="00F629D3" w:rsidRDefault="007553A6" w:rsidP="008730A9">
            <w:pPr>
              <w:rPr>
                <w:rFonts w:ascii="Times New Roman" w:eastAsia="Calibri" w:hAnsi="Times New Roman" w:cs="Times New Roman"/>
                <w:bCs/>
                <w:color w:val="000000"/>
                <w:sz w:val="24"/>
                <w:szCs w:val="24"/>
              </w:rPr>
            </w:pPr>
            <w:r w:rsidRPr="00F629D3">
              <w:rPr>
                <w:rFonts w:ascii="Times New Roman" w:eastAsia="Calibri" w:hAnsi="Times New Roman" w:cs="Times New Roman"/>
                <w:bCs/>
                <w:color w:val="000000"/>
                <w:sz w:val="24"/>
                <w:szCs w:val="24"/>
              </w:rPr>
              <w:t>100</w:t>
            </w:r>
          </w:p>
        </w:tc>
      </w:tr>
    </w:tbl>
    <w:p w14:paraId="44C6F92C" w14:textId="77777777" w:rsidR="00ED5041" w:rsidRPr="00F629D3" w:rsidRDefault="00ED5041" w:rsidP="00ED5041">
      <w:pPr>
        <w:spacing w:line="240" w:lineRule="auto"/>
        <w:jc w:val="both"/>
        <w:rPr>
          <w:rFonts w:ascii="Times New Roman" w:hAnsi="Times New Roman" w:cs="Times New Roman"/>
          <w:sz w:val="24"/>
          <w:szCs w:val="24"/>
        </w:rPr>
      </w:pPr>
    </w:p>
    <w:p w14:paraId="2051E939" w14:textId="77777777" w:rsidR="00ED5041" w:rsidRPr="00380AD6" w:rsidRDefault="00ED5041" w:rsidP="00ED5041">
      <w:pPr>
        <w:spacing w:line="240" w:lineRule="auto"/>
        <w:jc w:val="both"/>
        <w:rPr>
          <w:rFonts w:ascii="Times New Roman" w:hAnsi="Times New Roman" w:cs="Times New Roman"/>
          <w:b/>
          <w:bCs/>
          <w:iCs/>
          <w:sz w:val="28"/>
          <w:szCs w:val="28"/>
        </w:rPr>
      </w:pPr>
      <w:r w:rsidRPr="00380AD6">
        <w:rPr>
          <w:rFonts w:ascii="Times New Roman" w:hAnsi="Times New Roman" w:cs="Times New Roman"/>
          <w:b/>
          <w:bCs/>
          <w:iCs/>
          <w:sz w:val="28"/>
          <w:szCs w:val="28"/>
        </w:rPr>
        <w:t>CONCLUSION</w:t>
      </w:r>
    </w:p>
    <w:p w14:paraId="016CFA31" w14:textId="77777777" w:rsidR="00ED5041" w:rsidRPr="009B2F05" w:rsidRDefault="00ED5041" w:rsidP="00ED5041">
      <w:pPr>
        <w:spacing w:line="240" w:lineRule="auto"/>
        <w:jc w:val="both"/>
        <w:rPr>
          <w:rFonts w:ascii="Times New Roman" w:hAnsi="Times New Roman" w:cs="Times New Roman"/>
          <w:bCs/>
          <w:iCs/>
          <w:sz w:val="24"/>
          <w:szCs w:val="24"/>
        </w:rPr>
      </w:pPr>
      <w:r w:rsidRPr="009B2F05">
        <w:rPr>
          <w:rFonts w:ascii="Times New Roman" w:hAnsi="Times New Roman" w:cs="Times New Roman"/>
          <w:bCs/>
          <w:iCs/>
          <w:sz w:val="24"/>
          <w:szCs w:val="24"/>
        </w:rPr>
        <w:t xml:space="preserve">Biodiesel was produced from palm kernel oil using catalyst synthesized from </w:t>
      </w:r>
      <w:r>
        <w:rPr>
          <w:rFonts w:ascii="Times New Roman" w:hAnsi="Times New Roman" w:cs="Times New Roman"/>
          <w:bCs/>
          <w:iCs/>
          <w:sz w:val="24"/>
          <w:szCs w:val="24"/>
        </w:rPr>
        <w:t>carbide slag and THC</w:t>
      </w:r>
      <w:r w:rsidRPr="009B2F05">
        <w:rPr>
          <w:rFonts w:ascii="Times New Roman" w:hAnsi="Times New Roman" w:cs="Times New Roman"/>
          <w:bCs/>
          <w:iCs/>
          <w:sz w:val="24"/>
          <w:szCs w:val="24"/>
        </w:rPr>
        <w:t xml:space="preserve"> doped with </w:t>
      </w:r>
      <w:r w:rsidRPr="00F629D3">
        <w:rPr>
          <w:rFonts w:ascii="Times New Roman" w:hAnsi="Times New Roman" w:cs="Times New Roman"/>
          <w:bCs/>
          <w:sz w:val="24"/>
          <w:szCs w:val="24"/>
          <w:lang w:val="en-GB"/>
        </w:rPr>
        <w:t>Zn(NO</w:t>
      </w:r>
      <w:r w:rsidRPr="00F629D3">
        <w:rPr>
          <w:rFonts w:ascii="Times New Roman" w:hAnsi="Times New Roman" w:cs="Times New Roman"/>
          <w:bCs/>
          <w:sz w:val="24"/>
          <w:szCs w:val="24"/>
          <w:vertAlign w:val="subscript"/>
          <w:lang w:val="en-GB"/>
        </w:rPr>
        <w:t>3</w:t>
      </w:r>
      <w:r w:rsidRPr="00F629D3">
        <w:rPr>
          <w:rFonts w:ascii="Times New Roman" w:hAnsi="Times New Roman" w:cs="Times New Roman"/>
          <w:bCs/>
          <w:sz w:val="24"/>
          <w:szCs w:val="24"/>
          <w:lang w:val="en-GB"/>
        </w:rPr>
        <w:t>)</w:t>
      </w:r>
      <w:r w:rsidRPr="00F629D3">
        <w:rPr>
          <w:rFonts w:ascii="Times New Roman" w:hAnsi="Times New Roman" w:cs="Times New Roman"/>
          <w:bCs/>
          <w:sz w:val="24"/>
          <w:szCs w:val="24"/>
          <w:vertAlign w:val="subscript"/>
          <w:lang w:val="en-GB"/>
        </w:rPr>
        <w:t>2</w:t>
      </w:r>
      <w:r w:rsidRPr="009B2F05">
        <w:rPr>
          <w:rFonts w:ascii="Times New Roman" w:hAnsi="Times New Roman" w:cs="Times New Roman"/>
          <w:bCs/>
          <w:iCs/>
          <w:sz w:val="24"/>
          <w:szCs w:val="24"/>
        </w:rPr>
        <w:t>. Optimization of the biodiesel production was carried out using</w:t>
      </w:r>
      <w:r>
        <w:rPr>
          <w:rFonts w:ascii="Times New Roman" w:hAnsi="Times New Roman" w:cs="Times New Roman"/>
          <w:bCs/>
          <w:iCs/>
          <w:sz w:val="24"/>
          <w:szCs w:val="24"/>
        </w:rPr>
        <w:t xml:space="preserve"> RSM and a high R² value of 0.98</w:t>
      </w:r>
      <w:r w:rsidRPr="009B2F05">
        <w:rPr>
          <w:rFonts w:ascii="Times New Roman" w:hAnsi="Times New Roman" w:cs="Times New Roman"/>
          <w:bCs/>
          <w:iCs/>
          <w:sz w:val="24"/>
          <w:szCs w:val="24"/>
        </w:rPr>
        <w:t>54 was observed, indicating that RSM can be us</w:t>
      </w:r>
      <w:r>
        <w:rPr>
          <w:rFonts w:ascii="Times New Roman" w:hAnsi="Times New Roman" w:cs="Times New Roman"/>
          <w:bCs/>
          <w:iCs/>
          <w:sz w:val="24"/>
          <w:szCs w:val="24"/>
        </w:rPr>
        <w:t xml:space="preserve">ed as an optimization tool for </w:t>
      </w:r>
      <w:r w:rsidRPr="009B2F05">
        <w:rPr>
          <w:rFonts w:ascii="Times New Roman" w:hAnsi="Times New Roman" w:cs="Times New Roman"/>
          <w:bCs/>
          <w:iCs/>
          <w:sz w:val="24"/>
          <w:szCs w:val="24"/>
        </w:rPr>
        <w:t>the biodiesel production process.</w:t>
      </w:r>
      <w:r>
        <w:rPr>
          <w:rFonts w:ascii="Times New Roman" w:hAnsi="Times New Roman" w:cs="Times New Roman"/>
          <w:bCs/>
          <w:iCs/>
          <w:sz w:val="24"/>
          <w:szCs w:val="24"/>
        </w:rPr>
        <w:t xml:space="preserve"> An</w:t>
      </w:r>
      <w:r w:rsidRPr="009B2F05">
        <w:rPr>
          <w:rFonts w:ascii="Times New Roman" w:hAnsi="Times New Roman" w:cs="Times New Roman"/>
          <w:bCs/>
          <w:iCs/>
          <w:sz w:val="24"/>
          <w:szCs w:val="24"/>
          <w:lang w:val="en-GB"/>
        </w:rPr>
        <w:t xml:space="preserve"> optimum biodiesel yield was obtained as 98.22% at a reaction temperature of 66.95 </w:t>
      </w:r>
      <w:r w:rsidRPr="009B2F05">
        <w:rPr>
          <w:rFonts w:ascii="Times New Roman" w:hAnsi="Times New Roman" w:cs="Times New Roman"/>
          <w:bCs/>
          <w:iCs/>
          <w:sz w:val="24"/>
          <w:szCs w:val="24"/>
          <w:vertAlign w:val="superscript"/>
          <w:lang w:val="en-GB"/>
        </w:rPr>
        <w:t>o</w:t>
      </w:r>
      <w:r w:rsidRPr="009B2F05">
        <w:rPr>
          <w:rFonts w:ascii="Times New Roman" w:hAnsi="Times New Roman" w:cs="Times New Roman"/>
          <w:bCs/>
          <w:iCs/>
          <w:sz w:val="24"/>
          <w:szCs w:val="24"/>
          <w:lang w:val="en-GB"/>
        </w:rPr>
        <w:t>C, a reaction time of 94.04 mins, methanol to oil ratio of 11.98:1, and catalyst loading of 2.3</w:t>
      </w:r>
      <w:r>
        <w:rPr>
          <w:rFonts w:ascii="Times New Roman" w:hAnsi="Times New Roman" w:cs="Times New Roman"/>
          <w:bCs/>
          <w:iCs/>
          <w:sz w:val="24"/>
          <w:szCs w:val="24"/>
          <w:lang w:val="en-GB"/>
        </w:rPr>
        <w:t>9 wt%.</w:t>
      </w:r>
      <w:r w:rsidRPr="009B2F05">
        <w:rPr>
          <w:rFonts w:ascii="Times New Roman" w:hAnsi="Times New Roman" w:cs="Times New Roman"/>
          <w:bCs/>
          <w:iCs/>
          <w:sz w:val="24"/>
          <w:szCs w:val="24"/>
        </w:rPr>
        <w:t xml:space="preserve">  The physicochemical properties of the biodiesel obtained using the catalyst produced was within the appropriate range of ASTM D6751 specifications for biodiesel. </w:t>
      </w:r>
    </w:p>
    <w:p w14:paraId="4CC6CC0B" w14:textId="77777777" w:rsidR="00ED5041" w:rsidRDefault="00ED5041" w:rsidP="00ED5041">
      <w:pPr>
        <w:spacing w:line="240" w:lineRule="auto"/>
        <w:jc w:val="both"/>
        <w:rPr>
          <w:rFonts w:ascii="Times New Roman" w:hAnsi="Times New Roman" w:cs="Times New Roman"/>
          <w:b/>
          <w:bCs/>
          <w:iCs/>
          <w:sz w:val="24"/>
          <w:szCs w:val="24"/>
        </w:rPr>
      </w:pPr>
    </w:p>
    <w:p w14:paraId="018E9C37" w14:textId="77777777" w:rsidR="00ED5041" w:rsidRPr="00380AD6" w:rsidRDefault="00ED5041" w:rsidP="00ED5041">
      <w:pPr>
        <w:spacing w:line="240" w:lineRule="auto"/>
        <w:jc w:val="both"/>
        <w:rPr>
          <w:rFonts w:ascii="Times New Roman" w:hAnsi="Times New Roman" w:cs="Times New Roman"/>
          <w:b/>
          <w:bCs/>
          <w:iCs/>
          <w:sz w:val="28"/>
          <w:szCs w:val="28"/>
        </w:rPr>
      </w:pPr>
      <w:r w:rsidRPr="00380AD6">
        <w:rPr>
          <w:rFonts w:ascii="Times New Roman" w:hAnsi="Times New Roman" w:cs="Times New Roman"/>
          <w:b/>
          <w:bCs/>
          <w:iCs/>
          <w:sz w:val="28"/>
          <w:szCs w:val="28"/>
        </w:rPr>
        <w:t>ACKNOWLEDGEMENT</w:t>
      </w:r>
    </w:p>
    <w:p w14:paraId="570B9D3B" w14:textId="77777777" w:rsidR="00ED5041" w:rsidRPr="00F629D3" w:rsidRDefault="00ED5041" w:rsidP="00ED5041">
      <w:pPr>
        <w:spacing w:line="240" w:lineRule="auto"/>
        <w:jc w:val="both"/>
        <w:rPr>
          <w:rFonts w:ascii="Times New Roman" w:hAnsi="Times New Roman" w:cs="Times New Roman"/>
          <w:bCs/>
          <w:iCs/>
          <w:sz w:val="24"/>
          <w:szCs w:val="24"/>
        </w:rPr>
      </w:pPr>
      <w:r w:rsidRPr="00CE452F">
        <w:rPr>
          <w:rFonts w:ascii="Times New Roman" w:hAnsi="Times New Roman" w:cs="Times New Roman"/>
          <w:bCs/>
          <w:iCs/>
          <w:sz w:val="24"/>
          <w:szCs w:val="24"/>
        </w:rPr>
        <w:t>This study was supported by the Petroleum Technology Development Fund (PTDF), through the PTDF Professorial Chair on Renewable Energy in the Department of Chemical Engineering, University of Benin, Nigeria.</w:t>
      </w:r>
    </w:p>
    <w:p w14:paraId="739BC390" w14:textId="77777777" w:rsidR="00ED5041" w:rsidRPr="00380AD6" w:rsidRDefault="00ED5041" w:rsidP="005E335E">
      <w:pPr>
        <w:spacing w:line="240" w:lineRule="auto"/>
        <w:rPr>
          <w:rFonts w:ascii="Times New Roman" w:hAnsi="Times New Roman" w:cs="Times New Roman"/>
          <w:b/>
          <w:bCs/>
          <w:iCs/>
          <w:sz w:val="28"/>
          <w:szCs w:val="28"/>
        </w:rPr>
      </w:pPr>
      <w:r w:rsidRPr="00380AD6">
        <w:rPr>
          <w:rFonts w:ascii="Times New Roman" w:hAnsi="Times New Roman" w:cs="Times New Roman"/>
          <w:b/>
          <w:bCs/>
          <w:iCs/>
          <w:sz w:val="28"/>
          <w:szCs w:val="28"/>
        </w:rPr>
        <w:t>REFERENCES</w:t>
      </w:r>
    </w:p>
    <w:p w14:paraId="15DC41F8" w14:textId="5B82BCD3" w:rsidR="00E65108" w:rsidRPr="00486E70" w:rsidRDefault="00ED5041"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b/>
          <w:bCs/>
          <w:iCs/>
          <w:sz w:val="24"/>
          <w:szCs w:val="24"/>
        </w:rPr>
        <w:fldChar w:fldCharType="begin" w:fldLock="1"/>
      </w:r>
      <w:r w:rsidRPr="00486E70">
        <w:rPr>
          <w:rFonts w:ascii="Times New Roman" w:hAnsi="Times New Roman" w:cs="Times New Roman"/>
          <w:b/>
          <w:bCs/>
          <w:iCs/>
          <w:sz w:val="24"/>
          <w:szCs w:val="24"/>
        </w:rPr>
        <w:instrText xml:space="preserve">ADDIN Mendeley Bibliography CSL_BIBLIOGRAPHY </w:instrText>
      </w:r>
      <w:r>
        <w:rPr>
          <w:rFonts w:ascii="Times New Roman" w:hAnsi="Times New Roman" w:cs="Times New Roman"/>
          <w:b/>
          <w:bCs/>
          <w:iCs/>
          <w:sz w:val="24"/>
          <w:szCs w:val="24"/>
        </w:rPr>
        <w:fldChar w:fldCharType="separate"/>
      </w:r>
      <w:r w:rsidR="00E65108" w:rsidRPr="00486E70">
        <w:rPr>
          <w:rFonts w:ascii="Times New Roman" w:hAnsi="Times New Roman" w:cs="Times New Roman"/>
          <w:noProof/>
          <w:sz w:val="24"/>
          <w:szCs w:val="24"/>
        </w:rPr>
        <w:t xml:space="preserve">Ajala, E. O., Ajala, M. A., Ajao, A. O., Saka, H. B., &amp; Oladipo, A. C. (2020). Calcium-carbide residue : A precursor for the synthesis of CaO – Al 2 O 3 – SiO 2 – CaSO 4 solid acid catalyst for biodiesel production using waste lard. </w:t>
      </w:r>
      <w:r w:rsidR="00E65108" w:rsidRPr="00486E70">
        <w:rPr>
          <w:rFonts w:ascii="Times New Roman" w:hAnsi="Times New Roman" w:cs="Times New Roman"/>
          <w:i/>
          <w:iCs/>
          <w:noProof/>
          <w:sz w:val="24"/>
          <w:szCs w:val="24"/>
        </w:rPr>
        <w:t>Chemical Engineering Journal Advances</w:t>
      </w:r>
      <w:r w:rsidR="00E65108" w:rsidRPr="00486E70">
        <w:rPr>
          <w:rFonts w:ascii="Times New Roman" w:hAnsi="Times New Roman" w:cs="Times New Roman"/>
          <w:noProof/>
          <w:sz w:val="24"/>
          <w:szCs w:val="24"/>
        </w:rPr>
        <w:t xml:space="preserve">, </w:t>
      </w:r>
      <w:r w:rsidR="00E65108" w:rsidRPr="00486E70">
        <w:rPr>
          <w:rFonts w:ascii="Times New Roman" w:hAnsi="Times New Roman" w:cs="Times New Roman"/>
          <w:i/>
          <w:iCs/>
          <w:noProof/>
          <w:sz w:val="24"/>
          <w:szCs w:val="24"/>
        </w:rPr>
        <w:t>4</w:t>
      </w:r>
      <w:r w:rsidR="00E65108" w:rsidRPr="00486E70">
        <w:rPr>
          <w:rFonts w:ascii="Times New Roman" w:hAnsi="Times New Roman" w:cs="Times New Roman"/>
          <w:noProof/>
          <w:sz w:val="24"/>
          <w:szCs w:val="24"/>
        </w:rPr>
        <w:t>, 100033. https://doi.org/10.1016/j.ceja.2020.100033</w:t>
      </w:r>
    </w:p>
    <w:p w14:paraId="3DDB8489"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Al-Sakkari, E. G., El-Sheltawy, S. T., Attia, N. K., &amp; Mostafa, S. R. (2017). Kinetic study of soybean oil methanolysis using cement kiln dust as a heterogeneous catalyst for biodiesel production. </w:t>
      </w:r>
      <w:r w:rsidRPr="00486E70">
        <w:rPr>
          <w:rFonts w:ascii="Times New Roman" w:hAnsi="Times New Roman" w:cs="Times New Roman"/>
          <w:i/>
          <w:iCs/>
          <w:noProof/>
          <w:sz w:val="24"/>
          <w:szCs w:val="24"/>
        </w:rPr>
        <w:t>Applied Catalysis B: Environmental</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206</w:t>
      </w:r>
      <w:r w:rsidRPr="00486E70">
        <w:rPr>
          <w:rFonts w:ascii="Times New Roman" w:hAnsi="Times New Roman" w:cs="Times New Roman"/>
          <w:noProof/>
          <w:sz w:val="24"/>
          <w:szCs w:val="24"/>
        </w:rPr>
        <w:t>, 146–157. https://doi.org/10.1016/j.apcatb.2017.01.008</w:t>
      </w:r>
    </w:p>
    <w:p w14:paraId="29785383"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Ameen, M., Ahmad, M., Zafar, M., Munir, M., Abbas, M. M., Sultana, S., Elkhatib, S. E., Soudagar, M. E. M., &amp; Kalam, M. A. (2022). Prospects of Catalysis for Process Sustainability of Eco-Green Biodiesel Synthesis via Transesterification : A State-Of-The-Art Review. </w:t>
      </w:r>
      <w:r w:rsidRPr="00486E70">
        <w:rPr>
          <w:rFonts w:ascii="Times New Roman" w:hAnsi="Times New Roman" w:cs="Times New Roman"/>
          <w:i/>
          <w:iCs/>
          <w:noProof/>
          <w:sz w:val="24"/>
          <w:szCs w:val="24"/>
        </w:rPr>
        <w:t>Sustainability</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14</w:t>
      </w:r>
      <w:r w:rsidRPr="00486E70">
        <w:rPr>
          <w:rFonts w:ascii="Times New Roman" w:hAnsi="Times New Roman" w:cs="Times New Roman"/>
          <w:noProof/>
          <w:sz w:val="24"/>
          <w:szCs w:val="24"/>
        </w:rPr>
        <w:t>(12), 7032.</w:t>
      </w:r>
    </w:p>
    <w:p w14:paraId="082896F8"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Amenaghawon, A. N., Obahiagbon, K., Isesele, V., &amp; Usman, F. (2022). Optimized biodiesel production from waste cooking oil using a functionalized bio-based heterogeneous catalyst. </w:t>
      </w:r>
      <w:r w:rsidRPr="00486E70">
        <w:rPr>
          <w:rFonts w:ascii="Times New Roman" w:hAnsi="Times New Roman" w:cs="Times New Roman"/>
          <w:i/>
          <w:iCs/>
          <w:noProof/>
          <w:sz w:val="24"/>
          <w:szCs w:val="24"/>
        </w:rPr>
        <w:t>Cleaner Engineering and Technology</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8</w:t>
      </w:r>
      <w:r w:rsidRPr="00486E70">
        <w:rPr>
          <w:rFonts w:ascii="Times New Roman" w:hAnsi="Times New Roman" w:cs="Times New Roman"/>
          <w:noProof/>
          <w:sz w:val="24"/>
          <w:szCs w:val="24"/>
        </w:rPr>
        <w:t>(100501), 100501. https://doi.org/10.1016/j.clet.2022.100501</w:t>
      </w:r>
    </w:p>
    <w:p w14:paraId="18345B6C"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Anusha, P., Janeefa, P., Gangadhara, R., &amp; T, S. R. (2021). Biodiesel Preparation , Process Optimization and Characterization from Neem seed Oil. </w:t>
      </w:r>
      <w:r w:rsidRPr="00486E70">
        <w:rPr>
          <w:rFonts w:ascii="Times New Roman" w:hAnsi="Times New Roman" w:cs="Times New Roman"/>
          <w:i/>
          <w:iCs/>
          <w:noProof/>
          <w:sz w:val="24"/>
          <w:szCs w:val="24"/>
        </w:rPr>
        <w:t>Int J Res Appl Sci Eng Technol</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9</w:t>
      </w:r>
      <w:r w:rsidRPr="00486E70">
        <w:rPr>
          <w:rFonts w:ascii="Times New Roman" w:hAnsi="Times New Roman" w:cs="Times New Roman"/>
          <w:noProof/>
          <w:sz w:val="24"/>
          <w:szCs w:val="24"/>
        </w:rPr>
        <w:t>(10), 525–527.</w:t>
      </w:r>
    </w:p>
    <w:p w14:paraId="2BA401F9"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Aremanda, R. B., Tekleweyni, D., Arebu, M., Fufa, G., &amp; Nasir, M. (2025). Influence of Methanol Solvent and Alkali Catalyst on Biodiesel Production from Cottonseed Oil. </w:t>
      </w:r>
      <w:r w:rsidRPr="00486E70">
        <w:rPr>
          <w:rFonts w:ascii="Times New Roman" w:hAnsi="Times New Roman" w:cs="Times New Roman"/>
          <w:i/>
          <w:iCs/>
          <w:noProof/>
          <w:sz w:val="24"/>
          <w:szCs w:val="24"/>
        </w:rPr>
        <w:t>International Journal of Energetica</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10</w:t>
      </w:r>
      <w:r w:rsidRPr="00486E70">
        <w:rPr>
          <w:rFonts w:ascii="Times New Roman" w:hAnsi="Times New Roman" w:cs="Times New Roman"/>
          <w:noProof/>
          <w:sz w:val="24"/>
          <w:szCs w:val="24"/>
        </w:rPr>
        <w:t>(1), 24–30.</w:t>
      </w:r>
    </w:p>
    <w:p w14:paraId="4DEC68BA"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Balajii, M., &amp; Niju, S. (2019). Biochar ‑ derived heterogeneous catalysts for biodiesel production. </w:t>
      </w:r>
      <w:r w:rsidRPr="00486E70">
        <w:rPr>
          <w:rFonts w:ascii="Times New Roman" w:hAnsi="Times New Roman" w:cs="Times New Roman"/>
          <w:i/>
          <w:iCs/>
          <w:noProof/>
          <w:sz w:val="24"/>
          <w:szCs w:val="24"/>
        </w:rPr>
        <w:t>Environmental Chemistry Letters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17</w:t>
      </w:r>
      <w:r w:rsidRPr="00486E70">
        <w:rPr>
          <w:rFonts w:ascii="Times New Roman" w:hAnsi="Times New Roman" w:cs="Times New Roman"/>
          <w:noProof/>
          <w:sz w:val="24"/>
          <w:szCs w:val="24"/>
        </w:rPr>
        <w:t>(4), 1447–1469. https://doi.org/10.1007/s10311-019-00885-x</w:t>
      </w:r>
    </w:p>
    <w:p w14:paraId="017A750D"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Betiku, E., &amp; Adepoju, T. F. (2013). Methanolysis optimization of sesame (Sesamum indicum) oil to </w:t>
      </w:r>
      <w:r w:rsidRPr="00486E70">
        <w:rPr>
          <w:rFonts w:ascii="Times New Roman" w:hAnsi="Times New Roman" w:cs="Times New Roman"/>
          <w:noProof/>
          <w:sz w:val="24"/>
          <w:szCs w:val="24"/>
        </w:rPr>
        <w:lastRenderedPageBreak/>
        <w:t xml:space="preserve">biodiesel and fuel quality characterization. </w:t>
      </w:r>
      <w:r w:rsidRPr="00486E70">
        <w:rPr>
          <w:rFonts w:ascii="Times New Roman" w:hAnsi="Times New Roman" w:cs="Times New Roman"/>
          <w:i/>
          <w:iCs/>
          <w:noProof/>
          <w:sz w:val="24"/>
          <w:szCs w:val="24"/>
        </w:rPr>
        <w:t>International Journal of Energy and Environmental Engineering</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4</w:t>
      </w:r>
      <w:r w:rsidRPr="00486E70">
        <w:rPr>
          <w:rFonts w:ascii="Times New Roman" w:hAnsi="Times New Roman" w:cs="Times New Roman"/>
          <w:noProof/>
          <w:sz w:val="24"/>
          <w:szCs w:val="24"/>
        </w:rPr>
        <w:t>(1), 9. https://doi.org/10.1186/2251-6832-4-9</w:t>
      </w:r>
    </w:p>
    <w:p w14:paraId="51E92028"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Çapa, T., Bahç, B., &amp; Abdeljelil, B. Ben. (2023). Assessment of Homogeneous and Heterogeneous Catalysts in Transesterification Reaction : A Mini Review. </w:t>
      </w:r>
      <w:r w:rsidRPr="00486E70">
        <w:rPr>
          <w:rFonts w:ascii="Times New Roman" w:hAnsi="Times New Roman" w:cs="Times New Roman"/>
          <w:i/>
          <w:iCs/>
          <w:noProof/>
          <w:sz w:val="24"/>
          <w:szCs w:val="24"/>
        </w:rPr>
        <w:t>ChemBioEng</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4</w:t>
      </w:r>
      <w:r w:rsidRPr="00486E70">
        <w:rPr>
          <w:rFonts w:ascii="Times New Roman" w:hAnsi="Times New Roman" w:cs="Times New Roman"/>
          <w:noProof/>
          <w:sz w:val="24"/>
          <w:szCs w:val="24"/>
        </w:rPr>
        <w:t>, 412–422. https://doi.org/10.1002/cben.202200021</w:t>
      </w:r>
    </w:p>
    <w:p w14:paraId="77836D5B"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Chumuang, N., &amp; Punsuvon, V. (2017). </w:t>
      </w:r>
      <w:r w:rsidRPr="00486E70">
        <w:rPr>
          <w:rFonts w:ascii="Times New Roman" w:hAnsi="Times New Roman" w:cs="Times New Roman"/>
          <w:i/>
          <w:iCs/>
          <w:noProof/>
          <w:sz w:val="24"/>
          <w:szCs w:val="24"/>
        </w:rPr>
        <w:t>Response Surface Methodology for Biodiesel Production Using Calcium Methoxide Catalyst Assisted with Tetrahydrofuran as Cosolvent</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14</w:t>
      </w:r>
      <w:r w:rsidRPr="00486E70">
        <w:rPr>
          <w:rFonts w:ascii="Times New Roman" w:hAnsi="Times New Roman" w:cs="Times New Roman"/>
          <w:noProof/>
          <w:sz w:val="24"/>
          <w:szCs w:val="24"/>
        </w:rPr>
        <w:t>(1), 4190818.</w:t>
      </w:r>
    </w:p>
    <w:p w14:paraId="080724AA"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Cordeiro, D. O., Silva, J. E., Oliveira, A. A. S., Batista, W. G. S., &amp; Neto, E. L. B. (2019). Influence Of Carbonation And Rehydration On Cao Derived From Calcining Chicken Eggshells In The Catalytic Process Of Soybean. </w:t>
      </w:r>
      <w:r w:rsidRPr="00486E70">
        <w:rPr>
          <w:rFonts w:ascii="Times New Roman" w:hAnsi="Times New Roman" w:cs="Times New Roman"/>
          <w:i/>
          <w:iCs/>
          <w:noProof/>
          <w:sz w:val="24"/>
          <w:szCs w:val="24"/>
        </w:rPr>
        <w:t>Brazillian Journal of Petroleum and Gas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13</w:t>
      </w:r>
      <w:r w:rsidRPr="00486E70">
        <w:rPr>
          <w:rFonts w:ascii="Times New Roman" w:hAnsi="Times New Roman" w:cs="Times New Roman"/>
          <w:noProof/>
          <w:sz w:val="24"/>
          <w:szCs w:val="24"/>
        </w:rPr>
        <w:t>(1), 5419.</w:t>
      </w:r>
    </w:p>
    <w:p w14:paraId="151630C1"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Dolvine, N., Dongmo, S., Bruno, L., Meme, L., &amp; Tongnang, N. (2024). Biodiesel Production From High FFA Raphia vinifera Oil as a Potential Non-edible Feedstock : Process Optimization Using Response Surface Methodology. </w:t>
      </w:r>
      <w:r w:rsidRPr="00486E70">
        <w:rPr>
          <w:rFonts w:ascii="Times New Roman" w:hAnsi="Times New Roman" w:cs="Times New Roman"/>
          <w:i/>
          <w:iCs/>
          <w:noProof/>
          <w:sz w:val="24"/>
          <w:szCs w:val="24"/>
        </w:rPr>
        <w:t>Chemistry Africa</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7</w:t>
      </w:r>
      <w:r w:rsidRPr="00486E70">
        <w:rPr>
          <w:rFonts w:ascii="Times New Roman" w:hAnsi="Times New Roman" w:cs="Times New Roman"/>
          <w:noProof/>
          <w:sz w:val="24"/>
          <w:szCs w:val="24"/>
        </w:rPr>
        <w:t>(3), 1481–1496. https://doi.org/10.1007/s42250-023-00814-0</w:t>
      </w:r>
    </w:p>
    <w:p w14:paraId="0F5908EC"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Donald, P., Sanchez, C., Hashim, N., Shamsudin, R., &amp; Mohd, M. Z. (2021). Effects of different storage temperatures on the quality and shelf life of Malaysian sweet potato ( Ipomoea Batatas L . ) varieties. </w:t>
      </w:r>
      <w:r w:rsidRPr="00486E70">
        <w:rPr>
          <w:rFonts w:ascii="Times New Roman" w:hAnsi="Times New Roman" w:cs="Times New Roman"/>
          <w:i/>
          <w:iCs/>
          <w:noProof/>
          <w:sz w:val="24"/>
          <w:szCs w:val="24"/>
        </w:rPr>
        <w:t>Food Packaging and Shelf Life</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28</w:t>
      </w:r>
      <w:r w:rsidRPr="00486E70">
        <w:rPr>
          <w:rFonts w:ascii="Times New Roman" w:hAnsi="Times New Roman" w:cs="Times New Roman"/>
          <w:noProof/>
          <w:sz w:val="24"/>
          <w:szCs w:val="24"/>
        </w:rPr>
        <w:t>(October 2020), 100642. https://doi.org/10.1016/j.fpsl.2021.100642</w:t>
      </w:r>
    </w:p>
    <w:p w14:paraId="65B81109"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Ehiri, R. C. (2010). Determination of optimal methanol: oil volume ratio for maximum biodiesel production from waste cooking oil. </w:t>
      </w:r>
      <w:r w:rsidRPr="00486E70">
        <w:rPr>
          <w:rFonts w:ascii="Times New Roman" w:hAnsi="Times New Roman" w:cs="Times New Roman"/>
          <w:i/>
          <w:iCs/>
          <w:noProof/>
          <w:sz w:val="24"/>
          <w:szCs w:val="24"/>
        </w:rPr>
        <w:t>Journal of Physical Sciences and Innovation</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2</w:t>
      </w:r>
      <w:r w:rsidRPr="00486E70">
        <w:rPr>
          <w:rFonts w:ascii="Times New Roman" w:hAnsi="Times New Roman" w:cs="Times New Roman"/>
          <w:noProof/>
          <w:sz w:val="24"/>
          <w:szCs w:val="24"/>
        </w:rPr>
        <w:t>(December), 7–10.</w:t>
      </w:r>
    </w:p>
    <w:p w14:paraId="61727529"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Encinar, J. M., Gonza´lez, J. F., Rodrı´guez, J. J., &amp; Tejedor, A. (2002). Biodiesel Fuels from Vegetable Oils : Transesterification of Cynara cardunculus L . Oils with Ethanol. </w:t>
      </w:r>
      <w:r w:rsidRPr="00486E70">
        <w:rPr>
          <w:rFonts w:ascii="Times New Roman" w:hAnsi="Times New Roman" w:cs="Times New Roman"/>
          <w:i/>
          <w:iCs/>
          <w:noProof/>
          <w:sz w:val="24"/>
          <w:szCs w:val="24"/>
        </w:rPr>
        <w:t>Energy &amp; Fuels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7</w:t>
      </w:r>
      <w:r w:rsidRPr="00486E70">
        <w:rPr>
          <w:rFonts w:ascii="Times New Roman" w:hAnsi="Times New Roman" w:cs="Times New Roman"/>
          <w:noProof/>
          <w:sz w:val="24"/>
          <w:szCs w:val="24"/>
        </w:rPr>
        <w:t>, 443–450.</w:t>
      </w:r>
    </w:p>
    <w:p w14:paraId="7F059F80"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Glass, S., Santiago-cruz, H. A., Chen, W., Zhang, T., Guelfo, J., Rittmann, B., Senftle, T. P., Vikesland, P., Villagrán, D., Wang, H., Westerhoff, P., Wong, M. S., Jiang, G., Lowry, G. V, &amp; Alvarez, P. J. J. (2025). Merits , limitations and innovation priorities for heterogeneous catalytic platforms to destroy PFAS. </w:t>
      </w:r>
      <w:r w:rsidRPr="00486E70">
        <w:rPr>
          <w:rFonts w:ascii="Times New Roman" w:hAnsi="Times New Roman" w:cs="Times New Roman"/>
          <w:i/>
          <w:iCs/>
          <w:noProof/>
          <w:sz w:val="24"/>
          <w:szCs w:val="24"/>
        </w:rPr>
        <w:t>Nature Water</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3</w:t>
      </w:r>
      <w:r w:rsidRPr="00486E70">
        <w:rPr>
          <w:rFonts w:ascii="Times New Roman" w:hAnsi="Times New Roman" w:cs="Times New Roman"/>
          <w:noProof/>
          <w:sz w:val="24"/>
          <w:szCs w:val="24"/>
        </w:rPr>
        <w:t>(6), 644–654. https://doi.org/10.1038/s44221-025-00433-8</w:t>
      </w:r>
    </w:p>
    <w:p w14:paraId="15C4EA23"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Gonçalves, M. A., Cristina, H., Maria, P., &amp; Paula, A. (2024). Catalytic conversion of residual raw material into biodiesel using a superior magnetic solid acid catalyst based on Zn – Fe ferrite : thermodynamic and kinetic studies. </w:t>
      </w:r>
      <w:r w:rsidRPr="00486E70">
        <w:rPr>
          <w:rFonts w:ascii="Times New Roman" w:hAnsi="Times New Roman" w:cs="Times New Roman"/>
          <w:i/>
          <w:iCs/>
          <w:noProof/>
          <w:sz w:val="24"/>
          <w:szCs w:val="24"/>
        </w:rPr>
        <w:t>Royal Society of Chemistry</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14</w:t>
      </w:r>
      <w:r w:rsidRPr="00486E70">
        <w:rPr>
          <w:rFonts w:ascii="Times New Roman" w:hAnsi="Times New Roman" w:cs="Times New Roman"/>
          <w:noProof/>
          <w:sz w:val="24"/>
          <w:szCs w:val="24"/>
        </w:rPr>
        <w:t>, 20743–20756. https://doi.org/10.1039/d4ra03580a</w:t>
      </w:r>
    </w:p>
    <w:p w14:paraId="3E570546"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Granados, M. L., Poves, M. D. Z., Alonso, D. M., &amp; Mariscal, R. (2007). </w:t>
      </w:r>
      <w:r w:rsidRPr="00486E70">
        <w:rPr>
          <w:rFonts w:ascii="Times New Roman" w:hAnsi="Times New Roman" w:cs="Times New Roman"/>
          <w:i/>
          <w:iCs/>
          <w:noProof/>
          <w:sz w:val="24"/>
          <w:szCs w:val="24"/>
        </w:rPr>
        <w:t>Granados, M. L., et al. (2007). Biodiesel production from sunflower oil using activated calcium oxide. Applied Catalysis B: Environmental, 73, 317–326.</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73</w:t>
      </w:r>
      <w:r w:rsidRPr="00486E70">
        <w:rPr>
          <w:rFonts w:ascii="Times New Roman" w:hAnsi="Times New Roman" w:cs="Times New Roman"/>
          <w:noProof/>
          <w:sz w:val="24"/>
          <w:szCs w:val="24"/>
        </w:rPr>
        <w:t>(May), 317–326.</w:t>
      </w:r>
    </w:p>
    <w:p w14:paraId="2B722FFD"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Gupta, V., &amp; Singh, K. P. (2023). The impact of heterogeneous catalyst on biodiesel production ; a review. </w:t>
      </w:r>
      <w:r w:rsidRPr="00486E70">
        <w:rPr>
          <w:rFonts w:ascii="Times New Roman" w:hAnsi="Times New Roman" w:cs="Times New Roman"/>
          <w:i/>
          <w:iCs/>
          <w:noProof/>
          <w:sz w:val="24"/>
          <w:szCs w:val="24"/>
        </w:rPr>
        <w:t>Materials Today: Proceedings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78</w:t>
      </w:r>
      <w:r w:rsidRPr="00486E70">
        <w:rPr>
          <w:rFonts w:ascii="Times New Roman" w:hAnsi="Times New Roman" w:cs="Times New Roman"/>
          <w:noProof/>
          <w:sz w:val="24"/>
          <w:szCs w:val="24"/>
        </w:rPr>
        <w:t>, 364–371.</w:t>
      </w:r>
    </w:p>
    <w:p w14:paraId="56A7C36B"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Guzatto, R., Defferrari, D., Reiznautt, Q. B., Cadore, Í. R., &amp; Samios, D. (2012). Transesterification double step process modification for ethyl ester biodiesel production from vegetable and waste oils. </w:t>
      </w:r>
      <w:r w:rsidRPr="00486E70">
        <w:rPr>
          <w:rFonts w:ascii="Times New Roman" w:hAnsi="Times New Roman" w:cs="Times New Roman"/>
          <w:i/>
          <w:iCs/>
          <w:noProof/>
          <w:sz w:val="24"/>
          <w:szCs w:val="24"/>
        </w:rPr>
        <w:t>Fuel</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92</w:t>
      </w:r>
      <w:r w:rsidRPr="00486E70">
        <w:rPr>
          <w:rFonts w:ascii="Times New Roman" w:hAnsi="Times New Roman" w:cs="Times New Roman"/>
          <w:noProof/>
          <w:sz w:val="24"/>
          <w:szCs w:val="24"/>
        </w:rPr>
        <w:t>(1), 197–203. https://doi.org/10.1016/j.fuel.2011.08.010</w:t>
      </w:r>
    </w:p>
    <w:p w14:paraId="7D00B6C9"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Indrianty, I. A., &amp; Muchtar, M. (2024). Utilization Of used oil into biodiesel by using duck bone catalyst to meet the needs of diesel fuel review. </w:t>
      </w:r>
      <w:r w:rsidRPr="00486E70">
        <w:rPr>
          <w:rFonts w:ascii="Times New Roman" w:hAnsi="Times New Roman" w:cs="Times New Roman"/>
          <w:i/>
          <w:iCs/>
          <w:noProof/>
          <w:sz w:val="24"/>
          <w:szCs w:val="24"/>
        </w:rPr>
        <w:t>In BIO Web of Conferences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123</w:t>
      </w:r>
      <w:r w:rsidRPr="00486E70">
        <w:rPr>
          <w:rFonts w:ascii="Times New Roman" w:hAnsi="Times New Roman" w:cs="Times New Roman"/>
          <w:noProof/>
          <w:sz w:val="24"/>
          <w:szCs w:val="24"/>
        </w:rPr>
        <w:t>, 04006. https://doi.org/https://doi.org/10.1051/bioconf/202412304006</w:t>
      </w:r>
    </w:p>
    <w:p w14:paraId="1F7131D6"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Jambhulkar, D. K., Ugwekar, R. P., Bhanvase, B. A., &amp; Divya, P. (2020). A review on solid base heterogeneous catalysts : preparation , characterization and applications. </w:t>
      </w:r>
      <w:r w:rsidRPr="00486E70">
        <w:rPr>
          <w:rFonts w:ascii="Times New Roman" w:hAnsi="Times New Roman" w:cs="Times New Roman"/>
          <w:i/>
          <w:iCs/>
          <w:noProof/>
          <w:sz w:val="24"/>
          <w:szCs w:val="24"/>
        </w:rPr>
        <w:t>Chemical Engineering Communications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209</w:t>
      </w:r>
      <w:r w:rsidRPr="00486E70">
        <w:rPr>
          <w:rFonts w:ascii="Times New Roman" w:hAnsi="Times New Roman" w:cs="Times New Roman"/>
          <w:noProof/>
          <w:sz w:val="24"/>
          <w:szCs w:val="24"/>
        </w:rPr>
        <w:t>(4), 433–484. https://doi.org/10.1080/00986445.2020.1864623</w:t>
      </w:r>
    </w:p>
    <w:p w14:paraId="5491991C"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Khoobbakht, G., Kheiralipour, K., Rasouli, H., &amp; Ra, M. (2020). Experimental exergy analysis of transesterification in biodiesel production. </w:t>
      </w:r>
      <w:r w:rsidRPr="00486E70">
        <w:rPr>
          <w:rFonts w:ascii="Times New Roman" w:hAnsi="Times New Roman" w:cs="Times New Roman"/>
          <w:i/>
          <w:iCs/>
          <w:noProof/>
          <w:sz w:val="24"/>
          <w:szCs w:val="24"/>
        </w:rPr>
        <w:t>Energy</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196</w:t>
      </w:r>
      <w:r w:rsidRPr="00486E70">
        <w:rPr>
          <w:rFonts w:ascii="Times New Roman" w:hAnsi="Times New Roman" w:cs="Times New Roman"/>
          <w:noProof/>
          <w:sz w:val="24"/>
          <w:szCs w:val="24"/>
        </w:rPr>
        <w:t>, 117092. https://doi.org/https://doi.org/10.1016/j.energy.2020.117092</w:t>
      </w:r>
    </w:p>
    <w:p w14:paraId="70ABB41D"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Kingkam, W., Maisomboon, J., Khamenkit, K., Nuchdang, S., Nilgumhang, K., Issarapanacheewin, S., &amp; Rattanaphra, D. (2024). Preparation of CaO @ CeO 2 Solid Base Catalysts Used for Biodiesel Production. </w:t>
      </w:r>
      <w:r w:rsidRPr="00486E70">
        <w:rPr>
          <w:rFonts w:ascii="Times New Roman" w:hAnsi="Times New Roman" w:cs="Times New Roman"/>
          <w:i/>
          <w:iCs/>
          <w:noProof/>
          <w:sz w:val="24"/>
          <w:szCs w:val="24"/>
        </w:rPr>
        <w:t>Catalysts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14</w:t>
      </w:r>
      <w:r w:rsidRPr="00486E70">
        <w:rPr>
          <w:rFonts w:ascii="Times New Roman" w:hAnsi="Times New Roman" w:cs="Times New Roman"/>
          <w:noProof/>
          <w:sz w:val="24"/>
          <w:szCs w:val="24"/>
        </w:rPr>
        <w:t>(4), 240.</w:t>
      </w:r>
    </w:p>
    <w:p w14:paraId="0629C0CA"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Komadel, P. (2016). Acid activated clays : Materials in continuous demand. </w:t>
      </w:r>
      <w:r w:rsidRPr="00486E70">
        <w:rPr>
          <w:rFonts w:ascii="Times New Roman" w:hAnsi="Times New Roman" w:cs="Times New Roman"/>
          <w:i/>
          <w:iCs/>
          <w:noProof/>
          <w:sz w:val="24"/>
          <w:szCs w:val="24"/>
        </w:rPr>
        <w:t>Applied Clay Science</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131</w:t>
      </w:r>
      <w:r w:rsidRPr="00486E70">
        <w:rPr>
          <w:rFonts w:ascii="Times New Roman" w:hAnsi="Times New Roman" w:cs="Times New Roman"/>
          <w:noProof/>
          <w:sz w:val="24"/>
          <w:szCs w:val="24"/>
        </w:rPr>
        <w:t>, 84–99. https://doi.org/10.1016/j.clay.2016.05.001</w:t>
      </w:r>
    </w:p>
    <w:p w14:paraId="0AD5A96D"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Kouzu, M., &amp; Hidaka, J. (2012). Transesterification of vegetable oil into biodiesel catalyzed by CaO : A review. </w:t>
      </w:r>
      <w:r w:rsidRPr="00486E70">
        <w:rPr>
          <w:rFonts w:ascii="Times New Roman" w:hAnsi="Times New Roman" w:cs="Times New Roman"/>
          <w:i/>
          <w:iCs/>
          <w:noProof/>
          <w:sz w:val="24"/>
          <w:szCs w:val="24"/>
        </w:rPr>
        <w:t>Fuel</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93</w:t>
      </w:r>
      <w:r w:rsidRPr="00486E70">
        <w:rPr>
          <w:rFonts w:ascii="Times New Roman" w:hAnsi="Times New Roman" w:cs="Times New Roman"/>
          <w:noProof/>
          <w:sz w:val="24"/>
          <w:szCs w:val="24"/>
        </w:rPr>
        <w:t>, 1–12. https://doi.org/10.1016/j.fuel.2011.09.015</w:t>
      </w:r>
    </w:p>
    <w:p w14:paraId="41D17C3C"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lastRenderedPageBreak/>
        <w:t xml:space="preserve">Krödel, M., Leroy, C., Kim, S. M., Naeem, M. A., Kierzkowska, A., Wu, Y.-H., Armutlulu, A., Fedorov, A., Florian, P., &amp; Müller, C. R. (2023). Of Glasses and Crystals: Mitigating the Deactivation of CaO-Based CO 2 Sorbents through Calcium Aluminosilicates. </w:t>
      </w:r>
      <w:r w:rsidRPr="00486E70">
        <w:rPr>
          <w:rFonts w:ascii="Times New Roman" w:hAnsi="Times New Roman" w:cs="Times New Roman"/>
          <w:i/>
          <w:iCs/>
          <w:noProof/>
          <w:sz w:val="24"/>
          <w:szCs w:val="24"/>
        </w:rPr>
        <w:t>Journal of the American Chemical Society</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3</w:t>
      </w:r>
      <w:r w:rsidRPr="00486E70">
        <w:rPr>
          <w:rFonts w:ascii="Times New Roman" w:hAnsi="Times New Roman" w:cs="Times New Roman"/>
          <w:noProof/>
          <w:sz w:val="24"/>
          <w:szCs w:val="24"/>
        </w:rPr>
        <w:t>, 3111–3126. https://doi.org/10.1021/jacsau.3c00475</w:t>
      </w:r>
    </w:p>
    <w:p w14:paraId="1C97E822"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Kumar, S. A. A., Sakthinathan, G., Vignesh, R., Banu, J. R., &amp; Al-muhtaseb, A. H. (2019). Optimized transesterification reaction for efficient biodiesel production using Indian oil sardine fish as feedstock. </w:t>
      </w:r>
      <w:r w:rsidRPr="00486E70">
        <w:rPr>
          <w:rFonts w:ascii="Times New Roman" w:hAnsi="Times New Roman" w:cs="Times New Roman"/>
          <w:i/>
          <w:iCs/>
          <w:noProof/>
          <w:sz w:val="24"/>
          <w:szCs w:val="24"/>
        </w:rPr>
        <w:t>Fuel</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253</w:t>
      </w:r>
      <w:r w:rsidRPr="00486E70">
        <w:rPr>
          <w:rFonts w:ascii="Times New Roman" w:hAnsi="Times New Roman" w:cs="Times New Roman"/>
          <w:noProof/>
          <w:sz w:val="24"/>
          <w:szCs w:val="24"/>
        </w:rPr>
        <w:t>, 921–929. https://doi.org/10.1016/j.fuel.2019.04.172</w:t>
      </w:r>
    </w:p>
    <w:p w14:paraId="0AB12E21"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Lam, M. K., Lee, K. T., &amp; Mohamed, A. R. (2010). Homogeneous , heterogeneous and enzymatic catalysis for transesteri fi cation of high free fatty acid oil ( waste cooking oil ) to biodiesel : A review. </w:t>
      </w:r>
      <w:r w:rsidRPr="00486E70">
        <w:rPr>
          <w:rFonts w:ascii="Times New Roman" w:hAnsi="Times New Roman" w:cs="Times New Roman"/>
          <w:i/>
          <w:iCs/>
          <w:noProof/>
          <w:sz w:val="24"/>
          <w:szCs w:val="24"/>
        </w:rPr>
        <w:t>Biotechnology Advances</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28</w:t>
      </w:r>
      <w:r w:rsidRPr="00486E70">
        <w:rPr>
          <w:rFonts w:ascii="Times New Roman" w:hAnsi="Times New Roman" w:cs="Times New Roman"/>
          <w:noProof/>
          <w:sz w:val="24"/>
          <w:szCs w:val="24"/>
        </w:rPr>
        <w:t>(4), 500–518. https://doi.org/10.1016/j.biotechadv.2010.03.002</w:t>
      </w:r>
    </w:p>
    <w:p w14:paraId="4A43704B"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Leung, D. Y. C., Wu, X., &amp; Leung, M. K. H. (2010). A review on biodiesel production using catalyzed transesterification. </w:t>
      </w:r>
      <w:r w:rsidRPr="00486E70">
        <w:rPr>
          <w:rFonts w:ascii="Times New Roman" w:hAnsi="Times New Roman" w:cs="Times New Roman"/>
          <w:i/>
          <w:iCs/>
          <w:noProof/>
          <w:sz w:val="24"/>
          <w:szCs w:val="24"/>
        </w:rPr>
        <w:t>Applied Energy</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87</w:t>
      </w:r>
      <w:r w:rsidRPr="00486E70">
        <w:rPr>
          <w:rFonts w:ascii="Times New Roman" w:hAnsi="Times New Roman" w:cs="Times New Roman"/>
          <w:noProof/>
          <w:sz w:val="24"/>
          <w:szCs w:val="24"/>
        </w:rPr>
        <w:t>(4), 1083–1095. https://doi.org/10.1016/j.apenergy.2009.10.006</w:t>
      </w:r>
    </w:p>
    <w:p w14:paraId="1837D1F4" w14:textId="77777777" w:rsidR="00E65108" w:rsidRPr="00486E70"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486E70">
        <w:rPr>
          <w:rFonts w:ascii="Times New Roman" w:hAnsi="Times New Roman" w:cs="Times New Roman"/>
          <w:noProof/>
          <w:sz w:val="24"/>
          <w:szCs w:val="24"/>
        </w:rPr>
        <w:t xml:space="preserve">Li, M., Chen, J., Li, L., Ye, C., Lin, X., &amp; Qiu, T. (2021). ScienceDirect Novel multi – SO 3 H functionalized ionic liquids as highly efficient catalyst for synthesis of biodiesel. </w:t>
      </w:r>
      <w:r w:rsidRPr="00486E70">
        <w:rPr>
          <w:rFonts w:ascii="Times New Roman" w:hAnsi="Times New Roman" w:cs="Times New Roman"/>
          <w:i/>
          <w:iCs/>
          <w:noProof/>
          <w:sz w:val="24"/>
          <w:szCs w:val="24"/>
        </w:rPr>
        <w:t>Green Energy and Environment</w:t>
      </w:r>
      <w:r w:rsidRPr="00486E70">
        <w:rPr>
          <w:rFonts w:ascii="Times New Roman" w:hAnsi="Times New Roman" w:cs="Times New Roman"/>
          <w:noProof/>
          <w:sz w:val="24"/>
          <w:szCs w:val="24"/>
        </w:rPr>
        <w:t xml:space="preserve">, </w:t>
      </w:r>
      <w:r w:rsidRPr="00486E70">
        <w:rPr>
          <w:rFonts w:ascii="Times New Roman" w:hAnsi="Times New Roman" w:cs="Times New Roman"/>
          <w:i/>
          <w:iCs/>
          <w:noProof/>
          <w:sz w:val="24"/>
          <w:szCs w:val="24"/>
        </w:rPr>
        <w:t>6</w:t>
      </w:r>
      <w:r w:rsidRPr="00486E70">
        <w:rPr>
          <w:rFonts w:ascii="Times New Roman" w:hAnsi="Times New Roman" w:cs="Times New Roman"/>
          <w:noProof/>
          <w:sz w:val="24"/>
          <w:szCs w:val="24"/>
        </w:rPr>
        <w:t>(2), 271–282. https://doi.org/10.1016/j.gee.2020.05.004</w:t>
      </w:r>
    </w:p>
    <w:p w14:paraId="307E35EA"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LibreTexts. (2022). </w:t>
      </w:r>
      <w:r w:rsidRPr="005E7C8D">
        <w:rPr>
          <w:rFonts w:ascii="Times New Roman" w:hAnsi="Times New Roman" w:cs="Times New Roman"/>
          <w:i/>
          <w:iCs/>
          <w:noProof/>
          <w:sz w:val="24"/>
          <w:szCs w:val="24"/>
        </w:rPr>
        <w:t>Infrared Spectroscopy Absorption Table</w:t>
      </w:r>
      <w:r w:rsidRPr="005E7C8D">
        <w:rPr>
          <w:rFonts w:ascii="Times New Roman" w:hAnsi="Times New Roman" w:cs="Times New Roman"/>
          <w:noProof/>
          <w:sz w:val="24"/>
          <w:szCs w:val="24"/>
        </w:rPr>
        <w:t xml:space="preserve"> (p. 22645). https://chem.libretexts.org/@go/page/22645%0A</w:t>
      </w:r>
    </w:p>
    <w:p w14:paraId="74E7154A"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Maa, F., &amp; Hanna, M. A. (1999). Biodiesel production : a review. </w:t>
      </w:r>
      <w:r w:rsidRPr="005E7C8D">
        <w:rPr>
          <w:rFonts w:ascii="Times New Roman" w:hAnsi="Times New Roman" w:cs="Times New Roman"/>
          <w:i/>
          <w:iCs/>
          <w:noProof/>
          <w:sz w:val="24"/>
          <w:szCs w:val="24"/>
        </w:rPr>
        <w:t>Bioresource Technology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70</w:t>
      </w:r>
      <w:r w:rsidRPr="005E7C8D">
        <w:rPr>
          <w:rFonts w:ascii="Times New Roman" w:hAnsi="Times New Roman" w:cs="Times New Roman"/>
          <w:noProof/>
          <w:sz w:val="24"/>
          <w:szCs w:val="24"/>
        </w:rPr>
        <w:t>, 1–15.</w:t>
      </w:r>
    </w:p>
    <w:p w14:paraId="6028BC6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Mandari, V., &amp; Kumar, S. (2022). Biodiesel Production Using Homogeneous , Heterogeneous , and Enzyme Catalysts via Transesterification and Esterification Reactions : a Critical Review. </w:t>
      </w:r>
      <w:r w:rsidRPr="005E7C8D">
        <w:rPr>
          <w:rFonts w:ascii="Times New Roman" w:hAnsi="Times New Roman" w:cs="Times New Roman"/>
          <w:i/>
          <w:iCs/>
          <w:noProof/>
          <w:sz w:val="24"/>
          <w:szCs w:val="24"/>
        </w:rPr>
        <w:t>BioEnergy Research</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15</w:t>
      </w:r>
      <w:r w:rsidRPr="005E7C8D">
        <w:rPr>
          <w:rFonts w:ascii="Times New Roman" w:hAnsi="Times New Roman" w:cs="Times New Roman"/>
          <w:noProof/>
          <w:sz w:val="24"/>
          <w:szCs w:val="24"/>
        </w:rPr>
        <w:t>(2), 935–961. https://doi.org/10.1007/s12155-021-10333-w</w:t>
      </w:r>
    </w:p>
    <w:p w14:paraId="15D1AE3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Mardhiah, H. H., Ong, H. C., Masjuki, H. H., Lim, S., &amp; Lee, H. V. (2017). A review on latest developments and future prospects of heterogeneous catalyst in biodiesel production from non-edible oils. </w:t>
      </w:r>
      <w:r w:rsidRPr="005E7C8D">
        <w:rPr>
          <w:rFonts w:ascii="Times New Roman" w:hAnsi="Times New Roman" w:cs="Times New Roman"/>
          <w:i/>
          <w:iCs/>
          <w:noProof/>
          <w:sz w:val="24"/>
          <w:szCs w:val="24"/>
        </w:rPr>
        <w:t>Renewable and Sustainable Energy Reviews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67</w:t>
      </w:r>
      <w:r w:rsidRPr="005E7C8D">
        <w:rPr>
          <w:rFonts w:ascii="Times New Roman" w:hAnsi="Times New Roman" w:cs="Times New Roman"/>
          <w:noProof/>
          <w:sz w:val="24"/>
          <w:szCs w:val="24"/>
        </w:rPr>
        <w:t>, 1225–1236. https://doi.org/10.1016/j.rser.2016.09.036</w:t>
      </w:r>
    </w:p>
    <w:p w14:paraId="281631A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Masango, S. B., Ngema, P. T., &amp; Olagunju, O. A. (2024). The Effect of Reaction Temperature , Catalyst Concentration and Alcohol Ratio in the Production of Biodiesel from Raw and Purified Castor Oil. </w:t>
      </w:r>
      <w:r w:rsidRPr="005E7C8D">
        <w:rPr>
          <w:rFonts w:ascii="Times New Roman" w:hAnsi="Times New Roman" w:cs="Times New Roman"/>
          <w:i/>
          <w:iCs/>
          <w:noProof/>
          <w:sz w:val="24"/>
          <w:szCs w:val="24"/>
        </w:rPr>
        <w:t>Advances in Chemical Engineering and Science</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14</w:t>
      </w:r>
      <w:r w:rsidRPr="005E7C8D">
        <w:rPr>
          <w:rFonts w:ascii="Times New Roman" w:hAnsi="Times New Roman" w:cs="Times New Roman"/>
          <w:noProof/>
          <w:sz w:val="24"/>
          <w:szCs w:val="24"/>
        </w:rPr>
        <w:t>, 137–154. https://doi.org/10.4236/aces.2024.143009</w:t>
      </w:r>
    </w:p>
    <w:p w14:paraId="767C99A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Meher, L. C., Sagar, D. V., &amp; Naik, S. N. (2006). </w:t>
      </w:r>
      <w:r w:rsidRPr="005E7C8D">
        <w:rPr>
          <w:rFonts w:ascii="Times New Roman" w:hAnsi="Times New Roman" w:cs="Times New Roman"/>
          <w:i/>
          <w:iCs/>
          <w:noProof/>
          <w:sz w:val="24"/>
          <w:szCs w:val="24"/>
        </w:rPr>
        <w:t>Technical aspects of biodiesel production by transesterification — a review</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10</w:t>
      </w:r>
      <w:r w:rsidRPr="005E7C8D">
        <w:rPr>
          <w:rFonts w:ascii="Times New Roman" w:hAnsi="Times New Roman" w:cs="Times New Roman"/>
          <w:noProof/>
          <w:sz w:val="24"/>
          <w:szCs w:val="24"/>
        </w:rPr>
        <w:t>, 248–268. https://doi.org/10.1016/j.rser.2004.09.002</w:t>
      </w:r>
    </w:p>
    <w:p w14:paraId="25208E44"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Meira, M., Quintella, C. M., Ribeiro, E. M. O., Silva, H. R. G., &amp; Guimarães, A. K. (2015). Overview of the challenges in the production of biodiesel. </w:t>
      </w:r>
      <w:r w:rsidRPr="005E7C8D">
        <w:rPr>
          <w:rFonts w:ascii="Times New Roman" w:hAnsi="Times New Roman" w:cs="Times New Roman"/>
          <w:i/>
          <w:iCs/>
          <w:noProof/>
          <w:sz w:val="24"/>
          <w:szCs w:val="24"/>
        </w:rPr>
        <w:t>Biomass Conversion and Biorefinery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5</w:t>
      </w:r>
      <w:r w:rsidRPr="005E7C8D">
        <w:rPr>
          <w:rFonts w:ascii="Times New Roman" w:hAnsi="Times New Roman" w:cs="Times New Roman"/>
          <w:noProof/>
          <w:sz w:val="24"/>
          <w:szCs w:val="24"/>
        </w:rPr>
        <w:t>(3), 321–329. https://doi.org/10.1007/s13399-014-0146-2</w:t>
      </w:r>
    </w:p>
    <w:p w14:paraId="6CFE8976"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Mohamed, S., Aghareed, F., Shereen, M. T., Hamid, M. S. A., &amp; Osman, R. M. (2024). Recent advances in transesterification for sustainable biodiesel production , challenges , and prospects : a comprehensive review. </w:t>
      </w:r>
      <w:r w:rsidRPr="005E7C8D">
        <w:rPr>
          <w:rFonts w:ascii="Times New Roman" w:hAnsi="Times New Roman" w:cs="Times New Roman"/>
          <w:i/>
          <w:iCs/>
          <w:noProof/>
          <w:sz w:val="24"/>
          <w:szCs w:val="24"/>
        </w:rPr>
        <w:t>Environmental Science and Pollution Research</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31</w:t>
      </w:r>
      <w:r w:rsidRPr="005E7C8D">
        <w:rPr>
          <w:rFonts w:ascii="Times New Roman" w:hAnsi="Times New Roman" w:cs="Times New Roman"/>
          <w:noProof/>
          <w:sz w:val="24"/>
          <w:szCs w:val="24"/>
        </w:rPr>
        <w:t>(9), 12722–12747. https://doi.org/10.1007/s11356-024-32027-4</w:t>
      </w:r>
    </w:p>
    <w:p w14:paraId="7BEC6DF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Montgomery, D. C. (2017). </w:t>
      </w:r>
      <w:r w:rsidRPr="005E7C8D">
        <w:rPr>
          <w:rFonts w:ascii="Times New Roman" w:hAnsi="Times New Roman" w:cs="Times New Roman"/>
          <w:i/>
          <w:iCs/>
          <w:noProof/>
          <w:sz w:val="24"/>
          <w:szCs w:val="24"/>
        </w:rPr>
        <w:t>Design and analysis of experiments</w:t>
      </w:r>
      <w:r w:rsidRPr="005E7C8D">
        <w:rPr>
          <w:rFonts w:ascii="Times New Roman" w:hAnsi="Times New Roman" w:cs="Times New Roman"/>
          <w:noProof/>
          <w:sz w:val="24"/>
          <w:szCs w:val="24"/>
        </w:rPr>
        <w:t xml:space="preserve"> (Ninth Edit). Copyright © 2017, 2013, 2009 John Wiley &amp; Sons, Inc.</w:t>
      </w:r>
    </w:p>
    <w:p w14:paraId="3844D2D6"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Mounts., B. F. E. H. P. T. L. (1984). Variables Affecting the Yields of Fatty Esters from Transesterified Vegetable Oils. </w:t>
      </w:r>
      <w:r w:rsidRPr="005E7C8D">
        <w:rPr>
          <w:rFonts w:ascii="Times New Roman" w:hAnsi="Times New Roman" w:cs="Times New Roman"/>
          <w:i/>
          <w:iCs/>
          <w:noProof/>
          <w:sz w:val="24"/>
          <w:szCs w:val="24"/>
        </w:rPr>
        <w:t>Proceedings of the Conference on Integrating Technology into Computer Science Education, ITiCSE</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61</w:t>
      </w:r>
      <w:r w:rsidRPr="005E7C8D">
        <w:rPr>
          <w:rFonts w:ascii="Times New Roman" w:hAnsi="Times New Roman" w:cs="Times New Roman"/>
          <w:noProof/>
          <w:sz w:val="24"/>
          <w:szCs w:val="24"/>
        </w:rPr>
        <w:t>(10), 677–678. https://doi.org/10.1145/3017680.3017802</w:t>
      </w:r>
    </w:p>
    <w:p w14:paraId="435937A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Nair, A. T., Makwana, A. R., &amp; Ahammed, M. M. (2018). </w:t>
      </w:r>
      <w:r w:rsidRPr="005E7C8D">
        <w:rPr>
          <w:rFonts w:ascii="Times New Roman" w:hAnsi="Times New Roman" w:cs="Times New Roman"/>
          <w:i/>
          <w:iCs/>
          <w:noProof/>
          <w:sz w:val="24"/>
          <w:szCs w:val="24"/>
        </w:rPr>
        <w:t>The use of response surface methodology for modelling and analysis of water and wastewater treatment processes : a review</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November</w:t>
      </w:r>
      <w:r w:rsidRPr="005E7C8D">
        <w:rPr>
          <w:rFonts w:ascii="Times New Roman" w:hAnsi="Times New Roman" w:cs="Times New Roman"/>
          <w:noProof/>
          <w:sz w:val="24"/>
          <w:szCs w:val="24"/>
        </w:rPr>
        <w:t>, 464–478. https://doi.org/10.2166/wst.2013.733</w:t>
      </w:r>
    </w:p>
    <w:p w14:paraId="50B9E32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Narasimharao, K., Mostafa, M. M. M., Al-amshany, Z. M., &amp; Bajafar, W. (2023). Mechanochemical Synthesized CaO/ZnCo 2 O 4 Nanocomposites for Biodiesel Production. </w:t>
      </w:r>
      <w:r w:rsidRPr="005E7C8D">
        <w:rPr>
          <w:rFonts w:ascii="Times New Roman" w:hAnsi="Times New Roman" w:cs="Times New Roman"/>
          <w:i/>
          <w:iCs/>
          <w:noProof/>
          <w:sz w:val="24"/>
          <w:szCs w:val="24"/>
        </w:rPr>
        <w:t>Catalysts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13</w:t>
      </w:r>
      <w:r w:rsidRPr="005E7C8D">
        <w:rPr>
          <w:rFonts w:ascii="Times New Roman" w:hAnsi="Times New Roman" w:cs="Times New Roman"/>
          <w:noProof/>
          <w:sz w:val="24"/>
          <w:szCs w:val="24"/>
        </w:rPr>
        <w:t>(2), 398.</w:t>
      </w:r>
    </w:p>
    <w:p w14:paraId="064D34C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Nawin, L., Kumar, M., &amp; Thakur, C. (2024). Application of Catalysts Used in Biodiesel Production - A Review. </w:t>
      </w:r>
      <w:r w:rsidRPr="005E7C8D">
        <w:rPr>
          <w:rFonts w:ascii="Times New Roman" w:hAnsi="Times New Roman" w:cs="Times New Roman"/>
          <w:i/>
          <w:iCs/>
          <w:noProof/>
          <w:sz w:val="24"/>
          <w:szCs w:val="24"/>
        </w:rPr>
        <w:t>Journal of Environmental Nanotechnology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13</w:t>
      </w:r>
      <w:r w:rsidRPr="005E7C8D">
        <w:rPr>
          <w:rFonts w:ascii="Times New Roman" w:hAnsi="Times New Roman" w:cs="Times New Roman"/>
          <w:noProof/>
          <w:sz w:val="24"/>
          <w:szCs w:val="24"/>
        </w:rPr>
        <w:t>(3), 145–151.</w:t>
      </w:r>
    </w:p>
    <w:p w14:paraId="5AEF7530"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Odisu, T., Akemu, A., Obahiagbon, K. O. ., &amp; Anih, E. C. (2019). Comparative Studies on the Production of Biodiesel from Shea Nut Oil by Acid Catalyzed and Supercritical Transesterification Processes. </w:t>
      </w:r>
      <w:r w:rsidRPr="005E7C8D">
        <w:rPr>
          <w:rFonts w:ascii="Times New Roman" w:hAnsi="Times New Roman" w:cs="Times New Roman"/>
          <w:i/>
          <w:iCs/>
          <w:noProof/>
          <w:sz w:val="24"/>
          <w:szCs w:val="24"/>
        </w:rPr>
        <w:t>Appl. Sci. Environmental Management.</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23</w:t>
      </w:r>
      <w:r w:rsidRPr="005E7C8D">
        <w:rPr>
          <w:rFonts w:ascii="Times New Roman" w:hAnsi="Times New Roman" w:cs="Times New Roman"/>
          <w:noProof/>
          <w:sz w:val="24"/>
          <w:szCs w:val="24"/>
        </w:rPr>
        <w:t>(2), 349–357. https://doi.org/https://dx.doi.org/10.4314/jasem.v23i2.23</w:t>
      </w:r>
    </w:p>
    <w:p w14:paraId="2F6F8EAD"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lastRenderedPageBreak/>
        <w:t xml:space="preserve">Olubunmi, B. E., Karmakar, B., Aderemi, O. M., G, A. U., Auta, M., &amp; Halder, G. (2020). Journal of Environmental Chemical Engineering Parametric optimization by Taguchi L9 approach towards biodiesel production from restaurant waste oil using Fe-supported anthill catalyst. </w:t>
      </w:r>
      <w:r w:rsidRPr="005E7C8D">
        <w:rPr>
          <w:rFonts w:ascii="Times New Roman" w:hAnsi="Times New Roman" w:cs="Times New Roman"/>
          <w:i/>
          <w:iCs/>
          <w:noProof/>
          <w:sz w:val="24"/>
          <w:szCs w:val="24"/>
        </w:rPr>
        <w:t>Journal of Environmental Chemical Engineering</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8</w:t>
      </w:r>
      <w:r w:rsidRPr="005E7C8D">
        <w:rPr>
          <w:rFonts w:ascii="Times New Roman" w:hAnsi="Times New Roman" w:cs="Times New Roman"/>
          <w:noProof/>
          <w:sz w:val="24"/>
          <w:szCs w:val="24"/>
        </w:rPr>
        <w:t>(5), 104288. https://doi.org/10.1016/j.jece.2020.104288</w:t>
      </w:r>
    </w:p>
    <w:p w14:paraId="65C14D53"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Osorio-Tejada, J. L., Llera-Sastresa, E., &amp; Scarpellini, S. (2017). A multi-criteria sustainability assessment for biodiesel and liquefied natural gas as alternative fuels in transport systems. </w:t>
      </w:r>
      <w:r w:rsidRPr="005E7C8D">
        <w:rPr>
          <w:rFonts w:ascii="Times New Roman" w:hAnsi="Times New Roman" w:cs="Times New Roman"/>
          <w:i/>
          <w:iCs/>
          <w:noProof/>
          <w:sz w:val="24"/>
          <w:szCs w:val="24"/>
        </w:rPr>
        <w:t>Journal of Natural Gas Science and Engineering</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42</w:t>
      </w:r>
      <w:r w:rsidRPr="005E7C8D">
        <w:rPr>
          <w:rFonts w:ascii="Times New Roman" w:hAnsi="Times New Roman" w:cs="Times New Roman"/>
          <w:noProof/>
          <w:sz w:val="24"/>
          <w:szCs w:val="24"/>
        </w:rPr>
        <w:t>, 169–186. https://doi.org/10.1016/j.jngse.2017.02.046</w:t>
      </w:r>
    </w:p>
    <w:p w14:paraId="43C0581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Patiño, Y., Faba, L., Peláez, R., Cueto, J., Marín, P., Díaz, E., &amp; Ordóñez, S. (2023). The Role of Ion Exchange Resins for Solving Biorefinery Catalytic Processes Challenges. </w:t>
      </w:r>
      <w:r w:rsidRPr="005E7C8D">
        <w:rPr>
          <w:rFonts w:ascii="Times New Roman" w:hAnsi="Times New Roman" w:cs="Times New Roman"/>
          <w:i/>
          <w:iCs/>
          <w:noProof/>
          <w:sz w:val="24"/>
          <w:szCs w:val="24"/>
        </w:rPr>
        <w:t>Catalysts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13</w:t>
      </w:r>
      <w:r w:rsidRPr="005E7C8D">
        <w:rPr>
          <w:rFonts w:ascii="Times New Roman" w:hAnsi="Times New Roman" w:cs="Times New Roman"/>
          <w:noProof/>
          <w:sz w:val="24"/>
          <w:szCs w:val="24"/>
        </w:rPr>
        <w:t>(6), 999.</w:t>
      </w:r>
    </w:p>
    <w:p w14:paraId="4501777A"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Qader, D. N., Jamil, A. S., Bahrami, A., Ali, M., &amp; Arunachalam, K. P. (2025). A systematic review of metakaolin-based alkali- activated and geopolymer concrete : A step toward green concrete. </w:t>
      </w:r>
      <w:r w:rsidRPr="005E7C8D">
        <w:rPr>
          <w:rFonts w:ascii="Times New Roman" w:hAnsi="Times New Roman" w:cs="Times New Roman"/>
          <w:i/>
          <w:iCs/>
          <w:noProof/>
          <w:sz w:val="24"/>
          <w:szCs w:val="24"/>
        </w:rPr>
        <w:t>Reviews on Advanced Materials Science</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64</w:t>
      </w:r>
      <w:r w:rsidRPr="005E7C8D">
        <w:rPr>
          <w:rFonts w:ascii="Times New Roman" w:hAnsi="Times New Roman" w:cs="Times New Roman"/>
          <w:noProof/>
          <w:sz w:val="24"/>
          <w:szCs w:val="24"/>
        </w:rPr>
        <w:t>(1), 20240076.</w:t>
      </w:r>
    </w:p>
    <w:p w14:paraId="64515178"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Qurashi, F., Sial, S. A., &amp; Qureshi, H. H. (2026). Recent developments in biodiesel synthesis from agricultural wastes : A comprehensive review of feedstocks , catalysts , and machine learning approaches. </w:t>
      </w:r>
      <w:r w:rsidRPr="005E7C8D">
        <w:rPr>
          <w:rFonts w:ascii="Times New Roman" w:hAnsi="Times New Roman" w:cs="Times New Roman"/>
          <w:i/>
          <w:iCs/>
          <w:noProof/>
          <w:sz w:val="24"/>
          <w:szCs w:val="24"/>
        </w:rPr>
        <w:t>SciNex Journal of Advanced Sciences.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w:t>
      </w:r>
      <w:r w:rsidRPr="005E7C8D">
        <w:rPr>
          <w:rFonts w:ascii="Times New Roman" w:hAnsi="Times New Roman" w:cs="Times New Roman"/>
          <w:noProof/>
          <w:sz w:val="24"/>
          <w:szCs w:val="24"/>
        </w:rPr>
        <w:t>(01), 202510060007–202510060007. https://doi.org/10.sjas.202510060007</w:t>
      </w:r>
    </w:p>
    <w:p w14:paraId="1EAF53B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Reda, A. (2014). Production and characterization of biodiesel from the traditional tannery fleshing wastesNo Title. </w:t>
      </w:r>
      <w:r w:rsidRPr="005E7C8D">
        <w:rPr>
          <w:rFonts w:ascii="Times New Roman" w:hAnsi="Times New Roman" w:cs="Times New Roman"/>
          <w:i/>
          <w:iCs/>
          <w:noProof/>
          <w:sz w:val="24"/>
          <w:szCs w:val="24"/>
        </w:rPr>
        <w:t>Ethiop. J. Sci. &amp; Technol.</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7</w:t>
      </w:r>
      <w:r w:rsidRPr="005E7C8D">
        <w:rPr>
          <w:rFonts w:ascii="Times New Roman" w:hAnsi="Times New Roman" w:cs="Times New Roman"/>
          <w:noProof/>
          <w:sz w:val="24"/>
          <w:szCs w:val="24"/>
        </w:rPr>
        <w:t>(1), 1–13.</w:t>
      </w:r>
    </w:p>
    <w:p w14:paraId="472C701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Rezania, S., Sotoudehnia, Z., Ali, M., Cho, J., Kumar, K., Cabral-pinto, M. M. S., Alam, J., Ahamed, M., &amp; Rashidi, H. (2021). Lanthanum phosphate foam as novel heterogeneous nanocatalyst for biodiesel production from waste cooking oil. </w:t>
      </w:r>
      <w:r w:rsidRPr="005E7C8D">
        <w:rPr>
          <w:rFonts w:ascii="Times New Roman" w:hAnsi="Times New Roman" w:cs="Times New Roman"/>
          <w:i/>
          <w:iCs/>
          <w:noProof/>
          <w:sz w:val="24"/>
          <w:szCs w:val="24"/>
        </w:rPr>
        <w:t>Renewable Energy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176</w:t>
      </w:r>
      <w:r w:rsidRPr="005E7C8D">
        <w:rPr>
          <w:rFonts w:ascii="Times New Roman" w:hAnsi="Times New Roman" w:cs="Times New Roman"/>
          <w:noProof/>
          <w:sz w:val="24"/>
          <w:szCs w:val="24"/>
        </w:rPr>
        <w:t>, 228–236. https://doi.org/10.1016/j.renene.2021.05.060</w:t>
      </w:r>
    </w:p>
    <w:p w14:paraId="0ED635C6"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Rizwanul Fattah, I. M., Ong, H. C., Mahlia, T. M. I., Mofijur, M., Silitonga, A. S., Ashrafur Rahman, S. M., &amp; Ahmad, A. (2020). State of the Art of Catalysts for Biodiesel Production. </w:t>
      </w:r>
      <w:r w:rsidRPr="005E7C8D">
        <w:rPr>
          <w:rFonts w:ascii="Times New Roman" w:hAnsi="Times New Roman" w:cs="Times New Roman"/>
          <w:i/>
          <w:iCs/>
          <w:noProof/>
          <w:sz w:val="24"/>
          <w:szCs w:val="24"/>
        </w:rPr>
        <w:t>Frontiers in Energy Research</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8</w:t>
      </w:r>
      <w:r w:rsidRPr="005E7C8D">
        <w:rPr>
          <w:rFonts w:ascii="Times New Roman" w:hAnsi="Times New Roman" w:cs="Times New Roman"/>
          <w:noProof/>
          <w:sz w:val="24"/>
          <w:szCs w:val="24"/>
        </w:rPr>
        <w:t>, 101. https://doi.org/10.3389/fenrg.2020.00101</w:t>
      </w:r>
    </w:p>
    <w:p w14:paraId="4AD99E9B"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Schuth, F. (2005). Engineered Porous Catalytic Materials. </w:t>
      </w:r>
      <w:r w:rsidRPr="005E7C8D">
        <w:rPr>
          <w:rFonts w:ascii="Times New Roman" w:hAnsi="Times New Roman" w:cs="Times New Roman"/>
          <w:i/>
          <w:iCs/>
          <w:noProof/>
          <w:sz w:val="24"/>
          <w:szCs w:val="24"/>
        </w:rPr>
        <w:t>Annu. Rev. Mater. Res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35</w:t>
      </w:r>
      <w:r w:rsidRPr="005E7C8D">
        <w:rPr>
          <w:rFonts w:ascii="Times New Roman" w:hAnsi="Times New Roman" w:cs="Times New Roman"/>
          <w:noProof/>
          <w:sz w:val="24"/>
          <w:szCs w:val="24"/>
        </w:rPr>
        <w:t>(1), 209–238. https://doi.org/10.1146/annurev.matsci.35.012704.142050</w:t>
      </w:r>
    </w:p>
    <w:p w14:paraId="19A68A8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Serio, M. Di, Cozzolino, M., Giordano, M., Tesser, R., Patrono, P., Santacesaria, E., Uni, V., Ii, F., Uni, C., &amp; Monte, V. (2007). </w:t>
      </w:r>
      <w:r w:rsidRPr="005E7C8D">
        <w:rPr>
          <w:rFonts w:ascii="Times New Roman" w:hAnsi="Times New Roman" w:cs="Times New Roman"/>
          <w:i/>
          <w:iCs/>
          <w:noProof/>
          <w:sz w:val="24"/>
          <w:szCs w:val="24"/>
        </w:rPr>
        <w:t>From Homogeneous to Heterogeneous Catalysts in Biodiesel Production</w:t>
      </w:r>
      <w:r w:rsidRPr="005E7C8D">
        <w:rPr>
          <w:rFonts w:ascii="Times New Roman" w:hAnsi="Times New Roman" w:cs="Times New Roman"/>
          <w:noProof/>
          <w:sz w:val="24"/>
          <w:szCs w:val="24"/>
        </w:rPr>
        <w:t>. 6379–6384.</w:t>
      </w:r>
    </w:p>
    <w:p w14:paraId="251E5928"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Serio, M. Di, Ledda, M., Cozzolino, M., Minutillo, G., Tesser, R., Santacesaria, E., Ii, F., Angelo, M. S., Cintia, V., B, S. S. N. P. S., &amp; Na, V. (2006). Transesterification of Soybean Oil to Biodiesel by Using Heterogeneous Basic Catalysts. </w:t>
      </w:r>
      <w:r w:rsidRPr="005E7C8D">
        <w:rPr>
          <w:rFonts w:ascii="Times New Roman" w:hAnsi="Times New Roman" w:cs="Times New Roman"/>
          <w:i/>
          <w:iCs/>
          <w:noProof/>
          <w:sz w:val="24"/>
          <w:szCs w:val="24"/>
        </w:rPr>
        <w:t>Industrial &amp; Engineering Chemistry Research</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45</w:t>
      </w:r>
      <w:r w:rsidRPr="005E7C8D">
        <w:rPr>
          <w:rFonts w:ascii="Times New Roman" w:hAnsi="Times New Roman" w:cs="Times New Roman"/>
          <w:noProof/>
          <w:sz w:val="24"/>
          <w:szCs w:val="24"/>
        </w:rPr>
        <w:t>(9), 3009–3014.</w:t>
      </w:r>
    </w:p>
    <w:p w14:paraId="184F18C5"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Singh, D., Singh, K., Jadeja, Y., Menon, S. V, Singh, P., Ibrahim, S. M., &amp; Singh, M. (2025). Magnetic nano-sized solid acid catalyst bearing sulfonic acid groups for biodiesel synthesis and oxidation of sulfides. </w:t>
      </w:r>
      <w:r w:rsidRPr="005E7C8D">
        <w:rPr>
          <w:rFonts w:ascii="Times New Roman" w:hAnsi="Times New Roman" w:cs="Times New Roman"/>
          <w:i/>
          <w:iCs/>
          <w:noProof/>
          <w:sz w:val="24"/>
          <w:szCs w:val="24"/>
        </w:rPr>
        <w:t>Scientific Reports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15</w:t>
      </w:r>
      <w:r w:rsidRPr="005E7C8D">
        <w:rPr>
          <w:rFonts w:ascii="Times New Roman" w:hAnsi="Times New Roman" w:cs="Times New Roman"/>
          <w:noProof/>
          <w:sz w:val="24"/>
          <w:szCs w:val="24"/>
        </w:rPr>
        <w:t>, 1397. https://doi.org/https://doi.org/10.1038/s41598-024-84494-x</w:t>
      </w:r>
    </w:p>
    <w:p w14:paraId="2D75EAC0"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Sisca, V., Zilfa, Jamarun, N., &amp; Tanjung, D. A. (2025). Catalytic innovation for renewable energy: TiO₂-supported precipitated calcium carbonate catalyst for biodiesel synthesis. </w:t>
      </w:r>
      <w:r w:rsidRPr="005E7C8D">
        <w:rPr>
          <w:rFonts w:ascii="Times New Roman" w:hAnsi="Times New Roman" w:cs="Times New Roman"/>
          <w:i/>
          <w:iCs/>
          <w:noProof/>
          <w:sz w:val="24"/>
          <w:szCs w:val="24"/>
        </w:rPr>
        <w:t>Baghdad Science Journal</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22</w:t>
      </w:r>
      <w:r w:rsidRPr="005E7C8D">
        <w:rPr>
          <w:rFonts w:ascii="Times New Roman" w:hAnsi="Times New Roman" w:cs="Times New Roman"/>
          <w:noProof/>
          <w:sz w:val="24"/>
          <w:szCs w:val="24"/>
        </w:rPr>
        <w:t>(3), 11692.</w:t>
      </w:r>
    </w:p>
    <w:p w14:paraId="1FBB8F89"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Sorrell, S. (2010). Energy, economic growth and environmental sustainability: Five propositions. </w:t>
      </w:r>
      <w:r w:rsidRPr="005E7C8D">
        <w:rPr>
          <w:rFonts w:ascii="Times New Roman" w:hAnsi="Times New Roman" w:cs="Times New Roman"/>
          <w:i/>
          <w:iCs/>
          <w:noProof/>
          <w:sz w:val="24"/>
          <w:szCs w:val="24"/>
        </w:rPr>
        <w:t>Sustainability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2</w:t>
      </w:r>
      <w:r w:rsidRPr="005E7C8D">
        <w:rPr>
          <w:rFonts w:ascii="Times New Roman" w:hAnsi="Times New Roman" w:cs="Times New Roman"/>
          <w:noProof/>
          <w:sz w:val="24"/>
          <w:szCs w:val="24"/>
        </w:rPr>
        <w:t>(6), 1784–1809. https://doi.org/10.3390/su2061784</w:t>
      </w:r>
    </w:p>
    <w:p w14:paraId="797E2EB1"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Sun, J., Chen, H., Shen, H., Luo, X., &amp; Lin, Z. (2026). </w:t>
      </w:r>
      <w:r w:rsidRPr="005E7C8D">
        <w:rPr>
          <w:rFonts w:ascii="Times New Roman" w:hAnsi="Times New Roman" w:cs="Times New Roman"/>
          <w:i/>
          <w:iCs/>
          <w:noProof/>
          <w:sz w:val="24"/>
          <w:szCs w:val="24"/>
        </w:rPr>
        <w:t>Optimization of Biodiesel Production from Waste Cooking Oil Using a Construction Industry Waste Cement as a Heterogeneous and Reusable Catalyst</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16</w:t>
      </w:r>
      <w:r w:rsidRPr="005E7C8D">
        <w:rPr>
          <w:rFonts w:ascii="Times New Roman" w:hAnsi="Times New Roman" w:cs="Times New Roman"/>
          <w:noProof/>
          <w:sz w:val="24"/>
          <w:szCs w:val="24"/>
        </w:rPr>
        <w:t>(2), 108. https://doi.org/https://doi.org/10.3390/nano16020108</w:t>
      </w:r>
    </w:p>
    <w:p w14:paraId="78D237C8"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Suwanthai, W., Punsuvon, V., &amp; Vaithanomsat, P. (2016). Optimization of biodiesel production from a calcium methoxide catalyst using a statistical model. </w:t>
      </w:r>
      <w:r w:rsidRPr="005E7C8D">
        <w:rPr>
          <w:rFonts w:ascii="Times New Roman" w:hAnsi="Times New Roman" w:cs="Times New Roman"/>
          <w:i/>
          <w:iCs/>
          <w:noProof/>
          <w:sz w:val="24"/>
          <w:szCs w:val="24"/>
        </w:rPr>
        <w:t>Korean Journal of Chemical Engineering</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33</w:t>
      </w:r>
      <w:r w:rsidRPr="005E7C8D">
        <w:rPr>
          <w:rFonts w:ascii="Times New Roman" w:hAnsi="Times New Roman" w:cs="Times New Roman"/>
          <w:noProof/>
          <w:sz w:val="24"/>
          <w:szCs w:val="24"/>
        </w:rPr>
        <w:t>(1), 90–98. https://doi.org/10.1007/s11814-015-0096-9</w:t>
      </w:r>
    </w:p>
    <w:p w14:paraId="33B2DAA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Tang, C. F., Tan, B. W., &amp; Ozturk, I. (2016). Energy consumption and economic growth in Vietnam. </w:t>
      </w:r>
      <w:r w:rsidRPr="005E7C8D">
        <w:rPr>
          <w:rFonts w:ascii="Times New Roman" w:hAnsi="Times New Roman" w:cs="Times New Roman"/>
          <w:i/>
          <w:iCs/>
          <w:noProof/>
          <w:sz w:val="24"/>
          <w:szCs w:val="24"/>
        </w:rPr>
        <w:t>Renewable and Sustainable Energy Reviews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54</w:t>
      </w:r>
      <w:r w:rsidRPr="005E7C8D">
        <w:rPr>
          <w:rFonts w:ascii="Times New Roman" w:hAnsi="Times New Roman" w:cs="Times New Roman"/>
          <w:noProof/>
          <w:sz w:val="24"/>
          <w:szCs w:val="24"/>
        </w:rPr>
        <w:t>, 1506–1514. https://doi.org/10.1016/j.rser.2015.10.083</w:t>
      </w:r>
    </w:p>
    <w:p w14:paraId="6F7C3C1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Tien, T., Kee, M., Wang, Y., Loke, P., Shi, I., &amp; Lim, S. (2021). Reaction kinetic and thermodynamics studies for in-situ transesterification of wet microalgae paste to biodiesel. </w:t>
      </w:r>
      <w:r w:rsidRPr="005E7C8D">
        <w:rPr>
          <w:rFonts w:ascii="Times New Roman" w:hAnsi="Times New Roman" w:cs="Times New Roman"/>
          <w:i/>
          <w:iCs/>
          <w:noProof/>
          <w:sz w:val="24"/>
          <w:szCs w:val="24"/>
        </w:rPr>
        <w:t>Chemical Engineering Research and Design</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169</w:t>
      </w:r>
      <w:r w:rsidRPr="005E7C8D">
        <w:rPr>
          <w:rFonts w:ascii="Times New Roman" w:hAnsi="Times New Roman" w:cs="Times New Roman"/>
          <w:noProof/>
          <w:sz w:val="24"/>
          <w:szCs w:val="24"/>
        </w:rPr>
        <w:t>, 250–264. https://doi.org/10.1016/j.cherd.2021.03.021</w:t>
      </w:r>
    </w:p>
    <w:p w14:paraId="0C1B5538"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lastRenderedPageBreak/>
        <w:t xml:space="preserve">Ulukardesler, A. H. (2023). Biodiesel Production from Waste Cooking Oil Using Different Types of Catalysts. </w:t>
      </w:r>
      <w:r w:rsidRPr="005E7C8D">
        <w:rPr>
          <w:rFonts w:ascii="Times New Roman" w:hAnsi="Times New Roman" w:cs="Times New Roman"/>
          <w:i/>
          <w:iCs/>
          <w:noProof/>
          <w:sz w:val="24"/>
          <w:szCs w:val="24"/>
        </w:rPr>
        <w:t>Processes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11</w:t>
      </w:r>
      <w:r w:rsidRPr="005E7C8D">
        <w:rPr>
          <w:rFonts w:ascii="Times New Roman" w:hAnsi="Times New Roman" w:cs="Times New Roman"/>
          <w:noProof/>
          <w:sz w:val="24"/>
          <w:szCs w:val="24"/>
        </w:rPr>
        <w:t>(7), 2035. https://doi.org/https://doi.org/10.3390/pr11072035</w:t>
      </w:r>
    </w:p>
    <w:p w14:paraId="0FA104D0"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Vakhitova, Z. I., &amp; Alston-Knox, C. L. (2018). Non-significant p-values? Strategies to understand and better determine the importance of effects and interactions in logistic regression. In </w:t>
      </w:r>
      <w:r w:rsidRPr="005E7C8D">
        <w:rPr>
          <w:rFonts w:ascii="Times New Roman" w:hAnsi="Times New Roman" w:cs="Times New Roman"/>
          <w:i/>
          <w:iCs/>
          <w:noProof/>
          <w:sz w:val="24"/>
          <w:szCs w:val="24"/>
        </w:rPr>
        <w:t>PLoS ONE</w:t>
      </w:r>
      <w:r w:rsidRPr="005E7C8D">
        <w:rPr>
          <w:rFonts w:ascii="Times New Roman" w:hAnsi="Times New Roman" w:cs="Times New Roman"/>
          <w:noProof/>
          <w:sz w:val="24"/>
          <w:szCs w:val="24"/>
        </w:rPr>
        <w:t xml:space="preserve"> (Vol. 13, Issue 11). https://doi.org/10.1371/journal.pone.0205076</w:t>
      </w:r>
    </w:p>
    <w:p w14:paraId="2F424D45"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Wang, B., Wang, B., Shukla, S. K., &amp; Wang, R. (2023). Enabling Catalysts for Biodiesel Production. </w:t>
      </w:r>
      <w:r w:rsidRPr="005E7C8D">
        <w:rPr>
          <w:rFonts w:ascii="Times New Roman" w:hAnsi="Times New Roman" w:cs="Times New Roman"/>
          <w:i/>
          <w:iCs/>
          <w:noProof/>
          <w:sz w:val="24"/>
          <w:szCs w:val="24"/>
        </w:rPr>
        <w:t>Catalysts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13</w:t>
      </w:r>
      <w:r w:rsidRPr="005E7C8D">
        <w:rPr>
          <w:rFonts w:ascii="Times New Roman" w:hAnsi="Times New Roman" w:cs="Times New Roman"/>
          <w:noProof/>
          <w:sz w:val="24"/>
          <w:szCs w:val="24"/>
        </w:rPr>
        <w:t>(4), 740. https://doi.org/https://doi.org/10.3390/catal13040740</w:t>
      </w:r>
    </w:p>
    <w:p w14:paraId="1D9B2244"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Widayat, Satriadi, H., Setyojati, P. W., Shihab, D., Buchori, L., Hadiyanto, H., &amp; Nurushofa, F. A. (2024). Preparation CaO / MgO / Fe 3 O 4 magnetite catalyst and catalytic test for biodiesel production. </w:t>
      </w:r>
      <w:r w:rsidRPr="005E7C8D">
        <w:rPr>
          <w:rFonts w:ascii="Times New Roman" w:hAnsi="Times New Roman" w:cs="Times New Roman"/>
          <w:i/>
          <w:iCs/>
          <w:noProof/>
          <w:sz w:val="24"/>
          <w:szCs w:val="24"/>
        </w:rPr>
        <w:t>Results in Engineering</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22</w:t>
      </w:r>
      <w:r w:rsidRPr="005E7C8D">
        <w:rPr>
          <w:rFonts w:ascii="Times New Roman" w:hAnsi="Times New Roman" w:cs="Times New Roman"/>
          <w:noProof/>
          <w:sz w:val="24"/>
          <w:szCs w:val="24"/>
        </w:rPr>
        <w:t>, 102202. https://doi.org/10.1016/j.rineng.2024.102202</w:t>
      </w:r>
    </w:p>
    <w:p w14:paraId="637E4824"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Yaghi, M., Chidiac, S., Awad, S., Rayess, Y. El, &amp; Zgheib, N. (2025). An Overview of Biodiesel Production via Heterogeneous Catalysts : Synthesis , Current Advances , and Challenges. </w:t>
      </w:r>
      <w:r w:rsidRPr="005E7C8D">
        <w:rPr>
          <w:rFonts w:ascii="Times New Roman" w:hAnsi="Times New Roman" w:cs="Times New Roman"/>
          <w:i/>
          <w:iCs/>
          <w:noProof/>
          <w:sz w:val="24"/>
          <w:szCs w:val="24"/>
        </w:rPr>
        <w:t>Clean Technologies</w:t>
      </w:r>
      <w:r w:rsidRPr="005E7C8D">
        <w:rPr>
          <w:rFonts w:ascii="Times New Roman" w:hAnsi="Times New Roman" w:cs="Times New Roman"/>
          <w:noProof/>
          <w:sz w:val="24"/>
          <w:szCs w:val="24"/>
        </w:rPr>
        <w:t>, 1–55.</w:t>
      </w:r>
    </w:p>
    <w:p w14:paraId="7EA28B2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Yang, G. (2023). Advancements in Basic Zeolites for Biodiesel Production via Transesterification. </w:t>
      </w:r>
      <w:r w:rsidRPr="005E7C8D">
        <w:rPr>
          <w:rFonts w:ascii="Times New Roman" w:hAnsi="Times New Roman" w:cs="Times New Roman"/>
          <w:i/>
          <w:iCs/>
          <w:noProof/>
          <w:sz w:val="24"/>
          <w:szCs w:val="24"/>
        </w:rPr>
        <w:t>Chemistry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5</w:t>
      </w:r>
      <w:r w:rsidRPr="005E7C8D">
        <w:rPr>
          <w:rFonts w:ascii="Times New Roman" w:hAnsi="Times New Roman" w:cs="Times New Roman"/>
          <w:noProof/>
          <w:sz w:val="24"/>
          <w:szCs w:val="24"/>
        </w:rPr>
        <w:t>(1), 438–451.</w:t>
      </w:r>
    </w:p>
    <w:p w14:paraId="3CC25873"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Yesilyurt, M. K., Cesur, C., Aslan, V., &amp; Yilbasi, Z. (2020). The production of biodiesel from safflower (Carthamus tinctorius L.) oil as a potential feedstock and its usage in compression ignition engine: A comprehensive review. </w:t>
      </w:r>
      <w:r w:rsidRPr="005E7C8D">
        <w:rPr>
          <w:rFonts w:ascii="Times New Roman" w:hAnsi="Times New Roman" w:cs="Times New Roman"/>
          <w:i/>
          <w:iCs/>
          <w:noProof/>
          <w:sz w:val="24"/>
          <w:szCs w:val="24"/>
        </w:rPr>
        <w:t>Renewable and Sustainable Energy Reviews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119</w:t>
      </w:r>
      <w:r w:rsidRPr="005E7C8D">
        <w:rPr>
          <w:rFonts w:ascii="Times New Roman" w:hAnsi="Times New Roman" w:cs="Times New Roman"/>
          <w:noProof/>
          <w:sz w:val="24"/>
          <w:szCs w:val="24"/>
        </w:rPr>
        <w:t>(109574). https://doi.org/10.1016/j.rser.2019.109574</w:t>
      </w:r>
    </w:p>
    <w:p w14:paraId="06C80D9F"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Yusuff, A. S., Gbadamosi, A. O., &amp; Popoola, L. T. (2021). Journal of Environmental Chemical Engineering Biodiesel production from transesterified waste cooking oil by zinc-modified anthill catalyst : Parametric optimization and biodiesel properties improvement. </w:t>
      </w:r>
      <w:r w:rsidRPr="005E7C8D">
        <w:rPr>
          <w:rFonts w:ascii="Times New Roman" w:hAnsi="Times New Roman" w:cs="Times New Roman"/>
          <w:i/>
          <w:iCs/>
          <w:noProof/>
          <w:sz w:val="24"/>
          <w:szCs w:val="24"/>
        </w:rPr>
        <w:t>Journal of Environmental Chemical Engineering</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9</w:t>
      </w:r>
      <w:r w:rsidRPr="005E7C8D">
        <w:rPr>
          <w:rFonts w:ascii="Times New Roman" w:hAnsi="Times New Roman" w:cs="Times New Roman"/>
          <w:noProof/>
          <w:sz w:val="24"/>
          <w:szCs w:val="24"/>
        </w:rPr>
        <w:t>(2), 104955. https://doi.org/10.1016/j.jece.2020.104955</w:t>
      </w:r>
    </w:p>
    <w:p w14:paraId="43BF3812"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Zabeti, M., Mohd, W., Wan, A., &amp; Aroua, M. K. (2009). Activity of solid catalysts for biodiesel production : A review. </w:t>
      </w:r>
      <w:r w:rsidRPr="005E7C8D">
        <w:rPr>
          <w:rFonts w:ascii="Times New Roman" w:hAnsi="Times New Roman" w:cs="Times New Roman"/>
          <w:i/>
          <w:iCs/>
          <w:noProof/>
          <w:sz w:val="24"/>
          <w:szCs w:val="24"/>
        </w:rPr>
        <w:t>Fuel Processing Technology</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90</w:t>
      </w:r>
      <w:r w:rsidRPr="005E7C8D">
        <w:rPr>
          <w:rFonts w:ascii="Times New Roman" w:hAnsi="Times New Roman" w:cs="Times New Roman"/>
          <w:noProof/>
          <w:sz w:val="24"/>
          <w:szCs w:val="24"/>
        </w:rPr>
        <w:t>(6), 770–777. https://doi.org/10.1016/j.fuproc.2009.03.010</w:t>
      </w:r>
    </w:p>
    <w:p w14:paraId="19D6E3EE" w14:textId="77777777" w:rsidR="00E65108" w:rsidRPr="005E7C8D"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5E7C8D">
        <w:rPr>
          <w:rFonts w:ascii="Times New Roman" w:hAnsi="Times New Roman" w:cs="Times New Roman"/>
          <w:noProof/>
          <w:sz w:val="24"/>
          <w:szCs w:val="24"/>
        </w:rPr>
        <w:t xml:space="preserve">Zaera, F. (2022). Designing Sites in Heterogeneous Catalysis : Are We Reaching Selectivities Competitive With Those of Homogeneous Catalysts ? </w:t>
      </w:r>
      <w:r w:rsidRPr="005E7C8D">
        <w:rPr>
          <w:rFonts w:ascii="Times New Roman" w:hAnsi="Times New Roman" w:cs="Times New Roman"/>
          <w:i/>
          <w:iCs/>
          <w:noProof/>
          <w:sz w:val="24"/>
          <w:szCs w:val="24"/>
        </w:rPr>
        <w:t>Chemical Reviews</w:t>
      </w:r>
      <w:r w:rsidRPr="005E7C8D">
        <w:rPr>
          <w:rFonts w:ascii="Times New Roman" w:hAnsi="Times New Roman" w:cs="Times New Roman"/>
          <w:noProof/>
          <w:sz w:val="24"/>
          <w:szCs w:val="24"/>
        </w:rPr>
        <w:t xml:space="preserve">, </w:t>
      </w:r>
      <w:r w:rsidRPr="005E7C8D">
        <w:rPr>
          <w:rFonts w:ascii="Times New Roman" w:hAnsi="Times New Roman" w:cs="Times New Roman"/>
          <w:i/>
          <w:iCs/>
          <w:noProof/>
          <w:sz w:val="24"/>
          <w:szCs w:val="24"/>
        </w:rPr>
        <w:t>122</w:t>
      </w:r>
      <w:r w:rsidRPr="005E7C8D">
        <w:rPr>
          <w:rFonts w:ascii="Times New Roman" w:hAnsi="Times New Roman" w:cs="Times New Roman"/>
          <w:noProof/>
          <w:sz w:val="24"/>
          <w:szCs w:val="24"/>
        </w:rPr>
        <w:t>(9), 8594–8757.</w:t>
      </w:r>
    </w:p>
    <w:p w14:paraId="63F2EFAF" w14:textId="77777777" w:rsidR="00E65108" w:rsidRPr="00B63829"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szCs w:val="24"/>
        </w:rPr>
      </w:pPr>
      <w:r w:rsidRPr="00B63829">
        <w:rPr>
          <w:rFonts w:ascii="Times New Roman" w:hAnsi="Times New Roman" w:cs="Times New Roman"/>
          <w:noProof/>
          <w:sz w:val="24"/>
          <w:szCs w:val="24"/>
        </w:rPr>
        <w:t xml:space="preserve">Zaman, K., &amp; Moemen, M. A. el. (2017). Energy consumption, carbon dioxide emissions and economic development: Evaluating alternative and plausible environmental hypothesis for sustainable growth. </w:t>
      </w:r>
      <w:r w:rsidRPr="00B63829">
        <w:rPr>
          <w:rFonts w:ascii="Times New Roman" w:hAnsi="Times New Roman" w:cs="Times New Roman"/>
          <w:i/>
          <w:iCs/>
          <w:noProof/>
          <w:sz w:val="24"/>
          <w:szCs w:val="24"/>
        </w:rPr>
        <w:t>Renewable and Sustainable Energy Reviews</w:t>
      </w:r>
      <w:r w:rsidRPr="00B63829">
        <w:rPr>
          <w:rFonts w:ascii="Times New Roman" w:hAnsi="Times New Roman" w:cs="Times New Roman"/>
          <w:noProof/>
          <w:sz w:val="24"/>
          <w:szCs w:val="24"/>
        </w:rPr>
        <w:t xml:space="preserve">, </w:t>
      </w:r>
      <w:r w:rsidRPr="00B63829">
        <w:rPr>
          <w:rFonts w:ascii="Times New Roman" w:hAnsi="Times New Roman" w:cs="Times New Roman"/>
          <w:i/>
          <w:iCs/>
          <w:noProof/>
          <w:sz w:val="24"/>
          <w:szCs w:val="24"/>
        </w:rPr>
        <w:t>74</w:t>
      </w:r>
      <w:r w:rsidRPr="00B63829">
        <w:rPr>
          <w:rFonts w:ascii="Times New Roman" w:hAnsi="Times New Roman" w:cs="Times New Roman"/>
          <w:noProof/>
          <w:sz w:val="24"/>
          <w:szCs w:val="24"/>
        </w:rPr>
        <w:t>, 1119–1130. https://doi.org/10.1016/j.rser.2017.02.072</w:t>
      </w:r>
    </w:p>
    <w:p w14:paraId="79E1FEB0" w14:textId="77777777" w:rsidR="00E65108" w:rsidRPr="00B63829" w:rsidRDefault="00E65108" w:rsidP="00B63829">
      <w:pPr>
        <w:pStyle w:val="ListParagraph"/>
        <w:widowControl w:val="0"/>
        <w:numPr>
          <w:ilvl w:val="0"/>
          <w:numId w:val="13"/>
        </w:numPr>
        <w:autoSpaceDE w:val="0"/>
        <w:autoSpaceDN w:val="0"/>
        <w:adjustRightInd w:val="0"/>
        <w:spacing w:line="240" w:lineRule="auto"/>
        <w:jc w:val="both"/>
        <w:rPr>
          <w:rFonts w:ascii="Times New Roman" w:hAnsi="Times New Roman" w:cs="Times New Roman"/>
          <w:noProof/>
          <w:sz w:val="24"/>
        </w:rPr>
      </w:pPr>
      <w:r w:rsidRPr="00B63829">
        <w:rPr>
          <w:rFonts w:ascii="Times New Roman" w:hAnsi="Times New Roman" w:cs="Times New Roman"/>
          <w:noProof/>
          <w:sz w:val="24"/>
          <w:szCs w:val="24"/>
        </w:rPr>
        <w:t xml:space="preserve">Zhang, Y., Niu, S., Han, K., Li, Y., &amp; Lu, C. (2021). Synthesis of the SrO–CaO–Al2O3 trimetallic oxide catalyst for transesterification to produce biodiesel. </w:t>
      </w:r>
      <w:r w:rsidRPr="00B63829">
        <w:rPr>
          <w:rFonts w:ascii="Times New Roman" w:hAnsi="Times New Roman" w:cs="Times New Roman"/>
          <w:i/>
          <w:iCs/>
          <w:noProof/>
          <w:sz w:val="24"/>
          <w:szCs w:val="24"/>
        </w:rPr>
        <w:t>Renewable Energy</w:t>
      </w:r>
      <w:r w:rsidRPr="00B63829">
        <w:rPr>
          <w:rFonts w:ascii="Times New Roman" w:hAnsi="Times New Roman" w:cs="Times New Roman"/>
          <w:noProof/>
          <w:sz w:val="24"/>
          <w:szCs w:val="24"/>
        </w:rPr>
        <w:t xml:space="preserve">, </w:t>
      </w:r>
      <w:r w:rsidRPr="00B63829">
        <w:rPr>
          <w:rFonts w:ascii="Times New Roman" w:hAnsi="Times New Roman" w:cs="Times New Roman"/>
          <w:i/>
          <w:iCs/>
          <w:noProof/>
          <w:sz w:val="24"/>
          <w:szCs w:val="24"/>
        </w:rPr>
        <w:t>168</w:t>
      </w:r>
      <w:r w:rsidRPr="00B63829">
        <w:rPr>
          <w:rFonts w:ascii="Times New Roman" w:hAnsi="Times New Roman" w:cs="Times New Roman"/>
          <w:noProof/>
          <w:sz w:val="24"/>
          <w:szCs w:val="24"/>
        </w:rPr>
        <w:t>, 981–990. https://doi.org/10.1016/j.renene.2020.12.132</w:t>
      </w:r>
    </w:p>
    <w:p w14:paraId="646C5BF3" w14:textId="77777777" w:rsidR="00ED5041" w:rsidRPr="00F629D3" w:rsidRDefault="00ED5041" w:rsidP="00ED5041">
      <w:pPr>
        <w:spacing w:line="240" w:lineRule="auto"/>
        <w:rPr>
          <w:rFonts w:ascii="Times New Roman" w:hAnsi="Times New Roman" w:cs="Times New Roman"/>
          <w:b/>
          <w:bCs/>
          <w:iCs/>
          <w:sz w:val="24"/>
          <w:szCs w:val="24"/>
        </w:rPr>
      </w:pPr>
      <w:r>
        <w:rPr>
          <w:rFonts w:ascii="Times New Roman" w:hAnsi="Times New Roman" w:cs="Times New Roman"/>
          <w:b/>
          <w:bCs/>
          <w:iCs/>
          <w:sz w:val="24"/>
          <w:szCs w:val="24"/>
        </w:rPr>
        <w:fldChar w:fldCharType="end"/>
      </w:r>
      <w:bookmarkEnd w:id="0"/>
    </w:p>
    <w:p w14:paraId="31CF8626" w14:textId="77777777" w:rsidR="00C20E22" w:rsidRDefault="00C20E22"/>
    <w:sectPr w:rsidR="00C20E22" w:rsidSect="000C2F86">
      <w:pgSz w:w="12240" w:h="15840" w:code="1"/>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08E3" w14:textId="77777777" w:rsidR="00EA4417" w:rsidRDefault="005E335E">
      <w:pPr>
        <w:spacing w:after="0" w:line="240" w:lineRule="auto"/>
      </w:pPr>
      <w:r>
        <w:separator/>
      </w:r>
    </w:p>
  </w:endnote>
  <w:endnote w:type="continuationSeparator" w:id="0">
    <w:p w14:paraId="48FC37A4" w14:textId="77777777" w:rsidR="00EA4417" w:rsidRDefault="005E3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DE532" w14:textId="77777777" w:rsidR="00EA4417" w:rsidRDefault="005E335E">
      <w:pPr>
        <w:spacing w:after="0" w:line="240" w:lineRule="auto"/>
      </w:pPr>
      <w:r>
        <w:separator/>
      </w:r>
    </w:p>
  </w:footnote>
  <w:footnote w:type="continuationSeparator" w:id="0">
    <w:p w14:paraId="19F6E3C6" w14:textId="77777777" w:rsidR="00EA4417" w:rsidRDefault="005E3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5DEC"/>
    <w:multiLevelType w:val="hybridMultilevel"/>
    <w:tmpl w:val="067C1940"/>
    <w:lvl w:ilvl="0" w:tplc="95BAAB0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14D5952"/>
    <w:multiLevelType w:val="hybridMultilevel"/>
    <w:tmpl w:val="B7224138"/>
    <w:lvl w:ilvl="0" w:tplc="580E806C">
      <w:start w:val="1"/>
      <w:numFmt w:val="decimal"/>
      <w:lvlText w:val="%1."/>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C61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419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0A1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A23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8A02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70E6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CC8A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EDA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D460A5"/>
    <w:multiLevelType w:val="hybridMultilevel"/>
    <w:tmpl w:val="9D4A9950"/>
    <w:lvl w:ilvl="0" w:tplc="47725718">
      <w:start w:val="1"/>
      <w:numFmt w:val="lowerLetter"/>
      <w:lvlText w:val="(%1)"/>
      <w:lvlJc w:val="left"/>
      <w:pPr>
        <w:ind w:left="2400" w:hanging="360"/>
      </w:pPr>
      <w:rPr>
        <w:rFonts w:asciiTheme="minorHAnsi" w:hAnsiTheme="minorHAnsi" w:cstheme="minorBidi" w:hint="default"/>
        <w:sz w:val="22"/>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3" w15:restartNumberingAfterBreak="0">
    <w:nsid w:val="287E2C2E"/>
    <w:multiLevelType w:val="hybridMultilevel"/>
    <w:tmpl w:val="52CA64B4"/>
    <w:lvl w:ilvl="0" w:tplc="B9D24826">
      <w:start w:val="1"/>
      <w:numFmt w:val="bullet"/>
      <w:lvlText w:val="•"/>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94411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4D3A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E6DE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8E5AB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7E5AF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4C54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A849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631B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A000DF"/>
    <w:multiLevelType w:val="hybridMultilevel"/>
    <w:tmpl w:val="B93264B4"/>
    <w:lvl w:ilvl="0" w:tplc="8DE27C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73492"/>
    <w:multiLevelType w:val="hybridMultilevel"/>
    <w:tmpl w:val="8590539C"/>
    <w:lvl w:ilvl="0" w:tplc="838889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920EA7"/>
    <w:multiLevelType w:val="hybridMultilevel"/>
    <w:tmpl w:val="21622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B676B0"/>
    <w:multiLevelType w:val="hybridMultilevel"/>
    <w:tmpl w:val="5718C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7E52D8"/>
    <w:multiLevelType w:val="hybridMultilevel"/>
    <w:tmpl w:val="A888107A"/>
    <w:lvl w:ilvl="0" w:tplc="893C4B5E">
      <w:start w:val="1"/>
      <w:numFmt w:val="lowerLetter"/>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9" w15:restartNumberingAfterBreak="0">
    <w:nsid w:val="4A3510B7"/>
    <w:multiLevelType w:val="hybridMultilevel"/>
    <w:tmpl w:val="DB62F7B8"/>
    <w:lvl w:ilvl="0" w:tplc="131218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E55BD0"/>
    <w:multiLevelType w:val="multilevel"/>
    <w:tmpl w:val="379011DC"/>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7C84ADE"/>
    <w:multiLevelType w:val="multilevel"/>
    <w:tmpl w:val="2606FCB0"/>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46C4B01"/>
    <w:multiLevelType w:val="hybridMultilevel"/>
    <w:tmpl w:val="EF425798"/>
    <w:lvl w:ilvl="0" w:tplc="351274A8">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num w:numId="1">
    <w:abstractNumId w:val="11"/>
  </w:num>
  <w:num w:numId="2">
    <w:abstractNumId w:val="7"/>
  </w:num>
  <w:num w:numId="3">
    <w:abstractNumId w:val="10"/>
  </w:num>
  <w:num w:numId="4">
    <w:abstractNumId w:val="5"/>
  </w:num>
  <w:num w:numId="5">
    <w:abstractNumId w:val="3"/>
  </w:num>
  <w:num w:numId="6">
    <w:abstractNumId w:val="1"/>
  </w:num>
  <w:num w:numId="7">
    <w:abstractNumId w:val="9"/>
  </w:num>
  <w:num w:numId="8">
    <w:abstractNumId w:val="8"/>
  </w:num>
  <w:num w:numId="9">
    <w:abstractNumId w:val="12"/>
  </w:num>
  <w:num w:numId="10">
    <w:abstractNumId w:val="0"/>
  </w:num>
  <w:num w:numId="11">
    <w:abstractNumId w:val="2"/>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041"/>
    <w:rsid w:val="00053663"/>
    <w:rsid w:val="00097BFE"/>
    <w:rsid w:val="000C2694"/>
    <w:rsid w:val="000D64D5"/>
    <w:rsid w:val="000E2E22"/>
    <w:rsid w:val="000E65B3"/>
    <w:rsid w:val="000F4A03"/>
    <w:rsid w:val="000F614E"/>
    <w:rsid w:val="00110270"/>
    <w:rsid w:val="00114C86"/>
    <w:rsid w:val="0011617A"/>
    <w:rsid w:val="001222B1"/>
    <w:rsid w:val="00130B8D"/>
    <w:rsid w:val="00136B50"/>
    <w:rsid w:val="001832DE"/>
    <w:rsid w:val="001950EE"/>
    <w:rsid w:val="001A2AF2"/>
    <w:rsid w:val="001C62DD"/>
    <w:rsid w:val="001C7002"/>
    <w:rsid w:val="001E250C"/>
    <w:rsid w:val="001E7D98"/>
    <w:rsid w:val="001F0603"/>
    <w:rsid w:val="001F6CF6"/>
    <w:rsid w:val="00241629"/>
    <w:rsid w:val="002472F2"/>
    <w:rsid w:val="00272006"/>
    <w:rsid w:val="0027396E"/>
    <w:rsid w:val="00287C8C"/>
    <w:rsid w:val="002C60A9"/>
    <w:rsid w:val="002E33AB"/>
    <w:rsid w:val="002E59AD"/>
    <w:rsid w:val="003456CB"/>
    <w:rsid w:val="00356630"/>
    <w:rsid w:val="00362113"/>
    <w:rsid w:val="00374421"/>
    <w:rsid w:val="003933ED"/>
    <w:rsid w:val="003939F9"/>
    <w:rsid w:val="003A0C27"/>
    <w:rsid w:val="003B77B0"/>
    <w:rsid w:val="003E7ABB"/>
    <w:rsid w:val="003F140F"/>
    <w:rsid w:val="003F4567"/>
    <w:rsid w:val="003F5052"/>
    <w:rsid w:val="0040750C"/>
    <w:rsid w:val="00426C38"/>
    <w:rsid w:val="00444230"/>
    <w:rsid w:val="00455E76"/>
    <w:rsid w:val="004711E0"/>
    <w:rsid w:val="00476E6F"/>
    <w:rsid w:val="00486E70"/>
    <w:rsid w:val="004D52A4"/>
    <w:rsid w:val="004E4840"/>
    <w:rsid w:val="004F5EC0"/>
    <w:rsid w:val="004F6664"/>
    <w:rsid w:val="0051789B"/>
    <w:rsid w:val="00521019"/>
    <w:rsid w:val="005226A5"/>
    <w:rsid w:val="00590F67"/>
    <w:rsid w:val="0059752B"/>
    <w:rsid w:val="005B510E"/>
    <w:rsid w:val="005C104D"/>
    <w:rsid w:val="005C5F98"/>
    <w:rsid w:val="005E335E"/>
    <w:rsid w:val="005E7C8D"/>
    <w:rsid w:val="006301E2"/>
    <w:rsid w:val="00633410"/>
    <w:rsid w:val="00645865"/>
    <w:rsid w:val="00647905"/>
    <w:rsid w:val="00676C3F"/>
    <w:rsid w:val="00691299"/>
    <w:rsid w:val="006B3C9A"/>
    <w:rsid w:val="006D595B"/>
    <w:rsid w:val="006D5F3A"/>
    <w:rsid w:val="006E72BF"/>
    <w:rsid w:val="006F336B"/>
    <w:rsid w:val="0071102E"/>
    <w:rsid w:val="00711ABF"/>
    <w:rsid w:val="00715567"/>
    <w:rsid w:val="007536A4"/>
    <w:rsid w:val="007553A6"/>
    <w:rsid w:val="00765B5D"/>
    <w:rsid w:val="00770EA3"/>
    <w:rsid w:val="0077177E"/>
    <w:rsid w:val="00774796"/>
    <w:rsid w:val="0078719B"/>
    <w:rsid w:val="007D7CBB"/>
    <w:rsid w:val="007F029E"/>
    <w:rsid w:val="00814901"/>
    <w:rsid w:val="00825E09"/>
    <w:rsid w:val="008517E2"/>
    <w:rsid w:val="008563EB"/>
    <w:rsid w:val="008C260C"/>
    <w:rsid w:val="008C7C2E"/>
    <w:rsid w:val="00911702"/>
    <w:rsid w:val="00920026"/>
    <w:rsid w:val="00922238"/>
    <w:rsid w:val="0092509A"/>
    <w:rsid w:val="00934182"/>
    <w:rsid w:val="00980E50"/>
    <w:rsid w:val="009821E3"/>
    <w:rsid w:val="00991A2D"/>
    <w:rsid w:val="009A48E5"/>
    <w:rsid w:val="009B5068"/>
    <w:rsid w:val="009E7FF1"/>
    <w:rsid w:val="00A02098"/>
    <w:rsid w:val="00A27037"/>
    <w:rsid w:val="00A31FF9"/>
    <w:rsid w:val="00A378B0"/>
    <w:rsid w:val="00A72EC3"/>
    <w:rsid w:val="00AB5BF5"/>
    <w:rsid w:val="00AC2227"/>
    <w:rsid w:val="00B07558"/>
    <w:rsid w:val="00B45323"/>
    <w:rsid w:val="00B63829"/>
    <w:rsid w:val="00B665C4"/>
    <w:rsid w:val="00B703B4"/>
    <w:rsid w:val="00B7469A"/>
    <w:rsid w:val="00B763AD"/>
    <w:rsid w:val="00B814ED"/>
    <w:rsid w:val="00BA5B99"/>
    <w:rsid w:val="00BB6573"/>
    <w:rsid w:val="00C04E31"/>
    <w:rsid w:val="00C071B5"/>
    <w:rsid w:val="00C20E22"/>
    <w:rsid w:val="00C243BE"/>
    <w:rsid w:val="00C6580E"/>
    <w:rsid w:val="00C801C7"/>
    <w:rsid w:val="00C80904"/>
    <w:rsid w:val="00CB5DFA"/>
    <w:rsid w:val="00CC66B0"/>
    <w:rsid w:val="00CF3547"/>
    <w:rsid w:val="00D11B6D"/>
    <w:rsid w:val="00D80A1A"/>
    <w:rsid w:val="00D8215E"/>
    <w:rsid w:val="00D91AE6"/>
    <w:rsid w:val="00DA431E"/>
    <w:rsid w:val="00DB4B59"/>
    <w:rsid w:val="00DD699B"/>
    <w:rsid w:val="00E07FA2"/>
    <w:rsid w:val="00E21DBD"/>
    <w:rsid w:val="00E3587A"/>
    <w:rsid w:val="00E425D3"/>
    <w:rsid w:val="00E65108"/>
    <w:rsid w:val="00E828AA"/>
    <w:rsid w:val="00E8729D"/>
    <w:rsid w:val="00E940E7"/>
    <w:rsid w:val="00E97A93"/>
    <w:rsid w:val="00EA4417"/>
    <w:rsid w:val="00EB4651"/>
    <w:rsid w:val="00ED08CA"/>
    <w:rsid w:val="00ED3F60"/>
    <w:rsid w:val="00ED5041"/>
    <w:rsid w:val="00EE1BDD"/>
    <w:rsid w:val="00EE7D4B"/>
    <w:rsid w:val="00F17244"/>
    <w:rsid w:val="00F26830"/>
    <w:rsid w:val="00F81338"/>
    <w:rsid w:val="00F93E30"/>
    <w:rsid w:val="00F9421A"/>
    <w:rsid w:val="00FD1BE8"/>
    <w:rsid w:val="00FD7B0E"/>
    <w:rsid w:val="00FF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7C7677"/>
  <w15:chartTrackingRefBased/>
  <w15:docId w15:val="{42A91824-D0C1-4E03-8FFC-8176CB29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041"/>
    <w:pPr>
      <w:spacing w:after="200" w:line="276" w:lineRule="auto"/>
    </w:pPr>
  </w:style>
  <w:style w:type="paragraph" w:styleId="Heading3">
    <w:name w:val="heading 3"/>
    <w:basedOn w:val="Normal"/>
    <w:next w:val="Normal"/>
    <w:link w:val="Heading3Char"/>
    <w:uiPriority w:val="9"/>
    <w:semiHidden/>
    <w:unhideWhenUsed/>
    <w:qFormat/>
    <w:rsid w:val="00ED5041"/>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D5041"/>
    <w:rPr>
      <w:rFonts w:asciiTheme="majorHAnsi" w:eastAsiaTheme="majorEastAsia" w:hAnsiTheme="majorHAnsi" w:cstheme="majorBidi"/>
      <w:b/>
      <w:bCs/>
      <w:color w:val="4472C4" w:themeColor="accent1"/>
    </w:rPr>
  </w:style>
  <w:style w:type="table" w:styleId="TableGrid">
    <w:name w:val="Table Grid"/>
    <w:basedOn w:val="TableNormal"/>
    <w:uiPriority w:val="39"/>
    <w:rsid w:val="00ED5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ED5041"/>
    <w:rPr>
      <w:rFonts w:ascii="Tahoma" w:hAnsi="Tahoma" w:cs="Tahoma"/>
      <w:sz w:val="16"/>
      <w:szCs w:val="16"/>
    </w:rPr>
  </w:style>
  <w:style w:type="paragraph" w:styleId="BalloonText">
    <w:name w:val="Balloon Text"/>
    <w:basedOn w:val="Normal"/>
    <w:link w:val="BalloonTextChar"/>
    <w:uiPriority w:val="99"/>
    <w:semiHidden/>
    <w:unhideWhenUsed/>
    <w:rsid w:val="00ED5041"/>
    <w:pPr>
      <w:spacing w:after="0" w:line="240" w:lineRule="auto"/>
    </w:pPr>
    <w:rPr>
      <w:rFonts w:ascii="Tahoma" w:hAnsi="Tahoma" w:cs="Tahoma"/>
      <w:sz w:val="16"/>
      <w:szCs w:val="16"/>
    </w:rPr>
  </w:style>
  <w:style w:type="paragraph" w:customStyle="1" w:styleId="Default">
    <w:name w:val="Default"/>
    <w:rsid w:val="00ED50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ED5041"/>
    <w:rPr>
      <w:sz w:val="20"/>
      <w:szCs w:val="20"/>
    </w:rPr>
  </w:style>
  <w:style w:type="paragraph" w:styleId="FootnoteText">
    <w:name w:val="footnote text"/>
    <w:basedOn w:val="Normal"/>
    <w:link w:val="FootnoteTextChar"/>
    <w:uiPriority w:val="99"/>
    <w:semiHidden/>
    <w:unhideWhenUsed/>
    <w:rsid w:val="00ED5041"/>
    <w:pPr>
      <w:spacing w:after="0" w:line="240" w:lineRule="auto"/>
    </w:pPr>
    <w:rPr>
      <w:sz w:val="20"/>
      <w:szCs w:val="20"/>
    </w:rPr>
  </w:style>
  <w:style w:type="paragraph" w:styleId="Header">
    <w:name w:val="header"/>
    <w:basedOn w:val="Normal"/>
    <w:link w:val="HeaderChar"/>
    <w:uiPriority w:val="99"/>
    <w:unhideWhenUsed/>
    <w:rsid w:val="00ED5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041"/>
  </w:style>
  <w:style w:type="paragraph" w:styleId="Footer">
    <w:name w:val="footer"/>
    <w:basedOn w:val="Normal"/>
    <w:link w:val="FooterChar"/>
    <w:uiPriority w:val="99"/>
    <w:unhideWhenUsed/>
    <w:rsid w:val="00ED5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041"/>
  </w:style>
  <w:style w:type="paragraph" w:styleId="ListParagraph">
    <w:name w:val="List Paragraph"/>
    <w:basedOn w:val="Normal"/>
    <w:uiPriority w:val="34"/>
    <w:qFormat/>
    <w:rsid w:val="00ED5041"/>
    <w:pPr>
      <w:ind w:left="720"/>
      <w:contextualSpacing/>
    </w:pPr>
  </w:style>
  <w:style w:type="table" w:customStyle="1" w:styleId="TableGrid1">
    <w:name w:val="Table Grid1"/>
    <w:basedOn w:val="TableNormal"/>
    <w:next w:val="TableGrid"/>
    <w:uiPriority w:val="39"/>
    <w:rsid w:val="00ED504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D504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504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D504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D504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Catalyst Reusability Studies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Word]Sheet1'!$A$2:$A$7</c:f>
              <c:numCache>
                <c:formatCode>General</c:formatCode>
                <c:ptCount val="6"/>
                <c:pt idx="0">
                  <c:v>1</c:v>
                </c:pt>
                <c:pt idx="1">
                  <c:v>2</c:v>
                </c:pt>
                <c:pt idx="2">
                  <c:v>3</c:v>
                </c:pt>
                <c:pt idx="3">
                  <c:v>4</c:v>
                </c:pt>
                <c:pt idx="4">
                  <c:v>5</c:v>
                </c:pt>
                <c:pt idx="5">
                  <c:v>6</c:v>
                </c:pt>
              </c:numCache>
            </c:numRef>
          </c:cat>
          <c:val>
            <c:numRef>
              <c:f>'[Chart in Microsoft Word]Sheet1'!$B$2:$B$7</c:f>
              <c:numCache>
                <c:formatCode>General</c:formatCode>
                <c:ptCount val="6"/>
                <c:pt idx="0">
                  <c:v>98.2</c:v>
                </c:pt>
                <c:pt idx="1">
                  <c:v>92.4</c:v>
                </c:pt>
                <c:pt idx="2">
                  <c:v>84.5</c:v>
                </c:pt>
                <c:pt idx="3">
                  <c:v>81.3</c:v>
                </c:pt>
                <c:pt idx="4">
                  <c:v>74.900000000000006</c:v>
                </c:pt>
                <c:pt idx="5">
                  <c:v>69.8</c:v>
                </c:pt>
              </c:numCache>
            </c:numRef>
          </c:val>
          <c:extLst>
            <c:ext xmlns:c16="http://schemas.microsoft.com/office/drawing/2014/chart" uri="{C3380CC4-5D6E-409C-BE32-E72D297353CC}">
              <c16:uniqueId val="{00000000-4709-4FDD-A265-FE8A2FC71E57}"/>
            </c:ext>
          </c:extLst>
        </c:ser>
        <c:dLbls>
          <c:dLblPos val="outEnd"/>
          <c:showLegendKey val="0"/>
          <c:showVal val="1"/>
          <c:showCatName val="0"/>
          <c:showSerName val="0"/>
          <c:showPercent val="0"/>
          <c:showBubbleSize val="0"/>
        </c:dLbls>
        <c:gapWidth val="219"/>
        <c:overlap val="-27"/>
        <c:axId val="110005455"/>
        <c:axId val="110002127"/>
      </c:barChart>
      <c:catAx>
        <c:axId val="1100054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Cycles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2127"/>
        <c:crosses val="autoZero"/>
        <c:auto val="1"/>
        <c:lblAlgn val="ctr"/>
        <c:lblOffset val="100"/>
        <c:noMultiLvlLbl val="0"/>
      </c:catAx>
      <c:valAx>
        <c:axId val="1100021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Biodiesel Yield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5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9B16B80-AF53-434E-BB5A-0D86DF4A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24422</Words>
  <Characters>139210</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Justina Okhonmina</dc:creator>
  <cp:keywords/>
  <dc:description/>
  <cp:lastModifiedBy>Justina Okhonmina</cp:lastModifiedBy>
  <cp:revision>150</cp:revision>
  <dcterms:created xsi:type="dcterms:W3CDTF">2026-03-19T21:21:00Z</dcterms:created>
  <dcterms:modified xsi:type="dcterms:W3CDTF">2026-03-20T03:10:00Z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0dc25793-dec0-3ca0-9ef8-733b1438650d</vt:lpwstr>
  </property>
</Properties>
</file>