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48F3" w14:textId="3F35A268" w:rsidR="009B7226" w:rsidRPr="009B7226" w:rsidRDefault="009B7226" w:rsidP="009B7226">
      <w:pPr>
        <w:spacing w:after="0"/>
        <w:ind w:right="230"/>
        <w:jc w:val="center"/>
        <w:rPr>
          <w:rFonts w:ascii="Times New Roman" w:hAnsi="Times New Roman"/>
          <w:b/>
          <w:bCs/>
          <w:sz w:val="36"/>
          <w:szCs w:val="36"/>
        </w:rPr>
      </w:pPr>
      <w:r w:rsidRPr="009B7226">
        <w:rPr>
          <w:rFonts w:ascii="Times New Roman" w:hAnsi="Times New Roman"/>
          <w:b/>
          <w:bCs/>
          <w:sz w:val="36"/>
          <w:szCs w:val="36"/>
        </w:rPr>
        <w:t>Development and Utilization of a Study Guide to Enhance Students’ Performance in Genetics</w:t>
      </w:r>
    </w:p>
    <w:p w14:paraId="6928DEE5" w14:textId="77777777" w:rsidR="009B7226" w:rsidRDefault="009B7226" w:rsidP="009B7226">
      <w:pPr>
        <w:pStyle w:val="Authors"/>
        <w:framePr w:w="0" w:hSpace="0" w:vSpace="0" w:wrap="auto" w:vAnchor="margin" w:hAnchor="text" w:xAlign="left" w:yAlign="inline"/>
        <w:spacing w:after="80"/>
        <w:rPr>
          <w:b/>
          <w:sz w:val="24"/>
          <w:szCs w:val="24"/>
        </w:rPr>
      </w:pPr>
    </w:p>
    <w:p w14:paraId="0953CA98" w14:textId="07A45623" w:rsidR="009B7226" w:rsidRPr="009B7226" w:rsidRDefault="009B7226" w:rsidP="009B7226">
      <w:pPr>
        <w:pStyle w:val="Authors"/>
        <w:framePr w:w="0" w:hSpace="0" w:vSpace="0" w:wrap="auto" w:vAnchor="margin" w:hAnchor="text" w:xAlign="left" w:yAlign="inline"/>
        <w:spacing w:after="80" w:line="264" w:lineRule="auto"/>
        <w:rPr>
          <w:b/>
          <w:sz w:val="24"/>
          <w:szCs w:val="24"/>
          <w:vertAlign w:val="superscript"/>
        </w:rPr>
      </w:pPr>
      <w:proofErr w:type="spellStart"/>
      <w:r w:rsidRPr="009B7226">
        <w:rPr>
          <w:b/>
          <w:sz w:val="24"/>
          <w:szCs w:val="24"/>
        </w:rPr>
        <w:t>Floridel</w:t>
      </w:r>
      <w:proofErr w:type="spellEnd"/>
      <w:r w:rsidRPr="009B7226">
        <w:rPr>
          <w:b/>
          <w:sz w:val="24"/>
          <w:szCs w:val="24"/>
        </w:rPr>
        <w:t xml:space="preserve"> J. </w:t>
      </w:r>
      <w:proofErr w:type="spellStart"/>
      <w:r w:rsidRPr="009B7226">
        <w:rPr>
          <w:b/>
          <w:sz w:val="24"/>
          <w:szCs w:val="24"/>
        </w:rPr>
        <w:t>Gomintong</w:t>
      </w:r>
      <w:proofErr w:type="spellEnd"/>
    </w:p>
    <w:p w14:paraId="6E8FDFEA" w14:textId="031B7447" w:rsidR="009B7226" w:rsidRPr="009B7226" w:rsidRDefault="009B7226" w:rsidP="009B7226">
      <w:pPr>
        <w:pStyle w:val="Authors"/>
        <w:framePr w:w="0" w:hSpace="0" w:vSpace="0" w:wrap="auto" w:vAnchor="margin" w:hAnchor="text" w:xAlign="left" w:yAlign="inline"/>
        <w:spacing w:after="80" w:line="264" w:lineRule="auto"/>
        <w:rPr>
          <w:b/>
          <w:bCs/>
          <w:sz w:val="24"/>
          <w:szCs w:val="24"/>
        </w:rPr>
      </w:pPr>
      <w:r w:rsidRPr="009B7226">
        <w:rPr>
          <w:b/>
          <w:bCs/>
          <w:sz w:val="24"/>
          <w:szCs w:val="24"/>
        </w:rPr>
        <w:t xml:space="preserve">Department of Education, </w:t>
      </w:r>
      <w:proofErr w:type="spellStart"/>
      <w:r w:rsidRPr="009B7226">
        <w:rPr>
          <w:b/>
          <w:bCs/>
          <w:sz w:val="24"/>
          <w:szCs w:val="24"/>
        </w:rPr>
        <w:t>Mangingisda</w:t>
      </w:r>
      <w:proofErr w:type="spellEnd"/>
      <w:r w:rsidRPr="009B7226">
        <w:rPr>
          <w:b/>
          <w:bCs/>
          <w:sz w:val="24"/>
          <w:szCs w:val="24"/>
        </w:rPr>
        <w:t xml:space="preserve"> National High School, Puerto Princesa City, Philippines</w:t>
      </w:r>
    </w:p>
    <w:p w14:paraId="208E1047" w14:textId="4F486743" w:rsidR="009B7226" w:rsidRPr="00C80D50" w:rsidRDefault="009B7226" w:rsidP="009B7226">
      <w:pPr>
        <w:pStyle w:val="Authors"/>
        <w:framePr w:w="0" w:hSpace="0" w:vSpace="0" w:wrap="auto" w:vAnchor="margin" w:hAnchor="text" w:xAlign="left" w:yAlign="inline"/>
        <w:spacing w:after="0"/>
        <w:rPr>
          <w:sz w:val="18"/>
          <w:szCs w:val="18"/>
        </w:rPr>
      </w:pPr>
    </w:p>
    <w:p w14:paraId="4CD77108" w14:textId="77777777" w:rsidR="009B7226" w:rsidRDefault="009B7226" w:rsidP="009B7226">
      <w:pPr>
        <w:spacing w:after="0" w:line="240" w:lineRule="auto"/>
      </w:pPr>
    </w:p>
    <w:p w14:paraId="124B9D6A" w14:textId="235D4972" w:rsidR="007D11CD" w:rsidRPr="009B7226" w:rsidRDefault="009B7226" w:rsidP="009B7226">
      <w:pPr>
        <w:spacing w:after="0" w:line="240" w:lineRule="auto"/>
        <w:jc w:val="both"/>
        <w:rPr>
          <w:rFonts w:ascii="Times New Roman" w:hAnsi="Times New Roman"/>
          <w:b/>
          <w:bCs/>
          <w:sz w:val="28"/>
          <w:szCs w:val="28"/>
        </w:rPr>
      </w:pPr>
      <w:r w:rsidRPr="009B7226">
        <w:rPr>
          <w:rFonts w:ascii="Times New Roman" w:hAnsi="Times New Roman"/>
          <w:b/>
          <w:bCs/>
          <w:sz w:val="28"/>
          <w:szCs w:val="28"/>
        </w:rPr>
        <w:t>ABSTRACT</w:t>
      </w:r>
    </w:p>
    <w:p w14:paraId="65BE71E9" w14:textId="77777777" w:rsidR="009B7226" w:rsidRPr="009B7226" w:rsidRDefault="009B7226" w:rsidP="009B7226">
      <w:pPr>
        <w:spacing w:after="0" w:line="240" w:lineRule="auto"/>
        <w:jc w:val="both"/>
        <w:rPr>
          <w:rFonts w:ascii="Times New Roman" w:hAnsi="Times New Roman"/>
          <w:sz w:val="24"/>
          <w:szCs w:val="24"/>
        </w:rPr>
      </w:pPr>
    </w:p>
    <w:p w14:paraId="0461833E" w14:textId="58DFD1FA" w:rsidR="009B7226" w:rsidRPr="009B7226" w:rsidRDefault="009B7226" w:rsidP="00BD006D">
      <w:pPr>
        <w:spacing w:after="0" w:line="240" w:lineRule="auto"/>
        <w:ind w:firstLine="720"/>
        <w:jc w:val="both"/>
        <w:rPr>
          <w:rStyle w:val="Strong"/>
          <w:rFonts w:ascii="Times New Roman" w:hAnsi="Times New Roman"/>
          <w:b w:val="0"/>
          <w:bCs w:val="0"/>
          <w:sz w:val="24"/>
          <w:szCs w:val="24"/>
        </w:rPr>
      </w:pPr>
      <w:r w:rsidRPr="009B7226">
        <w:rPr>
          <w:rFonts w:ascii="Times New Roman" w:hAnsi="Times New Roman"/>
          <w:sz w:val="24"/>
          <w:szCs w:val="24"/>
        </w:rPr>
        <w:t>A study guide is an instructional tool that helps reduce the stress students experience during learning. It supports students in learning their material, focuses their attention on key topics, increases students’ involvement, and helps them review for quizzes and tests. This quantitative research design aims to develop and use a study guide to enhance students’ performance in genetics, as measured by expert ratings and students’ pretest and posttest scores. The developed study guide was assessed by five experts in Genetics, who rated its level of acceptance using the Expert’s Rating Sheet based on the Evaluation Rating Sheet for Print Resources stipulated in DepEd</w:t>
      </w:r>
      <w:r w:rsidRPr="009B7226">
        <w:rPr>
          <w:rFonts w:ascii="Times New Roman" w:hAnsi="Times New Roman"/>
          <w:color w:val="202124"/>
          <w:sz w:val="24"/>
          <w:szCs w:val="24"/>
          <w:shd w:val="clear" w:color="auto" w:fill="FFFFFF"/>
        </w:rPr>
        <w:t xml:space="preserve"> Order No. 018, s. 2020</w:t>
      </w:r>
      <w:r w:rsidRPr="009B7226">
        <w:rPr>
          <w:rFonts w:ascii="Times New Roman" w:hAnsi="Times New Roman"/>
          <w:sz w:val="24"/>
          <w:szCs w:val="24"/>
        </w:rPr>
        <w:t xml:space="preserve">. The results showed that the </w:t>
      </w:r>
      <w:r w:rsidRPr="009B7226">
        <w:rPr>
          <w:rStyle w:val="Strong"/>
          <w:rFonts w:ascii="Times New Roman" w:hAnsi="Times New Roman"/>
          <w:b w:val="0"/>
          <w:bCs w:val="0"/>
          <w:sz w:val="24"/>
          <w:szCs w:val="24"/>
        </w:rPr>
        <w:t xml:space="preserve">experts rated the study guide in Genetics very satisfactory in content, format, presentation, organization, and the accuracy and up-to-datedness of the </w:t>
      </w:r>
      <w:r w:rsidRPr="009B7226">
        <w:rPr>
          <w:rFonts w:ascii="Times New Roman" w:hAnsi="Times New Roman"/>
          <w:sz w:val="24"/>
          <w:szCs w:val="24"/>
        </w:rPr>
        <w:t>information</w:t>
      </w:r>
      <w:r w:rsidRPr="009B7226">
        <w:rPr>
          <w:rStyle w:val="Strong"/>
          <w:rFonts w:ascii="Times New Roman" w:hAnsi="Times New Roman"/>
          <w:b w:val="0"/>
          <w:bCs w:val="0"/>
          <w:sz w:val="24"/>
          <w:szCs w:val="24"/>
        </w:rPr>
        <w:t xml:space="preserve">. Additionally, </w:t>
      </w:r>
      <w:r w:rsidRPr="009B7226">
        <w:rPr>
          <w:rFonts w:ascii="Times New Roman" w:hAnsi="Times New Roman"/>
          <w:sz w:val="24"/>
          <w:szCs w:val="24"/>
        </w:rPr>
        <w:t xml:space="preserve">84 students participated as respondents, divided into two groups. Forty-two students utilized the study guide (experimental), and forty-two students were taught without it (control). The overall mean rating was used to compare students' pretest and posttest scores, and the results revealed a significant increase in experimental group performance in Genetics. Moreover, a paired t-test showed a significant difference </w:t>
      </w:r>
      <w:r w:rsidR="00BD006D">
        <w:rPr>
          <w:rFonts w:ascii="Times New Roman" w:hAnsi="Times New Roman"/>
          <w:sz w:val="24"/>
          <w:szCs w:val="24"/>
        </w:rPr>
        <w:t>in posttest scores between the control and experimental groups</w:t>
      </w:r>
      <w:r w:rsidRPr="009B7226">
        <w:rPr>
          <w:rStyle w:val="Strong"/>
          <w:rFonts w:ascii="Times New Roman" w:hAnsi="Times New Roman"/>
          <w:sz w:val="24"/>
          <w:szCs w:val="24"/>
        </w:rPr>
        <w:t>.</w:t>
      </w:r>
    </w:p>
    <w:p w14:paraId="2BF49467" w14:textId="77777777" w:rsidR="009B7226" w:rsidRPr="009B7226" w:rsidRDefault="009B7226" w:rsidP="009B7226">
      <w:pPr>
        <w:spacing w:after="0" w:line="240" w:lineRule="auto"/>
        <w:ind w:left="446"/>
        <w:jc w:val="both"/>
        <w:rPr>
          <w:rFonts w:ascii="Times New Roman" w:hAnsi="Times New Roman"/>
          <w:sz w:val="24"/>
          <w:szCs w:val="24"/>
        </w:rPr>
      </w:pPr>
    </w:p>
    <w:p w14:paraId="0C187438" w14:textId="77777777" w:rsidR="00BD006D" w:rsidRDefault="009B7226" w:rsidP="009B7226">
      <w:pPr>
        <w:spacing w:after="0" w:line="240" w:lineRule="auto"/>
        <w:jc w:val="both"/>
        <w:rPr>
          <w:rFonts w:ascii="Times New Roman" w:hAnsi="Times New Roman"/>
          <w:sz w:val="24"/>
          <w:szCs w:val="24"/>
        </w:rPr>
      </w:pPr>
      <w:r w:rsidRPr="009B7226">
        <w:rPr>
          <w:rFonts w:ascii="Times New Roman" w:hAnsi="Times New Roman"/>
          <w:b/>
          <w:bCs/>
          <w:sz w:val="24"/>
          <w:szCs w:val="24"/>
        </w:rPr>
        <w:t>Keywords</w:t>
      </w:r>
      <w:r w:rsidRPr="009B7226">
        <w:rPr>
          <w:rFonts w:ascii="Times New Roman" w:hAnsi="Times New Roman"/>
          <w:sz w:val="24"/>
          <w:szCs w:val="24"/>
        </w:rPr>
        <w:t>: Genetics, learning material, students’ performance, quantitative, study guide</w:t>
      </w:r>
    </w:p>
    <w:p w14:paraId="2F35D502" w14:textId="77777777" w:rsidR="00BD006D" w:rsidRDefault="00BD006D" w:rsidP="009B7226">
      <w:pPr>
        <w:spacing w:after="0" w:line="240" w:lineRule="auto"/>
        <w:jc w:val="both"/>
        <w:rPr>
          <w:rFonts w:ascii="Times New Roman" w:hAnsi="Times New Roman"/>
          <w:sz w:val="24"/>
          <w:szCs w:val="24"/>
        </w:rPr>
      </w:pPr>
    </w:p>
    <w:p w14:paraId="0BBB2F7C" w14:textId="6BB7697E" w:rsidR="00BD006D" w:rsidRDefault="00BD006D" w:rsidP="009B7226">
      <w:pPr>
        <w:spacing w:after="0" w:line="240" w:lineRule="auto"/>
        <w:jc w:val="both"/>
        <w:rPr>
          <w:rFonts w:ascii="Times New Roman" w:hAnsi="Times New Roman"/>
          <w:b/>
          <w:bCs/>
          <w:sz w:val="28"/>
          <w:szCs w:val="28"/>
        </w:rPr>
      </w:pPr>
      <w:r w:rsidRPr="00BD006D">
        <w:rPr>
          <w:rFonts w:ascii="Times New Roman" w:hAnsi="Times New Roman"/>
          <w:b/>
          <w:bCs/>
          <w:sz w:val="28"/>
          <w:szCs w:val="28"/>
        </w:rPr>
        <w:t>INTRODUCTION</w:t>
      </w:r>
    </w:p>
    <w:p w14:paraId="217C6F37" w14:textId="77777777" w:rsidR="00BD006D" w:rsidRPr="00BD006D" w:rsidRDefault="00BD006D" w:rsidP="009B7226">
      <w:pPr>
        <w:spacing w:after="0" w:line="240" w:lineRule="auto"/>
        <w:jc w:val="both"/>
        <w:rPr>
          <w:rFonts w:ascii="Times New Roman" w:hAnsi="Times New Roman"/>
          <w:b/>
          <w:bCs/>
        </w:rPr>
      </w:pPr>
    </w:p>
    <w:p w14:paraId="3F398C5D" w14:textId="2DF89E5E"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A study guide, along with a graphic organizer, is considered an instructional tool that can be categorized as a “teaching device” or instructional device aimed at reducing the stress students experience during the learning process. It is an essential resource that connects various materials and encourages critical thinking, actively engaging students in the learning process. This educational aid helps students deepen their understanding of specific texts. One of its benefits is that it helps students learn the material, focus their attention on key topics, and review quizzes and tests. Additionally, it serves as a roadmap to guide learners on their educational path and can facilitate their learning process (Tabatabaee et al., 2024). As the name implies, it enables students to navigate the text and manage their time more effectively while comprehending content aligned with their learning objectives.</w:t>
      </w:r>
    </w:p>
    <w:p w14:paraId="17BBABC3" w14:textId="77777777" w:rsidR="00BD006D" w:rsidRDefault="00BD006D" w:rsidP="00BD006D">
      <w:pPr>
        <w:spacing w:after="0" w:line="240" w:lineRule="auto"/>
        <w:jc w:val="both"/>
        <w:rPr>
          <w:rFonts w:ascii="Times New Roman" w:hAnsi="Times New Roman"/>
          <w:sz w:val="24"/>
          <w:szCs w:val="24"/>
        </w:rPr>
      </w:pPr>
    </w:p>
    <w:p w14:paraId="1DCA8F13" w14:textId="6D880F31"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Furthermore, the study guides provide information that supports students' studies (Conderman &amp; Bresnahan, 2010). Moreover, study guides can serve as "tutors in print" for learners, increasing their engagement in the learning process and fostering a student-centered environment.</w:t>
      </w:r>
    </w:p>
    <w:p w14:paraId="7EDF83B8"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Some research has demonstrated the effectiveness of study guides in supplementing teaching materials, enhancing students' performance and comprehension, and helping students identify important information while reading. The study by Jenkins et al. (2010) on the use of study guides to improve learning outcomes in engineering fluid mechanics and hydraulics found that study guides are an effective resource for students during summative assessments. However, the research by Cushen et al. (2019) titled "What is on the Test? The Impact of Giving Students a Concept-List Study Guide" and </w:t>
      </w:r>
      <w:proofErr w:type="spellStart"/>
      <w:r w:rsidRPr="00BD006D">
        <w:rPr>
          <w:rFonts w:ascii="Times New Roman" w:hAnsi="Times New Roman"/>
          <w:sz w:val="24"/>
          <w:szCs w:val="24"/>
        </w:rPr>
        <w:t>Eldeek</w:t>
      </w:r>
      <w:proofErr w:type="spellEnd"/>
      <w:r w:rsidRPr="00BD006D">
        <w:rPr>
          <w:rFonts w:ascii="Times New Roman" w:hAnsi="Times New Roman"/>
          <w:sz w:val="24"/>
          <w:szCs w:val="24"/>
        </w:rPr>
        <w:t xml:space="preserve"> et al. (2014) indicated that providing a concept-list study guide led to poorer exam performance, and the participating students were not fully satisfied with the study guides. In the Philippines, only the study by Balan (2018), titled "Use of Study Guide as Intervention Tool in Enhancing Students' Motivation in Grade 8 Genetics Concepts," showed that students strongly agree that the study guide enhances their motivation in learning genetics. </w:t>
      </w:r>
    </w:p>
    <w:p w14:paraId="7738F0FE" w14:textId="77777777" w:rsidR="00BD006D" w:rsidRDefault="00BD006D" w:rsidP="00BD006D">
      <w:pPr>
        <w:spacing w:after="0" w:line="240" w:lineRule="auto"/>
        <w:jc w:val="both"/>
        <w:rPr>
          <w:rFonts w:ascii="Times New Roman" w:hAnsi="Times New Roman"/>
          <w:sz w:val="24"/>
          <w:szCs w:val="24"/>
        </w:rPr>
      </w:pPr>
    </w:p>
    <w:p w14:paraId="5FCD3668" w14:textId="15B90D1E"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lastRenderedPageBreak/>
        <w:t>According to the World Economic Forum (2018), the Philippines lags other countries in educational quality, particularly in math and science, ranking 76th out of 137 countries. In addition, according to PISA 2022 results, the Philippines ranked third from the bottom in science, with an average score of 356. One of the abstract science concepts that students struggle to understand is genetics. It is regarded as one of the most important and challenging topics in the school science curriculum (</w:t>
      </w:r>
      <w:proofErr w:type="spellStart"/>
      <w:r w:rsidRPr="00BD006D">
        <w:rPr>
          <w:rFonts w:ascii="Times New Roman" w:eastAsia="Times New Roman" w:hAnsi="Times New Roman"/>
          <w:sz w:val="24"/>
          <w:szCs w:val="24"/>
        </w:rPr>
        <w:t>Dogru</w:t>
      </w:r>
      <w:proofErr w:type="spellEnd"/>
      <w:r w:rsidRPr="00BD006D">
        <w:rPr>
          <w:rFonts w:ascii="Times New Roman" w:eastAsia="Times New Roman" w:hAnsi="Times New Roman"/>
          <w:sz w:val="24"/>
          <w:szCs w:val="24"/>
        </w:rPr>
        <w:t>-Atay et al.</w:t>
      </w:r>
      <w:r w:rsidRPr="00BD006D">
        <w:rPr>
          <w:rFonts w:ascii="Times New Roman" w:hAnsi="Times New Roman"/>
          <w:sz w:val="24"/>
          <w:szCs w:val="24"/>
        </w:rPr>
        <w:t>, 2008). In addition, as cited in Balan (2018), several reasons genetics concepts are difficult for students to learn include domain-specific vocabulary and terminology, the mathematical content of Mendelian genetics, cytological processes, the complex nature of genetics, and the subject's abstract nature.</w:t>
      </w:r>
    </w:p>
    <w:p w14:paraId="428C4120" w14:textId="77777777" w:rsidR="00BD006D" w:rsidRPr="00BD006D" w:rsidRDefault="00BD006D" w:rsidP="00BD006D">
      <w:pPr>
        <w:spacing w:after="0" w:line="240" w:lineRule="auto"/>
        <w:jc w:val="both"/>
        <w:rPr>
          <w:rFonts w:ascii="Times New Roman" w:hAnsi="Times New Roman"/>
          <w:sz w:val="24"/>
          <w:szCs w:val="24"/>
        </w:rPr>
      </w:pPr>
    </w:p>
    <w:p w14:paraId="5EAD2AB1" w14:textId="77777777" w:rsidR="00BD006D" w:rsidRDefault="00BD006D" w:rsidP="00BD006D">
      <w:pPr>
        <w:spacing w:after="0" w:line="240" w:lineRule="auto"/>
        <w:jc w:val="both"/>
        <w:rPr>
          <w:b/>
          <w:bCs/>
        </w:rPr>
      </w:pPr>
      <w:r w:rsidRPr="00BD006D">
        <w:rPr>
          <w:rFonts w:ascii="Times New Roman" w:hAnsi="Times New Roman"/>
          <w:sz w:val="24"/>
          <w:szCs w:val="24"/>
        </w:rPr>
        <w:t>The genetics lesson is taught using a spiral progression approach, emphasizing its design that revisits concepts and skills at increasing levels of complexity across grade levels. For this reason, learners tend to forget the basic concepts they need to understand more complex and abstract ideas as they progress to higher grade levels. Additionally, genetics lessons in grade 10 are scheduled during the third quarter, which means not all competencies are taught due to time constraints, various school activities, unexpected class cancellations caused by natural disasters, and a lack of printed resources. and materials to support their learning. These situations have led to low performance levels and a poor conceptual understanding of genetics among students, particularly in topics such as protein synthesis and mutation. In addition, various genetic concepts rely on imaginary (theoretical) ideas constructed within abstract hypothetical-deductive conceptual systems, underscoring the need for instructional techniques and materials that enhance comprehension of genetics (Balan, 2018). Furthermore, in Palawan, research studies have examined the effectiveness of various teaching methodologies, approaches, and strategies in improving students’ performance in science; however, no specific investigation has examined the use of study guides to enhance students’ performance in genetics</w:t>
      </w:r>
      <w:r w:rsidRPr="00BD006D">
        <w:rPr>
          <w:rFonts w:ascii="Times New Roman" w:hAnsi="Times New Roman"/>
          <w:b/>
          <w:bCs/>
          <w:sz w:val="24"/>
          <w:szCs w:val="24"/>
        </w:rPr>
        <w:t>.</w:t>
      </w:r>
      <w:r>
        <w:rPr>
          <w:b/>
          <w:bCs/>
        </w:rPr>
        <w:tab/>
      </w:r>
    </w:p>
    <w:p w14:paraId="642296DB" w14:textId="77777777" w:rsidR="00BD006D" w:rsidRDefault="00BD006D" w:rsidP="00BD006D">
      <w:pPr>
        <w:spacing w:after="0" w:line="240" w:lineRule="auto"/>
        <w:jc w:val="both"/>
        <w:rPr>
          <w:b/>
          <w:bCs/>
        </w:rPr>
      </w:pPr>
    </w:p>
    <w:p w14:paraId="033DD1AE" w14:textId="28E933EF" w:rsidR="00BD006D" w:rsidRPr="00BD006D" w:rsidRDefault="00BD006D" w:rsidP="00BD006D">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The objective of this study are</w:t>
      </w:r>
      <w:r w:rsidRPr="00BD006D">
        <w:rPr>
          <w:rFonts w:ascii="Times New Roman" w:eastAsia="Times New Roman" w:hAnsi="Times New Roman"/>
          <w:sz w:val="24"/>
          <w:szCs w:val="24"/>
        </w:rPr>
        <w:t xml:space="preserve"> to 1) determine the </w:t>
      </w:r>
      <w:r w:rsidRPr="00BD006D">
        <w:rPr>
          <w:rFonts w:ascii="Times New Roman" w:hAnsi="Times New Roman"/>
          <w:sz w:val="24"/>
          <w:szCs w:val="24"/>
        </w:rPr>
        <w:t xml:space="preserve">level of acceptance of the study guide in terms of a) content, b) format, c) presentation and organization, and d) accuracy and up-to-datedness of information; 2) describe the </w:t>
      </w:r>
      <w:r w:rsidRPr="00BD006D">
        <w:rPr>
          <w:rFonts w:ascii="Times New Roman" w:hAnsi="Times New Roman"/>
          <w:bCs/>
          <w:sz w:val="24"/>
          <w:szCs w:val="24"/>
        </w:rPr>
        <w:t xml:space="preserve">students' pretest and posttest scores in the control and experimental groups; 3) find out if there is a significant difference between the pretest and posttest scores of students in the following: a) </w:t>
      </w:r>
      <w:r w:rsidRPr="00BD006D">
        <w:rPr>
          <w:rFonts w:ascii="Times New Roman" w:hAnsi="Times New Roman"/>
          <w:sz w:val="24"/>
          <w:szCs w:val="24"/>
        </w:rPr>
        <w:t>Control group; b) Experimental group; and 4) determine if there is a significant difference between the posttest scores of the control and experimental group</w:t>
      </w:r>
      <w:r>
        <w:rPr>
          <w:rFonts w:ascii="Arial" w:hAnsi="Arial" w:cs="Arial"/>
        </w:rPr>
        <w:t>.</w:t>
      </w:r>
    </w:p>
    <w:p w14:paraId="72215908" w14:textId="212F50A7" w:rsidR="009B7226" w:rsidRDefault="009B7226" w:rsidP="009B7226">
      <w:pPr>
        <w:spacing w:after="0" w:line="240" w:lineRule="auto"/>
        <w:jc w:val="both"/>
        <w:rPr>
          <w:rFonts w:ascii="Times New Roman" w:hAnsi="Times New Roman"/>
          <w:sz w:val="24"/>
          <w:szCs w:val="24"/>
        </w:rPr>
      </w:pPr>
      <w:r w:rsidRPr="009B7226">
        <w:rPr>
          <w:rFonts w:ascii="Times New Roman" w:hAnsi="Times New Roman"/>
          <w:sz w:val="24"/>
          <w:szCs w:val="24"/>
        </w:rPr>
        <w:t xml:space="preserve"> </w:t>
      </w:r>
    </w:p>
    <w:p w14:paraId="3F428694" w14:textId="6D7B5337" w:rsidR="00BD006D" w:rsidRDefault="00BD006D" w:rsidP="009B7226">
      <w:pPr>
        <w:spacing w:after="0" w:line="240" w:lineRule="auto"/>
        <w:jc w:val="both"/>
        <w:rPr>
          <w:rFonts w:ascii="Times New Roman" w:hAnsi="Times New Roman"/>
          <w:b/>
          <w:bCs/>
          <w:sz w:val="28"/>
          <w:szCs w:val="28"/>
        </w:rPr>
      </w:pPr>
      <w:r w:rsidRPr="00BD006D">
        <w:rPr>
          <w:rFonts w:ascii="Times New Roman" w:hAnsi="Times New Roman"/>
          <w:b/>
          <w:bCs/>
          <w:sz w:val="28"/>
          <w:szCs w:val="28"/>
        </w:rPr>
        <w:t>METHODOLOGY</w:t>
      </w:r>
    </w:p>
    <w:p w14:paraId="07C2671F" w14:textId="77777777" w:rsidR="00BD006D" w:rsidRDefault="00BD006D" w:rsidP="00BD006D">
      <w:pPr>
        <w:spacing w:after="0" w:line="240" w:lineRule="auto"/>
        <w:jc w:val="both"/>
        <w:rPr>
          <w:rFonts w:ascii="Times New Roman" w:hAnsi="Times New Roman"/>
          <w:sz w:val="24"/>
          <w:szCs w:val="24"/>
        </w:rPr>
      </w:pPr>
    </w:p>
    <w:p w14:paraId="7C7E7151" w14:textId="157A169E" w:rsidR="00BD006D" w:rsidRPr="00B31AEC"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This study utilized a quantitative research design to answer the research questions. The study employed a pretest-posttest research design with a control group to assess the effectiveness of the study guide in enhancing students’ performance in genetics. This design examines the relationship between an intervention and an outcome using experiments in which the intervention is not randomly assigned. </w:t>
      </w:r>
    </w:p>
    <w:p w14:paraId="78DDEAB8" w14:textId="77777777" w:rsidR="00BD006D" w:rsidRDefault="00BD006D" w:rsidP="00BD006D">
      <w:pPr>
        <w:spacing w:after="0" w:line="240" w:lineRule="auto"/>
        <w:jc w:val="both"/>
        <w:rPr>
          <w:rFonts w:ascii="Times New Roman" w:hAnsi="Times New Roman"/>
          <w:sz w:val="24"/>
          <w:szCs w:val="24"/>
        </w:rPr>
      </w:pPr>
    </w:p>
    <w:p w14:paraId="048EF3C7" w14:textId="47FABAD2"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The participants in this study are Grade 10 students of </w:t>
      </w:r>
      <w:proofErr w:type="spellStart"/>
      <w:r w:rsidRPr="00B31AEC">
        <w:rPr>
          <w:rFonts w:ascii="Times New Roman" w:hAnsi="Times New Roman"/>
          <w:sz w:val="24"/>
          <w:szCs w:val="24"/>
        </w:rPr>
        <w:t>Mangingisda</w:t>
      </w:r>
      <w:proofErr w:type="spellEnd"/>
      <w:r w:rsidRPr="00B31AEC">
        <w:rPr>
          <w:rFonts w:ascii="Times New Roman" w:hAnsi="Times New Roman"/>
          <w:sz w:val="24"/>
          <w:szCs w:val="24"/>
        </w:rPr>
        <w:t xml:space="preserve"> National High School, enrolled in the 2025-2026 school year. The 84 Grade 10 respondents were assigned to either a control or an experimental group. A probability sampling method was used to select participants for this study, ensuring that every individual in the population had an equal chance of selection. Among the 162 grade 10 students, divided into four heterogeneous sections, the researcher randomly selected two (2). The selected sections were randomly assigned to the experimental or control group via cluster randomization, using a random-number generator to ensure that clusters were assigned differently. The experimental group used the proposed study guides for the topics of Protein Synthesis and Mutation. In contrast, the control group will receive the teacher's usual teaching approach. Furthermore, the four (4) experts in the field of Genetics were selected to evaluate the level of acceptance of the proposed study guide. The purposive method was used to select experts, as i</w:t>
      </w:r>
      <w:r>
        <w:rPr>
          <w:rFonts w:ascii="Times New Roman" w:hAnsi="Times New Roman"/>
          <w:sz w:val="24"/>
          <w:szCs w:val="24"/>
        </w:rPr>
        <w:t xml:space="preserve">t </w:t>
      </w:r>
      <w:r w:rsidRPr="00B31AEC">
        <w:rPr>
          <w:rFonts w:ascii="Times New Roman" w:hAnsi="Times New Roman"/>
          <w:sz w:val="24"/>
          <w:szCs w:val="24"/>
        </w:rPr>
        <w:t>involves selecting participants based on specific characteristics or criteria relevant to the research question.</w:t>
      </w:r>
    </w:p>
    <w:p w14:paraId="4F4C6E50" w14:textId="77777777" w:rsidR="00BD006D" w:rsidRDefault="00BD006D" w:rsidP="00BD006D">
      <w:pPr>
        <w:spacing w:after="0" w:line="240" w:lineRule="auto"/>
        <w:jc w:val="both"/>
        <w:rPr>
          <w:rFonts w:ascii="Times New Roman" w:hAnsi="Times New Roman"/>
          <w:sz w:val="24"/>
          <w:szCs w:val="24"/>
        </w:rPr>
      </w:pPr>
    </w:p>
    <w:p w14:paraId="4801F275" w14:textId="74828C47"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Participants were asked to complete the co-signed informed consent form and the parental consent form.  A 30-item printed pretest was administered to both groups, lasting 45 minutes and within the school-allocated time for each subject. During the designated weeks for genetics lessons, participants in the experimental group used the study guides, whereas participants in the control group received conventional instruction. After the identified genetics lessons were discussed, a 30-item printed posttest was administered to both groups. </w:t>
      </w:r>
    </w:p>
    <w:p w14:paraId="13FC5BE3" w14:textId="77777777" w:rsidR="00BD006D" w:rsidRDefault="00BD006D" w:rsidP="00BD006D">
      <w:pPr>
        <w:spacing w:after="0" w:line="240" w:lineRule="auto"/>
        <w:jc w:val="both"/>
        <w:rPr>
          <w:rFonts w:ascii="Times New Roman" w:hAnsi="Times New Roman"/>
          <w:sz w:val="24"/>
          <w:szCs w:val="24"/>
        </w:rPr>
      </w:pPr>
    </w:p>
    <w:p w14:paraId="54AFDDFF" w14:textId="77777777"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Furthermore, to answer the research questions, descriptive and inferential statistics were used to compare, interpret, and analyze the data collected in this investigation. To determine the level of acceptance of the proposed study guide to enhance students' performance in genetics in terms of content, format, presentation and organization, and accuracy and up-to-datedness of information, descriptive statistics were used, specifically the mean, frequency, and percentages to describe the level of acceptance as shown on the experts' responses. On the other hand, to determine whether there is a significant difference between the pretest and posttest scores of students in the control and experimental groups, a paired-samples t-test was used to compare the pretest and posttest means. Additionally, to determine whether there is a significant difference between the posttest scores of the control and experimental groups, an independent-samples t-test was used to compare the groups' performance.</w:t>
      </w:r>
    </w:p>
    <w:p w14:paraId="79E46E61" w14:textId="77777777" w:rsidR="00BD006D" w:rsidRDefault="00BD006D" w:rsidP="00BD006D">
      <w:pPr>
        <w:spacing w:after="0" w:line="240" w:lineRule="auto"/>
        <w:jc w:val="both"/>
        <w:rPr>
          <w:rFonts w:ascii="Times New Roman" w:hAnsi="Times New Roman"/>
          <w:sz w:val="24"/>
          <w:szCs w:val="24"/>
        </w:rPr>
      </w:pPr>
    </w:p>
    <w:p w14:paraId="4B6B6AE9" w14:textId="77777777" w:rsidR="00BD006D" w:rsidRPr="00BD006D" w:rsidRDefault="00BD006D" w:rsidP="00BD006D">
      <w:pPr>
        <w:spacing w:after="0" w:line="240" w:lineRule="auto"/>
        <w:jc w:val="both"/>
        <w:rPr>
          <w:rFonts w:ascii="Times New Roman" w:hAnsi="Times New Roman"/>
          <w:b/>
          <w:bCs/>
          <w:sz w:val="24"/>
          <w:szCs w:val="24"/>
        </w:rPr>
      </w:pPr>
      <w:r w:rsidRPr="00BD006D">
        <w:rPr>
          <w:rFonts w:ascii="Times New Roman" w:hAnsi="Times New Roman"/>
          <w:b/>
          <w:bCs/>
          <w:sz w:val="24"/>
          <w:szCs w:val="24"/>
        </w:rPr>
        <w:t>RESULTS AND DISCUSSION</w:t>
      </w:r>
    </w:p>
    <w:p w14:paraId="5FA4D8C1" w14:textId="77777777" w:rsidR="00BD006D" w:rsidRDefault="00BD006D" w:rsidP="00BD006D">
      <w:pPr>
        <w:spacing w:after="0" w:line="240" w:lineRule="auto"/>
        <w:ind w:firstLine="720"/>
        <w:jc w:val="both"/>
        <w:rPr>
          <w:rFonts w:ascii="Times New Roman" w:eastAsia="Times New Roman" w:hAnsi="Times New Roman"/>
          <w:b/>
          <w:bCs/>
          <w:i/>
          <w:iCs/>
          <w:sz w:val="24"/>
          <w:szCs w:val="24"/>
        </w:rPr>
      </w:pPr>
    </w:p>
    <w:p w14:paraId="02A4ADC1" w14:textId="521C4D75" w:rsidR="00BD006D" w:rsidRPr="00BD006D" w:rsidRDefault="00BD006D" w:rsidP="00BD006D">
      <w:pPr>
        <w:spacing w:after="0" w:line="240" w:lineRule="auto"/>
        <w:ind w:firstLine="720"/>
        <w:jc w:val="both"/>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Expert’s Level of Acceptance</w:t>
      </w:r>
    </w:p>
    <w:p w14:paraId="1D239E0D" w14:textId="5DDD020E" w:rsidR="00BD006D" w:rsidRPr="00BD006D" w:rsidRDefault="00BD006D" w:rsidP="00BD006D">
      <w:pPr>
        <w:spacing w:after="0" w:line="240" w:lineRule="auto"/>
        <w:ind w:firstLine="720"/>
        <w:rPr>
          <w:rFonts w:ascii="Times New Roman" w:eastAsia="Times New Roman" w:hAnsi="Times New Roman"/>
          <w:i/>
          <w:iCs/>
          <w:sz w:val="24"/>
          <w:szCs w:val="24"/>
        </w:rPr>
      </w:pPr>
      <w:r w:rsidRPr="00BD006D">
        <w:rPr>
          <w:rFonts w:ascii="Times New Roman" w:eastAsia="Times New Roman" w:hAnsi="Times New Roman"/>
          <w:i/>
          <w:iCs/>
          <w:sz w:val="24"/>
          <w:szCs w:val="24"/>
        </w:rPr>
        <w:t>Determine the level of acceptance of the study guide in terms of a) content, b) presentation and organization, c) format, and d) accuracy and up-to-datedness of information.</w:t>
      </w:r>
    </w:p>
    <w:p w14:paraId="139D2760" w14:textId="77777777" w:rsidR="00BD006D" w:rsidRPr="00BD006D" w:rsidRDefault="00BD006D" w:rsidP="00BD006D">
      <w:pPr>
        <w:spacing w:after="0" w:line="240" w:lineRule="auto"/>
        <w:rPr>
          <w:rFonts w:eastAsia="Times New Roman"/>
          <w:b/>
          <w:bCs/>
          <w:i/>
          <w:iCs/>
        </w:rPr>
      </w:pPr>
    </w:p>
    <w:p w14:paraId="0EFC5296" w14:textId="77777777" w:rsidR="00BD006D" w:rsidRPr="00BD006D" w:rsidRDefault="00BD006D" w:rsidP="00BD006D">
      <w:pPr>
        <w:pStyle w:val="ListParagraph"/>
        <w:spacing w:after="0" w:line="240" w:lineRule="auto"/>
        <w:ind w:left="806"/>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1</w:t>
      </w:r>
    </w:p>
    <w:p w14:paraId="00F90DA0" w14:textId="77777777" w:rsidR="00BD006D" w:rsidRPr="00BD006D" w:rsidRDefault="00BD006D" w:rsidP="00BD006D">
      <w:pPr>
        <w:spacing w:after="0" w:line="240" w:lineRule="auto"/>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Expert’s Level of Acceptance of the Study Guide in Genetics in Terms of Content</w:t>
      </w:r>
    </w:p>
    <w:p w14:paraId="6D8C7163" w14:textId="77777777" w:rsidR="00BD006D" w:rsidRPr="00BD006D" w:rsidRDefault="00BD006D" w:rsidP="00BD006D">
      <w:pPr>
        <w:spacing w:after="0" w:line="240" w:lineRule="auto"/>
        <w:jc w:val="center"/>
        <w:rPr>
          <w:rFonts w:ascii="Times New Roman" w:eastAsia="Times New Roman" w:hAnsi="Times New Roman"/>
          <w:i/>
          <w:iCs/>
        </w:rPr>
      </w:pPr>
    </w:p>
    <w:tbl>
      <w:tblPr>
        <w:tblStyle w:val="TableGrid"/>
        <w:tblW w:w="9497" w:type="dxa"/>
        <w:tblInd w:w="421" w:type="dxa"/>
        <w:tblLook w:val="04A0" w:firstRow="1" w:lastRow="0" w:firstColumn="1" w:lastColumn="0" w:noHBand="0" w:noVBand="1"/>
      </w:tblPr>
      <w:tblGrid>
        <w:gridCol w:w="6804"/>
        <w:gridCol w:w="850"/>
        <w:gridCol w:w="1843"/>
      </w:tblGrid>
      <w:tr w:rsidR="00BD006D" w:rsidRPr="00BD006D" w14:paraId="6FC9EB53" w14:textId="77777777" w:rsidTr="00525475">
        <w:tc>
          <w:tcPr>
            <w:tcW w:w="6804" w:type="dxa"/>
          </w:tcPr>
          <w:p w14:paraId="3FE6E0FF"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 xml:space="preserve">Statement </w:t>
            </w:r>
          </w:p>
        </w:tc>
        <w:tc>
          <w:tcPr>
            <w:tcW w:w="850" w:type="dxa"/>
          </w:tcPr>
          <w:p w14:paraId="17526996"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Mean</w:t>
            </w:r>
          </w:p>
        </w:tc>
        <w:tc>
          <w:tcPr>
            <w:tcW w:w="1843" w:type="dxa"/>
          </w:tcPr>
          <w:p w14:paraId="4FA955E4"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Descriptor</w:t>
            </w:r>
          </w:p>
          <w:p w14:paraId="2E50E0B9" w14:textId="77777777" w:rsidR="00BD006D" w:rsidRPr="00BD006D" w:rsidRDefault="00BD006D" w:rsidP="00525475">
            <w:pPr>
              <w:contextualSpacing/>
              <w:jc w:val="center"/>
              <w:rPr>
                <w:rFonts w:ascii="Times New Roman" w:eastAsia="Times New Roman" w:hAnsi="Times New Roman"/>
                <w:b/>
                <w:bCs/>
                <w:color w:val="000000"/>
                <w:lang w:eastAsia="en-PH"/>
              </w:rPr>
            </w:pPr>
          </w:p>
        </w:tc>
      </w:tr>
      <w:tr w:rsidR="00BD006D" w:rsidRPr="000F2CF6" w14:paraId="4A1E2BF4" w14:textId="77777777" w:rsidTr="00525475">
        <w:tc>
          <w:tcPr>
            <w:tcW w:w="6804" w:type="dxa"/>
          </w:tcPr>
          <w:p w14:paraId="3055D25A"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Arial" w:hAnsi="Times New Roman"/>
                <w:i/>
                <w:iCs/>
                <w:color w:val="000000"/>
                <w:sz w:val="20"/>
                <w:szCs w:val="20"/>
                <w:lang w:eastAsia="en-PH"/>
              </w:rPr>
              <w:t>1. Content is suitable for the student's level of development.</w:t>
            </w:r>
          </w:p>
          <w:p w14:paraId="6773A2A1"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5A32F5D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00D526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2172ED39" w14:textId="77777777" w:rsidTr="00525475">
        <w:tc>
          <w:tcPr>
            <w:tcW w:w="6804" w:type="dxa"/>
          </w:tcPr>
          <w:p w14:paraId="02890BE2"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2. </w:t>
            </w:r>
            <w:r w:rsidRPr="00BD006D">
              <w:rPr>
                <w:rFonts w:ascii="Times New Roman" w:eastAsia="Arial" w:hAnsi="Times New Roman"/>
                <w:i/>
                <w:iCs/>
                <w:color w:val="000000"/>
                <w:sz w:val="20"/>
                <w:szCs w:val="20"/>
                <w:lang w:eastAsia="en-PH"/>
              </w:rPr>
              <w:t>Material contributes to the achievement of specific objectives of the subject area and grade/year level for which it is intended.</w:t>
            </w:r>
          </w:p>
          <w:p w14:paraId="5E998137"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41FF09F4"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02DA07E"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3BD418FE" w14:textId="77777777" w:rsidTr="00525475">
        <w:trPr>
          <w:trHeight w:val="551"/>
        </w:trPr>
        <w:tc>
          <w:tcPr>
            <w:tcW w:w="6804" w:type="dxa"/>
          </w:tcPr>
          <w:p w14:paraId="51036977" w14:textId="77777777" w:rsidR="00BD006D" w:rsidRPr="00BD006D" w:rsidRDefault="00BD006D" w:rsidP="00BD006D">
            <w:pPr>
              <w:spacing w:after="0" w:line="240" w:lineRule="auto"/>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3. </w:t>
            </w:r>
            <w:r w:rsidRPr="00BD006D">
              <w:rPr>
                <w:rFonts w:ascii="Times New Roman" w:eastAsia="Arial" w:hAnsi="Times New Roman"/>
                <w:i/>
                <w:iCs/>
                <w:color w:val="000000"/>
                <w:sz w:val="20"/>
                <w:szCs w:val="20"/>
                <w:lang w:eastAsia="en-PH"/>
              </w:rPr>
              <w:t>Material provides for the development of higher cognitive skills such as critical thinking, creativity, learning by doing, inquiry, problem solving, etc.</w:t>
            </w:r>
          </w:p>
        </w:tc>
        <w:tc>
          <w:tcPr>
            <w:tcW w:w="850" w:type="dxa"/>
          </w:tcPr>
          <w:p w14:paraId="0AF1D83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AFFA118"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6B9647A7" w14:textId="77777777" w:rsidTr="00525475">
        <w:tc>
          <w:tcPr>
            <w:tcW w:w="6804" w:type="dxa"/>
          </w:tcPr>
          <w:p w14:paraId="52CFAB1A"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4. </w:t>
            </w:r>
            <w:r w:rsidRPr="00BD006D">
              <w:rPr>
                <w:rFonts w:ascii="Times New Roman" w:eastAsia="Arial" w:hAnsi="Times New Roman"/>
                <w:i/>
                <w:iCs/>
                <w:color w:val="000000"/>
                <w:sz w:val="20"/>
                <w:szCs w:val="20"/>
                <w:lang w:eastAsia="en-PH"/>
              </w:rPr>
              <w:t>Material enhances the development of desirable values and traits such as scientific attitude and reasoning, teamwork, critical and creative thinking.</w:t>
            </w:r>
          </w:p>
          <w:p w14:paraId="03E3F4B1"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5B2EE186"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308EA68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5A989C21" w14:textId="77777777" w:rsidTr="00525475">
        <w:tc>
          <w:tcPr>
            <w:tcW w:w="6804" w:type="dxa"/>
          </w:tcPr>
          <w:p w14:paraId="7F47B29F"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5. </w:t>
            </w:r>
            <w:r w:rsidRPr="00BD006D">
              <w:rPr>
                <w:rFonts w:ascii="Times New Roman" w:eastAsia="Arial" w:hAnsi="Times New Roman"/>
                <w:i/>
                <w:iCs/>
                <w:color w:val="000000"/>
                <w:sz w:val="20"/>
                <w:szCs w:val="20"/>
                <w:lang w:eastAsia="en-PH"/>
              </w:rPr>
              <w:t xml:space="preserve">Material has the potential to arouse the interest of the target reader.  </w:t>
            </w:r>
          </w:p>
        </w:tc>
        <w:tc>
          <w:tcPr>
            <w:tcW w:w="850" w:type="dxa"/>
          </w:tcPr>
          <w:p w14:paraId="7C9C7FC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1ADE3B6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1BC0235A" w14:textId="77777777" w:rsidTr="00525475">
        <w:tc>
          <w:tcPr>
            <w:tcW w:w="6804" w:type="dxa"/>
          </w:tcPr>
          <w:p w14:paraId="2BAA780E" w14:textId="77777777" w:rsidR="00BD006D" w:rsidRPr="00BD006D" w:rsidRDefault="00BD006D" w:rsidP="00BD006D">
            <w:pPr>
              <w:spacing w:line="240" w:lineRule="auto"/>
              <w:contextualSpacing/>
              <w:jc w:val="both"/>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6. </w:t>
            </w:r>
            <w:r w:rsidRPr="00BD006D">
              <w:rPr>
                <w:rFonts w:ascii="Times New Roman" w:eastAsia="Arial" w:hAnsi="Times New Roman"/>
                <w:i/>
                <w:iCs/>
                <w:color w:val="000000"/>
                <w:sz w:val="20"/>
                <w:szCs w:val="20"/>
                <w:lang w:eastAsia="en-PH"/>
              </w:rPr>
              <w:t>Material is free of ideological, cultural, religious, racial, and gender biases and prejudices</w:t>
            </w:r>
          </w:p>
        </w:tc>
        <w:tc>
          <w:tcPr>
            <w:tcW w:w="850" w:type="dxa"/>
          </w:tcPr>
          <w:p w14:paraId="45CC714D"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3.75</w:t>
            </w:r>
          </w:p>
        </w:tc>
        <w:tc>
          <w:tcPr>
            <w:tcW w:w="1843" w:type="dxa"/>
          </w:tcPr>
          <w:p w14:paraId="4F23640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49157491" w14:textId="77777777" w:rsidTr="00525475">
        <w:tc>
          <w:tcPr>
            <w:tcW w:w="6804" w:type="dxa"/>
          </w:tcPr>
          <w:p w14:paraId="3518F4E2" w14:textId="77777777" w:rsidR="00BD006D" w:rsidRPr="00BD006D" w:rsidRDefault="00BD006D" w:rsidP="00BD006D">
            <w:pPr>
              <w:spacing w:line="240" w:lineRule="auto"/>
              <w:contextualSpacing/>
              <w:jc w:val="both"/>
              <w:rPr>
                <w:rFonts w:ascii="Times New Roman" w:eastAsia="Times New Roman" w:hAnsi="Times New Roman"/>
                <w:i/>
                <w:iCs/>
                <w:color w:val="000000"/>
                <w:sz w:val="20"/>
                <w:szCs w:val="20"/>
                <w:lang w:eastAsia="en-PH"/>
              </w:rPr>
            </w:pPr>
            <w:r w:rsidRPr="00BD006D">
              <w:rPr>
                <w:rFonts w:ascii="Times New Roman" w:eastAsia="Arial" w:hAnsi="Times New Roman"/>
                <w:i/>
                <w:iCs/>
                <w:color w:val="000000"/>
                <w:sz w:val="20"/>
                <w:szCs w:val="20"/>
                <w:lang w:eastAsia="en-PH"/>
              </w:rPr>
              <w:t>7. Adequate warning/cautionary notes are provided in activities where safety and health are of concern</w:t>
            </w:r>
          </w:p>
        </w:tc>
        <w:tc>
          <w:tcPr>
            <w:tcW w:w="850" w:type="dxa"/>
          </w:tcPr>
          <w:p w14:paraId="19775CFE"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3.75</w:t>
            </w:r>
          </w:p>
        </w:tc>
        <w:tc>
          <w:tcPr>
            <w:tcW w:w="1843" w:type="dxa"/>
          </w:tcPr>
          <w:p w14:paraId="13373C6A"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5C301C9E" w14:textId="77777777" w:rsidTr="00525475">
        <w:tc>
          <w:tcPr>
            <w:tcW w:w="9497" w:type="dxa"/>
            <w:gridSpan w:val="3"/>
          </w:tcPr>
          <w:p w14:paraId="5725B225" w14:textId="77777777" w:rsidR="00BD006D" w:rsidRPr="00BD006D" w:rsidRDefault="00BD006D" w:rsidP="00BD006D">
            <w:pPr>
              <w:spacing w:line="240" w:lineRule="auto"/>
              <w:contextualSpacing/>
              <w:jc w:val="both"/>
              <w:rPr>
                <w:rFonts w:ascii="Times New Roman" w:eastAsia="Times New Roman" w:hAnsi="Times New Roman"/>
                <w:b/>
                <w:bCs/>
                <w:i/>
                <w:iCs/>
                <w:color w:val="000000"/>
                <w:lang w:eastAsia="en-PH"/>
              </w:rPr>
            </w:pPr>
            <w:r w:rsidRPr="00BD006D">
              <w:rPr>
                <w:rFonts w:ascii="Times New Roman" w:eastAsia="Times New Roman" w:hAnsi="Times New Roman"/>
                <w:i/>
                <w:iCs/>
                <w:color w:val="000000"/>
                <w:lang w:eastAsia="en-PH"/>
              </w:rPr>
              <w:t xml:space="preserve">                                                        </w:t>
            </w:r>
            <w:r w:rsidRPr="00BD006D">
              <w:rPr>
                <w:rFonts w:ascii="Times New Roman" w:eastAsia="Times New Roman" w:hAnsi="Times New Roman"/>
                <w:b/>
                <w:bCs/>
                <w:i/>
                <w:iCs/>
                <w:color w:val="000000"/>
                <w:lang w:eastAsia="en-PH"/>
              </w:rPr>
              <w:t>Overall Mean Rating                         3.92       Very Satisfactory</w:t>
            </w:r>
          </w:p>
        </w:tc>
      </w:tr>
    </w:tbl>
    <w:p w14:paraId="3CC6B7CF" w14:textId="77777777" w:rsidR="00BD006D" w:rsidRDefault="00BD006D" w:rsidP="00BD006D">
      <w:pPr>
        <w:spacing w:after="0" w:line="240" w:lineRule="auto"/>
        <w:rPr>
          <w:rFonts w:eastAsia="Times New Roman"/>
          <w:i/>
          <w:iCs/>
          <w:sz w:val="16"/>
          <w:szCs w:val="16"/>
        </w:rPr>
      </w:pPr>
      <w:r w:rsidRPr="00A431FC">
        <w:rPr>
          <w:b/>
          <w:bCs/>
          <w:sz w:val="16"/>
          <w:szCs w:val="16"/>
        </w:rPr>
        <w:t xml:space="preserve">       </w:t>
      </w:r>
      <w:r>
        <w:rPr>
          <w:b/>
          <w:bCs/>
          <w:sz w:val="16"/>
          <w:szCs w:val="16"/>
        </w:rPr>
        <w:tab/>
      </w:r>
      <w:r w:rsidRPr="00A431FC">
        <w:rPr>
          <w:b/>
          <w:bCs/>
          <w:sz w:val="16"/>
          <w:szCs w:val="16"/>
        </w:rPr>
        <w:t xml:space="preserve"> Legend for the Mean Rating: </w:t>
      </w:r>
      <w:r w:rsidRPr="00A431FC">
        <w:rPr>
          <w:sz w:val="16"/>
          <w:szCs w:val="16"/>
        </w:rPr>
        <w:t>Not Satisfactory: 1.00-1.74; Poor: 1.75-2.49; Satisfactory: 2.50-3.24; Very Satisfactory</w:t>
      </w:r>
      <w:r w:rsidRPr="00A431FC">
        <w:rPr>
          <w:rFonts w:eastAsia="Times New Roman"/>
          <w:i/>
          <w:iCs/>
          <w:sz w:val="16"/>
          <w:szCs w:val="16"/>
        </w:rPr>
        <w:t>: 3.25-4.00</w:t>
      </w:r>
    </w:p>
    <w:p w14:paraId="2E8654F2" w14:textId="77777777" w:rsidR="00BD006D" w:rsidRDefault="00BD006D" w:rsidP="00BD006D">
      <w:pPr>
        <w:spacing w:after="0" w:line="240" w:lineRule="auto"/>
        <w:rPr>
          <w:rFonts w:ascii="Arial" w:hAnsi="Arial" w:cs="Arial"/>
        </w:rPr>
      </w:pPr>
    </w:p>
    <w:p w14:paraId="16F6EAD0"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Table 1 presents the experts’ level of acceptance of the developed study guide in Genetics in terms of content. The overall mean rating of 3.92, interpreted as Very Satisfactory, indicates that subject-matter experts highly accepted the study guide and considered it pedagogically sound, developmentally appropriate, and aligned with curricular standards in Genetics.</w:t>
      </w:r>
    </w:p>
    <w:p w14:paraId="27A23FB5" w14:textId="77777777" w:rsidR="00BD006D" w:rsidRDefault="00BD006D" w:rsidP="00BD006D">
      <w:pPr>
        <w:spacing w:after="0" w:line="240" w:lineRule="auto"/>
        <w:jc w:val="both"/>
        <w:rPr>
          <w:rFonts w:ascii="Times New Roman" w:hAnsi="Times New Roman"/>
          <w:sz w:val="24"/>
          <w:szCs w:val="24"/>
        </w:rPr>
      </w:pPr>
    </w:p>
    <w:p w14:paraId="199AF2E0" w14:textId="4F2A5F99"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The results show that five indicators—namely the suitability of content to students’ developmental level, alignment with subject objectives, promotion of higher-order cognitive skills, enhancement of desirable values and traits, and the ability to arouse learners’ interest—each obtained a perfect mean rating of 4.00. The results imply that experts strongly agreed that the study guide was carefully designed to align with the cognitive readiness of high school learners and to support the intended learning outcomes of the Genetics curriculum. The results align with Biggs and Tang (2022), who noted that alignment among the content of the learning materials, objectives, and learner readiness is a key indicator of instructional quality, as it ensures coherence between what is taught, which has been consistently identified as a predictor of effective learning outcomes in science education.</w:t>
      </w:r>
    </w:p>
    <w:p w14:paraId="4E71914E" w14:textId="77777777" w:rsidR="00BD006D" w:rsidRDefault="00BD006D" w:rsidP="00BD006D">
      <w:pPr>
        <w:spacing w:after="0" w:line="240" w:lineRule="auto"/>
        <w:jc w:val="both"/>
        <w:rPr>
          <w:rFonts w:ascii="Times New Roman" w:hAnsi="Times New Roman"/>
          <w:sz w:val="24"/>
          <w:szCs w:val="24"/>
        </w:rPr>
      </w:pPr>
    </w:p>
    <w:p w14:paraId="68642F86" w14:textId="1672D56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In addition, the exceptionally high rating for developing higher cognitive skills indicates that the study guide extends beyond factual recall and encourages students to engage in critical thinking, inquiry, and problem-solving. Genetics is widely recognized as a conceptually challenging area in biology due to its abstract nature, underscoring the need for instructional techniques and materials to facilitate comprehension (Smith et al., 1992, cited in Balan, 2018). The experts’ evaluation further suggests that the study guide </w:t>
      </w:r>
      <w:r>
        <w:rPr>
          <w:rFonts w:ascii="Times New Roman" w:hAnsi="Times New Roman"/>
          <w:sz w:val="24"/>
          <w:szCs w:val="24"/>
        </w:rPr>
        <w:t>effectively integrates activities and explanations to support deeper</w:t>
      </w:r>
      <w:r w:rsidRPr="00BD006D">
        <w:rPr>
          <w:rFonts w:ascii="Times New Roman" w:hAnsi="Times New Roman"/>
          <w:sz w:val="24"/>
          <w:szCs w:val="24"/>
        </w:rPr>
        <w:t xml:space="preserve"> understanding and meaningful learning.</w:t>
      </w:r>
    </w:p>
    <w:p w14:paraId="376C371B" w14:textId="77777777" w:rsidR="00BD006D" w:rsidRDefault="00BD006D" w:rsidP="00BD006D">
      <w:pPr>
        <w:spacing w:after="0" w:line="240" w:lineRule="auto"/>
        <w:jc w:val="both"/>
        <w:rPr>
          <w:rFonts w:ascii="Times New Roman" w:hAnsi="Times New Roman"/>
          <w:sz w:val="24"/>
          <w:szCs w:val="24"/>
        </w:rPr>
      </w:pPr>
    </w:p>
    <w:p w14:paraId="7B00D062"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Moreover, the indicator on value formation, which also received a very satisfactory rating, highlights the study guide’s contribution to the development of scientific attitudes, teamwork, and critical and creative thinking. The indicators related to freedom from ideological, cultural, religious, racial, and gender biases received slightly lower yet still very satisfactory mean ratings of 3.75. This suggests that while the study guide is generally inclusive and safe, experts identify areas for further improvement. A very satisfactory mean rating of 3.75</w:t>
      </w:r>
      <w:r w:rsidRPr="00BD006D">
        <w:rPr>
          <w:rFonts w:ascii="Times New Roman" w:hAnsi="Times New Roman"/>
          <w:b/>
          <w:bCs/>
          <w:sz w:val="24"/>
          <w:szCs w:val="24"/>
        </w:rPr>
        <w:t xml:space="preserve"> </w:t>
      </w:r>
      <w:r w:rsidRPr="00BD006D">
        <w:rPr>
          <w:rFonts w:ascii="Times New Roman" w:hAnsi="Times New Roman"/>
          <w:sz w:val="24"/>
          <w:szCs w:val="24"/>
        </w:rPr>
        <w:t>is also given to the indicator for the provision of adequate warning/cautionary notes in activities where safety and health are of concern, indicating that, while the study guide contains instructions for activities, experts noted that this section should be enhance</w:t>
      </w:r>
      <w:r>
        <w:rPr>
          <w:rFonts w:ascii="Times New Roman" w:hAnsi="Times New Roman"/>
          <w:sz w:val="24"/>
          <w:szCs w:val="24"/>
        </w:rPr>
        <w:t>d.</w:t>
      </w:r>
    </w:p>
    <w:p w14:paraId="04653A5D" w14:textId="77777777" w:rsidR="00BD006D" w:rsidRDefault="00BD006D" w:rsidP="00BD006D">
      <w:pPr>
        <w:spacing w:after="0" w:line="240" w:lineRule="auto"/>
        <w:jc w:val="both"/>
        <w:rPr>
          <w:rFonts w:ascii="Times New Roman" w:hAnsi="Times New Roman"/>
          <w:sz w:val="24"/>
          <w:szCs w:val="24"/>
        </w:rPr>
      </w:pPr>
    </w:p>
    <w:p w14:paraId="6BB25C80" w14:textId="77777777" w:rsidR="00BD006D" w:rsidRPr="00BD006D" w:rsidRDefault="00BD006D" w:rsidP="00BD006D">
      <w:pPr>
        <w:spacing w:after="0" w:line="240" w:lineRule="auto"/>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2</w:t>
      </w:r>
    </w:p>
    <w:p w14:paraId="34939AA1" w14:textId="77777777" w:rsidR="00BD006D" w:rsidRPr="00BD006D" w:rsidRDefault="00BD006D" w:rsidP="00BD006D">
      <w:pPr>
        <w:spacing w:after="0" w:line="240" w:lineRule="auto"/>
        <w:jc w:val="center"/>
        <w:rPr>
          <w:rFonts w:ascii="Times New Roman" w:eastAsia="Times New Roman" w:hAnsi="Times New Roman"/>
          <w:b/>
          <w:bCs/>
          <w:i/>
          <w:iCs/>
          <w:sz w:val="14"/>
          <w:szCs w:val="14"/>
        </w:rPr>
      </w:pPr>
    </w:p>
    <w:p w14:paraId="1D9FDD58" w14:textId="77777777" w:rsidR="00BD006D" w:rsidRPr="00BD006D" w:rsidRDefault="00BD006D" w:rsidP="00BD006D">
      <w:pPr>
        <w:spacing w:after="0" w:line="240" w:lineRule="auto"/>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Expert’s Level of Acceptance of the Study Guide in Genetics in Terms of Presentation and Organization</w:t>
      </w:r>
    </w:p>
    <w:p w14:paraId="18FB3E0E" w14:textId="77777777" w:rsidR="00BD006D" w:rsidRPr="00BD006D" w:rsidRDefault="00BD006D" w:rsidP="00BD006D">
      <w:pPr>
        <w:spacing w:after="0" w:line="240" w:lineRule="auto"/>
        <w:ind w:firstLine="720"/>
        <w:jc w:val="both"/>
        <w:rPr>
          <w:rFonts w:ascii="Arial" w:eastAsia="Times New Roman" w:hAnsi="Arial" w:cs="Arial"/>
          <w:i/>
          <w:iCs/>
          <w:sz w:val="12"/>
          <w:szCs w:val="12"/>
        </w:rPr>
      </w:pPr>
    </w:p>
    <w:tbl>
      <w:tblPr>
        <w:tblStyle w:val="TableGrid"/>
        <w:tblW w:w="9497" w:type="dxa"/>
        <w:tblInd w:w="421" w:type="dxa"/>
        <w:tblLook w:val="04A0" w:firstRow="1" w:lastRow="0" w:firstColumn="1" w:lastColumn="0" w:noHBand="0" w:noVBand="1"/>
      </w:tblPr>
      <w:tblGrid>
        <w:gridCol w:w="6520"/>
        <w:gridCol w:w="992"/>
        <w:gridCol w:w="1985"/>
      </w:tblGrid>
      <w:tr w:rsidR="00BD006D" w:rsidRPr="00FA1093" w14:paraId="0FE34910" w14:textId="77777777" w:rsidTr="00525475">
        <w:tc>
          <w:tcPr>
            <w:tcW w:w="6520" w:type="dxa"/>
          </w:tcPr>
          <w:p w14:paraId="798864B1"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 xml:space="preserve">Statement </w:t>
            </w:r>
          </w:p>
        </w:tc>
        <w:tc>
          <w:tcPr>
            <w:tcW w:w="992" w:type="dxa"/>
          </w:tcPr>
          <w:p w14:paraId="008BD0B1"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Mean</w:t>
            </w:r>
          </w:p>
        </w:tc>
        <w:tc>
          <w:tcPr>
            <w:tcW w:w="1985" w:type="dxa"/>
          </w:tcPr>
          <w:p w14:paraId="0ED1C97B"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Descriptor</w:t>
            </w:r>
          </w:p>
          <w:p w14:paraId="212B297C"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p>
        </w:tc>
      </w:tr>
      <w:tr w:rsidR="00BD006D" w:rsidRPr="00FA1093" w14:paraId="07C28F3E" w14:textId="77777777" w:rsidTr="00525475">
        <w:tc>
          <w:tcPr>
            <w:tcW w:w="6520" w:type="dxa"/>
          </w:tcPr>
          <w:p w14:paraId="1D769FD4"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hAnsi="Times New Roman"/>
                <w:i/>
                <w:iCs/>
                <w:sz w:val="24"/>
                <w:szCs w:val="24"/>
              </w:rPr>
              <w:t>1. Presentation is engaging, interesting, and understandable</w:t>
            </w:r>
          </w:p>
        </w:tc>
        <w:tc>
          <w:tcPr>
            <w:tcW w:w="992" w:type="dxa"/>
          </w:tcPr>
          <w:p w14:paraId="6ADE3BE7"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6AACF1BB"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2495C416" w14:textId="77777777" w:rsidTr="00525475">
        <w:tc>
          <w:tcPr>
            <w:tcW w:w="6520" w:type="dxa"/>
          </w:tcPr>
          <w:p w14:paraId="4DFDFE1C"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2. </w:t>
            </w:r>
            <w:r w:rsidRPr="00BD006D">
              <w:rPr>
                <w:rFonts w:ascii="Times New Roman" w:hAnsi="Times New Roman"/>
                <w:i/>
                <w:iCs/>
                <w:sz w:val="24"/>
                <w:szCs w:val="24"/>
              </w:rPr>
              <w:t xml:space="preserve">There is a logical and smooth flow of ideas. </w:t>
            </w:r>
          </w:p>
        </w:tc>
        <w:tc>
          <w:tcPr>
            <w:tcW w:w="992" w:type="dxa"/>
          </w:tcPr>
          <w:p w14:paraId="240A680B"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3E4628BE"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6CDB27F2" w14:textId="77777777" w:rsidTr="00525475">
        <w:tc>
          <w:tcPr>
            <w:tcW w:w="6520" w:type="dxa"/>
          </w:tcPr>
          <w:p w14:paraId="20904946" w14:textId="77777777" w:rsidR="00BD006D" w:rsidRPr="00BD006D" w:rsidRDefault="00BD006D" w:rsidP="00525475">
            <w:pPr>
              <w:spacing w:after="0" w:line="240" w:lineRule="auto"/>
              <w:rPr>
                <w:rFonts w:ascii="Times New Roman" w:eastAsia="Times New Roman" w:hAnsi="Times New Roman"/>
                <w:i/>
                <w:iCs/>
                <w:sz w:val="24"/>
                <w:szCs w:val="24"/>
              </w:rPr>
            </w:pPr>
            <w:r w:rsidRPr="00BD006D">
              <w:rPr>
                <w:rFonts w:ascii="Times New Roman" w:eastAsia="Times New Roman" w:hAnsi="Times New Roman"/>
                <w:i/>
                <w:iCs/>
                <w:sz w:val="24"/>
                <w:szCs w:val="24"/>
              </w:rPr>
              <w:t>3.</w:t>
            </w:r>
            <w:r w:rsidRPr="00BD006D">
              <w:rPr>
                <w:rFonts w:ascii="Times New Roman" w:hAnsi="Times New Roman"/>
                <w:i/>
                <w:iCs/>
                <w:sz w:val="24"/>
                <w:szCs w:val="24"/>
              </w:rPr>
              <w:t>Vocabulary level is adapted to the target reader's likely experience and level of understanding</w:t>
            </w:r>
          </w:p>
        </w:tc>
        <w:tc>
          <w:tcPr>
            <w:tcW w:w="992" w:type="dxa"/>
          </w:tcPr>
          <w:p w14:paraId="5A57CEA1"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759EEC46"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3E0AB8F7" w14:textId="77777777" w:rsidTr="00525475">
        <w:tc>
          <w:tcPr>
            <w:tcW w:w="6520" w:type="dxa"/>
          </w:tcPr>
          <w:p w14:paraId="2E986C1F"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4.</w:t>
            </w:r>
            <w:r w:rsidRPr="00BD006D">
              <w:rPr>
                <w:rFonts w:ascii="Times New Roman" w:hAnsi="Times New Roman"/>
                <w:i/>
                <w:iCs/>
                <w:sz w:val="24"/>
                <w:szCs w:val="24"/>
              </w:rPr>
              <w:t>The length of sentences is suited to the comprehension level of the target reader.</w:t>
            </w:r>
          </w:p>
        </w:tc>
        <w:tc>
          <w:tcPr>
            <w:tcW w:w="992" w:type="dxa"/>
          </w:tcPr>
          <w:p w14:paraId="2878A8D2"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37F145AC"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545D4819" w14:textId="77777777" w:rsidTr="00525475">
        <w:tc>
          <w:tcPr>
            <w:tcW w:w="6520" w:type="dxa"/>
          </w:tcPr>
          <w:p w14:paraId="3C66C1A2"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5. </w:t>
            </w:r>
            <w:r w:rsidRPr="00BD006D">
              <w:rPr>
                <w:rFonts w:ascii="Times New Roman" w:hAnsi="Times New Roman"/>
                <w:i/>
                <w:iCs/>
                <w:sz w:val="24"/>
                <w:szCs w:val="24"/>
              </w:rPr>
              <w:t>Sentences and paragraph structures are varied and interesting to the target reader</w:t>
            </w:r>
          </w:p>
        </w:tc>
        <w:tc>
          <w:tcPr>
            <w:tcW w:w="992" w:type="dxa"/>
          </w:tcPr>
          <w:p w14:paraId="4D1F3EE4"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42BC7EE7"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14:paraId="3955591B" w14:textId="77777777" w:rsidTr="00525475">
        <w:tc>
          <w:tcPr>
            <w:tcW w:w="9497" w:type="dxa"/>
            <w:gridSpan w:val="3"/>
          </w:tcPr>
          <w:p w14:paraId="19A3BB4E"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                                                        </w:t>
            </w:r>
            <w:r w:rsidRPr="00BD006D">
              <w:rPr>
                <w:rFonts w:ascii="Times New Roman" w:eastAsia="Times New Roman" w:hAnsi="Times New Roman"/>
                <w:b/>
                <w:bCs/>
                <w:i/>
                <w:iCs/>
                <w:sz w:val="24"/>
                <w:szCs w:val="24"/>
              </w:rPr>
              <w:t>Overall Mean Rating</w:t>
            </w:r>
            <w:r w:rsidRPr="00BD006D">
              <w:rPr>
                <w:rFonts w:ascii="Times New Roman" w:eastAsia="Times New Roman" w:hAnsi="Times New Roman"/>
                <w:i/>
                <w:iCs/>
                <w:sz w:val="24"/>
                <w:szCs w:val="24"/>
              </w:rPr>
              <w:t xml:space="preserve">                                                   </w:t>
            </w:r>
            <w:r w:rsidRPr="00BD006D">
              <w:rPr>
                <w:rFonts w:ascii="Times New Roman" w:eastAsia="Times New Roman" w:hAnsi="Times New Roman"/>
                <w:b/>
                <w:bCs/>
                <w:i/>
                <w:iCs/>
                <w:sz w:val="24"/>
                <w:szCs w:val="24"/>
              </w:rPr>
              <w:t>3.92        Very Satisfactory</w:t>
            </w:r>
          </w:p>
        </w:tc>
      </w:tr>
    </w:tbl>
    <w:p w14:paraId="166891BF" w14:textId="77777777" w:rsidR="00BD006D" w:rsidRDefault="00BD006D" w:rsidP="00BD006D">
      <w:pPr>
        <w:spacing w:after="0" w:line="240" w:lineRule="auto"/>
        <w:ind w:left="756"/>
        <w:rPr>
          <w:rFonts w:ascii="Times New Roman" w:eastAsia="Times New Roman" w:hAnsi="Times New Roman"/>
          <w:i/>
          <w:iCs/>
          <w:sz w:val="20"/>
          <w:szCs w:val="20"/>
        </w:rPr>
      </w:pPr>
      <w:r w:rsidRPr="00BD006D">
        <w:rPr>
          <w:rFonts w:ascii="Times New Roman" w:hAnsi="Times New Roman"/>
          <w:b/>
          <w:bCs/>
          <w:sz w:val="20"/>
          <w:szCs w:val="20"/>
        </w:rPr>
        <w:t xml:space="preserve">Legend for the Mean Rating: </w:t>
      </w:r>
      <w:r w:rsidRPr="00BD006D">
        <w:rPr>
          <w:rFonts w:ascii="Times New Roman" w:hAnsi="Times New Roman"/>
          <w:sz w:val="20"/>
          <w:szCs w:val="20"/>
        </w:rPr>
        <w:t>Not Satisfactory: 1.00-1.74; Poor: 1.75-2.49; Satisfactory: 2.50-3.24; Very Satisfactory</w:t>
      </w:r>
      <w:r w:rsidRPr="00BD006D">
        <w:rPr>
          <w:rFonts w:ascii="Times New Roman" w:eastAsia="Times New Roman" w:hAnsi="Times New Roman"/>
          <w:i/>
          <w:iCs/>
          <w:sz w:val="20"/>
          <w:szCs w:val="20"/>
        </w:rPr>
        <w:t>: 3.25-4.00</w:t>
      </w:r>
      <w:r>
        <w:rPr>
          <w:rFonts w:ascii="Times New Roman" w:eastAsia="Times New Roman" w:hAnsi="Times New Roman"/>
          <w:i/>
          <w:iCs/>
          <w:sz w:val="20"/>
          <w:szCs w:val="20"/>
        </w:rPr>
        <w:t>.</w:t>
      </w:r>
    </w:p>
    <w:p w14:paraId="1777BC75" w14:textId="77777777" w:rsidR="00BD006D" w:rsidRDefault="00BD006D" w:rsidP="00BD006D">
      <w:pPr>
        <w:spacing w:after="0" w:line="240" w:lineRule="auto"/>
        <w:ind w:left="756"/>
        <w:rPr>
          <w:rFonts w:ascii="Times New Roman" w:eastAsia="Times New Roman" w:hAnsi="Times New Roman"/>
          <w:i/>
          <w:iCs/>
          <w:sz w:val="20"/>
          <w:szCs w:val="20"/>
        </w:rPr>
      </w:pPr>
    </w:p>
    <w:p w14:paraId="08247F55"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Table 2 shows that experts rated the study guide in Genetics with a perfect overall mean of 4.00, interpreted as Very Satisfactory, indicating unanimous and very strong acceptance of the material in terms of presentation and organization. This finding suggests that the study guide is exceptionally well-structured, reader-friendly, and developmentally appropriate for the target high school learners. All indicators under this criterion received a mean rating of 4.00, indicating strong agreement among experts that the presentation is engaging, interesting, and understandable, with a logical, smooth flow of ideas. This implies that the study guide adheres to sound instructional design principles, presenting concepts in a progressive manner that enables learners to build understanding systematically.</w:t>
      </w:r>
    </w:p>
    <w:p w14:paraId="33887402" w14:textId="77777777" w:rsidR="00BD006D" w:rsidRDefault="00BD006D" w:rsidP="00BD006D">
      <w:pPr>
        <w:spacing w:after="0" w:line="240" w:lineRule="auto"/>
        <w:jc w:val="both"/>
        <w:rPr>
          <w:rFonts w:ascii="Times New Roman" w:hAnsi="Times New Roman"/>
          <w:sz w:val="24"/>
          <w:szCs w:val="24"/>
        </w:rPr>
      </w:pPr>
    </w:p>
    <w:p w14:paraId="6E9535F3"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Recent research emphasizes that logically organized instructional materials significantly improve learners’ comprehension and reduce cognitive overload, especially in complex scientific domains (Clark &amp; Mayer, 2016). Similarly, the very satisfactory ratings for vocabulary level, sentence length, and sentence and paragraph structure indicate that the language used in the study guide is well matched to learners’ reading ability and prior knowledge. This suggests that the material successfully balances scientific accuracy with accessibility, enabling students to grasp Genetics concepts without being overwhelmed by technical language.</w:t>
      </w:r>
      <w:r>
        <w:rPr>
          <w:rFonts w:ascii="Times New Roman" w:hAnsi="Times New Roman"/>
          <w:sz w:val="24"/>
          <w:szCs w:val="24"/>
        </w:rPr>
        <w:t xml:space="preserve"> </w:t>
      </w:r>
    </w:p>
    <w:p w14:paraId="5530C0CC" w14:textId="77777777" w:rsidR="00BD006D" w:rsidRDefault="00BD006D" w:rsidP="00BD006D">
      <w:pPr>
        <w:spacing w:after="0" w:line="240" w:lineRule="auto"/>
        <w:jc w:val="both"/>
        <w:rPr>
          <w:rFonts w:ascii="Times New Roman" w:hAnsi="Times New Roman"/>
          <w:sz w:val="24"/>
          <w:szCs w:val="24"/>
        </w:rPr>
      </w:pPr>
    </w:p>
    <w:p w14:paraId="61695637" w14:textId="6D439825"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Moreover, the variation in sentence and paragraph structures, as noted by the experts, helps maintain reader interest and prevent monotony. The findings, therefore, imply that the study guide not only conveys information effectively but also supports learners’ motivation and confidence in learning Genetics.</w:t>
      </w:r>
    </w:p>
    <w:p w14:paraId="0196DB3E" w14:textId="77777777" w:rsidR="00BD006D" w:rsidRDefault="00BD006D" w:rsidP="00BD006D">
      <w:pPr>
        <w:spacing w:after="0" w:line="240" w:lineRule="auto"/>
        <w:jc w:val="both"/>
        <w:rPr>
          <w:rFonts w:ascii="Times New Roman" w:hAnsi="Times New Roman"/>
          <w:sz w:val="24"/>
          <w:szCs w:val="24"/>
        </w:rPr>
      </w:pPr>
    </w:p>
    <w:p w14:paraId="3BE19386" w14:textId="77777777" w:rsidR="00BD006D" w:rsidRDefault="00BD006D" w:rsidP="00BD006D">
      <w:pPr>
        <w:spacing w:after="0" w:line="240" w:lineRule="auto"/>
        <w:jc w:val="both"/>
        <w:rPr>
          <w:rFonts w:ascii="Times New Roman" w:hAnsi="Times New Roman"/>
          <w:sz w:val="24"/>
          <w:szCs w:val="24"/>
        </w:rPr>
      </w:pPr>
    </w:p>
    <w:p w14:paraId="0C392274" w14:textId="77777777" w:rsidR="00BD006D" w:rsidRDefault="00BD006D" w:rsidP="00BD006D">
      <w:pPr>
        <w:spacing w:after="0" w:line="240" w:lineRule="auto"/>
        <w:jc w:val="both"/>
        <w:rPr>
          <w:rFonts w:ascii="Times New Roman" w:hAnsi="Times New Roman"/>
          <w:sz w:val="24"/>
          <w:szCs w:val="24"/>
        </w:rPr>
      </w:pPr>
    </w:p>
    <w:p w14:paraId="1267C397" w14:textId="77777777" w:rsidR="00BD006D" w:rsidRDefault="00BD006D" w:rsidP="00BD006D">
      <w:pPr>
        <w:spacing w:after="0" w:line="240" w:lineRule="auto"/>
        <w:jc w:val="both"/>
        <w:rPr>
          <w:rFonts w:ascii="Times New Roman" w:hAnsi="Times New Roman"/>
          <w:sz w:val="24"/>
          <w:szCs w:val="24"/>
        </w:rPr>
      </w:pPr>
    </w:p>
    <w:p w14:paraId="57E557CE" w14:textId="77777777" w:rsidR="00BD006D" w:rsidRPr="00BD006D" w:rsidRDefault="00BD006D" w:rsidP="00BD006D">
      <w:pPr>
        <w:spacing w:after="0" w:line="240" w:lineRule="auto"/>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3</w:t>
      </w:r>
    </w:p>
    <w:p w14:paraId="14664D02" w14:textId="77777777" w:rsidR="00BD006D" w:rsidRPr="00BD006D" w:rsidRDefault="00BD006D" w:rsidP="00BD006D">
      <w:pPr>
        <w:spacing w:after="0" w:line="240" w:lineRule="auto"/>
        <w:jc w:val="center"/>
        <w:rPr>
          <w:rFonts w:ascii="Times New Roman" w:hAnsi="Times New Roman"/>
          <w:sz w:val="24"/>
          <w:szCs w:val="24"/>
        </w:rPr>
      </w:pPr>
      <w:r w:rsidRPr="00BD006D">
        <w:rPr>
          <w:rFonts w:ascii="Times New Roman" w:eastAsia="Times New Roman" w:hAnsi="Times New Roman"/>
          <w:i/>
          <w:iCs/>
          <w:sz w:val="24"/>
          <w:szCs w:val="24"/>
        </w:rPr>
        <w:t>Expert’s Level of Acceptance of the Study Guide in Genetics in Terms of Format</w:t>
      </w:r>
    </w:p>
    <w:p w14:paraId="33A51108" w14:textId="77777777" w:rsidR="00BD006D" w:rsidRPr="00204487" w:rsidRDefault="00BD006D" w:rsidP="00BD006D">
      <w:pPr>
        <w:spacing w:after="0" w:line="240" w:lineRule="auto"/>
        <w:jc w:val="both"/>
        <w:rPr>
          <w:rFonts w:ascii="Arial" w:hAnsi="Arial" w:cs="Arial"/>
          <w:sz w:val="10"/>
          <w:szCs w:val="10"/>
        </w:rPr>
      </w:pPr>
    </w:p>
    <w:tbl>
      <w:tblPr>
        <w:tblStyle w:val="TableGrid"/>
        <w:tblW w:w="9497" w:type="dxa"/>
        <w:tblInd w:w="421" w:type="dxa"/>
        <w:tblLook w:val="04A0" w:firstRow="1" w:lastRow="0" w:firstColumn="1" w:lastColumn="0" w:noHBand="0" w:noVBand="1"/>
      </w:tblPr>
      <w:tblGrid>
        <w:gridCol w:w="6237"/>
        <w:gridCol w:w="1134"/>
        <w:gridCol w:w="2126"/>
      </w:tblGrid>
      <w:tr w:rsidR="00BD006D" w:rsidRPr="000F2CF6" w14:paraId="0693357F" w14:textId="77777777" w:rsidTr="00525475">
        <w:tc>
          <w:tcPr>
            <w:tcW w:w="6237" w:type="dxa"/>
          </w:tcPr>
          <w:p w14:paraId="5E8B286F"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 xml:space="preserve">Statement </w:t>
            </w:r>
          </w:p>
        </w:tc>
        <w:tc>
          <w:tcPr>
            <w:tcW w:w="1134" w:type="dxa"/>
          </w:tcPr>
          <w:p w14:paraId="1B9B23EF"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Mean</w:t>
            </w:r>
          </w:p>
        </w:tc>
        <w:tc>
          <w:tcPr>
            <w:tcW w:w="2126" w:type="dxa"/>
          </w:tcPr>
          <w:p w14:paraId="29BE5A19"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Descriptor</w:t>
            </w:r>
          </w:p>
        </w:tc>
      </w:tr>
      <w:tr w:rsidR="00BD006D" w:rsidRPr="000F2CF6" w14:paraId="4D88D1D6" w14:textId="77777777" w:rsidTr="00525475">
        <w:tc>
          <w:tcPr>
            <w:tcW w:w="6237" w:type="dxa"/>
          </w:tcPr>
          <w:p w14:paraId="5877F664" w14:textId="77777777" w:rsidR="00BD006D" w:rsidRPr="000F2CF6" w:rsidRDefault="00BD006D" w:rsidP="00525475">
            <w:pPr>
              <w:spacing w:after="0"/>
              <w:jc w:val="both"/>
              <w:rPr>
                <w:rFonts w:ascii="Arial" w:eastAsia="Times New Roman" w:hAnsi="Arial" w:cs="Arial"/>
                <w:b/>
                <w:bCs/>
                <w:i/>
                <w:iCs/>
                <w:color w:val="000000"/>
                <w:sz w:val="20"/>
                <w:szCs w:val="20"/>
                <w:lang w:eastAsia="en-PH"/>
              </w:rPr>
            </w:pPr>
            <w:r w:rsidRPr="000F2CF6">
              <w:rPr>
                <w:rFonts w:ascii="Arial" w:eastAsia="Times New Roman" w:hAnsi="Arial" w:cs="Arial"/>
                <w:b/>
                <w:bCs/>
                <w:i/>
                <w:iCs/>
                <w:color w:val="000000"/>
                <w:sz w:val="20"/>
                <w:szCs w:val="20"/>
                <w:lang w:eastAsia="en-PH"/>
              </w:rPr>
              <w:t xml:space="preserve">I. Print </w:t>
            </w:r>
          </w:p>
        </w:tc>
        <w:tc>
          <w:tcPr>
            <w:tcW w:w="1134" w:type="dxa"/>
          </w:tcPr>
          <w:p w14:paraId="0D344F72" w14:textId="77777777" w:rsidR="00BD006D" w:rsidRPr="000F2CF6" w:rsidRDefault="00BD006D" w:rsidP="00525475">
            <w:pPr>
              <w:contextualSpacing/>
              <w:jc w:val="center"/>
              <w:rPr>
                <w:rFonts w:ascii="Arial" w:eastAsia="Times New Roman" w:hAnsi="Arial" w:cs="Arial"/>
                <w:b/>
                <w:bCs/>
                <w:color w:val="000000"/>
                <w:lang w:eastAsia="en-PH"/>
              </w:rPr>
            </w:pPr>
          </w:p>
        </w:tc>
        <w:tc>
          <w:tcPr>
            <w:tcW w:w="2126" w:type="dxa"/>
          </w:tcPr>
          <w:p w14:paraId="2AD87838" w14:textId="77777777" w:rsidR="00BD006D" w:rsidRPr="000F2CF6" w:rsidRDefault="00BD006D" w:rsidP="00525475">
            <w:pPr>
              <w:contextualSpacing/>
              <w:jc w:val="center"/>
              <w:rPr>
                <w:rFonts w:ascii="Arial" w:eastAsia="Times New Roman" w:hAnsi="Arial" w:cs="Arial"/>
                <w:b/>
                <w:bCs/>
                <w:color w:val="000000"/>
                <w:lang w:eastAsia="en-PH"/>
              </w:rPr>
            </w:pPr>
          </w:p>
        </w:tc>
      </w:tr>
      <w:tr w:rsidR="00BD006D" w:rsidRPr="000F2CF6" w14:paraId="402748D1" w14:textId="77777777" w:rsidTr="00525475">
        <w:tc>
          <w:tcPr>
            <w:tcW w:w="6237" w:type="dxa"/>
          </w:tcPr>
          <w:p w14:paraId="14E6E24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i/>
                <w:iCs/>
                <w:color w:val="000000"/>
                <w:sz w:val="20"/>
                <w:szCs w:val="20"/>
                <w:lang w:eastAsia="en-PH"/>
              </w:rPr>
              <w:t xml:space="preserve">     1. The size of letters is appropriate to the intended user.</w:t>
            </w:r>
          </w:p>
        </w:tc>
        <w:tc>
          <w:tcPr>
            <w:tcW w:w="1134" w:type="dxa"/>
          </w:tcPr>
          <w:p w14:paraId="78826D1D"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3EA0F6C2"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55DBE72" w14:textId="77777777" w:rsidTr="00525475">
        <w:tc>
          <w:tcPr>
            <w:tcW w:w="6237" w:type="dxa"/>
          </w:tcPr>
          <w:p w14:paraId="3E2159AF"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2. </w:t>
            </w:r>
            <w:r w:rsidRPr="000F2CF6">
              <w:rPr>
                <w:rFonts w:ascii="Arial" w:eastAsia="Arial" w:hAnsi="Arial" w:cs="Arial"/>
                <w:i/>
                <w:iCs/>
                <w:color w:val="000000"/>
                <w:sz w:val="20"/>
                <w:szCs w:val="20"/>
                <w:lang w:eastAsia="en-PH"/>
              </w:rPr>
              <w:t>Spaces between letters and words facilitate reading.</w:t>
            </w:r>
          </w:p>
        </w:tc>
        <w:tc>
          <w:tcPr>
            <w:tcW w:w="1134" w:type="dxa"/>
          </w:tcPr>
          <w:p w14:paraId="207A6DA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3CDB321"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F7CBCB7" w14:textId="77777777" w:rsidTr="00525475">
        <w:tc>
          <w:tcPr>
            <w:tcW w:w="6237" w:type="dxa"/>
          </w:tcPr>
          <w:p w14:paraId="086003DE" w14:textId="77777777" w:rsidR="00BD006D" w:rsidRDefault="00BD006D" w:rsidP="00525475">
            <w:pPr>
              <w:spacing w:after="0"/>
              <w:jc w:val="both"/>
              <w:rPr>
                <w:rFonts w:ascii="Arial" w:eastAsia="Arial"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3.</w:t>
            </w:r>
            <w:r>
              <w:rPr>
                <w:rFonts w:ascii="Arial" w:eastAsia="Times New Roman"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Printing is of good quality (i.e., no broken letters, even density, </w:t>
            </w:r>
          </w:p>
          <w:p w14:paraId="66811711" w14:textId="77777777" w:rsidR="00BD006D" w:rsidRPr="000F2CF6" w:rsidRDefault="00BD006D" w:rsidP="00525475">
            <w:pPr>
              <w:spacing w:after="0"/>
              <w:jc w:val="both"/>
              <w:rPr>
                <w:rFonts w:ascii="Arial" w:eastAsia="Arial" w:hAnsi="Arial" w:cs="Arial"/>
                <w:i/>
                <w:iCs/>
                <w:color w:val="000000"/>
                <w:sz w:val="20"/>
                <w:szCs w:val="20"/>
                <w:lang w:eastAsia="en-PH"/>
              </w:rPr>
            </w:pPr>
            <w:r>
              <w:rPr>
                <w:rFonts w:ascii="Arial" w:eastAsia="Arial" w:hAnsi="Arial" w:cs="Arial"/>
                <w:i/>
                <w:iCs/>
                <w:color w:val="000000"/>
                <w:sz w:val="20"/>
                <w:szCs w:val="20"/>
                <w:lang w:eastAsia="en-PH"/>
              </w:rPr>
              <w:t xml:space="preserve">        c</w:t>
            </w:r>
            <w:r w:rsidRPr="000F2CF6">
              <w:rPr>
                <w:rFonts w:ascii="Arial" w:eastAsia="Arial" w:hAnsi="Arial" w:cs="Arial"/>
                <w:i/>
                <w:iCs/>
                <w:color w:val="000000"/>
                <w:sz w:val="20"/>
                <w:szCs w:val="20"/>
                <w:lang w:eastAsia="en-PH"/>
              </w:rPr>
              <w:t>orrect</w:t>
            </w:r>
            <w:r>
              <w:rPr>
                <w:rFonts w:ascii="Arial" w:eastAsia="Arial"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alignment, properly placed screen registration). </w:t>
            </w:r>
          </w:p>
        </w:tc>
        <w:tc>
          <w:tcPr>
            <w:tcW w:w="1134" w:type="dxa"/>
          </w:tcPr>
          <w:p w14:paraId="015EC29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2B5BE56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F3C5367" w14:textId="77777777" w:rsidTr="00525475">
        <w:tc>
          <w:tcPr>
            <w:tcW w:w="6237" w:type="dxa"/>
          </w:tcPr>
          <w:p w14:paraId="6F60C06F" w14:textId="77777777" w:rsidR="00BD006D" w:rsidRDefault="00BD006D" w:rsidP="00525475">
            <w:pPr>
              <w:contextualSpacing/>
              <w:jc w:val="both"/>
              <w:rPr>
                <w:rFonts w:ascii="Arial" w:eastAsia="Arial"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4.</w:t>
            </w:r>
            <w:r w:rsidRPr="000F2CF6">
              <w:rPr>
                <w:rFonts w:ascii="Arial" w:eastAsia="Arial" w:hAnsi="Arial" w:cs="Arial"/>
                <w:i/>
                <w:iCs/>
                <w:color w:val="000000"/>
                <w:sz w:val="20"/>
                <w:szCs w:val="20"/>
                <w:lang w:eastAsia="en-PH"/>
              </w:rPr>
              <w:t xml:space="preserve">Printing is of good quality (i.e., no broken letters, even density, </w:t>
            </w:r>
          </w:p>
          <w:p w14:paraId="6DC365F9" w14:textId="77777777" w:rsidR="00BD006D" w:rsidRPr="000F2CF6" w:rsidRDefault="00BD006D" w:rsidP="00525475">
            <w:pPr>
              <w:contextualSpacing/>
              <w:jc w:val="both"/>
              <w:rPr>
                <w:rFonts w:ascii="Arial" w:eastAsia="Arial" w:hAnsi="Arial" w:cs="Arial"/>
                <w:i/>
                <w:iCs/>
                <w:color w:val="000000"/>
                <w:sz w:val="20"/>
                <w:szCs w:val="20"/>
                <w:lang w:eastAsia="en-PH"/>
              </w:rPr>
            </w:pPr>
            <w:r>
              <w:rPr>
                <w:rFonts w:ascii="Arial" w:eastAsia="Arial" w:hAnsi="Arial" w:cs="Arial"/>
                <w:i/>
                <w:iCs/>
                <w:color w:val="000000"/>
                <w:sz w:val="20"/>
                <w:szCs w:val="20"/>
                <w:lang w:eastAsia="en-PH"/>
              </w:rPr>
              <w:t xml:space="preserve">        c</w:t>
            </w:r>
            <w:r w:rsidRPr="000F2CF6">
              <w:rPr>
                <w:rFonts w:ascii="Arial" w:eastAsia="Arial" w:hAnsi="Arial" w:cs="Arial"/>
                <w:i/>
                <w:iCs/>
                <w:color w:val="000000"/>
                <w:sz w:val="20"/>
                <w:szCs w:val="20"/>
                <w:lang w:eastAsia="en-PH"/>
              </w:rPr>
              <w:t>orrect</w:t>
            </w:r>
            <w:r>
              <w:rPr>
                <w:rFonts w:ascii="Arial" w:eastAsia="Arial"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alignment, properly placed screen registration). </w:t>
            </w:r>
          </w:p>
        </w:tc>
        <w:tc>
          <w:tcPr>
            <w:tcW w:w="1134" w:type="dxa"/>
          </w:tcPr>
          <w:p w14:paraId="7C2BE0D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3A5D7AC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4FCBD85F" w14:textId="77777777" w:rsidTr="00525475">
        <w:tc>
          <w:tcPr>
            <w:tcW w:w="6237" w:type="dxa"/>
          </w:tcPr>
          <w:p w14:paraId="38585CD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II. Illustrations</w:t>
            </w:r>
          </w:p>
        </w:tc>
        <w:tc>
          <w:tcPr>
            <w:tcW w:w="1134" w:type="dxa"/>
          </w:tcPr>
          <w:p w14:paraId="30EEE725"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58264903"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05F9CDBD" w14:textId="77777777" w:rsidTr="00525475">
        <w:tc>
          <w:tcPr>
            <w:tcW w:w="6237" w:type="dxa"/>
          </w:tcPr>
          <w:p w14:paraId="5A389E02"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5. </w:t>
            </w:r>
            <w:r w:rsidRPr="000F2CF6">
              <w:rPr>
                <w:rFonts w:ascii="Arial" w:eastAsia="Arial" w:hAnsi="Arial" w:cs="Arial"/>
                <w:i/>
                <w:iCs/>
                <w:color w:val="000000"/>
                <w:sz w:val="20"/>
                <w:szCs w:val="20"/>
                <w:lang w:eastAsia="en-PH"/>
              </w:rPr>
              <w:t xml:space="preserve">Simple and easily recognizable. </w:t>
            </w:r>
          </w:p>
        </w:tc>
        <w:tc>
          <w:tcPr>
            <w:tcW w:w="1134" w:type="dxa"/>
          </w:tcPr>
          <w:p w14:paraId="4912A95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BF736A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169A1DEC" w14:textId="77777777" w:rsidTr="00525475">
        <w:tc>
          <w:tcPr>
            <w:tcW w:w="6237" w:type="dxa"/>
          </w:tcPr>
          <w:p w14:paraId="5B56905E"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6. </w:t>
            </w:r>
            <w:r w:rsidRPr="000F2CF6">
              <w:rPr>
                <w:rFonts w:ascii="Arial" w:eastAsia="Arial" w:hAnsi="Arial" w:cs="Arial"/>
                <w:i/>
                <w:iCs/>
                <w:color w:val="000000"/>
                <w:sz w:val="20"/>
                <w:szCs w:val="20"/>
                <w:lang w:eastAsia="en-PH"/>
              </w:rPr>
              <w:t>Clarify and supplement the text.</w:t>
            </w:r>
          </w:p>
        </w:tc>
        <w:tc>
          <w:tcPr>
            <w:tcW w:w="1134" w:type="dxa"/>
          </w:tcPr>
          <w:p w14:paraId="22ED55A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5FB593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5D9C498" w14:textId="77777777" w:rsidTr="00525475">
        <w:tc>
          <w:tcPr>
            <w:tcW w:w="6237" w:type="dxa"/>
          </w:tcPr>
          <w:p w14:paraId="317AAE24"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7. </w:t>
            </w:r>
            <w:r w:rsidRPr="000F2CF6">
              <w:rPr>
                <w:rFonts w:ascii="Arial" w:eastAsia="Arial" w:hAnsi="Arial" w:cs="Arial"/>
                <w:i/>
                <w:iCs/>
                <w:color w:val="000000"/>
                <w:sz w:val="20"/>
                <w:szCs w:val="20"/>
                <w:lang w:eastAsia="en-PH"/>
              </w:rPr>
              <w:t>Properly labelled or captioned (if applicable).</w:t>
            </w:r>
          </w:p>
        </w:tc>
        <w:tc>
          <w:tcPr>
            <w:tcW w:w="1134" w:type="dxa"/>
          </w:tcPr>
          <w:p w14:paraId="4A7778E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4658630"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DDF2B74" w14:textId="77777777" w:rsidTr="00525475">
        <w:tc>
          <w:tcPr>
            <w:tcW w:w="6237" w:type="dxa"/>
          </w:tcPr>
          <w:p w14:paraId="2E57B6F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8. </w:t>
            </w:r>
            <w:r w:rsidRPr="000F2CF6">
              <w:rPr>
                <w:rFonts w:ascii="Arial" w:eastAsia="Arial" w:hAnsi="Arial" w:cs="Arial"/>
                <w:i/>
                <w:iCs/>
                <w:color w:val="000000"/>
                <w:sz w:val="20"/>
                <w:szCs w:val="20"/>
                <w:lang w:eastAsia="en-PH"/>
              </w:rPr>
              <w:t>Attractive and appealing</w:t>
            </w:r>
          </w:p>
        </w:tc>
        <w:tc>
          <w:tcPr>
            <w:tcW w:w="1134" w:type="dxa"/>
          </w:tcPr>
          <w:p w14:paraId="7611E61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3.75</w:t>
            </w:r>
          </w:p>
        </w:tc>
        <w:tc>
          <w:tcPr>
            <w:tcW w:w="2126" w:type="dxa"/>
          </w:tcPr>
          <w:p w14:paraId="27B5A09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34F74892" w14:textId="77777777" w:rsidTr="00525475">
        <w:tc>
          <w:tcPr>
            <w:tcW w:w="6237" w:type="dxa"/>
          </w:tcPr>
          <w:p w14:paraId="7592F67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9. </w:t>
            </w:r>
            <w:r w:rsidRPr="000F2CF6">
              <w:rPr>
                <w:rFonts w:ascii="Arial" w:eastAsia="Arial" w:hAnsi="Arial" w:cs="Arial"/>
                <w:i/>
                <w:iCs/>
                <w:color w:val="000000"/>
                <w:sz w:val="20"/>
                <w:szCs w:val="20"/>
                <w:lang w:eastAsia="en-PH"/>
              </w:rPr>
              <w:t>Realistic/appropriate colors.</w:t>
            </w:r>
          </w:p>
        </w:tc>
        <w:tc>
          <w:tcPr>
            <w:tcW w:w="1134" w:type="dxa"/>
          </w:tcPr>
          <w:p w14:paraId="2206918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3.50</w:t>
            </w:r>
          </w:p>
        </w:tc>
        <w:tc>
          <w:tcPr>
            <w:tcW w:w="2126" w:type="dxa"/>
          </w:tcPr>
          <w:p w14:paraId="710A58A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61B0E378" w14:textId="77777777" w:rsidTr="00525475">
        <w:tc>
          <w:tcPr>
            <w:tcW w:w="6237" w:type="dxa"/>
          </w:tcPr>
          <w:p w14:paraId="0DA7DD7D"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10. </w:t>
            </w:r>
            <w:r w:rsidRPr="000F2CF6">
              <w:rPr>
                <w:rFonts w:ascii="Arial" w:eastAsia="Arial" w:hAnsi="Arial" w:cs="Arial"/>
                <w:i/>
                <w:iCs/>
                <w:color w:val="000000"/>
                <w:sz w:val="20"/>
                <w:szCs w:val="20"/>
                <w:lang w:eastAsia="en-PH"/>
              </w:rPr>
              <w:t>Culturally relevant.</w:t>
            </w:r>
          </w:p>
        </w:tc>
        <w:tc>
          <w:tcPr>
            <w:tcW w:w="1134" w:type="dxa"/>
          </w:tcPr>
          <w:p w14:paraId="7BE8ACB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3.50</w:t>
            </w:r>
          </w:p>
        </w:tc>
        <w:tc>
          <w:tcPr>
            <w:tcW w:w="2126" w:type="dxa"/>
          </w:tcPr>
          <w:p w14:paraId="2837046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B716DC5" w14:textId="77777777" w:rsidTr="00525475">
        <w:tc>
          <w:tcPr>
            <w:tcW w:w="6237" w:type="dxa"/>
          </w:tcPr>
          <w:p w14:paraId="5A135CB1"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III. Design and Layout</w:t>
            </w:r>
          </w:p>
        </w:tc>
        <w:tc>
          <w:tcPr>
            <w:tcW w:w="1134" w:type="dxa"/>
          </w:tcPr>
          <w:p w14:paraId="33D7D3EF"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79EA454C"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5431981A" w14:textId="77777777" w:rsidTr="00525475">
        <w:tc>
          <w:tcPr>
            <w:tcW w:w="6237" w:type="dxa"/>
          </w:tcPr>
          <w:p w14:paraId="398CED77"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11. </w:t>
            </w:r>
            <w:r w:rsidRPr="000F2CF6">
              <w:rPr>
                <w:rFonts w:ascii="Arial" w:eastAsia="Arial" w:hAnsi="Arial" w:cs="Arial"/>
                <w:i/>
                <w:iCs/>
                <w:color w:val="000000"/>
                <w:sz w:val="20"/>
                <w:szCs w:val="20"/>
                <w:lang w:eastAsia="en-PH"/>
              </w:rPr>
              <w:t>Attractive and pleasing to look at.</w:t>
            </w:r>
          </w:p>
        </w:tc>
        <w:tc>
          <w:tcPr>
            <w:tcW w:w="1134" w:type="dxa"/>
          </w:tcPr>
          <w:p w14:paraId="6E7ED25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257FA7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6D8DE89" w14:textId="77777777" w:rsidTr="00525475">
        <w:tc>
          <w:tcPr>
            <w:tcW w:w="6237" w:type="dxa"/>
          </w:tcPr>
          <w:p w14:paraId="0DA4FF9B"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12. </w:t>
            </w:r>
            <w:r w:rsidRPr="000F2CF6">
              <w:rPr>
                <w:rFonts w:ascii="Arial" w:eastAsia="Arial" w:hAnsi="Arial" w:cs="Arial"/>
                <w:i/>
                <w:iCs/>
                <w:color w:val="000000"/>
                <w:sz w:val="20"/>
                <w:szCs w:val="20"/>
                <w:lang w:eastAsia="en-PH"/>
              </w:rPr>
              <w:t xml:space="preserve">Simple (i.e., does not distract the attention of the reader). </w:t>
            </w:r>
          </w:p>
        </w:tc>
        <w:tc>
          <w:tcPr>
            <w:tcW w:w="1134" w:type="dxa"/>
          </w:tcPr>
          <w:p w14:paraId="0DEE8ED7"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3EA840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4213F7DC" w14:textId="77777777" w:rsidTr="00525475">
        <w:tc>
          <w:tcPr>
            <w:tcW w:w="6237" w:type="dxa"/>
          </w:tcPr>
          <w:p w14:paraId="68DDF24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13. </w:t>
            </w:r>
            <w:r w:rsidRPr="000F2CF6">
              <w:rPr>
                <w:rFonts w:ascii="Arial" w:eastAsia="Arial" w:hAnsi="Arial" w:cs="Arial"/>
                <w:i/>
                <w:iCs/>
                <w:color w:val="000000"/>
                <w:sz w:val="20"/>
                <w:szCs w:val="20"/>
                <w:lang w:eastAsia="en-PH"/>
              </w:rPr>
              <w:t xml:space="preserve">Adequate illustration of the text. </w:t>
            </w:r>
          </w:p>
        </w:tc>
        <w:tc>
          <w:tcPr>
            <w:tcW w:w="1134" w:type="dxa"/>
          </w:tcPr>
          <w:p w14:paraId="25A38234"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CC6CF8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320C6E1F" w14:textId="77777777" w:rsidTr="00525475">
        <w:tc>
          <w:tcPr>
            <w:tcW w:w="6237" w:type="dxa"/>
          </w:tcPr>
          <w:p w14:paraId="131884E6"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14. </w:t>
            </w:r>
            <w:r w:rsidRPr="000F2CF6">
              <w:rPr>
                <w:rFonts w:ascii="Arial" w:eastAsia="Arial" w:hAnsi="Arial" w:cs="Arial"/>
                <w:i/>
                <w:iCs/>
                <w:color w:val="000000"/>
                <w:sz w:val="20"/>
                <w:szCs w:val="20"/>
                <w:lang w:eastAsia="en-PH"/>
              </w:rPr>
              <w:t xml:space="preserve">Harmonious blending of elements (e.g., illustrations and text). </w:t>
            </w:r>
          </w:p>
        </w:tc>
        <w:tc>
          <w:tcPr>
            <w:tcW w:w="1134" w:type="dxa"/>
          </w:tcPr>
          <w:p w14:paraId="2EAF141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DA29A77"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175F97A" w14:textId="77777777" w:rsidTr="00525475">
        <w:tc>
          <w:tcPr>
            <w:tcW w:w="6237" w:type="dxa"/>
          </w:tcPr>
          <w:p w14:paraId="21E95928"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IV. Paper and Binding</w:t>
            </w:r>
          </w:p>
        </w:tc>
        <w:tc>
          <w:tcPr>
            <w:tcW w:w="1134" w:type="dxa"/>
          </w:tcPr>
          <w:p w14:paraId="100E085C"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05636713"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0662DA3A" w14:textId="77777777" w:rsidTr="00525475">
        <w:tc>
          <w:tcPr>
            <w:tcW w:w="6237" w:type="dxa"/>
          </w:tcPr>
          <w:p w14:paraId="35F0924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15. </w:t>
            </w:r>
            <w:r w:rsidRPr="000F2CF6">
              <w:rPr>
                <w:rFonts w:ascii="Arial" w:eastAsia="Arial" w:hAnsi="Arial" w:cs="Arial"/>
                <w:i/>
                <w:iCs/>
                <w:color w:val="000000"/>
                <w:sz w:val="20"/>
                <w:szCs w:val="20"/>
                <w:lang w:eastAsia="en-PH"/>
              </w:rPr>
              <w:t xml:space="preserve">The paper used contributes to easy reading. </w:t>
            </w:r>
          </w:p>
        </w:tc>
        <w:tc>
          <w:tcPr>
            <w:tcW w:w="1134" w:type="dxa"/>
          </w:tcPr>
          <w:p w14:paraId="6928F9F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40A9E2C"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1BD752C5" w14:textId="77777777" w:rsidTr="00525475">
        <w:tc>
          <w:tcPr>
            <w:tcW w:w="6237" w:type="dxa"/>
          </w:tcPr>
          <w:p w14:paraId="195A873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16. </w:t>
            </w:r>
            <w:r w:rsidRPr="000F2CF6">
              <w:rPr>
                <w:rFonts w:ascii="Arial" w:eastAsia="Arial" w:hAnsi="Arial" w:cs="Arial"/>
                <w:i/>
                <w:iCs/>
                <w:color w:val="000000"/>
                <w:sz w:val="20"/>
                <w:szCs w:val="20"/>
                <w:lang w:eastAsia="en-PH"/>
              </w:rPr>
              <w:t>Durable binding to withstand frequent use.</w:t>
            </w:r>
          </w:p>
        </w:tc>
        <w:tc>
          <w:tcPr>
            <w:tcW w:w="1134" w:type="dxa"/>
          </w:tcPr>
          <w:p w14:paraId="4101050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5F2B513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94641A7" w14:textId="77777777" w:rsidTr="00525475">
        <w:tc>
          <w:tcPr>
            <w:tcW w:w="6237" w:type="dxa"/>
          </w:tcPr>
          <w:p w14:paraId="2E8F145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V. Size and Weight</w:t>
            </w:r>
          </w:p>
        </w:tc>
        <w:tc>
          <w:tcPr>
            <w:tcW w:w="1134" w:type="dxa"/>
          </w:tcPr>
          <w:p w14:paraId="420C90CB"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771B9C40"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42D395A3" w14:textId="77777777" w:rsidTr="00525475">
        <w:tc>
          <w:tcPr>
            <w:tcW w:w="6237" w:type="dxa"/>
          </w:tcPr>
          <w:p w14:paraId="17518DFE"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17. </w:t>
            </w:r>
            <w:r w:rsidRPr="000F2CF6">
              <w:rPr>
                <w:rFonts w:ascii="Arial" w:eastAsia="Arial" w:hAnsi="Arial" w:cs="Arial"/>
                <w:i/>
                <w:iCs/>
                <w:color w:val="000000"/>
                <w:sz w:val="20"/>
                <w:szCs w:val="20"/>
                <w:lang w:eastAsia="en-PH"/>
              </w:rPr>
              <w:t xml:space="preserve">Easy to handle. </w:t>
            </w:r>
          </w:p>
        </w:tc>
        <w:tc>
          <w:tcPr>
            <w:tcW w:w="1134" w:type="dxa"/>
          </w:tcPr>
          <w:p w14:paraId="2EC1198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40FCF1C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8E7F24E" w14:textId="77777777" w:rsidTr="00525475">
        <w:tc>
          <w:tcPr>
            <w:tcW w:w="6237" w:type="dxa"/>
          </w:tcPr>
          <w:p w14:paraId="4A207936"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18. </w:t>
            </w:r>
            <w:r w:rsidRPr="000F2CF6">
              <w:rPr>
                <w:rFonts w:ascii="Arial" w:eastAsia="Arial" w:hAnsi="Arial" w:cs="Arial"/>
                <w:i/>
                <w:iCs/>
                <w:color w:val="000000"/>
                <w:sz w:val="20"/>
                <w:szCs w:val="20"/>
                <w:lang w:eastAsia="en-PH"/>
              </w:rPr>
              <w:t xml:space="preserve">Relatively light. </w:t>
            </w:r>
          </w:p>
        </w:tc>
        <w:tc>
          <w:tcPr>
            <w:tcW w:w="1134" w:type="dxa"/>
          </w:tcPr>
          <w:p w14:paraId="5AD6F524"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3874ED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4C46B8A" w14:textId="77777777" w:rsidTr="00525475">
        <w:tc>
          <w:tcPr>
            <w:tcW w:w="9497" w:type="dxa"/>
            <w:gridSpan w:val="3"/>
          </w:tcPr>
          <w:p w14:paraId="75478BA0" w14:textId="77777777" w:rsidR="00BD006D" w:rsidRPr="000F2CF6" w:rsidRDefault="00BD006D" w:rsidP="00525475">
            <w:pPr>
              <w:contextualSpacing/>
              <w:jc w:val="both"/>
              <w:rPr>
                <w:rFonts w:ascii="Arial" w:eastAsia="Times New Roman" w:hAnsi="Arial" w:cs="Arial"/>
                <w:b/>
                <w:bCs/>
                <w:i/>
                <w:iCs/>
                <w:color w:val="000000"/>
                <w:lang w:eastAsia="en-PH"/>
              </w:rPr>
            </w:pPr>
            <w:r w:rsidRPr="000F2CF6">
              <w:rPr>
                <w:rFonts w:ascii="Arial" w:eastAsia="Times New Roman" w:hAnsi="Arial" w:cs="Arial"/>
                <w:i/>
                <w:iCs/>
                <w:color w:val="000000"/>
                <w:lang w:eastAsia="en-PH"/>
              </w:rPr>
              <w:t xml:space="preserve">                                                        </w:t>
            </w:r>
            <w:r w:rsidRPr="000F2CF6">
              <w:rPr>
                <w:rFonts w:ascii="Arial" w:eastAsia="Times New Roman" w:hAnsi="Arial" w:cs="Arial"/>
                <w:b/>
                <w:bCs/>
                <w:i/>
                <w:iCs/>
                <w:color w:val="000000"/>
                <w:lang w:eastAsia="en-PH"/>
              </w:rPr>
              <w:t>Overall Mean Rating</w:t>
            </w:r>
            <w:r w:rsidRPr="000F2CF6">
              <w:rPr>
                <w:rFonts w:ascii="Arial" w:eastAsia="Times New Roman" w:hAnsi="Arial" w:cs="Arial"/>
                <w:i/>
                <w:iCs/>
                <w:color w:val="000000"/>
                <w:lang w:eastAsia="en-PH"/>
              </w:rPr>
              <w:t xml:space="preserve">                   </w:t>
            </w:r>
            <w:r w:rsidRPr="000F2CF6">
              <w:rPr>
                <w:rFonts w:ascii="Arial" w:eastAsia="Times New Roman" w:hAnsi="Arial" w:cs="Arial"/>
                <w:b/>
                <w:bCs/>
                <w:i/>
                <w:iCs/>
                <w:color w:val="000000"/>
                <w:lang w:eastAsia="en-PH"/>
              </w:rPr>
              <w:t>3.93     Very Satisfactory</w:t>
            </w:r>
          </w:p>
        </w:tc>
      </w:tr>
    </w:tbl>
    <w:p w14:paraId="0E5E7510" w14:textId="77777777" w:rsidR="00BD006D" w:rsidRPr="00BD006D" w:rsidRDefault="00BD006D" w:rsidP="00BD006D">
      <w:pPr>
        <w:spacing w:after="0" w:line="240" w:lineRule="auto"/>
        <w:ind w:firstLine="720"/>
        <w:rPr>
          <w:rFonts w:ascii="Times New Roman" w:eastAsia="Times New Roman" w:hAnsi="Times New Roman"/>
          <w:i/>
          <w:iCs/>
          <w:sz w:val="16"/>
          <w:szCs w:val="16"/>
        </w:rPr>
      </w:pPr>
      <w:r w:rsidRPr="00BD006D">
        <w:rPr>
          <w:rFonts w:ascii="Times New Roman" w:hAnsi="Times New Roman"/>
          <w:b/>
          <w:bCs/>
          <w:sz w:val="16"/>
          <w:szCs w:val="16"/>
        </w:rPr>
        <w:t xml:space="preserve">Legend for the Mean Rating: </w:t>
      </w:r>
      <w:r w:rsidRPr="00BD006D">
        <w:rPr>
          <w:rFonts w:ascii="Times New Roman" w:hAnsi="Times New Roman"/>
          <w:sz w:val="16"/>
          <w:szCs w:val="16"/>
        </w:rPr>
        <w:t>Not Satisfactory: 1.00-1.74; Poor: 1.75-2.49; Satisfactory: 2.50-3.24; Very Satisfactory</w:t>
      </w:r>
      <w:r w:rsidRPr="00BD006D">
        <w:rPr>
          <w:rFonts w:ascii="Times New Roman" w:eastAsia="Times New Roman" w:hAnsi="Times New Roman"/>
          <w:i/>
          <w:iCs/>
          <w:sz w:val="16"/>
          <w:szCs w:val="16"/>
        </w:rPr>
        <w:t>: 3.25-4.00</w:t>
      </w:r>
    </w:p>
    <w:p w14:paraId="58BD97D0" w14:textId="77777777" w:rsidR="00BD006D" w:rsidRDefault="00BD006D" w:rsidP="00BD006D">
      <w:pPr>
        <w:spacing w:after="0" w:line="240" w:lineRule="auto"/>
        <w:jc w:val="both"/>
        <w:rPr>
          <w:rFonts w:ascii="Arial" w:hAnsi="Arial" w:cs="Arial"/>
          <w:i/>
          <w:iCs/>
        </w:rPr>
      </w:pPr>
    </w:p>
    <w:p w14:paraId="302F55D4"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The results presented in Table 3 show that experts rated the study guide in Genetics with an overall mean of 3.93, interpreted as Very Satisfactory, indicating a high level of acceptance in terms of information quality of the format. This finding suggests that the study guide's physical and visual design features—such as print quality, illustrations, layout, and usability—were considered highly appropriate and supportive of effective learning.</w:t>
      </w:r>
    </w:p>
    <w:p w14:paraId="40BD9656" w14:textId="77777777" w:rsidR="00BD006D" w:rsidRDefault="00BD006D" w:rsidP="00BD006D">
      <w:pPr>
        <w:spacing w:after="0" w:line="240" w:lineRule="auto"/>
        <w:jc w:val="both"/>
        <w:rPr>
          <w:rFonts w:ascii="Times New Roman" w:hAnsi="Times New Roman"/>
          <w:sz w:val="24"/>
          <w:szCs w:val="24"/>
        </w:rPr>
      </w:pPr>
    </w:p>
    <w:p w14:paraId="22FC6974" w14:textId="58C961E6"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In terms of print quality, all indicators related to font size, spacing, readability, and printing quality obtained perfect mean ratings of 4.00, reflecting strong expert agreement that the textual presentation facilitates ease of reading and minimizes cognitive strain. This implies that the study guide’s print design supports efficient information processing and is well-suited to high school learners.</w:t>
      </w:r>
    </w:p>
    <w:p w14:paraId="7C4CC395" w14:textId="77777777" w:rsidR="00BD006D" w:rsidRDefault="00BD006D" w:rsidP="00BD006D">
      <w:pPr>
        <w:spacing w:after="0" w:line="240" w:lineRule="auto"/>
        <w:jc w:val="both"/>
        <w:rPr>
          <w:rFonts w:ascii="Times New Roman" w:hAnsi="Times New Roman"/>
          <w:sz w:val="24"/>
          <w:szCs w:val="24"/>
        </w:rPr>
      </w:pPr>
    </w:p>
    <w:p w14:paraId="48664CE6" w14:textId="443D3CA8"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In addition, for the illustrations in which the experts rated </w:t>
      </w:r>
      <w:proofErr w:type="gramStart"/>
      <w:r w:rsidRPr="001239F4">
        <w:rPr>
          <w:rFonts w:ascii="Times New Roman" w:hAnsi="Times New Roman"/>
          <w:sz w:val="24"/>
          <w:szCs w:val="24"/>
        </w:rPr>
        <w:t>the simplicity</w:t>
      </w:r>
      <w:proofErr w:type="gramEnd"/>
      <w:r w:rsidRPr="001239F4">
        <w:rPr>
          <w:rFonts w:ascii="Times New Roman" w:hAnsi="Times New Roman"/>
          <w:sz w:val="24"/>
          <w:szCs w:val="24"/>
        </w:rPr>
        <w:t xml:space="preserve">, clarity, labeling, and the ability of visuals to supplement the text very highly, the three indicators yielded mean ratings of 4.00. These results indicate that the illustrations effectively support conceptual understanding by making abstract Genetics concepts more concrete. Research in multimedia learning consistently shows that well-designed visuals enhance comprehension when they are directly aligned with textual explanations (Mayer, 2021). However, slightly lower </w:t>
      </w:r>
      <w:proofErr w:type="gramStart"/>
      <w:r w:rsidRPr="001239F4">
        <w:rPr>
          <w:rFonts w:ascii="Times New Roman" w:hAnsi="Times New Roman"/>
          <w:sz w:val="24"/>
          <w:szCs w:val="24"/>
        </w:rPr>
        <w:t>yet still</w:t>
      </w:r>
      <w:proofErr w:type="gramEnd"/>
      <w:r w:rsidRPr="001239F4">
        <w:rPr>
          <w:rFonts w:ascii="Times New Roman" w:hAnsi="Times New Roman"/>
          <w:sz w:val="24"/>
          <w:szCs w:val="24"/>
        </w:rPr>
        <w:t xml:space="preserve"> very satisfactory ratings were observed for attractiveness, color realism, and cultural relevance, with means ranging from 3.50 to 3.75. This suggests that while the illustrations are instructionally effective, further refinement in aesthetic appeal and cultural responsiveness could enhance learner engagement and inclusivity.</w:t>
      </w:r>
    </w:p>
    <w:p w14:paraId="17A0F184"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The indicators under design and layout all received perfect mean ratings of 4.00, indicating that experts perceived the overall layout as attractive, simple, and well-balanced. The harmonious integration of text and illustrations suggests that the study guide follows sound design principles that prevent distraction and promote coherence. Studies in instructional design have shown that clean, well-organized layouts improve learners’ ability to navigate materials and support sustained attention (Clark &amp; Mayer, 2016). This implies that the study guide’s layout enhances usability and learning efficiency.</w:t>
      </w:r>
    </w:p>
    <w:p w14:paraId="75195F6A" w14:textId="77777777" w:rsidR="00BD006D" w:rsidRDefault="00BD006D" w:rsidP="00BD006D">
      <w:pPr>
        <w:spacing w:after="0" w:line="240" w:lineRule="auto"/>
        <w:jc w:val="both"/>
        <w:rPr>
          <w:rFonts w:ascii="Times New Roman" w:hAnsi="Times New Roman"/>
          <w:sz w:val="24"/>
          <w:szCs w:val="24"/>
        </w:rPr>
      </w:pPr>
    </w:p>
    <w:p w14:paraId="4BA56469"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Similarly, experts rated the paper quality, binding, size, and weight of the study guide as very satisfactory, with mean ratings of 4.00 for each. These findings imply that the study guide's physical attributes contribute to ease of handling, durability, and frequent classroom use. Moreover, the study guide’s overall very satisfactory acceptance indicates that it is not only pedagogically sound in content but also well designed in form, making it an effective and user-friendly instructional material for Genetics education. The findings support integrating the study guide into classroom instruction, as its format promotes readability, visual clarity, learner engagement, and sustained use. For instructional designers and curriculum developers, the results underscore the importance of adhering to evidence-based design principles while continually refining aesthetic and cultural elements.</w:t>
      </w:r>
    </w:p>
    <w:p w14:paraId="56329AF6" w14:textId="77777777" w:rsidR="00BD006D" w:rsidRDefault="00BD006D" w:rsidP="00BD006D">
      <w:pPr>
        <w:spacing w:after="0" w:line="240" w:lineRule="auto"/>
        <w:jc w:val="both"/>
        <w:rPr>
          <w:rFonts w:ascii="Times New Roman" w:hAnsi="Times New Roman"/>
          <w:sz w:val="24"/>
          <w:szCs w:val="24"/>
        </w:rPr>
      </w:pPr>
    </w:p>
    <w:p w14:paraId="6A4AE559" w14:textId="77777777" w:rsidR="00BD006D" w:rsidRPr="00BD006D" w:rsidRDefault="00BD006D" w:rsidP="00BD006D">
      <w:pPr>
        <w:spacing w:after="0" w:line="240" w:lineRule="auto"/>
        <w:jc w:val="center"/>
        <w:rPr>
          <w:rFonts w:ascii="Times New Roman" w:eastAsia="Times New Roman" w:hAnsi="Times New Roman"/>
          <w:b/>
          <w:bCs/>
          <w:i/>
          <w:iCs/>
          <w:kern w:val="2"/>
          <w:sz w:val="24"/>
          <w:szCs w:val="24"/>
          <w:lang w:val="en-PH"/>
          <w14:ligatures w14:val="standardContextual"/>
        </w:rPr>
      </w:pPr>
      <w:r w:rsidRPr="00BD006D">
        <w:rPr>
          <w:rFonts w:ascii="Times New Roman" w:eastAsia="Times New Roman" w:hAnsi="Times New Roman"/>
          <w:b/>
          <w:bCs/>
          <w:i/>
          <w:iCs/>
          <w:kern w:val="2"/>
          <w:sz w:val="24"/>
          <w:szCs w:val="24"/>
          <w:lang w:val="en-PH"/>
          <w14:ligatures w14:val="standardContextual"/>
        </w:rPr>
        <w:t>Table 4</w:t>
      </w:r>
    </w:p>
    <w:p w14:paraId="564D8642" w14:textId="77777777" w:rsidR="00BD006D" w:rsidRPr="00BD006D" w:rsidRDefault="00BD006D" w:rsidP="00BD006D">
      <w:pPr>
        <w:spacing w:after="0" w:line="240" w:lineRule="auto"/>
        <w:jc w:val="center"/>
        <w:rPr>
          <w:rFonts w:ascii="Times New Roman" w:eastAsia="Times New Roman" w:hAnsi="Times New Roman"/>
          <w:b/>
          <w:bCs/>
          <w:i/>
          <w:iCs/>
          <w:kern w:val="2"/>
          <w:sz w:val="14"/>
          <w:szCs w:val="14"/>
          <w:lang w:val="en-PH"/>
          <w14:ligatures w14:val="standardContextual"/>
        </w:rPr>
      </w:pPr>
    </w:p>
    <w:p w14:paraId="772486A3" w14:textId="77777777" w:rsidR="00BD006D" w:rsidRPr="00BD006D" w:rsidRDefault="00BD006D" w:rsidP="00BD006D">
      <w:pPr>
        <w:spacing w:after="0" w:line="240" w:lineRule="auto"/>
        <w:jc w:val="center"/>
        <w:rPr>
          <w:rFonts w:ascii="Times New Roman" w:eastAsiaTheme="minorHAnsi" w:hAnsi="Times New Roman"/>
          <w:kern w:val="2"/>
          <w:sz w:val="24"/>
          <w:szCs w:val="24"/>
          <w:lang w:val="en-PH"/>
          <w14:ligatures w14:val="standardContextual"/>
        </w:rPr>
      </w:pPr>
      <w:r w:rsidRPr="00BD006D">
        <w:rPr>
          <w:rFonts w:ascii="Times New Roman" w:eastAsia="Times New Roman" w:hAnsi="Times New Roman"/>
          <w:i/>
          <w:iCs/>
          <w:kern w:val="2"/>
          <w:sz w:val="24"/>
          <w:szCs w:val="24"/>
          <w:lang w:val="en-PH"/>
          <w14:ligatures w14:val="standardContextual"/>
        </w:rPr>
        <w:t xml:space="preserve">Expert’s Level of Acceptance of the Study Guide in Genetics in Terms of </w:t>
      </w:r>
      <w:r w:rsidRPr="00BD006D">
        <w:rPr>
          <w:rFonts w:ascii="Times New Roman" w:eastAsiaTheme="minorHAnsi" w:hAnsi="Times New Roman"/>
          <w:kern w:val="2"/>
          <w:sz w:val="24"/>
          <w:szCs w:val="24"/>
          <w:lang w:val="en-PH"/>
          <w14:ligatures w14:val="standardContextual"/>
        </w:rPr>
        <w:t>Accuracy and Up-to-datedness of Information</w:t>
      </w:r>
    </w:p>
    <w:tbl>
      <w:tblPr>
        <w:tblStyle w:val="TableGrid"/>
        <w:tblW w:w="9497" w:type="dxa"/>
        <w:tblInd w:w="421" w:type="dxa"/>
        <w:tblLook w:val="04A0" w:firstRow="1" w:lastRow="0" w:firstColumn="1" w:lastColumn="0" w:noHBand="0" w:noVBand="1"/>
      </w:tblPr>
      <w:tblGrid>
        <w:gridCol w:w="6520"/>
        <w:gridCol w:w="992"/>
        <w:gridCol w:w="1985"/>
      </w:tblGrid>
      <w:tr w:rsidR="00BD006D" w:rsidRPr="00BD006D" w14:paraId="4BFE996E" w14:textId="77777777" w:rsidTr="00525475">
        <w:tc>
          <w:tcPr>
            <w:tcW w:w="6520" w:type="dxa"/>
          </w:tcPr>
          <w:p w14:paraId="4F4E144C"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 xml:space="preserve">Statement </w:t>
            </w:r>
          </w:p>
        </w:tc>
        <w:tc>
          <w:tcPr>
            <w:tcW w:w="992" w:type="dxa"/>
          </w:tcPr>
          <w:p w14:paraId="016D95D5"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Mean</w:t>
            </w:r>
          </w:p>
        </w:tc>
        <w:tc>
          <w:tcPr>
            <w:tcW w:w="1985" w:type="dxa"/>
          </w:tcPr>
          <w:p w14:paraId="6419C745"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Descriptor</w:t>
            </w:r>
          </w:p>
        </w:tc>
      </w:tr>
      <w:tr w:rsidR="00BD006D" w:rsidRPr="00BD006D" w14:paraId="6C194103" w14:textId="77777777" w:rsidTr="00525475">
        <w:tc>
          <w:tcPr>
            <w:tcW w:w="6520" w:type="dxa"/>
          </w:tcPr>
          <w:p w14:paraId="0150DD78"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heme="minorHAnsi" w:hAnsi="Times New Roman"/>
                <w:i/>
                <w:iCs/>
                <w:kern w:val="2"/>
                <w:sz w:val="20"/>
                <w:szCs w:val="20"/>
                <w:lang w:val="en-PH"/>
                <w14:ligatures w14:val="standardContextual"/>
              </w:rPr>
              <w:t>1. Conceptual errors.</w:t>
            </w:r>
          </w:p>
        </w:tc>
        <w:tc>
          <w:tcPr>
            <w:tcW w:w="992" w:type="dxa"/>
          </w:tcPr>
          <w:p w14:paraId="164CE32B"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1EB3A04C"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177D390A" w14:textId="77777777" w:rsidTr="00525475">
        <w:tc>
          <w:tcPr>
            <w:tcW w:w="6520" w:type="dxa"/>
          </w:tcPr>
          <w:p w14:paraId="1FDFF788"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2. </w:t>
            </w:r>
            <w:r w:rsidRPr="00BD006D">
              <w:rPr>
                <w:rFonts w:ascii="Times New Roman" w:eastAsiaTheme="minorHAnsi" w:hAnsi="Times New Roman"/>
                <w:i/>
                <w:iCs/>
                <w:kern w:val="2"/>
                <w:sz w:val="20"/>
                <w:szCs w:val="20"/>
                <w:lang w:val="en-PH"/>
                <w14:ligatures w14:val="standardContextual"/>
              </w:rPr>
              <w:t>Factual errors</w:t>
            </w:r>
          </w:p>
        </w:tc>
        <w:tc>
          <w:tcPr>
            <w:tcW w:w="992" w:type="dxa"/>
          </w:tcPr>
          <w:p w14:paraId="6E27D9C5"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09DA51B5"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62FCB871" w14:textId="77777777" w:rsidTr="00525475">
        <w:tc>
          <w:tcPr>
            <w:tcW w:w="6520" w:type="dxa"/>
          </w:tcPr>
          <w:p w14:paraId="3A01F585" w14:textId="77777777" w:rsidR="00BD006D" w:rsidRPr="00BD006D" w:rsidRDefault="00BD006D" w:rsidP="00BD006D">
            <w:pPr>
              <w:spacing w:after="0" w:line="240" w:lineRule="auto"/>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3.</w:t>
            </w:r>
            <w:r w:rsidRPr="00BD006D">
              <w:rPr>
                <w:rFonts w:ascii="Times New Roman" w:eastAsiaTheme="minorHAnsi" w:hAnsi="Times New Roman"/>
                <w:i/>
                <w:iCs/>
                <w:kern w:val="2"/>
                <w:sz w:val="20"/>
                <w:szCs w:val="20"/>
                <w:lang w:val="en-PH"/>
                <w14:ligatures w14:val="standardContextual"/>
              </w:rPr>
              <w:t>Grammatical errors.</w:t>
            </w:r>
          </w:p>
        </w:tc>
        <w:tc>
          <w:tcPr>
            <w:tcW w:w="992" w:type="dxa"/>
          </w:tcPr>
          <w:p w14:paraId="7834D4B1"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1DD0814A"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38AEC4F0" w14:textId="77777777" w:rsidTr="00525475">
        <w:tc>
          <w:tcPr>
            <w:tcW w:w="6520" w:type="dxa"/>
          </w:tcPr>
          <w:p w14:paraId="143CA89C"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4.</w:t>
            </w:r>
            <w:r w:rsidRPr="00BD006D">
              <w:rPr>
                <w:rFonts w:ascii="Times New Roman" w:eastAsiaTheme="minorHAnsi" w:hAnsi="Times New Roman"/>
                <w:i/>
                <w:iCs/>
                <w:kern w:val="2"/>
                <w:sz w:val="20"/>
                <w:szCs w:val="20"/>
                <w:lang w:val="en-PH"/>
                <w14:ligatures w14:val="standardContextual"/>
              </w:rPr>
              <w:t>Computational errors.</w:t>
            </w:r>
          </w:p>
        </w:tc>
        <w:tc>
          <w:tcPr>
            <w:tcW w:w="992" w:type="dxa"/>
          </w:tcPr>
          <w:p w14:paraId="761D2F2D"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58A7CEA0"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61DE4F30" w14:textId="77777777" w:rsidTr="00525475">
        <w:tc>
          <w:tcPr>
            <w:tcW w:w="6520" w:type="dxa"/>
          </w:tcPr>
          <w:p w14:paraId="23C60BD9"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5. </w:t>
            </w:r>
            <w:r w:rsidRPr="00BD006D">
              <w:rPr>
                <w:rFonts w:ascii="Times New Roman" w:eastAsiaTheme="minorHAnsi" w:hAnsi="Times New Roman"/>
                <w:i/>
                <w:iCs/>
                <w:kern w:val="2"/>
                <w:sz w:val="20"/>
                <w:szCs w:val="20"/>
                <w:lang w:val="en-PH"/>
                <w14:ligatures w14:val="standardContextual"/>
              </w:rPr>
              <w:t>Obsolete information</w:t>
            </w:r>
          </w:p>
        </w:tc>
        <w:tc>
          <w:tcPr>
            <w:tcW w:w="992" w:type="dxa"/>
          </w:tcPr>
          <w:p w14:paraId="7FC14371"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34454E6C"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35CE37FC" w14:textId="77777777" w:rsidTr="00525475">
        <w:tc>
          <w:tcPr>
            <w:tcW w:w="6520" w:type="dxa"/>
          </w:tcPr>
          <w:p w14:paraId="2890C8FE"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6. </w:t>
            </w:r>
            <w:r w:rsidRPr="00BD006D">
              <w:rPr>
                <w:rFonts w:ascii="Times New Roman" w:eastAsiaTheme="minorHAnsi" w:hAnsi="Times New Roman"/>
                <w:i/>
                <w:iCs/>
                <w:kern w:val="2"/>
                <w:sz w:val="20"/>
                <w:szCs w:val="20"/>
                <w:lang w:val="en-PH"/>
                <w14:ligatures w14:val="standardContextual"/>
              </w:rPr>
              <w:t>Typographical and other minor errors (e.g., inappropriate or unclear illustrations, missing labels, wrong captions, etc.)</w:t>
            </w:r>
          </w:p>
        </w:tc>
        <w:tc>
          <w:tcPr>
            <w:tcW w:w="992" w:type="dxa"/>
          </w:tcPr>
          <w:p w14:paraId="557B88F8"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7F4283FB"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p>
        </w:tc>
      </w:tr>
      <w:tr w:rsidR="00BD006D" w:rsidRPr="00BD006D" w14:paraId="037C803B" w14:textId="77777777" w:rsidTr="00525475">
        <w:tc>
          <w:tcPr>
            <w:tcW w:w="9497" w:type="dxa"/>
            <w:gridSpan w:val="3"/>
          </w:tcPr>
          <w:p w14:paraId="43468581" w14:textId="77777777" w:rsidR="00BD006D" w:rsidRPr="00BD006D" w:rsidRDefault="00BD006D" w:rsidP="00BD006D">
            <w:pPr>
              <w:spacing w:after="0" w:line="240" w:lineRule="auto"/>
              <w:contextualSpacing/>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 xml:space="preserve">                                                                          </w:t>
            </w:r>
            <w:r w:rsidRPr="00BD006D">
              <w:rPr>
                <w:rFonts w:ascii="Times New Roman" w:eastAsia="Times New Roman" w:hAnsi="Times New Roman"/>
                <w:b/>
                <w:bCs/>
                <w:i/>
                <w:iCs/>
                <w:kern w:val="2"/>
                <w:lang w:val="en-PH"/>
                <w14:ligatures w14:val="standardContextual"/>
              </w:rPr>
              <w:t>Overall Mean Rating</w:t>
            </w:r>
            <w:r w:rsidRPr="00BD006D">
              <w:rPr>
                <w:rFonts w:ascii="Times New Roman" w:eastAsia="Times New Roman" w:hAnsi="Times New Roman"/>
                <w:i/>
                <w:iCs/>
                <w:kern w:val="2"/>
                <w:lang w:val="en-PH"/>
                <w14:ligatures w14:val="standardContextual"/>
              </w:rPr>
              <w:t xml:space="preserve">                     4</w:t>
            </w:r>
            <w:r w:rsidRPr="00BD006D">
              <w:rPr>
                <w:rFonts w:ascii="Times New Roman" w:eastAsia="Times New Roman" w:hAnsi="Times New Roman"/>
                <w:b/>
                <w:bCs/>
                <w:i/>
                <w:iCs/>
                <w:kern w:val="2"/>
                <w:lang w:val="en-PH"/>
                <w14:ligatures w14:val="standardContextual"/>
              </w:rPr>
              <w:t>.00         Not Present</w:t>
            </w:r>
          </w:p>
        </w:tc>
      </w:tr>
    </w:tbl>
    <w:p w14:paraId="5A500D28" w14:textId="77777777" w:rsidR="00BD006D" w:rsidRPr="00BD006D" w:rsidRDefault="00BD006D" w:rsidP="00BD006D">
      <w:pPr>
        <w:spacing w:after="0" w:line="240" w:lineRule="auto"/>
        <w:rPr>
          <w:rFonts w:ascii="Times New Roman" w:eastAsiaTheme="minorHAnsi" w:hAnsi="Times New Roman" w:cstheme="minorBidi"/>
          <w:bCs/>
          <w:i/>
          <w:iCs/>
          <w:kern w:val="2"/>
          <w:sz w:val="18"/>
          <w:szCs w:val="18"/>
          <w:lang w:val="en-PH"/>
          <w14:ligatures w14:val="standardContextual"/>
        </w:rPr>
      </w:pPr>
      <w:r w:rsidRPr="00BD006D">
        <w:rPr>
          <w:rFonts w:asciiTheme="minorHAnsi" w:eastAsiaTheme="minorHAnsi" w:hAnsiTheme="minorHAnsi" w:cstheme="minorBidi"/>
          <w:b/>
          <w:bCs/>
          <w:kern w:val="2"/>
          <w:sz w:val="16"/>
          <w:szCs w:val="16"/>
          <w:lang w:val="en-PH"/>
          <w14:ligatures w14:val="standardContextual"/>
        </w:rPr>
        <w:t xml:space="preserve">            Legend for the Mean Rating: </w:t>
      </w:r>
      <w:r w:rsidRPr="00BD006D">
        <w:rPr>
          <w:rFonts w:asciiTheme="minorHAnsi" w:eastAsiaTheme="minorHAnsi" w:hAnsiTheme="minorHAnsi" w:cstheme="minorBidi"/>
          <w:kern w:val="2"/>
          <w:sz w:val="16"/>
          <w:szCs w:val="16"/>
          <w:lang w:val="en-PH"/>
          <w14:ligatures w14:val="standardContextual"/>
        </w:rPr>
        <w:t xml:space="preserve">Poor: 1.00-1.74; </w:t>
      </w:r>
      <w:r w:rsidRPr="00BD006D">
        <w:rPr>
          <w:rFonts w:ascii="Times New Roman" w:eastAsiaTheme="minorHAnsi" w:hAnsi="Times New Roman" w:cstheme="minorBidi"/>
          <w:bCs/>
          <w:i/>
          <w:iCs/>
          <w:kern w:val="2"/>
          <w:sz w:val="18"/>
          <w:szCs w:val="18"/>
          <w:lang w:val="en-PH"/>
          <w14:ligatures w14:val="standardContextual"/>
        </w:rPr>
        <w:t>Present &amp; requires major redevelopment</w:t>
      </w:r>
      <w:r w:rsidRPr="00BD006D">
        <w:rPr>
          <w:rFonts w:asciiTheme="minorHAnsi" w:eastAsiaTheme="minorHAnsi" w:hAnsiTheme="minorHAnsi" w:cstheme="minorBidi"/>
          <w:kern w:val="2"/>
          <w:sz w:val="16"/>
          <w:szCs w:val="16"/>
          <w:lang w:val="en-PH"/>
          <w14:ligatures w14:val="standardContextual"/>
        </w:rPr>
        <w:t xml:space="preserve">: 1.75-2.49; </w:t>
      </w:r>
      <w:r w:rsidRPr="00BD006D">
        <w:rPr>
          <w:rFonts w:ascii="Times New Roman" w:eastAsiaTheme="minorHAnsi" w:hAnsi="Times New Roman" w:cstheme="minorBidi"/>
          <w:bCs/>
          <w:i/>
          <w:iCs/>
          <w:kern w:val="2"/>
          <w:sz w:val="18"/>
          <w:szCs w:val="18"/>
          <w:lang w:val="en-PH"/>
          <w14:ligatures w14:val="standardContextual"/>
        </w:rPr>
        <w:t xml:space="preserve">Present but very minor &amp; </w:t>
      </w:r>
    </w:p>
    <w:p w14:paraId="4C159A70" w14:textId="77777777" w:rsidR="00BD006D" w:rsidRPr="00BD006D" w:rsidRDefault="00BD006D" w:rsidP="00BD006D">
      <w:pPr>
        <w:spacing w:after="0" w:line="240" w:lineRule="auto"/>
        <w:ind w:left="2160" w:firstLine="720"/>
        <w:rPr>
          <w:rFonts w:asciiTheme="minorHAnsi" w:eastAsia="Times New Roman" w:hAnsiTheme="minorHAnsi" w:cstheme="minorBidi"/>
          <w:i/>
          <w:iCs/>
          <w:kern w:val="2"/>
          <w:sz w:val="16"/>
          <w:szCs w:val="16"/>
          <w:lang w:val="en-PH"/>
          <w14:ligatures w14:val="standardContextual"/>
        </w:rPr>
      </w:pPr>
      <w:r w:rsidRPr="00BD006D">
        <w:rPr>
          <w:rFonts w:ascii="Times New Roman" w:eastAsiaTheme="minorHAnsi" w:hAnsi="Times New Roman" w:cstheme="minorBidi"/>
          <w:bCs/>
          <w:i/>
          <w:iCs/>
          <w:kern w:val="2"/>
          <w:sz w:val="18"/>
          <w:szCs w:val="18"/>
          <w:lang w:val="en-PH"/>
          <w14:ligatures w14:val="standardContextual"/>
        </w:rPr>
        <w:t>must be fixed</w:t>
      </w:r>
      <w:r w:rsidRPr="00BD006D">
        <w:rPr>
          <w:rFonts w:asciiTheme="minorHAnsi" w:eastAsiaTheme="minorHAnsi" w:hAnsiTheme="minorHAnsi" w:cstheme="minorBidi"/>
          <w:kern w:val="2"/>
          <w:sz w:val="16"/>
          <w:szCs w:val="16"/>
          <w:lang w:val="en-PH"/>
          <w14:ligatures w14:val="standardContextual"/>
        </w:rPr>
        <w:t>: 2.50-3.24; Not Present</w:t>
      </w:r>
      <w:r w:rsidRPr="00BD006D">
        <w:rPr>
          <w:rFonts w:asciiTheme="minorHAnsi" w:eastAsia="Times New Roman" w:hAnsiTheme="minorHAnsi" w:cstheme="minorBidi"/>
          <w:i/>
          <w:iCs/>
          <w:kern w:val="2"/>
          <w:sz w:val="16"/>
          <w:szCs w:val="16"/>
          <w:lang w:val="en-PH"/>
          <w14:ligatures w14:val="standardContextual"/>
        </w:rPr>
        <w:t>: 3.25-4.00</w:t>
      </w:r>
    </w:p>
    <w:p w14:paraId="3D7CB943" w14:textId="77777777" w:rsidR="00BD006D" w:rsidRDefault="00BD006D" w:rsidP="00BD006D">
      <w:pPr>
        <w:spacing w:after="0" w:line="240" w:lineRule="auto"/>
        <w:jc w:val="both"/>
        <w:rPr>
          <w:rFonts w:ascii="Times New Roman" w:hAnsi="Times New Roman"/>
          <w:sz w:val="24"/>
          <w:szCs w:val="24"/>
        </w:rPr>
      </w:pPr>
    </w:p>
    <w:p w14:paraId="5AF66D59"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r w:rsidRPr="00BD006D">
        <w:rPr>
          <w:rFonts w:ascii="Arial" w:eastAsiaTheme="minorHAnsi" w:hAnsi="Arial" w:cs="Arial"/>
          <w:kern w:val="2"/>
          <w:lang w:val="en-PH"/>
          <w14:ligatures w14:val="standardContextual"/>
        </w:rPr>
        <w:t xml:space="preserve">Table 4 indicates that the experts evaluated the study guide in Genetics in terms of accuracy and up-to-datedness of information with an overall mean rating of 4.00, descriptively interpreted as Not Present, indicating unanimous agreement that the information in the material is accurate, reliable, and up-to-date. Each indicator—including conceptual, factual, grammatical, computational, obsolete information, and typographical errors—received a mean of 4.00, confirming that the study guide is free from errors of any kind. This suggests that the material provides students with scientifically accurate, up-to-date information, which is critical for effective learning in Genetics, a subject where misconceptions can significantly affect understanding of key concepts such as inheritance patterns, DNA structure, and gene expression. </w:t>
      </w:r>
    </w:p>
    <w:p w14:paraId="3ACDDB3B"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p>
    <w:p w14:paraId="06602F7E"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r w:rsidRPr="00BD006D">
        <w:rPr>
          <w:rFonts w:ascii="Arial" w:eastAsiaTheme="minorHAnsi" w:hAnsi="Arial" w:cs="Arial"/>
          <w:kern w:val="2"/>
          <w:lang w:val="en-PH"/>
          <w14:ligatures w14:val="standardContextual"/>
        </w:rPr>
        <w:t>Furthermore, the absence of conceptual or factual errors indicates that the guide communicates Genetic concepts accurately and aligns with current scientific knowledge. This accuracy is essential in preventing misunderstandings and ensuring that students develop a solid conceptual foundation. Additionally, the absence of grammatical, computational, and typographical errors indicates a high-quality presentation and professionalism, thereby enhancing readability, minimizing distraction, and facilitating learner comprehension (Clark &amp; Mayer, 2016).</w:t>
      </w:r>
    </w:p>
    <w:p w14:paraId="1B6DCD8F" w14:textId="77777777" w:rsidR="00BD006D" w:rsidRDefault="00BD006D" w:rsidP="00BD006D">
      <w:pPr>
        <w:spacing w:after="0" w:line="240" w:lineRule="auto"/>
        <w:jc w:val="both"/>
        <w:rPr>
          <w:rFonts w:ascii="Times New Roman" w:hAnsi="Times New Roman"/>
          <w:sz w:val="24"/>
          <w:szCs w:val="24"/>
        </w:rPr>
      </w:pPr>
    </w:p>
    <w:p w14:paraId="131DA31A" w14:textId="77777777" w:rsidR="00BD006D" w:rsidRDefault="00BD006D" w:rsidP="00BD006D">
      <w:pPr>
        <w:spacing w:after="0" w:line="240" w:lineRule="auto"/>
        <w:jc w:val="both"/>
        <w:rPr>
          <w:rFonts w:ascii="Times New Roman" w:hAnsi="Times New Roman"/>
          <w:sz w:val="24"/>
          <w:szCs w:val="24"/>
        </w:rPr>
      </w:pPr>
    </w:p>
    <w:p w14:paraId="1CEB847E" w14:textId="77777777" w:rsidR="00C3590B" w:rsidRDefault="00C3590B" w:rsidP="00BD006D">
      <w:pPr>
        <w:spacing w:after="0" w:line="240" w:lineRule="auto"/>
        <w:jc w:val="both"/>
        <w:rPr>
          <w:rFonts w:ascii="Times New Roman" w:hAnsi="Times New Roman"/>
          <w:sz w:val="24"/>
          <w:szCs w:val="24"/>
        </w:rPr>
      </w:pPr>
    </w:p>
    <w:p w14:paraId="39FA6C2B" w14:textId="77777777" w:rsidR="00C3590B" w:rsidRDefault="00C3590B" w:rsidP="00BD006D">
      <w:pPr>
        <w:spacing w:after="0" w:line="240" w:lineRule="auto"/>
        <w:jc w:val="both"/>
        <w:rPr>
          <w:rFonts w:ascii="Times New Roman" w:hAnsi="Times New Roman"/>
          <w:sz w:val="24"/>
          <w:szCs w:val="24"/>
        </w:rPr>
      </w:pPr>
    </w:p>
    <w:p w14:paraId="4955AEC6" w14:textId="77777777" w:rsidR="00C3590B" w:rsidRDefault="00C3590B" w:rsidP="00BD006D">
      <w:pPr>
        <w:spacing w:after="0" w:line="240" w:lineRule="auto"/>
        <w:jc w:val="both"/>
        <w:rPr>
          <w:rFonts w:ascii="Times New Roman" w:hAnsi="Times New Roman"/>
          <w:sz w:val="24"/>
          <w:szCs w:val="24"/>
        </w:rPr>
      </w:pPr>
    </w:p>
    <w:p w14:paraId="6F363BD5" w14:textId="77777777" w:rsidR="00C3590B" w:rsidRDefault="00C3590B" w:rsidP="00BD006D">
      <w:pPr>
        <w:spacing w:after="0" w:line="240" w:lineRule="auto"/>
        <w:jc w:val="both"/>
        <w:rPr>
          <w:rFonts w:ascii="Times New Roman" w:hAnsi="Times New Roman"/>
          <w:sz w:val="24"/>
          <w:szCs w:val="24"/>
        </w:rPr>
      </w:pPr>
    </w:p>
    <w:p w14:paraId="05125C89" w14:textId="77777777" w:rsidR="00C3590B" w:rsidRDefault="00C3590B" w:rsidP="00BD006D">
      <w:pPr>
        <w:spacing w:after="0" w:line="240" w:lineRule="auto"/>
        <w:jc w:val="both"/>
        <w:rPr>
          <w:rFonts w:ascii="Times New Roman" w:hAnsi="Times New Roman"/>
          <w:sz w:val="24"/>
          <w:szCs w:val="24"/>
        </w:rPr>
      </w:pPr>
    </w:p>
    <w:p w14:paraId="12778B1B" w14:textId="77777777" w:rsidR="00C3590B" w:rsidRDefault="00C3590B" w:rsidP="00BD006D">
      <w:pPr>
        <w:spacing w:after="0" w:line="240" w:lineRule="auto"/>
        <w:jc w:val="both"/>
        <w:rPr>
          <w:rFonts w:ascii="Times New Roman" w:hAnsi="Times New Roman"/>
          <w:sz w:val="24"/>
          <w:szCs w:val="24"/>
        </w:rPr>
      </w:pPr>
    </w:p>
    <w:p w14:paraId="62B4ABAE" w14:textId="77777777" w:rsidR="00C3590B" w:rsidRDefault="00C3590B" w:rsidP="00BD006D">
      <w:pPr>
        <w:spacing w:after="0" w:line="240" w:lineRule="auto"/>
        <w:jc w:val="both"/>
        <w:rPr>
          <w:rFonts w:ascii="Times New Roman" w:hAnsi="Times New Roman"/>
          <w:sz w:val="24"/>
          <w:szCs w:val="24"/>
        </w:rPr>
      </w:pPr>
    </w:p>
    <w:p w14:paraId="3B96058D" w14:textId="77777777" w:rsidR="00C3590B" w:rsidRDefault="00C3590B" w:rsidP="00BD006D">
      <w:pPr>
        <w:spacing w:after="0" w:line="240" w:lineRule="auto"/>
        <w:jc w:val="both"/>
        <w:rPr>
          <w:rFonts w:ascii="Times New Roman" w:hAnsi="Times New Roman"/>
          <w:sz w:val="24"/>
          <w:szCs w:val="24"/>
        </w:rPr>
      </w:pPr>
    </w:p>
    <w:p w14:paraId="47C82C1D" w14:textId="77777777" w:rsidR="00C3590B" w:rsidRDefault="00C3590B" w:rsidP="00BD006D">
      <w:pPr>
        <w:spacing w:after="0" w:line="240" w:lineRule="auto"/>
        <w:jc w:val="both"/>
        <w:rPr>
          <w:rFonts w:ascii="Times New Roman" w:hAnsi="Times New Roman"/>
          <w:sz w:val="24"/>
          <w:szCs w:val="24"/>
        </w:rPr>
      </w:pPr>
    </w:p>
    <w:p w14:paraId="75A69378" w14:textId="77777777" w:rsidR="00C3590B" w:rsidRDefault="00C3590B" w:rsidP="00BD006D">
      <w:pPr>
        <w:spacing w:after="0" w:line="240" w:lineRule="auto"/>
        <w:jc w:val="both"/>
        <w:rPr>
          <w:rFonts w:ascii="Times New Roman" w:hAnsi="Times New Roman"/>
          <w:sz w:val="24"/>
          <w:szCs w:val="24"/>
        </w:rPr>
      </w:pPr>
    </w:p>
    <w:p w14:paraId="128C857D" w14:textId="77777777" w:rsidR="00C3590B" w:rsidRDefault="00C3590B" w:rsidP="00BD006D">
      <w:pPr>
        <w:spacing w:after="0" w:line="240" w:lineRule="auto"/>
        <w:jc w:val="both"/>
        <w:rPr>
          <w:rFonts w:ascii="Times New Roman" w:hAnsi="Times New Roman"/>
          <w:sz w:val="24"/>
          <w:szCs w:val="24"/>
        </w:rPr>
      </w:pPr>
    </w:p>
    <w:p w14:paraId="7306D5C3" w14:textId="77777777" w:rsidR="00BD006D" w:rsidRPr="001239F4" w:rsidRDefault="00BD006D" w:rsidP="00BD006D">
      <w:pPr>
        <w:spacing w:after="0" w:line="240" w:lineRule="auto"/>
        <w:rPr>
          <w:rFonts w:ascii="Times New Roman" w:hAnsi="Times New Roman"/>
          <w:i/>
          <w:iCs/>
          <w:sz w:val="24"/>
          <w:szCs w:val="24"/>
        </w:rPr>
      </w:pPr>
      <w:r w:rsidRPr="001239F4">
        <w:rPr>
          <w:rFonts w:ascii="Times New Roman" w:hAnsi="Times New Roman"/>
          <w:b/>
          <w:i/>
          <w:iCs/>
          <w:sz w:val="24"/>
          <w:szCs w:val="24"/>
        </w:rPr>
        <w:t>Students’ Pre-Test and Post-Test Scores</w:t>
      </w:r>
    </w:p>
    <w:p w14:paraId="68439851" w14:textId="77777777" w:rsidR="00BD006D" w:rsidRPr="001239F4" w:rsidRDefault="00BD006D" w:rsidP="00BD006D">
      <w:pPr>
        <w:spacing w:after="0" w:line="240" w:lineRule="auto"/>
        <w:rPr>
          <w:rFonts w:ascii="Times New Roman" w:hAnsi="Times New Roman"/>
          <w:bCs/>
          <w:i/>
          <w:iCs/>
          <w:sz w:val="24"/>
          <w:szCs w:val="24"/>
        </w:rPr>
      </w:pPr>
      <w:r w:rsidRPr="001239F4">
        <w:rPr>
          <w:rFonts w:ascii="Times New Roman" w:hAnsi="Times New Roman"/>
          <w:i/>
          <w:iCs/>
          <w:sz w:val="24"/>
          <w:szCs w:val="24"/>
        </w:rPr>
        <w:t xml:space="preserve">Describe the </w:t>
      </w:r>
      <w:r w:rsidRPr="001239F4">
        <w:rPr>
          <w:rFonts w:ascii="Times New Roman" w:hAnsi="Times New Roman"/>
          <w:bCs/>
          <w:i/>
          <w:iCs/>
          <w:sz w:val="24"/>
          <w:szCs w:val="24"/>
        </w:rPr>
        <w:t>students' pretest and posttest scores in the control and experimental groups.</w:t>
      </w:r>
    </w:p>
    <w:p w14:paraId="6CF51897" w14:textId="77777777" w:rsidR="00C3590B" w:rsidRPr="001239F4" w:rsidRDefault="00C3590B" w:rsidP="00BD006D">
      <w:pPr>
        <w:spacing w:after="0" w:line="240" w:lineRule="auto"/>
        <w:rPr>
          <w:rFonts w:ascii="Times New Roman" w:eastAsia="Times New Roman" w:hAnsi="Times New Roman"/>
          <w:b/>
          <w:bCs/>
          <w:i/>
          <w:iCs/>
          <w:sz w:val="24"/>
          <w:szCs w:val="24"/>
        </w:rPr>
      </w:pPr>
    </w:p>
    <w:p w14:paraId="58841B06"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5</w:t>
      </w:r>
    </w:p>
    <w:p w14:paraId="5F0DA126" w14:textId="77777777" w:rsidR="00BD006D" w:rsidRPr="001239F4" w:rsidRDefault="00BD006D" w:rsidP="00BD006D">
      <w:pPr>
        <w:spacing w:after="0" w:line="240" w:lineRule="auto"/>
        <w:jc w:val="center"/>
        <w:rPr>
          <w:rFonts w:ascii="Times New Roman" w:hAnsi="Times New Roman"/>
          <w:sz w:val="24"/>
          <w:szCs w:val="24"/>
        </w:rPr>
      </w:pPr>
      <w:r w:rsidRPr="001239F4">
        <w:rPr>
          <w:rFonts w:ascii="Times New Roman" w:hAnsi="Times New Roman"/>
          <w:sz w:val="24"/>
          <w:szCs w:val="24"/>
        </w:rPr>
        <w:t>Pre-Test and Post-Test Results of Students from the Control Group</w:t>
      </w:r>
    </w:p>
    <w:p w14:paraId="28EC2531" w14:textId="77777777" w:rsidR="00BD006D" w:rsidRPr="001239F4" w:rsidRDefault="00BD006D" w:rsidP="00BD006D">
      <w:pPr>
        <w:spacing w:after="0" w:line="240" w:lineRule="auto"/>
        <w:jc w:val="center"/>
        <w:rPr>
          <w:rFonts w:ascii="Times New Roman" w:hAnsi="Times New Roman"/>
          <w:sz w:val="24"/>
          <w:szCs w:val="24"/>
        </w:rPr>
      </w:pPr>
    </w:p>
    <w:tbl>
      <w:tblPr>
        <w:tblW w:w="0" w:type="auto"/>
        <w:jc w:val="center"/>
        <w:tblBorders>
          <w:top w:val="single" w:sz="18" w:space="0" w:color="auto"/>
          <w:bottom w:val="single" w:sz="18" w:space="0" w:color="auto"/>
        </w:tblBorders>
        <w:tblLook w:val="04A0" w:firstRow="1" w:lastRow="0" w:firstColumn="1" w:lastColumn="0" w:noHBand="0" w:noVBand="1"/>
      </w:tblPr>
      <w:tblGrid>
        <w:gridCol w:w="1843"/>
        <w:gridCol w:w="2693"/>
        <w:gridCol w:w="1134"/>
        <w:gridCol w:w="993"/>
        <w:gridCol w:w="992"/>
        <w:gridCol w:w="975"/>
      </w:tblGrid>
      <w:tr w:rsidR="00BD006D" w:rsidRPr="00C16F3C" w14:paraId="1B90B51D" w14:textId="77777777" w:rsidTr="00525475">
        <w:trPr>
          <w:jc w:val="center"/>
        </w:trPr>
        <w:tc>
          <w:tcPr>
            <w:tcW w:w="1843" w:type="dxa"/>
            <w:vMerge w:val="restart"/>
            <w:vAlign w:val="center"/>
          </w:tcPr>
          <w:p w14:paraId="065BA258" w14:textId="77777777" w:rsidR="00BD006D" w:rsidRPr="00C16F3C" w:rsidRDefault="00BD006D" w:rsidP="00525475">
            <w:pPr>
              <w:spacing w:after="0"/>
              <w:jc w:val="center"/>
              <w:rPr>
                <w:rFonts w:ascii="Times New Roman" w:hAnsi="Times New Roman"/>
                <w:b/>
                <w:bCs/>
                <w:sz w:val="20"/>
                <w:szCs w:val="20"/>
              </w:rPr>
            </w:pPr>
            <w:bookmarkStart w:id="0" w:name="_Hlk219288368"/>
            <w:r w:rsidRPr="00C16F3C">
              <w:rPr>
                <w:rFonts w:ascii="Times New Roman" w:hAnsi="Times New Roman"/>
                <w:b/>
                <w:bCs/>
                <w:sz w:val="20"/>
                <w:szCs w:val="20"/>
              </w:rPr>
              <w:t>Scores</w:t>
            </w:r>
          </w:p>
        </w:tc>
        <w:tc>
          <w:tcPr>
            <w:tcW w:w="2693" w:type="dxa"/>
            <w:vMerge w:val="restart"/>
            <w:vAlign w:val="center"/>
          </w:tcPr>
          <w:p w14:paraId="046FBFC5"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Descriptor</w:t>
            </w:r>
          </w:p>
        </w:tc>
        <w:tc>
          <w:tcPr>
            <w:tcW w:w="2127" w:type="dxa"/>
            <w:gridSpan w:val="2"/>
          </w:tcPr>
          <w:p w14:paraId="4E1CAC14"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Pre-Test</w:t>
            </w:r>
          </w:p>
        </w:tc>
        <w:tc>
          <w:tcPr>
            <w:tcW w:w="1967" w:type="dxa"/>
            <w:gridSpan w:val="2"/>
          </w:tcPr>
          <w:p w14:paraId="3D0247FE"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Post-Test</w:t>
            </w:r>
          </w:p>
        </w:tc>
      </w:tr>
      <w:tr w:rsidR="00BD006D" w:rsidRPr="00C16F3C" w14:paraId="36A3F838" w14:textId="77777777" w:rsidTr="00525475">
        <w:trPr>
          <w:jc w:val="center"/>
        </w:trPr>
        <w:tc>
          <w:tcPr>
            <w:tcW w:w="1843" w:type="dxa"/>
            <w:vMerge/>
            <w:tcBorders>
              <w:bottom w:val="single" w:sz="18" w:space="0" w:color="auto"/>
            </w:tcBorders>
            <w:vAlign w:val="center"/>
          </w:tcPr>
          <w:p w14:paraId="1980EB36" w14:textId="77777777" w:rsidR="00BD006D" w:rsidRPr="00C16F3C" w:rsidRDefault="00BD006D" w:rsidP="00525475">
            <w:pPr>
              <w:spacing w:after="0"/>
              <w:jc w:val="center"/>
              <w:rPr>
                <w:rFonts w:ascii="Times New Roman" w:hAnsi="Times New Roman"/>
                <w:b/>
                <w:bCs/>
                <w:sz w:val="20"/>
                <w:szCs w:val="20"/>
              </w:rPr>
            </w:pPr>
          </w:p>
        </w:tc>
        <w:tc>
          <w:tcPr>
            <w:tcW w:w="2693" w:type="dxa"/>
            <w:vMerge/>
            <w:tcBorders>
              <w:bottom w:val="single" w:sz="18" w:space="0" w:color="auto"/>
            </w:tcBorders>
          </w:tcPr>
          <w:p w14:paraId="01CC29A6" w14:textId="77777777" w:rsidR="00BD006D" w:rsidRPr="00C16F3C" w:rsidRDefault="00BD006D" w:rsidP="00525475">
            <w:pPr>
              <w:spacing w:after="0"/>
              <w:jc w:val="center"/>
              <w:rPr>
                <w:rFonts w:ascii="Times New Roman" w:hAnsi="Times New Roman"/>
                <w:b/>
                <w:bCs/>
                <w:sz w:val="20"/>
                <w:szCs w:val="20"/>
              </w:rPr>
            </w:pPr>
          </w:p>
        </w:tc>
        <w:tc>
          <w:tcPr>
            <w:tcW w:w="1134" w:type="dxa"/>
            <w:tcBorders>
              <w:bottom w:val="single" w:sz="18" w:space="0" w:color="auto"/>
            </w:tcBorders>
          </w:tcPr>
          <w:p w14:paraId="10666D2B"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f</w:t>
            </w:r>
          </w:p>
        </w:tc>
        <w:tc>
          <w:tcPr>
            <w:tcW w:w="993" w:type="dxa"/>
            <w:tcBorders>
              <w:bottom w:val="single" w:sz="18" w:space="0" w:color="auto"/>
            </w:tcBorders>
          </w:tcPr>
          <w:p w14:paraId="4476D660"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w:t>
            </w:r>
          </w:p>
        </w:tc>
        <w:tc>
          <w:tcPr>
            <w:tcW w:w="992" w:type="dxa"/>
            <w:tcBorders>
              <w:bottom w:val="single" w:sz="18" w:space="0" w:color="auto"/>
            </w:tcBorders>
          </w:tcPr>
          <w:p w14:paraId="1E0B03DC"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f</w:t>
            </w:r>
          </w:p>
        </w:tc>
        <w:tc>
          <w:tcPr>
            <w:tcW w:w="975" w:type="dxa"/>
            <w:tcBorders>
              <w:bottom w:val="single" w:sz="18" w:space="0" w:color="auto"/>
            </w:tcBorders>
          </w:tcPr>
          <w:p w14:paraId="279FC060"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w:t>
            </w:r>
          </w:p>
        </w:tc>
      </w:tr>
      <w:tr w:rsidR="00BD006D" w:rsidRPr="00C16F3C" w14:paraId="0333DA09" w14:textId="77777777" w:rsidTr="00525475">
        <w:trPr>
          <w:jc w:val="center"/>
        </w:trPr>
        <w:tc>
          <w:tcPr>
            <w:tcW w:w="1843" w:type="dxa"/>
            <w:tcBorders>
              <w:top w:val="single" w:sz="18" w:space="0" w:color="auto"/>
              <w:bottom w:val="nil"/>
            </w:tcBorders>
          </w:tcPr>
          <w:p w14:paraId="4B7651E9"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26-30</w:t>
            </w:r>
          </w:p>
        </w:tc>
        <w:tc>
          <w:tcPr>
            <w:tcW w:w="2693" w:type="dxa"/>
            <w:tcBorders>
              <w:top w:val="single" w:sz="18" w:space="0" w:color="auto"/>
              <w:bottom w:val="nil"/>
            </w:tcBorders>
          </w:tcPr>
          <w:p w14:paraId="1531421F"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Outstanding</w:t>
            </w:r>
          </w:p>
        </w:tc>
        <w:tc>
          <w:tcPr>
            <w:tcW w:w="1134" w:type="dxa"/>
            <w:tcBorders>
              <w:top w:val="single" w:sz="18" w:space="0" w:color="auto"/>
              <w:bottom w:val="nil"/>
            </w:tcBorders>
          </w:tcPr>
          <w:p w14:paraId="1DC2570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w:t>
            </w:r>
          </w:p>
        </w:tc>
        <w:tc>
          <w:tcPr>
            <w:tcW w:w="993" w:type="dxa"/>
            <w:tcBorders>
              <w:top w:val="single" w:sz="18" w:space="0" w:color="auto"/>
              <w:bottom w:val="nil"/>
            </w:tcBorders>
          </w:tcPr>
          <w:p w14:paraId="4390C6F6"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0.00</w:t>
            </w:r>
          </w:p>
        </w:tc>
        <w:tc>
          <w:tcPr>
            <w:tcW w:w="992" w:type="dxa"/>
            <w:tcBorders>
              <w:top w:val="single" w:sz="18" w:space="0" w:color="auto"/>
              <w:bottom w:val="nil"/>
            </w:tcBorders>
          </w:tcPr>
          <w:p w14:paraId="242DA00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w:t>
            </w:r>
          </w:p>
        </w:tc>
        <w:tc>
          <w:tcPr>
            <w:tcW w:w="975" w:type="dxa"/>
            <w:tcBorders>
              <w:top w:val="single" w:sz="18" w:space="0" w:color="auto"/>
              <w:bottom w:val="nil"/>
            </w:tcBorders>
          </w:tcPr>
          <w:p w14:paraId="05615CD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w:t>
            </w:r>
          </w:p>
        </w:tc>
      </w:tr>
      <w:tr w:rsidR="00BD006D" w:rsidRPr="00C16F3C" w14:paraId="1317C8AF" w14:textId="77777777" w:rsidTr="00525475">
        <w:trPr>
          <w:jc w:val="center"/>
        </w:trPr>
        <w:tc>
          <w:tcPr>
            <w:tcW w:w="1843" w:type="dxa"/>
            <w:tcBorders>
              <w:top w:val="nil"/>
              <w:bottom w:val="nil"/>
            </w:tcBorders>
          </w:tcPr>
          <w:p w14:paraId="77403FA4"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21-25</w:t>
            </w:r>
          </w:p>
        </w:tc>
        <w:tc>
          <w:tcPr>
            <w:tcW w:w="2693" w:type="dxa"/>
            <w:tcBorders>
              <w:top w:val="nil"/>
              <w:bottom w:val="nil"/>
            </w:tcBorders>
          </w:tcPr>
          <w:p w14:paraId="76D67582"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Very Satisfactory</w:t>
            </w:r>
          </w:p>
        </w:tc>
        <w:tc>
          <w:tcPr>
            <w:tcW w:w="1134" w:type="dxa"/>
            <w:tcBorders>
              <w:top w:val="nil"/>
              <w:bottom w:val="nil"/>
            </w:tcBorders>
          </w:tcPr>
          <w:p w14:paraId="1C66E19B"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w:t>
            </w:r>
          </w:p>
        </w:tc>
        <w:tc>
          <w:tcPr>
            <w:tcW w:w="993" w:type="dxa"/>
            <w:tcBorders>
              <w:top w:val="nil"/>
              <w:bottom w:val="nil"/>
            </w:tcBorders>
          </w:tcPr>
          <w:p w14:paraId="31E9C802"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w:t>
            </w:r>
          </w:p>
        </w:tc>
        <w:tc>
          <w:tcPr>
            <w:tcW w:w="992" w:type="dxa"/>
            <w:tcBorders>
              <w:top w:val="nil"/>
              <w:bottom w:val="nil"/>
            </w:tcBorders>
          </w:tcPr>
          <w:p w14:paraId="70AAC040"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6</w:t>
            </w:r>
          </w:p>
        </w:tc>
        <w:tc>
          <w:tcPr>
            <w:tcW w:w="975" w:type="dxa"/>
            <w:tcBorders>
              <w:top w:val="nil"/>
              <w:bottom w:val="nil"/>
            </w:tcBorders>
          </w:tcPr>
          <w:p w14:paraId="619E5B0C"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14.29</w:t>
            </w:r>
          </w:p>
        </w:tc>
      </w:tr>
      <w:tr w:rsidR="00BD006D" w:rsidRPr="00C16F3C" w14:paraId="3C386799" w14:textId="77777777" w:rsidTr="00525475">
        <w:trPr>
          <w:jc w:val="center"/>
        </w:trPr>
        <w:tc>
          <w:tcPr>
            <w:tcW w:w="1843" w:type="dxa"/>
            <w:tcBorders>
              <w:top w:val="nil"/>
              <w:bottom w:val="nil"/>
            </w:tcBorders>
          </w:tcPr>
          <w:p w14:paraId="127A9594"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16-20</w:t>
            </w:r>
          </w:p>
        </w:tc>
        <w:tc>
          <w:tcPr>
            <w:tcW w:w="2693" w:type="dxa"/>
            <w:tcBorders>
              <w:top w:val="nil"/>
              <w:bottom w:val="nil"/>
            </w:tcBorders>
          </w:tcPr>
          <w:p w14:paraId="03C9047E"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Satisfactory</w:t>
            </w:r>
          </w:p>
        </w:tc>
        <w:tc>
          <w:tcPr>
            <w:tcW w:w="1134" w:type="dxa"/>
            <w:tcBorders>
              <w:top w:val="nil"/>
              <w:bottom w:val="nil"/>
            </w:tcBorders>
          </w:tcPr>
          <w:p w14:paraId="51BE1251"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4</w:t>
            </w:r>
          </w:p>
        </w:tc>
        <w:tc>
          <w:tcPr>
            <w:tcW w:w="993" w:type="dxa"/>
            <w:tcBorders>
              <w:top w:val="nil"/>
              <w:bottom w:val="nil"/>
            </w:tcBorders>
          </w:tcPr>
          <w:p w14:paraId="03D17E47"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9.52</w:t>
            </w:r>
          </w:p>
        </w:tc>
        <w:tc>
          <w:tcPr>
            <w:tcW w:w="992" w:type="dxa"/>
            <w:tcBorders>
              <w:top w:val="nil"/>
              <w:bottom w:val="nil"/>
            </w:tcBorders>
          </w:tcPr>
          <w:p w14:paraId="16E61CE6"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8</w:t>
            </w:r>
          </w:p>
        </w:tc>
        <w:tc>
          <w:tcPr>
            <w:tcW w:w="975" w:type="dxa"/>
            <w:tcBorders>
              <w:top w:val="nil"/>
              <w:bottom w:val="nil"/>
            </w:tcBorders>
          </w:tcPr>
          <w:p w14:paraId="14EF526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19.05</w:t>
            </w:r>
          </w:p>
        </w:tc>
      </w:tr>
      <w:tr w:rsidR="00BD006D" w:rsidRPr="00C16F3C" w14:paraId="5D479923" w14:textId="77777777" w:rsidTr="00525475">
        <w:trPr>
          <w:jc w:val="center"/>
        </w:trPr>
        <w:tc>
          <w:tcPr>
            <w:tcW w:w="1843" w:type="dxa"/>
            <w:tcBorders>
              <w:top w:val="nil"/>
              <w:bottom w:val="nil"/>
            </w:tcBorders>
          </w:tcPr>
          <w:p w14:paraId="5AEB24EF"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11-15</w:t>
            </w:r>
          </w:p>
        </w:tc>
        <w:tc>
          <w:tcPr>
            <w:tcW w:w="2693" w:type="dxa"/>
            <w:tcBorders>
              <w:top w:val="nil"/>
              <w:bottom w:val="nil"/>
            </w:tcBorders>
          </w:tcPr>
          <w:p w14:paraId="09F4C230"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Fairly Satisfactory</w:t>
            </w:r>
          </w:p>
        </w:tc>
        <w:tc>
          <w:tcPr>
            <w:tcW w:w="1134" w:type="dxa"/>
            <w:tcBorders>
              <w:top w:val="nil"/>
              <w:bottom w:val="nil"/>
            </w:tcBorders>
          </w:tcPr>
          <w:p w14:paraId="0DCA6B5B"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10</w:t>
            </w:r>
          </w:p>
        </w:tc>
        <w:tc>
          <w:tcPr>
            <w:tcW w:w="993" w:type="dxa"/>
            <w:tcBorders>
              <w:top w:val="nil"/>
              <w:bottom w:val="nil"/>
            </w:tcBorders>
          </w:tcPr>
          <w:p w14:paraId="29853337"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23.82</w:t>
            </w:r>
          </w:p>
        </w:tc>
        <w:tc>
          <w:tcPr>
            <w:tcW w:w="992" w:type="dxa"/>
            <w:tcBorders>
              <w:top w:val="nil"/>
              <w:bottom w:val="nil"/>
            </w:tcBorders>
          </w:tcPr>
          <w:p w14:paraId="760A7E7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w:t>
            </w:r>
          </w:p>
        </w:tc>
        <w:tc>
          <w:tcPr>
            <w:tcW w:w="975" w:type="dxa"/>
            <w:tcBorders>
              <w:top w:val="nil"/>
              <w:bottom w:val="nil"/>
            </w:tcBorders>
          </w:tcPr>
          <w:p w14:paraId="0BA1E7D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45.24</w:t>
            </w:r>
          </w:p>
        </w:tc>
      </w:tr>
      <w:tr w:rsidR="00BD006D" w:rsidRPr="00C16F3C" w14:paraId="6556DDAF" w14:textId="77777777" w:rsidTr="00525475">
        <w:trPr>
          <w:jc w:val="center"/>
        </w:trPr>
        <w:tc>
          <w:tcPr>
            <w:tcW w:w="1843" w:type="dxa"/>
            <w:tcBorders>
              <w:top w:val="nil"/>
              <w:bottom w:val="nil"/>
            </w:tcBorders>
          </w:tcPr>
          <w:p w14:paraId="1ECACDDA"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 xml:space="preserve">10 and </w:t>
            </w:r>
            <w:proofErr w:type="gramStart"/>
            <w:r w:rsidRPr="00C16F3C">
              <w:rPr>
                <w:rFonts w:ascii="Times New Roman" w:hAnsi="Times New Roman"/>
                <w:sz w:val="20"/>
                <w:szCs w:val="20"/>
              </w:rPr>
              <w:t>Below</w:t>
            </w:r>
            <w:proofErr w:type="gramEnd"/>
          </w:p>
        </w:tc>
        <w:tc>
          <w:tcPr>
            <w:tcW w:w="2693" w:type="dxa"/>
            <w:tcBorders>
              <w:top w:val="nil"/>
              <w:bottom w:val="nil"/>
            </w:tcBorders>
          </w:tcPr>
          <w:p w14:paraId="6547DA84"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Poor</w:t>
            </w:r>
          </w:p>
        </w:tc>
        <w:tc>
          <w:tcPr>
            <w:tcW w:w="1134" w:type="dxa"/>
            <w:tcBorders>
              <w:top w:val="nil"/>
              <w:bottom w:val="nil"/>
            </w:tcBorders>
          </w:tcPr>
          <w:p w14:paraId="1096EE3F"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27</w:t>
            </w:r>
          </w:p>
        </w:tc>
        <w:tc>
          <w:tcPr>
            <w:tcW w:w="993" w:type="dxa"/>
            <w:tcBorders>
              <w:top w:val="nil"/>
              <w:bottom w:val="nil"/>
            </w:tcBorders>
          </w:tcPr>
          <w:p w14:paraId="093E96C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64.29</w:t>
            </w:r>
          </w:p>
        </w:tc>
        <w:tc>
          <w:tcPr>
            <w:tcW w:w="992" w:type="dxa"/>
            <w:tcBorders>
              <w:top w:val="nil"/>
              <w:bottom w:val="nil"/>
            </w:tcBorders>
          </w:tcPr>
          <w:p w14:paraId="412AB9A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8</w:t>
            </w:r>
          </w:p>
        </w:tc>
        <w:tc>
          <w:tcPr>
            <w:tcW w:w="975" w:type="dxa"/>
            <w:tcBorders>
              <w:top w:val="nil"/>
              <w:bottom w:val="nil"/>
            </w:tcBorders>
          </w:tcPr>
          <w:p w14:paraId="1F218E2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19.05</w:t>
            </w:r>
          </w:p>
        </w:tc>
      </w:tr>
      <w:tr w:rsidR="00BD006D" w:rsidRPr="00C16F3C" w14:paraId="5C7111A1" w14:textId="77777777" w:rsidTr="00525475">
        <w:trPr>
          <w:jc w:val="center"/>
        </w:trPr>
        <w:tc>
          <w:tcPr>
            <w:tcW w:w="1843" w:type="dxa"/>
            <w:tcBorders>
              <w:top w:val="nil"/>
              <w:bottom w:val="single" w:sz="18" w:space="0" w:color="auto"/>
            </w:tcBorders>
          </w:tcPr>
          <w:p w14:paraId="50835DE9" w14:textId="77777777" w:rsidR="00BD006D" w:rsidRPr="00C16F3C" w:rsidRDefault="00BD006D" w:rsidP="00525475">
            <w:pPr>
              <w:spacing w:after="0" w:line="360" w:lineRule="auto"/>
              <w:rPr>
                <w:rFonts w:ascii="Times New Roman" w:hAnsi="Times New Roman"/>
                <w:sz w:val="20"/>
                <w:szCs w:val="20"/>
              </w:rPr>
            </w:pPr>
          </w:p>
        </w:tc>
        <w:tc>
          <w:tcPr>
            <w:tcW w:w="2693" w:type="dxa"/>
            <w:tcBorders>
              <w:top w:val="nil"/>
              <w:bottom w:val="single" w:sz="18" w:space="0" w:color="auto"/>
            </w:tcBorders>
          </w:tcPr>
          <w:p w14:paraId="5AB69D98"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Total</w:t>
            </w:r>
          </w:p>
        </w:tc>
        <w:tc>
          <w:tcPr>
            <w:tcW w:w="1134" w:type="dxa"/>
            <w:tcBorders>
              <w:top w:val="nil"/>
              <w:bottom w:val="single" w:sz="18" w:space="0" w:color="auto"/>
            </w:tcBorders>
          </w:tcPr>
          <w:p w14:paraId="2AC8A3EA"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42</w:t>
            </w:r>
          </w:p>
        </w:tc>
        <w:tc>
          <w:tcPr>
            <w:tcW w:w="993" w:type="dxa"/>
            <w:tcBorders>
              <w:top w:val="nil"/>
              <w:bottom w:val="single" w:sz="18" w:space="0" w:color="auto"/>
            </w:tcBorders>
          </w:tcPr>
          <w:p w14:paraId="6E451DB9"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100.00</w:t>
            </w:r>
          </w:p>
        </w:tc>
        <w:tc>
          <w:tcPr>
            <w:tcW w:w="992" w:type="dxa"/>
            <w:tcBorders>
              <w:top w:val="nil"/>
              <w:bottom w:val="single" w:sz="18" w:space="0" w:color="auto"/>
            </w:tcBorders>
          </w:tcPr>
          <w:p w14:paraId="6C923A9D"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42</w:t>
            </w:r>
          </w:p>
        </w:tc>
        <w:tc>
          <w:tcPr>
            <w:tcW w:w="975" w:type="dxa"/>
            <w:tcBorders>
              <w:top w:val="nil"/>
              <w:bottom w:val="single" w:sz="18" w:space="0" w:color="auto"/>
            </w:tcBorders>
          </w:tcPr>
          <w:p w14:paraId="40DF9557"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100.00</w:t>
            </w:r>
          </w:p>
        </w:tc>
      </w:tr>
      <w:bookmarkEnd w:id="0"/>
    </w:tbl>
    <w:p w14:paraId="78BE4452" w14:textId="77777777" w:rsidR="00BD006D" w:rsidRDefault="00BD006D" w:rsidP="00BD006D">
      <w:pPr>
        <w:spacing w:after="0" w:line="240" w:lineRule="auto"/>
        <w:jc w:val="both"/>
        <w:rPr>
          <w:rFonts w:ascii="Arial" w:hAnsi="Arial" w:cs="Arial"/>
        </w:rPr>
      </w:pPr>
    </w:p>
    <w:p w14:paraId="36500124"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Table 5 presents the pre-test and post-test results for students in the control group, who were taught using conventional instructional methods without the study guide. The pre-test results reveal that </w:t>
      </w:r>
      <w:proofErr w:type="gramStart"/>
      <w:r w:rsidRPr="00BD006D">
        <w:rPr>
          <w:rFonts w:ascii="Times New Roman" w:hAnsi="Times New Roman"/>
          <w:sz w:val="24"/>
          <w:szCs w:val="24"/>
        </w:rPr>
        <w:t>a majority of</w:t>
      </w:r>
      <w:proofErr w:type="gramEnd"/>
      <w:r w:rsidRPr="00BD006D">
        <w:rPr>
          <w:rFonts w:ascii="Times New Roman" w:hAnsi="Times New Roman"/>
          <w:sz w:val="24"/>
          <w:szCs w:val="24"/>
        </w:rPr>
        <w:t xml:space="preserve"> students started with low performance: 64.29% scored “Poor” (10 or below), 23.82% scored “Fairly Satisfactory” (11–15), and only 9.52% scored “Satisfactory” (16–20). Only 2.38% attained the “Very Satisfactory” level, and no students reached the “Outstanding” category. These findings indicate limited initial mastery of Genetics concepts among the control group, consistent with Filipino studies showing that students often have misconceptions and knowledge gaps in genetics prior to targeted interventions (</w:t>
      </w:r>
      <w:proofErr w:type="spellStart"/>
      <w:r w:rsidRPr="00BD006D">
        <w:rPr>
          <w:rFonts w:ascii="Times New Roman" w:hAnsi="Times New Roman"/>
          <w:sz w:val="24"/>
          <w:szCs w:val="24"/>
        </w:rPr>
        <w:t>Rogayan</w:t>
      </w:r>
      <w:proofErr w:type="spellEnd"/>
      <w:r w:rsidRPr="00BD006D">
        <w:rPr>
          <w:rFonts w:ascii="Times New Roman" w:hAnsi="Times New Roman"/>
          <w:sz w:val="24"/>
          <w:szCs w:val="24"/>
        </w:rPr>
        <w:t xml:space="preserve"> &amp; Albino, 2019).</w:t>
      </w:r>
    </w:p>
    <w:p w14:paraId="36488597" w14:textId="77777777" w:rsidR="00BD006D" w:rsidRPr="00BD006D" w:rsidRDefault="00BD006D" w:rsidP="00BD006D">
      <w:pPr>
        <w:spacing w:after="0" w:line="240" w:lineRule="auto"/>
        <w:jc w:val="both"/>
        <w:rPr>
          <w:rFonts w:ascii="Times New Roman" w:hAnsi="Times New Roman"/>
          <w:sz w:val="24"/>
          <w:szCs w:val="24"/>
        </w:rPr>
      </w:pPr>
    </w:p>
    <w:p w14:paraId="1739BE96"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Following conventional instruction, the post-test results indicate some improvement, though less pronounced than in the experimental group. Only 2.38% of students reached the “Outstanding” category, while 14.29% were “Very Satisfactory”, 19.05% “Satisfactory”, and 45.24% “Fairly Satisfactory”. Notably, 19.05% of students remained in the “Poor” category, indicating that some learners continued to struggle despite traditional teaching methods. These results suggest that while conventional instruction contributes to learning gains, it may not be as effective at helping students achieve higher-order understanding or fully master Genetics concepts.</w:t>
      </w:r>
    </w:p>
    <w:p w14:paraId="1D5133F8" w14:textId="77777777" w:rsidR="00BD006D" w:rsidRPr="00BD006D" w:rsidRDefault="00BD006D" w:rsidP="00BD006D">
      <w:pPr>
        <w:spacing w:after="0" w:line="240" w:lineRule="auto"/>
        <w:jc w:val="both"/>
        <w:rPr>
          <w:rFonts w:ascii="Times New Roman" w:hAnsi="Times New Roman"/>
          <w:sz w:val="24"/>
          <w:szCs w:val="24"/>
        </w:rPr>
      </w:pPr>
    </w:p>
    <w:p w14:paraId="4F4382C4"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The contrast between the pre-test and post-test distributions indicates that conventional teaching methods improved performance particularly in moving students from “Poor” to “Fairly Satisfactory” and “Satisfactory.” However, the gains were smaller than those observed in the experimental group that used the study guide. This pattern underscores the importance of enhanced instructional materials that actively support learning, engagement, and higher-order cognitive development. Generally, the control group’s findings indicate that conventional instruction provides some knowledge gains but may not sufficiently support students in achieving mastery or reaching higher performance levels.</w:t>
      </w:r>
    </w:p>
    <w:p w14:paraId="25F838F6" w14:textId="77777777" w:rsidR="00BD006D" w:rsidRDefault="00BD006D" w:rsidP="00BD006D">
      <w:pPr>
        <w:spacing w:after="0" w:line="240" w:lineRule="auto"/>
        <w:jc w:val="both"/>
        <w:rPr>
          <w:rFonts w:ascii="Times New Roman" w:hAnsi="Times New Roman"/>
          <w:sz w:val="24"/>
          <w:szCs w:val="24"/>
        </w:rPr>
      </w:pPr>
    </w:p>
    <w:p w14:paraId="33AA5709" w14:textId="77777777" w:rsidR="00BD006D" w:rsidRDefault="00BD006D" w:rsidP="00BD006D">
      <w:pPr>
        <w:spacing w:after="0" w:line="240" w:lineRule="auto"/>
        <w:jc w:val="both"/>
        <w:rPr>
          <w:rFonts w:ascii="Times New Roman" w:hAnsi="Times New Roman"/>
          <w:sz w:val="24"/>
          <w:szCs w:val="24"/>
        </w:rPr>
      </w:pPr>
    </w:p>
    <w:p w14:paraId="28D9BA7B"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6</w:t>
      </w:r>
    </w:p>
    <w:p w14:paraId="43D3BBBA" w14:textId="77777777" w:rsidR="00BD006D" w:rsidRPr="001239F4" w:rsidRDefault="00BD006D" w:rsidP="00BD006D">
      <w:pPr>
        <w:spacing w:after="0" w:line="240" w:lineRule="auto"/>
        <w:jc w:val="center"/>
        <w:rPr>
          <w:rFonts w:ascii="Times New Roman" w:hAnsi="Times New Roman"/>
        </w:rPr>
      </w:pPr>
      <w:r w:rsidRPr="001239F4">
        <w:rPr>
          <w:rFonts w:ascii="Times New Roman" w:hAnsi="Times New Roman"/>
          <w:sz w:val="24"/>
          <w:szCs w:val="24"/>
        </w:rPr>
        <w:t>Pre-Test and Post-Test Results of Students from the Experimental Group</w:t>
      </w:r>
    </w:p>
    <w:p w14:paraId="2CD5AD82" w14:textId="77777777" w:rsidR="00BD006D" w:rsidRPr="001239F4" w:rsidRDefault="00BD006D" w:rsidP="00BD006D">
      <w:pPr>
        <w:spacing w:after="0" w:line="240" w:lineRule="auto"/>
        <w:jc w:val="center"/>
        <w:rPr>
          <w:rFonts w:ascii="Times New Roman" w:hAnsi="Times New Roman"/>
        </w:rPr>
      </w:pPr>
    </w:p>
    <w:tbl>
      <w:tblPr>
        <w:tblpPr w:leftFromText="180" w:rightFromText="180" w:vertAnchor="text" w:horzAnchor="margin" w:tblpXSpec="center" w:tblpY="119"/>
        <w:tblW w:w="0" w:type="auto"/>
        <w:tblBorders>
          <w:top w:val="single" w:sz="18" w:space="0" w:color="auto"/>
          <w:bottom w:val="single" w:sz="18" w:space="0" w:color="auto"/>
        </w:tblBorders>
        <w:tblLook w:val="04A0" w:firstRow="1" w:lastRow="0" w:firstColumn="1" w:lastColumn="0" w:noHBand="0" w:noVBand="1"/>
      </w:tblPr>
      <w:tblGrid>
        <w:gridCol w:w="1843"/>
        <w:gridCol w:w="2693"/>
        <w:gridCol w:w="1134"/>
        <w:gridCol w:w="993"/>
        <w:gridCol w:w="992"/>
        <w:gridCol w:w="975"/>
      </w:tblGrid>
      <w:tr w:rsidR="00BD006D" w:rsidRPr="001239F4" w14:paraId="225DBFDA" w14:textId="77777777" w:rsidTr="00525475">
        <w:tc>
          <w:tcPr>
            <w:tcW w:w="1843" w:type="dxa"/>
            <w:vMerge w:val="restart"/>
            <w:vAlign w:val="center"/>
          </w:tcPr>
          <w:p w14:paraId="1C6E0D06"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Scores</w:t>
            </w:r>
          </w:p>
        </w:tc>
        <w:tc>
          <w:tcPr>
            <w:tcW w:w="2693" w:type="dxa"/>
            <w:vMerge w:val="restart"/>
            <w:vAlign w:val="center"/>
          </w:tcPr>
          <w:p w14:paraId="44F66CE1"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Descriptor</w:t>
            </w:r>
          </w:p>
        </w:tc>
        <w:tc>
          <w:tcPr>
            <w:tcW w:w="2127" w:type="dxa"/>
            <w:gridSpan w:val="2"/>
          </w:tcPr>
          <w:p w14:paraId="3CBBDB71"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Pre-Test</w:t>
            </w:r>
          </w:p>
        </w:tc>
        <w:tc>
          <w:tcPr>
            <w:tcW w:w="1967" w:type="dxa"/>
            <w:gridSpan w:val="2"/>
          </w:tcPr>
          <w:p w14:paraId="0DDE4084"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Post-Test</w:t>
            </w:r>
          </w:p>
        </w:tc>
      </w:tr>
      <w:tr w:rsidR="00BD006D" w:rsidRPr="001239F4" w14:paraId="3948E952" w14:textId="77777777" w:rsidTr="00525475">
        <w:tc>
          <w:tcPr>
            <w:tcW w:w="1843" w:type="dxa"/>
            <w:vMerge/>
            <w:tcBorders>
              <w:bottom w:val="single" w:sz="18" w:space="0" w:color="auto"/>
            </w:tcBorders>
            <w:vAlign w:val="center"/>
          </w:tcPr>
          <w:p w14:paraId="0195D502" w14:textId="77777777" w:rsidR="00BD006D" w:rsidRPr="001239F4" w:rsidRDefault="00BD006D" w:rsidP="00525475">
            <w:pPr>
              <w:spacing w:after="0" w:line="240" w:lineRule="auto"/>
              <w:jc w:val="center"/>
              <w:rPr>
                <w:rFonts w:ascii="Times New Roman" w:hAnsi="Times New Roman"/>
                <w:b/>
                <w:bCs/>
                <w:sz w:val="20"/>
                <w:szCs w:val="20"/>
              </w:rPr>
            </w:pPr>
          </w:p>
        </w:tc>
        <w:tc>
          <w:tcPr>
            <w:tcW w:w="2693" w:type="dxa"/>
            <w:vMerge/>
            <w:tcBorders>
              <w:bottom w:val="single" w:sz="18" w:space="0" w:color="auto"/>
            </w:tcBorders>
          </w:tcPr>
          <w:p w14:paraId="6C1953CA" w14:textId="77777777" w:rsidR="00BD006D" w:rsidRPr="001239F4" w:rsidRDefault="00BD006D" w:rsidP="00525475">
            <w:pPr>
              <w:spacing w:after="0" w:line="240" w:lineRule="auto"/>
              <w:jc w:val="center"/>
              <w:rPr>
                <w:rFonts w:ascii="Times New Roman" w:hAnsi="Times New Roman"/>
                <w:b/>
                <w:bCs/>
                <w:sz w:val="20"/>
                <w:szCs w:val="20"/>
              </w:rPr>
            </w:pPr>
          </w:p>
        </w:tc>
        <w:tc>
          <w:tcPr>
            <w:tcW w:w="1134" w:type="dxa"/>
            <w:tcBorders>
              <w:bottom w:val="single" w:sz="18" w:space="0" w:color="auto"/>
            </w:tcBorders>
          </w:tcPr>
          <w:p w14:paraId="22B050B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f</w:t>
            </w:r>
          </w:p>
        </w:tc>
        <w:tc>
          <w:tcPr>
            <w:tcW w:w="993" w:type="dxa"/>
            <w:tcBorders>
              <w:bottom w:val="single" w:sz="18" w:space="0" w:color="auto"/>
            </w:tcBorders>
          </w:tcPr>
          <w:p w14:paraId="611543E3"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w:t>
            </w:r>
          </w:p>
        </w:tc>
        <w:tc>
          <w:tcPr>
            <w:tcW w:w="992" w:type="dxa"/>
            <w:tcBorders>
              <w:bottom w:val="single" w:sz="18" w:space="0" w:color="auto"/>
            </w:tcBorders>
          </w:tcPr>
          <w:p w14:paraId="07DA394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f</w:t>
            </w:r>
          </w:p>
        </w:tc>
        <w:tc>
          <w:tcPr>
            <w:tcW w:w="975" w:type="dxa"/>
            <w:tcBorders>
              <w:bottom w:val="single" w:sz="18" w:space="0" w:color="auto"/>
            </w:tcBorders>
          </w:tcPr>
          <w:p w14:paraId="59D41C2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w:t>
            </w:r>
          </w:p>
        </w:tc>
      </w:tr>
      <w:tr w:rsidR="00BD006D" w:rsidRPr="001239F4" w14:paraId="22AC00F6" w14:textId="77777777" w:rsidTr="00525475">
        <w:tc>
          <w:tcPr>
            <w:tcW w:w="1843" w:type="dxa"/>
            <w:tcBorders>
              <w:top w:val="single" w:sz="18" w:space="0" w:color="auto"/>
              <w:bottom w:val="nil"/>
            </w:tcBorders>
          </w:tcPr>
          <w:p w14:paraId="3D2BD0DF"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26-30</w:t>
            </w:r>
          </w:p>
        </w:tc>
        <w:tc>
          <w:tcPr>
            <w:tcW w:w="2693" w:type="dxa"/>
            <w:tcBorders>
              <w:top w:val="single" w:sz="18" w:space="0" w:color="auto"/>
              <w:bottom w:val="nil"/>
            </w:tcBorders>
          </w:tcPr>
          <w:p w14:paraId="54F8CBEF"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Outstanding</w:t>
            </w:r>
          </w:p>
        </w:tc>
        <w:tc>
          <w:tcPr>
            <w:tcW w:w="1134" w:type="dxa"/>
            <w:tcBorders>
              <w:top w:val="single" w:sz="18" w:space="0" w:color="auto"/>
              <w:bottom w:val="nil"/>
            </w:tcBorders>
          </w:tcPr>
          <w:p w14:paraId="67B4704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w:t>
            </w:r>
          </w:p>
        </w:tc>
        <w:tc>
          <w:tcPr>
            <w:tcW w:w="993" w:type="dxa"/>
            <w:tcBorders>
              <w:top w:val="single" w:sz="18" w:space="0" w:color="auto"/>
              <w:bottom w:val="nil"/>
            </w:tcBorders>
          </w:tcPr>
          <w:p w14:paraId="1043650D"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0.00</w:t>
            </w:r>
          </w:p>
        </w:tc>
        <w:tc>
          <w:tcPr>
            <w:tcW w:w="992" w:type="dxa"/>
            <w:tcBorders>
              <w:top w:val="single" w:sz="18" w:space="0" w:color="auto"/>
              <w:bottom w:val="nil"/>
            </w:tcBorders>
          </w:tcPr>
          <w:p w14:paraId="04886BBC"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6</w:t>
            </w:r>
          </w:p>
        </w:tc>
        <w:tc>
          <w:tcPr>
            <w:tcW w:w="975" w:type="dxa"/>
            <w:tcBorders>
              <w:top w:val="single" w:sz="18" w:space="0" w:color="auto"/>
              <w:bottom w:val="nil"/>
            </w:tcBorders>
          </w:tcPr>
          <w:p w14:paraId="0099AD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14.29</w:t>
            </w:r>
          </w:p>
        </w:tc>
      </w:tr>
      <w:tr w:rsidR="00BD006D" w:rsidRPr="001239F4" w14:paraId="26CA94AA" w14:textId="77777777" w:rsidTr="00525475">
        <w:tc>
          <w:tcPr>
            <w:tcW w:w="1843" w:type="dxa"/>
            <w:tcBorders>
              <w:top w:val="nil"/>
              <w:bottom w:val="nil"/>
            </w:tcBorders>
          </w:tcPr>
          <w:p w14:paraId="3BAD9F28"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21-25</w:t>
            </w:r>
          </w:p>
        </w:tc>
        <w:tc>
          <w:tcPr>
            <w:tcW w:w="2693" w:type="dxa"/>
            <w:tcBorders>
              <w:top w:val="nil"/>
              <w:bottom w:val="nil"/>
            </w:tcBorders>
          </w:tcPr>
          <w:p w14:paraId="0EBF92F2"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Very Satisfactory</w:t>
            </w:r>
          </w:p>
        </w:tc>
        <w:tc>
          <w:tcPr>
            <w:tcW w:w="1134" w:type="dxa"/>
            <w:tcBorders>
              <w:top w:val="nil"/>
              <w:bottom w:val="nil"/>
            </w:tcBorders>
          </w:tcPr>
          <w:p w14:paraId="6674FB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w:t>
            </w:r>
          </w:p>
        </w:tc>
        <w:tc>
          <w:tcPr>
            <w:tcW w:w="993" w:type="dxa"/>
            <w:tcBorders>
              <w:top w:val="nil"/>
              <w:bottom w:val="nil"/>
            </w:tcBorders>
          </w:tcPr>
          <w:p w14:paraId="30EB94B3"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0.00</w:t>
            </w:r>
          </w:p>
        </w:tc>
        <w:tc>
          <w:tcPr>
            <w:tcW w:w="992" w:type="dxa"/>
            <w:tcBorders>
              <w:top w:val="nil"/>
              <w:bottom w:val="nil"/>
            </w:tcBorders>
          </w:tcPr>
          <w:p w14:paraId="58B47297"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8</w:t>
            </w:r>
          </w:p>
        </w:tc>
        <w:tc>
          <w:tcPr>
            <w:tcW w:w="975" w:type="dxa"/>
            <w:tcBorders>
              <w:top w:val="nil"/>
              <w:bottom w:val="nil"/>
            </w:tcBorders>
          </w:tcPr>
          <w:p w14:paraId="1D9CE359"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19.05</w:t>
            </w:r>
          </w:p>
        </w:tc>
      </w:tr>
      <w:tr w:rsidR="00BD006D" w:rsidRPr="001239F4" w14:paraId="4806A002" w14:textId="77777777" w:rsidTr="00525475">
        <w:tc>
          <w:tcPr>
            <w:tcW w:w="1843" w:type="dxa"/>
            <w:tcBorders>
              <w:top w:val="nil"/>
              <w:bottom w:val="nil"/>
            </w:tcBorders>
          </w:tcPr>
          <w:p w14:paraId="44B6149A"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16-20</w:t>
            </w:r>
          </w:p>
        </w:tc>
        <w:tc>
          <w:tcPr>
            <w:tcW w:w="2693" w:type="dxa"/>
            <w:tcBorders>
              <w:top w:val="nil"/>
              <w:bottom w:val="nil"/>
            </w:tcBorders>
          </w:tcPr>
          <w:p w14:paraId="18411F6E"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Satisfactory</w:t>
            </w:r>
          </w:p>
        </w:tc>
        <w:tc>
          <w:tcPr>
            <w:tcW w:w="1134" w:type="dxa"/>
            <w:tcBorders>
              <w:top w:val="nil"/>
              <w:bottom w:val="nil"/>
            </w:tcBorders>
          </w:tcPr>
          <w:p w14:paraId="155F7D6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5</w:t>
            </w:r>
          </w:p>
        </w:tc>
        <w:tc>
          <w:tcPr>
            <w:tcW w:w="993" w:type="dxa"/>
            <w:tcBorders>
              <w:top w:val="nil"/>
              <w:bottom w:val="nil"/>
            </w:tcBorders>
          </w:tcPr>
          <w:p w14:paraId="0B59B17B"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11.91</w:t>
            </w:r>
          </w:p>
        </w:tc>
        <w:tc>
          <w:tcPr>
            <w:tcW w:w="992" w:type="dxa"/>
            <w:tcBorders>
              <w:top w:val="nil"/>
              <w:bottom w:val="nil"/>
            </w:tcBorders>
          </w:tcPr>
          <w:p w14:paraId="0AFA7ADA"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w:t>
            </w:r>
          </w:p>
        </w:tc>
        <w:tc>
          <w:tcPr>
            <w:tcW w:w="975" w:type="dxa"/>
            <w:tcBorders>
              <w:top w:val="nil"/>
              <w:bottom w:val="nil"/>
            </w:tcBorders>
          </w:tcPr>
          <w:p w14:paraId="4647B564"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35.71</w:t>
            </w:r>
          </w:p>
        </w:tc>
      </w:tr>
      <w:tr w:rsidR="00BD006D" w:rsidRPr="001239F4" w14:paraId="5CDA8DEF" w14:textId="77777777" w:rsidTr="00525475">
        <w:tc>
          <w:tcPr>
            <w:tcW w:w="1843" w:type="dxa"/>
            <w:tcBorders>
              <w:top w:val="nil"/>
              <w:bottom w:val="nil"/>
            </w:tcBorders>
          </w:tcPr>
          <w:p w14:paraId="41354F08"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11-15</w:t>
            </w:r>
          </w:p>
        </w:tc>
        <w:tc>
          <w:tcPr>
            <w:tcW w:w="2693" w:type="dxa"/>
            <w:tcBorders>
              <w:top w:val="nil"/>
              <w:bottom w:val="nil"/>
            </w:tcBorders>
          </w:tcPr>
          <w:p w14:paraId="3525CBBC"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Fairly Satisfactory</w:t>
            </w:r>
          </w:p>
        </w:tc>
        <w:tc>
          <w:tcPr>
            <w:tcW w:w="1134" w:type="dxa"/>
            <w:tcBorders>
              <w:top w:val="nil"/>
              <w:bottom w:val="nil"/>
            </w:tcBorders>
          </w:tcPr>
          <w:p w14:paraId="0605BF5F"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13</w:t>
            </w:r>
          </w:p>
        </w:tc>
        <w:tc>
          <w:tcPr>
            <w:tcW w:w="993" w:type="dxa"/>
            <w:tcBorders>
              <w:top w:val="nil"/>
              <w:bottom w:val="nil"/>
            </w:tcBorders>
          </w:tcPr>
          <w:p w14:paraId="258B4B59"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30.95</w:t>
            </w:r>
          </w:p>
        </w:tc>
        <w:tc>
          <w:tcPr>
            <w:tcW w:w="992" w:type="dxa"/>
            <w:tcBorders>
              <w:top w:val="nil"/>
              <w:bottom w:val="nil"/>
            </w:tcBorders>
          </w:tcPr>
          <w:p w14:paraId="6BD652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12</w:t>
            </w:r>
          </w:p>
        </w:tc>
        <w:tc>
          <w:tcPr>
            <w:tcW w:w="975" w:type="dxa"/>
            <w:tcBorders>
              <w:top w:val="nil"/>
              <w:bottom w:val="nil"/>
            </w:tcBorders>
          </w:tcPr>
          <w:p w14:paraId="18324DAC"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28.57</w:t>
            </w:r>
          </w:p>
        </w:tc>
      </w:tr>
      <w:tr w:rsidR="00BD006D" w:rsidRPr="001239F4" w14:paraId="5060B1E7" w14:textId="77777777" w:rsidTr="00525475">
        <w:tc>
          <w:tcPr>
            <w:tcW w:w="1843" w:type="dxa"/>
            <w:tcBorders>
              <w:top w:val="nil"/>
              <w:bottom w:val="nil"/>
            </w:tcBorders>
          </w:tcPr>
          <w:p w14:paraId="4783EA7B"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 xml:space="preserve">10 and </w:t>
            </w:r>
            <w:proofErr w:type="gramStart"/>
            <w:r w:rsidRPr="001239F4">
              <w:rPr>
                <w:rFonts w:ascii="Times New Roman" w:hAnsi="Times New Roman"/>
                <w:sz w:val="20"/>
                <w:szCs w:val="20"/>
              </w:rPr>
              <w:t>Below</w:t>
            </w:r>
            <w:proofErr w:type="gramEnd"/>
          </w:p>
        </w:tc>
        <w:tc>
          <w:tcPr>
            <w:tcW w:w="2693" w:type="dxa"/>
            <w:tcBorders>
              <w:top w:val="nil"/>
              <w:bottom w:val="nil"/>
            </w:tcBorders>
          </w:tcPr>
          <w:p w14:paraId="2AC756AA"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Poor</w:t>
            </w:r>
          </w:p>
        </w:tc>
        <w:tc>
          <w:tcPr>
            <w:tcW w:w="1134" w:type="dxa"/>
            <w:tcBorders>
              <w:top w:val="nil"/>
              <w:bottom w:val="nil"/>
            </w:tcBorders>
          </w:tcPr>
          <w:p w14:paraId="3C547367"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24</w:t>
            </w:r>
          </w:p>
        </w:tc>
        <w:tc>
          <w:tcPr>
            <w:tcW w:w="993" w:type="dxa"/>
            <w:tcBorders>
              <w:top w:val="nil"/>
              <w:bottom w:val="nil"/>
            </w:tcBorders>
          </w:tcPr>
          <w:p w14:paraId="0EDC0060"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57.14</w:t>
            </w:r>
          </w:p>
        </w:tc>
        <w:tc>
          <w:tcPr>
            <w:tcW w:w="992" w:type="dxa"/>
            <w:tcBorders>
              <w:top w:val="nil"/>
              <w:bottom w:val="nil"/>
            </w:tcBorders>
          </w:tcPr>
          <w:p w14:paraId="2907211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w:t>
            </w:r>
          </w:p>
        </w:tc>
        <w:tc>
          <w:tcPr>
            <w:tcW w:w="975" w:type="dxa"/>
            <w:tcBorders>
              <w:top w:val="nil"/>
              <w:bottom w:val="nil"/>
            </w:tcBorders>
          </w:tcPr>
          <w:p w14:paraId="118C59E0"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2.38</w:t>
            </w:r>
          </w:p>
        </w:tc>
      </w:tr>
      <w:tr w:rsidR="00BD006D" w:rsidRPr="001239F4" w14:paraId="36FEE6C1" w14:textId="77777777" w:rsidTr="00525475">
        <w:tc>
          <w:tcPr>
            <w:tcW w:w="1843" w:type="dxa"/>
            <w:tcBorders>
              <w:top w:val="nil"/>
              <w:bottom w:val="single" w:sz="18" w:space="0" w:color="auto"/>
            </w:tcBorders>
          </w:tcPr>
          <w:p w14:paraId="2895C85B" w14:textId="77777777" w:rsidR="00BD006D" w:rsidRPr="001239F4" w:rsidRDefault="00BD006D" w:rsidP="00525475">
            <w:pPr>
              <w:spacing w:after="0" w:line="240" w:lineRule="auto"/>
              <w:rPr>
                <w:rFonts w:ascii="Times New Roman" w:hAnsi="Times New Roman"/>
                <w:sz w:val="20"/>
                <w:szCs w:val="20"/>
              </w:rPr>
            </w:pPr>
          </w:p>
        </w:tc>
        <w:tc>
          <w:tcPr>
            <w:tcW w:w="2693" w:type="dxa"/>
            <w:tcBorders>
              <w:top w:val="nil"/>
              <w:bottom w:val="single" w:sz="18" w:space="0" w:color="auto"/>
            </w:tcBorders>
          </w:tcPr>
          <w:p w14:paraId="153411F2"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Total</w:t>
            </w:r>
          </w:p>
        </w:tc>
        <w:tc>
          <w:tcPr>
            <w:tcW w:w="1134" w:type="dxa"/>
            <w:tcBorders>
              <w:top w:val="nil"/>
              <w:bottom w:val="single" w:sz="18" w:space="0" w:color="auto"/>
            </w:tcBorders>
          </w:tcPr>
          <w:p w14:paraId="09A11DF3"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42</w:t>
            </w:r>
          </w:p>
        </w:tc>
        <w:tc>
          <w:tcPr>
            <w:tcW w:w="993" w:type="dxa"/>
            <w:tcBorders>
              <w:top w:val="nil"/>
              <w:bottom w:val="single" w:sz="18" w:space="0" w:color="auto"/>
            </w:tcBorders>
          </w:tcPr>
          <w:p w14:paraId="0506AD20"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100.00</w:t>
            </w:r>
          </w:p>
        </w:tc>
        <w:tc>
          <w:tcPr>
            <w:tcW w:w="992" w:type="dxa"/>
            <w:tcBorders>
              <w:top w:val="nil"/>
              <w:bottom w:val="single" w:sz="18" w:space="0" w:color="auto"/>
            </w:tcBorders>
          </w:tcPr>
          <w:p w14:paraId="6C2C60CA"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42</w:t>
            </w:r>
          </w:p>
        </w:tc>
        <w:tc>
          <w:tcPr>
            <w:tcW w:w="975" w:type="dxa"/>
            <w:tcBorders>
              <w:top w:val="nil"/>
              <w:bottom w:val="single" w:sz="18" w:space="0" w:color="auto"/>
            </w:tcBorders>
          </w:tcPr>
          <w:p w14:paraId="7D8A201D"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100.00</w:t>
            </w:r>
          </w:p>
        </w:tc>
      </w:tr>
    </w:tbl>
    <w:p w14:paraId="6BE75B71" w14:textId="77777777" w:rsidR="00BD006D" w:rsidRPr="001239F4" w:rsidRDefault="00BD006D" w:rsidP="00BD006D">
      <w:pPr>
        <w:spacing w:after="0" w:line="240" w:lineRule="auto"/>
        <w:jc w:val="center"/>
        <w:rPr>
          <w:rFonts w:ascii="Times New Roman" w:hAnsi="Times New Roman"/>
        </w:rPr>
      </w:pPr>
    </w:p>
    <w:p w14:paraId="25ABFC62" w14:textId="77777777" w:rsidR="00BD006D" w:rsidRPr="001239F4" w:rsidRDefault="00BD006D" w:rsidP="00BD006D">
      <w:pPr>
        <w:rPr>
          <w:rFonts w:ascii="Times New Roman" w:hAnsi="Times New Roman"/>
        </w:rPr>
      </w:pPr>
    </w:p>
    <w:p w14:paraId="51FDF8AB" w14:textId="77777777" w:rsidR="00BD006D" w:rsidRPr="001239F4" w:rsidRDefault="00BD006D" w:rsidP="00BD006D">
      <w:pPr>
        <w:rPr>
          <w:rFonts w:ascii="Times New Roman" w:hAnsi="Times New Roman"/>
        </w:rPr>
      </w:pPr>
    </w:p>
    <w:p w14:paraId="17399363" w14:textId="77777777" w:rsidR="00BD006D" w:rsidRPr="001239F4" w:rsidRDefault="00BD006D" w:rsidP="00BD006D">
      <w:pPr>
        <w:rPr>
          <w:rFonts w:ascii="Times New Roman" w:hAnsi="Times New Roman"/>
        </w:rPr>
      </w:pPr>
    </w:p>
    <w:p w14:paraId="16D7F996" w14:textId="77777777" w:rsidR="00BD006D" w:rsidRPr="001239F4" w:rsidRDefault="00BD006D" w:rsidP="00BD006D">
      <w:pPr>
        <w:rPr>
          <w:rFonts w:ascii="Times New Roman" w:hAnsi="Times New Roman"/>
        </w:rPr>
      </w:pPr>
    </w:p>
    <w:p w14:paraId="768EA0F1" w14:textId="77777777" w:rsidR="00BD006D" w:rsidRPr="001239F4" w:rsidRDefault="00BD006D" w:rsidP="00BD006D">
      <w:pPr>
        <w:spacing w:after="0"/>
        <w:rPr>
          <w:rFonts w:ascii="Times New Roman" w:hAnsi="Times New Roman"/>
        </w:rPr>
      </w:pPr>
    </w:p>
    <w:p w14:paraId="58C13942" w14:textId="77777777" w:rsidR="00BD006D" w:rsidRPr="001239F4" w:rsidRDefault="00BD006D" w:rsidP="00BD006D">
      <w:pPr>
        <w:spacing w:after="0" w:line="240" w:lineRule="auto"/>
        <w:ind w:firstLine="720"/>
        <w:jc w:val="both"/>
        <w:rPr>
          <w:rFonts w:ascii="Times New Roman" w:hAnsi="Times New Roman"/>
        </w:rPr>
        <w:sectPr w:rsidR="00BD006D" w:rsidRPr="001239F4" w:rsidSect="00BD006D">
          <w:type w:val="nextColumn"/>
          <w:pgSz w:w="11906" w:h="16838" w:code="9"/>
          <w:pgMar w:top="1080" w:right="605" w:bottom="605" w:left="605" w:header="709" w:footer="709" w:gutter="0"/>
          <w:pgNumType w:start="3"/>
          <w:cols w:space="0"/>
          <w:titlePg/>
          <w:docGrid w:linePitch="360"/>
        </w:sectPr>
      </w:pPr>
    </w:p>
    <w:p w14:paraId="07BE6EA0"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Table 6 presents the pretest and posttest results for students in the experimental group, showing a clear improvement in performance after the study guide was implemented in Genetics. In the pretest, </w:t>
      </w:r>
      <w:proofErr w:type="gramStart"/>
      <w:r w:rsidRPr="001239F4">
        <w:rPr>
          <w:rFonts w:ascii="Times New Roman" w:hAnsi="Times New Roman"/>
          <w:sz w:val="24"/>
          <w:szCs w:val="24"/>
        </w:rPr>
        <w:t>the majority of</w:t>
      </w:r>
      <w:proofErr w:type="gramEnd"/>
      <w:r w:rsidRPr="001239F4">
        <w:rPr>
          <w:rFonts w:ascii="Times New Roman" w:hAnsi="Times New Roman"/>
          <w:sz w:val="24"/>
          <w:szCs w:val="24"/>
        </w:rPr>
        <w:t xml:space="preserve"> learners exhibited low initial mastery of Genetics concepts: 57.14% were classified as “Poor” (10 or below), 30.95% as “Fairly Satisfactory” (11–15), and only 11.91% as “Satisfactory” (16–20). There were no students in the “Very Satisfactory” or “Outstanding” categories at this stage, indicating limited prior understanding of the subject. This baseline performance aligns with findings from studies in the Philippines, which report that many high school students exhibit misconceptions and gaps in their understanding of genetics; therefore, the use of innovative pedagogical tools and techniques may help them understand difficult concepts (</w:t>
      </w:r>
      <w:proofErr w:type="spellStart"/>
      <w:r w:rsidRPr="001239F4">
        <w:rPr>
          <w:rFonts w:ascii="Times New Roman" w:hAnsi="Times New Roman"/>
          <w:sz w:val="24"/>
          <w:szCs w:val="24"/>
        </w:rPr>
        <w:t>Rogayan</w:t>
      </w:r>
      <w:proofErr w:type="spellEnd"/>
      <w:r w:rsidRPr="001239F4">
        <w:rPr>
          <w:rFonts w:ascii="Times New Roman" w:hAnsi="Times New Roman"/>
          <w:sz w:val="24"/>
          <w:szCs w:val="24"/>
        </w:rPr>
        <w:t xml:space="preserve"> &amp; Albino, 2019).</w:t>
      </w:r>
    </w:p>
    <w:p w14:paraId="2FA694D7" w14:textId="77777777" w:rsidR="00BD006D" w:rsidRPr="001239F4" w:rsidRDefault="00BD006D" w:rsidP="00BD006D">
      <w:pPr>
        <w:spacing w:after="0" w:line="240" w:lineRule="auto"/>
        <w:jc w:val="both"/>
        <w:rPr>
          <w:rFonts w:ascii="Times New Roman" w:hAnsi="Times New Roman"/>
          <w:sz w:val="24"/>
          <w:szCs w:val="24"/>
        </w:rPr>
      </w:pPr>
    </w:p>
    <w:p w14:paraId="24A8D619"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After the intervention, the post-test results show a significant shift in performance distribution. The percentage of students in the “Poor” category declined sharply to 2.38%, whereas students in higher performance levels increased markedly. Specifically, 28.57% achieved “Fairly Satisfactory”, 35.71% “Satisfactory”, 19.05% “Very Satisfactory”, and 14.29% reached “Outstanding” performance. This positive shift suggests that the study guide effectively facilitated learning, improving students’ conceptual understanding and ability to apply Genetics knowledge.</w:t>
      </w:r>
    </w:p>
    <w:p w14:paraId="7C2A3653" w14:textId="77777777" w:rsidR="00BD006D" w:rsidRPr="001239F4" w:rsidRDefault="00BD006D" w:rsidP="00BD006D">
      <w:pPr>
        <w:spacing w:after="0" w:line="240" w:lineRule="auto"/>
        <w:jc w:val="both"/>
        <w:rPr>
          <w:rFonts w:ascii="Times New Roman" w:hAnsi="Times New Roman"/>
          <w:sz w:val="24"/>
          <w:szCs w:val="24"/>
        </w:rPr>
      </w:pPr>
    </w:p>
    <w:p w14:paraId="76586734" w14:textId="77777777" w:rsidR="00BD006D" w:rsidRDefault="00BD006D" w:rsidP="00BD006D">
      <w:pPr>
        <w:jc w:val="both"/>
        <w:rPr>
          <w:rFonts w:ascii="Times New Roman" w:hAnsi="Times New Roman"/>
          <w:sz w:val="24"/>
          <w:szCs w:val="24"/>
        </w:rPr>
      </w:pPr>
      <w:r w:rsidRPr="001239F4">
        <w:rPr>
          <w:rFonts w:ascii="Times New Roman" w:hAnsi="Times New Roman"/>
          <w:sz w:val="24"/>
          <w:szCs w:val="24"/>
        </w:rPr>
        <w:t>Furthermore, the observed performance improvements may be linked to the study guide’s ability to present content in a structured, accessible format, thereby supporting meaningful engagement and cognitive processing. Research on science education in the Philippines indicates that students benefit from instructional supports that promote active learning, scaffold conceptual development, and reduce cognitive load (De La Cruz, 2022). Such scaffolding strategies contribute to deeper understanding and translate into higher achievement levels, as evidenced by the increased percentages in the “Satisfactory,” “Very Satisfactory,” and “Outstanding” categories. The substantial reduction in low performance and the rise in higher achievement levels provide empirical support for the study guide's positive impact. These findings align with research on the value of contextually relevant, learner-centered instructional materials in improving science education outcome.</w:t>
      </w:r>
    </w:p>
    <w:p w14:paraId="11845943" w14:textId="77777777" w:rsidR="00BD006D" w:rsidRDefault="00BD006D" w:rsidP="00BD006D">
      <w:pPr>
        <w:jc w:val="both"/>
        <w:rPr>
          <w:rFonts w:ascii="Times New Roman" w:hAnsi="Times New Roman"/>
          <w:sz w:val="24"/>
          <w:szCs w:val="24"/>
        </w:rPr>
      </w:pPr>
    </w:p>
    <w:p w14:paraId="1FA60767" w14:textId="77777777" w:rsidR="00BD006D" w:rsidRPr="001239F4" w:rsidRDefault="00BD006D" w:rsidP="00BD006D">
      <w:pPr>
        <w:spacing w:after="0" w:line="240" w:lineRule="auto"/>
        <w:jc w:val="both"/>
        <w:rPr>
          <w:rFonts w:ascii="Times New Roman" w:hAnsi="Times New Roman"/>
          <w:b/>
          <w:i/>
          <w:iCs/>
          <w:sz w:val="24"/>
          <w:szCs w:val="24"/>
        </w:rPr>
      </w:pPr>
      <w:r w:rsidRPr="001239F4">
        <w:rPr>
          <w:rFonts w:ascii="Times New Roman" w:hAnsi="Times New Roman"/>
          <w:b/>
          <w:i/>
          <w:iCs/>
          <w:sz w:val="24"/>
          <w:szCs w:val="24"/>
        </w:rPr>
        <w:t>Differences in the Students’ Pre-Test and Post-Test Scores of the Control and Experimental Groups.</w:t>
      </w:r>
    </w:p>
    <w:p w14:paraId="3F76CF3D" w14:textId="77777777" w:rsidR="00BD006D" w:rsidRPr="001239F4" w:rsidRDefault="00BD006D" w:rsidP="00BD006D">
      <w:pPr>
        <w:spacing w:after="0" w:line="240" w:lineRule="auto"/>
        <w:jc w:val="both"/>
        <w:rPr>
          <w:rFonts w:ascii="Times New Roman" w:hAnsi="Times New Roman"/>
          <w:b/>
          <w:i/>
          <w:iCs/>
          <w:sz w:val="6"/>
          <w:szCs w:val="6"/>
        </w:rPr>
      </w:pPr>
    </w:p>
    <w:p w14:paraId="4BF92250" w14:textId="77777777" w:rsidR="00BD006D" w:rsidRPr="001239F4" w:rsidRDefault="00BD006D" w:rsidP="00BD006D">
      <w:pPr>
        <w:spacing w:after="0" w:line="240" w:lineRule="auto"/>
        <w:ind w:firstLine="720"/>
        <w:jc w:val="both"/>
        <w:rPr>
          <w:rFonts w:ascii="Times New Roman" w:hAnsi="Times New Roman"/>
          <w:i/>
          <w:iCs/>
          <w:sz w:val="24"/>
          <w:szCs w:val="24"/>
        </w:rPr>
      </w:pPr>
      <w:r w:rsidRPr="001239F4">
        <w:rPr>
          <w:rFonts w:ascii="Times New Roman" w:hAnsi="Times New Roman"/>
          <w:bCs/>
          <w:i/>
          <w:iCs/>
          <w:sz w:val="24"/>
          <w:szCs w:val="24"/>
        </w:rPr>
        <w:t xml:space="preserve">Find out if there is a significant difference between the pretest and posttest scores of students in the following: a) </w:t>
      </w:r>
      <w:r w:rsidRPr="001239F4">
        <w:rPr>
          <w:rFonts w:ascii="Times New Roman" w:hAnsi="Times New Roman"/>
          <w:i/>
          <w:iCs/>
          <w:sz w:val="24"/>
          <w:szCs w:val="24"/>
        </w:rPr>
        <w:t>Control group; b) Experimental group.</w:t>
      </w:r>
    </w:p>
    <w:p w14:paraId="2FA63805" w14:textId="77777777" w:rsidR="00BD006D" w:rsidRPr="001239F4" w:rsidRDefault="00BD006D" w:rsidP="00BD006D">
      <w:pPr>
        <w:spacing w:after="0" w:line="240" w:lineRule="auto"/>
        <w:ind w:firstLine="720"/>
        <w:jc w:val="both"/>
        <w:rPr>
          <w:rFonts w:ascii="Times New Roman" w:hAnsi="Times New Roman"/>
          <w:i/>
          <w:iCs/>
          <w:sz w:val="24"/>
          <w:szCs w:val="24"/>
        </w:rPr>
      </w:pPr>
    </w:p>
    <w:p w14:paraId="16BFF34F"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7</w:t>
      </w:r>
    </w:p>
    <w:p w14:paraId="5CE5C8DB" w14:textId="77777777" w:rsidR="00BD006D" w:rsidRPr="001239F4" w:rsidRDefault="00BD006D" w:rsidP="00BD006D">
      <w:pPr>
        <w:spacing w:after="0" w:line="240" w:lineRule="auto"/>
        <w:jc w:val="center"/>
        <w:rPr>
          <w:rFonts w:ascii="Times New Roman" w:hAnsi="Times New Roman"/>
          <w:bCs/>
          <w:sz w:val="24"/>
          <w:szCs w:val="24"/>
        </w:rPr>
      </w:pPr>
      <w:r w:rsidRPr="001239F4">
        <w:rPr>
          <w:rFonts w:ascii="Times New Roman" w:hAnsi="Times New Roman"/>
          <w:bCs/>
          <w:sz w:val="24"/>
          <w:szCs w:val="24"/>
        </w:rPr>
        <w:t>Differences in the Pre-Test and Post-Test Scores of Students</w:t>
      </w:r>
    </w:p>
    <w:p w14:paraId="76576B5F" w14:textId="77777777" w:rsidR="00BD006D" w:rsidRPr="001239F4" w:rsidRDefault="00BD006D" w:rsidP="00BD006D">
      <w:pPr>
        <w:spacing w:after="0" w:line="240" w:lineRule="auto"/>
        <w:jc w:val="both"/>
        <w:rPr>
          <w:rFonts w:ascii="Times New Roman" w:hAnsi="Times New Roman"/>
          <w:bCs/>
          <w:i/>
          <w:iCs/>
          <w:sz w:val="24"/>
          <w:szCs w:val="24"/>
        </w:rPr>
      </w:pPr>
    </w:p>
    <w:tbl>
      <w:tblPr>
        <w:tblW w:w="8664" w:type="dxa"/>
        <w:jc w:val="center"/>
        <w:tblBorders>
          <w:top w:val="single" w:sz="18" w:space="0" w:color="auto"/>
          <w:bottom w:val="single" w:sz="18" w:space="0" w:color="auto"/>
        </w:tblBorders>
        <w:tblLook w:val="04A0" w:firstRow="1" w:lastRow="0" w:firstColumn="1" w:lastColumn="0" w:noHBand="0" w:noVBand="1"/>
      </w:tblPr>
      <w:tblGrid>
        <w:gridCol w:w="3695"/>
        <w:gridCol w:w="1565"/>
        <w:gridCol w:w="1263"/>
        <w:gridCol w:w="2141"/>
      </w:tblGrid>
      <w:tr w:rsidR="00BD006D" w:rsidRPr="001C44DB" w14:paraId="293354E7" w14:textId="77777777" w:rsidTr="00525475">
        <w:trPr>
          <w:trHeight w:val="334"/>
          <w:jc w:val="center"/>
        </w:trPr>
        <w:tc>
          <w:tcPr>
            <w:tcW w:w="3695" w:type="dxa"/>
            <w:tcBorders>
              <w:bottom w:val="single" w:sz="18" w:space="0" w:color="auto"/>
            </w:tcBorders>
          </w:tcPr>
          <w:p w14:paraId="12BF1858" w14:textId="77777777" w:rsidR="00BD006D" w:rsidRPr="001C44DB" w:rsidRDefault="00BD006D" w:rsidP="00525475">
            <w:pPr>
              <w:spacing w:after="0" w:line="240" w:lineRule="auto"/>
              <w:jc w:val="both"/>
              <w:rPr>
                <w:rFonts w:ascii="Arial" w:hAnsi="Arial" w:cs="Arial"/>
              </w:rPr>
            </w:pPr>
          </w:p>
        </w:tc>
        <w:tc>
          <w:tcPr>
            <w:tcW w:w="1565" w:type="dxa"/>
            <w:tcBorders>
              <w:bottom w:val="single" w:sz="18" w:space="0" w:color="auto"/>
            </w:tcBorders>
          </w:tcPr>
          <w:p w14:paraId="4815B31F"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Mean Score</w:t>
            </w:r>
          </w:p>
        </w:tc>
        <w:tc>
          <w:tcPr>
            <w:tcW w:w="1263" w:type="dxa"/>
            <w:tcBorders>
              <w:bottom w:val="single" w:sz="18" w:space="0" w:color="auto"/>
            </w:tcBorders>
          </w:tcPr>
          <w:p w14:paraId="03858D39"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P-Value</w:t>
            </w:r>
          </w:p>
        </w:tc>
        <w:tc>
          <w:tcPr>
            <w:tcW w:w="2141" w:type="dxa"/>
            <w:tcBorders>
              <w:bottom w:val="single" w:sz="18" w:space="0" w:color="auto"/>
            </w:tcBorders>
          </w:tcPr>
          <w:p w14:paraId="358778D5"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Interpretation</w:t>
            </w:r>
          </w:p>
        </w:tc>
      </w:tr>
    </w:tbl>
    <w:p w14:paraId="314CED5F" w14:textId="77777777" w:rsidR="00BD006D" w:rsidRPr="001C44DB" w:rsidRDefault="00BD006D" w:rsidP="00BD006D">
      <w:pPr>
        <w:spacing w:after="0" w:line="240" w:lineRule="auto"/>
        <w:jc w:val="both"/>
        <w:rPr>
          <w:rFonts w:ascii="Arial" w:hAnsi="Arial" w:cs="Arial"/>
          <w:vanish/>
        </w:rPr>
      </w:pPr>
    </w:p>
    <w:tbl>
      <w:tblPr>
        <w:tblW w:w="8664" w:type="dxa"/>
        <w:jc w:val="center"/>
        <w:tblBorders>
          <w:top w:val="single" w:sz="18" w:space="0" w:color="auto"/>
          <w:bottom w:val="single" w:sz="18" w:space="0" w:color="auto"/>
        </w:tblBorders>
        <w:tblLook w:val="04A0" w:firstRow="1" w:lastRow="0" w:firstColumn="1" w:lastColumn="0" w:noHBand="0" w:noVBand="1"/>
      </w:tblPr>
      <w:tblGrid>
        <w:gridCol w:w="8664"/>
      </w:tblGrid>
      <w:tr w:rsidR="00BD006D" w:rsidRPr="001C44DB" w14:paraId="4C130730" w14:textId="77777777" w:rsidTr="00525475">
        <w:trPr>
          <w:trHeight w:val="324"/>
          <w:jc w:val="center"/>
        </w:trPr>
        <w:tc>
          <w:tcPr>
            <w:tcW w:w="8664" w:type="dxa"/>
            <w:tcBorders>
              <w:top w:val="single" w:sz="18" w:space="0" w:color="auto"/>
              <w:bottom w:val="nil"/>
            </w:tcBorders>
          </w:tcPr>
          <w:p w14:paraId="6F3B2BFA" w14:textId="77777777" w:rsidR="00BD006D" w:rsidRPr="001C44DB" w:rsidRDefault="00BD006D" w:rsidP="00BD006D">
            <w:pPr>
              <w:numPr>
                <w:ilvl w:val="0"/>
                <w:numId w:val="2"/>
              </w:numPr>
              <w:spacing w:after="0" w:line="240" w:lineRule="auto"/>
              <w:contextualSpacing/>
              <w:jc w:val="both"/>
              <w:rPr>
                <w:rFonts w:ascii="Arial" w:hAnsi="Arial" w:cs="Arial"/>
              </w:rPr>
            </w:pPr>
            <w:r w:rsidRPr="001C44DB">
              <w:rPr>
                <w:rFonts w:ascii="Arial" w:hAnsi="Arial" w:cs="Arial"/>
                <w:b/>
                <w:bCs/>
              </w:rPr>
              <w:t>Control Group</w:t>
            </w:r>
          </w:p>
        </w:tc>
      </w:tr>
    </w:tbl>
    <w:p w14:paraId="11078F89" w14:textId="77777777" w:rsidR="00BD006D" w:rsidRPr="001C44DB" w:rsidRDefault="00BD006D" w:rsidP="00BD006D">
      <w:pPr>
        <w:spacing w:after="0" w:line="240" w:lineRule="auto"/>
        <w:jc w:val="both"/>
        <w:rPr>
          <w:rFonts w:ascii="Arial" w:hAnsi="Arial" w:cs="Arial"/>
          <w:vanish/>
        </w:rPr>
      </w:pPr>
    </w:p>
    <w:tbl>
      <w:tblPr>
        <w:tblW w:w="8543" w:type="dxa"/>
        <w:jc w:val="center"/>
        <w:tblBorders>
          <w:top w:val="single" w:sz="18" w:space="0" w:color="auto"/>
          <w:bottom w:val="single" w:sz="18" w:space="0" w:color="auto"/>
        </w:tblBorders>
        <w:tblLook w:val="04A0" w:firstRow="1" w:lastRow="0" w:firstColumn="1" w:lastColumn="0" w:noHBand="0" w:noVBand="1"/>
      </w:tblPr>
      <w:tblGrid>
        <w:gridCol w:w="3595"/>
        <w:gridCol w:w="1521"/>
        <w:gridCol w:w="1238"/>
        <w:gridCol w:w="2086"/>
        <w:gridCol w:w="103"/>
      </w:tblGrid>
      <w:tr w:rsidR="00BD006D" w:rsidRPr="001C44DB" w14:paraId="51A54524" w14:textId="77777777" w:rsidTr="00525475">
        <w:trPr>
          <w:gridAfter w:val="1"/>
          <w:wAfter w:w="103" w:type="dxa"/>
          <w:trHeight w:val="283"/>
          <w:jc w:val="center"/>
        </w:trPr>
        <w:tc>
          <w:tcPr>
            <w:tcW w:w="3595" w:type="dxa"/>
            <w:tcBorders>
              <w:top w:val="nil"/>
            </w:tcBorders>
          </w:tcPr>
          <w:p w14:paraId="6A1A3F1A"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Pre-Test Score</w:t>
            </w:r>
          </w:p>
        </w:tc>
        <w:tc>
          <w:tcPr>
            <w:tcW w:w="1521" w:type="dxa"/>
            <w:tcBorders>
              <w:top w:val="nil"/>
            </w:tcBorders>
          </w:tcPr>
          <w:p w14:paraId="0BF3BB77" w14:textId="77777777" w:rsidR="00BD006D" w:rsidRPr="001C44DB" w:rsidRDefault="00BD006D" w:rsidP="00525475">
            <w:pPr>
              <w:spacing w:after="0" w:line="240" w:lineRule="auto"/>
              <w:jc w:val="both"/>
              <w:rPr>
                <w:rFonts w:ascii="Arial" w:hAnsi="Arial" w:cs="Arial"/>
              </w:rPr>
            </w:pPr>
            <w:r w:rsidRPr="001C44DB">
              <w:rPr>
                <w:rFonts w:ascii="Arial" w:hAnsi="Arial" w:cs="Arial"/>
              </w:rPr>
              <w:t>11.5</w:t>
            </w:r>
          </w:p>
        </w:tc>
        <w:tc>
          <w:tcPr>
            <w:tcW w:w="1238" w:type="dxa"/>
            <w:vMerge w:val="restart"/>
            <w:tcBorders>
              <w:top w:val="nil"/>
            </w:tcBorders>
            <w:vAlign w:val="center"/>
          </w:tcPr>
          <w:p w14:paraId="206B70BD" w14:textId="77777777" w:rsidR="00BD006D" w:rsidRPr="001C44DB" w:rsidRDefault="00BD006D" w:rsidP="00525475">
            <w:pPr>
              <w:spacing w:after="0" w:line="240" w:lineRule="auto"/>
              <w:jc w:val="both"/>
              <w:rPr>
                <w:rFonts w:ascii="Arial" w:hAnsi="Arial" w:cs="Arial"/>
              </w:rPr>
            </w:pPr>
            <w:r w:rsidRPr="001C44DB">
              <w:rPr>
                <w:rFonts w:ascii="Arial" w:hAnsi="Arial" w:cs="Arial"/>
              </w:rPr>
              <w:t xml:space="preserve">  0.1086</w:t>
            </w:r>
          </w:p>
        </w:tc>
        <w:tc>
          <w:tcPr>
            <w:tcW w:w="2086" w:type="dxa"/>
            <w:vMerge w:val="restart"/>
            <w:tcBorders>
              <w:top w:val="nil"/>
            </w:tcBorders>
          </w:tcPr>
          <w:p w14:paraId="54D0D874" w14:textId="77777777" w:rsidR="00BD006D" w:rsidRPr="001C44DB" w:rsidRDefault="00BD006D" w:rsidP="00525475">
            <w:pPr>
              <w:spacing w:after="0" w:line="240" w:lineRule="auto"/>
              <w:jc w:val="both"/>
              <w:rPr>
                <w:rFonts w:ascii="Arial" w:hAnsi="Arial" w:cs="Arial"/>
              </w:rPr>
            </w:pPr>
            <w:r>
              <w:rPr>
                <w:rFonts w:ascii="Arial" w:hAnsi="Arial" w:cs="Arial"/>
              </w:rPr>
              <w:t xml:space="preserve">      </w:t>
            </w:r>
            <w:r w:rsidRPr="001C44DB">
              <w:rPr>
                <w:rFonts w:ascii="Arial" w:hAnsi="Arial" w:cs="Arial"/>
              </w:rPr>
              <w:t>Not Significant</w:t>
            </w:r>
          </w:p>
          <w:p w14:paraId="6B0CB327" w14:textId="77777777" w:rsidR="00BD006D" w:rsidRPr="001C44DB" w:rsidRDefault="00BD006D" w:rsidP="00525475">
            <w:pPr>
              <w:spacing w:after="0" w:line="240" w:lineRule="auto"/>
              <w:jc w:val="both"/>
              <w:rPr>
                <w:rFonts w:ascii="Arial" w:hAnsi="Arial" w:cs="Arial"/>
              </w:rPr>
            </w:pPr>
          </w:p>
          <w:p w14:paraId="6141D747" w14:textId="77777777" w:rsidR="00BD006D" w:rsidRPr="001C44DB" w:rsidRDefault="00BD006D" w:rsidP="00525475">
            <w:pPr>
              <w:spacing w:after="0" w:line="240" w:lineRule="auto"/>
              <w:jc w:val="both"/>
              <w:rPr>
                <w:rFonts w:ascii="Arial" w:hAnsi="Arial" w:cs="Arial"/>
              </w:rPr>
            </w:pPr>
          </w:p>
          <w:p w14:paraId="35EC9F3A" w14:textId="77777777" w:rsidR="00BD006D" w:rsidRPr="001C44DB" w:rsidRDefault="00BD006D" w:rsidP="00525475">
            <w:pPr>
              <w:spacing w:after="0" w:line="240" w:lineRule="auto"/>
              <w:jc w:val="both"/>
              <w:rPr>
                <w:rFonts w:ascii="Arial" w:hAnsi="Arial" w:cs="Arial"/>
              </w:rPr>
            </w:pPr>
          </w:p>
        </w:tc>
      </w:tr>
      <w:tr w:rsidR="00BD006D" w:rsidRPr="001C44DB" w14:paraId="5F3D9DA8" w14:textId="77777777" w:rsidTr="00525475">
        <w:trPr>
          <w:gridAfter w:val="1"/>
          <w:wAfter w:w="103" w:type="dxa"/>
          <w:trHeight w:val="404"/>
          <w:jc w:val="center"/>
        </w:trPr>
        <w:tc>
          <w:tcPr>
            <w:tcW w:w="3595" w:type="dxa"/>
            <w:tcBorders>
              <w:bottom w:val="single" w:sz="18" w:space="0" w:color="auto"/>
            </w:tcBorders>
          </w:tcPr>
          <w:p w14:paraId="4C5A6472"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Post-Test Score</w:t>
            </w:r>
          </w:p>
        </w:tc>
        <w:tc>
          <w:tcPr>
            <w:tcW w:w="1521" w:type="dxa"/>
            <w:tcBorders>
              <w:bottom w:val="single" w:sz="18" w:space="0" w:color="auto"/>
            </w:tcBorders>
          </w:tcPr>
          <w:p w14:paraId="42CC589C" w14:textId="77777777" w:rsidR="00BD006D" w:rsidRPr="001C44DB" w:rsidRDefault="00BD006D" w:rsidP="00525475">
            <w:pPr>
              <w:spacing w:after="0" w:line="240" w:lineRule="auto"/>
              <w:jc w:val="both"/>
              <w:rPr>
                <w:rFonts w:ascii="Arial" w:hAnsi="Arial" w:cs="Arial"/>
              </w:rPr>
            </w:pPr>
            <w:r w:rsidRPr="001C44DB">
              <w:rPr>
                <w:rFonts w:ascii="Arial" w:hAnsi="Arial" w:cs="Arial"/>
              </w:rPr>
              <w:t>14.97</w:t>
            </w:r>
          </w:p>
        </w:tc>
        <w:tc>
          <w:tcPr>
            <w:tcW w:w="1238" w:type="dxa"/>
            <w:vMerge/>
            <w:tcBorders>
              <w:bottom w:val="single" w:sz="18" w:space="0" w:color="auto"/>
            </w:tcBorders>
          </w:tcPr>
          <w:p w14:paraId="3470216E" w14:textId="77777777" w:rsidR="00BD006D" w:rsidRPr="001C44DB" w:rsidRDefault="00BD006D" w:rsidP="00525475">
            <w:pPr>
              <w:spacing w:after="0" w:line="240" w:lineRule="auto"/>
              <w:jc w:val="both"/>
              <w:rPr>
                <w:rFonts w:ascii="Arial" w:hAnsi="Arial" w:cs="Arial"/>
              </w:rPr>
            </w:pPr>
          </w:p>
        </w:tc>
        <w:tc>
          <w:tcPr>
            <w:tcW w:w="2086" w:type="dxa"/>
            <w:vMerge/>
            <w:tcBorders>
              <w:bottom w:val="single" w:sz="18" w:space="0" w:color="auto"/>
            </w:tcBorders>
          </w:tcPr>
          <w:p w14:paraId="4CBF3ABF" w14:textId="77777777" w:rsidR="00BD006D" w:rsidRPr="001C44DB" w:rsidRDefault="00BD006D" w:rsidP="00525475">
            <w:pPr>
              <w:spacing w:after="0" w:line="240" w:lineRule="auto"/>
              <w:jc w:val="both"/>
              <w:rPr>
                <w:rFonts w:ascii="Arial" w:hAnsi="Arial" w:cs="Arial"/>
              </w:rPr>
            </w:pPr>
          </w:p>
        </w:tc>
      </w:tr>
      <w:tr w:rsidR="00BD006D" w:rsidRPr="001C44DB" w14:paraId="06E07085" w14:textId="77777777" w:rsidTr="00525475">
        <w:trPr>
          <w:trHeight w:val="301"/>
          <w:jc w:val="center"/>
        </w:trPr>
        <w:tc>
          <w:tcPr>
            <w:tcW w:w="8543" w:type="dxa"/>
            <w:gridSpan w:val="5"/>
            <w:tcBorders>
              <w:top w:val="single" w:sz="18" w:space="0" w:color="auto"/>
              <w:bottom w:val="nil"/>
            </w:tcBorders>
          </w:tcPr>
          <w:p w14:paraId="59D621ED" w14:textId="77777777" w:rsidR="00BD006D" w:rsidRPr="001C44DB" w:rsidRDefault="00BD006D" w:rsidP="00BD006D">
            <w:pPr>
              <w:numPr>
                <w:ilvl w:val="0"/>
                <w:numId w:val="2"/>
              </w:numPr>
              <w:spacing w:after="0" w:line="240" w:lineRule="auto"/>
              <w:contextualSpacing/>
              <w:jc w:val="both"/>
              <w:rPr>
                <w:rFonts w:ascii="Arial" w:hAnsi="Arial" w:cs="Arial"/>
              </w:rPr>
            </w:pPr>
            <w:r w:rsidRPr="001C44DB">
              <w:rPr>
                <w:rFonts w:ascii="Arial" w:hAnsi="Arial" w:cs="Arial"/>
                <w:b/>
                <w:bCs/>
              </w:rPr>
              <w:t>Experimental Group</w:t>
            </w:r>
          </w:p>
        </w:tc>
      </w:tr>
      <w:tr w:rsidR="00BD006D" w:rsidRPr="001C44DB" w14:paraId="1E4CF403" w14:textId="77777777" w:rsidTr="00525475">
        <w:trPr>
          <w:trHeight w:val="292"/>
          <w:jc w:val="center"/>
        </w:trPr>
        <w:tc>
          <w:tcPr>
            <w:tcW w:w="3595" w:type="dxa"/>
            <w:tcBorders>
              <w:top w:val="nil"/>
            </w:tcBorders>
          </w:tcPr>
          <w:p w14:paraId="6B49559C"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Pre-Test Score</w:t>
            </w:r>
          </w:p>
        </w:tc>
        <w:tc>
          <w:tcPr>
            <w:tcW w:w="1521" w:type="dxa"/>
            <w:tcBorders>
              <w:top w:val="nil"/>
            </w:tcBorders>
          </w:tcPr>
          <w:p w14:paraId="776643D2" w14:textId="77777777" w:rsidR="00BD006D" w:rsidRPr="001C44DB" w:rsidRDefault="00BD006D" w:rsidP="00525475">
            <w:pPr>
              <w:spacing w:after="0" w:line="240" w:lineRule="auto"/>
              <w:jc w:val="both"/>
              <w:rPr>
                <w:rFonts w:ascii="Arial" w:hAnsi="Arial" w:cs="Arial"/>
              </w:rPr>
            </w:pPr>
            <w:r w:rsidRPr="001C44DB">
              <w:rPr>
                <w:rFonts w:ascii="Arial" w:hAnsi="Arial" w:cs="Arial"/>
              </w:rPr>
              <w:t>10.95</w:t>
            </w:r>
          </w:p>
        </w:tc>
        <w:tc>
          <w:tcPr>
            <w:tcW w:w="1238" w:type="dxa"/>
            <w:vMerge w:val="restart"/>
            <w:tcBorders>
              <w:top w:val="nil"/>
            </w:tcBorders>
            <w:vAlign w:val="center"/>
          </w:tcPr>
          <w:p w14:paraId="2944BCC3" w14:textId="77777777" w:rsidR="00BD006D" w:rsidRPr="001C44DB" w:rsidRDefault="00BD006D" w:rsidP="00525475">
            <w:pPr>
              <w:spacing w:after="0" w:line="240" w:lineRule="auto"/>
              <w:jc w:val="both"/>
              <w:rPr>
                <w:rFonts w:ascii="Arial" w:hAnsi="Arial" w:cs="Arial"/>
              </w:rPr>
            </w:pPr>
            <w:r w:rsidRPr="001C44DB">
              <w:rPr>
                <w:rFonts w:ascii="Arial" w:hAnsi="Arial" w:cs="Arial"/>
              </w:rPr>
              <w:t>0.0026**</w:t>
            </w:r>
          </w:p>
        </w:tc>
        <w:tc>
          <w:tcPr>
            <w:tcW w:w="2188" w:type="dxa"/>
            <w:gridSpan w:val="2"/>
            <w:vMerge w:val="restart"/>
            <w:tcBorders>
              <w:top w:val="nil"/>
            </w:tcBorders>
            <w:vAlign w:val="center"/>
          </w:tcPr>
          <w:p w14:paraId="4D0A46DA" w14:textId="77777777" w:rsidR="00BD006D" w:rsidRPr="001C44DB" w:rsidRDefault="00BD006D" w:rsidP="00525475">
            <w:pPr>
              <w:spacing w:after="0" w:line="240" w:lineRule="auto"/>
              <w:jc w:val="both"/>
              <w:rPr>
                <w:rFonts w:ascii="Arial" w:hAnsi="Arial" w:cs="Arial"/>
              </w:rPr>
            </w:pPr>
            <w:r w:rsidRPr="001C44DB">
              <w:rPr>
                <w:rFonts w:ascii="Arial" w:hAnsi="Arial" w:cs="Arial"/>
              </w:rPr>
              <w:t xml:space="preserve">        Significant</w:t>
            </w:r>
          </w:p>
        </w:tc>
      </w:tr>
      <w:tr w:rsidR="00BD006D" w:rsidRPr="001C44DB" w14:paraId="1362F620" w14:textId="77777777" w:rsidTr="00525475">
        <w:trPr>
          <w:trHeight w:val="179"/>
          <w:jc w:val="center"/>
        </w:trPr>
        <w:tc>
          <w:tcPr>
            <w:tcW w:w="3595" w:type="dxa"/>
          </w:tcPr>
          <w:p w14:paraId="0939D044" w14:textId="77777777" w:rsidR="00BD006D" w:rsidRPr="001C44DB" w:rsidRDefault="00BD006D" w:rsidP="00525475">
            <w:pPr>
              <w:spacing w:line="240" w:lineRule="auto"/>
              <w:ind w:left="1023"/>
              <w:jc w:val="both"/>
              <w:rPr>
                <w:rFonts w:ascii="Arial" w:hAnsi="Arial" w:cs="Arial"/>
              </w:rPr>
            </w:pPr>
            <w:r w:rsidRPr="001C44DB">
              <w:rPr>
                <w:rFonts w:ascii="Arial" w:hAnsi="Arial" w:cs="Arial"/>
              </w:rPr>
              <w:t>Post-Test Score</w:t>
            </w:r>
          </w:p>
        </w:tc>
        <w:tc>
          <w:tcPr>
            <w:tcW w:w="1521" w:type="dxa"/>
          </w:tcPr>
          <w:p w14:paraId="09F76486" w14:textId="77777777" w:rsidR="00BD006D" w:rsidRPr="001C44DB" w:rsidRDefault="00BD006D" w:rsidP="00525475">
            <w:pPr>
              <w:spacing w:line="240" w:lineRule="auto"/>
              <w:jc w:val="both"/>
              <w:rPr>
                <w:rFonts w:ascii="Arial" w:hAnsi="Arial" w:cs="Arial"/>
              </w:rPr>
            </w:pPr>
            <w:r w:rsidRPr="001C44DB">
              <w:rPr>
                <w:rFonts w:ascii="Arial" w:hAnsi="Arial" w:cs="Arial"/>
              </w:rPr>
              <w:t>20.12</w:t>
            </w:r>
          </w:p>
        </w:tc>
        <w:tc>
          <w:tcPr>
            <w:tcW w:w="1238" w:type="dxa"/>
            <w:vMerge/>
          </w:tcPr>
          <w:p w14:paraId="72D81569" w14:textId="77777777" w:rsidR="00BD006D" w:rsidRPr="001C44DB" w:rsidRDefault="00BD006D" w:rsidP="00525475">
            <w:pPr>
              <w:spacing w:line="240" w:lineRule="auto"/>
              <w:jc w:val="both"/>
              <w:rPr>
                <w:rFonts w:ascii="Arial" w:hAnsi="Arial" w:cs="Arial"/>
              </w:rPr>
            </w:pPr>
          </w:p>
        </w:tc>
        <w:tc>
          <w:tcPr>
            <w:tcW w:w="2188" w:type="dxa"/>
            <w:gridSpan w:val="2"/>
            <w:vMerge/>
          </w:tcPr>
          <w:p w14:paraId="66BA47D7" w14:textId="77777777" w:rsidR="00BD006D" w:rsidRPr="001C44DB" w:rsidRDefault="00BD006D" w:rsidP="00525475">
            <w:pPr>
              <w:spacing w:line="240" w:lineRule="auto"/>
              <w:jc w:val="both"/>
              <w:rPr>
                <w:rFonts w:ascii="Arial" w:hAnsi="Arial" w:cs="Arial"/>
              </w:rPr>
            </w:pPr>
          </w:p>
        </w:tc>
      </w:tr>
    </w:tbl>
    <w:p w14:paraId="5688D622" w14:textId="77777777" w:rsidR="00BD006D" w:rsidRPr="001C44DB" w:rsidRDefault="00BD006D" w:rsidP="00BD006D">
      <w:pPr>
        <w:spacing w:after="0" w:line="240" w:lineRule="auto"/>
        <w:jc w:val="both"/>
        <w:rPr>
          <w:rFonts w:ascii="Arial" w:hAnsi="Arial" w:cs="Arial"/>
          <w:b/>
          <w:bCs/>
          <w:i/>
          <w:iCs/>
        </w:rPr>
      </w:pPr>
      <w:r w:rsidRPr="001C44DB">
        <w:rPr>
          <w:rFonts w:ascii="Arial" w:hAnsi="Arial" w:cs="Arial"/>
          <w:b/>
          <w:bCs/>
        </w:rPr>
        <w:tab/>
      </w:r>
      <w:r w:rsidRPr="001C44DB">
        <w:rPr>
          <w:rFonts w:ascii="Arial" w:hAnsi="Arial" w:cs="Arial"/>
          <w:b/>
          <w:bCs/>
          <w:i/>
          <w:iCs/>
        </w:rPr>
        <w:t>Legend: **Significant at 0.05 level of significance</w:t>
      </w:r>
    </w:p>
    <w:p w14:paraId="5A8BAC25" w14:textId="77777777" w:rsidR="00BD006D" w:rsidRPr="001C44DB" w:rsidRDefault="00BD006D" w:rsidP="00BD006D">
      <w:pPr>
        <w:spacing w:after="0" w:line="240" w:lineRule="auto"/>
        <w:jc w:val="both"/>
        <w:rPr>
          <w:rFonts w:ascii="Arial" w:hAnsi="Arial" w:cs="Arial"/>
          <w:bCs/>
        </w:rPr>
      </w:pPr>
    </w:p>
    <w:p w14:paraId="3B57E075" w14:textId="77777777" w:rsidR="00BD006D" w:rsidRDefault="00BD006D" w:rsidP="00BD006D">
      <w:pPr>
        <w:spacing w:after="0" w:line="240" w:lineRule="auto"/>
        <w:ind w:firstLine="720"/>
        <w:jc w:val="both"/>
        <w:rPr>
          <w:rFonts w:ascii="Arial" w:hAnsi="Arial" w:cs="Arial"/>
        </w:rPr>
        <w:sectPr w:rsidR="00BD006D" w:rsidSect="00BD006D">
          <w:footerReference w:type="even" r:id="rId7"/>
          <w:footerReference w:type="default" r:id="rId8"/>
          <w:type w:val="continuous"/>
          <w:pgSz w:w="11906" w:h="16838" w:code="9"/>
          <w:pgMar w:top="1080" w:right="605" w:bottom="605" w:left="605" w:header="709" w:footer="709" w:gutter="0"/>
          <w:pgNumType w:start="3"/>
          <w:cols w:space="0"/>
          <w:titlePg/>
          <w:docGrid w:linePitch="360"/>
        </w:sectPr>
      </w:pPr>
    </w:p>
    <w:p w14:paraId="354ABA40"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Table 7 presents the mean </w:t>
      </w:r>
      <w:proofErr w:type="gramStart"/>
      <w:r w:rsidRPr="001239F4">
        <w:rPr>
          <w:rFonts w:ascii="Times New Roman" w:hAnsi="Times New Roman"/>
          <w:sz w:val="24"/>
          <w:szCs w:val="24"/>
        </w:rPr>
        <w:t>scores</w:t>
      </w:r>
      <w:proofErr w:type="gramEnd"/>
      <w:r w:rsidRPr="001239F4">
        <w:rPr>
          <w:rFonts w:ascii="Times New Roman" w:hAnsi="Times New Roman"/>
          <w:sz w:val="24"/>
          <w:szCs w:val="24"/>
        </w:rPr>
        <w:t xml:space="preserve"> and statistical analysis of the pre-test and post-test results for both the experimental and control groups, highlighting the effectiveness of the study guide in improving student learning outcomes. </w:t>
      </w:r>
    </w:p>
    <w:p w14:paraId="2FA92540" w14:textId="77777777" w:rsidR="00BD006D" w:rsidRDefault="00BD006D" w:rsidP="00BD006D">
      <w:pPr>
        <w:spacing w:after="0" w:line="240" w:lineRule="auto"/>
        <w:jc w:val="both"/>
        <w:rPr>
          <w:rFonts w:ascii="Times New Roman" w:hAnsi="Times New Roman"/>
          <w:sz w:val="24"/>
          <w:szCs w:val="24"/>
        </w:rPr>
      </w:pPr>
    </w:p>
    <w:p w14:paraId="0ED8099C" w14:textId="3F4AB25B"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The control group, which was taught using conventional methods, showed a smaller increase in mean score from 11.50 to 14.97 (p = 0.1086), which was not statistically significant. The lack of significant improvement in the control group implies that traditional instruction alone may not be sufficient to produce meaningful gains in student performance.</w:t>
      </w:r>
    </w:p>
    <w:p w14:paraId="2CE8CBDE" w14:textId="77777777" w:rsidR="00BD006D" w:rsidRDefault="00BD006D" w:rsidP="00BD006D">
      <w:pPr>
        <w:spacing w:after="0" w:line="240" w:lineRule="auto"/>
        <w:jc w:val="both"/>
        <w:rPr>
          <w:rFonts w:ascii="Times New Roman" w:hAnsi="Times New Roman"/>
          <w:sz w:val="24"/>
          <w:szCs w:val="24"/>
        </w:rPr>
      </w:pPr>
    </w:p>
    <w:p w14:paraId="43377CD6" w14:textId="42BCE9DF" w:rsidR="00BD006D" w:rsidRPr="00BD006D" w:rsidRDefault="00BD006D" w:rsidP="00BD006D">
      <w:pPr>
        <w:tabs>
          <w:tab w:val="left" w:pos="9972"/>
        </w:tabs>
        <w:rPr>
          <w:rFonts w:ascii="Times New Roman" w:hAnsi="Times New Roman"/>
          <w:sz w:val="24"/>
          <w:szCs w:val="24"/>
        </w:rPr>
      </w:pPr>
      <w:r>
        <w:rPr>
          <w:rFonts w:ascii="Times New Roman" w:hAnsi="Times New Roman"/>
          <w:sz w:val="24"/>
          <w:szCs w:val="24"/>
        </w:rPr>
        <w:tab/>
      </w:r>
    </w:p>
    <w:p w14:paraId="53102011" w14:textId="1D8257DE"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In contrast, in the experimental group, the mean score increased markedly from 10.95 on the pre-test to 20.12 on the post-test (p = 0.0026), which is significant at the 0.05 level. This significant difference indicates that the intervention had a substantial and measurable impact on students’ understanding of Genetics concepts, suggesting that the study guide effectively enhanced knowledge acquisition, problem-solving skills, and critical thinking. The table clearly demonstrates the effectiveness of the study guide as an educational tool, as students who used it achieved higher comprehension and performance in Genetics than those who received standard instruction.</w:t>
      </w:r>
    </w:p>
    <w:p w14:paraId="1C87BFE7" w14:textId="77777777" w:rsidR="00BD006D" w:rsidRPr="00BD006D" w:rsidRDefault="00BD006D" w:rsidP="00BD006D">
      <w:pPr>
        <w:spacing w:after="0" w:line="240" w:lineRule="auto"/>
        <w:jc w:val="both"/>
        <w:rPr>
          <w:rFonts w:ascii="Times New Roman" w:hAnsi="Times New Roman"/>
          <w:sz w:val="24"/>
          <w:szCs w:val="24"/>
        </w:rPr>
      </w:pPr>
    </w:p>
    <w:p w14:paraId="22D8C21F" w14:textId="5712BA57" w:rsidR="00BD006D" w:rsidRDefault="00BD006D" w:rsidP="00BD006D">
      <w:pPr>
        <w:jc w:val="both"/>
        <w:rPr>
          <w:rFonts w:ascii="Times New Roman" w:hAnsi="Times New Roman"/>
          <w:sz w:val="24"/>
          <w:szCs w:val="24"/>
        </w:rPr>
      </w:pPr>
      <w:r w:rsidRPr="001239F4">
        <w:rPr>
          <w:rFonts w:ascii="Times New Roman" w:hAnsi="Times New Roman"/>
          <w:sz w:val="24"/>
          <w:szCs w:val="24"/>
        </w:rPr>
        <w:t xml:space="preserve">These findings align with recent studies in the Philippines that highlight the effectiveness of structured, learner-centered instructional materials in improving science learning outcomes. </w:t>
      </w:r>
      <w:proofErr w:type="spellStart"/>
      <w:r w:rsidRPr="001239F4">
        <w:rPr>
          <w:rFonts w:ascii="Times New Roman" w:hAnsi="Times New Roman"/>
          <w:sz w:val="24"/>
          <w:szCs w:val="24"/>
        </w:rPr>
        <w:t>Dohinog</w:t>
      </w:r>
      <w:proofErr w:type="spellEnd"/>
      <w:r w:rsidRPr="001239F4">
        <w:rPr>
          <w:rFonts w:ascii="Times New Roman" w:hAnsi="Times New Roman"/>
          <w:sz w:val="24"/>
          <w:szCs w:val="24"/>
        </w:rPr>
        <w:t xml:space="preserve"> et al. (2025) emphasize the reliability of using contextualized instructional materials to enhance students’ knowledge, comprehension, participation, and academic performance and the students can learn more if the lessons are designed to relate to their culture, local context, and, most importantly, their real-life examples, and this can lead to better knowledge retention, motivation, and a deeper understanding of different subject areas. Furthermore, the table confirms that the study guide is a valuable educational tool, providing evidence that carefully designed supplementary materials can produce measurable improvements in students’ performance in Genetics.</w:t>
      </w:r>
    </w:p>
    <w:p w14:paraId="709BE65E" w14:textId="77777777" w:rsidR="00BD006D" w:rsidRPr="001239F4" w:rsidRDefault="00BD006D" w:rsidP="00BD006D">
      <w:pPr>
        <w:spacing w:after="0" w:line="240" w:lineRule="auto"/>
        <w:rPr>
          <w:rFonts w:ascii="Times New Roman" w:hAnsi="Times New Roman"/>
          <w:b/>
          <w:sz w:val="24"/>
          <w:szCs w:val="24"/>
        </w:rPr>
      </w:pPr>
      <w:r w:rsidRPr="001239F4">
        <w:rPr>
          <w:rFonts w:ascii="Times New Roman" w:hAnsi="Times New Roman"/>
          <w:b/>
          <w:sz w:val="24"/>
          <w:szCs w:val="24"/>
        </w:rPr>
        <w:t>Differences in the Post-Test Scores of the Control and Experimental Groups</w:t>
      </w:r>
    </w:p>
    <w:p w14:paraId="27E18C73" w14:textId="77777777" w:rsidR="00BD006D" w:rsidRPr="001239F4" w:rsidRDefault="00BD006D" w:rsidP="00BD006D">
      <w:pPr>
        <w:spacing w:after="0"/>
        <w:ind w:firstLine="720"/>
        <w:rPr>
          <w:rFonts w:ascii="Times New Roman" w:hAnsi="Times New Roman"/>
          <w:i/>
          <w:iCs/>
          <w:sz w:val="24"/>
          <w:szCs w:val="24"/>
        </w:rPr>
      </w:pPr>
      <w:r w:rsidRPr="001239F4">
        <w:rPr>
          <w:rFonts w:ascii="Times New Roman" w:hAnsi="Times New Roman"/>
          <w:i/>
          <w:iCs/>
          <w:sz w:val="24"/>
          <w:szCs w:val="24"/>
        </w:rPr>
        <w:t xml:space="preserve">Determine if there is a significant difference between the posttest scores of the control and </w:t>
      </w:r>
    </w:p>
    <w:p w14:paraId="12D5EBA0" w14:textId="77777777" w:rsidR="00BD006D" w:rsidRPr="001239F4" w:rsidRDefault="00BD006D" w:rsidP="00BD006D">
      <w:pPr>
        <w:spacing w:after="0"/>
        <w:rPr>
          <w:rFonts w:ascii="Times New Roman" w:hAnsi="Times New Roman"/>
          <w:i/>
          <w:iCs/>
          <w:sz w:val="24"/>
          <w:szCs w:val="24"/>
        </w:rPr>
      </w:pPr>
      <w:r w:rsidRPr="001239F4">
        <w:rPr>
          <w:rFonts w:ascii="Times New Roman" w:hAnsi="Times New Roman"/>
          <w:i/>
          <w:iCs/>
          <w:sz w:val="24"/>
          <w:szCs w:val="24"/>
        </w:rPr>
        <w:t>experimental group.</w:t>
      </w:r>
    </w:p>
    <w:p w14:paraId="33BD166B"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8</w:t>
      </w:r>
    </w:p>
    <w:p w14:paraId="7811D0AC" w14:textId="77777777" w:rsidR="00BD006D" w:rsidRPr="001239F4" w:rsidRDefault="00BD006D" w:rsidP="00BD006D">
      <w:pPr>
        <w:spacing w:after="0" w:line="240" w:lineRule="auto"/>
        <w:jc w:val="center"/>
        <w:rPr>
          <w:rFonts w:ascii="Times New Roman" w:hAnsi="Times New Roman"/>
          <w:bCs/>
          <w:sz w:val="24"/>
          <w:szCs w:val="24"/>
        </w:rPr>
      </w:pPr>
      <w:r w:rsidRPr="001239F4">
        <w:rPr>
          <w:rFonts w:ascii="Times New Roman" w:hAnsi="Times New Roman"/>
          <w:bCs/>
          <w:sz w:val="24"/>
          <w:szCs w:val="24"/>
        </w:rPr>
        <w:t>Differences in the Post-Test Scores of Students from the Experimental and Control Groups</w:t>
      </w:r>
    </w:p>
    <w:p w14:paraId="5E7F5377"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p>
    <w:tbl>
      <w:tblPr>
        <w:tblW w:w="8637" w:type="dxa"/>
        <w:jc w:val="center"/>
        <w:tblBorders>
          <w:top w:val="single" w:sz="18" w:space="0" w:color="auto"/>
          <w:bottom w:val="single" w:sz="18" w:space="0" w:color="auto"/>
        </w:tblBorders>
        <w:tblLook w:val="04A0" w:firstRow="1" w:lastRow="0" w:firstColumn="1" w:lastColumn="0" w:noHBand="0" w:noVBand="1"/>
      </w:tblPr>
      <w:tblGrid>
        <w:gridCol w:w="3684"/>
        <w:gridCol w:w="1560"/>
        <w:gridCol w:w="1259"/>
        <w:gridCol w:w="2134"/>
      </w:tblGrid>
      <w:tr w:rsidR="00BD006D" w:rsidRPr="001239F4" w14:paraId="4F5B38F7" w14:textId="77777777" w:rsidTr="00525475">
        <w:trPr>
          <w:trHeight w:val="321"/>
          <w:jc w:val="center"/>
        </w:trPr>
        <w:tc>
          <w:tcPr>
            <w:tcW w:w="3684" w:type="dxa"/>
            <w:tcBorders>
              <w:bottom w:val="single" w:sz="18" w:space="0" w:color="auto"/>
            </w:tcBorders>
          </w:tcPr>
          <w:p w14:paraId="55B1D52B" w14:textId="77777777" w:rsidR="00BD006D" w:rsidRPr="001239F4" w:rsidRDefault="00BD006D" w:rsidP="00525475">
            <w:pPr>
              <w:spacing w:after="0"/>
              <w:rPr>
                <w:rFonts w:ascii="Times New Roman" w:hAnsi="Times New Roman"/>
                <w:sz w:val="20"/>
                <w:szCs w:val="20"/>
              </w:rPr>
            </w:pPr>
          </w:p>
        </w:tc>
        <w:tc>
          <w:tcPr>
            <w:tcW w:w="1560" w:type="dxa"/>
            <w:tcBorders>
              <w:bottom w:val="single" w:sz="18" w:space="0" w:color="auto"/>
            </w:tcBorders>
          </w:tcPr>
          <w:p w14:paraId="224BC3C4"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Mean Score</w:t>
            </w:r>
          </w:p>
        </w:tc>
        <w:tc>
          <w:tcPr>
            <w:tcW w:w="1259" w:type="dxa"/>
            <w:tcBorders>
              <w:bottom w:val="single" w:sz="18" w:space="0" w:color="auto"/>
            </w:tcBorders>
          </w:tcPr>
          <w:p w14:paraId="4FA1F451"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P-Value</w:t>
            </w:r>
          </w:p>
        </w:tc>
        <w:tc>
          <w:tcPr>
            <w:tcW w:w="2134" w:type="dxa"/>
            <w:tcBorders>
              <w:bottom w:val="single" w:sz="18" w:space="0" w:color="auto"/>
            </w:tcBorders>
          </w:tcPr>
          <w:p w14:paraId="1326B786"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Interpretation</w:t>
            </w:r>
          </w:p>
        </w:tc>
      </w:tr>
      <w:tr w:rsidR="00BD006D" w:rsidRPr="001239F4" w14:paraId="1F4D5FA7" w14:textId="77777777" w:rsidTr="00525475">
        <w:trPr>
          <w:trHeight w:val="443"/>
          <w:jc w:val="center"/>
        </w:trPr>
        <w:tc>
          <w:tcPr>
            <w:tcW w:w="3684" w:type="dxa"/>
            <w:tcBorders>
              <w:top w:val="nil"/>
            </w:tcBorders>
          </w:tcPr>
          <w:p w14:paraId="79A538CA" w14:textId="77777777" w:rsidR="00BD006D" w:rsidRPr="001239F4" w:rsidRDefault="00BD006D" w:rsidP="00525475">
            <w:pPr>
              <w:spacing w:after="0" w:line="240" w:lineRule="auto"/>
              <w:ind w:left="1023"/>
              <w:rPr>
                <w:rFonts w:ascii="Times New Roman" w:hAnsi="Times New Roman"/>
                <w:sz w:val="20"/>
                <w:szCs w:val="20"/>
              </w:rPr>
            </w:pPr>
            <w:r w:rsidRPr="001239F4">
              <w:rPr>
                <w:rFonts w:ascii="Times New Roman" w:hAnsi="Times New Roman"/>
                <w:sz w:val="20"/>
                <w:szCs w:val="20"/>
              </w:rPr>
              <w:t>Control Group</w:t>
            </w:r>
          </w:p>
        </w:tc>
        <w:tc>
          <w:tcPr>
            <w:tcW w:w="1560" w:type="dxa"/>
            <w:tcBorders>
              <w:top w:val="nil"/>
            </w:tcBorders>
          </w:tcPr>
          <w:p w14:paraId="52808E26"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14.97</w:t>
            </w:r>
          </w:p>
        </w:tc>
        <w:tc>
          <w:tcPr>
            <w:tcW w:w="1259" w:type="dxa"/>
            <w:vMerge w:val="restart"/>
            <w:tcBorders>
              <w:top w:val="nil"/>
            </w:tcBorders>
            <w:vAlign w:val="center"/>
          </w:tcPr>
          <w:p w14:paraId="28DA2FE2" w14:textId="77777777" w:rsidR="00BD006D" w:rsidRPr="001239F4" w:rsidRDefault="00BD006D" w:rsidP="00525475">
            <w:pPr>
              <w:spacing w:after="0" w:line="240" w:lineRule="auto"/>
              <w:rPr>
                <w:rFonts w:ascii="Times New Roman" w:hAnsi="Times New Roman"/>
                <w:sz w:val="20"/>
                <w:szCs w:val="20"/>
              </w:rPr>
            </w:pPr>
            <w:r w:rsidRPr="001239F4">
              <w:rPr>
                <w:rFonts w:ascii="Times New Roman" w:hAnsi="Times New Roman"/>
                <w:sz w:val="20"/>
                <w:szCs w:val="20"/>
              </w:rPr>
              <w:t xml:space="preserve">    0.0152**</w:t>
            </w:r>
          </w:p>
        </w:tc>
        <w:tc>
          <w:tcPr>
            <w:tcW w:w="2134" w:type="dxa"/>
            <w:vMerge w:val="restart"/>
            <w:tcBorders>
              <w:top w:val="nil"/>
            </w:tcBorders>
            <w:vAlign w:val="center"/>
          </w:tcPr>
          <w:p w14:paraId="556BB00A" w14:textId="77777777" w:rsidR="00BD006D" w:rsidRPr="001239F4" w:rsidRDefault="00BD006D" w:rsidP="00525475">
            <w:pPr>
              <w:spacing w:after="0" w:line="240" w:lineRule="auto"/>
              <w:rPr>
                <w:rFonts w:ascii="Times New Roman" w:hAnsi="Times New Roman"/>
                <w:sz w:val="20"/>
                <w:szCs w:val="20"/>
              </w:rPr>
            </w:pPr>
            <w:r w:rsidRPr="001239F4">
              <w:rPr>
                <w:rFonts w:ascii="Times New Roman" w:hAnsi="Times New Roman"/>
                <w:sz w:val="20"/>
                <w:szCs w:val="20"/>
              </w:rPr>
              <w:t xml:space="preserve">         Significant</w:t>
            </w:r>
          </w:p>
        </w:tc>
      </w:tr>
      <w:tr w:rsidR="00BD006D" w:rsidRPr="001239F4" w14:paraId="679F9C38" w14:textId="77777777" w:rsidTr="00525475">
        <w:trPr>
          <w:trHeight w:val="430"/>
          <w:jc w:val="center"/>
        </w:trPr>
        <w:tc>
          <w:tcPr>
            <w:tcW w:w="3684" w:type="dxa"/>
            <w:tcBorders>
              <w:bottom w:val="single" w:sz="18" w:space="0" w:color="auto"/>
            </w:tcBorders>
          </w:tcPr>
          <w:p w14:paraId="765B5258" w14:textId="77777777" w:rsidR="00BD006D" w:rsidRPr="001239F4" w:rsidRDefault="00BD006D" w:rsidP="00525475">
            <w:pPr>
              <w:spacing w:after="0" w:line="240" w:lineRule="auto"/>
              <w:ind w:left="1023"/>
              <w:rPr>
                <w:rFonts w:ascii="Times New Roman" w:hAnsi="Times New Roman"/>
                <w:sz w:val="20"/>
                <w:szCs w:val="20"/>
              </w:rPr>
            </w:pPr>
            <w:r w:rsidRPr="001239F4">
              <w:rPr>
                <w:rFonts w:ascii="Times New Roman" w:hAnsi="Times New Roman"/>
                <w:sz w:val="20"/>
                <w:szCs w:val="20"/>
              </w:rPr>
              <w:t>Experimental Group</w:t>
            </w:r>
          </w:p>
        </w:tc>
        <w:tc>
          <w:tcPr>
            <w:tcW w:w="1560" w:type="dxa"/>
            <w:tcBorders>
              <w:bottom w:val="single" w:sz="18" w:space="0" w:color="auto"/>
            </w:tcBorders>
          </w:tcPr>
          <w:p w14:paraId="28730184"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20.12</w:t>
            </w:r>
          </w:p>
        </w:tc>
        <w:tc>
          <w:tcPr>
            <w:tcW w:w="1259" w:type="dxa"/>
            <w:vMerge/>
            <w:tcBorders>
              <w:bottom w:val="single" w:sz="18" w:space="0" w:color="auto"/>
            </w:tcBorders>
          </w:tcPr>
          <w:p w14:paraId="5F0DEF0E" w14:textId="77777777" w:rsidR="00BD006D" w:rsidRPr="001239F4" w:rsidRDefault="00BD006D" w:rsidP="00525475">
            <w:pPr>
              <w:spacing w:after="0" w:line="240" w:lineRule="auto"/>
              <w:rPr>
                <w:rFonts w:ascii="Times New Roman" w:hAnsi="Times New Roman"/>
                <w:sz w:val="20"/>
                <w:szCs w:val="20"/>
              </w:rPr>
            </w:pPr>
          </w:p>
        </w:tc>
        <w:tc>
          <w:tcPr>
            <w:tcW w:w="2134" w:type="dxa"/>
            <w:vMerge/>
            <w:tcBorders>
              <w:bottom w:val="single" w:sz="18" w:space="0" w:color="auto"/>
            </w:tcBorders>
          </w:tcPr>
          <w:p w14:paraId="3498DE94" w14:textId="77777777" w:rsidR="00BD006D" w:rsidRPr="001239F4" w:rsidRDefault="00BD006D" w:rsidP="00525475">
            <w:pPr>
              <w:spacing w:after="0" w:line="240" w:lineRule="auto"/>
              <w:rPr>
                <w:rFonts w:ascii="Times New Roman" w:hAnsi="Times New Roman"/>
                <w:sz w:val="20"/>
                <w:szCs w:val="20"/>
              </w:rPr>
            </w:pPr>
          </w:p>
        </w:tc>
      </w:tr>
    </w:tbl>
    <w:p w14:paraId="713902FB" w14:textId="77777777" w:rsidR="00BD006D" w:rsidRPr="001239F4" w:rsidRDefault="00BD006D" w:rsidP="00BD006D">
      <w:pPr>
        <w:spacing w:after="0" w:line="240" w:lineRule="auto"/>
        <w:ind w:firstLine="720"/>
        <w:rPr>
          <w:rFonts w:ascii="Times New Roman" w:hAnsi="Times New Roman"/>
          <w:sz w:val="20"/>
          <w:szCs w:val="20"/>
        </w:rPr>
      </w:pPr>
      <w:r w:rsidRPr="001239F4">
        <w:rPr>
          <w:rFonts w:ascii="Times New Roman" w:hAnsi="Times New Roman"/>
          <w:b/>
          <w:bCs/>
          <w:sz w:val="20"/>
          <w:szCs w:val="20"/>
        </w:rPr>
        <w:t>Legend</w:t>
      </w:r>
      <w:r w:rsidRPr="001239F4">
        <w:rPr>
          <w:rFonts w:ascii="Times New Roman" w:hAnsi="Times New Roman"/>
          <w:sz w:val="20"/>
          <w:szCs w:val="20"/>
        </w:rPr>
        <w:t>: **Significant at 0.05 level of significance</w:t>
      </w:r>
    </w:p>
    <w:p w14:paraId="333453F1" w14:textId="77777777" w:rsidR="00BD006D" w:rsidRPr="001239F4" w:rsidRDefault="00BD006D" w:rsidP="00BD006D">
      <w:pPr>
        <w:spacing w:after="0" w:line="240" w:lineRule="auto"/>
        <w:jc w:val="both"/>
        <w:rPr>
          <w:rFonts w:ascii="Times New Roman" w:hAnsi="Times New Roman"/>
          <w:sz w:val="24"/>
          <w:szCs w:val="24"/>
        </w:rPr>
      </w:pPr>
    </w:p>
    <w:p w14:paraId="798508A8"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Table 8 presents a comparison of post-test scores between the experimental and control groups to assess the effect of the study guide on students’ learning outcomes in Genetics. The control group achieved a mean post-test score of 14.97, while the experimental group recorded a mean of 20.12. The observed difference yielded a p-value of 0.0152, which is significant at the 0.05 level. This statistical result indicates that students who utilized the study guide performed significantly better than those who received traditional instruction, demonstrating that the study guide contributed to deeper comprehension, higher retention, and improved application of Genetics concepts.</w:t>
      </w:r>
    </w:p>
    <w:p w14:paraId="7FAA1980" w14:textId="77777777" w:rsidR="00BD006D" w:rsidRPr="001239F4" w:rsidRDefault="00BD006D" w:rsidP="00BD006D">
      <w:pPr>
        <w:spacing w:after="0" w:line="240" w:lineRule="auto"/>
        <w:jc w:val="both"/>
        <w:rPr>
          <w:rFonts w:ascii="Times New Roman" w:hAnsi="Times New Roman"/>
          <w:sz w:val="24"/>
          <w:szCs w:val="24"/>
        </w:rPr>
      </w:pPr>
    </w:p>
    <w:p w14:paraId="3BA14919"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This finding is supported by recent research in the Philippines that emphasizes the positive impact of well-designed instructional materials on student achievement in science. For example, Balan (2018) found that students strongly perceived the study guide to be very effective as a supplemental tool for learning genetics concepts. He also found that the study guide includes features that motivate students to learn and understand genetics. Similarly, Rubio (2025) highlighted that by using a variety of instructional tools, implementing innovative teaching strategies, and adapting to diverse learning contexts, educators can enhance their students' overall learning outcomes and experiences. Also, Bacia (2025) underscores the importance of incorporating diverse and engaging instructional materials into pedagogical practices to optimize learning outcomes and foster students' academic success.</w:t>
      </w:r>
    </w:p>
    <w:p w14:paraId="357E18D4" w14:textId="77777777" w:rsidR="00BD006D" w:rsidRPr="001239F4" w:rsidRDefault="00BD006D" w:rsidP="00BD006D">
      <w:pPr>
        <w:spacing w:after="0" w:line="240" w:lineRule="auto"/>
        <w:jc w:val="both"/>
        <w:rPr>
          <w:rFonts w:ascii="Times New Roman" w:hAnsi="Times New Roman"/>
          <w:sz w:val="24"/>
          <w:szCs w:val="24"/>
        </w:rPr>
      </w:pPr>
    </w:p>
    <w:p w14:paraId="4F6970F1"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Furthermore, the significant difference in post-test performance between the experimental and control groups underscores the effectiveness of the study guide as a pedagogical intervention. It suggests that the guide not only provided more comprehensive coverage of content but also facilitated meaningful learning experiences that traditional instruction alone could not fully deliver. These results provide empirical support for integrating learner-centered materials into science curricula to enhance academic outcomes, particularly in challenging subjects such as Genetics.</w:t>
      </w:r>
    </w:p>
    <w:p w14:paraId="478DD4BA" w14:textId="77777777" w:rsidR="00BD006D" w:rsidRDefault="00BD006D" w:rsidP="00BD006D">
      <w:pPr>
        <w:spacing w:after="0" w:line="240" w:lineRule="auto"/>
        <w:jc w:val="both"/>
        <w:rPr>
          <w:rFonts w:ascii="Times New Roman" w:hAnsi="Times New Roman"/>
          <w:sz w:val="24"/>
          <w:szCs w:val="24"/>
        </w:rPr>
      </w:pPr>
    </w:p>
    <w:p w14:paraId="4873561D" w14:textId="77777777" w:rsidR="00BD006D" w:rsidRPr="001239F4" w:rsidRDefault="00BD006D" w:rsidP="00BD006D">
      <w:pPr>
        <w:spacing w:after="0" w:line="240" w:lineRule="auto"/>
        <w:rPr>
          <w:rFonts w:ascii="Times New Roman" w:hAnsi="Times New Roman"/>
          <w:b/>
          <w:bCs/>
          <w:sz w:val="28"/>
          <w:szCs w:val="28"/>
        </w:rPr>
      </w:pPr>
      <w:r w:rsidRPr="001239F4">
        <w:rPr>
          <w:rFonts w:ascii="Times New Roman" w:hAnsi="Times New Roman"/>
          <w:b/>
          <w:bCs/>
          <w:sz w:val="28"/>
          <w:szCs w:val="28"/>
        </w:rPr>
        <w:t>CONCLUSION</w:t>
      </w:r>
    </w:p>
    <w:p w14:paraId="0BBB68E3" w14:textId="77777777" w:rsidR="00BD006D" w:rsidRDefault="00BD006D" w:rsidP="00BD006D">
      <w:pPr>
        <w:spacing w:after="0" w:line="240" w:lineRule="auto"/>
        <w:jc w:val="both"/>
        <w:rPr>
          <w:rFonts w:ascii="Times New Roman" w:hAnsi="Times New Roman"/>
          <w:sz w:val="24"/>
          <w:szCs w:val="24"/>
        </w:rPr>
      </w:pPr>
    </w:p>
    <w:p w14:paraId="2FB3717B"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Also, School Administrators should provide professional development and training programs for teachers on the </w:t>
      </w:r>
      <w:r>
        <w:rPr>
          <w:rFonts w:ascii="Times New Roman" w:hAnsi="Times New Roman"/>
          <w:sz w:val="24"/>
          <w:szCs w:val="24"/>
        </w:rPr>
        <w:t>effectiv</w:t>
      </w:r>
      <w:r w:rsidRPr="001239F4">
        <w:rPr>
          <w:rFonts w:ascii="Times New Roman" w:hAnsi="Times New Roman"/>
          <w:sz w:val="24"/>
          <w:szCs w:val="24"/>
        </w:rPr>
        <w:t xml:space="preserve">e. To shed light on the foregoing findings in this investigation, the following conclusion was inferred. Firstly, the experts’ level of acceptance of the developed study guide in Genetics in terms of </w:t>
      </w:r>
      <w:r w:rsidRPr="001239F4">
        <w:rPr>
          <w:rFonts w:ascii="Times New Roman" w:hAnsi="Times New Roman"/>
          <w:bCs/>
          <w:sz w:val="24"/>
          <w:szCs w:val="24"/>
        </w:rPr>
        <w:t xml:space="preserve">(a) the relevance and accuracy of the content, clarity of format, effectiveness of presentation and organization, and the timeliness or up-to-datedness of the information </w:t>
      </w:r>
      <w:r w:rsidRPr="001239F4">
        <w:rPr>
          <w:rFonts w:ascii="Times New Roman" w:hAnsi="Times New Roman"/>
          <w:sz w:val="24"/>
          <w:szCs w:val="24"/>
        </w:rPr>
        <w:t xml:space="preserve">is very satisfactory. Secondly, the study guide significantly improved students’ performance in Genetics, as evidenced by the marked increase in post-test scores. </w:t>
      </w:r>
    </w:p>
    <w:p w14:paraId="12154B30" w14:textId="77777777" w:rsidR="00BD006D" w:rsidRDefault="00BD006D" w:rsidP="00BD006D">
      <w:pPr>
        <w:spacing w:after="0" w:line="240" w:lineRule="auto"/>
        <w:jc w:val="both"/>
        <w:rPr>
          <w:rFonts w:ascii="Times New Roman" w:hAnsi="Times New Roman"/>
          <w:sz w:val="24"/>
          <w:szCs w:val="24"/>
        </w:rPr>
      </w:pPr>
    </w:p>
    <w:p w14:paraId="55F21933" w14:textId="77777777" w:rsidR="00BD006D" w:rsidRPr="001239F4" w:rsidRDefault="00BD006D" w:rsidP="00BD006D">
      <w:pPr>
        <w:spacing w:after="0" w:line="240" w:lineRule="auto"/>
        <w:jc w:val="both"/>
        <w:rPr>
          <w:rFonts w:ascii="Times New Roman" w:hAnsi="Times New Roman"/>
          <w:b/>
          <w:bCs/>
          <w:sz w:val="24"/>
          <w:szCs w:val="24"/>
        </w:rPr>
      </w:pPr>
      <w:r w:rsidRPr="001239F4">
        <w:rPr>
          <w:rFonts w:ascii="Times New Roman" w:hAnsi="Times New Roman"/>
          <w:sz w:val="24"/>
          <w:szCs w:val="24"/>
        </w:rPr>
        <w:t>In addition, conventional instruction yielded modest gains, but many students still struggled to master Genetics concepts. Also, the experimental group’s significant improvement demonstrates that the study guide was more effective than traditional teaching methods in enhancing learning outcomes. Lastly, students who used the study guide achieved higher post-test scores than those in the control group, confirming the guide’s effectiveness in promoting deeper understanding and application of Genetics knowledge.</w:t>
      </w:r>
    </w:p>
    <w:p w14:paraId="43BD8C2C" w14:textId="77777777" w:rsidR="00BD006D" w:rsidRPr="001239F4" w:rsidRDefault="00BD006D" w:rsidP="00BD006D">
      <w:pPr>
        <w:spacing w:after="0" w:line="240" w:lineRule="auto"/>
        <w:jc w:val="right"/>
        <w:rPr>
          <w:rFonts w:ascii="Times New Roman" w:hAnsi="Times New Roman"/>
          <w:sz w:val="24"/>
          <w:szCs w:val="24"/>
        </w:rPr>
      </w:pPr>
    </w:p>
    <w:p w14:paraId="59B75B3C" w14:textId="77777777" w:rsidR="00BD006D" w:rsidRPr="001239F4" w:rsidRDefault="00BD006D" w:rsidP="00BD006D">
      <w:pPr>
        <w:spacing w:after="0" w:line="240" w:lineRule="auto"/>
        <w:jc w:val="both"/>
        <w:rPr>
          <w:rFonts w:ascii="Times New Roman" w:hAnsi="Times New Roman"/>
          <w:b/>
          <w:bCs/>
          <w:sz w:val="28"/>
          <w:szCs w:val="28"/>
        </w:rPr>
      </w:pPr>
      <w:r w:rsidRPr="001239F4">
        <w:rPr>
          <w:rFonts w:ascii="Times New Roman" w:hAnsi="Times New Roman"/>
          <w:b/>
          <w:bCs/>
          <w:sz w:val="28"/>
          <w:szCs w:val="28"/>
        </w:rPr>
        <w:t>RECOMMENDATION</w:t>
      </w:r>
    </w:p>
    <w:p w14:paraId="6A33F22C" w14:textId="77777777" w:rsidR="00BD006D" w:rsidRDefault="00BD006D" w:rsidP="00BD006D">
      <w:pPr>
        <w:spacing w:after="0"/>
        <w:jc w:val="both"/>
        <w:rPr>
          <w:rFonts w:ascii="Times New Roman" w:hAnsi="Times New Roman"/>
          <w:b/>
          <w:bCs/>
          <w:sz w:val="24"/>
          <w:szCs w:val="24"/>
        </w:rPr>
      </w:pPr>
    </w:p>
    <w:p w14:paraId="65DE78F8" w14:textId="77777777" w:rsidR="00BD006D" w:rsidRPr="001239F4"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 xml:space="preserve">Based on the study's findings and conclusions, the following are strongly recommended for the use of the study's results. </w:t>
      </w:r>
      <w:r w:rsidRPr="001239F4">
        <w:rPr>
          <w:rFonts w:ascii="Times New Roman" w:eastAsia="Times New Roman" w:hAnsi="Times New Roman"/>
          <w:sz w:val="24"/>
          <w:szCs w:val="24"/>
        </w:rPr>
        <w:t>For teachers, they should integrate the study guide into daily instruction to reinforce conceptual understanding, facilitate critical thinking, and encourage problem-solving. Teachers should guide students to actively engage with the content, analyze and evaluate concepts, and apply knowledge to real-world situations, thereby strengthening both comprehension and interest in Genetics.</w:t>
      </w:r>
      <w:r w:rsidRPr="001239F4">
        <w:rPr>
          <w:rFonts w:ascii="Times New Roman" w:hAnsi="Times New Roman"/>
          <w:sz w:val="24"/>
          <w:szCs w:val="24"/>
        </w:rPr>
        <w:t xml:space="preserve"> Also, the </w:t>
      </w:r>
      <w:r w:rsidRPr="001239F4">
        <w:rPr>
          <w:rFonts w:ascii="Times New Roman" w:eastAsia="Times New Roman" w:hAnsi="Times New Roman"/>
          <w:sz w:val="24"/>
          <w:szCs w:val="24"/>
        </w:rPr>
        <w:t xml:space="preserve">students should use the study guide for independent learning and review, completing exercises and practice activities consistently to enhance knowledge retention, develop effective study habits, and build confidence in performing Genetics tasks. </w:t>
      </w:r>
    </w:p>
    <w:p w14:paraId="22D3AD05" w14:textId="77777777" w:rsidR="00BD006D" w:rsidRDefault="00BD006D" w:rsidP="00BD006D">
      <w:pPr>
        <w:spacing w:after="0"/>
        <w:jc w:val="both"/>
        <w:rPr>
          <w:rFonts w:ascii="Times New Roman" w:hAnsi="Times New Roman"/>
          <w:sz w:val="24"/>
          <w:szCs w:val="24"/>
        </w:rPr>
      </w:pPr>
    </w:p>
    <w:p w14:paraId="2DA15403" w14:textId="77777777" w:rsidR="00BD006D" w:rsidRPr="001239F4"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 xml:space="preserve">The </w:t>
      </w:r>
      <w:r w:rsidRPr="001239F4">
        <w:rPr>
          <w:rFonts w:ascii="Times New Roman" w:eastAsia="Times New Roman" w:hAnsi="Times New Roman"/>
          <w:sz w:val="24"/>
          <w:szCs w:val="24"/>
        </w:rPr>
        <w:t>Curriculum Developers should expand the creation of learner-centered, structured instructional materials for other science subjects, ensuring alignment with curriculum objectives, cognitive readiness, and learner needs. Emphasis should be placed on promoting higher- order thinking, inquiry, and problem-solving skills across all science topics.</w:t>
      </w:r>
    </w:p>
    <w:p w14:paraId="2120BD99" w14:textId="77777777" w:rsidR="00BD006D" w:rsidRDefault="00BD006D" w:rsidP="00BD006D">
      <w:pPr>
        <w:spacing w:after="0"/>
        <w:jc w:val="both"/>
        <w:rPr>
          <w:rFonts w:ascii="Times New Roman" w:hAnsi="Times New Roman"/>
          <w:sz w:val="24"/>
          <w:szCs w:val="24"/>
        </w:rPr>
      </w:pPr>
    </w:p>
    <w:p w14:paraId="00166D81" w14:textId="77777777" w:rsidR="00BD006D"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Also, School Administrators should provide professional development and training programs for teachers on the effective implementation of study guides, emphasizing strategies to engage students, foster motivation, and facilitate meaningful learning</w:t>
      </w:r>
      <w:r w:rsidRPr="001239F4">
        <w:rPr>
          <w:rFonts w:ascii="Times New Roman" w:eastAsia="Times New Roman" w:hAnsi="Times New Roman"/>
          <w:sz w:val="24"/>
          <w:szCs w:val="24"/>
        </w:rPr>
        <w:t>. Administrators should also ensure sufficient resources for printing, distributing, and integrating instructional materials into classrooms.</w:t>
      </w:r>
    </w:p>
    <w:p w14:paraId="777395F2" w14:textId="77777777" w:rsidR="00BD006D" w:rsidRPr="001239F4" w:rsidRDefault="00BD006D" w:rsidP="00BD006D">
      <w:pPr>
        <w:spacing w:after="0"/>
        <w:jc w:val="both"/>
        <w:rPr>
          <w:rFonts w:ascii="Times New Roman" w:eastAsia="Times New Roman" w:hAnsi="Times New Roman"/>
          <w:sz w:val="24"/>
          <w:szCs w:val="24"/>
        </w:rPr>
      </w:pPr>
    </w:p>
    <w:p w14:paraId="284C6BF0" w14:textId="77777777" w:rsidR="00BD006D" w:rsidRPr="001239F4" w:rsidRDefault="00BD006D" w:rsidP="00BD006D">
      <w:pPr>
        <w:jc w:val="both"/>
        <w:rPr>
          <w:rFonts w:ascii="Times New Roman" w:eastAsia="Times New Roman" w:hAnsi="Times New Roman"/>
          <w:sz w:val="24"/>
          <w:szCs w:val="24"/>
        </w:rPr>
      </w:pPr>
      <w:r w:rsidRPr="001239F4">
        <w:rPr>
          <w:rFonts w:ascii="Times New Roman" w:eastAsia="Times New Roman" w:hAnsi="Times New Roman"/>
          <w:sz w:val="24"/>
          <w:szCs w:val="24"/>
        </w:rPr>
        <w:t>Moreover, future researchers should conduct longitudinal studies to examine the long-term effects of study guides on student achievement, knowledge retention, engagement, and attitudes toward Genetics. Research should also explore adapting similar learner-centered interventions to other complex science subjects. Furthermore, policymakers and educational planners should recognize and support the integration of structured, learner-centered instructional materials into the science curriculum to enhance teaching quality and improve student performance.</w:t>
      </w:r>
    </w:p>
    <w:p w14:paraId="16D5A397" w14:textId="77777777" w:rsidR="00BD006D" w:rsidRPr="001239F4" w:rsidRDefault="00BD006D" w:rsidP="00BD006D">
      <w:pPr>
        <w:pStyle w:val="NoSpacing"/>
        <w:jc w:val="both"/>
        <w:rPr>
          <w:rFonts w:ascii="Times New Roman" w:hAnsi="Times New Roman"/>
          <w:b/>
          <w:sz w:val="28"/>
          <w:szCs w:val="28"/>
        </w:rPr>
      </w:pPr>
      <w:r w:rsidRPr="001239F4">
        <w:rPr>
          <w:rFonts w:ascii="Times New Roman" w:hAnsi="Times New Roman"/>
          <w:b/>
          <w:sz w:val="28"/>
          <w:szCs w:val="28"/>
        </w:rPr>
        <w:t xml:space="preserve">ACKNOWLEDGEMENT </w:t>
      </w:r>
    </w:p>
    <w:p w14:paraId="1CF1A3AF" w14:textId="77777777" w:rsidR="00BD006D" w:rsidRDefault="00BD006D" w:rsidP="00BD006D">
      <w:pPr>
        <w:spacing w:after="11" w:line="240" w:lineRule="auto"/>
        <w:ind w:right="316"/>
        <w:jc w:val="both"/>
        <w:rPr>
          <w:rFonts w:ascii="Times New Roman" w:hAnsi="Times New Roman"/>
          <w:sz w:val="24"/>
          <w:szCs w:val="24"/>
        </w:rPr>
      </w:pPr>
    </w:p>
    <w:p w14:paraId="7D214384" w14:textId="77777777" w:rsidR="00BD006D" w:rsidRPr="001239F4" w:rsidRDefault="00BD006D" w:rsidP="00BD006D">
      <w:pPr>
        <w:spacing w:after="11" w:line="240" w:lineRule="auto"/>
        <w:ind w:right="316"/>
        <w:jc w:val="both"/>
        <w:rPr>
          <w:rFonts w:ascii="Times New Roman" w:hAnsi="Times New Roman"/>
          <w:sz w:val="24"/>
          <w:szCs w:val="24"/>
        </w:rPr>
      </w:pPr>
      <w:r w:rsidRPr="001239F4">
        <w:rPr>
          <w:rFonts w:ascii="Times New Roman" w:hAnsi="Times New Roman"/>
          <w:sz w:val="24"/>
          <w:szCs w:val="24"/>
        </w:rPr>
        <w:t>The researcher expresses her deepest gratitude to the individuals who generously provided their expertise, guidance, support, and encouragement, which made this endeavor a success.</w:t>
      </w:r>
    </w:p>
    <w:p w14:paraId="00282215" w14:textId="77777777" w:rsidR="00BD006D" w:rsidRDefault="00BD006D" w:rsidP="00BD006D">
      <w:pPr>
        <w:pStyle w:val="NoSpacing"/>
        <w:jc w:val="both"/>
        <w:rPr>
          <w:rFonts w:ascii="Times New Roman" w:hAnsi="Times New Roman"/>
          <w:b/>
          <w:bCs/>
          <w:sz w:val="24"/>
          <w:szCs w:val="24"/>
        </w:rPr>
      </w:pPr>
    </w:p>
    <w:p w14:paraId="1EB02E50" w14:textId="77777777" w:rsidR="00BD006D" w:rsidRDefault="00BD006D" w:rsidP="00BD006D">
      <w:pPr>
        <w:pStyle w:val="NoSpacing"/>
        <w:jc w:val="both"/>
        <w:rPr>
          <w:rFonts w:ascii="Times New Roman" w:hAnsi="Times New Roman"/>
          <w:sz w:val="24"/>
          <w:szCs w:val="24"/>
        </w:rPr>
      </w:pPr>
      <w:r w:rsidRPr="001239F4">
        <w:rPr>
          <w:rFonts w:ascii="Times New Roman" w:hAnsi="Times New Roman"/>
          <w:b/>
          <w:bCs/>
          <w:sz w:val="24"/>
          <w:szCs w:val="24"/>
        </w:rPr>
        <w:t xml:space="preserve">Mr. Alvin Jay Gomintong, </w:t>
      </w:r>
      <w:r w:rsidRPr="001239F4">
        <w:rPr>
          <w:rFonts w:ascii="Times New Roman" w:hAnsi="Times New Roman"/>
          <w:sz w:val="24"/>
          <w:szCs w:val="24"/>
        </w:rPr>
        <w:t>the researcher's husband, for his unconditional love, support, and understanding throughout this endeavor, and for his encouragement in fulfilling this study.</w:t>
      </w:r>
    </w:p>
    <w:p w14:paraId="67ED6CC2" w14:textId="77777777" w:rsidR="00BD006D" w:rsidRDefault="00BD006D" w:rsidP="00BD006D">
      <w:pPr>
        <w:pStyle w:val="NoSpacing"/>
        <w:jc w:val="both"/>
        <w:rPr>
          <w:rFonts w:ascii="Times New Roman" w:hAnsi="Times New Roman"/>
          <w:sz w:val="24"/>
          <w:szCs w:val="24"/>
        </w:rPr>
      </w:pPr>
    </w:p>
    <w:p w14:paraId="1A723176" w14:textId="77777777" w:rsidR="00BD006D" w:rsidRDefault="00BD006D" w:rsidP="00BD006D">
      <w:pPr>
        <w:rPr>
          <w:rFonts w:ascii="Times New Roman" w:hAnsi="Times New Roman"/>
          <w:sz w:val="24"/>
          <w:szCs w:val="24"/>
        </w:rPr>
      </w:pPr>
      <w:r w:rsidRPr="001239F4">
        <w:rPr>
          <w:rFonts w:ascii="Times New Roman" w:hAnsi="Times New Roman"/>
          <w:sz w:val="24"/>
          <w:szCs w:val="24"/>
        </w:rPr>
        <w:t>And above all, to</w:t>
      </w:r>
      <w:r w:rsidRPr="001239F4">
        <w:rPr>
          <w:rFonts w:ascii="Times New Roman" w:hAnsi="Times New Roman"/>
          <w:b/>
          <w:bCs/>
          <w:sz w:val="24"/>
          <w:szCs w:val="24"/>
        </w:rPr>
        <w:t xml:space="preserve"> God Almighty, </w:t>
      </w:r>
      <w:r w:rsidRPr="001239F4">
        <w:rPr>
          <w:rFonts w:ascii="Times New Roman" w:hAnsi="Times New Roman"/>
          <w:sz w:val="24"/>
          <w:szCs w:val="24"/>
        </w:rPr>
        <w:t>for His Divine Providence, grace, undying love, endless blessings, and boundless guidance that enabled the researcher to get through difficult times, personal upheavals, and all the challenges encountered in finishing this study</w:t>
      </w:r>
    </w:p>
    <w:p w14:paraId="42C2663A" w14:textId="77777777" w:rsidR="00BD006D" w:rsidRPr="005D17A4" w:rsidRDefault="00BD006D" w:rsidP="00BD006D">
      <w:pPr>
        <w:jc w:val="both"/>
        <w:rPr>
          <w:rFonts w:ascii="Times New Roman" w:hAnsi="Times New Roman"/>
          <w:b/>
          <w:bCs/>
          <w:sz w:val="28"/>
          <w:szCs w:val="28"/>
        </w:rPr>
      </w:pPr>
      <w:r w:rsidRPr="005D17A4">
        <w:rPr>
          <w:rFonts w:ascii="Times New Roman" w:hAnsi="Times New Roman"/>
          <w:b/>
          <w:bCs/>
          <w:sz w:val="28"/>
          <w:szCs w:val="28"/>
        </w:rPr>
        <w:t>REFERENCES</w:t>
      </w:r>
    </w:p>
    <w:p w14:paraId="36D89B62" w14:textId="77777777" w:rsidR="00BD006D" w:rsidRPr="005D17A4" w:rsidRDefault="00BD006D" w:rsidP="00BD006D">
      <w:pPr>
        <w:pStyle w:val="ListParagraph"/>
        <w:numPr>
          <w:ilvl w:val="0"/>
          <w:numId w:val="3"/>
        </w:numPr>
        <w:spacing w:after="0" w:line="240" w:lineRule="auto"/>
        <w:jc w:val="both"/>
        <w:rPr>
          <w:rFonts w:ascii="Times New Roman" w:hAnsi="Times New Roman"/>
          <w:bCs/>
          <w:sz w:val="24"/>
          <w:szCs w:val="24"/>
        </w:rPr>
      </w:pPr>
      <w:r w:rsidRPr="005D17A4">
        <w:rPr>
          <w:rFonts w:ascii="Times New Roman" w:hAnsi="Times New Roman"/>
          <w:bCs/>
          <w:sz w:val="24"/>
          <w:szCs w:val="24"/>
        </w:rPr>
        <w:t>Acosta, R. A. N. (2020).</w:t>
      </w:r>
      <w:r w:rsidRPr="005D17A4">
        <w:rPr>
          <w:rFonts w:ascii="Times New Roman" w:hAnsi="Times New Roman"/>
          <w:b/>
          <w:sz w:val="24"/>
          <w:szCs w:val="24"/>
        </w:rPr>
        <w:t xml:space="preserve"> </w:t>
      </w:r>
      <w:r w:rsidRPr="005D17A4">
        <w:rPr>
          <w:rFonts w:ascii="Times New Roman" w:hAnsi="Times New Roman"/>
          <w:bCs/>
          <w:sz w:val="24"/>
          <w:szCs w:val="24"/>
        </w:rPr>
        <w:t xml:space="preserve">Development and validation of Grade 10 science learning materials in selected Secondary Schools in District III, Division of Puerto Princesa City, Philippines. </w:t>
      </w:r>
      <w:r w:rsidRPr="005D17A4">
        <w:rPr>
          <w:rFonts w:ascii="Times New Roman" w:hAnsi="Times New Roman"/>
          <w:bCs/>
          <w:i/>
          <w:iCs/>
          <w:sz w:val="24"/>
          <w:szCs w:val="24"/>
        </w:rPr>
        <w:t>Journal of Educational Research in Developing Areas</w:t>
      </w:r>
    </w:p>
    <w:p w14:paraId="2ECDD00D"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shd w:val="clear" w:color="auto" w:fill="FFFFFF"/>
          <w:lang w:val="en-US"/>
        </w:rPr>
      </w:pPr>
      <w:r w:rsidRPr="00096E1F">
        <w:rPr>
          <w:color w:val="000000"/>
          <w:shd w:val="clear" w:color="auto" w:fill="FFFFFF"/>
          <w:lang w:val="en-US"/>
        </w:rPr>
        <w:t xml:space="preserve">Arzaga, J. (2021). Science leaderboard in </w:t>
      </w:r>
      <w:r w:rsidRPr="005D17A4">
        <w:rPr>
          <w:color w:val="000000"/>
          <w:shd w:val="clear" w:color="auto" w:fill="FFFFFF"/>
          <w:lang w:val="en-US"/>
        </w:rPr>
        <w:t xml:space="preserve">teaching Earth science for Grade 7 students of </w:t>
      </w:r>
      <w:proofErr w:type="spellStart"/>
      <w:r w:rsidRPr="005D17A4">
        <w:rPr>
          <w:color w:val="000000"/>
          <w:shd w:val="clear" w:color="auto" w:fill="FFFFFF"/>
          <w:lang w:val="en-US"/>
        </w:rPr>
        <w:t>Bahile</w:t>
      </w:r>
      <w:proofErr w:type="spellEnd"/>
      <w:r w:rsidRPr="005D17A4">
        <w:rPr>
          <w:color w:val="000000"/>
          <w:shd w:val="clear" w:color="auto" w:fill="FFFFFF"/>
          <w:lang w:val="en-US"/>
        </w:rPr>
        <w:t xml:space="preserve"> National High School for the school year 2018–2019</w:t>
      </w:r>
      <w:r w:rsidRPr="005D17A4">
        <w:rPr>
          <w:i/>
          <w:iCs/>
          <w:color w:val="000000"/>
          <w:shd w:val="clear" w:color="auto" w:fill="FFFFFF"/>
          <w:lang w:val="en-US"/>
        </w:rPr>
        <w:t>.</w:t>
      </w:r>
      <w:r w:rsidRPr="005D17A4">
        <w:rPr>
          <w:color w:val="000000"/>
          <w:shd w:val="clear" w:color="auto" w:fill="FFFFFF"/>
          <w:lang w:val="en-US"/>
        </w:rPr>
        <w:t xml:space="preserve"> </w:t>
      </w:r>
      <w:r w:rsidRPr="005D17A4">
        <w:rPr>
          <w:i/>
          <w:iCs/>
          <w:color w:val="000000"/>
          <w:shd w:val="clear" w:color="auto" w:fill="FFFFFF"/>
          <w:lang w:val="en-US"/>
        </w:rPr>
        <w:t xml:space="preserve">International Multidisciplinary Research Journal. </w:t>
      </w:r>
      <w:r w:rsidRPr="005D17A4">
        <w:rPr>
          <w:shd w:val="clear" w:color="auto" w:fill="FFFFFF"/>
          <w:lang w:val="en-US"/>
        </w:rPr>
        <w:t>https://doi.org/10.54476/iimrj297.</w:t>
      </w:r>
    </w:p>
    <w:p w14:paraId="28B34735"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lang w:bidi="th-TH"/>
        </w:rPr>
      </w:pPr>
      <w:r w:rsidRPr="00096E1F">
        <w:rPr>
          <w:color w:val="000000"/>
          <w:lang w:bidi="th-TH"/>
        </w:rPr>
        <w:t xml:space="preserve">Bacia, M. (2024). Role of instructional materials </w:t>
      </w:r>
      <w:r w:rsidRPr="005D17A4">
        <w:rPr>
          <w:color w:val="000000"/>
          <w:lang w:bidi="th-TH"/>
        </w:rPr>
        <w:t xml:space="preserve">in students' academic performance. </w:t>
      </w:r>
      <w:r w:rsidRPr="005D17A4">
        <w:rPr>
          <w:i/>
          <w:iCs/>
          <w:color w:val="000000"/>
          <w:lang w:val="en-US" w:bidi="th-TH"/>
        </w:rPr>
        <w:t>Research Invention Journal of Current Research in Humanities and Social Sciences (RIJCRHSS).</w:t>
      </w:r>
    </w:p>
    <w:p w14:paraId="00BF96D9"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096E1F">
        <w:rPr>
          <w:color w:val="000000"/>
        </w:rPr>
        <w:t xml:space="preserve">Balan, H. (2018). Use of study guide as </w:t>
      </w:r>
      <w:r w:rsidRPr="005D17A4">
        <w:rPr>
          <w:color w:val="000000"/>
        </w:rPr>
        <w:t xml:space="preserve">intervention tool in enhancing students’ motivation in Grade 8 genetics concepts. </w:t>
      </w:r>
      <w:r w:rsidRPr="005D17A4">
        <w:rPr>
          <w:i/>
          <w:iCs/>
          <w:color w:val="000000"/>
        </w:rPr>
        <w:t xml:space="preserve">Malaysian Online Journal of Educational Technology. </w:t>
      </w:r>
      <w:r w:rsidRPr="005D17A4">
        <w:rPr>
          <w:color w:val="000000"/>
        </w:rPr>
        <w:t xml:space="preserve">Retrieved from </w:t>
      </w:r>
      <w:hyperlink r:id="rId9" w:history="1">
        <w:r w:rsidRPr="00096E1F">
          <w:rPr>
            <w:rStyle w:val="Hyperlink"/>
          </w:rPr>
          <w:t>https://eric.ed.gov./?id=EJ1174809</w:t>
        </w:r>
      </w:hyperlink>
    </w:p>
    <w:p w14:paraId="510AA719"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Begum, S., Goud, B. K. M., Shetty, J. K., Zaki, B., &amp; </w:t>
      </w:r>
      <w:proofErr w:type="spellStart"/>
      <w:r w:rsidRPr="005D17A4">
        <w:rPr>
          <w:color w:val="000000"/>
          <w:lang w:bidi="th-TH"/>
        </w:rPr>
        <w:t>Sheelaharidas</w:t>
      </w:r>
      <w:proofErr w:type="spellEnd"/>
      <w:r w:rsidRPr="005D17A4">
        <w:rPr>
          <w:color w:val="000000"/>
          <w:lang w:bidi="th-TH"/>
        </w:rPr>
        <w:t>, S. (2016). Development of a study guide and students’ perception about it as an essential tool in learning biochemistry at RAK Medical &amp; Health Sciences University, Ras Al Khaimah</w:t>
      </w:r>
      <w:r w:rsidRPr="005D17A4">
        <w:rPr>
          <w:i/>
          <w:iCs/>
          <w:color w:val="000000"/>
          <w:lang w:val="en-US" w:bidi="th-TH"/>
        </w:rPr>
        <w:t xml:space="preserve">. </w:t>
      </w:r>
      <w:r w:rsidRPr="005D17A4">
        <w:rPr>
          <w:i/>
          <w:iCs/>
          <w:color w:val="000000"/>
          <w:lang w:bidi="th-TH"/>
        </w:rPr>
        <w:t>International Journal of Current Research in Medical Sciences.</w:t>
      </w:r>
      <w:r w:rsidRPr="005D17A4">
        <w:rPr>
          <w:color w:val="000000"/>
          <w:lang w:bidi="th-TH"/>
        </w:rPr>
        <w:t xml:space="preserve"> </w:t>
      </w:r>
      <w:hyperlink r:id="rId10" w:history="1">
        <w:r w:rsidRPr="00096E1F">
          <w:rPr>
            <w:rStyle w:val="Hyperlink"/>
            <w:lang w:bidi="th-TH"/>
          </w:rPr>
          <w:t>http://s-o-i.org/1.15/ijcrms-2016-2-4-3</w:t>
        </w:r>
      </w:hyperlink>
    </w:p>
    <w:p w14:paraId="20B940A1"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Biggs, J., Tang, C. &amp; Kennedy, G. (2022). </w:t>
      </w:r>
      <w:r w:rsidRPr="005D17A4">
        <w:rPr>
          <w:i/>
          <w:iCs/>
          <w:color w:val="000000"/>
          <w:lang w:bidi="th-TH"/>
        </w:rPr>
        <w:t>Teaching for quality learning at university</w:t>
      </w:r>
      <w:r w:rsidRPr="005D17A4">
        <w:rPr>
          <w:color w:val="000000"/>
          <w:lang w:bidi="th-TH"/>
        </w:rPr>
        <w:t xml:space="preserve"> (5th ed.). Open University Press.</w:t>
      </w:r>
    </w:p>
    <w:p w14:paraId="7DF1178F"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Clark, R. C., &amp; Mayer, R. E. (2016). </w:t>
      </w:r>
      <w:r w:rsidRPr="005D17A4">
        <w:rPr>
          <w:i/>
          <w:iCs/>
          <w:color w:val="000000"/>
          <w:lang w:bidi="th-TH"/>
        </w:rPr>
        <w:t>E-learning and the science of instruction: Proven guidelines for consumers and designers of multimedia learning</w:t>
      </w:r>
      <w:r w:rsidRPr="005D17A4">
        <w:rPr>
          <w:color w:val="000000"/>
          <w:lang w:bidi="th-TH"/>
        </w:rPr>
        <w:t xml:space="preserve"> (5th ed.). </w:t>
      </w:r>
      <w:hyperlink r:id="rId11" w:history="1">
        <w:r w:rsidRPr="00096E1F">
          <w:rPr>
            <w:rStyle w:val="Hyperlink"/>
            <w:lang w:bidi="th-TH"/>
          </w:rPr>
          <w:t>https://doi.org/10.1002/9781119239086</w:t>
        </w:r>
      </w:hyperlink>
    </w:p>
    <w:p w14:paraId="2521B632"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rPr>
        <w:t xml:space="preserve">Conderman, G., &amp; Bresnahan, V. (2009). Study guide to the rescue. </w:t>
      </w:r>
      <w:r w:rsidRPr="005D17A4">
        <w:rPr>
          <w:i/>
          <w:iCs/>
          <w:color w:val="000000"/>
        </w:rPr>
        <w:t xml:space="preserve">Intervention in School and Clinic. Retrieved from </w:t>
      </w:r>
      <w:hyperlink r:id="rId12" w:history="1">
        <w:r w:rsidRPr="00096E1F">
          <w:rPr>
            <w:rStyle w:val="Hyperlink"/>
          </w:rPr>
          <w:t>https://eric.ed.gov/?q=technology+and+affects+and+education&amp;pg=24368&amp;id=EJ874398</w:t>
        </w:r>
      </w:hyperlink>
      <w:r w:rsidRPr="00096E1F">
        <w:t>.</w:t>
      </w:r>
    </w:p>
    <w:p w14:paraId="19576FB6"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shd w:val="clear" w:color="auto" w:fill="FFFFFF"/>
        </w:rPr>
        <w:t xml:space="preserve">Doğru-Atay, P., &amp; </w:t>
      </w:r>
      <w:proofErr w:type="spellStart"/>
      <w:r w:rsidRPr="005D17A4">
        <w:rPr>
          <w:color w:val="000000"/>
          <w:shd w:val="clear" w:color="auto" w:fill="FFFFFF"/>
        </w:rPr>
        <w:t>Tekkaya</w:t>
      </w:r>
      <w:proofErr w:type="spellEnd"/>
      <w:r w:rsidRPr="005D17A4">
        <w:rPr>
          <w:color w:val="000000"/>
          <w:shd w:val="clear" w:color="auto" w:fill="FFFFFF"/>
        </w:rPr>
        <w:t xml:space="preserve">, C. (2008). Promoting students’ learning in genetics with the learning cycle. </w:t>
      </w:r>
      <w:r w:rsidRPr="005D17A4">
        <w:rPr>
          <w:i/>
          <w:iCs/>
          <w:color w:val="000000"/>
          <w:shd w:val="clear" w:color="auto" w:fill="FFFFFF"/>
        </w:rPr>
        <w:t>The Journal of Experimental Education, 76</w:t>
      </w:r>
      <w:r w:rsidRPr="005D17A4">
        <w:rPr>
          <w:color w:val="000000"/>
          <w:shd w:val="clear" w:color="auto" w:fill="FFFFFF"/>
        </w:rPr>
        <w:t>(3), 259–280.</w:t>
      </w:r>
      <w:hyperlink r:id="rId13" w:history="1">
        <w:r w:rsidRPr="005D17A4">
          <w:rPr>
            <w:rStyle w:val="Hyperlink"/>
            <w:shd w:val="clear" w:color="auto" w:fill="FFFFFF"/>
          </w:rPr>
          <w:t>https://www.jstor.org/stable/20157486</w:t>
        </w:r>
      </w:hyperlink>
    </w:p>
    <w:p w14:paraId="4A6560E6"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proofErr w:type="spellStart"/>
      <w:r w:rsidRPr="00096E1F">
        <w:t>Eldeek</w:t>
      </w:r>
      <w:proofErr w:type="spellEnd"/>
      <w:r w:rsidRPr="00096E1F">
        <w:t xml:space="preserve">, B., Jamjoom, R. &amp; </w:t>
      </w:r>
      <w:proofErr w:type="spellStart"/>
      <w:r w:rsidRPr="00096E1F">
        <w:t>Ayuob</w:t>
      </w:r>
      <w:proofErr w:type="spellEnd"/>
      <w:r w:rsidRPr="00096E1F">
        <w:t xml:space="preserve">, N. (2014). Does the study guide represent a helpful learning tool for medical students </w:t>
      </w:r>
      <w:proofErr w:type="spellStart"/>
      <w:r w:rsidRPr="00096E1F">
        <w:t>Students</w:t>
      </w:r>
      <w:proofErr w:type="spellEnd"/>
      <w:r w:rsidRPr="00096E1F">
        <w:t xml:space="preserve">’ perspectives? </w:t>
      </w:r>
      <w:r w:rsidRPr="005D17A4">
        <w:rPr>
          <w:i/>
          <w:iCs/>
        </w:rPr>
        <w:t xml:space="preserve">Jokull Journal. </w:t>
      </w:r>
      <w:hyperlink r:id="rId14" w:history="1">
        <w:r w:rsidRPr="00096E1F">
          <w:rPr>
            <w:rStyle w:val="Hyperlink"/>
          </w:rPr>
          <w:t>https://www.researchgate.net/publication/267544397</w:t>
        </w:r>
      </w:hyperlink>
    </w:p>
    <w:p w14:paraId="2E4331D8" w14:textId="77777777" w:rsidR="00BD006D" w:rsidRPr="005D17A4" w:rsidRDefault="00BD006D" w:rsidP="00BD006D">
      <w:pPr>
        <w:pStyle w:val="ListParagraph"/>
        <w:numPr>
          <w:ilvl w:val="0"/>
          <w:numId w:val="3"/>
        </w:numPr>
        <w:spacing w:after="0" w:line="240" w:lineRule="auto"/>
        <w:ind w:right="89"/>
        <w:rPr>
          <w:rFonts w:ascii="Times New Roman" w:hAnsi="Times New Roman"/>
          <w:iCs/>
          <w:sz w:val="24"/>
          <w:szCs w:val="24"/>
        </w:rPr>
      </w:pPr>
      <w:r w:rsidRPr="005D17A4">
        <w:rPr>
          <w:rFonts w:ascii="Times New Roman" w:hAnsi="Times New Roman"/>
          <w:iCs/>
          <w:sz w:val="24"/>
          <w:szCs w:val="24"/>
        </w:rPr>
        <w:t xml:space="preserve">Estrella, E. (2024). Learner-designed experiments approach: an innovative tool in teaching science at Laboratory Junior High School of Palawan State University. </w:t>
      </w:r>
      <w:r w:rsidRPr="005D17A4">
        <w:rPr>
          <w:rFonts w:ascii="Times New Roman" w:hAnsi="Times New Roman"/>
          <w:i/>
          <w:sz w:val="24"/>
          <w:szCs w:val="24"/>
        </w:rPr>
        <w:t>In Journal of Ongoing Educational Research</w:t>
      </w:r>
      <w:r w:rsidRPr="005D17A4">
        <w:rPr>
          <w:rFonts w:ascii="Times New Roman" w:hAnsi="Times New Roman"/>
          <w:iCs/>
          <w:sz w:val="24"/>
          <w:szCs w:val="24"/>
        </w:rPr>
        <w:t xml:space="preserve"> (Vol. 1, Number 2, pp 120 </w:t>
      </w:r>
      <w:r w:rsidRPr="005D17A4">
        <w:rPr>
          <w:rFonts w:ascii="Times New Roman" w:hAnsi="Times New Roman"/>
          <w:sz w:val="24"/>
          <w:szCs w:val="24"/>
        </w:rPr>
        <w:t>https://doi.org/10.5281/zenodo.12602193</w:t>
      </w:r>
    </w:p>
    <w:p w14:paraId="62DC0096" w14:textId="77777777" w:rsidR="00BD006D" w:rsidRPr="005D17A4" w:rsidRDefault="00BD006D" w:rsidP="00BD006D">
      <w:pPr>
        <w:pStyle w:val="ListParagraph"/>
        <w:numPr>
          <w:ilvl w:val="0"/>
          <w:numId w:val="3"/>
        </w:numPr>
        <w:spacing w:after="0" w:line="240" w:lineRule="auto"/>
        <w:ind w:right="89"/>
        <w:rPr>
          <w:rFonts w:ascii="Times New Roman" w:hAnsi="Times New Roman"/>
          <w:i/>
          <w:iCs/>
          <w:sz w:val="24"/>
          <w:szCs w:val="24"/>
        </w:rPr>
      </w:pPr>
      <w:r w:rsidRPr="005D17A4">
        <w:rPr>
          <w:rFonts w:ascii="Times New Roman" w:hAnsi="Times New Roman"/>
          <w:sz w:val="24"/>
          <w:szCs w:val="24"/>
        </w:rPr>
        <w:t>Foley, B. (2018)</w:t>
      </w:r>
      <w:r w:rsidRPr="005D17A4">
        <w:rPr>
          <w:rFonts w:ascii="Times New Roman" w:hAnsi="Times New Roman"/>
          <w:iCs/>
          <w:sz w:val="24"/>
          <w:szCs w:val="24"/>
        </w:rPr>
        <w:t xml:space="preserve">. Purposive </w:t>
      </w:r>
      <w:proofErr w:type="gramStart"/>
      <w:r w:rsidRPr="005D17A4">
        <w:rPr>
          <w:rFonts w:ascii="Times New Roman" w:hAnsi="Times New Roman"/>
          <w:iCs/>
          <w:sz w:val="24"/>
          <w:szCs w:val="24"/>
        </w:rPr>
        <w:t xml:space="preserve">Sampling </w:t>
      </w:r>
      <w:r w:rsidRPr="005D17A4">
        <w:rPr>
          <w:rFonts w:ascii="Times New Roman" w:hAnsi="Times New Roman"/>
          <w:sz w:val="24"/>
          <w:szCs w:val="24"/>
        </w:rPr>
        <w:t xml:space="preserve"> 01</w:t>
      </w:r>
      <w:proofErr w:type="gramEnd"/>
      <w:r w:rsidRPr="005D17A4">
        <w:rPr>
          <w:rFonts w:ascii="Times New Roman" w:hAnsi="Times New Roman"/>
          <w:sz w:val="24"/>
          <w:szCs w:val="24"/>
        </w:rPr>
        <w:t xml:space="preserve">. </w:t>
      </w:r>
      <w:r w:rsidRPr="005D17A4">
        <w:rPr>
          <w:rFonts w:ascii="Times New Roman" w:hAnsi="Times New Roman"/>
          <w:i/>
          <w:iCs/>
          <w:sz w:val="24"/>
          <w:szCs w:val="24"/>
        </w:rPr>
        <w:t xml:space="preserve">Retrieved July 21, 2020, from </w:t>
      </w:r>
      <w:proofErr w:type="gramStart"/>
      <w:r w:rsidRPr="005D17A4">
        <w:rPr>
          <w:rFonts w:ascii="Times New Roman" w:hAnsi="Times New Roman"/>
          <w:i/>
          <w:iCs/>
          <w:sz w:val="24"/>
          <w:szCs w:val="24"/>
        </w:rPr>
        <w:t>SurveyGizmo</w:t>
      </w:r>
      <w:r w:rsidRPr="005D17A4">
        <w:rPr>
          <w:rFonts w:ascii="Times New Roman" w:hAnsi="Times New Roman"/>
          <w:sz w:val="24"/>
          <w:szCs w:val="24"/>
        </w:rPr>
        <w:t>:https://www.alchemer.com/resources/blog/purposive-sampling-101</w:t>
      </w:r>
      <w:proofErr w:type="gramEnd"/>
    </w:p>
    <w:p w14:paraId="2D0F6185"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shd w:val="clear" w:color="auto" w:fill="FFFFFF"/>
        </w:rPr>
      </w:pPr>
      <w:r w:rsidRPr="00096E1F">
        <w:rPr>
          <w:shd w:val="clear" w:color="auto" w:fill="FFFFFF"/>
        </w:rPr>
        <w:t xml:space="preserve">Jenkins, G. A., Nepal, K., &amp; </w:t>
      </w:r>
      <w:proofErr w:type="spellStart"/>
      <w:r w:rsidRPr="00096E1F">
        <w:rPr>
          <w:shd w:val="clear" w:color="auto" w:fill="FFFFFF"/>
        </w:rPr>
        <w:t>Lemckert</w:t>
      </w:r>
      <w:proofErr w:type="spellEnd"/>
      <w:r w:rsidRPr="00096E1F">
        <w:rPr>
          <w:shd w:val="clear" w:color="auto" w:fill="FFFFFF"/>
        </w:rPr>
        <w:t>, C. (2010</w:t>
      </w:r>
      <w:proofErr w:type="gramStart"/>
      <w:r w:rsidRPr="00096E1F">
        <w:rPr>
          <w:shd w:val="clear" w:color="auto" w:fill="FFFFFF"/>
        </w:rPr>
        <w:t>).The</w:t>
      </w:r>
      <w:proofErr w:type="gramEnd"/>
      <w:r w:rsidRPr="00096E1F">
        <w:rPr>
          <w:shd w:val="clear" w:color="auto" w:fill="FFFFFF"/>
        </w:rPr>
        <w:t xml:space="preserve"> use of study guides to improve learning </w:t>
      </w:r>
      <w:r w:rsidRPr="005D17A4">
        <w:rPr>
          <w:shd w:val="clear" w:color="auto" w:fill="FFFFFF"/>
        </w:rPr>
        <w:t>outcomes in engineering fluid mechanics and hydraulics. In Proceedings of the 21</w:t>
      </w:r>
      <w:r w:rsidRPr="005D17A4">
        <w:rPr>
          <w:shd w:val="clear" w:color="auto" w:fill="FFFFFF"/>
          <w:vertAlign w:val="superscript"/>
        </w:rPr>
        <w:t>st</w:t>
      </w:r>
      <w:r w:rsidRPr="005D17A4">
        <w:rPr>
          <w:shd w:val="clear" w:color="auto" w:fill="FFFFFF"/>
        </w:rPr>
        <w:t xml:space="preserve"> Conference of the Australian Association for Engineering Education (AAEE), Sydney, Australia</w:t>
      </w:r>
    </w:p>
    <w:p w14:paraId="421CFBCA"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shd w:val="clear" w:color="auto" w:fill="FFFFFF"/>
        </w:rPr>
      </w:pPr>
      <w:proofErr w:type="spellStart"/>
      <w:r w:rsidRPr="00096E1F">
        <w:rPr>
          <w:shd w:val="clear" w:color="auto" w:fill="FFFFFF"/>
        </w:rPr>
        <w:t>Khogali</w:t>
      </w:r>
      <w:proofErr w:type="spellEnd"/>
      <w:r w:rsidRPr="00096E1F">
        <w:rPr>
          <w:shd w:val="clear" w:color="auto" w:fill="FFFFFF"/>
        </w:rPr>
        <w:t xml:space="preserve">, S.E.O., Laidlaw, J.M., &amp; Harden, R. M. (2006). Study guides: A study of </w:t>
      </w:r>
      <w:r>
        <w:rPr>
          <w:shd w:val="clear" w:color="auto" w:fill="FFFFFF"/>
        </w:rPr>
        <w:t>d</w:t>
      </w:r>
      <w:r w:rsidRPr="005D17A4">
        <w:rPr>
          <w:shd w:val="clear" w:color="auto" w:fill="FFFFFF"/>
        </w:rPr>
        <w:t xml:space="preserve">ifferent formats </w:t>
      </w:r>
      <w:r w:rsidRPr="005D17A4">
        <w:rPr>
          <w:i/>
          <w:iCs/>
          <w:shd w:val="clear" w:color="auto" w:fill="FFFFFF"/>
        </w:rPr>
        <w:t>Medical Teacher, 28</w:t>
      </w:r>
      <w:r w:rsidRPr="005D17A4">
        <w:rPr>
          <w:shd w:val="clear" w:color="auto" w:fill="FFFFFF"/>
        </w:rPr>
        <w:t xml:space="preserve">(4),375–377. </w:t>
      </w:r>
      <w:hyperlink r:id="rId15" w:history="1">
        <w:r w:rsidRPr="005D17A4">
          <w:rPr>
            <w:rStyle w:val="Hyperlink"/>
            <w:shd w:val="clear" w:color="auto" w:fill="FFFFFF"/>
          </w:rPr>
          <w:t>https://doi.org/10.1080/01421590600799059</w:t>
        </w:r>
      </w:hyperlink>
    </w:p>
    <w:p w14:paraId="6CF4515E"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Lu, L. (2022). Instructional design for </w:t>
      </w:r>
      <w:proofErr w:type="gramStart"/>
      <w:r w:rsidRPr="005D17A4">
        <w:rPr>
          <w:rFonts w:ascii="Times New Roman" w:hAnsi="Times New Roman"/>
          <w:sz w:val="24"/>
          <w:szCs w:val="24"/>
          <w:shd w:val="clear" w:color="auto" w:fill="FFFFFF"/>
        </w:rPr>
        <w:t>effective  teaching</w:t>
      </w:r>
      <w:proofErr w:type="gramEnd"/>
      <w:r w:rsidRPr="005D17A4">
        <w:rPr>
          <w:rFonts w:ascii="Times New Roman" w:hAnsi="Times New Roman"/>
          <w:sz w:val="24"/>
          <w:szCs w:val="24"/>
          <w:shd w:val="clear" w:color="auto" w:fill="FFFFFF"/>
        </w:rPr>
        <w:t>: The application of ADDIE model in a</w:t>
      </w:r>
      <w:r>
        <w:rPr>
          <w:rFonts w:ascii="Times New Roman" w:hAnsi="Times New Roman"/>
          <w:sz w:val="24"/>
          <w:szCs w:val="24"/>
          <w:shd w:val="clear" w:color="auto" w:fill="FFFFFF"/>
        </w:rPr>
        <w:t xml:space="preserve"> </w:t>
      </w:r>
      <w:r w:rsidRPr="005D17A4">
        <w:rPr>
          <w:rFonts w:ascii="Times New Roman" w:hAnsi="Times New Roman"/>
          <w:sz w:val="24"/>
          <w:szCs w:val="24"/>
          <w:shd w:val="clear" w:color="auto" w:fill="FFFFFF"/>
        </w:rPr>
        <w:t xml:space="preserve">college reading lesson. </w:t>
      </w:r>
      <w:r w:rsidRPr="005D17A4">
        <w:rPr>
          <w:rFonts w:ascii="Times New Roman" w:hAnsi="Times New Roman"/>
          <w:i/>
          <w:iCs/>
          <w:sz w:val="24"/>
          <w:szCs w:val="24"/>
          <w:shd w:val="clear" w:color="auto" w:fill="FFFFFF"/>
        </w:rPr>
        <w:t xml:space="preserve">NOSS Practitioner to Practitioner </w:t>
      </w:r>
      <w:r w:rsidRPr="005D17A4">
        <w:rPr>
          <w:rFonts w:ascii="Times New Roman" w:hAnsi="Times New Roman"/>
          <w:sz w:val="24"/>
          <w:szCs w:val="24"/>
          <w:shd w:val="clear" w:color="auto" w:fill="FFFFFF"/>
        </w:rPr>
        <w:t xml:space="preserve">Retrieved from </w:t>
      </w:r>
      <w:hyperlink r:id="rId16" w:history="1">
        <w:r w:rsidRPr="005D17A4">
          <w:rPr>
            <w:rStyle w:val="Hyperlink"/>
            <w:rFonts w:ascii="Times New Roman" w:hAnsi="Times New Roman"/>
            <w:sz w:val="24"/>
            <w:szCs w:val="24"/>
            <w:shd w:val="clear" w:color="auto" w:fill="FFFFFF"/>
          </w:rPr>
          <w:t>https://files.eric.ed.gov/fulltext/EJ1343586.pdf</w:t>
        </w:r>
      </w:hyperlink>
    </w:p>
    <w:p w14:paraId="73E26CF2"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Mayer, R. E. (2021). </w:t>
      </w:r>
      <w:r w:rsidRPr="005D17A4">
        <w:rPr>
          <w:rFonts w:ascii="Times New Roman" w:hAnsi="Times New Roman"/>
          <w:i/>
          <w:iCs/>
          <w:sz w:val="24"/>
          <w:szCs w:val="24"/>
          <w:shd w:val="clear" w:color="auto" w:fill="FFFFFF"/>
        </w:rPr>
        <w:t>Multimedia learning</w:t>
      </w:r>
      <w:r w:rsidRPr="005D17A4">
        <w:rPr>
          <w:rFonts w:ascii="Times New Roman" w:hAnsi="Times New Roman"/>
          <w:sz w:val="24"/>
          <w:szCs w:val="24"/>
          <w:shd w:val="clear" w:color="auto" w:fill="FFFFFF"/>
        </w:rPr>
        <w:t xml:space="preserve"> (3</w:t>
      </w:r>
      <w:r w:rsidRPr="005D17A4">
        <w:rPr>
          <w:rFonts w:ascii="Times New Roman" w:hAnsi="Times New Roman"/>
          <w:sz w:val="24"/>
          <w:szCs w:val="24"/>
          <w:shd w:val="clear" w:color="auto" w:fill="FFFFFF"/>
          <w:vertAlign w:val="superscript"/>
        </w:rPr>
        <w:t>rd</w:t>
      </w:r>
      <w:r w:rsidRPr="005D17A4">
        <w:rPr>
          <w:rFonts w:ascii="Times New Roman" w:hAnsi="Times New Roman"/>
          <w:sz w:val="24"/>
          <w:szCs w:val="24"/>
          <w:shd w:val="clear" w:color="auto" w:fill="FFFFFF"/>
        </w:rPr>
        <w:t xml:space="preserve"> ed.). Cambridge University Press. </w:t>
      </w:r>
      <w:hyperlink r:id="rId17" w:history="1">
        <w:r w:rsidRPr="009C4907">
          <w:rPr>
            <w:rStyle w:val="Hyperlink"/>
            <w:rFonts w:ascii="Times New Roman" w:hAnsi="Times New Roman"/>
            <w:sz w:val="24"/>
            <w:szCs w:val="24"/>
            <w:shd w:val="clear" w:color="auto" w:fill="FFFFFF"/>
          </w:rPr>
          <w:t>https://doi.org/10.1017/9781316941355</w:t>
        </w:r>
      </w:hyperlink>
    </w:p>
    <w:p w14:paraId="507A6C09"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Rogayan, D. V., Jr., &amp; Albino, M. M. (2019). Filipino students’ common misconceptions in biology: Input for remedial </w:t>
      </w:r>
      <w:proofErr w:type="spellStart"/>
      <w:r w:rsidRPr="005D17A4">
        <w:rPr>
          <w:rFonts w:ascii="Times New Roman" w:hAnsi="Times New Roman"/>
          <w:sz w:val="24"/>
          <w:szCs w:val="24"/>
          <w:shd w:val="clear" w:color="auto" w:fill="FFFFFF"/>
        </w:rPr>
        <w:t>eaching</w:t>
      </w:r>
      <w:proofErr w:type="spellEnd"/>
      <w:r w:rsidRPr="005D17A4">
        <w:rPr>
          <w:rFonts w:ascii="Times New Roman" w:hAnsi="Times New Roman"/>
          <w:sz w:val="24"/>
          <w:szCs w:val="24"/>
          <w:shd w:val="clear" w:color="auto" w:fill="FFFFFF"/>
        </w:rPr>
        <w:t xml:space="preserve">. </w:t>
      </w:r>
      <w:r w:rsidRPr="005D17A4">
        <w:rPr>
          <w:rFonts w:ascii="Times New Roman" w:hAnsi="Times New Roman"/>
          <w:i/>
          <w:iCs/>
          <w:sz w:val="24"/>
          <w:szCs w:val="24"/>
          <w:shd w:val="clear" w:color="auto" w:fill="FFFFFF"/>
        </w:rPr>
        <w:t>Online Science Education Journal, 4</w:t>
      </w:r>
      <w:r w:rsidRPr="005D17A4">
        <w:rPr>
          <w:rFonts w:ascii="Times New Roman" w:hAnsi="Times New Roman"/>
          <w:sz w:val="24"/>
          <w:szCs w:val="24"/>
          <w:shd w:val="clear" w:color="auto" w:fill="FFFFFF"/>
        </w:rPr>
        <w:t xml:space="preserve">(2), 90–103. </w:t>
      </w:r>
    </w:p>
    <w:p w14:paraId="038F734F"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rPr>
      </w:pPr>
      <w:r w:rsidRPr="005D17A4">
        <w:rPr>
          <w:rFonts w:ascii="Times New Roman" w:hAnsi="Times New Roman"/>
          <w:sz w:val="24"/>
          <w:szCs w:val="24"/>
        </w:rPr>
        <w:t xml:space="preserve">Rubio, J.C. (2025). Teaching aids and other instructional materials: enhancing learning experiences through effective educational tools. </w:t>
      </w:r>
      <w:proofErr w:type="spellStart"/>
      <w:proofErr w:type="gramStart"/>
      <w:r w:rsidRPr="005D17A4">
        <w:rPr>
          <w:rFonts w:ascii="Times New Roman" w:hAnsi="Times New Roman"/>
          <w:i/>
          <w:iCs/>
          <w:sz w:val="24"/>
          <w:szCs w:val="24"/>
        </w:rPr>
        <w:t>depedbataan.comPublications</w:t>
      </w:r>
      <w:proofErr w:type="spellEnd"/>
      <w:proofErr w:type="gramEnd"/>
      <w:r w:rsidRPr="005D17A4">
        <w:rPr>
          <w:rFonts w:ascii="Times New Roman" w:hAnsi="Times New Roman"/>
          <w:i/>
          <w:iCs/>
          <w:sz w:val="24"/>
          <w:szCs w:val="24"/>
        </w:rPr>
        <w:t>.</w:t>
      </w:r>
    </w:p>
    <w:p w14:paraId="31474F9A"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Tabatabaee, S. S., &amp; Keshmiri, F. (2024). Medical students’ perception regarding using study guides in clinical education. </w:t>
      </w:r>
      <w:r w:rsidRPr="005D17A4">
        <w:rPr>
          <w:rFonts w:ascii="Times New Roman" w:hAnsi="Times New Roman"/>
          <w:i/>
          <w:iCs/>
          <w:sz w:val="24"/>
          <w:szCs w:val="24"/>
          <w:shd w:val="clear" w:color="auto" w:fill="FFFFFF"/>
        </w:rPr>
        <w:t>Research in Medical Education, 16</w:t>
      </w:r>
      <w:r w:rsidRPr="005D17A4">
        <w:rPr>
          <w:rFonts w:ascii="Times New Roman" w:hAnsi="Times New Roman"/>
          <w:sz w:val="24"/>
          <w:szCs w:val="24"/>
          <w:shd w:val="clear" w:color="auto" w:fill="FFFFFF"/>
        </w:rPr>
        <w:t xml:space="preserve">(2), 44–51. Retrieved from </w:t>
      </w:r>
      <w:hyperlink r:id="rId18" w:history="1">
        <w:r w:rsidRPr="005D17A4">
          <w:rPr>
            <w:rStyle w:val="Hyperlink"/>
            <w:rFonts w:ascii="Times New Roman" w:hAnsi="Times New Roman"/>
            <w:sz w:val="24"/>
            <w:szCs w:val="24"/>
            <w:shd w:val="clear" w:color="auto" w:fill="FFFFFF"/>
          </w:rPr>
          <w:t>http://rme.gums.ac.ir/article-1-1403-en.html</w:t>
        </w:r>
      </w:hyperlink>
    </w:p>
    <w:p w14:paraId="17C59FBD" w14:textId="77777777" w:rsidR="00BD006D" w:rsidRPr="00096E1F" w:rsidRDefault="00BD006D" w:rsidP="00BD006D">
      <w:pPr>
        <w:pStyle w:val="paragraph"/>
        <w:shd w:val="clear" w:color="auto" w:fill="FFFFFF"/>
        <w:spacing w:before="0" w:beforeAutospacing="0" w:after="0" w:afterAutospacing="0"/>
        <w:ind w:left="360"/>
        <w:jc w:val="both"/>
        <w:textAlignment w:val="baseline"/>
        <w:rPr>
          <w:color w:val="000000"/>
        </w:rPr>
        <w:sectPr w:rsidR="00BD006D" w:rsidRPr="00096E1F" w:rsidSect="00BD006D">
          <w:footerReference w:type="even" r:id="rId19"/>
          <w:footerReference w:type="default" r:id="rId20"/>
          <w:type w:val="continuous"/>
          <w:pgSz w:w="11906" w:h="16838" w:code="9"/>
          <w:pgMar w:top="1080" w:right="605" w:bottom="605" w:left="605" w:header="709" w:footer="709" w:gutter="0"/>
          <w:pgNumType w:start="11"/>
          <w:cols w:space="493"/>
          <w:docGrid w:linePitch="360"/>
        </w:sectPr>
      </w:pPr>
    </w:p>
    <w:p w14:paraId="138DD281" w14:textId="77777777" w:rsidR="00BD006D" w:rsidRPr="00096E1F" w:rsidRDefault="00BD006D" w:rsidP="00BD006D">
      <w:pPr>
        <w:rPr>
          <w:rFonts w:ascii="Times New Roman" w:hAnsi="Times New Roman"/>
          <w:sz w:val="24"/>
          <w:szCs w:val="24"/>
          <w:lang w:eastAsia="en-PH" w:bidi="th-TH"/>
        </w:rPr>
        <w:sectPr w:rsidR="00BD006D" w:rsidRPr="00096E1F" w:rsidSect="00BD006D">
          <w:footerReference w:type="default" r:id="rId21"/>
          <w:type w:val="continuous"/>
          <w:pgSz w:w="11906" w:h="16838" w:code="9"/>
          <w:pgMar w:top="1080" w:right="605" w:bottom="605" w:left="605" w:header="709" w:footer="709" w:gutter="0"/>
          <w:pgNumType w:start="11"/>
          <w:cols w:space="493"/>
          <w:docGrid w:linePitch="360"/>
        </w:sectPr>
      </w:pPr>
    </w:p>
    <w:p w14:paraId="7A7305A9" w14:textId="2BA2F04D" w:rsidR="00BD006D" w:rsidRPr="001239F4" w:rsidRDefault="00BD006D" w:rsidP="00BD006D">
      <w:pPr>
        <w:spacing w:after="0" w:line="240" w:lineRule="auto"/>
        <w:jc w:val="both"/>
        <w:rPr>
          <w:rFonts w:ascii="Times New Roman" w:hAnsi="Times New Roman"/>
          <w:sz w:val="24"/>
          <w:szCs w:val="24"/>
        </w:rPr>
        <w:sectPr w:rsidR="00BD006D" w:rsidRPr="001239F4" w:rsidSect="00BD006D">
          <w:type w:val="continuous"/>
          <w:pgSz w:w="11906" w:h="16838" w:code="9"/>
          <w:pgMar w:top="1080" w:right="605" w:bottom="605" w:left="605" w:header="709" w:footer="709" w:gutter="0"/>
          <w:pgNumType w:start="3"/>
          <w:cols w:space="397"/>
          <w:titlePg/>
          <w:docGrid w:linePitch="360"/>
        </w:sectPr>
      </w:pPr>
    </w:p>
    <w:p w14:paraId="41BADCC4" w14:textId="77777777" w:rsidR="00BD006D" w:rsidRDefault="00BD006D" w:rsidP="00BD006D">
      <w:pPr>
        <w:spacing w:after="0" w:line="240" w:lineRule="auto"/>
        <w:jc w:val="both"/>
        <w:rPr>
          <w:rFonts w:ascii="Arial" w:hAnsi="Arial" w:cs="Arial"/>
          <w:i/>
          <w:iCs/>
        </w:rPr>
      </w:pPr>
    </w:p>
    <w:sectPr w:rsidR="00BD006D" w:rsidSect="00BD006D">
      <w:footerReference w:type="even" r:id="rId22"/>
      <w:footerReference w:type="first" r:id="rId23"/>
      <w:type w:val="nextColumn"/>
      <w:pgSz w:w="11906" w:h="16838" w:code="9"/>
      <w:pgMar w:top="1080" w:right="605" w:bottom="605" w:left="605" w:header="709" w:footer="709" w:gutter="0"/>
      <w:pgNumType w:start="5"/>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D277" w14:textId="77777777" w:rsidR="001B39E0" w:rsidRDefault="001B39E0" w:rsidP="009B7226">
      <w:pPr>
        <w:spacing w:after="0" w:line="240" w:lineRule="auto"/>
      </w:pPr>
      <w:r>
        <w:separator/>
      </w:r>
    </w:p>
  </w:endnote>
  <w:endnote w:type="continuationSeparator" w:id="0">
    <w:p w14:paraId="574EDD2A" w14:textId="77777777" w:rsidR="001B39E0" w:rsidRDefault="001B39E0" w:rsidP="009B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4B1" w14:textId="77777777" w:rsidR="00BD006D" w:rsidRPr="00C23E47" w:rsidRDefault="00BD006D">
    <w:pPr>
      <w:pStyle w:val="Footer"/>
    </w:pPr>
    <w:r>
      <w:tab/>
    </w:r>
    <w:r>
      <w:tab/>
      <w:t>9</w:t>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7228" w14:textId="3075A84E" w:rsidR="00BD006D" w:rsidRPr="003F6482" w:rsidRDefault="00BD006D" w:rsidP="00674E46">
    <w:pPr>
      <w:pStyle w:val="Footer"/>
      <w:jc w:val="center"/>
      <w:rPr>
        <w:rFonts w:ascii="Arial" w:hAnsi="Arial" w:cs="Arial"/>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539" w14:textId="77777777" w:rsidR="00BD006D" w:rsidRPr="00C23E47" w:rsidRDefault="00BD006D">
    <w:pPr>
      <w:pStyle w:val="Footer"/>
    </w:pPr>
    <w:r>
      <w:tab/>
    </w:r>
    <w:r>
      <w:tab/>
    </w:r>
    <w:r>
      <w:tab/>
    </w:r>
    <w:r>
      <w:tab/>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AAA2" w14:textId="0DF4AB2F" w:rsidR="00BD006D" w:rsidRPr="00151C61" w:rsidRDefault="00BD006D" w:rsidP="00352E16">
    <w:pPr>
      <w:pStyle w:val="Footer"/>
      <w:jc w:val="center"/>
      <w:rPr>
        <w:rFonts w:asciiTheme="majorHAnsi" w:hAnsiTheme="majorHAnsi"/>
      </w:rPr>
    </w:pPr>
    <w:r>
      <w:rPr>
        <w:rFonts w:ascii="Arial" w:hAnsi="Arial" w:cs="Arial"/>
      </w:rPr>
      <w:tab/>
    </w:r>
    <w:r>
      <w:rPr>
        <w:rFonts w:ascii="Arial" w:hAnsi="Arial" w:cs="Aria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6996" w14:textId="77777777" w:rsidR="00BD006D" w:rsidRPr="00151C61" w:rsidRDefault="00BD006D" w:rsidP="00352E16">
    <w:pPr>
      <w:pStyle w:val="Footer"/>
      <w:jc w:val="center"/>
      <w:rPr>
        <w:rFonts w:asciiTheme="majorHAnsi" w:hAnsiTheme="majorHAnsi"/>
      </w:rPr>
    </w:pPr>
    <w:r>
      <w:rPr>
        <w:rFonts w:ascii="Arial" w:hAnsi="Arial" w:cs="Arial"/>
      </w:rPr>
      <w:tab/>
    </w:r>
    <w:r>
      <w:rPr>
        <w:rFonts w:ascii="Arial" w:hAnsi="Arial" w:cs="Arial"/>
      </w:rPr>
      <w:tab/>
    </w:r>
    <w:r w:rsidRPr="00151C61">
      <w:rPr>
        <w:rFonts w:asciiTheme="majorHAnsi" w:hAnsiTheme="majorHAnsi"/>
      </w:rPr>
      <w:t>1</w:t>
    </w:r>
    <w:r>
      <w:rPr>
        <w:rFonts w:asciiTheme="majorHAnsi" w:hAnsiTheme="majorHAnsi"/>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01BA" w14:textId="77777777" w:rsidR="00BD006D" w:rsidRPr="00A25771" w:rsidRDefault="00BD006D">
    <w:pPr>
      <w:pStyle w:val="Footer"/>
      <w:rPr>
        <w:rFonts w:ascii="Arial" w:hAnsi="Arial" w:cs="Arial"/>
      </w:rPr>
    </w:pPr>
    <w:r>
      <w:tab/>
    </w:r>
    <w:r>
      <w:tab/>
    </w:r>
    <w:r w:rsidRPr="00A25771">
      <w:rPr>
        <w:rFonts w:ascii="Arial" w:hAnsi="Arial" w:cs="Arial"/>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273B" w14:textId="4E54B367" w:rsidR="00BD006D" w:rsidRPr="00151C61" w:rsidRDefault="00BD006D" w:rsidP="00C16F3C">
    <w:pPr>
      <w:pStyle w:val="Footer"/>
      <w:jc w:val="center"/>
      <w:rPr>
        <w:rFonts w:ascii="Arial" w:hAnsi="Arial" w:cs="Arial"/>
      </w:rPr>
    </w:pPr>
    <w:r>
      <w:tab/>
    </w:r>
    <w:r>
      <w:tab/>
    </w:r>
    <w:r w:rsidRPr="00151C61">
      <w:rPr>
        <w:rFonts w:ascii="Arial" w:hAnsi="Arial" w:cs="Arial"/>
      </w:rPr>
      <w:tab/>
    </w:r>
    <w:r w:rsidRPr="00151C6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A3DE" w14:textId="77777777" w:rsidR="001B39E0" w:rsidRDefault="001B39E0" w:rsidP="009B7226">
      <w:pPr>
        <w:spacing w:after="0" w:line="240" w:lineRule="auto"/>
      </w:pPr>
      <w:r>
        <w:separator/>
      </w:r>
    </w:p>
  </w:footnote>
  <w:footnote w:type="continuationSeparator" w:id="0">
    <w:p w14:paraId="22252090" w14:textId="77777777" w:rsidR="001B39E0" w:rsidRDefault="001B39E0" w:rsidP="009B7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616A"/>
    <w:multiLevelType w:val="hybridMultilevel"/>
    <w:tmpl w:val="77DE24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4FA325E"/>
    <w:multiLevelType w:val="hybridMultilevel"/>
    <w:tmpl w:val="A9E64B50"/>
    <w:lvl w:ilvl="0" w:tplc="95B6E9F2">
      <w:start w:val="1"/>
      <w:numFmt w:val="decimal"/>
      <w:lvlText w:val="%1."/>
      <w:lvlJc w:val="left"/>
      <w:pPr>
        <w:ind w:left="806" w:hanging="360"/>
      </w:pPr>
      <w:rPr>
        <w:rFonts w:eastAsia="Arial" w:hint="default"/>
        <w:b/>
      </w:rPr>
    </w:lvl>
    <w:lvl w:ilvl="1" w:tplc="34090019" w:tentative="1">
      <w:start w:val="1"/>
      <w:numFmt w:val="lowerLetter"/>
      <w:lvlText w:val="%2."/>
      <w:lvlJc w:val="left"/>
      <w:pPr>
        <w:ind w:left="1526" w:hanging="360"/>
      </w:pPr>
    </w:lvl>
    <w:lvl w:ilvl="2" w:tplc="3409001B" w:tentative="1">
      <w:start w:val="1"/>
      <w:numFmt w:val="lowerRoman"/>
      <w:lvlText w:val="%3."/>
      <w:lvlJc w:val="right"/>
      <w:pPr>
        <w:ind w:left="2246" w:hanging="180"/>
      </w:pPr>
    </w:lvl>
    <w:lvl w:ilvl="3" w:tplc="3409000F" w:tentative="1">
      <w:start w:val="1"/>
      <w:numFmt w:val="decimal"/>
      <w:lvlText w:val="%4."/>
      <w:lvlJc w:val="left"/>
      <w:pPr>
        <w:ind w:left="2966" w:hanging="360"/>
      </w:pPr>
    </w:lvl>
    <w:lvl w:ilvl="4" w:tplc="34090019" w:tentative="1">
      <w:start w:val="1"/>
      <w:numFmt w:val="lowerLetter"/>
      <w:lvlText w:val="%5."/>
      <w:lvlJc w:val="left"/>
      <w:pPr>
        <w:ind w:left="3686" w:hanging="360"/>
      </w:pPr>
    </w:lvl>
    <w:lvl w:ilvl="5" w:tplc="3409001B" w:tentative="1">
      <w:start w:val="1"/>
      <w:numFmt w:val="lowerRoman"/>
      <w:lvlText w:val="%6."/>
      <w:lvlJc w:val="right"/>
      <w:pPr>
        <w:ind w:left="4406" w:hanging="180"/>
      </w:pPr>
    </w:lvl>
    <w:lvl w:ilvl="6" w:tplc="3409000F" w:tentative="1">
      <w:start w:val="1"/>
      <w:numFmt w:val="decimal"/>
      <w:lvlText w:val="%7."/>
      <w:lvlJc w:val="left"/>
      <w:pPr>
        <w:ind w:left="5126" w:hanging="360"/>
      </w:pPr>
    </w:lvl>
    <w:lvl w:ilvl="7" w:tplc="34090019" w:tentative="1">
      <w:start w:val="1"/>
      <w:numFmt w:val="lowerLetter"/>
      <w:lvlText w:val="%8."/>
      <w:lvlJc w:val="left"/>
      <w:pPr>
        <w:ind w:left="5846" w:hanging="360"/>
      </w:pPr>
    </w:lvl>
    <w:lvl w:ilvl="8" w:tplc="3409001B" w:tentative="1">
      <w:start w:val="1"/>
      <w:numFmt w:val="lowerRoman"/>
      <w:lvlText w:val="%9."/>
      <w:lvlJc w:val="right"/>
      <w:pPr>
        <w:ind w:left="6566" w:hanging="180"/>
      </w:pPr>
    </w:lvl>
  </w:abstractNum>
  <w:abstractNum w:abstractNumId="2" w15:restartNumberingAfterBreak="0">
    <w:nsid w:val="65096032"/>
    <w:multiLevelType w:val="hybridMultilevel"/>
    <w:tmpl w:val="D610A654"/>
    <w:lvl w:ilvl="0" w:tplc="38A0DCA8">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62362566">
    <w:abstractNumId w:val="1"/>
  </w:num>
  <w:num w:numId="2" w16cid:durableId="222833501">
    <w:abstractNumId w:val="2"/>
  </w:num>
  <w:num w:numId="3" w16cid:durableId="60373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26"/>
    <w:rsid w:val="001B39E0"/>
    <w:rsid w:val="00632C18"/>
    <w:rsid w:val="007D11CD"/>
    <w:rsid w:val="008475A5"/>
    <w:rsid w:val="008716A2"/>
    <w:rsid w:val="009B7226"/>
    <w:rsid w:val="00A705F7"/>
    <w:rsid w:val="00BD006D"/>
    <w:rsid w:val="00C3590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4CA3"/>
  <w15:chartTrackingRefBased/>
  <w15:docId w15:val="{5C79D888-C8D9-4D34-8F69-2ECBE835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26"/>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B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26"/>
    <w:rPr>
      <w:rFonts w:eastAsiaTheme="majorEastAsia" w:cstheme="majorBidi"/>
      <w:color w:val="272727" w:themeColor="text1" w:themeTint="D8"/>
    </w:rPr>
  </w:style>
  <w:style w:type="paragraph" w:styleId="Title">
    <w:name w:val="Title"/>
    <w:basedOn w:val="Normal"/>
    <w:next w:val="Normal"/>
    <w:link w:val="TitleChar"/>
    <w:uiPriority w:val="10"/>
    <w:qFormat/>
    <w:rsid w:val="009B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26"/>
    <w:pPr>
      <w:spacing w:before="160"/>
      <w:jc w:val="center"/>
    </w:pPr>
    <w:rPr>
      <w:i/>
      <w:iCs/>
      <w:color w:val="404040" w:themeColor="text1" w:themeTint="BF"/>
    </w:rPr>
  </w:style>
  <w:style w:type="character" w:customStyle="1" w:styleId="QuoteChar">
    <w:name w:val="Quote Char"/>
    <w:basedOn w:val="DefaultParagraphFont"/>
    <w:link w:val="Quote"/>
    <w:uiPriority w:val="29"/>
    <w:rsid w:val="009B7226"/>
    <w:rPr>
      <w:i/>
      <w:iCs/>
      <w:color w:val="404040" w:themeColor="text1" w:themeTint="BF"/>
    </w:rPr>
  </w:style>
  <w:style w:type="paragraph" w:styleId="ListParagraph">
    <w:name w:val="List Paragraph"/>
    <w:basedOn w:val="Normal"/>
    <w:uiPriority w:val="34"/>
    <w:qFormat/>
    <w:rsid w:val="009B7226"/>
    <w:pPr>
      <w:ind w:left="720"/>
      <w:contextualSpacing/>
    </w:pPr>
  </w:style>
  <w:style w:type="character" w:styleId="IntenseEmphasis">
    <w:name w:val="Intense Emphasis"/>
    <w:basedOn w:val="DefaultParagraphFont"/>
    <w:uiPriority w:val="21"/>
    <w:qFormat/>
    <w:rsid w:val="009B7226"/>
    <w:rPr>
      <w:i/>
      <w:iCs/>
      <w:color w:val="0F4761" w:themeColor="accent1" w:themeShade="BF"/>
    </w:rPr>
  </w:style>
  <w:style w:type="paragraph" w:styleId="IntenseQuote">
    <w:name w:val="Intense Quote"/>
    <w:basedOn w:val="Normal"/>
    <w:next w:val="Normal"/>
    <w:link w:val="IntenseQuoteChar"/>
    <w:uiPriority w:val="30"/>
    <w:qFormat/>
    <w:rsid w:val="009B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226"/>
    <w:rPr>
      <w:i/>
      <w:iCs/>
      <w:color w:val="0F4761" w:themeColor="accent1" w:themeShade="BF"/>
    </w:rPr>
  </w:style>
  <w:style w:type="character" w:styleId="IntenseReference">
    <w:name w:val="Intense Reference"/>
    <w:basedOn w:val="DefaultParagraphFont"/>
    <w:uiPriority w:val="32"/>
    <w:qFormat/>
    <w:rsid w:val="009B7226"/>
    <w:rPr>
      <w:b/>
      <w:bCs/>
      <w:smallCaps/>
      <w:color w:val="0F4761" w:themeColor="accent1" w:themeShade="BF"/>
      <w:spacing w:val="5"/>
    </w:rPr>
  </w:style>
  <w:style w:type="paragraph" w:styleId="Header">
    <w:name w:val="header"/>
    <w:basedOn w:val="Normal"/>
    <w:link w:val="HeaderChar"/>
    <w:uiPriority w:val="99"/>
    <w:unhideWhenUsed/>
    <w:rsid w:val="009B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26"/>
  </w:style>
  <w:style w:type="paragraph" w:styleId="Footer">
    <w:name w:val="footer"/>
    <w:basedOn w:val="Normal"/>
    <w:link w:val="FooterChar"/>
    <w:uiPriority w:val="99"/>
    <w:unhideWhenUsed/>
    <w:rsid w:val="009B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26"/>
  </w:style>
  <w:style w:type="paragraph" w:customStyle="1" w:styleId="Authors">
    <w:name w:val="Authors"/>
    <w:basedOn w:val="Normal"/>
    <w:next w:val="Normal"/>
    <w:rsid w:val="009B7226"/>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character" w:styleId="Strong">
    <w:name w:val="Strong"/>
    <w:uiPriority w:val="22"/>
    <w:qFormat/>
    <w:rsid w:val="009B7226"/>
    <w:rPr>
      <w:b/>
      <w:bCs/>
    </w:rPr>
  </w:style>
  <w:style w:type="table" w:styleId="TableGrid">
    <w:name w:val="Table Grid"/>
    <w:basedOn w:val="TableNormal"/>
    <w:uiPriority w:val="39"/>
    <w:rsid w:val="00BD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006D"/>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BD006D"/>
    <w:rPr>
      <w:color w:val="467886" w:themeColor="hyperlink"/>
      <w:u w:val="single"/>
    </w:rPr>
  </w:style>
  <w:style w:type="paragraph" w:customStyle="1" w:styleId="paragraph">
    <w:name w:val="paragraph"/>
    <w:basedOn w:val="Normal"/>
    <w:rsid w:val="00BD006D"/>
    <w:pPr>
      <w:spacing w:before="100" w:beforeAutospacing="1" w:after="100" w:afterAutospacing="1" w:line="240" w:lineRule="auto"/>
    </w:pPr>
    <w:rPr>
      <w:rFonts w:ascii="Times New Roman" w:eastAsia="Times New Roman" w:hAnsi="Times New Roman"/>
      <w:sz w:val="24"/>
      <w:szCs w:val="24"/>
      <w:lang w:val="en-PH" w:eastAsia="en-PH"/>
    </w:rPr>
  </w:style>
  <w:style w:type="character" w:styleId="UnresolvedMention">
    <w:name w:val="Unresolved Mention"/>
    <w:basedOn w:val="DefaultParagraphFont"/>
    <w:uiPriority w:val="99"/>
    <w:semiHidden/>
    <w:unhideWhenUsed/>
    <w:rsid w:val="00BD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stor.org/stable/20157486" TargetMode="External"/><Relationship Id="rId18" Type="http://schemas.openxmlformats.org/officeDocument/2006/relationships/hyperlink" Target="http://rme.gums.ac.ir/article-1-1403-en.html"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eric.ed.gov/?q=technology+and+affects+and+education&amp;pg=24368&amp;id=EJ874398" TargetMode="External"/><Relationship Id="rId17" Type="http://schemas.openxmlformats.org/officeDocument/2006/relationships/hyperlink" Target="https://doi.org/10.1017/978131694135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les.eric.ed.gov/fulltext/EJ1343586.pdf"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923908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1421590600799059" TargetMode="External"/><Relationship Id="rId23" Type="http://schemas.openxmlformats.org/officeDocument/2006/relationships/footer" Target="footer7.xml"/><Relationship Id="rId10" Type="http://schemas.openxmlformats.org/officeDocument/2006/relationships/hyperlink" Target="http://s-o-i.org/1.15/ijcrms-2016-2-4-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ric.ed.gov./?id=EJ1174809" TargetMode="External"/><Relationship Id="rId14" Type="http://schemas.openxmlformats.org/officeDocument/2006/relationships/hyperlink" Target="https://www.researchgate.net/publication/267544397"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6042</Words>
  <Characters>37406</Characters>
  <Application>Microsoft Office Word</Application>
  <DocSecurity>0</DocSecurity>
  <Lines>1335</Lines>
  <Paragraphs>452</Paragraphs>
  <ScaleCrop>false</ScaleCrop>
  <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FLORIDEL JAMITO</dc:creator>
  <cp:keywords/>
  <dc:description/>
  <cp:lastModifiedBy>FLORIDEL JAMITO</cp:lastModifiedBy>
  <cp:revision>2</cp:revision>
  <dcterms:created xsi:type="dcterms:W3CDTF">2026-03-06T04:50:00Z</dcterms:created>
  <dcterms:modified xsi:type="dcterms:W3CDTF">2026-03-06T07:39:00Z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bd309509-33f7-4b89-aaad-94d0b8c12aef</vt:lpwstr>
  </property>
</Properties>
</file>