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13338" w14:textId="25F73CC9" w:rsidR="00DB5D95" w:rsidRPr="0004609C" w:rsidRDefault="008276C0" w:rsidP="00F42E1F">
      <w:pPr>
        <w:spacing w:line="360" w:lineRule="auto"/>
        <w:jc w:val="both"/>
        <w:rPr>
          <w:rFonts w:ascii="Times New Roman" w:hAnsi="Times New Roman" w:cs="Times New Roman"/>
          <w:b/>
          <w:bCs/>
          <w:sz w:val="22"/>
          <w:szCs w:val="22"/>
        </w:rPr>
      </w:pPr>
      <w:r w:rsidRPr="0004609C">
        <w:rPr>
          <w:rFonts w:ascii="Times New Roman" w:hAnsi="Times New Roman" w:cs="Times New Roman"/>
          <w:b/>
          <w:bCs/>
          <w:sz w:val="22"/>
          <w:szCs w:val="22"/>
        </w:rPr>
        <w:t>FROM THE NIGER DELTA TO THE ATHABASCA:</w:t>
      </w:r>
      <w:r w:rsidRPr="0004609C">
        <w:rPr>
          <w:rFonts w:ascii="Times New Roman" w:hAnsi="Times New Roman" w:cs="Times New Roman"/>
          <w:sz w:val="22"/>
          <w:szCs w:val="22"/>
        </w:rPr>
        <w:t xml:space="preserve"> </w:t>
      </w:r>
      <w:r w:rsidRPr="0004609C">
        <w:rPr>
          <w:rFonts w:ascii="Times New Roman" w:hAnsi="Times New Roman" w:cs="Times New Roman"/>
          <w:b/>
          <w:bCs/>
          <w:sz w:val="22"/>
          <w:szCs w:val="22"/>
        </w:rPr>
        <w:t>HOST COMMUNITY CONSENT IN UPSTREAM OIL OPERATIONS AND THE</w:t>
      </w:r>
      <w:r w:rsidRPr="0004609C">
        <w:rPr>
          <w:rFonts w:ascii="Times New Roman" w:hAnsi="Times New Roman" w:cs="Times New Roman"/>
          <w:sz w:val="22"/>
          <w:szCs w:val="22"/>
        </w:rPr>
        <w:t xml:space="preserve"> </w:t>
      </w:r>
      <w:r w:rsidRPr="0004609C">
        <w:rPr>
          <w:rFonts w:ascii="Times New Roman" w:hAnsi="Times New Roman" w:cs="Times New Roman"/>
          <w:b/>
          <w:bCs/>
          <w:sz w:val="22"/>
          <w:szCs w:val="22"/>
        </w:rPr>
        <w:t>LESSONS NIGERIA'S PETROLEUM INDUSTRY ACT 2021 HOLDS FOR</w:t>
      </w:r>
      <w:r w:rsidRPr="0004609C">
        <w:rPr>
          <w:rFonts w:ascii="Times New Roman" w:hAnsi="Times New Roman" w:cs="Times New Roman"/>
          <w:sz w:val="22"/>
          <w:szCs w:val="22"/>
        </w:rPr>
        <w:t xml:space="preserve"> </w:t>
      </w:r>
      <w:r w:rsidRPr="0004609C">
        <w:rPr>
          <w:rFonts w:ascii="Times New Roman" w:hAnsi="Times New Roman" w:cs="Times New Roman"/>
          <w:b/>
          <w:bCs/>
          <w:sz w:val="22"/>
          <w:szCs w:val="22"/>
        </w:rPr>
        <w:t>CANADIAN INDIGENOUS CONSULTATION FRAMEWORKS</w:t>
      </w:r>
    </w:p>
    <w:p w14:paraId="5B69761D" w14:textId="77777777" w:rsidR="00556640" w:rsidRPr="0004609C" w:rsidRDefault="00556640" w:rsidP="00F42E1F">
      <w:pPr>
        <w:spacing w:line="360" w:lineRule="auto"/>
        <w:rPr>
          <w:rFonts w:ascii="Times New Roman" w:hAnsi="Times New Roman" w:cs="Times New Roman"/>
          <w:sz w:val="22"/>
          <w:szCs w:val="22"/>
        </w:rPr>
      </w:pPr>
      <w:r w:rsidRPr="0004609C">
        <w:rPr>
          <w:rFonts w:ascii="Times New Roman" w:hAnsi="Times New Roman" w:cs="Times New Roman"/>
          <w:b/>
          <w:bCs/>
          <w:sz w:val="22"/>
          <w:szCs w:val="22"/>
        </w:rPr>
        <w:t>ABSTRACT</w:t>
      </w:r>
    </w:p>
    <w:p w14:paraId="2A97FA34" w14:textId="46F1A895" w:rsidR="00556640" w:rsidRPr="0004609C" w:rsidRDefault="00556640" w:rsidP="00F42E1F">
      <w:pPr>
        <w:spacing w:line="360" w:lineRule="auto"/>
        <w:jc w:val="both"/>
        <w:rPr>
          <w:rFonts w:ascii="Times New Roman" w:hAnsi="Times New Roman" w:cs="Times New Roman"/>
          <w:sz w:val="22"/>
          <w:szCs w:val="22"/>
        </w:rPr>
      </w:pPr>
      <w:r w:rsidRPr="0004609C">
        <w:rPr>
          <w:rFonts w:ascii="Times New Roman" w:hAnsi="Times New Roman" w:cs="Times New Roman"/>
          <w:sz w:val="22"/>
          <w:szCs w:val="22"/>
        </w:rPr>
        <w:t>Nigeria's Petroleum Industry Act 2021 (PIA) represents the most significant legislative intervention in Nigeria's oil and gas sector in over five decades. Among its most debated provisions are those establishing Host Community Development Trusts (HCDTs)</w:t>
      </w:r>
      <w:r w:rsidR="00E832D5" w:rsidRPr="0004609C">
        <w:rPr>
          <w:rFonts w:ascii="Times New Roman" w:hAnsi="Times New Roman" w:cs="Times New Roman"/>
          <w:sz w:val="22"/>
          <w:szCs w:val="22"/>
        </w:rPr>
        <w:t xml:space="preserve">: </w:t>
      </w:r>
      <w:r w:rsidRPr="0004609C">
        <w:rPr>
          <w:rFonts w:ascii="Times New Roman" w:hAnsi="Times New Roman" w:cs="Times New Roman"/>
          <w:sz w:val="22"/>
          <w:szCs w:val="22"/>
        </w:rPr>
        <w:t xml:space="preserve">a </w:t>
      </w:r>
      <w:proofErr w:type="gramStart"/>
      <w:r w:rsidRPr="0004609C">
        <w:rPr>
          <w:rFonts w:ascii="Times New Roman" w:hAnsi="Times New Roman" w:cs="Times New Roman"/>
          <w:sz w:val="22"/>
          <w:szCs w:val="22"/>
        </w:rPr>
        <w:t>statutory mechanism compelling upstream operators</w:t>
      </w:r>
      <w:proofErr w:type="gramEnd"/>
      <w:r w:rsidRPr="0004609C">
        <w:rPr>
          <w:rFonts w:ascii="Times New Roman" w:hAnsi="Times New Roman" w:cs="Times New Roman"/>
          <w:sz w:val="22"/>
          <w:szCs w:val="22"/>
        </w:rPr>
        <w:t xml:space="preserve"> to fund and engage with oil-bearing communities as a precondition for the maintenance of operating </w:t>
      </w:r>
      <w:proofErr w:type="spellStart"/>
      <w:r w:rsidRPr="0004609C">
        <w:rPr>
          <w:rFonts w:ascii="Times New Roman" w:hAnsi="Times New Roman" w:cs="Times New Roman"/>
          <w:sz w:val="22"/>
          <w:szCs w:val="22"/>
        </w:rPr>
        <w:t>licences</w:t>
      </w:r>
      <w:proofErr w:type="spellEnd"/>
      <w:r w:rsidRPr="0004609C">
        <w:rPr>
          <w:rFonts w:ascii="Times New Roman" w:hAnsi="Times New Roman" w:cs="Times New Roman"/>
          <w:sz w:val="22"/>
          <w:szCs w:val="22"/>
        </w:rPr>
        <w:t>. This article argues that, despite the PIA's well-documented shortcomings, its structural architecture of mandatory community engagement offers a productive comparative lens for examining persistent tensions in Canada's duty-to-consult jurisprudence, particularly as that doctrine confronts the demands of the United Nations Declaration on the Rights of Indigenous Peoples Act 2021 (UNDRIP Act). By juxtaposing the Nigerian experience where decades of voluntary corporate social responsibility regimes failed to prevent conflict and ecological destruction against Canada's constitutionally grounded but procedurally contested consultation framework, this article identifies three critical design challenges shared by both systems: the consent-versus-consultation binary; the structural asymmetry between communities and operators; and the enforcement deficit that undermines good-faith engagement in practice. The article concludes that while Canada's constitutional foundation is normatively superior, the PIA's insistence on pre-project community needs assessments and trust fund structures offers implementation insights that Canadian regulators navigating energy transition could usefully adapt. Conversely, Canada's evolving doctrine of meaningful accommodation provides normative scaffolding that could strengthen future reforms to the PIA.</w:t>
      </w:r>
    </w:p>
    <w:p w14:paraId="20BDEE14" w14:textId="5EFA3866" w:rsidR="00B028E6" w:rsidRPr="0004609C" w:rsidRDefault="00B028E6" w:rsidP="00F42E1F">
      <w:pPr>
        <w:spacing w:line="360" w:lineRule="auto"/>
        <w:jc w:val="both"/>
        <w:rPr>
          <w:rFonts w:ascii="Times New Roman" w:hAnsi="Times New Roman" w:cs="Times New Roman"/>
          <w:sz w:val="22"/>
          <w:szCs w:val="22"/>
        </w:rPr>
      </w:pPr>
      <w:r w:rsidRPr="0004609C">
        <w:rPr>
          <w:rFonts w:ascii="Times New Roman" w:hAnsi="Times New Roman" w:cs="Times New Roman"/>
          <w:b/>
          <w:bCs/>
          <w:sz w:val="22"/>
          <w:szCs w:val="22"/>
        </w:rPr>
        <w:t xml:space="preserve">Keywords: </w:t>
      </w:r>
      <w:r w:rsidRPr="0004609C">
        <w:rPr>
          <w:rFonts w:ascii="Times New Roman" w:hAnsi="Times New Roman" w:cs="Times New Roman"/>
          <w:sz w:val="22"/>
          <w:szCs w:val="22"/>
        </w:rPr>
        <w:t>Petroleum Industry Act 2021; duty to consult; host communities; Indigenous rights; UNDRIP; free prior and informed consent; Nigeria; Canada; energy law; comparative law</w:t>
      </w:r>
      <w:r w:rsidR="00A452AC" w:rsidRPr="0004609C">
        <w:rPr>
          <w:rFonts w:ascii="Times New Roman" w:hAnsi="Times New Roman" w:cs="Times New Roman"/>
          <w:sz w:val="22"/>
          <w:szCs w:val="22"/>
        </w:rPr>
        <w:t>.</w:t>
      </w:r>
    </w:p>
    <w:p w14:paraId="3BDEDFB6" w14:textId="77777777" w:rsidR="00A452AC" w:rsidRPr="0004609C" w:rsidRDefault="00A452AC" w:rsidP="00F42E1F">
      <w:pPr>
        <w:spacing w:line="360" w:lineRule="auto"/>
        <w:rPr>
          <w:rFonts w:ascii="Times New Roman" w:hAnsi="Times New Roman" w:cs="Times New Roman"/>
          <w:sz w:val="22"/>
          <w:szCs w:val="22"/>
        </w:rPr>
      </w:pPr>
    </w:p>
    <w:p w14:paraId="5A104D69" w14:textId="77777777" w:rsidR="00A452AC" w:rsidRPr="0004609C" w:rsidRDefault="00A452AC" w:rsidP="00F42E1F">
      <w:pPr>
        <w:spacing w:line="360" w:lineRule="auto"/>
        <w:rPr>
          <w:rFonts w:ascii="Times New Roman" w:hAnsi="Times New Roman" w:cs="Times New Roman"/>
          <w:sz w:val="22"/>
          <w:szCs w:val="22"/>
        </w:rPr>
      </w:pPr>
    </w:p>
    <w:p w14:paraId="64CE316D" w14:textId="77777777" w:rsidR="00A452AC" w:rsidRPr="0004609C" w:rsidRDefault="00A452AC" w:rsidP="00F42E1F">
      <w:pPr>
        <w:spacing w:line="360" w:lineRule="auto"/>
        <w:rPr>
          <w:rFonts w:ascii="Times New Roman" w:hAnsi="Times New Roman" w:cs="Times New Roman"/>
          <w:sz w:val="22"/>
          <w:szCs w:val="22"/>
        </w:rPr>
      </w:pPr>
    </w:p>
    <w:p w14:paraId="2D441A51" w14:textId="77777777" w:rsidR="0004609C" w:rsidRDefault="0004609C" w:rsidP="00F42E1F">
      <w:pPr>
        <w:spacing w:line="360" w:lineRule="auto"/>
        <w:rPr>
          <w:rFonts w:ascii="Times New Roman" w:hAnsi="Times New Roman" w:cs="Times New Roman"/>
          <w:sz w:val="22"/>
          <w:szCs w:val="22"/>
        </w:rPr>
      </w:pPr>
    </w:p>
    <w:p w14:paraId="25A4FB8C" w14:textId="77777777" w:rsidR="00F42E1F" w:rsidRDefault="00F42E1F" w:rsidP="00F42E1F">
      <w:pPr>
        <w:spacing w:line="360" w:lineRule="auto"/>
        <w:rPr>
          <w:rFonts w:ascii="Times New Roman" w:hAnsi="Times New Roman" w:cs="Times New Roman"/>
          <w:sz w:val="22"/>
          <w:szCs w:val="22"/>
        </w:rPr>
      </w:pPr>
    </w:p>
    <w:p w14:paraId="1A29B993" w14:textId="77777777" w:rsidR="00F42E1F" w:rsidRPr="0004609C" w:rsidRDefault="00F42E1F" w:rsidP="00F42E1F">
      <w:pPr>
        <w:spacing w:line="360" w:lineRule="auto"/>
        <w:rPr>
          <w:rFonts w:ascii="Times New Roman" w:hAnsi="Times New Roman" w:cs="Times New Roman"/>
          <w:sz w:val="22"/>
          <w:szCs w:val="22"/>
        </w:rPr>
      </w:pPr>
    </w:p>
    <w:p w14:paraId="56D93FC5" w14:textId="77777777" w:rsidR="00A452AC" w:rsidRPr="0004609C" w:rsidRDefault="00A452AC" w:rsidP="00F42E1F">
      <w:pPr>
        <w:spacing w:line="360" w:lineRule="auto"/>
        <w:rPr>
          <w:rFonts w:ascii="Times New Roman" w:hAnsi="Times New Roman" w:cs="Times New Roman"/>
          <w:sz w:val="22"/>
          <w:szCs w:val="22"/>
        </w:rPr>
      </w:pPr>
    </w:p>
    <w:p w14:paraId="57856EE7" w14:textId="3D0CA7AC" w:rsidR="00A452AC" w:rsidRPr="0004609C" w:rsidRDefault="009A25CE" w:rsidP="00F42E1F">
      <w:pPr>
        <w:pStyle w:val="ListParagraph"/>
        <w:numPr>
          <w:ilvl w:val="0"/>
          <w:numId w:val="1"/>
        </w:numPr>
        <w:spacing w:line="360" w:lineRule="auto"/>
        <w:rPr>
          <w:rFonts w:ascii="Times New Roman" w:hAnsi="Times New Roman" w:cs="Times New Roman"/>
          <w:b/>
          <w:bCs/>
          <w:sz w:val="22"/>
          <w:szCs w:val="22"/>
        </w:rPr>
      </w:pPr>
      <w:r w:rsidRPr="0004609C">
        <w:rPr>
          <w:rFonts w:ascii="Times New Roman" w:hAnsi="Times New Roman" w:cs="Times New Roman"/>
          <w:b/>
          <w:bCs/>
          <w:sz w:val="22"/>
          <w:szCs w:val="22"/>
        </w:rPr>
        <w:lastRenderedPageBreak/>
        <w:t>INTRODUCTION</w:t>
      </w:r>
    </w:p>
    <w:p w14:paraId="4CBE9CD1" w14:textId="211BE0EA" w:rsidR="00CE1622" w:rsidRPr="0004609C" w:rsidRDefault="00CE1622" w:rsidP="00F42E1F">
      <w:pPr>
        <w:spacing w:after="200" w:line="360" w:lineRule="auto"/>
        <w:ind w:left="360"/>
        <w:jc w:val="both"/>
        <w:rPr>
          <w:rFonts w:ascii="Times New Roman" w:eastAsia="Times New Roman" w:hAnsi="Times New Roman" w:cs="Times New Roman"/>
          <w:sz w:val="22"/>
          <w:szCs w:val="22"/>
        </w:rPr>
      </w:pPr>
      <w:r w:rsidRPr="0004609C">
        <w:rPr>
          <w:rFonts w:ascii="Times New Roman" w:eastAsia="Times New Roman" w:hAnsi="Times New Roman" w:cs="Times New Roman"/>
          <w:sz w:val="22"/>
          <w:szCs w:val="22"/>
        </w:rPr>
        <w:t>Oil-extracting states occupy a peculiar legal and moral position. They are simultaneously the principal beneficiaries of subsurface wealth and the primary respondents to the communities that bear the environmental, social, and cultural costs of extraction. This tension between national resource sovereignty and local community rights has animated some of the most consequential legal developments in both Nigeria and Canada over the past three decades, yet the two jurisdictions have rarely been placed in sustained comparative dialogue.</w:t>
      </w:r>
    </w:p>
    <w:p w14:paraId="6205E3A7" w14:textId="29336DE6" w:rsidR="00143B80" w:rsidRPr="0004609C" w:rsidRDefault="00143B80" w:rsidP="00F42E1F">
      <w:pPr>
        <w:spacing w:after="200" w:line="360" w:lineRule="auto"/>
        <w:ind w:left="360"/>
        <w:jc w:val="both"/>
        <w:rPr>
          <w:rFonts w:ascii="Times New Roman" w:eastAsia="Times New Roman" w:hAnsi="Times New Roman" w:cs="Times New Roman"/>
          <w:sz w:val="22"/>
          <w:szCs w:val="22"/>
        </w:rPr>
      </w:pPr>
      <w:r w:rsidRPr="0004609C">
        <w:rPr>
          <w:rFonts w:ascii="Times New Roman" w:eastAsia="Times New Roman" w:hAnsi="Times New Roman" w:cs="Times New Roman"/>
          <w:sz w:val="22"/>
          <w:szCs w:val="22"/>
        </w:rPr>
        <w:t xml:space="preserve">Nigeria's Niger Delta presents one of the starkest illustrations of extractive failure in the modern era. Since the discovery of oil at </w:t>
      </w:r>
      <w:proofErr w:type="spellStart"/>
      <w:r w:rsidRPr="0004609C">
        <w:rPr>
          <w:rFonts w:ascii="Times New Roman" w:eastAsia="Times New Roman" w:hAnsi="Times New Roman" w:cs="Times New Roman"/>
          <w:sz w:val="22"/>
          <w:szCs w:val="22"/>
        </w:rPr>
        <w:t>Oloibiri</w:t>
      </w:r>
      <w:proofErr w:type="spellEnd"/>
      <w:r w:rsidRPr="0004609C">
        <w:rPr>
          <w:rFonts w:ascii="Times New Roman" w:eastAsia="Times New Roman" w:hAnsi="Times New Roman" w:cs="Times New Roman"/>
          <w:sz w:val="22"/>
          <w:szCs w:val="22"/>
        </w:rPr>
        <w:t xml:space="preserve"> in 1956, communities in the oil-bearing south have experienced chronic underdevelopment, environmental degradation, and political </w:t>
      </w:r>
      <w:proofErr w:type="spellStart"/>
      <w:r w:rsidRPr="0004609C">
        <w:rPr>
          <w:rFonts w:ascii="Times New Roman" w:eastAsia="Times New Roman" w:hAnsi="Times New Roman" w:cs="Times New Roman"/>
          <w:sz w:val="22"/>
          <w:szCs w:val="22"/>
        </w:rPr>
        <w:t>marginalisation</w:t>
      </w:r>
      <w:proofErr w:type="spellEnd"/>
      <w:r w:rsidRPr="0004609C">
        <w:rPr>
          <w:rFonts w:ascii="Times New Roman" w:eastAsia="Times New Roman" w:hAnsi="Times New Roman" w:cs="Times New Roman"/>
          <w:sz w:val="22"/>
          <w:szCs w:val="22"/>
        </w:rPr>
        <w:t xml:space="preserve"> despite living atop one of Africa's most valuable hydrocarbon deposits. The 1990 Ogoni Bill of Rights, the execution of Ken Saro-</w:t>
      </w:r>
      <w:proofErr w:type="spellStart"/>
      <w:r w:rsidRPr="0004609C">
        <w:rPr>
          <w:rFonts w:ascii="Times New Roman" w:eastAsia="Times New Roman" w:hAnsi="Times New Roman" w:cs="Times New Roman"/>
          <w:sz w:val="22"/>
          <w:szCs w:val="22"/>
        </w:rPr>
        <w:t>Wiwa</w:t>
      </w:r>
      <w:proofErr w:type="spellEnd"/>
      <w:r w:rsidRPr="0004609C">
        <w:rPr>
          <w:rFonts w:ascii="Times New Roman" w:eastAsia="Times New Roman" w:hAnsi="Times New Roman" w:cs="Times New Roman"/>
          <w:sz w:val="22"/>
          <w:szCs w:val="22"/>
        </w:rPr>
        <w:t xml:space="preserve"> and the Ogoni Nine in 1995, and the sustained insurgency that followed all reflect the catastrophic legal vacuum at the community-operator interface. The Movement for the Survival of the Ogoni People (MOSOP)</w:t>
      </w:r>
      <w:r w:rsidR="00A560F7" w:rsidRPr="0004609C">
        <w:rPr>
          <w:rStyle w:val="FootnoteReference"/>
          <w:rFonts w:ascii="Times New Roman" w:eastAsia="Times New Roman" w:hAnsi="Times New Roman" w:cs="Times New Roman"/>
          <w:sz w:val="22"/>
          <w:szCs w:val="22"/>
        </w:rPr>
        <w:footnoteReference w:id="1"/>
      </w:r>
      <w:r w:rsidRPr="0004609C">
        <w:rPr>
          <w:rFonts w:ascii="Times New Roman" w:eastAsia="Times New Roman" w:hAnsi="Times New Roman" w:cs="Times New Roman"/>
          <w:sz w:val="22"/>
          <w:szCs w:val="22"/>
        </w:rPr>
        <w:t xml:space="preserve"> articulated grievances — environmental destruction, political </w:t>
      </w:r>
      <w:proofErr w:type="spellStart"/>
      <w:r w:rsidRPr="0004609C">
        <w:rPr>
          <w:rFonts w:ascii="Times New Roman" w:eastAsia="Times New Roman" w:hAnsi="Times New Roman" w:cs="Times New Roman"/>
          <w:sz w:val="22"/>
          <w:szCs w:val="22"/>
        </w:rPr>
        <w:t>marginalisation</w:t>
      </w:r>
      <w:proofErr w:type="spellEnd"/>
      <w:r w:rsidRPr="0004609C">
        <w:rPr>
          <w:rFonts w:ascii="Times New Roman" w:eastAsia="Times New Roman" w:hAnsi="Times New Roman" w:cs="Times New Roman"/>
          <w:sz w:val="22"/>
          <w:szCs w:val="22"/>
        </w:rPr>
        <w:t xml:space="preserve">, and economic exploitation that were, in essence, claims about consent and benefit-sharing that the prevailing legal framework refused to </w:t>
      </w:r>
      <w:proofErr w:type="spellStart"/>
      <w:r w:rsidRPr="0004609C">
        <w:rPr>
          <w:rFonts w:ascii="Times New Roman" w:eastAsia="Times New Roman" w:hAnsi="Times New Roman" w:cs="Times New Roman"/>
          <w:sz w:val="22"/>
          <w:szCs w:val="22"/>
        </w:rPr>
        <w:t>recognise</w:t>
      </w:r>
      <w:proofErr w:type="spellEnd"/>
      <w:r w:rsidRPr="0004609C">
        <w:rPr>
          <w:rFonts w:ascii="Times New Roman" w:eastAsia="Times New Roman" w:hAnsi="Times New Roman" w:cs="Times New Roman"/>
          <w:sz w:val="22"/>
          <w:szCs w:val="22"/>
        </w:rPr>
        <w:t>.</w:t>
      </w:r>
    </w:p>
    <w:p w14:paraId="2FC477F0" w14:textId="7997177D" w:rsidR="00A87CDA" w:rsidRPr="0004609C" w:rsidRDefault="00A87CDA" w:rsidP="00F42E1F">
      <w:pPr>
        <w:spacing w:after="200" w:line="360" w:lineRule="auto"/>
        <w:ind w:left="360"/>
        <w:jc w:val="both"/>
        <w:rPr>
          <w:rFonts w:ascii="Times New Roman" w:eastAsia="Times New Roman" w:hAnsi="Times New Roman" w:cs="Times New Roman"/>
          <w:sz w:val="22"/>
          <w:szCs w:val="22"/>
        </w:rPr>
      </w:pPr>
      <w:r w:rsidRPr="0004609C">
        <w:rPr>
          <w:rFonts w:ascii="Times New Roman" w:eastAsia="Times New Roman" w:hAnsi="Times New Roman" w:cs="Times New Roman"/>
          <w:sz w:val="22"/>
          <w:szCs w:val="22"/>
        </w:rPr>
        <w:t xml:space="preserve">Canada's story is structurally different but thematically resonant. </w:t>
      </w:r>
      <w:r w:rsidR="00B404CC" w:rsidRPr="0004609C">
        <w:rPr>
          <w:rStyle w:val="FootnoteReference"/>
          <w:rFonts w:ascii="Times New Roman" w:eastAsia="Times New Roman" w:hAnsi="Times New Roman" w:cs="Times New Roman"/>
          <w:sz w:val="22"/>
          <w:szCs w:val="22"/>
        </w:rPr>
        <w:footnoteReference w:id="2"/>
      </w:r>
      <w:r w:rsidRPr="0004609C">
        <w:rPr>
          <w:rFonts w:ascii="Times New Roman" w:eastAsia="Times New Roman" w:hAnsi="Times New Roman" w:cs="Times New Roman"/>
          <w:sz w:val="22"/>
          <w:szCs w:val="22"/>
        </w:rPr>
        <w:t xml:space="preserve">The Supreme Court of Canada's landmark decision in </w:t>
      </w:r>
      <w:r w:rsidRPr="0004609C">
        <w:rPr>
          <w:rFonts w:ascii="Times New Roman" w:eastAsia="Times New Roman" w:hAnsi="Times New Roman" w:cs="Times New Roman"/>
          <w:i/>
          <w:iCs/>
          <w:sz w:val="22"/>
          <w:szCs w:val="22"/>
        </w:rPr>
        <w:t>Haida Nation v British Columbia (Minister of Forests)</w:t>
      </w:r>
      <w:r w:rsidRPr="0004609C">
        <w:rPr>
          <w:rFonts w:ascii="Times New Roman" w:eastAsia="Times New Roman" w:hAnsi="Times New Roman" w:cs="Times New Roman"/>
          <w:sz w:val="22"/>
          <w:szCs w:val="22"/>
        </w:rPr>
        <w:t xml:space="preserve"> established that the Crown bears a constitutional duty to consult Indigenous peoples whenever it contemplates conduct that may adversely affect asserted or established Aboriginal or treaty rights. That duty, grounded in section 35 of the </w:t>
      </w:r>
      <w:r w:rsidRPr="0004609C">
        <w:rPr>
          <w:rFonts w:ascii="Times New Roman" w:eastAsia="Times New Roman" w:hAnsi="Times New Roman" w:cs="Times New Roman"/>
          <w:i/>
          <w:iCs/>
          <w:sz w:val="22"/>
          <w:szCs w:val="22"/>
        </w:rPr>
        <w:t>Constitution Act, 1982</w:t>
      </w:r>
      <w:r w:rsidR="00C21360" w:rsidRPr="0004609C">
        <w:rPr>
          <w:rStyle w:val="FootnoteReference"/>
          <w:rFonts w:ascii="Times New Roman" w:eastAsia="Times New Roman" w:hAnsi="Times New Roman" w:cs="Times New Roman"/>
          <w:i/>
          <w:iCs/>
          <w:sz w:val="22"/>
          <w:szCs w:val="22"/>
        </w:rPr>
        <w:footnoteReference w:id="3"/>
      </w:r>
      <w:r w:rsidRPr="0004609C">
        <w:rPr>
          <w:rFonts w:ascii="Times New Roman" w:eastAsia="Times New Roman" w:hAnsi="Times New Roman" w:cs="Times New Roman"/>
          <w:sz w:val="22"/>
          <w:szCs w:val="22"/>
        </w:rPr>
        <w:t xml:space="preserve"> and increasingly informed by Canada's 2021 adoption of UNDRIP</w:t>
      </w:r>
      <w:r w:rsidR="003A6B5C" w:rsidRPr="0004609C">
        <w:rPr>
          <w:rStyle w:val="FootnoteReference"/>
          <w:rFonts w:ascii="Times New Roman" w:eastAsia="Times New Roman" w:hAnsi="Times New Roman" w:cs="Times New Roman"/>
          <w:sz w:val="22"/>
          <w:szCs w:val="22"/>
        </w:rPr>
        <w:footnoteReference w:id="4"/>
      </w:r>
      <w:r w:rsidRPr="0004609C">
        <w:rPr>
          <w:rFonts w:ascii="Times New Roman" w:eastAsia="Times New Roman" w:hAnsi="Times New Roman" w:cs="Times New Roman"/>
          <w:sz w:val="22"/>
          <w:szCs w:val="22"/>
        </w:rPr>
        <w:t xml:space="preserve"> into domestic law, has generated a sophisticated body of jurisprudence. Yet, as this article argues, it has not fully resolved the central tension between procedural consultation and substantive consent</w:t>
      </w:r>
      <w:r w:rsidR="0034331E" w:rsidRPr="0004609C">
        <w:rPr>
          <w:rFonts w:ascii="Times New Roman" w:eastAsia="Times New Roman" w:hAnsi="Times New Roman" w:cs="Times New Roman"/>
          <w:sz w:val="22"/>
          <w:szCs w:val="22"/>
        </w:rPr>
        <w:t xml:space="preserve">, </w:t>
      </w:r>
      <w:r w:rsidRPr="0004609C">
        <w:rPr>
          <w:rFonts w:ascii="Times New Roman" w:eastAsia="Times New Roman" w:hAnsi="Times New Roman" w:cs="Times New Roman"/>
          <w:sz w:val="22"/>
          <w:szCs w:val="22"/>
        </w:rPr>
        <w:t>a tension that the PIA confronts with its own imperfect but instructive mechanisms.</w:t>
      </w:r>
    </w:p>
    <w:p w14:paraId="09E0D080" w14:textId="77777777" w:rsidR="008C0F51" w:rsidRPr="0004609C" w:rsidRDefault="008C0F51" w:rsidP="00F42E1F">
      <w:pPr>
        <w:spacing w:after="200" w:line="360" w:lineRule="auto"/>
        <w:ind w:left="360"/>
        <w:jc w:val="both"/>
        <w:rPr>
          <w:rFonts w:ascii="Times New Roman" w:eastAsia="Times New Roman" w:hAnsi="Times New Roman" w:cs="Times New Roman"/>
          <w:sz w:val="22"/>
          <w:szCs w:val="22"/>
        </w:rPr>
      </w:pPr>
      <w:r w:rsidRPr="0004609C">
        <w:rPr>
          <w:rFonts w:ascii="Times New Roman" w:eastAsia="Times New Roman" w:hAnsi="Times New Roman" w:cs="Times New Roman"/>
          <w:sz w:val="22"/>
          <w:szCs w:val="22"/>
        </w:rPr>
        <w:t xml:space="preserve">This article proceeds in five parts. Part II examines the historical and legal antecedents that made Nigeria's community engagement framework a legislative necessity. Part III analyses the PIA's host community provisions in detail, identifying both their structural innovations and their limitations. Part </w:t>
      </w:r>
      <w:r w:rsidRPr="0004609C">
        <w:rPr>
          <w:rFonts w:ascii="Times New Roman" w:eastAsia="Times New Roman" w:hAnsi="Times New Roman" w:cs="Times New Roman"/>
          <w:sz w:val="22"/>
          <w:szCs w:val="22"/>
        </w:rPr>
        <w:lastRenderedPageBreak/>
        <w:t xml:space="preserve">IV surveys Canada's duty-to-consult doctrine, tracing its evolution from </w:t>
      </w:r>
      <w:r w:rsidRPr="0004609C">
        <w:rPr>
          <w:rFonts w:ascii="Times New Roman" w:eastAsia="Times New Roman" w:hAnsi="Times New Roman" w:cs="Times New Roman"/>
          <w:i/>
          <w:iCs/>
          <w:sz w:val="22"/>
          <w:szCs w:val="22"/>
        </w:rPr>
        <w:t>Haida Nation</w:t>
      </w:r>
      <w:r w:rsidRPr="0004609C">
        <w:rPr>
          <w:rFonts w:ascii="Times New Roman" w:eastAsia="Times New Roman" w:hAnsi="Times New Roman" w:cs="Times New Roman"/>
          <w:sz w:val="22"/>
          <w:szCs w:val="22"/>
        </w:rPr>
        <w:t xml:space="preserve"> through the UNDRIP Act and the contentious Building Canada Act. Part V conducts </w:t>
      </w:r>
      <w:proofErr w:type="gramStart"/>
      <w:r w:rsidRPr="0004609C">
        <w:rPr>
          <w:rFonts w:ascii="Times New Roman" w:eastAsia="Times New Roman" w:hAnsi="Times New Roman" w:cs="Times New Roman"/>
          <w:sz w:val="22"/>
          <w:szCs w:val="22"/>
        </w:rPr>
        <w:t>the comparative</w:t>
      </w:r>
      <w:proofErr w:type="gramEnd"/>
      <w:r w:rsidRPr="0004609C">
        <w:rPr>
          <w:rFonts w:ascii="Times New Roman" w:eastAsia="Times New Roman" w:hAnsi="Times New Roman" w:cs="Times New Roman"/>
          <w:sz w:val="22"/>
          <w:szCs w:val="22"/>
        </w:rPr>
        <w:t xml:space="preserve"> analysis, identifying convergences, divergences, and mutual lessons. Part VI concludes with normative recommendations </w:t>
      </w:r>
      <w:proofErr w:type="gramStart"/>
      <w:r w:rsidRPr="0004609C">
        <w:rPr>
          <w:rFonts w:ascii="Times New Roman" w:eastAsia="Times New Roman" w:hAnsi="Times New Roman" w:cs="Times New Roman"/>
          <w:sz w:val="22"/>
          <w:szCs w:val="22"/>
        </w:rPr>
        <w:t>directed</w:t>
      </w:r>
      <w:proofErr w:type="gramEnd"/>
      <w:r w:rsidRPr="0004609C">
        <w:rPr>
          <w:rFonts w:ascii="Times New Roman" w:eastAsia="Times New Roman" w:hAnsi="Times New Roman" w:cs="Times New Roman"/>
          <w:sz w:val="22"/>
          <w:szCs w:val="22"/>
        </w:rPr>
        <w:t xml:space="preserve"> at both jurisdictions.</w:t>
      </w:r>
    </w:p>
    <w:p w14:paraId="64409CFB" w14:textId="2582B320" w:rsidR="005F510B" w:rsidRPr="0004609C" w:rsidRDefault="002A5967" w:rsidP="00F42E1F">
      <w:pPr>
        <w:pStyle w:val="ListParagraph"/>
        <w:numPr>
          <w:ilvl w:val="0"/>
          <w:numId w:val="1"/>
        </w:numPr>
        <w:spacing w:after="200" w:line="360" w:lineRule="auto"/>
        <w:jc w:val="both"/>
        <w:rPr>
          <w:rFonts w:ascii="Times New Roman" w:hAnsi="Times New Roman" w:cs="Times New Roman"/>
          <w:b/>
          <w:bCs/>
          <w:sz w:val="22"/>
          <w:szCs w:val="22"/>
        </w:rPr>
      </w:pPr>
      <w:r w:rsidRPr="0004609C">
        <w:rPr>
          <w:rFonts w:ascii="Times New Roman" w:hAnsi="Times New Roman" w:cs="Times New Roman"/>
          <w:b/>
          <w:bCs/>
          <w:sz w:val="22"/>
          <w:szCs w:val="22"/>
        </w:rPr>
        <w:t>THE WEIGHT OF HISTORY: WHY NIGERIA`S COMMUNITY ENGAGEMENT BECAME A LEGAL IMPERATIVE</w:t>
      </w:r>
    </w:p>
    <w:p w14:paraId="6D9C1A12" w14:textId="04D48D65" w:rsidR="00762F55" w:rsidRPr="0004609C" w:rsidRDefault="00D3370E" w:rsidP="00F42E1F">
      <w:pPr>
        <w:pStyle w:val="ListParagraph"/>
        <w:numPr>
          <w:ilvl w:val="0"/>
          <w:numId w:val="2"/>
        </w:numPr>
        <w:spacing w:after="200" w:line="360" w:lineRule="auto"/>
        <w:jc w:val="both"/>
        <w:rPr>
          <w:rFonts w:ascii="Times New Roman" w:hAnsi="Times New Roman" w:cs="Times New Roman"/>
          <w:b/>
          <w:bCs/>
          <w:sz w:val="22"/>
          <w:szCs w:val="22"/>
        </w:rPr>
      </w:pPr>
      <w:r w:rsidRPr="0004609C">
        <w:rPr>
          <w:rFonts w:ascii="Times New Roman" w:hAnsi="Times New Roman" w:cs="Times New Roman"/>
          <w:b/>
          <w:bCs/>
          <w:i/>
          <w:iCs/>
          <w:sz w:val="22"/>
          <w:szCs w:val="22"/>
        </w:rPr>
        <w:t>The Colonial and Post-Colonial Settlement</w:t>
      </w:r>
    </w:p>
    <w:p w14:paraId="372ABEEE" w14:textId="51B90C45" w:rsidR="00254F3D" w:rsidRPr="0004609C" w:rsidRDefault="00254F3D" w:rsidP="00F42E1F">
      <w:pPr>
        <w:spacing w:after="200" w:line="360" w:lineRule="auto"/>
        <w:ind w:left="360"/>
        <w:jc w:val="both"/>
        <w:rPr>
          <w:rFonts w:ascii="Times New Roman" w:hAnsi="Times New Roman" w:cs="Times New Roman"/>
          <w:sz w:val="22"/>
          <w:szCs w:val="22"/>
        </w:rPr>
      </w:pPr>
      <w:r w:rsidRPr="0004609C">
        <w:rPr>
          <w:rFonts w:ascii="Times New Roman" w:eastAsia="Times New Roman" w:hAnsi="Times New Roman" w:cs="Times New Roman"/>
          <w:sz w:val="22"/>
          <w:szCs w:val="22"/>
        </w:rPr>
        <w:t>Nigerian oil law inherited from colonial administration a foundational principle: all mineral resources vest absolutely in the federal government. Section 1 of the PIA preserves this position, declaring that "the property and ownership of petroleum within Nigeria and its territorial waters, continental shelf and exclusive economic zone is vested in the Government of the Federation.</w:t>
      </w:r>
      <w:r w:rsidR="003A6B5C" w:rsidRPr="0004609C">
        <w:rPr>
          <w:rStyle w:val="FootnoteReference"/>
          <w:rFonts w:ascii="Times New Roman" w:eastAsia="Times New Roman" w:hAnsi="Times New Roman" w:cs="Times New Roman"/>
          <w:sz w:val="22"/>
          <w:szCs w:val="22"/>
        </w:rPr>
        <w:footnoteReference w:id="5"/>
      </w:r>
      <w:r w:rsidRPr="0004609C">
        <w:rPr>
          <w:rFonts w:ascii="Times New Roman" w:eastAsia="Times New Roman" w:hAnsi="Times New Roman" w:cs="Times New Roman"/>
          <w:sz w:val="22"/>
          <w:szCs w:val="22"/>
        </w:rPr>
        <w:t xml:space="preserve">" This vesting clause, while constitutionally unremarkable by the standards of most resource-extracting states, had profoundly alienating consequences for Niger Delta communities. It stripped communities not only of ownership of subsurface wealth but in the absence of statutory community </w:t>
      </w:r>
      <w:proofErr w:type="gramStart"/>
      <w:r w:rsidRPr="0004609C">
        <w:rPr>
          <w:rFonts w:ascii="Times New Roman" w:eastAsia="Times New Roman" w:hAnsi="Times New Roman" w:cs="Times New Roman"/>
          <w:sz w:val="22"/>
          <w:szCs w:val="22"/>
        </w:rPr>
        <w:t xml:space="preserve">rights </w:t>
      </w:r>
      <w:r w:rsidR="003E3833" w:rsidRPr="0004609C">
        <w:rPr>
          <w:rFonts w:ascii="Times New Roman" w:eastAsia="Times New Roman" w:hAnsi="Times New Roman" w:cs="Times New Roman"/>
          <w:sz w:val="22"/>
          <w:szCs w:val="22"/>
        </w:rPr>
        <w:t xml:space="preserve"> </w:t>
      </w:r>
      <w:r w:rsidRPr="0004609C">
        <w:rPr>
          <w:rFonts w:ascii="Times New Roman" w:eastAsia="Times New Roman" w:hAnsi="Times New Roman" w:cs="Times New Roman"/>
          <w:sz w:val="22"/>
          <w:szCs w:val="22"/>
        </w:rPr>
        <w:t>of</w:t>
      </w:r>
      <w:proofErr w:type="gramEnd"/>
      <w:r w:rsidRPr="0004609C">
        <w:rPr>
          <w:rFonts w:ascii="Times New Roman" w:eastAsia="Times New Roman" w:hAnsi="Times New Roman" w:cs="Times New Roman"/>
          <w:sz w:val="22"/>
          <w:szCs w:val="22"/>
        </w:rPr>
        <w:t xml:space="preserve"> any </w:t>
      </w:r>
      <w:proofErr w:type="spellStart"/>
      <w:r w:rsidRPr="0004609C">
        <w:rPr>
          <w:rFonts w:ascii="Times New Roman" w:eastAsia="Times New Roman" w:hAnsi="Times New Roman" w:cs="Times New Roman"/>
          <w:sz w:val="22"/>
          <w:szCs w:val="22"/>
        </w:rPr>
        <w:t>cognisable</w:t>
      </w:r>
      <w:proofErr w:type="spellEnd"/>
      <w:r w:rsidRPr="0004609C">
        <w:rPr>
          <w:rFonts w:ascii="Times New Roman" w:eastAsia="Times New Roman" w:hAnsi="Times New Roman" w:cs="Times New Roman"/>
          <w:sz w:val="22"/>
          <w:szCs w:val="22"/>
        </w:rPr>
        <w:t xml:space="preserve"> legal interest in the manner and terms of its exploitation.</w:t>
      </w:r>
    </w:p>
    <w:p w14:paraId="7DEB6F9F" w14:textId="4560490C" w:rsidR="00254F3D" w:rsidRPr="0004609C" w:rsidRDefault="00CE4F5E" w:rsidP="00F42E1F">
      <w:pPr>
        <w:spacing w:line="360" w:lineRule="auto"/>
        <w:ind w:left="360"/>
        <w:jc w:val="both"/>
        <w:rPr>
          <w:rFonts w:ascii="Times New Roman" w:eastAsia="Times New Roman" w:hAnsi="Times New Roman" w:cs="Times New Roman"/>
          <w:sz w:val="22"/>
          <w:szCs w:val="22"/>
        </w:rPr>
      </w:pPr>
      <w:r w:rsidRPr="0004609C">
        <w:rPr>
          <w:rFonts w:ascii="Times New Roman" w:eastAsia="Times New Roman" w:hAnsi="Times New Roman" w:cs="Times New Roman"/>
          <w:sz w:val="22"/>
          <w:szCs w:val="22"/>
        </w:rPr>
        <w:t xml:space="preserve">The regulatory framework that governed upstream operations from the 1969 Petroleum Act through to the pre-PIA </w:t>
      </w:r>
      <w:proofErr w:type="gramStart"/>
      <w:r w:rsidRPr="0004609C">
        <w:rPr>
          <w:rFonts w:ascii="Times New Roman" w:eastAsia="Times New Roman" w:hAnsi="Times New Roman" w:cs="Times New Roman"/>
          <w:sz w:val="22"/>
          <w:szCs w:val="22"/>
        </w:rPr>
        <w:t>era imposed</w:t>
      </w:r>
      <w:proofErr w:type="gramEnd"/>
      <w:r w:rsidRPr="0004609C">
        <w:rPr>
          <w:rFonts w:ascii="Times New Roman" w:eastAsia="Times New Roman" w:hAnsi="Times New Roman" w:cs="Times New Roman"/>
          <w:sz w:val="22"/>
          <w:szCs w:val="22"/>
        </w:rPr>
        <w:t xml:space="preserve"> obligations on operators directed almost entirely at the federal and, occasionally, state governments. Community engagement, where it occurred, was discretionary</w:t>
      </w:r>
      <w:r w:rsidR="00832179" w:rsidRPr="0004609C">
        <w:rPr>
          <w:rFonts w:ascii="Times New Roman" w:eastAsia="Times New Roman" w:hAnsi="Times New Roman" w:cs="Times New Roman"/>
          <w:sz w:val="22"/>
          <w:szCs w:val="22"/>
        </w:rPr>
        <w:t>,</w:t>
      </w:r>
      <w:r w:rsidRPr="0004609C">
        <w:rPr>
          <w:rFonts w:ascii="Times New Roman" w:eastAsia="Times New Roman" w:hAnsi="Times New Roman" w:cs="Times New Roman"/>
          <w:sz w:val="22"/>
          <w:szCs w:val="22"/>
        </w:rPr>
        <w:t xml:space="preserve"> </w:t>
      </w:r>
      <w:proofErr w:type="spellStart"/>
      <w:r w:rsidRPr="0004609C">
        <w:rPr>
          <w:rFonts w:ascii="Times New Roman" w:eastAsia="Times New Roman" w:hAnsi="Times New Roman" w:cs="Times New Roman"/>
          <w:sz w:val="22"/>
          <w:szCs w:val="22"/>
        </w:rPr>
        <w:t>formalised</w:t>
      </w:r>
      <w:proofErr w:type="spellEnd"/>
      <w:r w:rsidRPr="0004609C">
        <w:rPr>
          <w:rFonts w:ascii="Times New Roman" w:eastAsia="Times New Roman" w:hAnsi="Times New Roman" w:cs="Times New Roman"/>
          <w:sz w:val="22"/>
          <w:szCs w:val="22"/>
        </w:rPr>
        <w:t xml:space="preserve"> through Memoranda of Understanding (MOUs) between operators and local communities that were legally unenforceable, inconsistently </w:t>
      </w:r>
      <w:proofErr w:type="spellStart"/>
      <w:r w:rsidRPr="0004609C">
        <w:rPr>
          <w:rFonts w:ascii="Times New Roman" w:eastAsia="Times New Roman" w:hAnsi="Times New Roman" w:cs="Times New Roman"/>
          <w:sz w:val="22"/>
          <w:szCs w:val="22"/>
        </w:rPr>
        <w:t>honoured</w:t>
      </w:r>
      <w:proofErr w:type="spellEnd"/>
      <w:r w:rsidRPr="0004609C">
        <w:rPr>
          <w:rFonts w:ascii="Times New Roman" w:eastAsia="Times New Roman" w:hAnsi="Times New Roman" w:cs="Times New Roman"/>
          <w:sz w:val="22"/>
          <w:szCs w:val="22"/>
        </w:rPr>
        <w:t xml:space="preserve">, and structurally designed to </w:t>
      </w:r>
      <w:proofErr w:type="spellStart"/>
      <w:r w:rsidRPr="0004609C">
        <w:rPr>
          <w:rFonts w:ascii="Times New Roman" w:eastAsia="Times New Roman" w:hAnsi="Times New Roman" w:cs="Times New Roman"/>
          <w:sz w:val="22"/>
          <w:szCs w:val="22"/>
        </w:rPr>
        <w:t>neutralise</w:t>
      </w:r>
      <w:proofErr w:type="spellEnd"/>
      <w:r w:rsidRPr="0004609C">
        <w:rPr>
          <w:rFonts w:ascii="Times New Roman" w:eastAsia="Times New Roman" w:hAnsi="Times New Roman" w:cs="Times New Roman"/>
          <w:sz w:val="22"/>
          <w:szCs w:val="22"/>
        </w:rPr>
        <w:t xml:space="preserve"> grievance rather than address it. As </w:t>
      </w:r>
      <w:proofErr w:type="spellStart"/>
      <w:r w:rsidRPr="0004609C">
        <w:rPr>
          <w:rFonts w:ascii="Times New Roman" w:eastAsia="Times New Roman" w:hAnsi="Times New Roman" w:cs="Times New Roman"/>
          <w:sz w:val="22"/>
          <w:szCs w:val="22"/>
        </w:rPr>
        <w:t>Agbarakwe</w:t>
      </w:r>
      <w:proofErr w:type="spellEnd"/>
      <w:r w:rsidRPr="0004609C">
        <w:rPr>
          <w:rFonts w:ascii="Times New Roman" w:eastAsia="Times New Roman" w:hAnsi="Times New Roman" w:cs="Times New Roman"/>
          <w:sz w:val="22"/>
          <w:szCs w:val="22"/>
        </w:rPr>
        <w:t xml:space="preserve"> and </w:t>
      </w:r>
      <w:proofErr w:type="spellStart"/>
      <w:r w:rsidRPr="0004609C">
        <w:rPr>
          <w:rFonts w:ascii="Times New Roman" w:eastAsia="Times New Roman" w:hAnsi="Times New Roman" w:cs="Times New Roman"/>
          <w:sz w:val="22"/>
          <w:szCs w:val="22"/>
        </w:rPr>
        <w:t>Bredino</w:t>
      </w:r>
      <w:proofErr w:type="spellEnd"/>
      <w:r w:rsidRPr="0004609C">
        <w:rPr>
          <w:rFonts w:ascii="Times New Roman" w:eastAsia="Times New Roman" w:hAnsi="Times New Roman" w:cs="Times New Roman"/>
          <w:sz w:val="22"/>
          <w:szCs w:val="22"/>
        </w:rPr>
        <w:t xml:space="preserve"> have documented, "the discretionary community investment strategies (Memorandum of Understanding) hitherto employed by oil and gas production and exploration companies to ameliorate the squabbles between them and their respective host community" proved institutionally incapable of generating durable peace or equitable development.</w:t>
      </w:r>
      <w:r w:rsidR="00EC54CB" w:rsidRPr="0004609C">
        <w:rPr>
          <w:rStyle w:val="FootnoteReference"/>
          <w:rFonts w:ascii="Times New Roman" w:eastAsia="Times New Roman" w:hAnsi="Times New Roman" w:cs="Times New Roman"/>
          <w:sz w:val="22"/>
          <w:szCs w:val="22"/>
        </w:rPr>
        <w:footnoteReference w:id="6"/>
      </w:r>
    </w:p>
    <w:p w14:paraId="708BDD3A" w14:textId="1458F5ED" w:rsidR="005715A1" w:rsidRPr="0004609C" w:rsidRDefault="005875A0" w:rsidP="00F42E1F">
      <w:pPr>
        <w:pStyle w:val="ListParagraph"/>
        <w:numPr>
          <w:ilvl w:val="0"/>
          <w:numId w:val="2"/>
        </w:numPr>
        <w:spacing w:line="360" w:lineRule="auto"/>
        <w:rPr>
          <w:rFonts w:ascii="Times New Roman" w:hAnsi="Times New Roman" w:cs="Times New Roman"/>
          <w:b/>
          <w:bCs/>
          <w:i/>
          <w:iCs/>
          <w:sz w:val="22"/>
          <w:szCs w:val="22"/>
        </w:rPr>
      </w:pPr>
      <w:r w:rsidRPr="0004609C">
        <w:rPr>
          <w:rFonts w:ascii="Times New Roman" w:hAnsi="Times New Roman" w:cs="Times New Roman"/>
          <w:b/>
          <w:bCs/>
          <w:i/>
          <w:iCs/>
          <w:sz w:val="22"/>
          <w:szCs w:val="22"/>
        </w:rPr>
        <w:t>MOSOP, the Ogoni Nine, and the Collapse</w:t>
      </w:r>
      <w:r w:rsidR="005B3D31" w:rsidRPr="0004609C">
        <w:rPr>
          <w:rFonts w:ascii="Times New Roman" w:hAnsi="Times New Roman" w:cs="Times New Roman"/>
          <w:b/>
          <w:bCs/>
          <w:i/>
          <w:iCs/>
          <w:sz w:val="22"/>
          <w:szCs w:val="22"/>
        </w:rPr>
        <w:t xml:space="preserve"> of the Voluntary Model</w:t>
      </w:r>
    </w:p>
    <w:p w14:paraId="02DDE63F" w14:textId="4765BD06" w:rsidR="009371A7" w:rsidRPr="0004609C" w:rsidRDefault="009371A7" w:rsidP="00F42E1F">
      <w:pPr>
        <w:spacing w:after="200" w:line="360" w:lineRule="auto"/>
        <w:ind w:left="360"/>
        <w:jc w:val="both"/>
        <w:rPr>
          <w:rFonts w:ascii="Times New Roman" w:eastAsia="Times New Roman" w:hAnsi="Times New Roman" w:cs="Times New Roman"/>
          <w:sz w:val="22"/>
          <w:szCs w:val="22"/>
        </w:rPr>
      </w:pPr>
      <w:r w:rsidRPr="0004609C">
        <w:rPr>
          <w:rFonts w:ascii="Times New Roman" w:eastAsia="Times New Roman" w:hAnsi="Times New Roman" w:cs="Times New Roman"/>
          <w:sz w:val="22"/>
          <w:szCs w:val="22"/>
        </w:rPr>
        <w:t>The execution of Ken Saro-</w:t>
      </w:r>
      <w:proofErr w:type="spellStart"/>
      <w:r w:rsidRPr="0004609C">
        <w:rPr>
          <w:rFonts w:ascii="Times New Roman" w:eastAsia="Times New Roman" w:hAnsi="Times New Roman" w:cs="Times New Roman"/>
          <w:sz w:val="22"/>
          <w:szCs w:val="22"/>
        </w:rPr>
        <w:t>Wiwa</w:t>
      </w:r>
      <w:proofErr w:type="spellEnd"/>
      <w:r w:rsidRPr="0004609C">
        <w:rPr>
          <w:rFonts w:ascii="Times New Roman" w:eastAsia="Times New Roman" w:hAnsi="Times New Roman" w:cs="Times New Roman"/>
          <w:sz w:val="22"/>
          <w:szCs w:val="22"/>
        </w:rPr>
        <w:t xml:space="preserve"> and eight fellow Ogoni activists on 10 November 1995 </w:t>
      </w:r>
      <w:proofErr w:type="spellStart"/>
      <w:r w:rsidRPr="0004609C">
        <w:rPr>
          <w:rFonts w:ascii="Times New Roman" w:eastAsia="Times New Roman" w:hAnsi="Times New Roman" w:cs="Times New Roman"/>
          <w:sz w:val="22"/>
          <w:szCs w:val="22"/>
        </w:rPr>
        <w:t>crystallised</w:t>
      </w:r>
      <w:proofErr w:type="spellEnd"/>
      <w:r w:rsidRPr="0004609C">
        <w:rPr>
          <w:rFonts w:ascii="Times New Roman" w:eastAsia="Times New Roman" w:hAnsi="Times New Roman" w:cs="Times New Roman"/>
          <w:sz w:val="22"/>
          <w:szCs w:val="22"/>
        </w:rPr>
        <w:t xml:space="preserve"> for international audiences the lethal inadequacy of the voluntary community engagement model. MOSOP, which Saro-</w:t>
      </w:r>
      <w:proofErr w:type="spellStart"/>
      <w:r w:rsidRPr="0004609C">
        <w:rPr>
          <w:rFonts w:ascii="Times New Roman" w:eastAsia="Times New Roman" w:hAnsi="Times New Roman" w:cs="Times New Roman"/>
          <w:sz w:val="22"/>
          <w:szCs w:val="22"/>
        </w:rPr>
        <w:t>Wiwa</w:t>
      </w:r>
      <w:proofErr w:type="spellEnd"/>
      <w:r w:rsidRPr="0004609C">
        <w:rPr>
          <w:rFonts w:ascii="Times New Roman" w:eastAsia="Times New Roman" w:hAnsi="Times New Roman" w:cs="Times New Roman"/>
          <w:sz w:val="22"/>
          <w:szCs w:val="22"/>
        </w:rPr>
        <w:t xml:space="preserve"> co-founded in 1990, had articulated a rights-based claim that the Ogoni </w:t>
      </w:r>
      <w:r w:rsidRPr="0004609C">
        <w:rPr>
          <w:rFonts w:ascii="Times New Roman" w:eastAsia="Times New Roman" w:hAnsi="Times New Roman" w:cs="Times New Roman"/>
          <w:sz w:val="22"/>
          <w:szCs w:val="22"/>
        </w:rPr>
        <w:lastRenderedPageBreak/>
        <w:t>people possessed rights to political autonomy, environmental protection, and a proportionate share of the revenues derived from their land that the Nigerian state and its international oil company partners systematically refused to acknowledge.</w:t>
      </w:r>
      <w:r w:rsidR="009709C0" w:rsidRPr="0004609C">
        <w:rPr>
          <w:rStyle w:val="FootnoteReference"/>
          <w:rFonts w:ascii="Times New Roman" w:eastAsia="Times New Roman" w:hAnsi="Times New Roman" w:cs="Times New Roman"/>
          <w:sz w:val="22"/>
          <w:szCs w:val="22"/>
        </w:rPr>
        <w:footnoteReference w:id="7"/>
      </w:r>
      <w:r w:rsidRPr="0004609C">
        <w:rPr>
          <w:rFonts w:ascii="Times New Roman" w:eastAsia="Times New Roman" w:hAnsi="Times New Roman" w:cs="Times New Roman"/>
          <w:sz w:val="22"/>
          <w:szCs w:val="22"/>
        </w:rPr>
        <w:t xml:space="preserve"> The state's response, culminating in military crackdowns, gross human rights abuses, and ultimately judicial execution, demonstrated that without enforceable legal rights, community interests would remain permanently subordinate to operator and state interests.</w:t>
      </w:r>
    </w:p>
    <w:p w14:paraId="2B0514C4" w14:textId="6E9FBC5E" w:rsidR="009F6E34" w:rsidRPr="0004609C" w:rsidRDefault="009F6E34" w:rsidP="00F42E1F">
      <w:pPr>
        <w:spacing w:after="200" w:line="360" w:lineRule="auto"/>
        <w:ind w:left="360"/>
        <w:jc w:val="both"/>
        <w:rPr>
          <w:rFonts w:ascii="Times New Roman" w:eastAsia="Times New Roman" w:hAnsi="Times New Roman" w:cs="Times New Roman"/>
          <w:sz w:val="22"/>
          <w:szCs w:val="22"/>
        </w:rPr>
      </w:pPr>
      <w:r w:rsidRPr="0004609C">
        <w:rPr>
          <w:rFonts w:ascii="Times New Roman" w:eastAsia="Times New Roman" w:hAnsi="Times New Roman" w:cs="Times New Roman"/>
          <w:sz w:val="22"/>
          <w:szCs w:val="22"/>
        </w:rPr>
        <w:t xml:space="preserve">The subsequent intensification of Niger Delta militancy in the early 2000s </w:t>
      </w:r>
      <w:proofErr w:type="spellStart"/>
      <w:r w:rsidRPr="0004609C">
        <w:rPr>
          <w:rFonts w:ascii="Times New Roman" w:eastAsia="Times New Roman" w:hAnsi="Times New Roman" w:cs="Times New Roman"/>
          <w:sz w:val="22"/>
          <w:szCs w:val="22"/>
        </w:rPr>
        <w:t>centred</w:t>
      </w:r>
      <w:proofErr w:type="spellEnd"/>
      <w:r w:rsidRPr="0004609C">
        <w:rPr>
          <w:rFonts w:ascii="Times New Roman" w:eastAsia="Times New Roman" w:hAnsi="Times New Roman" w:cs="Times New Roman"/>
          <w:sz w:val="22"/>
          <w:szCs w:val="22"/>
        </w:rPr>
        <w:t xml:space="preserve"> on groups including the Movement for the Emancipation of the Niger Delta (MEND) forced a reckoning that decades of advocacy had not. Oil theft, pipeline sabotage, and the kidnapping of oil workers imposed direct economic costs that made continued non-engagement untenable. Nigeria's 2009 Amnesty </w:t>
      </w:r>
      <w:proofErr w:type="spellStart"/>
      <w:r w:rsidRPr="0004609C">
        <w:rPr>
          <w:rFonts w:ascii="Times New Roman" w:eastAsia="Times New Roman" w:hAnsi="Times New Roman" w:cs="Times New Roman"/>
          <w:sz w:val="22"/>
          <w:szCs w:val="22"/>
        </w:rPr>
        <w:t>Programme</w:t>
      </w:r>
      <w:proofErr w:type="spellEnd"/>
      <w:r w:rsidRPr="0004609C">
        <w:rPr>
          <w:rFonts w:ascii="Times New Roman" w:eastAsia="Times New Roman" w:hAnsi="Times New Roman" w:cs="Times New Roman"/>
          <w:sz w:val="22"/>
          <w:szCs w:val="22"/>
        </w:rPr>
        <w:t>, which provided financial payments and vocational training to former militants, represented a grudging acknowledgment that the community-operator relationship required structural repair. The PIA, enacted in 2021 after more than twenty years of parliamentary deliberation,</w:t>
      </w:r>
      <w:r w:rsidR="00547EE8" w:rsidRPr="0004609C">
        <w:rPr>
          <w:rStyle w:val="FootnoteReference"/>
          <w:rFonts w:ascii="Times New Roman" w:eastAsia="Times New Roman" w:hAnsi="Times New Roman" w:cs="Times New Roman"/>
          <w:sz w:val="22"/>
          <w:szCs w:val="22"/>
        </w:rPr>
        <w:footnoteReference w:id="8"/>
      </w:r>
      <w:r w:rsidRPr="0004609C">
        <w:rPr>
          <w:rFonts w:ascii="Times New Roman" w:eastAsia="Times New Roman" w:hAnsi="Times New Roman" w:cs="Times New Roman"/>
          <w:sz w:val="22"/>
          <w:szCs w:val="22"/>
        </w:rPr>
        <w:t xml:space="preserve"> was in significant part a legislative response to this accumulated grievance.</w:t>
      </w:r>
    </w:p>
    <w:p w14:paraId="498A44B6" w14:textId="40B9E1AA" w:rsidR="00A74CAF" w:rsidRPr="0004609C" w:rsidRDefault="00A74CAF" w:rsidP="00F42E1F">
      <w:pPr>
        <w:pStyle w:val="ListParagraph"/>
        <w:numPr>
          <w:ilvl w:val="0"/>
          <w:numId w:val="1"/>
        </w:numPr>
        <w:spacing w:after="200" w:line="360" w:lineRule="auto"/>
        <w:jc w:val="both"/>
        <w:rPr>
          <w:rFonts w:ascii="Times New Roman" w:hAnsi="Times New Roman" w:cs="Times New Roman"/>
          <w:b/>
          <w:bCs/>
          <w:sz w:val="22"/>
          <w:szCs w:val="22"/>
        </w:rPr>
      </w:pPr>
      <w:r w:rsidRPr="0004609C">
        <w:rPr>
          <w:rFonts w:ascii="Times New Roman" w:hAnsi="Times New Roman" w:cs="Times New Roman"/>
          <w:b/>
          <w:bCs/>
          <w:sz w:val="22"/>
          <w:szCs w:val="22"/>
        </w:rPr>
        <w:t xml:space="preserve">NIGERIA`S PETROLEUM INDUSTRY ACT 2021: THE HOST COMMUNITY </w:t>
      </w:r>
      <w:r w:rsidR="00E1788F" w:rsidRPr="0004609C">
        <w:rPr>
          <w:rFonts w:ascii="Times New Roman" w:hAnsi="Times New Roman" w:cs="Times New Roman"/>
          <w:b/>
          <w:bCs/>
          <w:sz w:val="22"/>
          <w:szCs w:val="22"/>
        </w:rPr>
        <w:t>DEVELOPMENT TRUST</w:t>
      </w:r>
    </w:p>
    <w:p w14:paraId="32107161" w14:textId="4E13EC4C" w:rsidR="007115B4" w:rsidRPr="0004609C" w:rsidRDefault="007115B4" w:rsidP="00F42E1F">
      <w:pPr>
        <w:pStyle w:val="ListParagraph"/>
        <w:numPr>
          <w:ilvl w:val="0"/>
          <w:numId w:val="3"/>
        </w:numPr>
        <w:spacing w:after="200" w:line="360" w:lineRule="auto"/>
        <w:jc w:val="both"/>
        <w:rPr>
          <w:rFonts w:ascii="Times New Roman" w:hAnsi="Times New Roman" w:cs="Times New Roman"/>
          <w:b/>
          <w:bCs/>
          <w:i/>
          <w:iCs/>
          <w:sz w:val="22"/>
          <w:szCs w:val="22"/>
        </w:rPr>
      </w:pPr>
      <w:r w:rsidRPr="0004609C">
        <w:rPr>
          <w:rFonts w:ascii="Times New Roman" w:hAnsi="Times New Roman" w:cs="Times New Roman"/>
          <w:b/>
          <w:bCs/>
          <w:i/>
          <w:iCs/>
          <w:sz w:val="22"/>
          <w:szCs w:val="22"/>
        </w:rPr>
        <w:t>Structural Architecture</w:t>
      </w:r>
    </w:p>
    <w:p w14:paraId="4CB990A0" w14:textId="5455190C" w:rsidR="008E2D63" w:rsidRPr="0004609C" w:rsidRDefault="00E07170" w:rsidP="00F42E1F">
      <w:pPr>
        <w:spacing w:after="200" w:line="360" w:lineRule="auto"/>
        <w:ind w:left="360"/>
        <w:jc w:val="both"/>
        <w:rPr>
          <w:rFonts w:ascii="Times New Roman" w:eastAsia="Times New Roman" w:hAnsi="Times New Roman" w:cs="Times New Roman"/>
          <w:sz w:val="22"/>
          <w:szCs w:val="22"/>
        </w:rPr>
      </w:pPr>
      <w:r w:rsidRPr="0004609C">
        <w:rPr>
          <w:rFonts w:ascii="Times New Roman" w:eastAsia="Times New Roman" w:hAnsi="Times New Roman" w:cs="Times New Roman"/>
          <w:sz w:val="22"/>
          <w:szCs w:val="22"/>
        </w:rPr>
        <w:t xml:space="preserve">Chapter 3 of the PIA, comprising sections 234 to 261, establishes the Host Community Development Trust (HCDT) framework. The HCDT represents a conceptual departure from previous intervention mechanisms in at least three significant respects. First, it is statutory rather than voluntary operators cannot elect whether to engage with it. Second, the trust structure creates a legal personality separate from both the operator and the communities, designed in theory to insulate community funds from political capture. Third, it imposes temporal obligations that attach to the </w:t>
      </w:r>
      <w:proofErr w:type="spellStart"/>
      <w:r w:rsidRPr="0004609C">
        <w:rPr>
          <w:rFonts w:ascii="Times New Roman" w:eastAsia="Times New Roman" w:hAnsi="Times New Roman" w:cs="Times New Roman"/>
          <w:sz w:val="22"/>
          <w:szCs w:val="22"/>
        </w:rPr>
        <w:t>licence</w:t>
      </w:r>
      <w:proofErr w:type="spellEnd"/>
      <w:r w:rsidRPr="0004609C">
        <w:rPr>
          <w:rFonts w:ascii="Times New Roman" w:eastAsia="Times New Roman" w:hAnsi="Times New Roman" w:cs="Times New Roman"/>
          <w:sz w:val="22"/>
          <w:szCs w:val="22"/>
        </w:rPr>
        <w:t xml:space="preserve"> itself, linking community engagement to the conditions for continued operation</w:t>
      </w:r>
      <w:r w:rsidR="00237ADB" w:rsidRPr="0004609C">
        <w:rPr>
          <w:rFonts w:ascii="Times New Roman" w:eastAsia="Times New Roman" w:hAnsi="Times New Roman" w:cs="Times New Roman"/>
          <w:sz w:val="22"/>
          <w:szCs w:val="22"/>
        </w:rPr>
        <w:t>.</w:t>
      </w:r>
      <w:r w:rsidR="004665C7" w:rsidRPr="0004609C">
        <w:rPr>
          <w:rStyle w:val="FootnoteReference"/>
          <w:rFonts w:ascii="Times New Roman" w:eastAsia="Times New Roman" w:hAnsi="Times New Roman" w:cs="Times New Roman"/>
          <w:sz w:val="22"/>
          <w:szCs w:val="22"/>
        </w:rPr>
        <w:footnoteReference w:id="9"/>
      </w:r>
      <w:r w:rsidR="008E2D63" w:rsidRPr="0004609C">
        <w:rPr>
          <w:rFonts w:ascii="Times New Roman" w:eastAsia="Times New Roman" w:hAnsi="Times New Roman" w:cs="Times New Roman"/>
          <w:sz w:val="22"/>
          <w:szCs w:val="22"/>
        </w:rPr>
        <w:t xml:space="preserve"> </w:t>
      </w:r>
    </w:p>
    <w:p w14:paraId="7F096275" w14:textId="2534109A" w:rsidR="008E2D63" w:rsidRPr="0004609C" w:rsidRDefault="008E2D63" w:rsidP="00F42E1F">
      <w:pPr>
        <w:spacing w:after="200" w:line="360" w:lineRule="auto"/>
        <w:ind w:left="360"/>
        <w:jc w:val="both"/>
        <w:rPr>
          <w:rFonts w:ascii="Times New Roman" w:eastAsia="Times New Roman" w:hAnsi="Times New Roman" w:cs="Times New Roman"/>
          <w:sz w:val="22"/>
          <w:szCs w:val="22"/>
        </w:rPr>
      </w:pPr>
      <w:r w:rsidRPr="0004609C">
        <w:rPr>
          <w:rFonts w:ascii="Times New Roman" w:eastAsia="Times New Roman" w:hAnsi="Times New Roman" w:cs="Times New Roman"/>
          <w:sz w:val="22"/>
          <w:szCs w:val="22"/>
        </w:rPr>
        <w:t xml:space="preserve">Under section 234(3) of the PIA, every upstream operator referred to in the Act as a "settlor" is required to incorporate an HCDT within a defined period of receiving a petroleum </w:t>
      </w:r>
      <w:proofErr w:type="spellStart"/>
      <w:r w:rsidRPr="0004609C">
        <w:rPr>
          <w:rFonts w:ascii="Times New Roman" w:eastAsia="Times New Roman" w:hAnsi="Times New Roman" w:cs="Times New Roman"/>
          <w:sz w:val="22"/>
          <w:szCs w:val="22"/>
        </w:rPr>
        <w:t>licence</w:t>
      </w:r>
      <w:proofErr w:type="spellEnd"/>
      <w:r w:rsidRPr="0004609C">
        <w:rPr>
          <w:rFonts w:ascii="Times New Roman" w:eastAsia="Times New Roman" w:hAnsi="Times New Roman" w:cs="Times New Roman"/>
          <w:sz w:val="22"/>
          <w:szCs w:val="22"/>
        </w:rPr>
        <w:t>.</w:t>
      </w:r>
      <w:r w:rsidR="00FA5BDB" w:rsidRPr="0004609C">
        <w:rPr>
          <w:rStyle w:val="FootnoteReference"/>
          <w:rFonts w:ascii="Times New Roman" w:eastAsia="Times New Roman" w:hAnsi="Times New Roman" w:cs="Times New Roman"/>
          <w:sz w:val="22"/>
          <w:szCs w:val="22"/>
        </w:rPr>
        <w:footnoteReference w:id="10"/>
      </w:r>
      <w:r w:rsidRPr="0004609C">
        <w:rPr>
          <w:rFonts w:ascii="Times New Roman" w:eastAsia="Times New Roman" w:hAnsi="Times New Roman" w:cs="Times New Roman"/>
          <w:sz w:val="22"/>
          <w:szCs w:val="22"/>
        </w:rPr>
        <w:t xml:space="preserve"> The settlor must also conduct a community needs assessment prior to the establishment of the trust, evaluating the social, environmental, and economic conditions of the host communities affected by its operations.</w:t>
      </w:r>
      <w:r w:rsidR="002247AB" w:rsidRPr="0004609C">
        <w:rPr>
          <w:rStyle w:val="FootnoteReference"/>
          <w:rFonts w:ascii="Times New Roman" w:eastAsia="Times New Roman" w:hAnsi="Times New Roman" w:cs="Times New Roman"/>
          <w:sz w:val="22"/>
          <w:szCs w:val="22"/>
        </w:rPr>
        <w:footnoteReference w:id="11"/>
      </w:r>
      <w:r w:rsidRPr="0004609C">
        <w:rPr>
          <w:rFonts w:ascii="Times New Roman" w:eastAsia="Times New Roman" w:hAnsi="Times New Roman" w:cs="Times New Roman"/>
          <w:sz w:val="22"/>
          <w:szCs w:val="22"/>
        </w:rPr>
        <w:t xml:space="preserve"> This pre-</w:t>
      </w:r>
      <w:r w:rsidRPr="0004609C">
        <w:rPr>
          <w:rFonts w:ascii="Times New Roman" w:eastAsia="Times New Roman" w:hAnsi="Times New Roman" w:cs="Times New Roman"/>
          <w:sz w:val="22"/>
          <w:szCs w:val="22"/>
        </w:rPr>
        <w:lastRenderedPageBreak/>
        <w:t>operational assessment requirement is architecturally significant: it creates a procedural obligation that precedes extraction rather than following complaint.</w:t>
      </w:r>
    </w:p>
    <w:p w14:paraId="4E03513F" w14:textId="174387E2" w:rsidR="00615253" w:rsidRPr="0004609C" w:rsidRDefault="00615253" w:rsidP="00F42E1F">
      <w:pPr>
        <w:spacing w:after="200" w:line="360" w:lineRule="auto"/>
        <w:ind w:left="360"/>
        <w:jc w:val="both"/>
        <w:rPr>
          <w:rFonts w:ascii="Times New Roman" w:eastAsia="Times New Roman" w:hAnsi="Times New Roman" w:cs="Times New Roman"/>
          <w:sz w:val="22"/>
          <w:szCs w:val="22"/>
        </w:rPr>
      </w:pPr>
      <w:r w:rsidRPr="0004609C">
        <w:rPr>
          <w:rFonts w:ascii="Times New Roman" w:eastAsia="Times New Roman" w:hAnsi="Times New Roman" w:cs="Times New Roman"/>
          <w:sz w:val="22"/>
          <w:szCs w:val="22"/>
        </w:rPr>
        <w:t>The Act defines "host community" with notable breadth, encompassing not only the immediate community in which petroleum operations occur but also communities proximate to or impacted by those operations.</w:t>
      </w:r>
      <w:r w:rsidR="002247AB" w:rsidRPr="0004609C">
        <w:rPr>
          <w:rStyle w:val="FootnoteReference"/>
          <w:rFonts w:ascii="Times New Roman" w:eastAsia="Times New Roman" w:hAnsi="Times New Roman" w:cs="Times New Roman"/>
          <w:sz w:val="22"/>
          <w:szCs w:val="22"/>
        </w:rPr>
        <w:footnoteReference w:id="12"/>
      </w:r>
      <w:r w:rsidRPr="0004609C">
        <w:rPr>
          <w:rFonts w:ascii="Times New Roman" w:eastAsia="Times New Roman" w:hAnsi="Times New Roman" w:cs="Times New Roman"/>
          <w:sz w:val="22"/>
          <w:szCs w:val="22"/>
        </w:rPr>
        <w:t xml:space="preserve"> This expanded definition reflects legislative awareness of the diffuse environmental and social impacts of upstream operations, which rarely respect the administrative boundaries of single communities.</w:t>
      </w:r>
    </w:p>
    <w:p w14:paraId="10012CBE" w14:textId="42990DB1" w:rsidR="00615253" w:rsidRPr="0004609C" w:rsidRDefault="001F2438" w:rsidP="00F42E1F">
      <w:pPr>
        <w:pStyle w:val="ListParagraph"/>
        <w:numPr>
          <w:ilvl w:val="0"/>
          <w:numId w:val="3"/>
        </w:numPr>
        <w:spacing w:after="200" w:line="360" w:lineRule="auto"/>
        <w:jc w:val="both"/>
        <w:rPr>
          <w:rFonts w:ascii="Times New Roman" w:hAnsi="Times New Roman" w:cs="Times New Roman"/>
          <w:b/>
          <w:bCs/>
          <w:sz w:val="22"/>
          <w:szCs w:val="22"/>
        </w:rPr>
      </w:pPr>
      <w:r w:rsidRPr="0004609C">
        <w:rPr>
          <w:rFonts w:ascii="Times New Roman" w:hAnsi="Times New Roman" w:cs="Times New Roman"/>
          <w:b/>
          <w:bCs/>
          <w:i/>
          <w:iCs/>
          <w:sz w:val="22"/>
          <w:szCs w:val="22"/>
        </w:rPr>
        <w:t>The 3% Fund and Its Discontents</w:t>
      </w:r>
    </w:p>
    <w:p w14:paraId="41D102CF" w14:textId="061BEB27" w:rsidR="00BD6AA4" w:rsidRPr="0004609C" w:rsidRDefault="00BD6AA4" w:rsidP="00F42E1F">
      <w:pPr>
        <w:spacing w:after="200" w:line="360" w:lineRule="auto"/>
        <w:ind w:left="360"/>
        <w:jc w:val="both"/>
        <w:rPr>
          <w:rFonts w:ascii="Times New Roman" w:eastAsia="Times New Roman" w:hAnsi="Times New Roman" w:cs="Times New Roman"/>
          <w:sz w:val="22"/>
          <w:szCs w:val="22"/>
        </w:rPr>
      </w:pPr>
      <w:r w:rsidRPr="0004609C">
        <w:rPr>
          <w:rFonts w:ascii="Times New Roman" w:eastAsia="Times New Roman" w:hAnsi="Times New Roman" w:cs="Times New Roman"/>
          <w:sz w:val="22"/>
          <w:szCs w:val="22"/>
        </w:rPr>
        <w:t xml:space="preserve">The financial core of the HCDT regime is the Host Community Development Trust Fund (HCDTF), to which each </w:t>
      </w:r>
      <w:proofErr w:type="gramStart"/>
      <w:r w:rsidRPr="0004609C">
        <w:rPr>
          <w:rFonts w:ascii="Times New Roman" w:eastAsia="Times New Roman" w:hAnsi="Times New Roman" w:cs="Times New Roman"/>
          <w:sz w:val="22"/>
          <w:szCs w:val="22"/>
        </w:rPr>
        <w:t>settlor</w:t>
      </w:r>
      <w:proofErr w:type="gramEnd"/>
      <w:r w:rsidRPr="0004609C">
        <w:rPr>
          <w:rFonts w:ascii="Times New Roman" w:eastAsia="Times New Roman" w:hAnsi="Times New Roman" w:cs="Times New Roman"/>
          <w:sz w:val="22"/>
          <w:szCs w:val="22"/>
        </w:rPr>
        <w:t xml:space="preserve"> must contribute annually an amount equivalent to 3% of its actual operating expenditure from the preceding year in respect of upstream petroleum operations affecting the community.</w:t>
      </w:r>
      <w:r w:rsidR="002247AB" w:rsidRPr="0004609C">
        <w:rPr>
          <w:rStyle w:val="FootnoteReference"/>
          <w:rFonts w:ascii="Times New Roman" w:eastAsia="Times New Roman" w:hAnsi="Times New Roman" w:cs="Times New Roman"/>
          <w:sz w:val="22"/>
          <w:szCs w:val="22"/>
        </w:rPr>
        <w:footnoteReference w:id="13"/>
      </w:r>
      <w:r w:rsidRPr="0004609C">
        <w:rPr>
          <w:rFonts w:ascii="Times New Roman" w:eastAsia="Times New Roman" w:hAnsi="Times New Roman" w:cs="Times New Roman"/>
          <w:sz w:val="22"/>
          <w:szCs w:val="22"/>
        </w:rPr>
        <w:t xml:space="preserve"> This contribution is not discretionary. Non-payment triggers regulatory consequences, including the potential suspension of operating </w:t>
      </w:r>
      <w:proofErr w:type="spellStart"/>
      <w:r w:rsidRPr="0004609C">
        <w:rPr>
          <w:rFonts w:ascii="Times New Roman" w:eastAsia="Times New Roman" w:hAnsi="Times New Roman" w:cs="Times New Roman"/>
          <w:sz w:val="22"/>
          <w:szCs w:val="22"/>
        </w:rPr>
        <w:t>licences</w:t>
      </w:r>
      <w:proofErr w:type="spellEnd"/>
      <w:r w:rsidRPr="0004609C">
        <w:rPr>
          <w:rFonts w:ascii="Times New Roman" w:eastAsia="Times New Roman" w:hAnsi="Times New Roman" w:cs="Times New Roman"/>
          <w:sz w:val="22"/>
          <w:szCs w:val="22"/>
        </w:rPr>
        <w:t xml:space="preserve"> under section </w:t>
      </w:r>
      <w:r w:rsidRPr="0004609C">
        <w:rPr>
          <w:rFonts w:ascii="Times New Roman" w:eastAsia="Times New Roman" w:hAnsi="Times New Roman" w:cs="Times New Roman"/>
          <w:sz w:val="22"/>
          <w:szCs w:val="22"/>
          <w:highlight w:val="yellow"/>
        </w:rPr>
        <w:t>316</w:t>
      </w:r>
      <w:r w:rsidRPr="0004609C">
        <w:rPr>
          <w:rFonts w:ascii="Times New Roman" w:eastAsia="Times New Roman" w:hAnsi="Times New Roman" w:cs="Times New Roman"/>
          <w:sz w:val="22"/>
          <w:szCs w:val="22"/>
        </w:rPr>
        <w:t>.</w:t>
      </w:r>
      <w:r w:rsidR="00064AB3" w:rsidRPr="0004609C">
        <w:rPr>
          <w:rStyle w:val="FootnoteReference"/>
          <w:rFonts w:ascii="Times New Roman" w:eastAsia="Times New Roman" w:hAnsi="Times New Roman" w:cs="Times New Roman"/>
          <w:sz w:val="22"/>
          <w:szCs w:val="22"/>
        </w:rPr>
        <w:footnoteReference w:id="14"/>
      </w:r>
    </w:p>
    <w:p w14:paraId="7288CB3E" w14:textId="11965E23" w:rsidR="004C3FDF" w:rsidRPr="0004609C" w:rsidRDefault="004C3FDF" w:rsidP="00F42E1F">
      <w:pPr>
        <w:spacing w:after="200" w:line="360" w:lineRule="auto"/>
        <w:ind w:left="360"/>
        <w:jc w:val="both"/>
        <w:rPr>
          <w:rFonts w:ascii="Times New Roman" w:eastAsia="Times New Roman" w:hAnsi="Times New Roman" w:cs="Times New Roman"/>
          <w:sz w:val="22"/>
          <w:szCs w:val="22"/>
        </w:rPr>
      </w:pPr>
      <w:r w:rsidRPr="0004609C">
        <w:rPr>
          <w:rFonts w:ascii="Times New Roman" w:eastAsia="Times New Roman" w:hAnsi="Times New Roman" w:cs="Times New Roman"/>
          <w:sz w:val="22"/>
          <w:szCs w:val="22"/>
        </w:rPr>
        <w:t xml:space="preserve">The 3% figure has attracted sustained criticism from host communities and civil society </w:t>
      </w:r>
      <w:proofErr w:type="spellStart"/>
      <w:r w:rsidRPr="0004609C">
        <w:rPr>
          <w:rFonts w:ascii="Times New Roman" w:eastAsia="Times New Roman" w:hAnsi="Times New Roman" w:cs="Times New Roman"/>
          <w:sz w:val="22"/>
          <w:szCs w:val="22"/>
        </w:rPr>
        <w:t>organisations</w:t>
      </w:r>
      <w:proofErr w:type="spellEnd"/>
      <w:r w:rsidRPr="0004609C">
        <w:rPr>
          <w:rFonts w:ascii="Times New Roman" w:eastAsia="Times New Roman" w:hAnsi="Times New Roman" w:cs="Times New Roman"/>
          <w:sz w:val="22"/>
          <w:szCs w:val="22"/>
        </w:rPr>
        <w:t xml:space="preserve"> alike. The Pan Niger Delta Forum (PANDEF), representing communities across the oil-producing south, had demanded a contribution rate of 10%, arguing that the lower figure was wholly inadequate to address the scale of developmental deficits accumulated over six decades of extraction</w:t>
      </w:r>
      <w:r w:rsidR="000C254D" w:rsidRPr="0004609C">
        <w:rPr>
          <w:rFonts w:ascii="Times New Roman" w:eastAsia="Times New Roman" w:hAnsi="Times New Roman" w:cs="Times New Roman"/>
          <w:sz w:val="22"/>
          <w:szCs w:val="22"/>
        </w:rPr>
        <w:t>.</w:t>
      </w:r>
      <w:r w:rsidR="000C254D" w:rsidRPr="0004609C">
        <w:rPr>
          <w:rStyle w:val="FootnoteReference"/>
          <w:rFonts w:ascii="Times New Roman" w:eastAsia="Times New Roman" w:hAnsi="Times New Roman" w:cs="Times New Roman"/>
          <w:sz w:val="22"/>
          <w:szCs w:val="22"/>
        </w:rPr>
        <w:footnoteReference w:id="15"/>
      </w:r>
      <w:r w:rsidRPr="0004609C">
        <w:rPr>
          <w:rFonts w:ascii="Times New Roman" w:eastAsia="Times New Roman" w:hAnsi="Times New Roman" w:cs="Times New Roman"/>
          <w:sz w:val="22"/>
          <w:szCs w:val="22"/>
        </w:rPr>
        <w:t xml:space="preserve"> The Brookings Institution noted that host communities "remain unhappy" with the 3% provision, </w:t>
      </w:r>
      <w:proofErr w:type="spellStart"/>
      <w:r w:rsidRPr="0004609C">
        <w:rPr>
          <w:rFonts w:ascii="Times New Roman" w:eastAsia="Times New Roman" w:hAnsi="Times New Roman" w:cs="Times New Roman"/>
          <w:sz w:val="22"/>
          <w:szCs w:val="22"/>
        </w:rPr>
        <w:t>characterising</w:t>
      </w:r>
      <w:proofErr w:type="spellEnd"/>
      <w:r w:rsidRPr="0004609C">
        <w:rPr>
          <w:rFonts w:ascii="Times New Roman" w:eastAsia="Times New Roman" w:hAnsi="Times New Roman" w:cs="Times New Roman"/>
          <w:sz w:val="22"/>
          <w:szCs w:val="22"/>
        </w:rPr>
        <w:t xml:space="preserve"> it as a political compromise that reflects the relative bargaining power of operators in the legislative process rather than a principled assessment of community need.</w:t>
      </w:r>
      <w:r w:rsidR="00FE7C1C" w:rsidRPr="0004609C">
        <w:rPr>
          <w:rStyle w:val="FootnoteReference"/>
          <w:rFonts w:ascii="Times New Roman" w:eastAsia="Times New Roman" w:hAnsi="Times New Roman" w:cs="Times New Roman"/>
          <w:sz w:val="22"/>
          <w:szCs w:val="22"/>
        </w:rPr>
        <w:footnoteReference w:id="16"/>
      </w:r>
      <w:r w:rsidRPr="0004609C">
        <w:rPr>
          <w:rFonts w:ascii="Times New Roman" w:eastAsia="Times New Roman" w:hAnsi="Times New Roman" w:cs="Times New Roman"/>
          <w:sz w:val="22"/>
          <w:szCs w:val="22"/>
        </w:rPr>
        <w:t xml:space="preserve"> This criticism is not merely quantitative. It reflects a deeper structural point: that a percentage of operating expenditure, rather than revenue or profit, means that as operators </w:t>
      </w:r>
      <w:proofErr w:type="spellStart"/>
      <w:r w:rsidRPr="0004609C">
        <w:rPr>
          <w:rFonts w:ascii="Times New Roman" w:eastAsia="Times New Roman" w:hAnsi="Times New Roman" w:cs="Times New Roman"/>
          <w:sz w:val="22"/>
          <w:szCs w:val="22"/>
        </w:rPr>
        <w:t>optimise</w:t>
      </w:r>
      <w:proofErr w:type="spellEnd"/>
      <w:r w:rsidRPr="0004609C">
        <w:rPr>
          <w:rFonts w:ascii="Times New Roman" w:eastAsia="Times New Roman" w:hAnsi="Times New Roman" w:cs="Times New Roman"/>
          <w:sz w:val="22"/>
          <w:szCs w:val="22"/>
        </w:rPr>
        <w:t xml:space="preserve"> their cost structures </w:t>
      </w:r>
      <w:proofErr w:type="gramStart"/>
      <w:r w:rsidRPr="0004609C">
        <w:rPr>
          <w:rFonts w:ascii="Times New Roman" w:eastAsia="Times New Roman" w:hAnsi="Times New Roman" w:cs="Times New Roman"/>
          <w:sz w:val="22"/>
          <w:szCs w:val="22"/>
        </w:rPr>
        <w:t>trough</w:t>
      </w:r>
      <w:proofErr w:type="gramEnd"/>
      <w:r w:rsidRPr="0004609C">
        <w:rPr>
          <w:rFonts w:ascii="Times New Roman" w:eastAsia="Times New Roman" w:hAnsi="Times New Roman" w:cs="Times New Roman"/>
          <w:sz w:val="22"/>
          <w:szCs w:val="22"/>
        </w:rPr>
        <w:t xml:space="preserve"> technology and efficiency gains, the absolute value of community contributions may decline even as production volumes and profits increase.</w:t>
      </w:r>
    </w:p>
    <w:p w14:paraId="7A2F6ACD" w14:textId="34EE818F" w:rsidR="007566FC" w:rsidRPr="0004609C" w:rsidRDefault="0025043D" w:rsidP="00F42E1F">
      <w:pPr>
        <w:pStyle w:val="ListParagraph"/>
        <w:numPr>
          <w:ilvl w:val="0"/>
          <w:numId w:val="3"/>
        </w:numPr>
        <w:spacing w:after="200" w:line="360" w:lineRule="auto"/>
        <w:jc w:val="both"/>
        <w:rPr>
          <w:rFonts w:ascii="Times New Roman" w:hAnsi="Times New Roman" w:cs="Times New Roman"/>
          <w:b/>
          <w:bCs/>
          <w:i/>
          <w:iCs/>
          <w:sz w:val="22"/>
          <w:szCs w:val="22"/>
        </w:rPr>
      </w:pPr>
      <w:r w:rsidRPr="0004609C">
        <w:rPr>
          <w:rFonts w:ascii="Times New Roman" w:hAnsi="Times New Roman" w:cs="Times New Roman"/>
          <w:b/>
          <w:bCs/>
          <w:i/>
          <w:iCs/>
          <w:sz w:val="22"/>
          <w:szCs w:val="22"/>
        </w:rPr>
        <w:t xml:space="preserve">Governance, </w:t>
      </w:r>
      <w:r w:rsidR="00A830E8" w:rsidRPr="0004609C">
        <w:rPr>
          <w:rFonts w:ascii="Times New Roman" w:hAnsi="Times New Roman" w:cs="Times New Roman"/>
          <w:b/>
          <w:bCs/>
          <w:i/>
          <w:iCs/>
          <w:sz w:val="22"/>
          <w:szCs w:val="22"/>
        </w:rPr>
        <w:t>Representation, and Political Capture</w:t>
      </w:r>
    </w:p>
    <w:p w14:paraId="6D8FCEBF" w14:textId="5CE19082" w:rsidR="00A830E8" w:rsidRPr="0004609C" w:rsidRDefault="00634866" w:rsidP="00F42E1F">
      <w:pPr>
        <w:spacing w:after="200" w:line="360" w:lineRule="auto"/>
        <w:ind w:left="360"/>
        <w:jc w:val="both"/>
        <w:rPr>
          <w:rFonts w:ascii="Times New Roman" w:eastAsia="Times New Roman" w:hAnsi="Times New Roman" w:cs="Times New Roman"/>
          <w:sz w:val="22"/>
          <w:szCs w:val="22"/>
        </w:rPr>
      </w:pPr>
      <w:r w:rsidRPr="0004609C">
        <w:rPr>
          <w:rFonts w:ascii="Times New Roman" w:eastAsia="Times New Roman" w:hAnsi="Times New Roman" w:cs="Times New Roman"/>
          <w:sz w:val="22"/>
          <w:szCs w:val="22"/>
        </w:rPr>
        <w:lastRenderedPageBreak/>
        <w:t>The PIA requires HCDT to be governed by a Board of Trustees composed of representatives drawn from specified constituent communities, the host state government, and the operator.</w:t>
      </w:r>
      <w:r w:rsidR="00FE7C1C" w:rsidRPr="0004609C">
        <w:rPr>
          <w:rStyle w:val="FootnoteReference"/>
          <w:rFonts w:ascii="Times New Roman" w:eastAsia="Times New Roman" w:hAnsi="Times New Roman" w:cs="Times New Roman"/>
          <w:sz w:val="22"/>
          <w:szCs w:val="22"/>
        </w:rPr>
        <w:footnoteReference w:id="17"/>
      </w:r>
      <w:r w:rsidRPr="0004609C">
        <w:rPr>
          <w:rFonts w:ascii="Times New Roman" w:eastAsia="Times New Roman" w:hAnsi="Times New Roman" w:cs="Times New Roman"/>
          <w:sz w:val="22"/>
          <w:szCs w:val="22"/>
        </w:rPr>
        <w:t xml:space="preserve"> The inclusion of state government representatives on the Board has been </w:t>
      </w:r>
      <w:proofErr w:type="spellStart"/>
      <w:r w:rsidRPr="0004609C">
        <w:rPr>
          <w:rFonts w:ascii="Times New Roman" w:eastAsia="Times New Roman" w:hAnsi="Times New Roman" w:cs="Times New Roman"/>
          <w:sz w:val="22"/>
          <w:szCs w:val="22"/>
        </w:rPr>
        <w:t>criticised</w:t>
      </w:r>
      <w:proofErr w:type="spellEnd"/>
      <w:r w:rsidRPr="0004609C">
        <w:rPr>
          <w:rFonts w:ascii="Times New Roman" w:eastAsia="Times New Roman" w:hAnsi="Times New Roman" w:cs="Times New Roman"/>
          <w:sz w:val="22"/>
          <w:szCs w:val="22"/>
        </w:rPr>
        <w:t xml:space="preserve"> on the grounds that it replicates, within the trust structure, the same political economy that has historically diverted community benefits to elite capture. Early scholarly commentary on the HCDT framework observed that "there is a need for the settlor to avoid the temptation of allowing interference in the appointment of persons into the Board of Trustees of the host communities' development trust by politicians and the relevant state governments</w:t>
      </w:r>
      <w:r w:rsidR="00E75276" w:rsidRPr="0004609C">
        <w:rPr>
          <w:rFonts w:ascii="Times New Roman" w:eastAsia="Times New Roman" w:hAnsi="Times New Roman" w:cs="Times New Roman"/>
          <w:sz w:val="22"/>
          <w:szCs w:val="22"/>
        </w:rPr>
        <w:t>.</w:t>
      </w:r>
      <w:r w:rsidR="001D0E4A" w:rsidRPr="0004609C">
        <w:rPr>
          <w:rStyle w:val="FootnoteReference"/>
          <w:rFonts w:ascii="Times New Roman" w:eastAsia="Times New Roman" w:hAnsi="Times New Roman" w:cs="Times New Roman"/>
          <w:sz w:val="22"/>
          <w:szCs w:val="22"/>
        </w:rPr>
        <w:footnoteReference w:id="18"/>
      </w:r>
    </w:p>
    <w:p w14:paraId="4741B448" w14:textId="31E28C47" w:rsidR="003153A7" w:rsidRPr="0004609C" w:rsidRDefault="003153A7" w:rsidP="00F42E1F">
      <w:pPr>
        <w:spacing w:after="200" w:line="360" w:lineRule="auto"/>
        <w:ind w:left="360"/>
        <w:jc w:val="both"/>
        <w:rPr>
          <w:rFonts w:ascii="Times New Roman" w:hAnsi="Times New Roman" w:cs="Times New Roman"/>
          <w:sz w:val="22"/>
          <w:szCs w:val="22"/>
        </w:rPr>
      </w:pPr>
      <w:r w:rsidRPr="0004609C">
        <w:rPr>
          <w:rFonts w:ascii="Times New Roman" w:eastAsia="Times New Roman" w:hAnsi="Times New Roman" w:cs="Times New Roman"/>
          <w:sz w:val="22"/>
          <w:szCs w:val="22"/>
        </w:rPr>
        <w:t xml:space="preserve">The Act does provide for community representation section 235(2) stipulates that </w:t>
      </w:r>
      <w:proofErr w:type="gramStart"/>
      <w:r w:rsidRPr="0004609C">
        <w:rPr>
          <w:rFonts w:ascii="Times New Roman" w:eastAsia="Times New Roman" w:hAnsi="Times New Roman" w:cs="Times New Roman"/>
          <w:sz w:val="22"/>
          <w:szCs w:val="22"/>
        </w:rPr>
        <w:t>the majority of</w:t>
      </w:r>
      <w:proofErr w:type="gramEnd"/>
      <w:r w:rsidRPr="0004609C">
        <w:rPr>
          <w:rFonts w:ascii="Times New Roman" w:eastAsia="Times New Roman" w:hAnsi="Times New Roman" w:cs="Times New Roman"/>
          <w:sz w:val="22"/>
          <w:szCs w:val="22"/>
        </w:rPr>
        <w:t xml:space="preserve"> trustees must be drawn from the constituent communities themselves</w:t>
      </w:r>
      <w:r w:rsidR="001D0E4A" w:rsidRPr="0004609C">
        <w:rPr>
          <w:rStyle w:val="FootnoteReference"/>
          <w:rFonts w:ascii="Times New Roman" w:eastAsia="Times New Roman" w:hAnsi="Times New Roman" w:cs="Times New Roman"/>
          <w:sz w:val="22"/>
          <w:szCs w:val="22"/>
        </w:rPr>
        <w:footnoteReference w:id="19"/>
      </w:r>
      <w:r w:rsidRPr="0004609C">
        <w:rPr>
          <w:rFonts w:ascii="Times New Roman" w:eastAsia="Times New Roman" w:hAnsi="Times New Roman" w:cs="Times New Roman"/>
          <w:sz w:val="22"/>
          <w:szCs w:val="22"/>
        </w:rPr>
        <w:t xml:space="preserve"> but the precise method of selecting community representatives is left substantially to subsidiary regulation. This regulatory gap creates a significant accountability risk. Experience with analogous community fund structures in the Niger Delta suggests that where representation mechanisms are under-specified, they are susceptible to manipulation by local political elites who may formally "represent" communities without genuine accountability to them.</w:t>
      </w:r>
      <w:r w:rsidR="00C07D3F" w:rsidRPr="0004609C">
        <w:rPr>
          <w:rStyle w:val="FootnoteReference"/>
          <w:rFonts w:ascii="Times New Roman" w:eastAsia="Times New Roman" w:hAnsi="Times New Roman" w:cs="Times New Roman"/>
          <w:sz w:val="22"/>
          <w:szCs w:val="22"/>
        </w:rPr>
        <w:footnoteReference w:id="20"/>
      </w:r>
      <w:r w:rsidRPr="0004609C">
        <w:rPr>
          <w:rFonts w:ascii="Times New Roman" w:eastAsia="Times New Roman" w:hAnsi="Times New Roman" w:cs="Times New Roman"/>
          <w:sz w:val="22"/>
          <w:szCs w:val="22"/>
        </w:rPr>
        <w:t xml:space="preserve"> </w:t>
      </w:r>
    </w:p>
    <w:p w14:paraId="11F5D448" w14:textId="1BF2DB11" w:rsidR="00D8418D" w:rsidRPr="0004609C" w:rsidRDefault="00D8418D" w:rsidP="00F42E1F">
      <w:pPr>
        <w:spacing w:after="200" w:line="360" w:lineRule="auto"/>
        <w:ind w:left="360"/>
        <w:jc w:val="both"/>
        <w:rPr>
          <w:rFonts w:ascii="Times New Roman" w:eastAsia="Times New Roman" w:hAnsi="Times New Roman" w:cs="Times New Roman"/>
          <w:sz w:val="22"/>
          <w:szCs w:val="22"/>
        </w:rPr>
      </w:pPr>
      <w:r w:rsidRPr="0004609C">
        <w:rPr>
          <w:rFonts w:ascii="Times New Roman" w:eastAsia="Times New Roman" w:hAnsi="Times New Roman" w:cs="Times New Roman"/>
          <w:sz w:val="22"/>
          <w:szCs w:val="22"/>
        </w:rPr>
        <w:t xml:space="preserve">The Act further requires that a management committee be established within each host community to oversee the </w:t>
      </w:r>
      <w:proofErr w:type="spellStart"/>
      <w:r w:rsidRPr="0004609C">
        <w:rPr>
          <w:rFonts w:ascii="Times New Roman" w:eastAsia="Times New Roman" w:hAnsi="Times New Roman" w:cs="Times New Roman"/>
          <w:sz w:val="22"/>
          <w:szCs w:val="22"/>
        </w:rPr>
        <w:t>utilisation</w:t>
      </w:r>
      <w:proofErr w:type="spellEnd"/>
      <w:r w:rsidRPr="0004609C">
        <w:rPr>
          <w:rFonts w:ascii="Times New Roman" w:eastAsia="Times New Roman" w:hAnsi="Times New Roman" w:cs="Times New Roman"/>
          <w:sz w:val="22"/>
          <w:szCs w:val="22"/>
        </w:rPr>
        <w:t xml:space="preserve"> of trust funds for specific projects.</w:t>
      </w:r>
      <w:r w:rsidR="00C07D3F" w:rsidRPr="0004609C">
        <w:rPr>
          <w:rStyle w:val="FootnoteReference"/>
          <w:rFonts w:ascii="Times New Roman" w:eastAsia="Times New Roman" w:hAnsi="Times New Roman" w:cs="Times New Roman"/>
          <w:sz w:val="22"/>
          <w:szCs w:val="22"/>
        </w:rPr>
        <w:footnoteReference w:id="21"/>
      </w:r>
      <w:r w:rsidRPr="0004609C">
        <w:rPr>
          <w:rFonts w:ascii="Times New Roman" w:eastAsia="Times New Roman" w:hAnsi="Times New Roman" w:cs="Times New Roman"/>
          <w:sz w:val="22"/>
          <w:szCs w:val="22"/>
        </w:rPr>
        <w:t xml:space="preserve"> While this creates a second layer of community oversight, it also multiplies the institutional complexity of the framework and potentially increases the transaction costs of project delivery in communities that may lack the administrative capacity to sustain multiple governance bodies simultaneously.</w:t>
      </w:r>
    </w:p>
    <w:p w14:paraId="20E19EA7" w14:textId="23B19C35" w:rsidR="00D8418D" w:rsidRPr="0004609C" w:rsidRDefault="00BE674B" w:rsidP="00F42E1F">
      <w:pPr>
        <w:pStyle w:val="ListParagraph"/>
        <w:numPr>
          <w:ilvl w:val="0"/>
          <w:numId w:val="1"/>
        </w:numPr>
        <w:spacing w:after="200" w:line="360" w:lineRule="auto"/>
        <w:jc w:val="both"/>
        <w:rPr>
          <w:rFonts w:ascii="Times New Roman" w:hAnsi="Times New Roman" w:cs="Times New Roman"/>
          <w:b/>
          <w:bCs/>
          <w:sz w:val="22"/>
          <w:szCs w:val="22"/>
        </w:rPr>
      </w:pPr>
      <w:r w:rsidRPr="0004609C">
        <w:rPr>
          <w:rFonts w:ascii="Times New Roman" w:hAnsi="Times New Roman" w:cs="Times New Roman"/>
          <w:b/>
          <w:bCs/>
          <w:sz w:val="22"/>
          <w:szCs w:val="22"/>
        </w:rPr>
        <w:t>CANADA`S DUTY TO CONSULT: A CONSTITUTIONAL DOCTRINE IN TRANSITION</w:t>
      </w:r>
    </w:p>
    <w:p w14:paraId="1176CFDF" w14:textId="7E72FE62" w:rsidR="00BE674B" w:rsidRPr="0004609C" w:rsidRDefault="00E93ABA" w:rsidP="00F42E1F">
      <w:pPr>
        <w:pStyle w:val="ListParagraph"/>
        <w:numPr>
          <w:ilvl w:val="0"/>
          <w:numId w:val="4"/>
        </w:numPr>
        <w:spacing w:after="200" w:line="360" w:lineRule="auto"/>
        <w:jc w:val="both"/>
        <w:rPr>
          <w:rFonts w:ascii="Times New Roman" w:hAnsi="Times New Roman" w:cs="Times New Roman"/>
          <w:b/>
          <w:bCs/>
          <w:i/>
          <w:iCs/>
          <w:sz w:val="22"/>
          <w:szCs w:val="22"/>
        </w:rPr>
      </w:pPr>
      <w:r w:rsidRPr="0004609C">
        <w:rPr>
          <w:rFonts w:ascii="Times New Roman" w:hAnsi="Times New Roman" w:cs="Times New Roman"/>
          <w:b/>
          <w:bCs/>
          <w:i/>
          <w:iCs/>
          <w:sz w:val="22"/>
          <w:szCs w:val="22"/>
        </w:rPr>
        <w:t>The Haida Doctrine and Its Foundations</w:t>
      </w:r>
    </w:p>
    <w:p w14:paraId="1DC596D3" w14:textId="4338ECC1" w:rsidR="00327A34" w:rsidRPr="0004609C" w:rsidRDefault="00327A34" w:rsidP="00F42E1F">
      <w:pPr>
        <w:spacing w:after="200" w:line="360" w:lineRule="auto"/>
        <w:ind w:left="360"/>
        <w:jc w:val="both"/>
        <w:rPr>
          <w:rFonts w:ascii="Times New Roman" w:hAnsi="Times New Roman" w:cs="Times New Roman"/>
          <w:sz w:val="22"/>
          <w:szCs w:val="22"/>
        </w:rPr>
      </w:pPr>
      <w:r w:rsidRPr="0004609C">
        <w:rPr>
          <w:rFonts w:ascii="Times New Roman" w:eastAsia="Times New Roman" w:hAnsi="Times New Roman" w:cs="Times New Roman"/>
          <w:sz w:val="22"/>
          <w:szCs w:val="22"/>
        </w:rPr>
        <w:t xml:space="preserve">The Supreme Court of Canada's unanimous judgment in </w:t>
      </w:r>
      <w:r w:rsidRPr="0004609C">
        <w:rPr>
          <w:rFonts w:ascii="Times New Roman" w:eastAsia="Times New Roman" w:hAnsi="Times New Roman" w:cs="Times New Roman"/>
          <w:i/>
          <w:iCs/>
          <w:sz w:val="22"/>
          <w:szCs w:val="22"/>
        </w:rPr>
        <w:t>Haida Nation</w:t>
      </w:r>
      <w:r w:rsidRPr="0004609C">
        <w:rPr>
          <w:rFonts w:ascii="Times New Roman" w:eastAsia="Times New Roman" w:hAnsi="Times New Roman" w:cs="Times New Roman"/>
          <w:sz w:val="22"/>
          <w:szCs w:val="22"/>
        </w:rPr>
        <w:t xml:space="preserve"> established the foundational architecture of Canada's duty-to-consult doctrine. Writing for the Court, Chief Justice McLachlin held that the </w:t>
      </w:r>
      <w:proofErr w:type="spellStart"/>
      <w:r w:rsidRPr="0004609C">
        <w:rPr>
          <w:rFonts w:ascii="Times New Roman" w:eastAsia="Times New Roman" w:hAnsi="Times New Roman" w:cs="Times New Roman"/>
          <w:sz w:val="22"/>
          <w:szCs w:val="22"/>
        </w:rPr>
        <w:t>honour</w:t>
      </w:r>
      <w:proofErr w:type="spellEnd"/>
      <w:r w:rsidRPr="0004609C">
        <w:rPr>
          <w:rFonts w:ascii="Times New Roman" w:eastAsia="Times New Roman" w:hAnsi="Times New Roman" w:cs="Times New Roman"/>
          <w:sz w:val="22"/>
          <w:szCs w:val="22"/>
        </w:rPr>
        <w:t xml:space="preserve"> of the Crown</w:t>
      </w:r>
      <w:r w:rsidRPr="0004609C">
        <w:rPr>
          <w:rFonts w:ascii="Times New Roman" w:hAnsi="Times New Roman" w:cs="Times New Roman"/>
          <w:sz w:val="22"/>
          <w:szCs w:val="22"/>
        </w:rPr>
        <w:t xml:space="preserve">, </w:t>
      </w:r>
      <w:r w:rsidRPr="0004609C">
        <w:rPr>
          <w:rFonts w:ascii="Times New Roman" w:eastAsia="Times New Roman" w:hAnsi="Times New Roman" w:cs="Times New Roman"/>
          <w:sz w:val="22"/>
          <w:szCs w:val="22"/>
        </w:rPr>
        <w:t>a principle requiring that the Crown act with integrity in its dealings with Indigenous peoples</w:t>
      </w:r>
      <w:r w:rsidRPr="0004609C">
        <w:rPr>
          <w:rFonts w:ascii="Times New Roman" w:hAnsi="Times New Roman" w:cs="Times New Roman"/>
          <w:sz w:val="22"/>
          <w:szCs w:val="22"/>
        </w:rPr>
        <w:t xml:space="preserve"> </w:t>
      </w:r>
      <w:r w:rsidRPr="0004609C">
        <w:rPr>
          <w:rFonts w:ascii="Times New Roman" w:eastAsia="Times New Roman" w:hAnsi="Times New Roman" w:cs="Times New Roman"/>
          <w:sz w:val="22"/>
          <w:szCs w:val="22"/>
        </w:rPr>
        <w:t xml:space="preserve">generates a duty to consult and, where appropriate, accommodate Indigenous interests whenever the Crown contemplates conduct that might adversely affect asserted or established </w:t>
      </w:r>
      <w:r w:rsidRPr="0004609C">
        <w:rPr>
          <w:rFonts w:ascii="Times New Roman" w:eastAsia="Times New Roman" w:hAnsi="Times New Roman" w:cs="Times New Roman"/>
          <w:sz w:val="22"/>
          <w:szCs w:val="22"/>
        </w:rPr>
        <w:lastRenderedPageBreak/>
        <w:t>Aboriginal or treaty rights.</w:t>
      </w:r>
      <w:r w:rsidR="00723DEE" w:rsidRPr="0004609C">
        <w:rPr>
          <w:rStyle w:val="FootnoteReference"/>
          <w:rFonts w:ascii="Times New Roman" w:eastAsia="Times New Roman" w:hAnsi="Times New Roman" w:cs="Times New Roman"/>
          <w:sz w:val="22"/>
          <w:szCs w:val="22"/>
        </w:rPr>
        <w:footnoteReference w:id="22"/>
      </w:r>
      <w:r w:rsidRPr="0004609C">
        <w:rPr>
          <w:rFonts w:ascii="Times New Roman" w:eastAsia="Times New Roman" w:hAnsi="Times New Roman" w:cs="Times New Roman"/>
          <w:sz w:val="22"/>
          <w:szCs w:val="22"/>
        </w:rPr>
        <w:t xml:space="preserve"> Crucially, the duty arises not upon proof of rights, but upon the Crown's knowledge of their potential existence.</w:t>
      </w:r>
      <w:r w:rsidR="004916A7" w:rsidRPr="0004609C">
        <w:rPr>
          <w:rStyle w:val="FootnoteReference"/>
          <w:rFonts w:ascii="Times New Roman" w:eastAsia="Times New Roman" w:hAnsi="Times New Roman" w:cs="Times New Roman"/>
          <w:sz w:val="22"/>
          <w:szCs w:val="22"/>
        </w:rPr>
        <w:footnoteReference w:id="23"/>
      </w:r>
      <w:r w:rsidRPr="0004609C">
        <w:rPr>
          <w:rFonts w:ascii="Times New Roman" w:eastAsia="Times New Roman" w:hAnsi="Times New Roman" w:cs="Times New Roman"/>
          <w:sz w:val="22"/>
          <w:szCs w:val="22"/>
        </w:rPr>
        <w:t xml:space="preserve"> The threshold is deliberately low precisely because Indigenous rights may take years or decades to be formally established through litigation or negotiation, and permitting exploitation to proceed unchecked in the interim would render those rights illusory.</w:t>
      </w:r>
    </w:p>
    <w:p w14:paraId="4E7F3CF0" w14:textId="01D01DC9" w:rsidR="00F031BB" w:rsidRPr="0004609C" w:rsidRDefault="00F031BB" w:rsidP="00F42E1F">
      <w:pPr>
        <w:spacing w:after="200" w:line="360" w:lineRule="auto"/>
        <w:ind w:left="360"/>
        <w:jc w:val="both"/>
        <w:rPr>
          <w:rFonts w:ascii="Times New Roman" w:eastAsia="Times New Roman" w:hAnsi="Times New Roman" w:cs="Times New Roman"/>
          <w:sz w:val="22"/>
          <w:szCs w:val="22"/>
        </w:rPr>
      </w:pPr>
      <w:r w:rsidRPr="0004609C">
        <w:rPr>
          <w:rFonts w:ascii="Times New Roman" w:eastAsia="Times New Roman" w:hAnsi="Times New Roman" w:cs="Times New Roman"/>
          <w:sz w:val="22"/>
          <w:szCs w:val="22"/>
        </w:rPr>
        <w:t xml:space="preserve">The Court in </w:t>
      </w:r>
      <w:r w:rsidRPr="0004609C">
        <w:rPr>
          <w:rFonts w:ascii="Times New Roman" w:eastAsia="Times New Roman" w:hAnsi="Times New Roman" w:cs="Times New Roman"/>
          <w:i/>
          <w:iCs/>
          <w:sz w:val="22"/>
          <w:szCs w:val="22"/>
        </w:rPr>
        <w:t>Haida Nation</w:t>
      </w:r>
      <w:r w:rsidRPr="0004609C">
        <w:rPr>
          <w:rFonts w:ascii="Times New Roman" w:eastAsia="Times New Roman" w:hAnsi="Times New Roman" w:cs="Times New Roman"/>
          <w:sz w:val="22"/>
          <w:szCs w:val="22"/>
        </w:rPr>
        <w:t xml:space="preserve"> </w:t>
      </w:r>
      <w:proofErr w:type="spellStart"/>
      <w:r w:rsidRPr="0004609C">
        <w:rPr>
          <w:rFonts w:ascii="Times New Roman" w:eastAsia="Times New Roman" w:hAnsi="Times New Roman" w:cs="Times New Roman"/>
          <w:sz w:val="22"/>
          <w:szCs w:val="22"/>
        </w:rPr>
        <w:t>conceptualised</w:t>
      </w:r>
      <w:proofErr w:type="spellEnd"/>
      <w:r w:rsidRPr="0004609C">
        <w:rPr>
          <w:rFonts w:ascii="Times New Roman" w:eastAsia="Times New Roman" w:hAnsi="Times New Roman" w:cs="Times New Roman"/>
          <w:sz w:val="22"/>
          <w:szCs w:val="22"/>
        </w:rPr>
        <w:t xml:space="preserve"> the duty as lying on a spectrum, with the depth of required consultation proportionate to the strength of the asserted rights claim and the seriousness of the potential impact. At the lower end of the spectrum, the Crown may discharge the duty through notice and information sharing. At the upper end, where claims are strong and </w:t>
      </w:r>
      <w:proofErr w:type="gramStart"/>
      <w:r w:rsidRPr="0004609C">
        <w:rPr>
          <w:rFonts w:ascii="Times New Roman" w:eastAsia="Times New Roman" w:hAnsi="Times New Roman" w:cs="Times New Roman"/>
          <w:sz w:val="22"/>
          <w:szCs w:val="22"/>
        </w:rPr>
        <w:t>impacts</w:t>
      </w:r>
      <w:proofErr w:type="gramEnd"/>
      <w:r w:rsidRPr="0004609C">
        <w:rPr>
          <w:rFonts w:ascii="Times New Roman" w:eastAsia="Times New Roman" w:hAnsi="Times New Roman" w:cs="Times New Roman"/>
          <w:sz w:val="22"/>
          <w:szCs w:val="22"/>
        </w:rPr>
        <w:t xml:space="preserve"> potentially grave, the duty may require deep consultation, genuine accommodation, and the restructuring of proposed conduct</w:t>
      </w:r>
      <w:r w:rsidR="00FC0F2E" w:rsidRPr="0004609C">
        <w:rPr>
          <w:rStyle w:val="FootnoteReference"/>
          <w:rFonts w:ascii="Times New Roman" w:eastAsia="Times New Roman" w:hAnsi="Times New Roman" w:cs="Times New Roman"/>
          <w:sz w:val="22"/>
          <w:szCs w:val="22"/>
        </w:rPr>
        <w:footnoteReference w:id="24"/>
      </w:r>
      <w:r w:rsidRPr="0004609C">
        <w:rPr>
          <w:rFonts w:ascii="Times New Roman" w:eastAsia="Times New Roman" w:hAnsi="Times New Roman" w:cs="Times New Roman"/>
          <w:sz w:val="22"/>
          <w:szCs w:val="22"/>
        </w:rPr>
        <w:t xml:space="preserve">. This spectrum analysis has been repeatedly affirmed and refined in subsequent decisions, including </w:t>
      </w:r>
      <w:r w:rsidRPr="0004609C">
        <w:rPr>
          <w:rFonts w:ascii="Times New Roman" w:eastAsia="Times New Roman" w:hAnsi="Times New Roman" w:cs="Times New Roman"/>
          <w:i/>
          <w:iCs/>
          <w:sz w:val="22"/>
          <w:szCs w:val="22"/>
        </w:rPr>
        <w:t>Mikisew Cree First Nation v Canada</w:t>
      </w:r>
      <w:r w:rsidR="00B74A20" w:rsidRPr="0004609C">
        <w:rPr>
          <w:rStyle w:val="FootnoteReference"/>
          <w:rFonts w:ascii="Times New Roman" w:eastAsia="Times New Roman" w:hAnsi="Times New Roman" w:cs="Times New Roman"/>
          <w:i/>
          <w:iCs/>
          <w:sz w:val="22"/>
          <w:szCs w:val="22"/>
        </w:rPr>
        <w:footnoteReference w:id="25"/>
      </w:r>
      <w:r w:rsidRPr="0004609C">
        <w:rPr>
          <w:rFonts w:ascii="Times New Roman" w:eastAsia="Times New Roman" w:hAnsi="Times New Roman" w:cs="Times New Roman"/>
          <w:sz w:val="22"/>
          <w:szCs w:val="22"/>
        </w:rPr>
        <w:t xml:space="preserve"> and </w:t>
      </w:r>
      <w:r w:rsidRPr="0004609C">
        <w:rPr>
          <w:rFonts w:ascii="Times New Roman" w:eastAsia="Times New Roman" w:hAnsi="Times New Roman" w:cs="Times New Roman"/>
          <w:i/>
          <w:iCs/>
          <w:sz w:val="22"/>
          <w:szCs w:val="22"/>
        </w:rPr>
        <w:t>Rio Tinto Alcan Inc v Carrier Sekani Tribal Council</w:t>
      </w:r>
      <w:r w:rsidRPr="0004609C">
        <w:rPr>
          <w:rFonts w:ascii="Times New Roman" w:eastAsia="Times New Roman" w:hAnsi="Times New Roman" w:cs="Times New Roman"/>
          <w:sz w:val="22"/>
          <w:szCs w:val="22"/>
        </w:rPr>
        <w:t>.</w:t>
      </w:r>
      <w:r w:rsidR="00CA63DF" w:rsidRPr="0004609C">
        <w:rPr>
          <w:rStyle w:val="FootnoteReference"/>
          <w:rFonts w:ascii="Times New Roman" w:eastAsia="Times New Roman" w:hAnsi="Times New Roman" w:cs="Times New Roman"/>
          <w:sz w:val="22"/>
          <w:szCs w:val="22"/>
        </w:rPr>
        <w:footnoteReference w:id="26"/>
      </w:r>
    </w:p>
    <w:p w14:paraId="03134D2D" w14:textId="436E2307" w:rsidR="00F031BB" w:rsidRPr="0004609C" w:rsidRDefault="007C5C79" w:rsidP="00F42E1F">
      <w:pPr>
        <w:pStyle w:val="ListParagraph"/>
        <w:numPr>
          <w:ilvl w:val="0"/>
          <w:numId w:val="4"/>
        </w:numPr>
        <w:spacing w:after="200" w:line="360" w:lineRule="auto"/>
        <w:jc w:val="both"/>
        <w:rPr>
          <w:rFonts w:ascii="Times New Roman" w:hAnsi="Times New Roman" w:cs="Times New Roman"/>
          <w:b/>
          <w:bCs/>
          <w:i/>
          <w:iCs/>
          <w:sz w:val="22"/>
          <w:szCs w:val="22"/>
        </w:rPr>
      </w:pPr>
      <w:r w:rsidRPr="0004609C">
        <w:rPr>
          <w:rFonts w:ascii="Times New Roman" w:hAnsi="Times New Roman" w:cs="Times New Roman"/>
          <w:b/>
          <w:bCs/>
          <w:i/>
          <w:iCs/>
          <w:sz w:val="22"/>
          <w:szCs w:val="22"/>
        </w:rPr>
        <w:t xml:space="preserve">UNDRIP and the Consent Question </w:t>
      </w:r>
    </w:p>
    <w:p w14:paraId="401AB08C" w14:textId="38E82D06" w:rsidR="00E93ABA" w:rsidRPr="0004609C" w:rsidRDefault="00DD7E4D" w:rsidP="00F42E1F">
      <w:pPr>
        <w:spacing w:after="200" w:line="360" w:lineRule="auto"/>
        <w:ind w:left="360"/>
        <w:jc w:val="both"/>
        <w:rPr>
          <w:rFonts w:ascii="Times New Roman" w:eastAsia="Times New Roman" w:hAnsi="Times New Roman" w:cs="Times New Roman"/>
          <w:sz w:val="22"/>
          <w:szCs w:val="22"/>
        </w:rPr>
      </w:pPr>
      <w:r w:rsidRPr="0004609C">
        <w:rPr>
          <w:rFonts w:ascii="Times New Roman" w:eastAsia="Times New Roman" w:hAnsi="Times New Roman" w:cs="Times New Roman"/>
          <w:sz w:val="22"/>
          <w:szCs w:val="22"/>
        </w:rPr>
        <w:t>The enactment of Canada's United Nations Declaration on the Rights of Indigenous Peoples Act</w:t>
      </w:r>
      <w:r w:rsidR="00673168" w:rsidRPr="0004609C">
        <w:rPr>
          <w:rStyle w:val="FootnoteReference"/>
          <w:rFonts w:ascii="Times New Roman" w:eastAsia="Times New Roman" w:hAnsi="Times New Roman" w:cs="Times New Roman"/>
          <w:sz w:val="22"/>
          <w:szCs w:val="22"/>
        </w:rPr>
        <w:footnoteReference w:id="27"/>
      </w:r>
      <w:r w:rsidRPr="0004609C">
        <w:rPr>
          <w:rFonts w:ascii="Times New Roman" w:eastAsia="Times New Roman" w:hAnsi="Times New Roman" w:cs="Times New Roman"/>
          <w:sz w:val="22"/>
          <w:szCs w:val="22"/>
        </w:rPr>
        <w:t xml:space="preserve"> in 2021 introduced a new and contested dimension to the consultation landscape. The UNDRIP Act commits the Government of Canada to taking "all measures necessary to ensure that the laws of Canada are consistent with the Declaration."</w:t>
      </w:r>
      <w:r w:rsidR="00EF45D1" w:rsidRPr="0004609C">
        <w:rPr>
          <w:rStyle w:val="FootnoteReference"/>
          <w:rFonts w:ascii="Times New Roman" w:eastAsia="Times New Roman" w:hAnsi="Times New Roman" w:cs="Times New Roman"/>
          <w:sz w:val="22"/>
          <w:szCs w:val="22"/>
        </w:rPr>
        <w:footnoteReference w:id="28"/>
      </w:r>
      <w:r w:rsidRPr="0004609C">
        <w:rPr>
          <w:rFonts w:ascii="Times New Roman" w:eastAsia="Times New Roman" w:hAnsi="Times New Roman" w:cs="Times New Roman"/>
          <w:sz w:val="22"/>
          <w:szCs w:val="22"/>
        </w:rPr>
        <w:t xml:space="preserve"> This commitment engages Article 32(2) of UNDRIP, which requires states to "consult and cooperate in good faith with the indigenous peoples concerned through their own representative institutions in order to obtain their free and informed consent prior to the approval of any project affecting their lands or territories and other resources."</w:t>
      </w:r>
      <w:r w:rsidR="00F93EB7" w:rsidRPr="0004609C">
        <w:rPr>
          <w:rStyle w:val="FootnoteReference"/>
          <w:rFonts w:ascii="Times New Roman" w:eastAsia="Times New Roman" w:hAnsi="Times New Roman" w:cs="Times New Roman"/>
          <w:sz w:val="22"/>
          <w:szCs w:val="22"/>
        </w:rPr>
        <w:footnoteReference w:id="29"/>
      </w:r>
    </w:p>
    <w:p w14:paraId="4CE7BD94" w14:textId="60787378" w:rsidR="00CB59C7" w:rsidRPr="0004609C" w:rsidRDefault="00CB59C7" w:rsidP="00F42E1F">
      <w:pPr>
        <w:spacing w:after="200" w:line="360" w:lineRule="auto"/>
        <w:ind w:left="360"/>
        <w:jc w:val="both"/>
        <w:rPr>
          <w:rFonts w:ascii="Times New Roman" w:eastAsia="Times New Roman" w:hAnsi="Times New Roman" w:cs="Times New Roman"/>
          <w:sz w:val="22"/>
          <w:szCs w:val="22"/>
        </w:rPr>
      </w:pPr>
      <w:r w:rsidRPr="0004609C">
        <w:rPr>
          <w:rFonts w:ascii="Times New Roman" w:eastAsia="Times New Roman" w:hAnsi="Times New Roman" w:cs="Times New Roman"/>
          <w:sz w:val="22"/>
          <w:szCs w:val="22"/>
        </w:rPr>
        <w:t>The language of "free, prior and informed consent" (FPIC) has fundamentally complicated the existing duty-to-consult framework by raising the question of whether genuine consent</w:t>
      </w:r>
      <w:r w:rsidRPr="0004609C">
        <w:rPr>
          <w:rFonts w:ascii="Times New Roman" w:hAnsi="Times New Roman" w:cs="Times New Roman"/>
          <w:sz w:val="22"/>
          <w:szCs w:val="22"/>
        </w:rPr>
        <w:t>,</w:t>
      </w:r>
      <w:r w:rsidRPr="0004609C">
        <w:rPr>
          <w:rFonts w:ascii="Times New Roman" w:eastAsia="Times New Roman" w:hAnsi="Times New Roman" w:cs="Times New Roman"/>
          <w:sz w:val="22"/>
          <w:szCs w:val="22"/>
        </w:rPr>
        <w:t xml:space="preserve"> meaning the capacity to say no and have that refusal respected is now a legal requirement, or whether the Canadian framework continues to require only meaningful consultation directed at accommodation. The Office of the United Nations High Commissioner for Human Rights has confirmed that FPIC encompasses the right of Indigenous peoples to withhold consent from projects affecting their lands, in terms that go </w:t>
      </w:r>
      <w:r w:rsidRPr="0004609C">
        <w:rPr>
          <w:rFonts w:ascii="Times New Roman" w:eastAsia="Times New Roman" w:hAnsi="Times New Roman" w:cs="Times New Roman"/>
          <w:sz w:val="22"/>
          <w:szCs w:val="22"/>
        </w:rPr>
        <w:lastRenderedPageBreak/>
        <w:t>beyond procedural consultation.</w:t>
      </w:r>
      <w:r w:rsidR="00612E8C" w:rsidRPr="0004609C">
        <w:rPr>
          <w:rStyle w:val="FootnoteReference"/>
          <w:rFonts w:ascii="Times New Roman" w:eastAsia="Times New Roman" w:hAnsi="Times New Roman" w:cs="Times New Roman"/>
          <w:sz w:val="22"/>
          <w:szCs w:val="22"/>
        </w:rPr>
        <w:footnoteReference w:id="30"/>
      </w:r>
      <w:r w:rsidRPr="0004609C">
        <w:rPr>
          <w:rFonts w:ascii="Times New Roman" w:eastAsia="Times New Roman" w:hAnsi="Times New Roman" w:cs="Times New Roman"/>
          <w:sz w:val="22"/>
          <w:szCs w:val="22"/>
        </w:rPr>
        <w:t xml:space="preserve"> Canadian courts have not yet definitively resolved this tension, and the legislative history of the UNDRIP Act itself which expressly states it does not abrogate existing rights but forward-commits to legislative alignment</w:t>
      </w:r>
      <w:r w:rsidRPr="0004609C">
        <w:rPr>
          <w:rFonts w:ascii="Times New Roman" w:hAnsi="Times New Roman" w:cs="Times New Roman"/>
          <w:sz w:val="22"/>
          <w:szCs w:val="22"/>
        </w:rPr>
        <w:t>, l</w:t>
      </w:r>
      <w:r w:rsidRPr="0004609C">
        <w:rPr>
          <w:rFonts w:ascii="Times New Roman" w:eastAsia="Times New Roman" w:hAnsi="Times New Roman" w:cs="Times New Roman"/>
          <w:sz w:val="22"/>
          <w:szCs w:val="22"/>
        </w:rPr>
        <w:t>eaves considerable ambiguity.</w:t>
      </w:r>
      <w:r w:rsidR="004F6142" w:rsidRPr="0004609C">
        <w:rPr>
          <w:rStyle w:val="FootnoteReference"/>
          <w:rFonts w:ascii="Times New Roman" w:eastAsia="Times New Roman" w:hAnsi="Times New Roman" w:cs="Times New Roman"/>
          <w:sz w:val="22"/>
          <w:szCs w:val="22"/>
        </w:rPr>
        <w:footnoteReference w:id="31"/>
      </w:r>
      <w:r w:rsidRPr="0004609C">
        <w:rPr>
          <w:rFonts w:ascii="Times New Roman" w:eastAsia="Times New Roman" w:hAnsi="Times New Roman" w:cs="Times New Roman"/>
          <w:sz w:val="22"/>
          <w:szCs w:val="22"/>
        </w:rPr>
        <w:t xml:space="preserve"> </w:t>
      </w:r>
    </w:p>
    <w:p w14:paraId="0BDA03C9" w14:textId="0E5B3DF9" w:rsidR="00444CE1" w:rsidRPr="0004609C" w:rsidRDefault="00DD3131" w:rsidP="00F42E1F">
      <w:pPr>
        <w:pStyle w:val="ListParagraph"/>
        <w:numPr>
          <w:ilvl w:val="0"/>
          <w:numId w:val="4"/>
        </w:numPr>
        <w:spacing w:after="200" w:line="360" w:lineRule="auto"/>
        <w:jc w:val="both"/>
        <w:rPr>
          <w:rFonts w:ascii="Times New Roman" w:hAnsi="Times New Roman" w:cs="Times New Roman"/>
          <w:b/>
          <w:bCs/>
          <w:i/>
          <w:iCs/>
          <w:sz w:val="22"/>
          <w:szCs w:val="22"/>
        </w:rPr>
      </w:pPr>
      <w:r w:rsidRPr="0004609C">
        <w:rPr>
          <w:rFonts w:ascii="Times New Roman" w:hAnsi="Times New Roman" w:cs="Times New Roman"/>
          <w:b/>
          <w:bCs/>
          <w:i/>
          <w:iCs/>
          <w:sz w:val="22"/>
          <w:szCs w:val="22"/>
        </w:rPr>
        <w:t>The Building Canada Act and the Limits of Reconciliation</w:t>
      </w:r>
    </w:p>
    <w:p w14:paraId="116814D2" w14:textId="701741C3" w:rsidR="00385E2B" w:rsidRPr="0004609C" w:rsidRDefault="00385E2B" w:rsidP="00F42E1F">
      <w:pPr>
        <w:spacing w:after="200" w:line="360" w:lineRule="auto"/>
        <w:ind w:left="360"/>
        <w:jc w:val="both"/>
        <w:rPr>
          <w:rFonts w:ascii="Times New Roman" w:eastAsia="Times New Roman" w:hAnsi="Times New Roman" w:cs="Times New Roman"/>
          <w:sz w:val="22"/>
          <w:szCs w:val="22"/>
        </w:rPr>
      </w:pPr>
      <w:r w:rsidRPr="0004609C">
        <w:rPr>
          <w:rFonts w:ascii="Times New Roman" w:eastAsia="Times New Roman" w:hAnsi="Times New Roman" w:cs="Times New Roman"/>
          <w:sz w:val="22"/>
          <w:szCs w:val="22"/>
        </w:rPr>
        <w:t>The most recent stress test of Canada's consultation framework arrived with Bill C-5, the Building Canada Act, enacted in June 2025.</w:t>
      </w:r>
      <w:r w:rsidR="004F6142" w:rsidRPr="0004609C">
        <w:rPr>
          <w:rStyle w:val="FootnoteReference"/>
          <w:rFonts w:ascii="Times New Roman" w:eastAsia="Times New Roman" w:hAnsi="Times New Roman" w:cs="Times New Roman"/>
          <w:sz w:val="22"/>
          <w:szCs w:val="22"/>
        </w:rPr>
        <w:footnoteReference w:id="32"/>
      </w:r>
      <w:r w:rsidRPr="0004609C">
        <w:rPr>
          <w:rFonts w:ascii="Times New Roman" w:eastAsia="Times New Roman" w:hAnsi="Times New Roman" w:cs="Times New Roman"/>
          <w:sz w:val="22"/>
          <w:szCs w:val="22"/>
        </w:rPr>
        <w:t xml:space="preserve"> The Act empowers the federal government to expedite the approval of large infrastructure and energy projects deemed to be "in the national interest" through an accelerated one-project, one-review process. Indigenous leaders raised immediate and sustained objections on the grounds that the Act was tabled without meaningful consultation and that its national interest override provisions risked subordinating constitutionally protected Indigenous rights to economic development imperatives</w:t>
      </w:r>
      <w:r w:rsidRPr="0004609C">
        <w:rPr>
          <w:rFonts w:ascii="Times New Roman" w:hAnsi="Times New Roman" w:cs="Times New Roman"/>
          <w:sz w:val="22"/>
          <w:szCs w:val="22"/>
        </w:rPr>
        <w:t xml:space="preserve">, </w:t>
      </w:r>
      <w:r w:rsidRPr="0004609C">
        <w:rPr>
          <w:rFonts w:ascii="Times New Roman" w:eastAsia="Times New Roman" w:hAnsi="Times New Roman" w:cs="Times New Roman"/>
          <w:sz w:val="22"/>
          <w:szCs w:val="22"/>
        </w:rPr>
        <w:t>a concern with direct historical resonance in both Canadian and Nigerian contexts.</w:t>
      </w:r>
      <w:r w:rsidR="004F6142" w:rsidRPr="0004609C">
        <w:rPr>
          <w:rStyle w:val="FootnoteReference"/>
          <w:rFonts w:ascii="Times New Roman" w:eastAsia="Times New Roman" w:hAnsi="Times New Roman" w:cs="Times New Roman"/>
          <w:sz w:val="22"/>
          <w:szCs w:val="22"/>
        </w:rPr>
        <w:footnoteReference w:id="33"/>
      </w:r>
      <w:r w:rsidRPr="0004609C">
        <w:rPr>
          <w:rFonts w:ascii="Times New Roman" w:eastAsia="Times New Roman" w:hAnsi="Times New Roman" w:cs="Times New Roman"/>
          <w:sz w:val="22"/>
          <w:szCs w:val="22"/>
        </w:rPr>
        <w:t xml:space="preserve"> </w:t>
      </w:r>
    </w:p>
    <w:p w14:paraId="11049A22" w14:textId="50292D7C" w:rsidR="00CD255C" w:rsidRPr="0004609C" w:rsidRDefault="00CD255C" w:rsidP="00F42E1F">
      <w:pPr>
        <w:spacing w:after="200" w:line="360" w:lineRule="auto"/>
        <w:ind w:left="360"/>
        <w:jc w:val="both"/>
        <w:rPr>
          <w:rFonts w:ascii="Times New Roman" w:eastAsia="Times New Roman" w:hAnsi="Times New Roman" w:cs="Times New Roman"/>
          <w:sz w:val="22"/>
          <w:szCs w:val="22"/>
        </w:rPr>
      </w:pPr>
      <w:r w:rsidRPr="0004609C">
        <w:rPr>
          <w:rFonts w:ascii="Times New Roman" w:eastAsia="Times New Roman" w:hAnsi="Times New Roman" w:cs="Times New Roman"/>
          <w:sz w:val="22"/>
          <w:szCs w:val="22"/>
        </w:rPr>
        <w:t xml:space="preserve">The federal government's response </w:t>
      </w:r>
      <w:r w:rsidRPr="0004609C">
        <w:rPr>
          <w:rFonts w:ascii="Times New Roman" w:hAnsi="Times New Roman" w:cs="Times New Roman"/>
          <w:sz w:val="22"/>
          <w:szCs w:val="22"/>
        </w:rPr>
        <w:t xml:space="preserve">in </w:t>
      </w:r>
      <w:r w:rsidRPr="0004609C">
        <w:rPr>
          <w:rFonts w:ascii="Times New Roman" w:eastAsia="Times New Roman" w:hAnsi="Times New Roman" w:cs="Times New Roman"/>
          <w:sz w:val="22"/>
          <w:szCs w:val="22"/>
        </w:rPr>
        <w:t>establishing an Indigenous Advisory Council within the Major Projects Office and doubling the Indigenous Loan Guarantee Program to $10 billion to facilitate community equity participation reflects a shift toward economic reconciliation that is thematically convergent with the PIA's benefit-sharing architecture.</w:t>
      </w:r>
      <w:r w:rsidR="00207ED6" w:rsidRPr="0004609C">
        <w:rPr>
          <w:rStyle w:val="FootnoteReference"/>
          <w:rFonts w:ascii="Times New Roman" w:eastAsia="Times New Roman" w:hAnsi="Times New Roman" w:cs="Times New Roman"/>
          <w:sz w:val="22"/>
          <w:szCs w:val="22"/>
        </w:rPr>
        <w:footnoteReference w:id="34"/>
      </w:r>
      <w:r w:rsidRPr="0004609C">
        <w:rPr>
          <w:rFonts w:ascii="Times New Roman" w:eastAsia="Times New Roman" w:hAnsi="Times New Roman" w:cs="Times New Roman"/>
          <w:sz w:val="22"/>
          <w:szCs w:val="22"/>
        </w:rPr>
        <w:t xml:space="preserve"> BC Hydro's competitive procurement rounds, which now require a minimum of 25% First Nations equity participation with incentives up to 51% ownership, similarly represent a structural move beyond consultation toward co-ownership.</w:t>
      </w:r>
      <w:r w:rsidR="006676D0" w:rsidRPr="0004609C">
        <w:rPr>
          <w:rStyle w:val="FootnoteReference"/>
          <w:rFonts w:ascii="Times New Roman" w:eastAsia="Times New Roman" w:hAnsi="Times New Roman" w:cs="Times New Roman"/>
          <w:sz w:val="22"/>
          <w:szCs w:val="22"/>
        </w:rPr>
        <w:footnoteReference w:id="35"/>
      </w:r>
      <w:r w:rsidRPr="0004609C">
        <w:rPr>
          <w:rFonts w:ascii="Times New Roman" w:eastAsia="Times New Roman" w:hAnsi="Times New Roman" w:cs="Times New Roman"/>
          <w:sz w:val="22"/>
          <w:szCs w:val="22"/>
        </w:rPr>
        <w:t xml:space="preserve"> This evolution tracks, in a more constitutionally robust form, the PIA's intuition that community engagement must be financial and structural rather than merely procedural.</w:t>
      </w:r>
    </w:p>
    <w:p w14:paraId="34F9F670" w14:textId="29BDC05C" w:rsidR="00CD255C" w:rsidRPr="0004609C" w:rsidRDefault="00365B0D" w:rsidP="00F42E1F">
      <w:pPr>
        <w:pStyle w:val="ListParagraph"/>
        <w:numPr>
          <w:ilvl w:val="0"/>
          <w:numId w:val="1"/>
        </w:numPr>
        <w:spacing w:after="200" w:line="360" w:lineRule="auto"/>
        <w:jc w:val="both"/>
        <w:rPr>
          <w:rFonts w:ascii="Times New Roman" w:hAnsi="Times New Roman" w:cs="Times New Roman"/>
          <w:b/>
          <w:bCs/>
          <w:sz w:val="22"/>
          <w:szCs w:val="22"/>
        </w:rPr>
      </w:pPr>
      <w:r w:rsidRPr="0004609C">
        <w:rPr>
          <w:rFonts w:ascii="Times New Roman" w:hAnsi="Times New Roman" w:cs="Times New Roman"/>
          <w:b/>
          <w:bCs/>
          <w:sz w:val="22"/>
          <w:szCs w:val="22"/>
        </w:rPr>
        <w:t>COMPARATIVE ANALYSIS: CONVERGENCES, DIVERGENCES, AND MUTUAL LESSONS</w:t>
      </w:r>
    </w:p>
    <w:p w14:paraId="043BF851" w14:textId="40D42FA8" w:rsidR="00365B0D" w:rsidRPr="0004609C" w:rsidRDefault="00365B0D" w:rsidP="00F42E1F">
      <w:pPr>
        <w:pStyle w:val="ListParagraph"/>
        <w:numPr>
          <w:ilvl w:val="0"/>
          <w:numId w:val="5"/>
        </w:numPr>
        <w:spacing w:after="200" w:line="360" w:lineRule="auto"/>
        <w:jc w:val="both"/>
        <w:rPr>
          <w:rFonts w:ascii="Times New Roman" w:hAnsi="Times New Roman" w:cs="Times New Roman"/>
          <w:b/>
          <w:bCs/>
          <w:i/>
          <w:iCs/>
          <w:sz w:val="22"/>
          <w:szCs w:val="22"/>
        </w:rPr>
      </w:pPr>
      <w:r w:rsidRPr="0004609C">
        <w:rPr>
          <w:rFonts w:ascii="Times New Roman" w:hAnsi="Times New Roman" w:cs="Times New Roman"/>
          <w:b/>
          <w:bCs/>
          <w:i/>
          <w:iCs/>
          <w:sz w:val="22"/>
          <w:szCs w:val="22"/>
        </w:rPr>
        <w:t>The Consent-Consultation Binary: A Shared Structural Tension</w:t>
      </w:r>
    </w:p>
    <w:p w14:paraId="41949891" w14:textId="23A7C686" w:rsidR="00F75A55" w:rsidRPr="0004609C" w:rsidRDefault="00F75A55" w:rsidP="00F42E1F">
      <w:pPr>
        <w:spacing w:after="200" w:line="360" w:lineRule="auto"/>
        <w:ind w:left="360"/>
        <w:jc w:val="both"/>
        <w:rPr>
          <w:rFonts w:ascii="Times New Roman" w:hAnsi="Times New Roman" w:cs="Times New Roman"/>
          <w:sz w:val="22"/>
          <w:szCs w:val="22"/>
        </w:rPr>
      </w:pPr>
      <w:r w:rsidRPr="0004609C">
        <w:rPr>
          <w:rFonts w:ascii="Times New Roman" w:eastAsia="Times New Roman" w:hAnsi="Times New Roman" w:cs="Times New Roman"/>
          <w:sz w:val="22"/>
          <w:szCs w:val="22"/>
        </w:rPr>
        <w:t xml:space="preserve">The most fundamental tension common to both legal systems is the contested boundary between consultation as process and consent as outcome. In Canada, the duty-to-consult doctrine has consistently resisted the </w:t>
      </w:r>
      <w:proofErr w:type="spellStart"/>
      <w:r w:rsidRPr="0004609C">
        <w:rPr>
          <w:rFonts w:ascii="Times New Roman" w:eastAsia="Times New Roman" w:hAnsi="Times New Roman" w:cs="Times New Roman"/>
          <w:sz w:val="22"/>
          <w:szCs w:val="22"/>
        </w:rPr>
        <w:t>characterisation</w:t>
      </w:r>
      <w:proofErr w:type="spellEnd"/>
      <w:r w:rsidRPr="0004609C">
        <w:rPr>
          <w:rFonts w:ascii="Times New Roman" w:eastAsia="Times New Roman" w:hAnsi="Times New Roman" w:cs="Times New Roman"/>
          <w:sz w:val="22"/>
          <w:szCs w:val="22"/>
        </w:rPr>
        <w:t xml:space="preserve"> of FPIC as an Indigenous veto, while acknowledging that the depth of required engagement may, in strong-rights cases, approximate consent in practical effect. The </w:t>
      </w:r>
      <w:r w:rsidRPr="0004609C">
        <w:rPr>
          <w:rFonts w:ascii="Times New Roman" w:eastAsia="Times New Roman" w:hAnsi="Times New Roman" w:cs="Times New Roman"/>
          <w:sz w:val="22"/>
          <w:szCs w:val="22"/>
        </w:rPr>
        <w:lastRenderedPageBreak/>
        <w:t xml:space="preserve">Supreme Court has held that the </w:t>
      </w:r>
      <w:proofErr w:type="spellStart"/>
      <w:r w:rsidRPr="0004609C">
        <w:rPr>
          <w:rFonts w:ascii="Times New Roman" w:eastAsia="Times New Roman" w:hAnsi="Times New Roman" w:cs="Times New Roman"/>
          <w:sz w:val="22"/>
          <w:szCs w:val="22"/>
        </w:rPr>
        <w:t>honour</w:t>
      </w:r>
      <w:proofErr w:type="spellEnd"/>
      <w:r w:rsidRPr="0004609C">
        <w:rPr>
          <w:rFonts w:ascii="Times New Roman" w:eastAsia="Times New Roman" w:hAnsi="Times New Roman" w:cs="Times New Roman"/>
          <w:sz w:val="22"/>
          <w:szCs w:val="22"/>
        </w:rPr>
        <w:t xml:space="preserve"> of the Crown "cannot be reduced to a mere process obligation — it must be given real meaning."</w:t>
      </w:r>
      <w:r w:rsidR="006C10FF" w:rsidRPr="0004609C">
        <w:rPr>
          <w:rStyle w:val="FootnoteReference"/>
          <w:rFonts w:ascii="Times New Roman" w:eastAsia="Times New Roman" w:hAnsi="Times New Roman" w:cs="Times New Roman"/>
          <w:sz w:val="22"/>
          <w:szCs w:val="22"/>
        </w:rPr>
        <w:footnoteReference w:id="36"/>
      </w:r>
      <w:r w:rsidRPr="0004609C">
        <w:rPr>
          <w:rFonts w:ascii="Times New Roman" w:eastAsia="Times New Roman" w:hAnsi="Times New Roman" w:cs="Times New Roman"/>
          <w:sz w:val="22"/>
          <w:szCs w:val="22"/>
        </w:rPr>
        <w:t xml:space="preserve"> Yet it has simultaneously affirmed that "the duty to consult does not give Aboriginal groups a veto."</w:t>
      </w:r>
      <w:r w:rsidR="005760BE" w:rsidRPr="0004609C">
        <w:rPr>
          <w:rStyle w:val="FootnoteReference"/>
          <w:rFonts w:ascii="Times New Roman" w:eastAsia="Times New Roman" w:hAnsi="Times New Roman" w:cs="Times New Roman"/>
          <w:sz w:val="22"/>
          <w:szCs w:val="22"/>
        </w:rPr>
        <w:footnoteReference w:id="37"/>
      </w:r>
      <w:r w:rsidRPr="0004609C">
        <w:rPr>
          <w:rFonts w:ascii="Times New Roman" w:eastAsia="Times New Roman" w:hAnsi="Times New Roman" w:cs="Times New Roman"/>
          <w:sz w:val="22"/>
          <w:szCs w:val="22"/>
        </w:rPr>
        <w:t xml:space="preserve"> The resulting doctrinal position is one of principled ambiguity: the Crown must engage genuinely and accommodate meaningfully, but the ultimate decision remains the Crown's.</w:t>
      </w:r>
    </w:p>
    <w:p w14:paraId="32C812E9" w14:textId="15D2C85C" w:rsidR="00F75A55" w:rsidRPr="0004609C" w:rsidRDefault="00F75A55" w:rsidP="00F42E1F">
      <w:pPr>
        <w:spacing w:after="200" w:line="360" w:lineRule="auto"/>
        <w:ind w:left="360"/>
        <w:jc w:val="both"/>
        <w:rPr>
          <w:rFonts w:ascii="Times New Roman" w:hAnsi="Times New Roman" w:cs="Times New Roman"/>
          <w:sz w:val="22"/>
          <w:szCs w:val="22"/>
        </w:rPr>
      </w:pPr>
      <w:r w:rsidRPr="0004609C">
        <w:rPr>
          <w:rFonts w:ascii="Times New Roman" w:eastAsia="Times New Roman" w:hAnsi="Times New Roman" w:cs="Times New Roman"/>
          <w:sz w:val="22"/>
          <w:szCs w:val="22"/>
        </w:rPr>
        <w:t xml:space="preserve">Nigeria's PIA reflects a similar structural ambiguity, though expressed through statutory rather than judicial language. The HCDT framework requires the </w:t>
      </w:r>
      <w:proofErr w:type="gramStart"/>
      <w:r w:rsidRPr="0004609C">
        <w:rPr>
          <w:rFonts w:ascii="Times New Roman" w:eastAsia="Times New Roman" w:hAnsi="Times New Roman" w:cs="Times New Roman"/>
          <w:sz w:val="22"/>
          <w:szCs w:val="22"/>
        </w:rPr>
        <w:t>settlor</w:t>
      </w:r>
      <w:proofErr w:type="gramEnd"/>
      <w:r w:rsidRPr="0004609C">
        <w:rPr>
          <w:rFonts w:ascii="Times New Roman" w:eastAsia="Times New Roman" w:hAnsi="Times New Roman" w:cs="Times New Roman"/>
          <w:sz w:val="22"/>
          <w:szCs w:val="22"/>
        </w:rPr>
        <w:t xml:space="preserve"> to conduct a community needs assessment and establish a </w:t>
      </w:r>
      <w:proofErr w:type="gramStart"/>
      <w:r w:rsidRPr="0004609C">
        <w:rPr>
          <w:rFonts w:ascii="Times New Roman" w:eastAsia="Times New Roman" w:hAnsi="Times New Roman" w:cs="Times New Roman"/>
          <w:sz w:val="22"/>
          <w:szCs w:val="22"/>
        </w:rPr>
        <w:t>trust</w:t>
      </w:r>
      <w:proofErr w:type="gramEnd"/>
      <w:r w:rsidRPr="0004609C">
        <w:rPr>
          <w:rFonts w:ascii="Times New Roman" w:eastAsia="Times New Roman" w:hAnsi="Times New Roman" w:cs="Times New Roman"/>
          <w:sz w:val="22"/>
          <w:szCs w:val="22"/>
        </w:rPr>
        <w:t xml:space="preserve"> but the Act does not grant affected communities a power of refusal over petroleum operations. Communities may negotiate the terms of engagement through the trust governance structure, but they cannot veto the issuance or renewal of petroleum </w:t>
      </w:r>
      <w:proofErr w:type="spellStart"/>
      <w:r w:rsidRPr="0004609C">
        <w:rPr>
          <w:rFonts w:ascii="Times New Roman" w:eastAsia="Times New Roman" w:hAnsi="Times New Roman" w:cs="Times New Roman"/>
          <w:sz w:val="22"/>
          <w:szCs w:val="22"/>
        </w:rPr>
        <w:t>licences</w:t>
      </w:r>
      <w:proofErr w:type="spellEnd"/>
      <w:r w:rsidRPr="0004609C">
        <w:rPr>
          <w:rFonts w:ascii="Times New Roman" w:eastAsia="Times New Roman" w:hAnsi="Times New Roman" w:cs="Times New Roman"/>
          <w:sz w:val="22"/>
          <w:szCs w:val="22"/>
        </w:rPr>
        <w:t>.</w:t>
      </w:r>
      <w:r w:rsidR="0098071A" w:rsidRPr="0004609C">
        <w:rPr>
          <w:rStyle w:val="FootnoteReference"/>
          <w:rFonts w:ascii="Times New Roman" w:eastAsia="Times New Roman" w:hAnsi="Times New Roman" w:cs="Times New Roman"/>
          <w:sz w:val="22"/>
          <w:szCs w:val="22"/>
        </w:rPr>
        <w:footnoteReference w:id="38"/>
      </w:r>
      <w:r w:rsidRPr="0004609C">
        <w:rPr>
          <w:rFonts w:ascii="Times New Roman" w:eastAsia="Times New Roman" w:hAnsi="Times New Roman" w:cs="Times New Roman"/>
          <w:sz w:val="22"/>
          <w:szCs w:val="22"/>
        </w:rPr>
        <w:t xml:space="preserve"> This is not an oversight. It reflects the same fundamental tension that the Canadian courts have declined to </w:t>
      </w:r>
      <w:proofErr w:type="gramStart"/>
      <w:r w:rsidRPr="0004609C">
        <w:rPr>
          <w:rFonts w:ascii="Times New Roman" w:eastAsia="Times New Roman" w:hAnsi="Times New Roman" w:cs="Times New Roman"/>
          <w:sz w:val="22"/>
          <w:szCs w:val="22"/>
        </w:rPr>
        <w:t>resolve:</w:t>
      </w:r>
      <w:proofErr w:type="gramEnd"/>
      <w:r w:rsidRPr="0004609C">
        <w:rPr>
          <w:rFonts w:ascii="Times New Roman" w:eastAsia="Times New Roman" w:hAnsi="Times New Roman" w:cs="Times New Roman"/>
          <w:sz w:val="22"/>
          <w:szCs w:val="22"/>
        </w:rPr>
        <w:t xml:space="preserve"> that resource sovereignty, whether vested in the Nigerian federal government or the Canadian Crown, is treated as ultimately non-negotiable, even as the normative weight of community rights continues to grow.</w:t>
      </w:r>
    </w:p>
    <w:p w14:paraId="136ACE4F" w14:textId="77777777" w:rsidR="00F75A55" w:rsidRPr="0004609C" w:rsidRDefault="00F75A55" w:rsidP="00F42E1F">
      <w:pPr>
        <w:spacing w:line="360" w:lineRule="auto"/>
        <w:ind w:left="360"/>
        <w:rPr>
          <w:rFonts w:ascii="Times New Roman" w:eastAsia="Times New Roman" w:hAnsi="Times New Roman" w:cs="Times New Roman"/>
          <w:sz w:val="22"/>
          <w:szCs w:val="22"/>
        </w:rPr>
      </w:pPr>
      <w:r w:rsidRPr="0004609C">
        <w:rPr>
          <w:rFonts w:ascii="Times New Roman" w:eastAsia="Times New Roman" w:hAnsi="Times New Roman" w:cs="Times New Roman"/>
          <w:sz w:val="22"/>
          <w:szCs w:val="22"/>
        </w:rPr>
        <w:t>What distinguishes the two systems is the site of this tension's expression. In Canada, the consent-consultation binary is primarily a juridical question, resolved through litigation in which Indigenous communities bear significant legal costs and temporal disadvantage. In Nigeria, it is primarily a political and regulatory question, resolved through legislative compromise in which community interests are structurally weaker than those of operators and the federation. Neither system has fully resolved the tension; both illuminate the difficulty of reconciling resource imperatives with community rights within existing state structures.</w:t>
      </w:r>
    </w:p>
    <w:p w14:paraId="471B460A" w14:textId="4538AB3A" w:rsidR="00F75A55" w:rsidRPr="0004609C" w:rsidRDefault="00C61918" w:rsidP="00F42E1F">
      <w:pPr>
        <w:pStyle w:val="ListParagraph"/>
        <w:numPr>
          <w:ilvl w:val="0"/>
          <w:numId w:val="5"/>
        </w:numPr>
        <w:spacing w:line="360" w:lineRule="auto"/>
        <w:rPr>
          <w:rFonts w:ascii="Times New Roman" w:hAnsi="Times New Roman" w:cs="Times New Roman"/>
          <w:b/>
          <w:bCs/>
          <w:i/>
          <w:iCs/>
          <w:sz w:val="22"/>
          <w:szCs w:val="22"/>
        </w:rPr>
      </w:pPr>
      <w:r w:rsidRPr="0004609C">
        <w:rPr>
          <w:rFonts w:ascii="Times New Roman" w:hAnsi="Times New Roman" w:cs="Times New Roman"/>
          <w:b/>
          <w:bCs/>
          <w:i/>
          <w:iCs/>
          <w:sz w:val="22"/>
          <w:szCs w:val="22"/>
        </w:rPr>
        <w:t>Structural Asymmetry and the Problem of Good Faith Engagement</w:t>
      </w:r>
    </w:p>
    <w:p w14:paraId="35D20E9F" w14:textId="22297056" w:rsidR="00A84B17" w:rsidRPr="0004609C" w:rsidRDefault="00F87518" w:rsidP="00F42E1F">
      <w:pPr>
        <w:spacing w:after="200" w:line="360" w:lineRule="auto"/>
        <w:ind w:left="360"/>
        <w:jc w:val="both"/>
        <w:rPr>
          <w:rFonts w:ascii="Times New Roman" w:eastAsia="Times New Roman" w:hAnsi="Times New Roman" w:cs="Times New Roman"/>
          <w:sz w:val="22"/>
          <w:szCs w:val="22"/>
        </w:rPr>
      </w:pPr>
      <w:r w:rsidRPr="0004609C">
        <w:rPr>
          <w:rFonts w:ascii="Times New Roman" w:eastAsia="Times New Roman" w:hAnsi="Times New Roman" w:cs="Times New Roman"/>
          <w:sz w:val="22"/>
          <w:szCs w:val="22"/>
        </w:rPr>
        <w:t xml:space="preserve">Both systems confront the challenge of requiring good faith engagement between structurally unequal parties. In Canada, the duty to consult is binding on the Crown but is frequently delegated to project proponents </w:t>
      </w:r>
      <w:r w:rsidRPr="0004609C">
        <w:rPr>
          <w:rFonts w:ascii="Times New Roman" w:hAnsi="Times New Roman" w:cs="Times New Roman"/>
          <w:sz w:val="22"/>
          <w:szCs w:val="22"/>
        </w:rPr>
        <w:t>(</w:t>
      </w:r>
      <w:r w:rsidRPr="0004609C">
        <w:rPr>
          <w:rFonts w:ascii="Times New Roman" w:eastAsia="Times New Roman" w:hAnsi="Times New Roman" w:cs="Times New Roman"/>
          <w:sz w:val="22"/>
          <w:szCs w:val="22"/>
        </w:rPr>
        <w:t>private oil companies</w:t>
      </w:r>
      <w:r w:rsidRPr="0004609C">
        <w:rPr>
          <w:rFonts w:ascii="Times New Roman" w:hAnsi="Times New Roman" w:cs="Times New Roman"/>
          <w:sz w:val="22"/>
          <w:szCs w:val="22"/>
        </w:rPr>
        <w:t>),</w:t>
      </w:r>
      <w:r w:rsidRPr="0004609C">
        <w:rPr>
          <w:rFonts w:ascii="Times New Roman" w:eastAsia="Times New Roman" w:hAnsi="Times New Roman" w:cs="Times New Roman"/>
          <w:sz w:val="22"/>
          <w:szCs w:val="22"/>
        </w:rPr>
        <w:t xml:space="preserve"> who bear the practical burden of consultation while the Crown retains ultimate responsibility.</w:t>
      </w:r>
      <w:r w:rsidR="00196FDF" w:rsidRPr="0004609C">
        <w:rPr>
          <w:rStyle w:val="FootnoteReference"/>
          <w:rFonts w:ascii="Times New Roman" w:eastAsia="Times New Roman" w:hAnsi="Times New Roman" w:cs="Times New Roman"/>
          <w:sz w:val="22"/>
          <w:szCs w:val="22"/>
        </w:rPr>
        <w:footnoteReference w:id="39"/>
      </w:r>
      <w:r w:rsidRPr="0004609C">
        <w:rPr>
          <w:rFonts w:ascii="Times New Roman" w:hAnsi="Times New Roman" w:cs="Times New Roman"/>
          <w:sz w:val="22"/>
          <w:szCs w:val="22"/>
        </w:rPr>
        <w:t xml:space="preserve"> </w:t>
      </w:r>
      <w:r w:rsidRPr="0004609C">
        <w:rPr>
          <w:rFonts w:ascii="Times New Roman" w:eastAsia="Times New Roman" w:hAnsi="Times New Roman" w:cs="Times New Roman"/>
          <w:sz w:val="22"/>
          <w:szCs w:val="22"/>
        </w:rPr>
        <w:t xml:space="preserve">The Supreme Court's requirement that consultation be "genuine" and directed at "substantially addressing" community concerns is frequently </w:t>
      </w:r>
      <w:proofErr w:type="spellStart"/>
      <w:r w:rsidRPr="0004609C">
        <w:rPr>
          <w:rFonts w:ascii="Times New Roman" w:eastAsia="Times New Roman" w:hAnsi="Times New Roman" w:cs="Times New Roman"/>
          <w:sz w:val="22"/>
          <w:szCs w:val="22"/>
        </w:rPr>
        <w:t>honoured</w:t>
      </w:r>
      <w:proofErr w:type="spellEnd"/>
      <w:r w:rsidRPr="0004609C">
        <w:rPr>
          <w:rFonts w:ascii="Times New Roman" w:eastAsia="Times New Roman" w:hAnsi="Times New Roman" w:cs="Times New Roman"/>
          <w:sz w:val="22"/>
          <w:szCs w:val="22"/>
        </w:rPr>
        <w:t xml:space="preserve"> in form rather than </w:t>
      </w:r>
      <w:r w:rsidRPr="0004609C">
        <w:rPr>
          <w:rFonts w:ascii="Times New Roman" w:eastAsia="Times New Roman" w:hAnsi="Times New Roman" w:cs="Times New Roman"/>
          <w:sz w:val="22"/>
          <w:szCs w:val="22"/>
        </w:rPr>
        <w:lastRenderedPageBreak/>
        <w:t>in substance, with consultation processes designed primarily to satisfy regulatory requirements rather than to genuinely integrate community interests into project design.</w:t>
      </w:r>
      <w:r w:rsidR="00855A04" w:rsidRPr="0004609C">
        <w:rPr>
          <w:rStyle w:val="FootnoteReference"/>
          <w:rFonts w:ascii="Times New Roman" w:eastAsia="Times New Roman" w:hAnsi="Times New Roman" w:cs="Times New Roman"/>
          <w:sz w:val="22"/>
          <w:szCs w:val="22"/>
        </w:rPr>
        <w:footnoteReference w:id="40"/>
      </w:r>
    </w:p>
    <w:p w14:paraId="6728DD51" w14:textId="12ACA7DA" w:rsidR="00A84B17" w:rsidRPr="0004609C" w:rsidRDefault="00F87518" w:rsidP="00F42E1F">
      <w:pPr>
        <w:spacing w:after="200" w:line="360" w:lineRule="auto"/>
        <w:ind w:left="360"/>
        <w:jc w:val="both"/>
        <w:rPr>
          <w:rFonts w:ascii="Times New Roman" w:eastAsia="Times New Roman" w:hAnsi="Times New Roman" w:cs="Times New Roman"/>
          <w:sz w:val="22"/>
          <w:szCs w:val="22"/>
        </w:rPr>
      </w:pPr>
      <w:r w:rsidRPr="0004609C">
        <w:rPr>
          <w:rFonts w:ascii="Times New Roman" w:eastAsia="Times New Roman" w:hAnsi="Times New Roman" w:cs="Times New Roman"/>
          <w:sz w:val="22"/>
          <w:szCs w:val="22"/>
        </w:rPr>
        <w:t xml:space="preserve">The PIA's HCDT framework faces an equivalent problem. By designating the upstream operator as the </w:t>
      </w:r>
      <w:proofErr w:type="gramStart"/>
      <w:r w:rsidRPr="0004609C">
        <w:rPr>
          <w:rFonts w:ascii="Times New Roman" w:eastAsia="Times New Roman" w:hAnsi="Times New Roman" w:cs="Times New Roman"/>
          <w:sz w:val="22"/>
          <w:szCs w:val="22"/>
        </w:rPr>
        <w:t>settlor</w:t>
      </w:r>
      <w:proofErr w:type="gramEnd"/>
      <w:r w:rsidRPr="0004609C">
        <w:rPr>
          <w:rFonts w:ascii="Times New Roman" w:eastAsia="Times New Roman" w:hAnsi="Times New Roman" w:cs="Times New Roman"/>
          <w:sz w:val="22"/>
          <w:szCs w:val="22"/>
        </w:rPr>
        <w:t xml:space="preserve"> simultaneously the principal beneficiary of petroleum operations and the party obligated to fund community development</w:t>
      </w:r>
      <w:r w:rsidRPr="0004609C">
        <w:rPr>
          <w:rFonts w:ascii="Times New Roman" w:hAnsi="Times New Roman" w:cs="Times New Roman"/>
          <w:sz w:val="22"/>
          <w:szCs w:val="22"/>
        </w:rPr>
        <w:t xml:space="preserve">; </w:t>
      </w:r>
      <w:r w:rsidRPr="0004609C">
        <w:rPr>
          <w:rFonts w:ascii="Times New Roman" w:eastAsia="Times New Roman" w:hAnsi="Times New Roman" w:cs="Times New Roman"/>
          <w:sz w:val="22"/>
          <w:szCs w:val="22"/>
        </w:rPr>
        <w:t xml:space="preserve">the Act creates an obvious conflict of interest. An operator that controls </w:t>
      </w:r>
      <w:proofErr w:type="gramStart"/>
      <w:r w:rsidRPr="0004609C">
        <w:rPr>
          <w:rFonts w:ascii="Times New Roman" w:eastAsia="Times New Roman" w:hAnsi="Times New Roman" w:cs="Times New Roman"/>
          <w:sz w:val="22"/>
          <w:szCs w:val="22"/>
        </w:rPr>
        <w:t>the HCDT's</w:t>
      </w:r>
      <w:proofErr w:type="gramEnd"/>
      <w:r w:rsidRPr="0004609C">
        <w:rPr>
          <w:rFonts w:ascii="Times New Roman" w:eastAsia="Times New Roman" w:hAnsi="Times New Roman" w:cs="Times New Roman"/>
          <w:sz w:val="22"/>
          <w:szCs w:val="22"/>
        </w:rPr>
        <w:t xml:space="preserve"> funding also possesses significant leverage over community governance and project priorities, regardless of the formal independence that the trust structure is designed to ensure.</w:t>
      </w:r>
      <w:r w:rsidR="00701812" w:rsidRPr="0004609C">
        <w:rPr>
          <w:rStyle w:val="FootnoteReference"/>
          <w:rFonts w:ascii="Times New Roman" w:eastAsia="Times New Roman" w:hAnsi="Times New Roman" w:cs="Times New Roman"/>
          <w:sz w:val="22"/>
          <w:szCs w:val="22"/>
        </w:rPr>
        <w:footnoteReference w:id="41"/>
      </w:r>
      <w:r w:rsidRPr="0004609C">
        <w:rPr>
          <w:rFonts w:ascii="Times New Roman" w:eastAsia="Times New Roman" w:hAnsi="Times New Roman" w:cs="Times New Roman"/>
          <w:sz w:val="22"/>
          <w:szCs w:val="22"/>
        </w:rPr>
        <w:t xml:space="preserve"> Where community needs assessments are conducted by operators without independent verification, they are susceptible to under-reporting of community needs and over-reporting of existing operator contributions.</w:t>
      </w:r>
    </w:p>
    <w:p w14:paraId="223C613A" w14:textId="3DAEF6F7" w:rsidR="00F87518" w:rsidRPr="0004609C" w:rsidRDefault="00F87518" w:rsidP="00F42E1F">
      <w:pPr>
        <w:spacing w:after="200" w:line="360" w:lineRule="auto"/>
        <w:ind w:left="360"/>
        <w:jc w:val="both"/>
        <w:rPr>
          <w:rFonts w:ascii="Times New Roman" w:eastAsia="Times New Roman" w:hAnsi="Times New Roman" w:cs="Times New Roman"/>
          <w:sz w:val="22"/>
          <w:szCs w:val="22"/>
        </w:rPr>
      </w:pPr>
      <w:r w:rsidRPr="0004609C">
        <w:rPr>
          <w:rFonts w:ascii="Times New Roman" w:eastAsia="Times New Roman" w:hAnsi="Times New Roman" w:cs="Times New Roman"/>
          <w:sz w:val="22"/>
          <w:szCs w:val="22"/>
        </w:rPr>
        <w:t>The emerging Canadian practice of equity participation offers one structural response to this asymmetry. Where communities hold equity stakes in projects as distinct from receiving benefit payments or consultation fees</w:t>
      </w:r>
      <w:r w:rsidRPr="0004609C">
        <w:rPr>
          <w:rFonts w:ascii="Times New Roman" w:hAnsi="Times New Roman" w:cs="Times New Roman"/>
          <w:sz w:val="22"/>
          <w:szCs w:val="22"/>
        </w:rPr>
        <w:t xml:space="preserve">, </w:t>
      </w:r>
      <w:r w:rsidRPr="0004609C">
        <w:rPr>
          <w:rFonts w:ascii="Times New Roman" w:eastAsia="Times New Roman" w:hAnsi="Times New Roman" w:cs="Times New Roman"/>
          <w:sz w:val="22"/>
          <w:szCs w:val="22"/>
        </w:rPr>
        <w:t xml:space="preserve">their interests become structurally aligned with project success rather than merely procedurally accommodated. The Alberta Court of Appeal's decision in </w:t>
      </w:r>
      <w:r w:rsidRPr="0004609C">
        <w:rPr>
          <w:rFonts w:ascii="Times New Roman" w:eastAsia="Times New Roman" w:hAnsi="Times New Roman" w:cs="Times New Roman"/>
          <w:i/>
          <w:iCs/>
          <w:sz w:val="22"/>
          <w:szCs w:val="22"/>
        </w:rPr>
        <w:t>Benga Mining Ltd v Alberta Energy Regulator</w:t>
      </w:r>
      <w:r w:rsidR="00701812" w:rsidRPr="0004609C">
        <w:rPr>
          <w:rStyle w:val="FootnoteReference"/>
          <w:rFonts w:ascii="Times New Roman" w:eastAsia="Times New Roman" w:hAnsi="Times New Roman" w:cs="Times New Roman"/>
          <w:i/>
          <w:iCs/>
          <w:sz w:val="22"/>
          <w:szCs w:val="22"/>
        </w:rPr>
        <w:footnoteReference w:id="42"/>
      </w:r>
      <w:r w:rsidRPr="0004609C">
        <w:rPr>
          <w:rFonts w:ascii="Times New Roman" w:eastAsia="Times New Roman" w:hAnsi="Times New Roman" w:cs="Times New Roman"/>
          <w:sz w:val="22"/>
          <w:szCs w:val="22"/>
        </w:rPr>
        <w:t xml:space="preserve"> illustrated how Indigenous support for a proposed project, grounded in benefit-sharing arrangements, can itself be legally material to regulatory approval. This point has not been sufficiently integrated into Nigerian reform discourse: the PIA's trust mechanism remains primarily a benefit delivery vehicle rather than a structure for aligning community interests with operational outcomes.</w:t>
      </w:r>
    </w:p>
    <w:p w14:paraId="386CF40E" w14:textId="4FB77467" w:rsidR="00A84B17" w:rsidRPr="0004609C" w:rsidRDefault="003B4EB6" w:rsidP="00F42E1F">
      <w:pPr>
        <w:pStyle w:val="ListParagraph"/>
        <w:numPr>
          <w:ilvl w:val="0"/>
          <w:numId w:val="5"/>
        </w:numPr>
        <w:spacing w:after="200" w:line="360" w:lineRule="auto"/>
        <w:jc w:val="both"/>
        <w:rPr>
          <w:rFonts w:ascii="Times New Roman" w:eastAsia="Times New Roman" w:hAnsi="Times New Roman" w:cs="Times New Roman"/>
          <w:b/>
          <w:bCs/>
          <w:i/>
          <w:iCs/>
          <w:sz w:val="22"/>
          <w:szCs w:val="22"/>
        </w:rPr>
      </w:pPr>
      <w:r w:rsidRPr="0004609C">
        <w:rPr>
          <w:rFonts w:ascii="Times New Roman" w:eastAsia="Times New Roman" w:hAnsi="Times New Roman" w:cs="Times New Roman"/>
          <w:b/>
          <w:bCs/>
          <w:i/>
          <w:iCs/>
          <w:sz w:val="22"/>
          <w:szCs w:val="22"/>
        </w:rPr>
        <w:t>Enforcement Deficits: The Implementation Gap</w:t>
      </w:r>
    </w:p>
    <w:p w14:paraId="6623A181" w14:textId="506197E1" w:rsidR="00A0135D" w:rsidRPr="0004609C" w:rsidRDefault="00232930" w:rsidP="00F42E1F">
      <w:pPr>
        <w:spacing w:after="200" w:line="360" w:lineRule="auto"/>
        <w:ind w:left="360"/>
        <w:jc w:val="both"/>
        <w:rPr>
          <w:rFonts w:ascii="Times New Roman" w:eastAsia="Times New Roman" w:hAnsi="Times New Roman" w:cs="Times New Roman"/>
          <w:sz w:val="22"/>
          <w:szCs w:val="22"/>
        </w:rPr>
      </w:pPr>
      <w:r w:rsidRPr="0004609C">
        <w:rPr>
          <w:rFonts w:ascii="Times New Roman" w:eastAsia="Times New Roman" w:hAnsi="Times New Roman" w:cs="Times New Roman"/>
          <w:sz w:val="22"/>
          <w:szCs w:val="22"/>
        </w:rPr>
        <w:t xml:space="preserve">Both systems suffer from an enforcement deficit that threatens to render their most progressive provisions formally aspirational. In Nigeria, the PIA's regulatory architecture vests enforcement authority in the Nigeria Upstream Petroleum Regulatory Commission (NUPRC), which is empowered to suspend operating </w:t>
      </w:r>
      <w:proofErr w:type="spellStart"/>
      <w:r w:rsidRPr="0004609C">
        <w:rPr>
          <w:rFonts w:ascii="Times New Roman" w:eastAsia="Times New Roman" w:hAnsi="Times New Roman" w:cs="Times New Roman"/>
          <w:sz w:val="22"/>
          <w:szCs w:val="22"/>
        </w:rPr>
        <w:t>licences</w:t>
      </w:r>
      <w:proofErr w:type="spellEnd"/>
      <w:r w:rsidRPr="0004609C">
        <w:rPr>
          <w:rFonts w:ascii="Times New Roman" w:eastAsia="Times New Roman" w:hAnsi="Times New Roman" w:cs="Times New Roman"/>
          <w:sz w:val="22"/>
          <w:szCs w:val="22"/>
        </w:rPr>
        <w:t xml:space="preserve"> for non-compliance with HCDT obligations.</w:t>
      </w:r>
      <w:r w:rsidR="00A4653F" w:rsidRPr="0004609C">
        <w:rPr>
          <w:rStyle w:val="FootnoteReference"/>
          <w:rFonts w:ascii="Times New Roman" w:eastAsia="Times New Roman" w:hAnsi="Times New Roman" w:cs="Times New Roman"/>
          <w:sz w:val="22"/>
          <w:szCs w:val="22"/>
        </w:rPr>
        <w:footnoteReference w:id="43"/>
      </w:r>
      <w:r w:rsidRPr="0004609C">
        <w:rPr>
          <w:rFonts w:ascii="Times New Roman" w:eastAsia="Times New Roman" w:hAnsi="Times New Roman" w:cs="Times New Roman"/>
          <w:sz w:val="22"/>
          <w:szCs w:val="22"/>
        </w:rPr>
        <w:t xml:space="preserve"> However, the Commission's institutional independence is structurally uncertain in a political economy in which the federal government is simultaneously a significant shareholder in many upstream operations through the Nigerian National Petroleum Company Limited (NNPC Ltd.). The risk is not hypothetical: decades </w:t>
      </w:r>
      <w:r w:rsidRPr="0004609C">
        <w:rPr>
          <w:rFonts w:ascii="Times New Roman" w:eastAsia="Times New Roman" w:hAnsi="Times New Roman" w:cs="Times New Roman"/>
          <w:sz w:val="22"/>
          <w:szCs w:val="22"/>
        </w:rPr>
        <w:lastRenderedPageBreak/>
        <w:t>of environmental regulation in Nigeria have demonstrated that statutory enforcement provisions directed at the petroleum industry are frequently subject to regulatory forbearance in practice.</w:t>
      </w:r>
      <w:r w:rsidR="00A4653F" w:rsidRPr="0004609C">
        <w:rPr>
          <w:rStyle w:val="FootnoteReference"/>
          <w:rFonts w:ascii="Times New Roman" w:eastAsia="Times New Roman" w:hAnsi="Times New Roman" w:cs="Times New Roman"/>
          <w:sz w:val="22"/>
          <w:szCs w:val="22"/>
        </w:rPr>
        <w:footnoteReference w:id="44"/>
      </w:r>
      <w:r w:rsidRPr="0004609C">
        <w:rPr>
          <w:rFonts w:ascii="Times New Roman" w:eastAsia="Times New Roman" w:hAnsi="Times New Roman" w:cs="Times New Roman"/>
          <w:sz w:val="22"/>
          <w:szCs w:val="22"/>
        </w:rPr>
        <w:t xml:space="preserve"> </w:t>
      </w:r>
    </w:p>
    <w:p w14:paraId="4DFA1D53" w14:textId="5DAB4B31" w:rsidR="002F4105" w:rsidRPr="0004609C" w:rsidRDefault="00A0135D" w:rsidP="00F42E1F">
      <w:pPr>
        <w:spacing w:after="200" w:line="360" w:lineRule="auto"/>
        <w:ind w:left="360"/>
        <w:jc w:val="both"/>
        <w:rPr>
          <w:rFonts w:ascii="Times New Roman" w:eastAsia="Times New Roman" w:hAnsi="Times New Roman" w:cs="Times New Roman"/>
          <w:sz w:val="22"/>
          <w:szCs w:val="22"/>
        </w:rPr>
      </w:pPr>
      <w:r w:rsidRPr="0004609C">
        <w:rPr>
          <w:rFonts w:ascii="Times New Roman" w:eastAsia="Times New Roman" w:hAnsi="Times New Roman" w:cs="Times New Roman"/>
          <w:sz w:val="22"/>
          <w:szCs w:val="22"/>
        </w:rPr>
        <w:t xml:space="preserve">In Canada, the enforcement landscape is </w:t>
      </w:r>
      <w:proofErr w:type="gramStart"/>
      <w:r w:rsidRPr="0004609C">
        <w:rPr>
          <w:rFonts w:ascii="Times New Roman" w:eastAsia="Times New Roman" w:hAnsi="Times New Roman" w:cs="Times New Roman"/>
          <w:sz w:val="22"/>
          <w:szCs w:val="22"/>
        </w:rPr>
        <w:t>different</w:t>
      </w:r>
      <w:proofErr w:type="gramEnd"/>
      <w:r w:rsidRPr="0004609C">
        <w:rPr>
          <w:rFonts w:ascii="Times New Roman" w:eastAsia="Times New Roman" w:hAnsi="Times New Roman" w:cs="Times New Roman"/>
          <w:sz w:val="22"/>
          <w:szCs w:val="22"/>
        </w:rPr>
        <w:t xml:space="preserve"> but the deficit is real. The Crown's constitutional obligation to consult is judicially enforced </w:t>
      </w:r>
      <w:r w:rsidRPr="0004609C">
        <w:rPr>
          <w:rFonts w:ascii="Times New Roman" w:hAnsi="Times New Roman" w:cs="Times New Roman"/>
          <w:sz w:val="22"/>
          <w:szCs w:val="22"/>
        </w:rPr>
        <w:t xml:space="preserve">but </w:t>
      </w:r>
      <w:r w:rsidRPr="0004609C">
        <w:rPr>
          <w:rFonts w:ascii="Times New Roman" w:eastAsia="Times New Roman" w:hAnsi="Times New Roman" w:cs="Times New Roman"/>
          <w:sz w:val="22"/>
          <w:szCs w:val="22"/>
        </w:rPr>
        <w:t xml:space="preserve">communities may seek declaratory relief, injunctions, and damages for failures of consultation </w:t>
      </w:r>
      <w:r w:rsidRPr="0004609C">
        <w:rPr>
          <w:rFonts w:ascii="Times New Roman" w:hAnsi="Times New Roman" w:cs="Times New Roman"/>
          <w:sz w:val="22"/>
          <w:szCs w:val="22"/>
        </w:rPr>
        <w:t>and</w:t>
      </w:r>
      <w:r w:rsidRPr="0004609C">
        <w:rPr>
          <w:rFonts w:ascii="Times New Roman" w:eastAsia="Times New Roman" w:hAnsi="Times New Roman" w:cs="Times New Roman"/>
          <w:sz w:val="22"/>
          <w:szCs w:val="22"/>
        </w:rPr>
        <w:t xml:space="preserve"> the remedial process is slow, expensive, and available primarily to communities with sufficient legal capacity and resources to sustain protracted litigation.</w:t>
      </w:r>
      <w:r w:rsidR="00474AC0" w:rsidRPr="0004609C">
        <w:rPr>
          <w:rStyle w:val="FootnoteReference"/>
          <w:rFonts w:ascii="Times New Roman" w:eastAsia="Times New Roman" w:hAnsi="Times New Roman" w:cs="Times New Roman"/>
          <w:sz w:val="22"/>
          <w:szCs w:val="22"/>
        </w:rPr>
        <w:footnoteReference w:id="45"/>
      </w:r>
      <w:r w:rsidRPr="0004609C">
        <w:rPr>
          <w:rFonts w:ascii="Times New Roman" w:eastAsia="Times New Roman" w:hAnsi="Times New Roman" w:cs="Times New Roman"/>
          <w:sz w:val="22"/>
          <w:szCs w:val="22"/>
        </w:rPr>
        <w:t xml:space="preserve"> The practical result is that consultation obligations are more reliably </w:t>
      </w:r>
      <w:proofErr w:type="spellStart"/>
      <w:r w:rsidRPr="0004609C">
        <w:rPr>
          <w:rFonts w:ascii="Times New Roman" w:eastAsia="Times New Roman" w:hAnsi="Times New Roman" w:cs="Times New Roman"/>
          <w:sz w:val="22"/>
          <w:szCs w:val="22"/>
        </w:rPr>
        <w:t>honoured</w:t>
      </w:r>
      <w:proofErr w:type="spellEnd"/>
      <w:r w:rsidRPr="0004609C">
        <w:rPr>
          <w:rFonts w:ascii="Times New Roman" w:eastAsia="Times New Roman" w:hAnsi="Times New Roman" w:cs="Times New Roman"/>
          <w:sz w:val="22"/>
          <w:szCs w:val="22"/>
        </w:rPr>
        <w:t xml:space="preserve"> in relation to well-resourced First Nations with established treaty rights and legal infrastructure, and less reliably </w:t>
      </w:r>
      <w:proofErr w:type="spellStart"/>
      <w:r w:rsidRPr="0004609C">
        <w:rPr>
          <w:rFonts w:ascii="Times New Roman" w:eastAsia="Times New Roman" w:hAnsi="Times New Roman" w:cs="Times New Roman"/>
          <w:sz w:val="22"/>
          <w:szCs w:val="22"/>
        </w:rPr>
        <w:t>honoured</w:t>
      </w:r>
      <w:proofErr w:type="spellEnd"/>
      <w:r w:rsidRPr="0004609C">
        <w:rPr>
          <w:rFonts w:ascii="Times New Roman" w:eastAsia="Times New Roman" w:hAnsi="Times New Roman" w:cs="Times New Roman"/>
          <w:sz w:val="22"/>
          <w:szCs w:val="22"/>
        </w:rPr>
        <w:t xml:space="preserve"> in relation to smaller or more remote communities whose rights may be equally compelling but whose enforcement capacity is limited. This asymmetry of enforcement reproduces, within the consultation framework itself, the structural inequality it is designed to address.</w:t>
      </w:r>
    </w:p>
    <w:p w14:paraId="5826EDEF" w14:textId="5EAC9C58" w:rsidR="00A0135D" w:rsidRPr="0004609C" w:rsidRDefault="00A0135D" w:rsidP="00F42E1F">
      <w:pPr>
        <w:pStyle w:val="ListParagraph"/>
        <w:numPr>
          <w:ilvl w:val="0"/>
          <w:numId w:val="5"/>
        </w:numPr>
        <w:spacing w:after="200" w:line="360" w:lineRule="auto"/>
        <w:jc w:val="both"/>
        <w:rPr>
          <w:rFonts w:ascii="Times New Roman" w:hAnsi="Times New Roman" w:cs="Times New Roman"/>
          <w:b/>
          <w:bCs/>
          <w:i/>
          <w:iCs/>
          <w:sz w:val="22"/>
          <w:szCs w:val="22"/>
        </w:rPr>
      </w:pPr>
      <w:r w:rsidRPr="0004609C">
        <w:rPr>
          <w:rFonts w:ascii="Times New Roman" w:hAnsi="Times New Roman" w:cs="Times New Roman"/>
          <w:b/>
          <w:bCs/>
          <w:i/>
          <w:iCs/>
          <w:sz w:val="22"/>
          <w:szCs w:val="22"/>
        </w:rPr>
        <w:t>Mutual Lessons</w:t>
      </w:r>
    </w:p>
    <w:p w14:paraId="7744C4A9" w14:textId="6188B889" w:rsidR="000B3349" w:rsidRPr="0004609C" w:rsidRDefault="00A36B0F" w:rsidP="00F42E1F">
      <w:pPr>
        <w:spacing w:after="200" w:line="360" w:lineRule="auto"/>
        <w:ind w:left="360"/>
        <w:jc w:val="both"/>
        <w:rPr>
          <w:rFonts w:ascii="Times New Roman" w:hAnsi="Times New Roman" w:cs="Times New Roman"/>
          <w:sz w:val="22"/>
          <w:szCs w:val="22"/>
        </w:rPr>
      </w:pPr>
      <w:r w:rsidRPr="0004609C">
        <w:rPr>
          <w:rFonts w:ascii="Times New Roman" w:eastAsia="Times New Roman" w:hAnsi="Times New Roman" w:cs="Times New Roman"/>
          <w:sz w:val="22"/>
          <w:szCs w:val="22"/>
        </w:rPr>
        <w:t>The comparison yields several lessons that flow in both directions. From Nigeria's PIA to the Canadian framework, three insights emerge. First, the PIA's mandatory pre-project community needs assessment requiring operators to evaluate community conditions prior to commencing operations</w:t>
      </w:r>
      <w:r w:rsidRPr="0004609C">
        <w:rPr>
          <w:rFonts w:ascii="Times New Roman" w:hAnsi="Times New Roman" w:cs="Times New Roman"/>
          <w:sz w:val="22"/>
          <w:szCs w:val="22"/>
        </w:rPr>
        <w:t>,</w:t>
      </w:r>
      <w:r w:rsidR="00100EE7" w:rsidRPr="0004609C">
        <w:rPr>
          <w:rStyle w:val="FootnoteReference"/>
          <w:rFonts w:ascii="Times New Roman" w:hAnsi="Times New Roman" w:cs="Times New Roman"/>
          <w:sz w:val="22"/>
          <w:szCs w:val="22"/>
        </w:rPr>
        <w:footnoteReference w:id="46"/>
      </w:r>
      <w:r w:rsidRPr="0004609C">
        <w:rPr>
          <w:rFonts w:ascii="Times New Roman" w:hAnsi="Times New Roman" w:cs="Times New Roman"/>
          <w:sz w:val="22"/>
          <w:szCs w:val="22"/>
        </w:rPr>
        <w:t xml:space="preserve"> </w:t>
      </w:r>
      <w:r w:rsidRPr="0004609C">
        <w:rPr>
          <w:rFonts w:ascii="Times New Roman" w:eastAsia="Times New Roman" w:hAnsi="Times New Roman" w:cs="Times New Roman"/>
          <w:sz w:val="22"/>
          <w:szCs w:val="22"/>
        </w:rPr>
        <w:t xml:space="preserve">provides a structural model for front-loading community engagement that Canadian project approval processes could more systematically incorporate. Current Canadian practice often initiates consultation after the broad parameters of a project have been established, limiting community influence </w:t>
      </w:r>
      <w:proofErr w:type="gramStart"/>
      <w:r w:rsidRPr="0004609C">
        <w:rPr>
          <w:rFonts w:ascii="Times New Roman" w:eastAsia="Times New Roman" w:hAnsi="Times New Roman" w:cs="Times New Roman"/>
          <w:sz w:val="22"/>
          <w:szCs w:val="22"/>
        </w:rPr>
        <w:t>to</w:t>
      </w:r>
      <w:proofErr w:type="gramEnd"/>
      <w:r w:rsidRPr="0004609C">
        <w:rPr>
          <w:rFonts w:ascii="Times New Roman" w:eastAsia="Times New Roman" w:hAnsi="Times New Roman" w:cs="Times New Roman"/>
          <w:sz w:val="22"/>
          <w:szCs w:val="22"/>
        </w:rPr>
        <w:t xml:space="preserve"> marginal adjustments rather than foundational design.</w:t>
      </w:r>
    </w:p>
    <w:p w14:paraId="534A38C2" w14:textId="2BEDB5CD" w:rsidR="000B3349" w:rsidRPr="0004609C" w:rsidRDefault="00A36B0F" w:rsidP="00F42E1F">
      <w:pPr>
        <w:spacing w:after="200" w:line="360" w:lineRule="auto"/>
        <w:ind w:left="360"/>
        <w:jc w:val="both"/>
        <w:rPr>
          <w:rFonts w:ascii="Times New Roman" w:hAnsi="Times New Roman" w:cs="Times New Roman"/>
          <w:sz w:val="22"/>
          <w:szCs w:val="22"/>
        </w:rPr>
      </w:pPr>
      <w:r w:rsidRPr="0004609C">
        <w:rPr>
          <w:rFonts w:ascii="Times New Roman" w:eastAsia="Times New Roman" w:hAnsi="Times New Roman" w:cs="Times New Roman"/>
          <w:sz w:val="22"/>
          <w:szCs w:val="22"/>
        </w:rPr>
        <w:t xml:space="preserve">Second, </w:t>
      </w:r>
      <w:proofErr w:type="gramStart"/>
      <w:r w:rsidRPr="0004609C">
        <w:rPr>
          <w:rFonts w:ascii="Times New Roman" w:eastAsia="Times New Roman" w:hAnsi="Times New Roman" w:cs="Times New Roman"/>
          <w:sz w:val="22"/>
          <w:szCs w:val="22"/>
        </w:rPr>
        <w:t>the PIA's</w:t>
      </w:r>
      <w:proofErr w:type="gramEnd"/>
      <w:r w:rsidRPr="0004609C">
        <w:rPr>
          <w:rFonts w:ascii="Times New Roman" w:eastAsia="Times New Roman" w:hAnsi="Times New Roman" w:cs="Times New Roman"/>
          <w:sz w:val="22"/>
          <w:szCs w:val="22"/>
        </w:rPr>
        <w:t xml:space="preserve"> statutory trust mechanism, despite its limitations, offers a precedent for converting consultation outcomes into binding financial obligations. Canadian duty-to-consult jurisprudence has generated accommodation requirements that are frequently satisfied through one-off financial payments or project modifications. A trust-based architecture where ongoing community development is a condition of </w:t>
      </w:r>
      <w:proofErr w:type="spellStart"/>
      <w:r w:rsidRPr="0004609C">
        <w:rPr>
          <w:rFonts w:ascii="Times New Roman" w:eastAsia="Times New Roman" w:hAnsi="Times New Roman" w:cs="Times New Roman"/>
          <w:sz w:val="22"/>
          <w:szCs w:val="22"/>
        </w:rPr>
        <w:t>licence</w:t>
      </w:r>
      <w:proofErr w:type="spellEnd"/>
      <w:r w:rsidRPr="0004609C">
        <w:rPr>
          <w:rFonts w:ascii="Times New Roman" w:eastAsia="Times New Roman" w:hAnsi="Times New Roman" w:cs="Times New Roman"/>
          <w:sz w:val="22"/>
          <w:szCs w:val="22"/>
        </w:rPr>
        <w:t xml:space="preserve"> maintenance rather than a one-time </w:t>
      </w:r>
      <w:proofErr w:type="gramStart"/>
      <w:r w:rsidRPr="0004609C">
        <w:rPr>
          <w:rFonts w:ascii="Times New Roman" w:eastAsia="Times New Roman" w:hAnsi="Times New Roman" w:cs="Times New Roman"/>
          <w:sz w:val="22"/>
          <w:szCs w:val="22"/>
        </w:rPr>
        <w:t>accommodation</w:t>
      </w:r>
      <w:proofErr w:type="gramEnd"/>
      <w:r w:rsidRPr="0004609C">
        <w:rPr>
          <w:rFonts w:ascii="Times New Roman" w:eastAsia="Times New Roman" w:hAnsi="Times New Roman" w:cs="Times New Roman"/>
          <w:sz w:val="22"/>
          <w:szCs w:val="22"/>
        </w:rPr>
        <w:t xml:space="preserve"> aligns community interests with the full duration of extraction activity and is better suited to addressing the long-term developmental deficits created by upstream operations.</w:t>
      </w:r>
      <w:r w:rsidR="00DC4581" w:rsidRPr="0004609C">
        <w:rPr>
          <w:rStyle w:val="FootnoteReference"/>
          <w:rFonts w:ascii="Times New Roman" w:eastAsia="Times New Roman" w:hAnsi="Times New Roman" w:cs="Times New Roman"/>
          <w:sz w:val="22"/>
          <w:szCs w:val="22"/>
        </w:rPr>
        <w:footnoteReference w:id="47"/>
      </w:r>
      <w:r w:rsidRPr="0004609C">
        <w:rPr>
          <w:rFonts w:ascii="Times New Roman" w:eastAsia="Times New Roman" w:hAnsi="Times New Roman" w:cs="Times New Roman"/>
          <w:sz w:val="22"/>
          <w:szCs w:val="22"/>
        </w:rPr>
        <w:t xml:space="preserve"> </w:t>
      </w:r>
    </w:p>
    <w:p w14:paraId="5CB03A28" w14:textId="7F45233E" w:rsidR="000B3349" w:rsidRPr="0004609C" w:rsidRDefault="00A36B0F" w:rsidP="00F42E1F">
      <w:pPr>
        <w:spacing w:after="200" w:line="360" w:lineRule="auto"/>
        <w:ind w:left="360"/>
        <w:jc w:val="both"/>
        <w:rPr>
          <w:rFonts w:ascii="Times New Roman" w:hAnsi="Times New Roman" w:cs="Times New Roman"/>
          <w:sz w:val="22"/>
          <w:szCs w:val="22"/>
        </w:rPr>
      </w:pPr>
      <w:r w:rsidRPr="0004609C">
        <w:rPr>
          <w:rFonts w:ascii="Times New Roman" w:eastAsia="Times New Roman" w:hAnsi="Times New Roman" w:cs="Times New Roman"/>
          <w:sz w:val="22"/>
          <w:szCs w:val="22"/>
        </w:rPr>
        <w:t xml:space="preserve">Third, the PIA's explicit recognition that consultation must serve developmental outcomes not merely procedural compliance anticipates the UNDRIP Act's forward commitment to laws that are consistent </w:t>
      </w:r>
      <w:r w:rsidRPr="0004609C">
        <w:rPr>
          <w:rFonts w:ascii="Times New Roman" w:eastAsia="Times New Roman" w:hAnsi="Times New Roman" w:cs="Times New Roman"/>
          <w:sz w:val="22"/>
          <w:szCs w:val="22"/>
        </w:rPr>
        <w:lastRenderedPageBreak/>
        <w:t>with Indigenous peoples' rights to development on their own terms.</w:t>
      </w:r>
      <w:r w:rsidR="00D129EF" w:rsidRPr="0004609C">
        <w:rPr>
          <w:rStyle w:val="FootnoteReference"/>
          <w:rFonts w:ascii="Times New Roman" w:eastAsia="Times New Roman" w:hAnsi="Times New Roman" w:cs="Times New Roman"/>
          <w:sz w:val="22"/>
          <w:szCs w:val="22"/>
        </w:rPr>
        <w:footnoteReference w:id="48"/>
      </w:r>
      <w:r w:rsidRPr="0004609C">
        <w:rPr>
          <w:rFonts w:ascii="Times New Roman" w:eastAsia="Times New Roman" w:hAnsi="Times New Roman" w:cs="Times New Roman"/>
          <w:sz w:val="22"/>
          <w:szCs w:val="22"/>
        </w:rPr>
        <w:t xml:space="preserve"> The Nigerian experience suggests that developmental aspirations embedded in legislation without adequate funding, independent enforcement, and genuine community governance will remain largely </w:t>
      </w:r>
      <w:proofErr w:type="spellStart"/>
      <w:r w:rsidRPr="0004609C">
        <w:rPr>
          <w:rFonts w:ascii="Times New Roman" w:eastAsia="Times New Roman" w:hAnsi="Times New Roman" w:cs="Times New Roman"/>
          <w:sz w:val="22"/>
          <w:szCs w:val="22"/>
        </w:rPr>
        <w:t>unrealised</w:t>
      </w:r>
      <w:proofErr w:type="spellEnd"/>
      <w:r w:rsidRPr="0004609C">
        <w:rPr>
          <w:rFonts w:ascii="Times New Roman" w:eastAsia="Times New Roman" w:hAnsi="Times New Roman" w:cs="Times New Roman"/>
          <w:sz w:val="22"/>
          <w:szCs w:val="22"/>
        </w:rPr>
        <w:t xml:space="preserve"> a lesson that Canadian policymakers drafting UNDRIP-aligned legislation should take seriously.</w:t>
      </w:r>
    </w:p>
    <w:p w14:paraId="1C467482" w14:textId="69D99EDB" w:rsidR="00A36B0F" w:rsidRPr="0004609C" w:rsidRDefault="00A36B0F" w:rsidP="00F42E1F">
      <w:pPr>
        <w:spacing w:after="200" w:line="360" w:lineRule="auto"/>
        <w:ind w:left="360"/>
        <w:jc w:val="both"/>
        <w:rPr>
          <w:rFonts w:ascii="Times New Roman" w:hAnsi="Times New Roman" w:cs="Times New Roman"/>
          <w:sz w:val="22"/>
          <w:szCs w:val="22"/>
        </w:rPr>
      </w:pPr>
      <w:r w:rsidRPr="0004609C">
        <w:rPr>
          <w:rFonts w:ascii="Times New Roman" w:eastAsia="Times New Roman" w:hAnsi="Times New Roman" w:cs="Times New Roman"/>
          <w:sz w:val="22"/>
          <w:szCs w:val="22"/>
        </w:rPr>
        <w:t>From Canada to Nigeria, the lessons are equally instructive. Canada's constitutionally grounded consultation framework, even in its imperfect form, demonstrates that community rights can be made justiciable without rendering resource development inoperable. The duty-to-consult doctrine has not, as its early critics feared, created a de facto Indigenous veto over all resource projects; it has instead created a system of procedural accountability that, while expensive and slow, generates genuine legal consequences for rights violations. Nigeria's PIA, by contrast, creates enforcement obligations that are essentially regulatory in character and therefore vulnerable to the political economy of the regulator-regulated relationship.</w:t>
      </w:r>
    </w:p>
    <w:p w14:paraId="06D0C7F3" w14:textId="046CDDDD" w:rsidR="003850AA" w:rsidRPr="0004609C" w:rsidRDefault="003850AA" w:rsidP="00F42E1F">
      <w:pPr>
        <w:pStyle w:val="ListParagraph"/>
        <w:numPr>
          <w:ilvl w:val="0"/>
          <w:numId w:val="1"/>
        </w:numPr>
        <w:spacing w:line="360" w:lineRule="auto"/>
        <w:rPr>
          <w:rFonts w:ascii="Times New Roman" w:hAnsi="Times New Roman" w:cs="Times New Roman"/>
          <w:b/>
          <w:bCs/>
          <w:sz w:val="22"/>
          <w:szCs w:val="22"/>
        </w:rPr>
      </w:pPr>
      <w:r w:rsidRPr="0004609C">
        <w:rPr>
          <w:rFonts w:ascii="Times New Roman" w:hAnsi="Times New Roman" w:cs="Times New Roman"/>
          <w:b/>
          <w:bCs/>
          <w:sz w:val="22"/>
          <w:szCs w:val="22"/>
        </w:rPr>
        <w:t>CONCLUSION</w:t>
      </w:r>
    </w:p>
    <w:p w14:paraId="26D4CC5A" w14:textId="77777777" w:rsidR="000B3349" w:rsidRPr="0004609C" w:rsidRDefault="000B3349" w:rsidP="00F42E1F">
      <w:pPr>
        <w:spacing w:after="200" w:line="360" w:lineRule="auto"/>
        <w:ind w:left="360"/>
        <w:jc w:val="both"/>
        <w:rPr>
          <w:rFonts w:ascii="Times New Roman" w:hAnsi="Times New Roman" w:cs="Times New Roman"/>
          <w:sz w:val="22"/>
          <w:szCs w:val="22"/>
        </w:rPr>
      </w:pPr>
      <w:r w:rsidRPr="0004609C">
        <w:rPr>
          <w:rFonts w:ascii="Times New Roman" w:eastAsia="Times New Roman" w:hAnsi="Times New Roman" w:cs="Times New Roman"/>
          <w:sz w:val="22"/>
          <w:szCs w:val="22"/>
        </w:rPr>
        <w:t xml:space="preserve">This article has argued that Nigeria's PIA and Canada's duty-to-consult framework, despite their different legal foundations and political contexts, are grappling with the same structural challenges: the consent-consultation binary, structural asymmetry between communities and operators, and the enforcement deficit that renders progressive legal provisions aspirational in practice. Neither system has fully resolved these challenges. Both have generated institutional innovations that, in cross-jurisdictional dialogue, offer genuine insights </w:t>
      </w:r>
      <w:proofErr w:type="gramStart"/>
      <w:r w:rsidRPr="0004609C">
        <w:rPr>
          <w:rFonts w:ascii="Times New Roman" w:eastAsia="Times New Roman" w:hAnsi="Times New Roman" w:cs="Times New Roman"/>
          <w:sz w:val="22"/>
          <w:szCs w:val="22"/>
        </w:rPr>
        <w:t>for</w:t>
      </w:r>
      <w:proofErr w:type="gramEnd"/>
      <w:r w:rsidRPr="0004609C">
        <w:rPr>
          <w:rFonts w:ascii="Times New Roman" w:eastAsia="Times New Roman" w:hAnsi="Times New Roman" w:cs="Times New Roman"/>
          <w:sz w:val="22"/>
          <w:szCs w:val="22"/>
        </w:rPr>
        <w:t xml:space="preserve"> reform.</w:t>
      </w:r>
    </w:p>
    <w:p w14:paraId="0E9E0A3D" w14:textId="77777777" w:rsidR="000B3349" w:rsidRPr="0004609C" w:rsidRDefault="000B3349" w:rsidP="00F42E1F">
      <w:pPr>
        <w:spacing w:after="200" w:line="360" w:lineRule="auto"/>
        <w:ind w:left="360"/>
        <w:jc w:val="both"/>
        <w:rPr>
          <w:rFonts w:ascii="Times New Roman" w:hAnsi="Times New Roman" w:cs="Times New Roman"/>
          <w:sz w:val="22"/>
          <w:szCs w:val="22"/>
        </w:rPr>
      </w:pPr>
      <w:proofErr w:type="gramStart"/>
      <w:r w:rsidRPr="0004609C">
        <w:rPr>
          <w:rFonts w:ascii="Times New Roman" w:eastAsia="Times New Roman" w:hAnsi="Times New Roman" w:cs="Times New Roman"/>
          <w:sz w:val="22"/>
          <w:szCs w:val="22"/>
        </w:rPr>
        <w:t>The comparative</w:t>
      </w:r>
      <w:proofErr w:type="gramEnd"/>
      <w:r w:rsidRPr="0004609C">
        <w:rPr>
          <w:rFonts w:ascii="Times New Roman" w:eastAsia="Times New Roman" w:hAnsi="Times New Roman" w:cs="Times New Roman"/>
          <w:sz w:val="22"/>
          <w:szCs w:val="22"/>
        </w:rPr>
        <w:t xml:space="preserve"> exercise is not merely academic. As Canada navigates the demands of the UNDRIP Act and the energy transition simultaneously seeking to accelerate renewable energy development while </w:t>
      </w:r>
      <w:proofErr w:type="spellStart"/>
      <w:r w:rsidRPr="0004609C">
        <w:rPr>
          <w:rFonts w:ascii="Times New Roman" w:eastAsia="Times New Roman" w:hAnsi="Times New Roman" w:cs="Times New Roman"/>
          <w:sz w:val="22"/>
          <w:szCs w:val="22"/>
        </w:rPr>
        <w:t>honouring</w:t>
      </w:r>
      <w:proofErr w:type="spellEnd"/>
      <w:r w:rsidRPr="0004609C">
        <w:rPr>
          <w:rFonts w:ascii="Times New Roman" w:eastAsia="Times New Roman" w:hAnsi="Times New Roman" w:cs="Times New Roman"/>
          <w:sz w:val="22"/>
          <w:szCs w:val="22"/>
        </w:rPr>
        <w:t xml:space="preserve"> Indigenous rights to free, prior, and informed consent the lessons of Nigeria's statutory community engagement framework offer a sobering caution: that legislative good intentions, absent adequate funding, independent governance, and justiciable enforcement, do not reliably translate into community benefit. Nigeria's six decades of extractive failure, punctuated by the tragedy of the Ogoni Nine and the systematic underdevelopment of the Niger Delta, demonstrate what happens when community rights are treated as political questions rather than legal ones.</w:t>
      </w:r>
    </w:p>
    <w:p w14:paraId="7276A2CA" w14:textId="3C792570" w:rsidR="000B3349" w:rsidRPr="0004609C" w:rsidRDefault="000B3349" w:rsidP="00F42E1F">
      <w:pPr>
        <w:spacing w:after="200" w:line="360" w:lineRule="auto"/>
        <w:ind w:left="360"/>
        <w:jc w:val="both"/>
        <w:rPr>
          <w:rFonts w:ascii="Times New Roman" w:hAnsi="Times New Roman" w:cs="Times New Roman"/>
          <w:sz w:val="22"/>
          <w:szCs w:val="22"/>
        </w:rPr>
      </w:pPr>
      <w:r w:rsidRPr="0004609C">
        <w:rPr>
          <w:rFonts w:ascii="Times New Roman" w:eastAsia="Times New Roman" w:hAnsi="Times New Roman" w:cs="Times New Roman"/>
          <w:sz w:val="22"/>
          <w:szCs w:val="22"/>
        </w:rPr>
        <w:t xml:space="preserve">Conversely, as Nigeria considers future amendments to the PIA and as other African oil-producing states contemplate community engagement legislation of their own Canada's jurisprudence demonstrates that statutory frameworks are most robust when they create justiciable rights rather than </w:t>
      </w:r>
      <w:r w:rsidRPr="0004609C">
        <w:rPr>
          <w:rFonts w:ascii="Times New Roman" w:eastAsia="Times New Roman" w:hAnsi="Times New Roman" w:cs="Times New Roman"/>
          <w:sz w:val="22"/>
          <w:szCs w:val="22"/>
        </w:rPr>
        <w:lastRenderedPageBreak/>
        <w:t>merely regulatory obligations; when community participation is structured to align interests rather than merely accommodate grievances; and when the duty to engage is understood as a continuing obligation throughout the lifecycle of extraction, not a pre-project formality.</w:t>
      </w:r>
    </w:p>
    <w:p w14:paraId="6FBCFA60" w14:textId="427CCFEF" w:rsidR="008276C0" w:rsidRPr="0004609C" w:rsidRDefault="000B3349" w:rsidP="00F42E1F">
      <w:pPr>
        <w:spacing w:after="200" w:line="360" w:lineRule="auto"/>
        <w:ind w:left="360"/>
        <w:jc w:val="both"/>
        <w:rPr>
          <w:rFonts w:ascii="Times New Roman" w:hAnsi="Times New Roman" w:cs="Times New Roman"/>
          <w:sz w:val="22"/>
          <w:szCs w:val="22"/>
        </w:rPr>
      </w:pPr>
      <w:r w:rsidRPr="0004609C">
        <w:rPr>
          <w:rFonts w:ascii="Times New Roman" w:eastAsia="Times New Roman" w:hAnsi="Times New Roman" w:cs="Times New Roman"/>
          <w:sz w:val="22"/>
          <w:szCs w:val="22"/>
        </w:rPr>
        <w:t>The Niger Delta and the Athabasca are separated by thousands of miles and profoundly different constitutional traditions. But the communities that live in both regions communities whose lands contain resources of national and global significance, and who have historically borne the costs while others captured the benefits are asking fundamentally similar questions about rights, consent, and dignity. How law answers those questions will define the legitimacy of resource governance in both jurisdictions for generations to come.</w:t>
      </w:r>
    </w:p>
    <w:sectPr w:rsidR="008276C0" w:rsidRPr="0004609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E31D2" w14:textId="77777777" w:rsidR="007342B3" w:rsidRDefault="007342B3" w:rsidP="00143B80">
      <w:pPr>
        <w:spacing w:after="0" w:line="240" w:lineRule="auto"/>
      </w:pPr>
      <w:r>
        <w:separator/>
      </w:r>
    </w:p>
  </w:endnote>
  <w:endnote w:type="continuationSeparator" w:id="0">
    <w:p w14:paraId="7A7C799C" w14:textId="77777777" w:rsidR="007342B3" w:rsidRDefault="007342B3" w:rsidP="00143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46D4B" w14:textId="77777777" w:rsidR="007342B3" w:rsidRDefault="007342B3" w:rsidP="00143B80">
      <w:pPr>
        <w:spacing w:after="0" w:line="240" w:lineRule="auto"/>
      </w:pPr>
      <w:r>
        <w:separator/>
      </w:r>
    </w:p>
  </w:footnote>
  <w:footnote w:type="continuationSeparator" w:id="0">
    <w:p w14:paraId="1B30FD00" w14:textId="77777777" w:rsidR="007342B3" w:rsidRDefault="007342B3" w:rsidP="00143B80">
      <w:pPr>
        <w:spacing w:after="0" w:line="240" w:lineRule="auto"/>
      </w:pPr>
      <w:r>
        <w:continuationSeparator/>
      </w:r>
    </w:p>
  </w:footnote>
  <w:footnote w:id="1">
    <w:p w14:paraId="350BCE26" w14:textId="63C451AE" w:rsidR="00A560F7" w:rsidRDefault="00A560F7">
      <w:pPr>
        <w:pStyle w:val="FootnoteText"/>
      </w:pPr>
      <w:r>
        <w:rPr>
          <w:rStyle w:val="FootnoteReference"/>
        </w:rPr>
        <w:footnoteRef/>
      </w:r>
      <w:r>
        <w:t xml:space="preserve"> </w:t>
      </w:r>
      <w:r w:rsidR="007010C0" w:rsidRPr="00107796">
        <w:rPr>
          <w:sz w:val="16"/>
          <w:szCs w:val="16"/>
        </w:rPr>
        <w:t>Macaulay JD Akpan, "Petroleum Industry Act in Nigeria: An Analysis of the Impact of the Novel Host Communities Development Trusts Provision" (2021) 9:7 Global Journal of Politics and Law Research 30</w:t>
      </w:r>
      <w:r w:rsidR="007010C0">
        <w:rPr>
          <w:sz w:val="16"/>
          <w:szCs w:val="16"/>
        </w:rPr>
        <w:t>.</w:t>
      </w:r>
    </w:p>
  </w:footnote>
  <w:footnote w:id="2">
    <w:p w14:paraId="5CF62418" w14:textId="0095068D" w:rsidR="00B404CC" w:rsidRDefault="00B404CC">
      <w:pPr>
        <w:pStyle w:val="FootnoteText"/>
      </w:pPr>
      <w:r>
        <w:rPr>
          <w:rStyle w:val="FootnoteReference"/>
        </w:rPr>
        <w:footnoteRef/>
      </w:r>
      <w:r>
        <w:t xml:space="preserve"> </w:t>
      </w:r>
      <w:r w:rsidR="00E35F73" w:rsidRPr="00107796">
        <w:rPr>
          <w:i/>
          <w:iCs/>
          <w:sz w:val="16"/>
          <w:szCs w:val="16"/>
        </w:rPr>
        <w:t>Haida Nation v British Columbia (Minister of Forests)</w:t>
      </w:r>
      <w:r w:rsidR="00E35F73" w:rsidRPr="00107796">
        <w:rPr>
          <w:sz w:val="16"/>
          <w:szCs w:val="16"/>
        </w:rPr>
        <w:t>, 2004 SCC 73, [2004] 3 SCR 511 [</w:t>
      </w:r>
      <w:r w:rsidR="004D1150">
        <w:rPr>
          <w:sz w:val="16"/>
          <w:szCs w:val="16"/>
        </w:rPr>
        <w:t>“</w:t>
      </w:r>
      <w:r w:rsidR="00E35F73" w:rsidRPr="004D1150">
        <w:rPr>
          <w:b/>
          <w:bCs/>
          <w:i/>
          <w:iCs/>
          <w:sz w:val="16"/>
          <w:szCs w:val="16"/>
        </w:rPr>
        <w:t>Haida Nation</w:t>
      </w:r>
      <w:r w:rsidR="004D1150">
        <w:rPr>
          <w:i/>
          <w:iCs/>
          <w:sz w:val="16"/>
          <w:szCs w:val="16"/>
        </w:rPr>
        <w:t>”</w:t>
      </w:r>
      <w:r w:rsidR="00E35F73" w:rsidRPr="00107796">
        <w:rPr>
          <w:sz w:val="16"/>
          <w:szCs w:val="16"/>
        </w:rPr>
        <w:t>].</w:t>
      </w:r>
    </w:p>
  </w:footnote>
  <w:footnote w:id="3">
    <w:p w14:paraId="5913718E" w14:textId="68DE5013" w:rsidR="00C21360" w:rsidRDefault="00C21360">
      <w:pPr>
        <w:pStyle w:val="FootnoteText"/>
      </w:pPr>
      <w:r>
        <w:rPr>
          <w:rStyle w:val="FootnoteReference"/>
        </w:rPr>
        <w:footnoteRef/>
      </w:r>
      <w:r>
        <w:t xml:space="preserve"> </w:t>
      </w:r>
      <w:r w:rsidR="00DE0C6F" w:rsidRPr="00107796">
        <w:rPr>
          <w:i/>
          <w:iCs/>
          <w:sz w:val="16"/>
          <w:szCs w:val="16"/>
        </w:rPr>
        <w:t>Constitution Act, 1982</w:t>
      </w:r>
      <w:r w:rsidR="00DE0C6F" w:rsidRPr="00107796">
        <w:rPr>
          <w:sz w:val="16"/>
          <w:szCs w:val="16"/>
        </w:rPr>
        <w:t xml:space="preserve">, being Schedule B to the </w:t>
      </w:r>
      <w:r w:rsidR="00DE0C6F" w:rsidRPr="00107796">
        <w:rPr>
          <w:i/>
          <w:iCs/>
          <w:sz w:val="16"/>
          <w:szCs w:val="16"/>
        </w:rPr>
        <w:t>Canada Act 1982</w:t>
      </w:r>
      <w:r w:rsidR="00DE0C6F" w:rsidRPr="00107796">
        <w:rPr>
          <w:sz w:val="16"/>
          <w:szCs w:val="16"/>
        </w:rPr>
        <w:t xml:space="preserve"> (UK), 1982, c 11, s 35.</w:t>
      </w:r>
    </w:p>
  </w:footnote>
  <w:footnote w:id="4">
    <w:p w14:paraId="346D0408" w14:textId="10C94A2C" w:rsidR="003A6B5C" w:rsidRDefault="003A6B5C">
      <w:pPr>
        <w:pStyle w:val="FootnoteText"/>
      </w:pPr>
      <w:r>
        <w:rPr>
          <w:rStyle w:val="FootnoteReference"/>
        </w:rPr>
        <w:footnoteRef/>
      </w:r>
      <w:r>
        <w:t xml:space="preserve"> </w:t>
      </w:r>
      <w:r w:rsidR="005C1B66" w:rsidRPr="00107796">
        <w:rPr>
          <w:sz w:val="16"/>
          <w:szCs w:val="16"/>
        </w:rPr>
        <w:t xml:space="preserve">United Nations Declaration on the Rights of Indigenous Peoples, GA Res 61/295, UNGAOR, 61st </w:t>
      </w:r>
      <w:proofErr w:type="spellStart"/>
      <w:r w:rsidR="005C1B66" w:rsidRPr="00107796">
        <w:rPr>
          <w:sz w:val="16"/>
          <w:szCs w:val="16"/>
        </w:rPr>
        <w:t>Sess</w:t>
      </w:r>
      <w:proofErr w:type="spellEnd"/>
      <w:r w:rsidR="005C1B66" w:rsidRPr="00107796">
        <w:rPr>
          <w:sz w:val="16"/>
          <w:szCs w:val="16"/>
        </w:rPr>
        <w:t>, Supp No 49, UN Doc A/RES/61/295 (2007) [hereinafter UNDRIP].</w:t>
      </w:r>
    </w:p>
  </w:footnote>
  <w:footnote w:id="5">
    <w:p w14:paraId="43189C91" w14:textId="64ADE008" w:rsidR="003A6B5C" w:rsidRDefault="003A6B5C">
      <w:pPr>
        <w:pStyle w:val="FootnoteText"/>
      </w:pPr>
      <w:r>
        <w:rPr>
          <w:rStyle w:val="FootnoteReference"/>
        </w:rPr>
        <w:footnoteRef/>
      </w:r>
      <w:r>
        <w:t xml:space="preserve"> </w:t>
      </w:r>
      <w:r w:rsidR="00B77646" w:rsidRPr="00107796">
        <w:rPr>
          <w:sz w:val="16"/>
          <w:szCs w:val="16"/>
        </w:rPr>
        <w:t>Petroleum Industry Act 2021, Act No 6 (Nigeria), s 1 [</w:t>
      </w:r>
      <w:r w:rsidR="00B77646">
        <w:rPr>
          <w:sz w:val="16"/>
          <w:szCs w:val="16"/>
        </w:rPr>
        <w:t>“</w:t>
      </w:r>
      <w:r w:rsidR="00B77646" w:rsidRPr="00EB186B">
        <w:rPr>
          <w:b/>
          <w:bCs/>
          <w:sz w:val="16"/>
          <w:szCs w:val="16"/>
        </w:rPr>
        <w:t>PIA</w:t>
      </w:r>
      <w:r w:rsidR="00EB186B">
        <w:rPr>
          <w:sz w:val="16"/>
          <w:szCs w:val="16"/>
        </w:rPr>
        <w:t>”</w:t>
      </w:r>
      <w:r w:rsidR="00B77646" w:rsidRPr="00107796">
        <w:rPr>
          <w:sz w:val="16"/>
          <w:szCs w:val="16"/>
        </w:rPr>
        <w:t>].</w:t>
      </w:r>
    </w:p>
  </w:footnote>
  <w:footnote w:id="6">
    <w:p w14:paraId="19DF383D" w14:textId="44DADD14" w:rsidR="00EC54CB" w:rsidRDefault="00EC54CB">
      <w:pPr>
        <w:pStyle w:val="FootnoteText"/>
      </w:pPr>
      <w:r>
        <w:rPr>
          <w:rStyle w:val="FootnoteReference"/>
        </w:rPr>
        <w:footnoteRef/>
      </w:r>
      <w:r>
        <w:t xml:space="preserve"> </w:t>
      </w:r>
      <w:r w:rsidR="00CB20CA" w:rsidRPr="00107796">
        <w:rPr>
          <w:sz w:val="16"/>
          <w:szCs w:val="16"/>
        </w:rPr>
        <w:t xml:space="preserve">Ugochukwu H </w:t>
      </w:r>
      <w:proofErr w:type="spellStart"/>
      <w:r w:rsidR="00CB20CA" w:rsidRPr="00107796">
        <w:rPr>
          <w:sz w:val="16"/>
          <w:szCs w:val="16"/>
        </w:rPr>
        <w:t>Agbarakwe</w:t>
      </w:r>
      <w:proofErr w:type="spellEnd"/>
      <w:r w:rsidR="00CB20CA" w:rsidRPr="00107796">
        <w:rPr>
          <w:sz w:val="16"/>
          <w:szCs w:val="16"/>
        </w:rPr>
        <w:t xml:space="preserve"> and Samson M Bredino, "Nigerian Petroleum Industry Act 2021 &amp; Host Communities Development: Issues &amp; Challenges" (2024) 9:2 Saudi Journal of Humanities and Social Sciences 38 at 39</w:t>
      </w:r>
      <w:r w:rsidR="00CB20CA">
        <w:rPr>
          <w:sz w:val="16"/>
          <w:szCs w:val="16"/>
        </w:rPr>
        <w:t>.</w:t>
      </w:r>
    </w:p>
  </w:footnote>
  <w:footnote w:id="7">
    <w:p w14:paraId="2511675F" w14:textId="5D5C8C58" w:rsidR="009709C0" w:rsidRDefault="009709C0">
      <w:pPr>
        <w:pStyle w:val="FootnoteText"/>
      </w:pPr>
      <w:r>
        <w:rPr>
          <w:rStyle w:val="FootnoteReference"/>
        </w:rPr>
        <w:footnoteRef/>
      </w:r>
      <w:r>
        <w:t xml:space="preserve"> </w:t>
      </w:r>
      <w:r w:rsidR="009900EE" w:rsidRPr="00107796">
        <w:rPr>
          <w:sz w:val="16"/>
          <w:szCs w:val="16"/>
        </w:rPr>
        <w:t>Akpan, supra note 1 at 31. See also Harvard International Human Rights Clinic, "Remembering Ken Saro-</w:t>
      </w:r>
      <w:proofErr w:type="spellStart"/>
      <w:r w:rsidR="009900EE" w:rsidRPr="00107796">
        <w:rPr>
          <w:sz w:val="16"/>
          <w:szCs w:val="16"/>
        </w:rPr>
        <w:t>Wiwa</w:t>
      </w:r>
      <w:proofErr w:type="spellEnd"/>
      <w:r w:rsidR="009900EE" w:rsidRPr="00107796">
        <w:rPr>
          <w:sz w:val="16"/>
          <w:szCs w:val="16"/>
        </w:rPr>
        <w:t>: The Struggle Continues in the Niger Delta" (10 November 2015), online: &lt;humanrightsclinic.law.harvard.edu&gt;.</w:t>
      </w:r>
    </w:p>
  </w:footnote>
  <w:footnote w:id="8">
    <w:p w14:paraId="010A582A" w14:textId="705807FB" w:rsidR="00547EE8" w:rsidRDefault="00547EE8">
      <w:pPr>
        <w:pStyle w:val="FootnoteText"/>
      </w:pPr>
      <w:r>
        <w:rPr>
          <w:rStyle w:val="FootnoteReference"/>
        </w:rPr>
        <w:footnoteRef/>
      </w:r>
      <w:r>
        <w:t xml:space="preserve"> </w:t>
      </w:r>
      <w:r w:rsidR="009900EE">
        <w:t xml:space="preserve"> </w:t>
      </w:r>
      <w:r w:rsidR="008D7431" w:rsidRPr="00107796">
        <w:rPr>
          <w:sz w:val="16"/>
          <w:szCs w:val="16"/>
        </w:rPr>
        <w:t>PIA, supra note 5, Long Title</w:t>
      </w:r>
      <w:r w:rsidR="008D7431">
        <w:rPr>
          <w:sz w:val="16"/>
          <w:szCs w:val="16"/>
        </w:rPr>
        <w:t>.</w:t>
      </w:r>
    </w:p>
  </w:footnote>
  <w:footnote w:id="9">
    <w:p w14:paraId="5FAED678" w14:textId="664B981E" w:rsidR="004665C7" w:rsidRDefault="004665C7">
      <w:pPr>
        <w:pStyle w:val="FootnoteText"/>
      </w:pPr>
      <w:r>
        <w:rPr>
          <w:rStyle w:val="FootnoteReference"/>
        </w:rPr>
        <w:footnoteRef/>
      </w:r>
      <w:r>
        <w:t xml:space="preserve"> </w:t>
      </w:r>
      <w:proofErr w:type="spellStart"/>
      <w:r w:rsidR="00D669F2" w:rsidRPr="00107796">
        <w:rPr>
          <w:sz w:val="16"/>
          <w:szCs w:val="16"/>
        </w:rPr>
        <w:t>Olaniwun</w:t>
      </w:r>
      <w:proofErr w:type="spellEnd"/>
      <w:r w:rsidR="00D669F2" w:rsidRPr="00107796">
        <w:rPr>
          <w:sz w:val="16"/>
          <w:szCs w:val="16"/>
        </w:rPr>
        <w:t xml:space="preserve"> Ajai LP, "The Petroleum Industry Act 2021: Key Highlights" (August 2021), online: &lt;olaniwunajayi.net&gt;.</w:t>
      </w:r>
    </w:p>
  </w:footnote>
  <w:footnote w:id="10">
    <w:p w14:paraId="1DB541F0" w14:textId="586E2828" w:rsidR="00FA5BDB" w:rsidRDefault="00FA5BDB">
      <w:pPr>
        <w:pStyle w:val="FootnoteText"/>
      </w:pPr>
      <w:r>
        <w:rPr>
          <w:rStyle w:val="FootnoteReference"/>
        </w:rPr>
        <w:footnoteRef/>
      </w:r>
      <w:r>
        <w:t xml:space="preserve"> </w:t>
      </w:r>
      <w:r w:rsidR="00FF3013" w:rsidRPr="00107796">
        <w:rPr>
          <w:sz w:val="16"/>
          <w:szCs w:val="16"/>
        </w:rPr>
        <w:t>PIA, supra note 5, s 234(3).</w:t>
      </w:r>
    </w:p>
  </w:footnote>
  <w:footnote w:id="11">
    <w:p w14:paraId="596DB1B8" w14:textId="06C3BFA9" w:rsidR="002247AB" w:rsidRDefault="002247AB">
      <w:pPr>
        <w:pStyle w:val="FootnoteText"/>
      </w:pPr>
      <w:r>
        <w:rPr>
          <w:rStyle w:val="FootnoteReference"/>
        </w:rPr>
        <w:footnoteRef/>
      </w:r>
      <w:r>
        <w:t xml:space="preserve"> </w:t>
      </w:r>
      <w:r w:rsidR="0091063D" w:rsidRPr="00107796">
        <w:rPr>
          <w:sz w:val="16"/>
          <w:szCs w:val="16"/>
        </w:rPr>
        <w:t>Ibid, s 235.</w:t>
      </w:r>
    </w:p>
  </w:footnote>
  <w:footnote w:id="12">
    <w:p w14:paraId="14C0AC64" w14:textId="22E18CF0" w:rsidR="002247AB" w:rsidRDefault="002247AB">
      <w:pPr>
        <w:pStyle w:val="FootnoteText"/>
      </w:pPr>
      <w:r>
        <w:rPr>
          <w:rStyle w:val="FootnoteReference"/>
        </w:rPr>
        <w:footnoteRef/>
      </w:r>
      <w:r>
        <w:t xml:space="preserve"> </w:t>
      </w:r>
      <w:r w:rsidR="00FA5BF7" w:rsidRPr="00107796">
        <w:rPr>
          <w:sz w:val="16"/>
          <w:szCs w:val="16"/>
        </w:rPr>
        <w:t>Ibid, s 318 (definition of "host community").</w:t>
      </w:r>
    </w:p>
  </w:footnote>
  <w:footnote w:id="13">
    <w:p w14:paraId="43A53276" w14:textId="59E4B1CD" w:rsidR="002247AB" w:rsidRPr="002C40B6" w:rsidRDefault="002247AB" w:rsidP="002C40B6">
      <w:pPr>
        <w:rPr>
          <w:sz w:val="16"/>
          <w:szCs w:val="16"/>
        </w:rPr>
      </w:pPr>
      <w:r>
        <w:rPr>
          <w:rStyle w:val="FootnoteReference"/>
        </w:rPr>
        <w:footnoteRef/>
      </w:r>
      <w:r>
        <w:t xml:space="preserve"> </w:t>
      </w:r>
      <w:r w:rsidR="002C40B6" w:rsidRPr="00107796">
        <w:rPr>
          <w:sz w:val="16"/>
          <w:szCs w:val="16"/>
        </w:rPr>
        <w:t>Ibid, s 240.</w:t>
      </w:r>
    </w:p>
  </w:footnote>
  <w:footnote w:id="14">
    <w:p w14:paraId="7818E94B" w14:textId="6B160102" w:rsidR="00064AB3" w:rsidRDefault="00064AB3">
      <w:pPr>
        <w:pStyle w:val="FootnoteText"/>
      </w:pPr>
      <w:r>
        <w:rPr>
          <w:rStyle w:val="FootnoteReference"/>
        </w:rPr>
        <w:footnoteRef/>
      </w:r>
      <w:r>
        <w:t xml:space="preserve"> </w:t>
      </w:r>
      <w:r w:rsidR="00657B9C" w:rsidRPr="00107796">
        <w:rPr>
          <w:sz w:val="16"/>
          <w:szCs w:val="16"/>
        </w:rPr>
        <w:t>Ibid, s 316.</w:t>
      </w:r>
    </w:p>
  </w:footnote>
  <w:footnote w:id="15">
    <w:p w14:paraId="2E8E292E" w14:textId="6DBDC8C0" w:rsidR="000C254D" w:rsidRDefault="000C254D">
      <w:pPr>
        <w:pStyle w:val="FootnoteText"/>
      </w:pPr>
      <w:r>
        <w:rPr>
          <w:rStyle w:val="FootnoteReference"/>
        </w:rPr>
        <w:footnoteRef/>
      </w:r>
      <w:r>
        <w:t xml:space="preserve"> </w:t>
      </w:r>
      <w:r w:rsidR="003C339E" w:rsidRPr="00107796">
        <w:rPr>
          <w:sz w:val="16"/>
          <w:szCs w:val="16"/>
        </w:rPr>
        <w:t>Pan Niger Delta Forum (PANDEF), Memorandum to the National Assembly on the Petroleum Industry Bill 2020 (Port Harcourt: PANDEF, 2020).</w:t>
      </w:r>
    </w:p>
  </w:footnote>
  <w:footnote w:id="16">
    <w:p w14:paraId="50A61797" w14:textId="55A0EAEA" w:rsidR="00FE7C1C" w:rsidRDefault="00FE7C1C">
      <w:pPr>
        <w:pStyle w:val="FootnoteText"/>
      </w:pPr>
      <w:r>
        <w:rPr>
          <w:rStyle w:val="FootnoteReference"/>
        </w:rPr>
        <w:footnoteRef/>
      </w:r>
      <w:r>
        <w:t xml:space="preserve"> </w:t>
      </w:r>
      <w:r w:rsidR="00135EAD" w:rsidRPr="00107796">
        <w:rPr>
          <w:sz w:val="16"/>
          <w:szCs w:val="16"/>
        </w:rPr>
        <w:t>Brookings Institution, "Nigeria's Petroleum Industry Act: Addressing Old Problems, Creating New Ones" (9 March 2022), online: &lt;brookings.edu&gt;.</w:t>
      </w:r>
    </w:p>
  </w:footnote>
  <w:footnote w:id="17">
    <w:p w14:paraId="6CB757B4" w14:textId="34546D2C" w:rsidR="00FE7C1C" w:rsidRDefault="00FE7C1C">
      <w:pPr>
        <w:pStyle w:val="FootnoteText"/>
      </w:pPr>
      <w:r>
        <w:rPr>
          <w:rStyle w:val="FootnoteReference"/>
        </w:rPr>
        <w:footnoteRef/>
      </w:r>
      <w:r>
        <w:t xml:space="preserve"> </w:t>
      </w:r>
      <w:r w:rsidR="00AE2C19" w:rsidRPr="00107796">
        <w:rPr>
          <w:sz w:val="16"/>
          <w:szCs w:val="16"/>
        </w:rPr>
        <w:t>PIA, supra note 5, s 234(5).</w:t>
      </w:r>
    </w:p>
  </w:footnote>
  <w:footnote w:id="18">
    <w:p w14:paraId="5471BA0B" w14:textId="735D9834" w:rsidR="001D0E4A" w:rsidRDefault="001D0E4A">
      <w:pPr>
        <w:pStyle w:val="FootnoteText"/>
      </w:pPr>
      <w:r>
        <w:rPr>
          <w:rStyle w:val="FootnoteReference"/>
        </w:rPr>
        <w:footnoteRef/>
      </w:r>
      <w:r>
        <w:t xml:space="preserve"> </w:t>
      </w:r>
      <w:r w:rsidR="00683302" w:rsidRPr="00107796">
        <w:rPr>
          <w:sz w:val="16"/>
          <w:szCs w:val="16"/>
        </w:rPr>
        <w:t>Akpan, supra note 1 at 44</w:t>
      </w:r>
      <w:r w:rsidR="00683302">
        <w:rPr>
          <w:sz w:val="16"/>
          <w:szCs w:val="16"/>
        </w:rPr>
        <w:t>.</w:t>
      </w:r>
    </w:p>
  </w:footnote>
  <w:footnote w:id="19">
    <w:p w14:paraId="4D1177E5" w14:textId="740CD8AC" w:rsidR="001D0E4A" w:rsidRDefault="001D0E4A">
      <w:pPr>
        <w:pStyle w:val="FootnoteText"/>
      </w:pPr>
      <w:r>
        <w:rPr>
          <w:rStyle w:val="FootnoteReference"/>
        </w:rPr>
        <w:footnoteRef/>
      </w:r>
      <w:r>
        <w:t xml:space="preserve"> </w:t>
      </w:r>
      <w:r w:rsidR="00CB75F8" w:rsidRPr="00107796">
        <w:rPr>
          <w:sz w:val="16"/>
          <w:szCs w:val="16"/>
        </w:rPr>
        <w:t>PIA, supra note 5, s 235(2).</w:t>
      </w:r>
    </w:p>
  </w:footnote>
  <w:footnote w:id="20">
    <w:p w14:paraId="5B2C3BCF" w14:textId="3E0BB2D9" w:rsidR="00C07D3F" w:rsidRDefault="00C07D3F">
      <w:pPr>
        <w:pStyle w:val="FootnoteText"/>
      </w:pPr>
      <w:r>
        <w:rPr>
          <w:rStyle w:val="FootnoteReference"/>
        </w:rPr>
        <w:footnoteRef/>
      </w:r>
      <w:r>
        <w:t xml:space="preserve"> </w:t>
      </w:r>
      <w:proofErr w:type="spellStart"/>
      <w:r w:rsidR="00483815" w:rsidRPr="00107796">
        <w:rPr>
          <w:sz w:val="16"/>
          <w:szCs w:val="16"/>
        </w:rPr>
        <w:t>Agbarakwe</w:t>
      </w:r>
      <w:proofErr w:type="spellEnd"/>
      <w:r w:rsidR="00483815" w:rsidRPr="00107796">
        <w:rPr>
          <w:sz w:val="16"/>
          <w:szCs w:val="16"/>
        </w:rPr>
        <w:t xml:space="preserve"> and </w:t>
      </w:r>
      <w:proofErr w:type="spellStart"/>
      <w:r w:rsidR="00483815" w:rsidRPr="00107796">
        <w:rPr>
          <w:sz w:val="16"/>
          <w:szCs w:val="16"/>
        </w:rPr>
        <w:t>Bredino</w:t>
      </w:r>
      <w:proofErr w:type="spellEnd"/>
      <w:r w:rsidR="00483815" w:rsidRPr="00107796">
        <w:rPr>
          <w:sz w:val="16"/>
          <w:szCs w:val="16"/>
        </w:rPr>
        <w:t>, supra note 6 at 41</w:t>
      </w:r>
      <w:r w:rsidR="00483815">
        <w:rPr>
          <w:sz w:val="16"/>
          <w:szCs w:val="16"/>
        </w:rPr>
        <w:t>.</w:t>
      </w:r>
    </w:p>
  </w:footnote>
  <w:footnote w:id="21">
    <w:p w14:paraId="4ECAD518" w14:textId="46B8BF64" w:rsidR="00C07D3F" w:rsidRDefault="00C07D3F">
      <w:pPr>
        <w:pStyle w:val="FootnoteText"/>
      </w:pPr>
      <w:r>
        <w:rPr>
          <w:rStyle w:val="FootnoteReference"/>
        </w:rPr>
        <w:footnoteRef/>
      </w:r>
      <w:r>
        <w:t xml:space="preserve"> </w:t>
      </w:r>
      <w:r w:rsidR="00EB5E87" w:rsidRPr="00107796">
        <w:rPr>
          <w:sz w:val="16"/>
          <w:szCs w:val="16"/>
        </w:rPr>
        <w:t>PIA, supra note 5, s 241</w:t>
      </w:r>
      <w:r w:rsidR="00EB5E87">
        <w:rPr>
          <w:sz w:val="16"/>
          <w:szCs w:val="16"/>
        </w:rPr>
        <w:t>.</w:t>
      </w:r>
    </w:p>
  </w:footnote>
  <w:footnote w:id="22">
    <w:p w14:paraId="27444B3B" w14:textId="0B3CA9EF" w:rsidR="00723DEE" w:rsidRDefault="00723DEE">
      <w:pPr>
        <w:pStyle w:val="FootnoteText"/>
      </w:pPr>
      <w:r>
        <w:rPr>
          <w:rStyle w:val="FootnoteReference"/>
        </w:rPr>
        <w:footnoteRef/>
      </w:r>
      <w:r>
        <w:t xml:space="preserve"> </w:t>
      </w:r>
      <w:r w:rsidR="00BD43EF" w:rsidRPr="00107796">
        <w:rPr>
          <w:i/>
          <w:iCs/>
          <w:sz w:val="16"/>
          <w:szCs w:val="16"/>
        </w:rPr>
        <w:t>Haida Nation</w:t>
      </w:r>
      <w:r w:rsidR="00BD43EF" w:rsidRPr="00107796">
        <w:rPr>
          <w:sz w:val="16"/>
          <w:szCs w:val="16"/>
        </w:rPr>
        <w:t>, supra note 2 at para 35</w:t>
      </w:r>
    </w:p>
  </w:footnote>
  <w:footnote w:id="23">
    <w:p w14:paraId="79DF8BD7" w14:textId="52F279D7" w:rsidR="004916A7" w:rsidRDefault="004916A7">
      <w:pPr>
        <w:pStyle w:val="FootnoteText"/>
      </w:pPr>
      <w:r>
        <w:rPr>
          <w:rStyle w:val="FootnoteReference"/>
        </w:rPr>
        <w:footnoteRef/>
      </w:r>
      <w:r>
        <w:t xml:space="preserve"> </w:t>
      </w:r>
      <w:r w:rsidR="00C32CC4" w:rsidRPr="00107796">
        <w:rPr>
          <w:sz w:val="16"/>
          <w:szCs w:val="16"/>
        </w:rPr>
        <w:t>Ibid at para 25</w:t>
      </w:r>
    </w:p>
  </w:footnote>
  <w:footnote w:id="24">
    <w:p w14:paraId="3734A10F" w14:textId="386A1795" w:rsidR="00FC0F2E" w:rsidRDefault="00FC0F2E">
      <w:pPr>
        <w:pStyle w:val="FootnoteText"/>
      </w:pPr>
      <w:r>
        <w:rPr>
          <w:rStyle w:val="FootnoteReference"/>
        </w:rPr>
        <w:footnoteRef/>
      </w:r>
      <w:r>
        <w:t xml:space="preserve"> </w:t>
      </w:r>
      <w:r w:rsidR="00361148" w:rsidRPr="00107796">
        <w:rPr>
          <w:sz w:val="16"/>
          <w:szCs w:val="16"/>
        </w:rPr>
        <w:t>Ibid at para 44</w:t>
      </w:r>
    </w:p>
  </w:footnote>
  <w:footnote w:id="25">
    <w:p w14:paraId="28134757" w14:textId="3A8B95C1" w:rsidR="00B74A20" w:rsidRDefault="00B74A20">
      <w:pPr>
        <w:pStyle w:val="FootnoteText"/>
      </w:pPr>
      <w:r>
        <w:rPr>
          <w:rStyle w:val="FootnoteReference"/>
        </w:rPr>
        <w:footnoteRef/>
      </w:r>
      <w:r>
        <w:t xml:space="preserve"> </w:t>
      </w:r>
      <w:r w:rsidR="004B0AF7" w:rsidRPr="00107796">
        <w:rPr>
          <w:i/>
          <w:iCs/>
          <w:sz w:val="16"/>
          <w:szCs w:val="16"/>
        </w:rPr>
        <w:t>Mikisew Cree First Nation v Canada (Minister of Canadian Heritage)</w:t>
      </w:r>
      <w:r w:rsidR="004B0AF7" w:rsidRPr="00107796">
        <w:rPr>
          <w:sz w:val="16"/>
          <w:szCs w:val="16"/>
        </w:rPr>
        <w:t>, 2005 SCC 69, [2005] 3 SCR 388</w:t>
      </w:r>
      <w:r w:rsidR="004B0AF7">
        <w:rPr>
          <w:sz w:val="16"/>
          <w:szCs w:val="16"/>
        </w:rPr>
        <w:t>.</w:t>
      </w:r>
    </w:p>
  </w:footnote>
  <w:footnote w:id="26">
    <w:p w14:paraId="3EB8F427" w14:textId="3035594A" w:rsidR="00CA63DF" w:rsidRDefault="00CA63DF">
      <w:pPr>
        <w:pStyle w:val="FootnoteText"/>
      </w:pPr>
      <w:r>
        <w:rPr>
          <w:rStyle w:val="FootnoteReference"/>
        </w:rPr>
        <w:footnoteRef/>
      </w:r>
      <w:r>
        <w:t xml:space="preserve"> </w:t>
      </w:r>
      <w:r w:rsidR="005726BC" w:rsidRPr="00107796">
        <w:rPr>
          <w:i/>
          <w:iCs/>
          <w:sz w:val="16"/>
          <w:szCs w:val="16"/>
        </w:rPr>
        <w:t>Rio Tinto Alcan Inc v Carrier Sekani Tribal Council</w:t>
      </w:r>
      <w:r w:rsidR="005726BC" w:rsidRPr="00107796">
        <w:rPr>
          <w:sz w:val="16"/>
          <w:szCs w:val="16"/>
        </w:rPr>
        <w:t>, 2010 SCC 43, [2010] 2 SCR 650</w:t>
      </w:r>
      <w:r w:rsidR="005726BC">
        <w:rPr>
          <w:sz w:val="16"/>
          <w:szCs w:val="16"/>
        </w:rPr>
        <w:t>.</w:t>
      </w:r>
    </w:p>
  </w:footnote>
  <w:footnote w:id="27">
    <w:p w14:paraId="171AE82D" w14:textId="3BE29319" w:rsidR="00673168" w:rsidRDefault="00673168">
      <w:pPr>
        <w:pStyle w:val="FootnoteText"/>
      </w:pPr>
      <w:r>
        <w:rPr>
          <w:rStyle w:val="FootnoteReference"/>
        </w:rPr>
        <w:footnoteRef/>
      </w:r>
      <w:r>
        <w:t xml:space="preserve"> </w:t>
      </w:r>
      <w:r w:rsidR="003863C3" w:rsidRPr="00107796">
        <w:rPr>
          <w:i/>
          <w:iCs/>
          <w:sz w:val="16"/>
          <w:szCs w:val="16"/>
        </w:rPr>
        <w:t>United Nations Declaration on the Rights of Indigenous Peoples Act</w:t>
      </w:r>
      <w:r w:rsidR="003863C3" w:rsidRPr="00107796">
        <w:rPr>
          <w:sz w:val="16"/>
          <w:szCs w:val="16"/>
        </w:rPr>
        <w:t>, SC 2021, c 14 (Canada) [hereinafter UNDRIP Act]</w:t>
      </w:r>
      <w:r w:rsidR="003863C3">
        <w:rPr>
          <w:sz w:val="16"/>
          <w:szCs w:val="16"/>
        </w:rPr>
        <w:t>.</w:t>
      </w:r>
    </w:p>
  </w:footnote>
  <w:footnote w:id="28">
    <w:p w14:paraId="3E1411AD" w14:textId="31FDD079" w:rsidR="00EF45D1" w:rsidRDefault="00EF45D1">
      <w:pPr>
        <w:pStyle w:val="FootnoteText"/>
      </w:pPr>
      <w:r>
        <w:rPr>
          <w:rStyle w:val="FootnoteReference"/>
        </w:rPr>
        <w:footnoteRef/>
      </w:r>
      <w:r>
        <w:t xml:space="preserve"> </w:t>
      </w:r>
      <w:r w:rsidR="007B378C" w:rsidRPr="00107796">
        <w:rPr>
          <w:sz w:val="16"/>
          <w:szCs w:val="16"/>
        </w:rPr>
        <w:t>Ibid, s 5</w:t>
      </w:r>
      <w:r w:rsidR="007B378C">
        <w:rPr>
          <w:sz w:val="16"/>
          <w:szCs w:val="16"/>
        </w:rPr>
        <w:t>.</w:t>
      </w:r>
    </w:p>
  </w:footnote>
  <w:footnote w:id="29">
    <w:p w14:paraId="3D646CA0" w14:textId="5F75F0B6" w:rsidR="00F93EB7" w:rsidRDefault="00F93EB7">
      <w:pPr>
        <w:pStyle w:val="FootnoteText"/>
      </w:pPr>
      <w:r>
        <w:rPr>
          <w:rStyle w:val="FootnoteReference"/>
        </w:rPr>
        <w:footnoteRef/>
      </w:r>
      <w:r>
        <w:t xml:space="preserve"> </w:t>
      </w:r>
      <w:r w:rsidR="00AD782A" w:rsidRPr="00107796">
        <w:rPr>
          <w:sz w:val="16"/>
          <w:szCs w:val="16"/>
        </w:rPr>
        <w:t>UNDRIP, supra note 4, art 32(2</w:t>
      </w:r>
      <w:r w:rsidR="00AD782A">
        <w:rPr>
          <w:sz w:val="16"/>
          <w:szCs w:val="16"/>
        </w:rPr>
        <w:t>).</w:t>
      </w:r>
    </w:p>
  </w:footnote>
  <w:footnote w:id="30">
    <w:p w14:paraId="6A362C05" w14:textId="4C4EF2DB" w:rsidR="00612E8C" w:rsidRDefault="00612E8C">
      <w:pPr>
        <w:pStyle w:val="FootnoteText"/>
      </w:pPr>
      <w:r>
        <w:rPr>
          <w:rStyle w:val="FootnoteReference"/>
        </w:rPr>
        <w:footnoteRef/>
      </w:r>
      <w:r>
        <w:t xml:space="preserve"> </w:t>
      </w:r>
      <w:r w:rsidR="007459D2" w:rsidRPr="00107796">
        <w:rPr>
          <w:sz w:val="16"/>
          <w:szCs w:val="16"/>
        </w:rPr>
        <w:t>OHCHR, "Consultation and Free, Prior and Informed Consent (FPIC)", online: &lt;ohchr.org&gt;</w:t>
      </w:r>
      <w:r w:rsidR="007459D2">
        <w:rPr>
          <w:sz w:val="16"/>
          <w:szCs w:val="16"/>
        </w:rPr>
        <w:t xml:space="preserve"> </w:t>
      </w:r>
    </w:p>
  </w:footnote>
  <w:footnote w:id="31">
    <w:p w14:paraId="07F2A62D" w14:textId="4067A9E9" w:rsidR="004F6142" w:rsidRDefault="004F6142">
      <w:pPr>
        <w:pStyle w:val="FootnoteText"/>
      </w:pPr>
      <w:r>
        <w:rPr>
          <w:rStyle w:val="FootnoteReference"/>
        </w:rPr>
        <w:footnoteRef/>
      </w:r>
      <w:r>
        <w:t xml:space="preserve"> </w:t>
      </w:r>
      <w:r w:rsidR="00E96E7A" w:rsidRPr="00107796">
        <w:rPr>
          <w:sz w:val="16"/>
          <w:szCs w:val="16"/>
        </w:rPr>
        <w:t>UNDRIP Act, supra note 27, s 4</w:t>
      </w:r>
      <w:r w:rsidR="00E96E7A">
        <w:rPr>
          <w:sz w:val="16"/>
          <w:szCs w:val="16"/>
        </w:rPr>
        <w:t>.</w:t>
      </w:r>
    </w:p>
  </w:footnote>
  <w:footnote w:id="32">
    <w:p w14:paraId="4564234B" w14:textId="11A01F1A" w:rsidR="004F6142" w:rsidRDefault="004F6142">
      <w:pPr>
        <w:pStyle w:val="FootnoteText"/>
      </w:pPr>
      <w:r>
        <w:rPr>
          <w:rStyle w:val="FootnoteReference"/>
        </w:rPr>
        <w:footnoteRef/>
      </w:r>
      <w:r>
        <w:t xml:space="preserve"> </w:t>
      </w:r>
      <w:r w:rsidR="00833053" w:rsidRPr="00107796">
        <w:rPr>
          <w:sz w:val="16"/>
          <w:szCs w:val="16"/>
        </w:rPr>
        <w:t>Building Canada Act, SC 2025, c 15</w:t>
      </w:r>
      <w:r w:rsidR="00833053">
        <w:rPr>
          <w:sz w:val="16"/>
          <w:szCs w:val="16"/>
        </w:rPr>
        <w:t>.</w:t>
      </w:r>
    </w:p>
  </w:footnote>
  <w:footnote w:id="33">
    <w:p w14:paraId="4742C63B" w14:textId="7FB47556" w:rsidR="004F6142" w:rsidRDefault="004F6142">
      <w:pPr>
        <w:pStyle w:val="FootnoteText"/>
      </w:pPr>
      <w:r>
        <w:rPr>
          <w:rStyle w:val="FootnoteReference"/>
        </w:rPr>
        <w:footnoteRef/>
      </w:r>
      <w:r>
        <w:t xml:space="preserve"> </w:t>
      </w:r>
      <w:r w:rsidR="00B1433E" w:rsidRPr="00107796">
        <w:rPr>
          <w:sz w:val="16"/>
          <w:szCs w:val="16"/>
        </w:rPr>
        <w:t>Norton Rose Fulbright, "Building Canada Act, the Duty to Consult and Economic Reconciliation" (29 September 2025), online: &lt;nortonrosefulbright.com&gt;.</w:t>
      </w:r>
    </w:p>
  </w:footnote>
  <w:footnote w:id="34">
    <w:p w14:paraId="5AD68D04" w14:textId="186BD91C" w:rsidR="00207ED6" w:rsidRDefault="00207ED6">
      <w:pPr>
        <w:pStyle w:val="FootnoteText"/>
      </w:pPr>
      <w:r>
        <w:rPr>
          <w:rStyle w:val="FootnoteReference"/>
        </w:rPr>
        <w:footnoteRef/>
      </w:r>
      <w:r>
        <w:t xml:space="preserve"> </w:t>
      </w:r>
      <w:r w:rsidR="00A018EE" w:rsidRPr="00107796">
        <w:rPr>
          <w:sz w:val="16"/>
          <w:szCs w:val="16"/>
        </w:rPr>
        <w:t>Ibid.</w:t>
      </w:r>
    </w:p>
  </w:footnote>
  <w:footnote w:id="35">
    <w:p w14:paraId="56C2C915" w14:textId="6B626B7D" w:rsidR="006676D0" w:rsidRDefault="006676D0">
      <w:pPr>
        <w:pStyle w:val="FootnoteText"/>
      </w:pPr>
      <w:r>
        <w:rPr>
          <w:rStyle w:val="FootnoteReference"/>
        </w:rPr>
        <w:footnoteRef/>
      </w:r>
      <w:r>
        <w:t xml:space="preserve"> </w:t>
      </w:r>
      <w:r w:rsidR="00AE4D25" w:rsidRPr="00107796">
        <w:rPr>
          <w:sz w:val="16"/>
          <w:szCs w:val="16"/>
        </w:rPr>
        <w:t>McCarthy Tétrault LLP, "Canada's Energy Landscape: 3 Key Insights for 2025" (2025), online: &lt;mccarthy.ca&gt;.</w:t>
      </w:r>
    </w:p>
  </w:footnote>
  <w:footnote w:id="36">
    <w:p w14:paraId="66C66683" w14:textId="36F0152D" w:rsidR="006C10FF" w:rsidRDefault="006C10FF">
      <w:pPr>
        <w:pStyle w:val="FootnoteText"/>
      </w:pPr>
      <w:r>
        <w:rPr>
          <w:rStyle w:val="FootnoteReference"/>
        </w:rPr>
        <w:footnoteRef/>
      </w:r>
      <w:r>
        <w:t xml:space="preserve"> </w:t>
      </w:r>
      <w:r w:rsidR="00B94C2D" w:rsidRPr="00107796">
        <w:rPr>
          <w:i/>
          <w:iCs/>
          <w:sz w:val="16"/>
          <w:szCs w:val="16"/>
        </w:rPr>
        <w:t>Haida Nation</w:t>
      </w:r>
      <w:r w:rsidR="00B94C2D" w:rsidRPr="00107796">
        <w:rPr>
          <w:sz w:val="16"/>
          <w:szCs w:val="16"/>
        </w:rPr>
        <w:t>, supra note 2 at para 47</w:t>
      </w:r>
      <w:r w:rsidR="00B94C2D">
        <w:rPr>
          <w:sz w:val="16"/>
          <w:szCs w:val="16"/>
        </w:rPr>
        <w:t>.</w:t>
      </w:r>
    </w:p>
  </w:footnote>
  <w:footnote w:id="37">
    <w:p w14:paraId="7677C6C9" w14:textId="0592EE87" w:rsidR="005760BE" w:rsidRDefault="005760BE">
      <w:pPr>
        <w:pStyle w:val="FootnoteText"/>
      </w:pPr>
      <w:r>
        <w:rPr>
          <w:rStyle w:val="FootnoteReference"/>
        </w:rPr>
        <w:footnoteRef/>
      </w:r>
      <w:r>
        <w:t xml:space="preserve"> </w:t>
      </w:r>
      <w:r w:rsidR="00DB76A1" w:rsidRPr="00107796">
        <w:rPr>
          <w:sz w:val="16"/>
          <w:szCs w:val="16"/>
        </w:rPr>
        <w:t>McMillan LLP, "Do 'Nation Building Projects' Depend on Indigenous Consent?" (30 July 2025), online: &lt;mcmillan.ca&gt;.</w:t>
      </w:r>
    </w:p>
  </w:footnote>
  <w:footnote w:id="38">
    <w:p w14:paraId="525D34DB" w14:textId="15BAA0D2" w:rsidR="0098071A" w:rsidRDefault="0098071A">
      <w:pPr>
        <w:pStyle w:val="FootnoteText"/>
      </w:pPr>
      <w:r>
        <w:rPr>
          <w:rStyle w:val="FootnoteReference"/>
        </w:rPr>
        <w:footnoteRef/>
      </w:r>
      <w:r>
        <w:t xml:space="preserve"> </w:t>
      </w:r>
      <w:r w:rsidR="002D2DAB" w:rsidRPr="00107796">
        <w:rPr>
          <w:sz w:val="16"/>
          <w:szCs w:val="16"/>
        </w:rPr>
        <w:t>PIA, supra note 5, s 237.</w:t>
      </w:r>
    </w:p>
  </w:footnote>
  <w:footnote w:id="39">
    <w:p w14:paraId="196749F2" w14:textId="132682E1" w:rsidR="00196FDF" w:rsidRDefault="00196FDF">
      <w:pPr>
        <w:pStyle w:val="FootnoteText"/>
      </w:pPr>
      <w:r>
        <w:rPr>
          <w:rStyle w:val="FootnoteReference"/>
        </w:rPr>
        <w:footnoteRef/>
      </w:r>
      <w:r>
        <w:t xml:space="preserve"> </w:t>
      </w:r>
      <w:r w:rsidR="00C55B03" w:rsidRPr="00107796">
        <w:rPr>
          <w:sz w:val="16"/>
          <w:szCs w:val="16"/>
        </w:rPr>
        <w:t>Justice Canada, "Duty to Consult and Accommodate", online: &lt;justice.gc.ca&gt;.</w:t>
      </w:r>
    </w:p>
  </w:footnote>
  <w:footnote w:id="40">
    <w:p w14:paraId="2AC75482" w14:textId="2AD7D608" w:rsidR="00855A04" w:rsidRDefault="00855A04">
      <w:pPr>
        <w:pStyle w:val="FootnoteText"/>
      </w:pPr>
      <w:r>
        <w:rPr>
          <w:rStyle w:val="FootnoteReference"/>
        </w:rPr>
        <w:footnoteRef/>
      </w:r>
      <w:r>
        <w:t xml:space="preserve"> </w:t>
      </w:r>
      <w:r w:rsidR="000B7042" w:rsidRPr="00107796">
        <w:rPr>
          <w:i/>
          <w:iCs/>
          <w:sz w:val="16"/>
          <w:szCs w:val="16"/>
        </w:rPr>
        <w:t>Haida Nation</w:t>
      </w:r>
      <w:r w:rsidR="000B7042" w:rsidRPr="00107796">
        <w:rPr>
          <w:sz w:val="16"/>
          <w:szCs w:val="16"/>
        </w:rPr>
        <w:t>, supra note 2 at para 50</w:t>
      </w:r>
      <w:r w:rsidR="000B7042">
        <w:rPr>
          <w:sz w:val="16"/>
          <w:szCs w:val="16"/>
        </w:rPr>
        <w:t>.</w:t>
      </w:r>
    </w:p>
  </w:footnote>
  <w:footnote w:id="41">
    <w:p w14:paraId="04B01F7B" w14:textId="381A047F" w:rsidR="00701812" w:rsidRDefault="00701812">
      <w:pPr>
        <w:pStyle w:val="FootnoteText"/>
      </w:pPr>
      <w:r>
        <w:rPr>
          <w:rStyle w:val="FootnoteReference"/>
        </w:rPr>
        <w:footnoteRef/>
      </w:r>
      <w:r>
        <w:t xml:space="preserve"> </w:t>
      </w:r>
      <w:r w:rsidR="0051073B" w:rsidRPr="00107796">
        <w:rPr>
          <w:sz w:val="16"/>
          <w:szCs w:val="16"/>
        </w:rPr>
        <w:t>Goldsmiths Solicitors, "Host Communities and Funds under the Petroleum Industry Act 2021" PIA Series IV, online: &lt;goldsmithsllp.com&gt;</w:t>
      </w:r>
      <w:r w:rsidR="0051073B">
        <w:rPr>
          <w:sz w:val="16"/>
          <w:szCs w:val="16"/>
        </w:rPr>
        <w:t>.</w:t>
      </w:r>
    </w:p>
  </w:footnote>
  <w:footnote w:id="42">
    <w:p w14:paraId="7C45387E" w14:textId="0112B022" w:rsidR="00701812" w:rsidRDefault="00701812">
      <w:pPr>
        <w:pStyle w:val="FootnoteText"/>
      </w:pPr>
      <w:r>
        <w:rPr>
          <w:rStyle w:val="FootnoteReference"/>
        </w:rPr>
        <w:footnoteRef/>
      </w:r>
      <w:r>
        <w:t xml:space="preserve"> </w:t>
      </w:r>
      <w:r w:rsidR="00834690" w:rsidRPr="00107796">
        <w:rPr>
          <w:i/>
          <w:iCs/>
          <w:sz w:val="16"/>
          <w:szCs w:val="16"/>
        </w:rPr>
        <w:t>Benga Mining Ltd v Alberta Energy Regulator</w:t>
      </w:r>
      <w:r w:rsidR="00834690" w:rsidRPr="00107796">
        <w:rPr>
          <w:sz w:val="16"/>
          <w:szCs w:val="16"/>
        </w:rPr>
        <w:t>, 2022 ABCA 165.</w:t>
      </w:r>
    </w:p>
  </w:footnote>
  <w:footnote w:id="43">
    <w:p w14:paraId="58302DC9" w14:textId="301CF688" w:rsidR="00A4653F" w:rsidRDefault="00A4653F">
      <w:pPr>
        <w:pStyle w:val="FootnoteText"/>
      </w:pPr>
      <w:r>
        <w:rPr>
          <w:rStyle w:val="FootnoteReference"/>
        </w:rPr>
        <w:footnoteRef/>
      </w:r>
      <w:r>
        <w:t xml:space="preserve"> </w:t>
      </w:r>
      <w:r w:rsidR="007537E9" w:rsidRPr="00107796">
        <w:rPr>
          <w:sz w:val="16"/>
          <w:szCs w:val="16"/>
        </w:rPr>
        <w:t>PIA, supra note 5, s 316.</w:t>
      </w:r>
    </w:p>
  </w:footnote>
  <w:footnote w:id="44">
    <w:p w14:paraId="3CA1B1BA" w14:textId="65C3D7BD" w:rsidR="00A4653F" w:rsidRDefault="00A4653F">
      <w:pPr>
        <w:pStyle w:val="FootnoteText"/>
      </w:pPr>
      <w:r>
        <w:rPr>
          <w:rStyle w:val="FootnoteReference"/>
        </w:rPr>
        <w:footnoteRef/>
      </w:r>
      <w:r>
        <w:t xml:space="preserve"> </w:t>
      </w:r>
      <w:r w:rsidR="00267A16" w:rsidRPr="00107796">
        <w:rPr>
          <w:sz w:val="16"/>
          <w:szCs w:val="16"/>
        </w:rPr>
        <w:t>Brookings Institution, supra note 16</w:t>
      </w:r>
      <w:r w:rsidR="00267A16">
        <w:rPr>
          <w:sz w:val="16"/>
          <w:szCs w:val="16"/>
        </w:rPr>
        <w:t>.</w:t>
      </w:r>
    </w:p>
  </w:footnote>
  <w:footnote w:id="45">
    <w:p w14:paraId="0F7075D0" w14:textId="0D024D53" w:rsidR="00474AC0" w:rsidRDefault="00474AC0">
      <w:pPr>
        <w:pStyle w:val="FootnoteText"/>
      </w:pPr>
      <w:r>
        <w:rPr>
          <w:rStyle w:val="FootnoteReference"/>
        </w:rPr>
        <w:footnoteRef/>
      </w:r>
      <w:r>
        <w:t xml:space="preserve"> </w:t>
      </w:r>
      <w:r w:rsidR="00475992" w:rsidRPr="00107796">
        <w:rPr>
          <w:i/>
          <w:iCs/>
          <w:sz w:val="16"/>
          <w:szCs w:val="16"/>
        </w:rPr>
        <w:t>Haida Nation</w:t>
      </w:r>
      <w:r w:rsidR="00475992" w:rsidRPr="00107796">
        <w:rPr>
          <w:sz w:val="16"/>
          <w:szCs w:val="16"/>
        </w:rPr>
        <w:t>, supra note 2 at para 50.</w:t>
      </w:r>
    </w:p>
  </w:footnote>
  <w:footnote w:id="46">
    <w:p w14:paraId="551C5063" w14:textId="7A75F853" w:rsidR="00100EE7" w:rsidRDefault="00100EE7">
      <w:pPr>
        <w:pStyle w:val="FootnoteText"/>
      </w:pPr>
      <w:r>
        <w:rPr>
          <w:rStyle w:val="FootnoteReference"/>
        </w:rPr>
        <w:footnoteRef/>
      </w:r>
      <w:r>
        <w:t xml:space="preserve"> </w:t>
      </w:r>
      <w:r w:rsidR="008943D7" w:rsidRPr="00107796">
        <w:rPr>
          <w:sz w:val="16"/>
          <w:szCs w:val="16"/>
        </w:rPr>
        <w:t>PIA, supra note 5, s 235</w:t>
      </w:r>
      <w:r w:rsidR="008943D7">
        <w:rPr>
          <w:sz w:val="16"/>
          <w:szCs w:val="16"/>
        </w:rPr>
        <w:t>.</w:t>
      </w:r>
    </w:p>
  </w:footnote>
  <w:footnote w:id="47">
    <w:p w14:paraId="596433EA" w14:textId="1A19D446" w:rsidR="00DC4581" w:rsidRDefault="00DC4581">
      <w:pPr>
        <w:pStyle w:val="FootnoteText"/>
      </w:pPr>
      <w:r>
        <w:rPr>
          <w:rStyle w:val="FootnoteReference"/>
        </w:rPr>
        <w:footnoteRef/>
      </w:r>
      <w:r>
        <w:t xml:space="preserve"> </w:t>
      </w:r>
      <w:r w:rsidR="00A81814" w:rsidRPr="00107796">
        <w:rPr>
          <w:sz w:val="16"/>
          <w:szCs w:val="16"/>
        </w:rPr>
        <w:t>Ibid, s 261</w:t>
      </w:r>
      <w:r w:rsidR="00A81814">
        <w:rPr>
          <w:sz w:val="16"/>
          <w:szCs w:val="16"/>
        </w:rPr>
        <w:t>.</w:t>
      </w:r>
    </w:p>
  </w:footnote>
  <w:footnote w:id="48">
    <w:p w14:paraId="1A65FA9C" w14:textId="238FE1D2" w:rsidR="00D129EF" w:rsidRDefault="00D129EF">
      <w:pPr>
        <w:pStyle w:val="FootnoteText"/>
      </w:pPr>
      <w:r>
        <w:rPr>
          <w:rStyle w:val="FootnoteReference"/>
        </w:rPr>
        <w:footnoteRef/>
      </w:r>
      <w:r>
        <w:t xml:space="preserve"> </w:t>
      </w:r>
      <w:r w:rsidR="006D2659" w:rsidRPr="00107796">
        <w:rPr>
          <w:sz w:val="16"/>
          <w:szCs w:val="16"/>
        </w:rPr>
        <w:t>UNDRIP, supra note 4, arts 18–19</w:t>
      </w:r>
      <w:r w:rsidR="006D2659">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B509C"/>
    <w:multiLevelType w:val="hybridMultilevel"/>
    <w:tmpl w:val="204415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CD6599"/>
    <w:multiLevelType w:val="hybridMultilevel"/>
    <w:tmpl w:val="0C324928"/>
    <w:lvl w:ilvl="0" w:tplc="D76AAA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5305A4"/>
    <w:multiLevelType w:val="multilevel"/>
    <w:tmpl w:val="30D49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5545B3"/>
    <w:multiLevelType w:val="hybridMultilevel"/>
    <w:tmpl w:val="8B48BF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F5363D"/>
    <w:multiLevelType w:val="hybridMultilevel"/>
    <w:tmpl w:val="D01075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4225FB"/>
    <w:multiLevelType w:val="hybridMultilevel"/>
    <w:tmpl w:val="FDCC30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2483896">
    <w:abstractNumId w:val="1"/>
  </w:num>
  <w:num w:numId="2" w16cid:durableId="1295284103">
    <w:abstractNumId w:val="3"/>
  </w:num>
  <w:num w:numId="3" w16cid:durableId="1092433239">
    <w:abstractNumId w:val="0"/>
  </w:num>
  <w:num w:numId="4" w16cid:durableId="2003850828">
    <w:abstractNumId w:val="4"/>
  </w:num>
  <w:num w:numId="5" w16cid:durableId="915940233">
    <w:abstractNumId w:val="5"/>
  </w:num>
  <w:num w:numId="6" w16cid:durableId="2888200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421"/>
    <w:rsid w:val="0001376E"/>
    <w:rsid w:val="00027E2F"/>
    <w:rsid w:val="0004609C"/>
    <w:rsid w:val="00064AB3"/>
    <w:rsid w:val="000A73CC"/>
    <w:rsid w:val="000B3349"/>
    <w:rsid w:val="000B7042"/>
    <w:rsid w:val="000C254D"/>
    <w:rsid w:val="00100EE7"/>
    <w:rsid w:val="00135EAD"/>
    <w:rsid w:val="00143B80"/>
    <w:rsid w:val="00196FDF"/>
    <w:rsid w:val="001D0E4A"/>
    <w:rsid w:val="001F2438"/>
    <w:rsid w:val="00207ED6"/>
    <w:rsid w:val="002247AB"/>
    <w:rsid w:val="00232930"/>
    <w:rsid w:val="00237ADB"/>
    <w:rsid w:val="00240555"/>
    <w:rsid w:val="00241C1C"/>
    <w:rsid w:val="0025043D"/>
    <w:rsid w:val="00254F3D"/>
    <w:rsid w:val="00267A16"/>
    <w:rsid w:val="002A5967"/>
    <w:rsid w:val="002C40B6"/>
    <w:rsid w:val="002D2DAB"/>
    <w:rsid w:val="002F4105"/>
    <w:rsid w:val="003153A7"/>
    <w:rsid w:val="00327A34"/>
    <w:rsid w:val="0034331E"/>
    <w:rsid w:val="00361148"/>
    <w:rsid w:val="00365B0D"/>
    <w:rsid w:val="00382421"/>
    <w:rsid w:val="003850AA"/>
    <w:rsid w:val="00385E2B"/>
    <w:rsid w:val="003863C3"/>
    <w:rsid w:val="003A6B5C"/>
    <w:rsid w:val="003B4EB6"/>
    <w:rsid w:val="003C339E"/>
    <w:rsid w:val="003E3833"/>
    <w:rsid w:val="00444CE1"/>
    <w:rsid w:val="004665C7"/>
    <w:rsid w:val="00474AC0"/>
    <w:rsid w:val="00475992"/>
    <w:rsid w:val="00483815"/>
    <w:rsid w:val="004916A7"/>
    <w:rsid w:val="004B0AF7"/>
    <w:rsid w:val="004B5FF1"/>
    <w:rsid w:val="004C3FDF"/>
    <w:rsid w:val="004D1150"/>
    <w:rsid w:val="004F1597"/>
    <w:rsid w:val="004F6142"/>
    <w:rsid w:val="0051073B"/>
    <w:rsid w:val="00520258"/>
    <w:rsid w:val="00547EE8"/>
    <w:rsid w:val="00556640"/>
    <w:rsid w:val="005715A1"/>
    <w:rsid w:val="005726BC"/>
    <w:rsid w:val="005760BE"/>
    <w:rsid w:val="005875A0"/>
    <w:rsid w:val="005B3D31"/>
    <w:rsid w:val="005C1B66"/>
    <w:rsid w:val="005F510B"/>
    <w:rsid w:val="0060414C"/>
    <w:rsid w:val="00612E8C"/>
    <w:rsid w:val="00615253"/>
    <w:rsid w:val="00634866"/>
    <w:rsid w:val="00657B9C"/>
    <w:rsid w:val="006676D0"/>
    <w:rsid w:val="00673168"/>
    <w:rsid w:val="00683302"/>
    <w:rsid w:val="006C10FF"/>
    <w:rsid w:val="006D2659"/>
    <w:rsid w:val="006E29E8"/>
    <w:rsid w:val="007010C0"/>
    <w:rsid w:val="00701812"/>
    <w:rsid w:val="007115B4"/>
    <w:rsid w:val="00723DEE"/>
    <w:rsid w:val="007342B3"/>
    <w:rsid w:val="007459D2"/>
    <w:rsid w:val="007537E9"/>
    <w:rsid w:val="007566FC"/>
    <w:rsid w:val="00762F55"/>
    <w:rsid w:val="007B378C"/>
    <w:rsid w:val="007C5C79"/>
    <w:rsid w:val="008276C0"/>
    <w:rsid w:val="00832179"/>
    <w:rsid w:val="00833053"/>
    <w:rsid w:val="00834690"/>
    <w:rsid w:val="00855A04"/>
    <w:rsid w:val="008943D7"/>
    <w:rsid w:val="008C0F51"/>
    <w:rsid w:val="008D7431"/>
    <w:rsid w:val="008E2D63"/>
    <w:rsid w:val="0091063D"/>
    <w:rsid w:val="00924957"/>
    <w:rsid w:val="009333D9"/>
    <w:rsid w:val="009371A7"/>
    <w:rsid w:val="009709C0"/>
    <w:rsid w:val="0098071A"/>
    <w:rsid w:val="009900EE"/>
    <w:rsid w:val="009A25CE"/>
    <w:rsid w:val="009F6E34"/>
    <w:rsid w:val="00A0135D"/>
    <w:rsid w:val="00A018EE"/>
    <w:rsid w:val="00A36B0F"/>
    <w:rsid w:val="00A452AC"/>
    <w:rsid w:val="00A4653F"/>
    <w:rsid w:val="00A560F7"/>
    <w:rsid w:val="00A74CAF"/>
    <w:rsid w:val="00A81814"/>
    <w:rsid w:val="00A830E8"/>
    <w:rsid w:val="00A84B17"/>
    <w:rsid w:val="00A87CDA"/>
    <w:rsid w:val="00AD782A"/>
    <w:rsid w:val="00AE2C19"/>
    <w:rsid w:val="00AE4D25"/>
    <w:rsid w:val="00B028E6"/>
    <w:rsid w:val="00B1433E"/>
    <w:rsid w:val="00B404CC"/>
    <w:rsid w:val="00B6099A"/>
    <w:rsid w:val="00B74A20"/>
    <w:rsid w:val="00B77646"/>
    <w:rsid w:val="00B94C2D"/>
    <w:rsid w:val="00BA76E6"/>
    <w:rsid w:val="00BD43EF"/>
    <w:rsid w:val="00BD6AA4"/>
    <w:rsid w:val="00BE674B"/>
    <w:rsid w:val="00C07D3F"/>
    <w:rsid w:val="00C21360"/>
    <w:rsid w:val="00C32CC4"/>
    <w:rsid w:val="00C51642"/>
    <w:rsid w:val="00C55B03"/>
    <w:rsid w:val="00C61918"/>
    <w:rsid w:val="00CA63DF"/>
    <w:rsid w:val="00CB20CA"/>
    <w:rsid w:val="00CB59C7"/>
    <w:rsid w:val="00CB75F8"/>
    <w:rsid w:val="00CD255C"/>
    <w:rsid w:val="00CE1622"/>
    <w:rsid w:val="00CE4F5E"/>
    <w:rsid w:val="00D129EF"/>
    <w:rsid w:val="00D3370E"/>
    <w:rsid w:val="00D4225C"/>
    <w:rsid w:val="00D669F2"/>
    <w:rsid w:val="00D8418D"/>
    <w:rsid w:val="00DB5D95"/>
    <w:rsid w:val="00DB76A1"/>
    <w:rsid w:val="00DC4581"/>
    <w:rsid w:val="00DD3131"/>
    <w:rsid w:val="00DD7E4D"/>
    <w:rsid w:val="00DE0C6F"/>
    <w:rsid w:val="00E07170"/>
    <w:rsid w:val="00E1788F"/>
    <w:rsid w:val="00E35F73"/>
    <w:rsid w:val="00E40C5A"/>
    <w:rsid w:val="00E75276"/>
    <w:rsid w:val="00E832D5"/>
    <w:rsid w:val="00E93ABA"/>
    <w:rsid w:val="00E96E7A"/>
    <w:rsid w:val="00EB186B"/>
    <w:rsid w:val="00EB5E87"/>
    <w:rsid w:val="00EC54CB"/>
    <w:rsid w:val="00EF45D1"/>
    <w:rsid w:val="00F031BB"/>
    <w:rsid w:val="00F42E1F"/>
    <w:rsid w:val="00F75A55"/>
    <w:rsid w:val="00F87518"/>
    <w:rsid w:val="00F93EB7"/>
    <w:rsid w:val="00FA5BDB"/>
    <w:rsid w:val="00FA5BF7"/>
    <w:rsid w:val="00FC0F2E"/>
    <w:rsid w:val="00FE7C1C"/>
    <w:rsid w:val="00FF30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A94C8"/>
  <w15:chartTrackingRefBased/>
  <w15:docId w15:val="{C0D01969-0C9B-4112-9F33-252D6CD84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24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24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24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24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24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24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24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24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24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4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24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24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24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24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24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24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24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2421"/>
    <w:rPr>
      <w:rFonts w:eastAsiaTheme="majorEastAsia" w:cstheme="majorBidi"/>
      <w:color w:val="272727" w:themeColor="text1" w:themeTint="D8"/>
    </w:rPr>
  </w:style>
  <w:style w:type="paragraph" w:styleId="Title">
    <w:name w:val="Title"/>
    <w:basedOn w:val="Normal"/>
    <w:next w:val="Normal"/>
    <w:link w:val="TitleChar"/>
    <w:uiPriority w:val="10"/>
    <w:qFormat/>
    <w:rsid w:val="003824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24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24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24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2421"/>
    <w:pPr>
      <w:spacing w:before="160"/>
      <w:jc w:val="center"/>
    </w:pPr>
    <w:rPr>
      <w:i/>
      <w:iCs/>
      <w:color w:val="404040" w:themeColor="text1" w:themeTint="BF"/>
    </w:rPr>
  </w:style>
  <w:style w:type="character" w:customStyle="1" w:styleId="QuoteChar">
    <w:name w:val="Quote Char"/>
    <w:basedOn w:val="DefaultParagraphFont"/>
    <w:link w:val="Quote"/>
    <w:uiPriority w:val="29"/>
    <w:rsid w:val="00382421"/>
    <w:rPr>
      <w:i/>
      <w:iCs/>
      <w:color w:val="404040" w:themeColor="text1" w:themeTint="BF"/>
    </w:rPr>
  </w:style>
  <w:style w:type="paragraph" w:styleId="ListParagraph">
    <w:name w:val="List Paragraph"/>
    <w:basedOn w:val="Normal"/>
    <w:uiPriority w:val="34"/>
    <w:qFormat/>
    <w:rsid w:val="00382421"/>
    <w:pPr>
      <w:ind w:left="720"/>
      <w:contextualSpacing/>
    </w:pPr>
  </w:style>
  <w:style w:type="character" w:styleId="IntenseEmphasis">
    <w:name w:val="Intense Emphasis"/>
    <w:basedOn w:val="DefaultParagraphFont"/>
    <w:uiPriority w:val="21"/>
    <w:qFormat/>
    <w:rsid w:val="00382421"/>
    <w:rPr>
      <w:i/>
      <w:iCs/>
      <w:color w:val="0F4761" w:themeColor="accent1" w:themeShade="BF"/>
    </w:rPr>
  </w:style>
  <w:style w:type="paragraph" w:styleId="IntenseQuote">
    <w:name w:val="Intense Quote"/>
    <w:basedOn w:val="Normal"/>
    <w:next w:val="Normal"/>
    <w:link w:val="IntenseQuoteChar"/>
    <w:uiPriority w:val="30"/>
    <w:qFormat/>
    <w:rsid w:val="003824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2421"/>
    <w:rPr>
      <w:i/>
      <w:iCs/>
      <w:color w:val="0F4761" w:themeColor="accent1" w:themeShade="BF"/>
    </w:rPr>
  </w:style>
  <w:style w:type="character" w:styleId="IntenseReference">
    <w:name w:val="Intense Reference"/>
    <w:basedOn w:val="DefaultParagraphFont"/>
    <w:uiPriority w:val="32"/>
    <w:qFormat/>
    <w:rsid w:val="00382421"/>
    <w:rPr>
      <w:b/>
      <w:bCs/>
      <w:smallCaps/>
      <w:color w:val="0F4761" w:themeColor="accent1" w:themeShade="BF"/>
      <w:spacing w:val="5"/>
    </w:rPr>
  </w:style>
  <w:style w:type="character" w:styleId="FootnoteReference">
    <w:name w:val="footnote reference"/>
    <w:uiPriority w:val="99"/>
    <w:semiHidden/>
    <w:unhideWhenUsed/>
    <w:rsid w:val="00143B80"/>
    <w:rPr>
      <w:vertAlign w:val="superscript"/>
    </w:rPr>
  </w:style>
  <w:style w:type="paragraph" w:styleId="FootnoteText">
    <w:name w:val="footnote text"/>
    <w:basedOn w:val="Normal"/>
    <w:link w:val="FootnoteTextChar"/>
    <w:uiPriority w:val="99"/>
    <w:semiHidden/>
    <w:unhideWhenUsed/>
    <w:rsid w:val="00A560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60F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124</TotalTime>
  <Pages>13</Pages>
  <Words>4438</Words>
  <Characters>25298</Characters>
  <Application>Microsoft Office Word</Application>
  <DocSecurity>0</DocSecurity>
  <Lines>210</Lines>
  <Paragraphs>59</Paragraphs>
  <ScaleCrop>false</ScaleCrop>
  <Company/>
  <LinksUpToDate>false</LinksUpToDate>
  <CharactersWithSpaces>29677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Chukwuonye</dc:creator>
  <cp:keywords/>
  <dc:description/>
  <cp:lastModifiedBy>Collins Chukwuonye</cp:lastModifiedBy>
  <cp:revision>168</cp:revision>
  <dcterms:created xsi:type="dcterms:W3CDTF">2026-05-14T17:27:00Z</dcterms:created>
  <dcterms:modified xsi:type="dcterms:W3CDTF">2026-05-15T00:57:00Z</dcterms:modified>
</cp:coreProperties>
</file>