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63" w:rsidRPr="000138CA" w:rsidRDefault="00075963" w:rsidP="000138CA">
      <w:pPr>
        <w:spacing w:after="0" w:line="240" w:lineRule="auto"/>
        <w:jc w:val="center"/>
        <w:rPr>
          <w:rFonts w:ascii="Times New Roman" w:hAnsi="Times New Roman" w:cs="Times New Roman"/>
          <w:sz w:val="24"/>
          <w:szCs w:val="24"/>
        </w:rPr>
      </w:pPr>
      <w:r w:rsidRPr="000138CA">
        <w:rPr>
          <w:rFonts w:ascii="Times New Roman" w:hAnsi="Times New Roman" w:cs="Times New Roman"/>
          <w:sz w:val="24"/>
          <w:szCs w:val="24"/>
        </w:rPr>
        <w:t>BIOSURFACTANT PRODUCTION IN SOIL AMENDED WITH DIESEL USING FUNGI ISOLATED FROM A MECHANIC WORKSHOP SOIL IN DAN-MAGAJI ZARIA, KADUNA STATE</w:t>
      </w:r>
    </w:p>
    <w:p w:rsidR="002E37B8" w:rsidRPr="000138CA" w:rsidRDefault="002E37B8" w:rsidP="000138CA">
      <w:pPr>
        <w:spacing w:after="0" w:line="240" w:lineRule="auto"/>
        <w:jc w:val="center"/>
        <w:rPr>
          <w:rFonts w:ascii="Times New Roman" w:hAnsi="Times New Roman" w:cs="Times New Roman"/>
          <w:sz w:val="24"/>
          <w:szCs w:val="24"/>
        </w:rPr>
      </w:pPr>
    </w:p>
    <w:p w:rsidR="002E37B8" w:rsidRPr="000138CA" w:rsidRDefault="002E37B8" w:rsidP="000138CA">
      <w:pPr>
        <w:spacing w:after="0" w:line="240" w:lineRule="auto"/>
        <w:jc w:val="center"/>
        <w:rPr>
          <w:rFonts w:ascii="Times New Roman" w:hAnsi="Times New Roman" w:cs="Times New Roman"/>
          <w:sz w:val="24"/>
          <w:szCs w:val="24"/>
        </w:rPr>
      </w:pPr>
      <w:r w:rsidRPr="000138CA">
        <w:rPr>
          <w:rFonts w:ascii="Times New Roman" w:eastAsia="Tahoma,Bold" w:hAnsi="Times New Roman" w:cs="Times New Roman"/>
          <w:bCs/>
          <w:sz w:val="24"/>
          <w:szCs w:val="24"/>
          <w:vertAlign w:val="superscript"/>
        </w:rPr>
        <w:t/>
      </w:r>
      <w:r w:rsidRPr="000138CA">
        <w:rPr>
          <w:rFonts w:ascii="Times New Roman" w:eastAsia="Tahoma,Bold" w:hAnsi="Times New Roman" w:cs="Times New Roman"/>
          <w:bCs/>
          <w:sz w:val="24"/>
          <w:szCs w:val="24"/>
        </w:rPr>
        <w:t xml:space="preserve"/>
      </w:r>
      <w:r w:rsidRPr="000138CA">
        <w:rPr>
          <w:rFonts w:ascii="Times New Roman" w:eastAsia="Tahoma,Bold" w:hAnsi="Times New Roman" w:cs="Times New Roman"/>
          <w:bCs/>
          <w:sz w:val="24"/>
          <w:szCs w:val="24"/>
          <w:vertAlign w:val="superscript"/>
        </w:rPr>
        <w:t/>
      </w:r>
      <w:r w:rsidRPr="000138CA">
        <w:rPr>
          <w:rFonts w:ascii="Times New Roman" w:hAnsi="Times New Roman" w:cs="Times New Roman"/>
          <w:sz w:val="24"/>
          <w:szCs w:val="24"/>
        </w:rPr>
        <w:t xml:space="preserve"/>
      </w:r>
      <w:r w:rsidRPr="000138CA">
        <w:rPr>
          <w:rFonts w:ascii="Times New Roman" w:eastAsia="Tahoma,Bold" w:hAnsi="Times New Roman" w:cs="Times New Roman"/>
          <w:bCs/>
          <w:sz w:val="24"/>
          <w:szCs w:val="24"/>
          <w:vertAlign w:val="superscript"/>
        </w:rPr>
        <w:t/>
      </w:r>
      <w:r w:rsidRPr="000138CA">
        <w:rPr>
          <w:rFonts w:ascii="Times New Roman" w:eastAsia="Tahoma,Bold" w:hAnsi="Times New Roman" w:cs="Times New Roman"/>
          <w:bCs/>
          <w:sz w:val="24"/>
          <w:szCs w:val="24"/>
        </w:rPr>
        <w:t xml:space="preserve"/>
      </w:r>
      <w:r w:rsidRPr="000138CA">
        <w:rPr>
          <w:rFonts w:ascii="Times New Roman" w:eastAsia="Tahoma,Bold" w:hAnsi="Times New Roman" w:cs="Times New Roman"/>
          <w:bCs/>
          <w:sz w:val="24"/>
          <w:szCs w:val="24"/>
          <w:vertAlign w:val="superscript"/>
        </w:rPr>
        <w:t/>
      </w:r>
      <w:r w:rsidRPr="000138CA">
        <w:rPr>
          <w:rFonts w:ascii="Times New Roman" w:eastAsia="Tahoma,Bold" w:hAnsi="Times New Roman" w:cs="Times New Roman"/>
          <w:bCs/>
          <w:sz w:val="24"/>
          <w:szCs w:val="24"/>
        </w:rPr>
        <w:t/>
      </w:r>
      <w:r w:rsidR="00D7441D">
        <w:rPr>
          <w:rFonts w:ascii="Times New Roman" w:eastAsia="Tahoma,Bold" w:hAnsi="Times New Roman" w:cs="Times New Roman"/>
          <w:bCs/>
          <w:sz w:val="24"/>
          <w:szCs w:val="24"/>
        </w:rPr>
        <w:t xml:space="preserve"/>
      </w:r>
      <w:r w:rsidR="00D7441D">
        <w:rPr>
          <w:rFonts w:ascii="Times New Roman" w:eastAsia="Tahoma,Bold" w:hAnsi="Times New Roman" w:cs="Times New Roman"/>
          <w:bCs/>
          <w:sz w:val="24"/>
          <w:szCs w:val="24"/>
          <w:vertAlign w:val="superscript"/>
        </w:rPr>
        <w:t/>
      </w:r>
      <w:r w:rsidR="00D7441D">
        <w:rPr>
          <w:rFonts w:ascii="Times New Roman" w:eastAsia="Tahoma,Bold" w:hAnsi="Times New Roman" w:cs="Times New Roman"/>
          <w:bCs/>
          <w:sz w:val="24"/>
          <w:szCs w:val="24"/>
        </w:rPr>
        <w:t/>
      </w:r>
      <w:r w:rsidRPr="000138CA">
        <w:rPr>
          <w:rFonts w:ascii="Times New Roman" w:eastAsia="Tahoma,Bold" w:hAnsi="Times New Roman" w:cs="Times New Roman"/>
          <w:bCs/>
          <w:sz w:val="24"/>
          <w:szCs w:val="24"/>
        </w:rPr>
        <w:t xml:space="preserve"/>
      </w:r>
      <w:r w:rsidRPr="000138CA">
        <w:rPr>
          <w:rFonts w:ascii="Times New Roman" w:eastAsia="Tahoma,Bold" w:hAnsi="Times New Roman" w:cs="Times New Roman"/>
          <w:bCs/>
          <w:sz w:val="24"/>
          <w:szCs w:val="24"/>
          <w:vertAlign w:val="superscript"/>
        </w:rPr>
        <w:t/>
      </w:r>
      <w:r w:rsidR="001D7955" w:rsidRPr="000138CA">
        <w:rPr>
          <w:rFonts w:ascii="Times New Roman" w:eastAsia="Tahoma,Bold" w:hAnsi="Times New Roman" w:cs="Times New Roman"/>
          <w:bCs/>
          <w:sz w:val="24"/>
          <w:szCs w:val="24"/>
        </w:rPr>
        <w:t/>
      </w:r>
      <w:r w:rsidRPr="000138CA">
        <w:rPr>
          <w:rFonts w:ascii="Times New Roman" w:eastAsia="Tahoma,Bold" w:hAnsi="Times New Roman" w:cs="Times New Roman"/>
          <w:bCs/>
          <w:sz w:val="24"/>
          <w:szCs w:val="24"/>
        </w:rPr>
        <w:t xml:space="preserve"/>
      </w:r>
      <w:r w:rsidRPr="000138CA">
        <w:rPr>
          <w:rFonts w:ascii="Times New Roman" w:hAnsi="Times New Roman" w:cs="Times New Roman"/>
          <w:bCs/>
          <w:sz w:val="24"/>
          <w:szCs w:val="24"/>
          <w:vertAlign w:val="superscript"/>
        </w:rPr>
        <w:t/>
      </w:r>
      <w:r w:rsidRPr="000138CA">
        <w:rPr>
          <w:rFonts w:ascii="Times New Roman" w:hAnsi="Times New Roman" w:cs="Times New Roman"/>
          <w:sz w:val="24"/>
          <w:szCs w:val="24"/>
        </w:rPr>
        <w:t/>
      </w:r>
    </w:p>
    <w:p w:rsidR="002E37B8" w:rsidRPr="000138CA" w:rsidRDefault="002E37B8" w:rsidP="000138CA">
      <w:pPr>
        <w:spacing w:after="0" w:line="240" w:lineRule="auto"/>
        <w:jc w:val="center"/>
        <w:rPr>
          <w:rFonts w:ascii="Times New Roman" w:eastAsia="Tahoma,Bold" w:hAnsi="Times New Roman" w:cs="Times New Roman"/>
          <w:sz w:val="24"/>
          <w:szCs w:val="24"/>
        </w:rPr>
      </w:pPr>
      <w:r w:rsidRPr="000138CA">
        <w:rPr>
          <w:rFonts w:ascii="Times New Roman" w:eastAsia="Tahoma,Bold" w:hAnsi="Times New Roman" w:cs="Times New Roman"/>
          <w:sz w:val="24"/>
          <w:szCs w:val="24"/>
        </w:rPr>
        <w:t/>
      </w:r>
      <w:r w:rsidRPr="000138CA">
        <w:rPr>
          <w:rFonts w:ascii="Times New Roman" w:eastAsia="Tahoma,Bold" w:hAnsi="Times New Roman" w:cs="Times New Roman"/>
          <w:sz w:val="24"/>
          <w:szCs w:val="24"/>
          <w:vertAlign w:val="superscript"/>
        </w:rPr>
        <w:t/>
      </w:r>
      <w:r w:rsidRPr="000138CA">
        <w:rPr>
          <w:rFonts w:ascii="Times New Roman" w:eastAsia="Tahoma,Bold" w:hAnsi="Times New Roman" w:cs="Times New Roman"/>
          <w:sz w:val="24"/>
          <w:szCs w:val="24"/>
        </w:rPr>
        <w:t xml:space="preserve"/>
      </w:r>
      <w:r w:rsidRPr="000138CA">
        <w:rPr>
          <w:rFonts w:ascii="Times New Roman" w:hAnsi="Times New Roman" w:cs="Times New Roman"/>
          <w:sz w:val="24"/>
          <w:szCs w:val="24"/>
        </w:rPr>
        <w:t/>
      </w:r>
      <w:r w:rsidRPr="000138CA">
        <w:rPr>
          <w:rFonts w:ascii="Times New Roman" w:eastAsia="Tahoma,Bold" w:hAnsi="Times New Roman" w:cs="Times New Roman"/>
          <w:sz w:val="24"/>
          <w:szCs w:val="24"/>
        </w:rPr>
        <w:t xml:space="preserve"/>
      </w:r>
      <w:proofErr w:type="spellStart"/>
      <w:r w:rsidRPr="000138CA">
        <w:rPr>
          <w:rFonts w:ascii="Times New Roman" w:eastAsia="Tahoma,Bold" w:hAnsi="Times New Roman" w:cs="Times New Roman"/>
          <w:sz w:val="24"/>
          <w:szCs w:val="24"/>
        </w:rPr>
        <w:t/>
      </w:r>
      <w:proofErr w:type="spellEnd"/>
      <w:r w:rsidRPr="000138CA">
        <w:rPr>
          <w:rFonts w:ascii="Times New Roman" w:eastAsia="Tahoma,Bold" w:hAnsi="Times New Roman" w:cs="Times New Roman"/>
          <w:sz w:val="24"/>
          <w:szCs w:val="24"/>
        </w:rPr>
        <w:t xml:space="preserve"/>
      </w:r>
    </w:p>
    <w:p w:rsidR="002E37B8" w:rsidRPr="000138CA" w:rsidRDefault="002E37B8" w:rsidP="000138CA">
      <w:pPr>
        <w:spacing w:after="0" w:line="240" w:lineRule="auto"/>
        <w:jc w:val="center"/>
        <w:rPr>
          <w:rFonts w:ascii="Times New Roman" w:hAnsi="Times New Roman" w:cs="Times New Roman"/>
          <w:sz w:val="24"/>
          <w:szCs w:val="24"/>
        </w:rPr>
      </w:pPr>
      <w:r w:rsidRPr="000138CA">
        <w:rPr>
          <w:rFonts w:ascii="Times New Roman" w:hAnsi="Times New Roman" w:cs="Times New Roman"/>
          <w:sz w:val="24"/>
          <w:szCs w:val="24"/>
          <w:vertAlign w:val="superscript"/>
        </w:rPr>
        <w:t/>
      </w:r>
      <w:r w:rsidRPr="000138CA">
        <w:rPr>
          <w:rFonts w:ascii="Times New Roman" w:hAnsi="Times New Roman" w:cs="Times New Roman"/>
          <w:sz w:val="24"/>
          <w:szCs w:val="24"/>
        </w:rPr>
        <w:t/>
      </w:r>
      <w:r w:rsidR="00BA205E">
        <w:rPr>
          <w:rFonts w:ascii="Times New Roman" w:hAnsi="Times New Roman" w:cs="Times New Roman"/>
          <w:sz w:val="24"/>
          <w:szCs w:val="24"/>
        </w:rPr>
        <w:t xml:space="preserve"/>
      </w:r>
      <w:proofErr w:type="spellStart"/>
      <w:r w:rsidR="00BA205E">
        <w:rPr>
          <w:rFonts w:ascii="Times New Roman" w:hAnsi="Times New Roman" w:cs="Times New Roman"/>
          <w:sz w:val="24"/>
          <w:szCs w:val="24"/>
        </w:rPr>
        <w:t/>
      </w:r>
      <w:proofErr w:type="spellEnd"/>
      <w:r w:rsidR="00BA205E">
        <w:rPr>
          <w:rFonts w:ascii="Times New Roman" w:hAnsi="Times New Roman" w:cs="Times New Roman"/>
          <w:sz w:val="24"/>
          <w:szCs w:val="24"/>
        </w:rPr>
        <w:t xml:space="preserve"/>
      </w:r>
      <w:proofErr w:type="spellStart"/>
      <w:r w:rsidR="00BA205E">
        <w:rPr>
          <w:rFonts w:ascii="Times New Roman" w:hAnsi="Times New Roman" w:cs="Times New Roman"/>
          <w:sz w:val="24"/>
          <w:szCs w:val="24"/>
        </w:rPr>
        <w:t/>
      </w:r>
      <w:proofErr w:type="spellEnd"/>
      <w:r w:rsidR="00BA205E">
        <w:rPr>
          <w:rFonts w:ascii="Times New Roman" w:hAnsi="Times New Roman" w:cs="Times New Roman"/>
          <w:sz w:val="24"/>
          <w:szCs w:val="24"/>
        </w:rPr>
        <w:t xml:space="preserve"/>
      </w:r>
    </w:p>
    <w:p w:rsidR="002E37B8" w:rsidRPr="000138CA" w:rsidRDefault="002E37B8" w:rsidP="000138CA">
      <w:pPr>
        <w:spacing w:after="0" w:line="240" w:lineRule="auto"/>
        <w:jc w:val="center"/>
        <w:rPr>
          <w:rFonts w:ascii="Times New Roman" w:eastAsia="Tahoma,Bold" w:hAnsi="Times New Roman" w:cs="Times New Roman"/>
          <w:sz w:val="24"/>
          <w:szCs w:val="24"/>
        </w:rPr>
      </w:pPr>
      <w:r w:rsidRPr="000138CA">
        <w:rPr>
          <w:rFonts w:ascii="Times New Roman" w:hAnsi="Times New Roman" w:cs="Times New Roman"/>
          <w:sz w:val="24"/>
          <w:szCs w:val="24"/>
          <w:vertAlign w:val="superscript"/>
        </w:rPr>
        <w:t/>
      </w:r>
      <w:r w:rsidRPr="000138CA">
        <w:rPr>
          <w:rFonts w:ascii="Times New Roman" w:hAnsi="Times New Roman" w:cs="Times New Roman"/>
          <w:sz w:val="24"/>
          <w:szCs w:val="24"/>
        </w:rPr>
        <w:t/>
      </w:r>
      <w:r w:rsidRPr="000138CA">
        <w:rPr>
          <w:rFonts w:ascii="Times New Roman" w:eastAsia="Tahoma,Bold" w:hAnsi="Times New Roman" w:cs="Times New Roman"/>
          <w:sz w:val="24"/>
          <w:szCs w:val="24"/>
        </w:rPr>
        <w:t xml:space="preserve"/>
      </w:r>
    </w:p>
    <w:p w:rsidR="000138CA" w:rsidRDefault="000138CA" w:rsidP="00DC0A7A">
      <w:pPr>
        <w:spacing w:after="0" w:line="240" w:lineRule="auto"/>
        <w:jc w:val="both"/>
        <w:rPr>
          <w:rFonts w:ascii="Times New Roman" w:eastAsia="Times New Roman" w:hAnsi="Times New Roman" w:cs="Times New Roman"/>
          <w:bCs/>
          <w:sz w:val="24"/>
          <w:szCs w:val="24"/>
        </w:rPr>
      </w:pPr>
      <w:bookmarkStart w:id="0" w:name="_GoBack"/>
      <w:bookmarkEnd w:id="0"/>
    </w:p>
    <w:p w:rsidR="0065272E" w:rsidRPr="00DC0A7A" w:rsidRDefault="000138CA" w:rsidP="000138CA">
      <w:pPr>
        <w:spacing w:after="0" w:line="480" w:lineRule="auto"/>
        <w:jc w:val="center"/>
        <w:rPr>
          <w:rFonts w:ascii="Times New Roman" w:eastAsia="Times New Roman" w:hAnsi="Times New Roman" w:cs="Times New Roman"/>
          <w:b/>
          <w:bCs/>
          <w:sz w:val="24"/>
          <w:szCs w:val="24"/>
        </w:rPr>
      </w:pPr>
      <w:r w:rsidRPr="00DC0A7A">
        <w:rPr>
          <w:rFonts w:ascii="Times New Roman" w:eastAsia="Times New Roman" w:hAnsi="Times New Roman" w:cs="Times New Roman"/>
          <w:b/>
          <w:bCs/>
          <w:sz w:val="24"/>
          <w:szCs w:val="24"/>
        </w:rPr>
        <w:t>ABSTRACT</w:t>
      </w:r>
    </w:p>
    <w:p w:rsidR="0065272E" w:rsidRPr="000138CA"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sz w:val="24"/>
          <w:szCs w:val="24"/>
        </w:rPr>
        <w:t xml:space="preserve">The increasing contamination of soils by petroleum hydrocarbons has intensified the search for environmentally sustainable remediation technologies.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which are surface-active compounds produced by microorganisms, have gained significant attention due to their biodegradability, low toxicity, and effectiveness under extreme environmental conditions. This study investigated fungal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 xml:space="preserve"> production from hydrocarbon-contaminated soils collected from mechanic workshops in </w:t>
      </w:r>
      <w:proofErr w:type="spellStart"/>
      <w:r w:rsidRPr="000138CA">
        <w:rPr>
          <w:rFonts w:ascii="Times New Roman" w:eastAsia="Times New Roman" w:hAnsi="Times New Roman" w:cs="Times New Roman"/>
          <w:sz w:val="24"/>
          <w:szCs w:val="24"/>
        </w:rPr>
        <w:t>Danmagaji</w:t>
      </w:r>
      <w:proofErr w:type="spellEnd"/>
      <w:r w:rsidRPr="000138CA">
        <w:rPr>
          <w:rFonts w:ascii="Times New Roman" w:eastAsia="Times New Roman" w:hAnsi="Times New Roman" w:cs="Times New Roman"/>
          <w:sz w:val="24"/>
          <w:szCs w:val="24"/>
        </w:rPr>
        <w:t xml:space="preserve">, Zaria, </w:t>
      </w:r>
      <w:proofErr w:type="gramStart"/>
      <w:r w:rsidRPr="000138CA">
        <w:rPr>
          <w:rFonts w:ascii="Times New Roman" w:eastAsia="Times New Roman" w:hAnsi="Times New Roman" w:cs="Times New Roman"/>
          <w:sz w:val="24"/>
          <w:szCs w:val="24"/>
        </w:rPr>
        <w:t>Kaduna</w:t>
      </w:r>
      <w:proofErr w:type="gramEnd"/>
      <w:r w:rsidRPr="000138CA">
        <w:rPr>
          <w:rFonts w:ascii="Times New Roman" w:eastAsia="Times New Roman" w:hAnsi="Times New Roman" w:cs="Times New Roman"/>
          <w:sz w:val="24"/>
          <w:szCs w:val="24"/>
        </w:rPr>
        <w:t xml:space="preserve"> State, Nigeria. Physicochemical analysis of the soil revealed slightly acidic conditions, moderate electrical conductivity, </w:t>
      </w:r>
      <w:r w:rsidR="00DC0A7A" w:rsidRPr="000138CA">
        <w:rPr>
          <w:rFonts w:ascii="Times New Roman" w:eastAsia="Times New Roman" w:hAnsi="Times New Roman" w:cs="Times New Roman"/>
          <w:sz w:val="24"/>
          <w:szCs w:val="24"/>
        </w:rPr>
        <w:t>and low</w:t>
      </w:r>
      <w:r w:rsidRPr="000138CA">
        <w:rPr>
          <w:rFonts w:ascii="Times New Roman" w:eastAsia="Times New Roman" w:hAnsi="Times New Roman" w:cs="Times New Roman"/>
          <w:sz w:val="24"/>
          <w:szCs w:val="24"/>
        </w:rPr>
        <w:t xml:space="preserve"> moisture content, and elevated temperatures typical of hydrocarbon-polluted environments. Fungal isolation yielded four species: </w:t>
      </w:r>
      <w:proofErr w:type="spellStart"/>
      <w:r w:rsidRPr="000138CA">
        <w:rPr>
          <w:rFonts w:ascii="Times New Roman" w:eastAsia="Times New Roman" w:hAnsi="Times New Roman" w:cs="Times New Roman"/>
          <w:i/>
          <w:iCs/>
          <w:sz w:val="24"/>
          <w:szCs w:val="24"/>
        </w:rPr>
        <w:t>Aspergillus</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flavus</w:t>
      </w:r>
      <w:proofErr w:type="spellEnd"/>
      <w:r w:rsidRPr="000138CA">
        <w:rPr>
          <w:rFonts w:ascii="Times New Roman" w:eastAsia="Times New Roman" w:hAnsi="Times New Roman" w:cs="Times New Roman"/>
          <w:sz w:val="24"/>
          <w:szCs w:val="24"/>
        </w:rPr>
        <w:t xml:space="preserve">, </w:t>
      </w:r>
      <w:proofErr w:type="spellStart"/>
      <w:r w:rsidRPr="000138CA">
        <w:rPr>
          <w:rFonts w:ascii="Times New Roman" w:eastAsia="Times New Roman" w:hAnsi="Times New Roman" w:cs="Times New Roman"/>
          <w:i/>
          <w:iCs/>
          <w:sz w:val="24"/>
          <w:szCs w:val="24"/>
        </w:rPr>
        <w:t>Aspergillus</w:t>
      </w:r>
      <w:proofErr w:type="spellEnd"/>
      <w:r w:rsidRPr="000138CA">
        <w:rPr>
          <w:rFonts w:ascii="Times New Roman" w:eastAsia="Times New Roman" w:hAnsi="Times New Roman" w:cs="Times New Roman"/>
          <w:i/>
          <w:iCs/>
          <w:sz w:val="24"/>
          <w:szCs w:val="24"/>
        </w:rPr>
        <w:t xml:space="preserve"> </w:t>
      </w:r>
      <w:proofErr w:type="spellStart"/>
      <w:proofErr w:type="gramStart"/>
      <w:r w:rsidRPr="000138CA">
        <w:rPr>
          <w:rFonts w:ascii="Times New Roman" w:eastAsia="Times New Roman" w:hAnsi="Times New Roman" w:cs="Times New Roman"/>
          <w:i/>
          <w:iCs/>
          <w:sz w:val="24"/>
          <w:szCs w:val="24"/>
        </w:rPr>
        <w:t>niger</w:t>
      </w:r>
      <w:proofErr w:type="spellEnd"/>
      <w:proofErr w:type="gramEnd"/>
      <w:r w:rsidRPr="000138CA">
        <w:rPr>
          <w:rFonts w:ascii="Times New Roman" w:eastAsia="Times New Roman" w:hAnsi="Times New Roman" w:cs="Times New Roman"/>
          <w:sz w:val="24"/>
          <w:szCs w:val="24"/>
        </w:rPr>
        <w:t xml:space="preserve">, </w:t>
      </w:r>
      <w:proofErr w:type="spellStart"/>
      <w:r w:rsidRPr="000138CA">
        <w:rPr>
          <w:rFonts w:ascii="Times New Roman" w:eastAsia="Times New Roman" w:hAnsi="Times New Roman" w:cs="Times New Roman"/>
          <w:i/>
          <w:iCs/>
          <w:sz w:val="24"/>
          <w:szCs w:val="24"/>
        </w:rPr>
        <w:t>Penicillium</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notatum</w:t>
      </w:r>
      <w:proofErr w:type="spellEnd"/>
      <w:r w:rsidRPr="000138CA">
        <w:rPr>
          <w:rFonts w:ascii="Times New Roman" w:eastAsia="Times New Roman" w:hAnsi="Times New Roman" w:cs="Times New Roman"/>
          <w:sz w:val="24"/>
          <w:szCs w:val="24"/>
        </w:rPr>
        <w:t xml:space="preserve">, and </w:t>
      </w:r>
      <w:proofErr w:type="spellStart"/>
      <w:r w:rsidRPr="000138CA">
        <w:rPr>
          <w:rFonts w:ascii="Times New Roman" w:eastAsia="Times New Roman" w:hAnsi="Times New Roman" w:cs="Times New Roman"/>
          <w:i/>
          <w:iCs/>
          <w:sz w:val="24"/>
          <w:szCs w:val="24"/>
        </w:rPr>
        <w:t>Fusarium</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oxysporum</w:t>
      </w:r>
      <w:proofErr w:type="spellEnd"/>
      <w:r w:rsidRPr="000138CA">
        <w:rPr>
          <w:rFonts w:ascii="Times New Roman" w:eastAsia="Times New Roman" w:hAnsi="Times New Roman" w:cs="Times New Roman"/>
          <w:sz w:val="24"/>
          <w:szCs w:val="24"/>
        </w:rPr>
        <w:t xml:space="preserve">. Screening for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 xml:space="preserve"> production using oil spreading, drop collapse, and emulsification index (E24) assays identified </w:t>
      </w:r>
      <w:proofErr w:type="spellStart"/>
      <w:r w:rsidRPr="000138CA">
        <w:rPr>
          <w:rFonts w:ascii="Times New Roman" w:eastAsia="Times New Roman" w:hAnsi="Times New Roman" w:cs="Times New Roman"/>
          <w:i/>
          <w:iCs/>
          <w:sz w:val="24"/>
          <w:szCs w:val="24"/>
        </w:rPr>
        <w:t>Aspergillus</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flavus</w:t>
      </w:r>
      <w:proofErr w:type="spellEnd"/>
      <w:r w:rsidRPr="000138CA">
        <w:rPr>
          <w:rFonts w:ascii="Times New Roman" w:eastAsia="Times New Roman" w:hAnsi="Times New Roman" w:cs="Times New Roman"/>
          <w:sz w:val="24"/>
          <w:szCs w:val="24"/>
        </w:rPr>
        <w:t xml:space="preserve"> and </w:t>
      </w:r>
      <w:proofErr w:type="spellStart"/>
      <w:r w:rsidRPr="000138CA">
        <w:rPr>
          <w:rFonts w:ascii="Times New Roman" w:eastAsia="Times New Roman" w:hAnsi="Times New Roman" w:cs="Times New Roman"/>
          <w:i/>
          <w:iCs/>
          <w:sz w:val="24"/>
          <w:szCs w:val="24"/>
        </w:rPr>
        <w:t>Fusarium</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oxysporum</w:t>
      </w:r>
      <w:proofErr w:type="spellEnd"/>
      <w:r w:rsidRPr="000138CA">
        <w:rPr>
          <w:rFonts w:ascii="Times New Roman" w:eastAsia="Times New Roman" w:hAnsi="Times New Roman" w:cs="Times New Roman"/>
          <w:sz w:val="24"/>
          <w:szCs w:val="24"/>
        </w:rPr>
        <w:t xml:space="preserve"> as positive producers.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 xml:space="preserve"> production in Mineral Salt Medium (MSM) amended with diesel demonstrated higher yields in </w:t>
      </w:r>
      <w:r w:rsidRPr="000138CA">
        <w:rPr>
          <w:rFonts w:ascii="Times New Roman" w:eastAsia="Times New Roman" w:hAnsi="Times New Roman" w:cs="Times New Roman"/>
          <w:i/>
          <w:iCs/>
          <w:sz w:val="24"/>
          <w:szCs w:val="24"/>
        </w:rPr>
        <w:t xml:space="preserve">A. </w:t>
      </w:r>
      <w:proofErr w:type="spellStart"/>
      <w:r w:rsidRPr="000138CA">
        <w:rPr>
          <w:rFonts w:ascii="Times New Roman" w:eastAsia="Times New Roman" w:hAnsi="Times New Roman" w:cs="Times New Roman"/>
          <w:i/>
          <w:iCs/>
          <w:sz w:val="24"/>
          <w:szCs w:val="24"/>
        </w:rPr>
        <w:t>flavus</w:t>
      </w:r>
      <w:proofErr w:type="spellEnd"/>
      <w:r w:rsidRPr="000138CA">
        <w:rPr>
          <w:rFonts w:ascii="Times New Roman" w:eastAsia="Times New Roman" w:hAnsi="Times New Roman" w:cs="Times New Roman"/>
          <w:sz w:val="24"/>
          <w:szCs w:val="24"/>
        </w:rPr>
        <w:t xml:space="preserve"> (0.00152 g/mL) compared to </w:t>
      </w:r>
      <w:r w:rsidRPr="000138CA">
        <w:rPr>
          <w:rFonts w:ascii="Times New Roman" w:eastAsia="Times New Roman" w:hAnsi="Times New Roman" w:cs="Times New Roman"/>
          <w:i/>
          <w:iCs/>
          <w:sz w:val="24"/>
          <w:szCs w:val="24"/>
        </w:rPr>
        <w:t xml:space="preserve">F. </w:t>
      </w:r>
      <w:proofErr w:type="spellStart"/>
      <w:r w:rsidRPr="000138CA">
        <w:rPr>
          <w:rFonts w:ascii="Times New Roman" w:eastAsia="Times New Roman" w:hAnsi="Times New Roman" w:cs="Times New Roman"/>
          <w:i/>
          <w:iCs/>
          <w:sz w:val="24"/>
          <w:szCs w:val="24"/>
        </w:rPr>
        <w:t>oxysporum</w:t>
      </w:r>
      <w:proofErr w:type="spellEnd"/>
      <w:r w:rsidRPr="000138CA">
        <w:rPr>
          <w:rFonts w:ascii="Times New Roman" w:eastAsia="Times New Roman" w:hAnsi="Times New Roman" w:cs="Times New Roman"/>
          <w:sz w:val="24"/>
          <w:szCs w:val="24"/>
        </w:rPr>
        <w:t xml:space="preserve"> (0.00136 g/mL). The findings confirm the potential of indigenous fungal isolates to utilize diesel as a carbon source for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 xml:space="preserve"> synthesis and highlight their applicability in the bioremediation of hydrocarbon-contaminated soils.</w:t>
      </w:r>
    </w:p>
    <w:p w:rsidR="00102C21"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bCs/>
          <w:sz w:val="24"/>
          <w:szCs w:val="24"/>
        </w:rPr>
        <w:t>Keywords:</w:t>
      </w:r>
      <w:r w:rsidRPr="000138CA">
        <w:rPr>
          <w:rFonts w:ascii="Times New Roman" w:eastAsia="Times New Roman" w:hAnsi="Times New Roman" w:cs="Times New Roman"/>
          <w:sz w:val="24"/>
          <w:szCs w:val="24"/>
        </w:rPr>
        <w:t xml:space="preserve">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Hy</w:t>
      </w:r>
      <w:r w:rsidR="00DC0A7A">
        <w:rPr>
          <w:rFonts w:ascii="Times New Roman" w:eastAsia="Times New Roman" w:hAnsi="Times New Roman" w:cs="Times New Roman"/>
          <w:sz w:val="24"/>
          <w:szCs w:val="24"/>
        </w:rPr>
        <w:t>drocarbon contamination,</w:t>
      </w:r>
      <w:r w:rsidRPr="000138CA">
        <w:rPr>
          <w:rFonts w:ascii="Times New Roman" w:eastAsia="Times New Roman" w:hAnsi="Times New Roman" w:cs="Times New Roman"/>
          <w:sz w:val="24"/>
          <w:szCs w:val="24"/>
        </w:rPr>
        <w:t xml:space="preserve"> Bioremediation, </w:t>
      </w:r>
      <w:proofErr w:type="spellStart"/>
      <w:r w:rsidRPr="000138CA">
        <w:rPr>
          <w:rFonts w:ascii="Times New Roman" w:eastAsia="Times New Roman" w:hAnsi="Times New Roman" w:cs="Times New Roman"/>
          <w:i/>
          <w:iCs/>
          <w:sz w:val="24"/>
          <w:szCs w:val="24"/>
        </w:rPr>
        <w:t>Aspergillus</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flavus</w:t>
      </w:r>
      <w:proofErr w:type="spellEnd"/>
      <w:r w:rsidRPr="000138CA">
        <w:rPr>
          <w:rFonts w:ascii="Times New Roman" w:eastAsia="Times New Roman" w:hAnsi="Times New Roman" w:cs="Times New Roman"/>
          <w:sz w:val="24"/>
          <w:szCs w:val="24"/>
        </w:rPr>
        <w:t xml:space="preserve">, </w:t>
      </w:r>
      <w:proofErr w:type="spellStart"/>
      <w:r w:rsidRPr="000138CA">
        <w:rPr>
          <w:rFonts w:ascii="Times New Roman" w:eastAsia="Times New Roman" w:hAnsi="Times New Roman" w:cs="Times New Roman"/>
          <w:i/>
          <w:iCs/>
          <w:sz w:val="24"/>
          <w:szCs w:val="24"/>
        </w:rPr>
        <w:t>Fusarium</w:t>
      </w:r>
      <w:proofErr w:type="spellEnd"/>
      <w:r w:rsidRPr="000138CA">
        <w:rPr>
          <w:rFonts w:ascii="Times New Roman" w:eastAsia="Times New Roman" w:hAnsi="Times New Roman" w:cs="Times New Roman"/>
          <w:i/>
          <w:iCs/>
          <w:sz w:val="24"/>
          <w:szCs w:val="24"/>
        </w:rPr>
        <w:t xml:space="preserve"> </w:t>
      </w:r>
      <w:proofErr w:type="spellStart"/>
      <w:r w:rsidRPr="000138CA">
        <w:rPr>
          <w:rFonts w:ascii="Times New Roman" w:eastAsia="Times New Roman" w:hAnsi="Times New Roman" w:cs="Times New Roman"/>
          <w:i/>
          <w:iCs/>
          <w:sz w:val="24"/>
          <w:szCs w:val="24"/>
        </w:rPr>
        <w:t>oxysporum</w:t>
      </w:r>
      <w:proofErr w:type="spellEnd"/>
    </w:p>
    <w:p w:rsidR="0065272E" w:rsidRPr="00102C21" w:rsidRDefault="00102C21" w:rsidP="000138C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lastRenderedPageBreak/>
        <w:t xml:space="preserve">1. 0 </w:t>
      </w:r>
      <w:r w:rsidRPr="00102C21">
        <w:rPr>
          <w:rFonts w:ascii="Times New Roman" w:eastAsia="Times New Roman" w:hAnsi="Times New Roman" w:cs="Times New Roman"/>
          <w:b/>
          <w:bCs/>
          <w:kern w:val="36"/>
          <w:sz w:val="24"/>
          <w:szCs w:val="24"/>
        </w:rPr>
        <w:t>INTRODUCTION</w:t>
      </w:r>
    </w:p>
    <w:p w:rsidR="0065272E" w:rsidRPr="000138CA"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sz w:val="24"/>
          <w:szCs w:val="24"/>
        </w:rPr>
        <w:t>Hydrocarbon contamination resulting from petroleum exploration, automobile servicing, and industrial discharge remains one of the most significant environmental challenges worldwide. Mechanic workshops, in particular, contribute substantially to soil pollution through the indiscriminate disposal of diesel, engine oils, lubricants, and related petroleum products. Such contamination alters soil physicochemical properties, suppresses native biodiversity, and poses severe ecological and public health risks.</w:t>
      </w:r>
      <w:r w:rsidR="00102C21">
        <w:rPr>
          <w:rFonts w:ascii="Times New Roman" w:eastAsia="Times New Roman" w:hAnsi="Times New Roman" w:cs="Times New Roman"/>
          <w:sz w:val="24"/>
          <w:szCs w:val="24"/>
        </w:rPr>
        <w:t xml:space="preserve"> </w:t>
      </w:r>
      <w:r w:rsidRPr="000138CA">
        <w:rPr>
          <w:rFonts w:ascii="Times New Roman" w:eastAsia="Times New Roman" w:hAnsi="Times New Roman" w:cs="Times New Roman"/>
          <w:sz w:val="24"/>
          <w:szCs w:val="24"/>
        </w:rPr>
        <w:t xml:space="preserve">Conventional remediation techniques, including chemical oxidation, incineration, and physical excavation, are often expensive and environmentally disruptive. Consequently, attention has shifted toward biological alternatives that are eco-friendly and cost-effective. Among these alternatives,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have emerged as promising agents for hydrocarbon remediation due to their ability to reduce surface and interfacial tension, thereby enhancing the bioavailability of hydrophobic pollutants</w:t>
      </w:r>
      <w:r w:rsidR="00EE079C">
        <w:rPr>
          <w:rFonts w:ascii="Times New Roman" w:eastAsia="Times New Roman" w:hAnsi="Times New Roman" w:cs="Times New Roman"/>
          <w:sz w:val="24"/>
          <w:szCs w:val="24"/>
        </w:rPr>
        <w:t xml:space="preserve"> </w:t>
      </w:r>
      <w:proofErr w:type="spellStart"/>
      <w:r w:rsidR="00EE079C" w:rsidRPr="000138CA">
        <w:rPr>
          <w:rFonts w:ascii="Times New Roman" w:hAnsi="Times New Roman" w:cs="Times New Roman"/>
          <w:sz w:val="24"/>
          <w:szCs w:val="24"/>
        </w:rPr>
        <w:t>Uyar</w:t>
      </w:r>
      <w:proofErr w:type="spellEnd"/>
      <w:r w:rsidR="00EE079C" w:rsidRPr="000138CA">
        <w:rPr>
          <w:rFonts w:ascii="Times New Roman" w:hAnsi="Times New Roman" w:cs="Times New Roman"/>
          <w:sz w:val="24"/>
          <w:szCs w:val="24"/>
        </w:rPr>
        <w:t xml:space="preserve"> &amp; </w:t>
      </w:r>
      <w:proofErr w:type="spellStart"/>
      <w:r w:rsidR="00EE079C" w:rsidRPr="000138CA">
        <w:rPr>
          <w:rFonts w:ascii="Times New Roman" w:hAnsi="Times New Roman" w:cs="Times New Roman"/>
          <w:sz w:val="24"/>
          <w:szCs w:val="24"/>
        </w:rPr>
        <w:t>Saglam</w:t>
      </w:r>
      <w:proofErr w:type="spellEnd"/>
      <w:r w:rsidR="00EE079C" w:rsidRPr="000138CA">
        <w:rPr>
          <w:rFonts w:ascii="Times New Roman" w:hAnsi="Times New Roman" w:cs="Times New Roman"/>
          <w:sz w:val="24"/>
          <w:szCs w:val="24"/>
        </w:rPr>
        <w:t xml:space="preserve"> (2021)</w:t>
      </w:r>
      <w:r w:rsidRPr="000138CA">
        <w:rPr>
          <w:rFonts w:ascii="Times New Roman" w:eastAsia="Times New Roman" w:hAnsi="Times New Roman" w:cs="Times New Roman"/>
          <w:sz w:val="24"/>
          <w:szCs w:val="24"/>
        </w:rPr>
        <w:t>.</w:t>
      </w:r>
    </w:p>
    <w:p w:rsidR="0065272E" w:rsidRPr="000138CA" w:rsidRDefault="0065272E" w:rsidP="000138CA">
      <w:pPr>
        <w:spacing w:after="0" w:line="480" w:lineRule="auto"/>
        <w:jc w:val="both"/>
        <w:rPr>
          <w:rFonts w:ascii="Times New Roman" w:eastAsia="Times New Roman" w:hAnsi="Times New Roman" w:cs="Times New Roman"/>
          <w:sz w:val="24"/>
          <w:szCs w:val="24"/>
        </w:rPr>
      </w:pP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are </w:t>
      </w:r>
      <w:proofErr w:type="spellStart"/>
      <w:r w:rsidRPr="000138CA">
        <w:rPr>
          <w:rFonts w:ascii="Times New Roman" w:eastAsia="Times New Roman" w:hAnsi="Times New Roman" w:cs="Times New Roman"/>
          <w:sz w:val="24"/>
          <w:szCs w:val="24"/>
        </w:rPr>
        <w:t>amphiphilic</w:t>
      </w:r>
      <w:proofErr w:type="spellEnd"/>
      <w:r w:rsidRPr="000138CA">
        <w:rPr>
          <w:rFonts w:ascii="Times New Roman" w:eastAsia="Times New Roman" w:hAnsi="Times New Roman" w:cs="Times New Roman"/>
          <w:sz w:val="24"/>
          <w:szCs w:val="24"/>
        </w:rPr>
        <w:t xml:space="preserve"> compounds produced by microorganisms and consist of hydrophilic and hydrophobic moieties that facilitate emulsification of immiscible substances such as hydrocarbons and water. Unlike synthetic surfactants,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are biodegradable, less toxic, and stable under varying environmental conditions including extreme pH, salinity, and temperature. Their production is frequently induced in hydrocarbon-rich environments, making contaminated soils important reservoirs of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-producing microorganisms.</w:t>
      </w:r>
      <w:r w:rsidR="00102C21">
        <w:rPr>
          <w:rFonts w:ascii="Times New Roman" w:eastAsia="Times New Roman" w:hAnsi="Times New Roman" w:cs="Times New Roman"/>
          <w:sz w:val="24"/>
          <w:szCs w:val="24"/>
        </w:rPr>
        <w:t xml:space="preserve"> </w:t>
      </w:r>
      <w:r w:rsidRPr="000138CA">
        <w:rPr>
          <w:rFonts w:ascii="Times New Roman" w:eastAsia="Times New Roman" w:hAnsi="Times New Roman" w:cs="Times New Roman"/>
          <w:sz w:val="24"/>
          <w:szCs w:val="24"/>
        </w:rPr>
        <w:t xml:space="preserve">Although bacterial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have been extensively investigated, fungal </w:t>
      </w:r>
      <w:proofErr w:type="spellStart"/>
      <w:r w:rsidRPr="000138CA">
        <w:rPr>
          <w:rFonts w:ascii="Times New Roman" w:eastAsia="Times New Roman" w:hAnsi="Times New Roman" w:cs="Times New Roman"/>
          <w:sz w:val="24"/>
          <w:szCs w:val="24"/>
        </w:rPr>
        <w:t>biosurfactants</w:t>
      </w:r>
      <w:proofErr w:type="spellEnd"/>
      <w:r w:rsidRPr="000138CA">
        <w:rPr>
          <w:rFonts w:ascii="Times New Roman" w:eastAsia="Times New Roman" w:hAnsi="Times New Roman" w:cs="Times New Roman"/>
          <w:sz w:val="24"/>
          <w:szCs w:val="24"/>
        </w:rPr>
        <w:t xml:space="preserve"> remain comparatively underexplored despite the remarkable adaptability of fungi in polluted environments. Filamentous fungi possess extensive enzymatic systems and </w:t>
      </w:r>
      <w:proofErr w:type="spellStart"/>
      <w:r w:rsidRPr="000138CA">
        <w:rPr>
          <w:rFonts w:ascii="Times New Roman" w:eastAsia="Times New Roman" w:hAnsi="Times New Roman" w:cs="Times New Roman"/>
          <w:sz w:val="24"/>
          <w:szCs w:val="24"/>
        </w:rPr>
        <w:t>hyphal</w:t>
      </w:r>
      <w:proofErr w:type="spellEnd"/>
      <w:r w:rsidRPr="000138CA">
        <w:rPr>
          <w:rFonts w:ascii="Times New Roman" w:eastAsia="Times New Roman" w:hAnsi="Times New Roman" w:cs="Times New Roman"/>
          <w:sz w:val="24"/>
          <w:szCs w:val="24"/>
        </w:rPr>
        <w:t xml:space="preserve"> networks that enable survival and metabolic activity in harsh ecological niches. Species of </w:t>
      </w:r>
      <w:proofErr w:type="spellStart"/>
      <w:r w:rsidRPr="000138CA">
        <w:rPr>
          <w:rFonts w:ascii="Times New Roman" w:eastAsia="Times New Roman" w:hAnsi="Times New Roman" w:cs="Times New Roman"/>
          <w:i/>
          <w:iCs/>
          <w:sz w:val="24"/>
          <w:szCs w:val="24"/>
        </w:rPr>
        <w:t>Aspergillus</w:t>
      </w:r>
      <w:proofErr w:type="spellEnd"/>
      <w:r w:rsidRPr="000138CA">
        <w:rPr>
          <w:rFonts w:ascii="Times New Roman" w:eastAsia="Times New Roman" w:hAnsi="Times New Roman" w:cs="Times New Roman"/>
          <w:sz w:val="24"/>
          <w:szCs w:val="24"/>
        </w:rPr>
        <w:t xml:space="preserve">, </w:t>
      </w:r>
      <w:proofErr w:type="spellStart"/>
      <w:r w:rsidRPr="000138CA">
        <w:rPr>
          <w:rFonts w:ascii="Times New Roman" w:eastAsia="Times New Roman" w:hAnsi="Times New Roman" w:cs="Times New Roman"/>
          <w:i/>
          <w:iCs/>
          <w:sz w:val="24"/>
          <w:szCs w:val="24"/>
        </w:rPr>
        <w:lastRenderedPageBreak/>
        <w:t>Penicillium</w:t>
      </w:r>
      <w:proofErr w:type="spellEnd"/>
      <w:r w:rsidRPr="000138CA">
        <w:rPr>
          <w:rFonts w:ascii="Times New Roman" w:eastAsia="Times New Roman" w:hAnsi="Times New Roman" w:cs="Times New Roman"/>
          <w:sz w:val="24"/>
          <w:szCs w:val="24"/>
        </w:rPr>
        <w:t xml:space="preserve">, and </w:t>
      </w:r>
      <w:proofErr w:type="spellStart"/>
      <w:r w:rsidRPr="000138CA">
        <w:rPr>
          <w:rFonts w:ascii="Times New Roman" w:eastAsia="Times New Roman" w:hAnsi="Times New Roman" w:cs="Times New Roman"/>
          <w:i/>
          <w:iCs/>
          <w:sz w:val="24"/>
          <w:szCs w:val="24"/>
        </w:rPr>
        <w:t>Fusarium</w:t>
      </w:r>
      <w:proofErr w:type="spellEnd"/>
      <w:r w:rsidRPr="000138CA">
        <w:rPr>
          <w:rFonts w:ascii="Times New Roman" w:eastAsia="Times New Roman" w:hAnsi="Times New Roman" w:cs="Times New Roman"/>
          <w:sz w:val="24"/>
          <w:szCs w:val="24"/>
        </w:rPr>
        <w:t xml:space="preserve"> have repeatedly been isolated from hydrocarbon-polluted soils and have demonstrated significant biodegradation capabilities</w:t>
      </w:r>
      <w:r w:rsidR="00EE079C">
        <w:rPr>
          <w:rFonts w:ascii="Times New Roman" w:eastAsia="Times New Roman" w:hAnsi="Times New Roman" w:cs="Times New Roman"/>
          <w:sz w:val="24"/>
          <w:szCs w:val="24"/>
        </w:rPr>
        <w:t xml:space="preserve"> </w:t>
      </w:r>
      <w:proofErr w:type="spellStart"/>
      <w:r w:rsidR="00EE079C" w:rsidRPr="000138CA">
        <w:rPr>
          <w:rFonts w:ascii="Times New Roman" w:hAnsi="Times New Roman" w:cs="Times New Roman"/>
          <w:sz w:val="24"/>
          <w:szCs w:val="24"/>
        </w:rPr>
        <w:t>Uyar</w:t>
      </w:r>
      <w:proofErr w:type="spellEnd"/>
      <w:r w:rsidR="00EE079C" w:rsidRPr="000138CA">
        <w:rPr>
          <w:rFonts w:ascii="Times New Roman" w:hAnsi="Times New Roman" w:cs="Times New Roman"/>
          <w:sz w:val="24"/>
          <w:szCs w:val="24"/>
        </w:rPr>
        <w:t xml:space="preserve"> &amp; </w:t>
      </w:r>
      <w:proofErr w:type="spellStart"/>
      <w:r w:rsidR="00EE079C" w:rsidRPr="000138CA">
        <w:rPr>
          <w:rFonts w:ascii="Times New Roman" w:hAnsi="Times New Roman" w:cs="Times New Roman"/>
          <w:sz w:val="24"/>
          <w:szCs w:val="24"/>
        </w:rPr>
        <w:t>Saglam</w:t>
      </w:r>
      <w:proofErr w:type="spellEnd"/>
      <w:r w:rsidR="00EE079C" w:rsidRPr="000138CA">
        <w:rPr>
          <w:rFonts w:ascii="Times New Roman" w:hAnsi="Times New Roman" w:cs="Times New Roman"/>
          <w:sz w:val="24"/>
          <w:szCs w:val="24"/>
        </w:rPr>
        <w:t xml:space="preserve"> (2021)</w:t>
      </w:r>
      <w:r w:rsidRPr="000138CA">
        <w:rPr>
          <w:rFonts w:ascii="Times New Roman" w:eastAsia="Times New Roman" w:hAnsi="Times New Roman" w:cs="Times New Roman"/>
          <w:sz w:val="24"/>
          <w:szCs w:val="24"/>
        </w:rPr>
        <w:t>.</w:t>
      </w:r>
    </w:p>
    <w:p w:rsidR="0065272E" w:rsidRPr="000138CA"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sz w:val="24"/>
          <w:szCs w:val="24"/>
        </w:rPr>
        <w:t xml:space="preserve">This study therefore aimed to isolate and identify fungi from hydrocarbon-contaminated soils collected from mechanic workshops in </w:t>
      </w:r>
      <w:proofErr w:type="spellStart"/>
      <w:r w:rsidRPr="000138CA">
        <w:rPr>
          <w:rFonts w:ascii="Times New Roman" w:eastAsia="Times New Roman" w:hAnsi="Times New Roman" w:cs="Times New Roman"/>
          <w:sz w:val="24"/>
          <w:szCs w:val="24"/>
        </w:rPr>
        <w:t>Danmagaji</w:t>
      </w:r>
      <w:proofErr w:type="spellEnd"/>
      <w:r w:rsidRPr="000138CA">
        <w:rPr>
          <w:rFonts w:ascii="Times New Roman" w:eastAsia="Times New Roman" w:hAnsi="Times New Roman" w:cs="Times New Roman"/>
          <w:sz w:val="24"/>
          <w:szCs w:val="24"/>
        </w:rPr>
        <w:t xml:space="preserve">, Zaria, </w:t>
      </w:r>
      <w:proofErr w:type="gramStart"/>
      <w:r w:rsidRPr="000138CA">
        <w:rPr>
          <w:rFonts w:ascii="Times New Roman" w:eastAsia="Times New Roman" w:hAnsi="Times New Roman" w:cs="Times New Roman"/>
          <w:sz w:val="24"/>
          <w:szCs w:val="24"/>
        </w:rPr>
        <w:t>Kaduna</w:t>
      </w:r>
      <w:proofErr w:type="gramEnd"/>
      <w:r w:rsidRPr="000138CA">
        <w:rPr>
          <w:rFonts w:ascii="Times New Roman" w:eastAsia="Times New Roman" w:hAnsi="Times New Roman" w:cs="Times New Roman"/>
          <w:sz w:val="24"/>
          <w:szCs w:val="24"/>
        </w:rPr>
        <w:t xml:space="preserve"> State, Nigeria, evaluate their </w:t>
      </w:r>
      <w:proofErr w:type="spellStart"/>
      <w:r w:rsidRPr="000138CA">
        <w:rPr>
          <w:rFonts w:ascii="Times New Roman" w:eastAsia="Times New Roman" w:hAnsi="Times New Roman" w:cs="Times New Roman"/>
          <w:sz w:val="24"/>
          <w:szCs w:val="24"/>
        </w:rPr>
        <w:t>biosurfactant</w:t>
      </w:r>
      <w:proofErr w:type="spellEnd"/>
      <w:r w:rsidRPr="000138CA">
        <w:rPr>
          <w:rFonts w:ascii="Times New Roman" w:eastAsia="Times New Roman" w:hAnsi="Times New Roman" w:cs="Times New Roman"/>
          <w:sz w:val="24"/>
          <w:szCs w:val="24"/>
        </w:rPr>
        <w:t>-producing potentials, and assess their suitability for diesel bioremediation applications.</w:t>
      </w:r>
    </w:p>
    <w:p w:rsidR="0065272E" w:rsidRPr="00102C21" w:rsidRDefault="00102C21" w:rsidP="000138CA">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2. 0 </w:t>
      </w:r>
      <w:r w:rsidRPr="00102C21">
        <w:rPr>
          <w:rFonts w:ascii="Times New Roman" w:eastAsia="Times New Roman" w:hAnsi="Times New Roman" w:cs="Times New Roman"/>
          <w:b/>
          <w:bCs/>
          <w:kern w:val="36"/>
          <w:sz w:val="24"/>
          <w:szCs w:val="24"/>
        </w:rPr>
        <w:t>MATERIALS AND METHODS</w:t>
      </w:r>
    </w:p>
    <w:p w:rsidR="0065272E" w:rsidRPr="00102C21" w:rsidRDefault="00102C21" w:rsidP="000138C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65272E" w:rsidRPr="00102C21">
        <w:rPr>
          <w:rFonts w:ascii="Times New Roman" w:eastAsia="Times New Roman" w:hAnsi="Times New Roman" w:cs="Times New Roman"/>
          <w:b/>
          <w:bCs/>
          <w:sz w:val="24"/>
          <w:szCs w:val="24"/>
        </w:rPr>
        <w:t>Study Area and Sample Collection</w:t>
      </w:r>
    </w:p>
    <w:p w:rsidR="0065272E" w:rsidRPr="000138CA"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sz w:val="24"/>
          <w:szCs w:val="24"/>
        </w:rPr>
        <w:t xml:space="preserve">Soil samples were collected from mechanic workshops located in </w:t>
      </w:r>
      <w:proofErr w:type="spellStart"/>
      <w:r w:rsidRPr="000138CA">
        <w:rPr>
          <w:rFonts w:ascii="Times New Roman" w:eastAsia="Times New Roman" w:hAnsi="Times New Roman" w:cs="Times New Roman"/>
          <w:sz w:val="24"/>
          <w:szCs w:val="24"/>
        </w:rPr>
        <w:t>Danmagaji</w:t>
      </w:r>
      <w:proofErr w:type="spellEnd"/>
      <w:r w:rsidRPr="000138CA">
        <w:rPr>
          <w:rFonts w:ascii="Times New Roman" w:eastAsia="Times New Roman" w:hAnsi="Times New Roman" w:cs="Times New Roman"/>
          <w:sz w:val="24"/>
          <w:szCs w:val="24"/>
        </w:rPr>
        <w:t>, Zaria, Kaduna State, Nigeria (11°04′0″N, 7°41′17.5″E). The area is characterized by extensive hydrocarbon contamination resulting from automobile repair activities involving diesel and engine oils.</w:t>
      </w:r>
      <w:r w:rsidR="00102C21">
        <w:rPr>
          <w:rFonts w:ascii="Times New Roman" w:eastAsia="Times New Roman" w:hAnsi="Times New Roman" w:cs="Times New Roman"/>
          <w:sz w:val="24"/>
          <w:szCs w:val="24"/>
        </w:rPr>
        <w:t xml:space="preserve"> </w:t>
      </w:r>
      <w:r w:rsidRPr="000138CA">
        <w:rPr>
          <w:rFonts w:ascii="Times New Roman" w:eastAsia="Times New Roman" w:hAnsi="Times New Roman" w:cs="Times New Roman"/>
          <w:sz w:val="24"/>
          <w:szCs w:val="24"/>
        </w:rPr>
        <w:t>Surface soil samples (0–15 cm depth) were col</w:t>
      </w:r>
      <w:r w:rsidR="00102C21">
        <w:rPr>
          <w:rFonts w:ascii="Times New Roman" w:eastAsia="Times New Roman" w:hAnsi="Times New Roman" w:cs="Times New Roman"/>
          <w:sz w:val="24"/>
          <w:szCs w:val="24"/>
        </w:rPr>
        <w:t>lected aseptically using clean</w:t>
      </w:r>
      <w:r w:rsidRPr="000138CA">
        <w:rPr>
          <w:rFonts w:ascii="Times New Roman" w:eastAsia="Times New Roman" w:hAnsi="Times New Roman" w:cs="Times New Roman"/>
          <w:sz w:val="24"/>
          <w:szCs w:val="24"/>
        </w:rPr>
        <w:t xml:space="preserve"> hand trowels. Approximately 500 g of soil was obtained from each s</w:t>
      </w:r>
      <w:r w:rsidR="00102C21">
        <w:rPr>
          <w:rFonts w:ascii="Times New Roman" w:eastAsia="Times New Roman" w:hAnsi="Times New Roman" w:cs="Times New Roman"/>
          <w:sz w:val="24"/>
          <w:szCs w:val="24"/>
        </w:rPr>
        <w:t>ampling point, placed in a clean</w:t>
      </w:r>
      <w:r w:rsidRPr="000138CA">
        <w:rPr>
          <w:rFonts w:ascii="Times New Roman" w:eastAsia="Times New Roman" w:hAnsi="Times New Roman" w:cs="Times New Roman"/>
          <w:sz w:val="24"/>
          <w:szCs w:val="24"/>
        </w:rPr>
        <w:t xml:space="preserve"> polyethylene bags, and transported to the </w:t>
      </w:r>
      <w:r w:rsidR="00102C21">
        <w:rPr>
          <w:rFonts w:ascii="Times New Roman" w:eastAsia="Times New Roman" w:hAnsi="Times New Roman" w:cs="Times New Roman"/>
          <w:sz w:val="24"/>
          <w:szCs w:val="24"/>
        </w:rPr>
        <w:t xml:space="preserve">Microbiology </w:t>
      </w:r>
      <w:r w:rsidRPr="000138CA">
        <w:rPr>
          <w:rFonts w:ascii="Times New Roman" w:eastAsia="Times New Roman" w:hAnsi="Times New Roman" w:cs="Times New Roman"/>
          <w:sz w:val="24"/>
          <w:szCs w:val="24"/>
        </w:rPr>
        <w:t xml:space="preserve">laboratory at 4°C for </w:t>
      </w:r>
      <w:r w:rsidR="00102C21">
        <w:rPr>
          <w:rFonts w:ascii="Times New Roman" w:eastAsia="Times New Roman" w:hAnsi="Times New Roman" w:cs="Times New Roman"/>
          <w:sz w:val="24"/>
          <w:szCs w:val="24"/>
        </w:rPr>
        <w:t xml:space="preserve">further </w:t>
      </w:r>
      <w:r w:rsidRPr="000138CA">
        <w:rPr>
          <w:rFonts w:ascii="Times New Roman" w:eastAsia="Times New Roman" w:hAnsi="Times New Roman" w:cs="Times New Roman"/>
          <w:sz w:val="24"/>
          <w:szCs w:val="24"/>
        </w:rPr>
        <w:t>analysis.</w:t>
      </w:r>
    </w:p>
    <w:p w:rsidR="0065272E" w:rsidRPr="00102C21" w:rsidRDefault="00102C21" w:rsidP="000138C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65272E" w:rsidRPr="00102C21">
        <w:rPr>
          <w:rFonts w:ascii="Times New Roman" w:eastAsia="Times New Roman" w:hAnsi="Times New Roman" w:cs="Times New Roman"/>
          <w:b/>
          <w:bCs/>
          <w:sz w:val="24"/>
          <w:szCs w:val="24"/>
        </w:rPr>
        <w:t>Physicochemical Analysis</w:t>
      </w:r>
    </w:p>
    <w:p w:rsidR="0065272E" w:rsidRPr="000138CA" w:rsidRDefault="0065272E" w:rsidP="000138CA">
      <w:pPr>
        <w:spacing w:after="0" w:line="480" w:lineRule="auto"/>
        <w:jc w:val="both"/>
        <w:rPr>
          <w:rFonts w:ascii="Times New Roman" w:eastAsia="Times New Roman" w:hAnsi="Times New Roman" w:cs="Times New Roman"/>
          <w:sz w:val="24"/>
          <w:szCs w:val="24"/>
        </w:rPr>
      </w:pPr>
      <w:r w:rsidRPr="000138CA">
        <w:rPr>
          <w:rFonts w:ascii="Times New Roman" w:eastAsia="Times New Roman" w:hAnsi="Times New Roman" w:cs="Times New Roman"/>
          <w:sz w:val="24"/>
          <w:szCs w:val="24"/>
        </w:rPr>
        <w:t>Soil physicochemical parameters including temperature, pH, electrical conductivity, and moisture content were determined using standard analytical procedures</w:t>
      </w:r>
      <w:r w:rsidR="00B1727A" w:rsidRPr="000138CA">
        <w:rPr>
          <w:rFonts w:ascii="Times New Roman" w:eastAsia="Times New Roman" w:hAnsi="Times New Roman" w:cs="Times New Roman"/>
          <w:sz w:val="24"/>
          <w:szCs w:val="24"/>
        </w:rPr>
        <w:t xml:space="preserve"> </w:t>
      </w:r>
      <w:r w:rsidR="00B1727A" w:rsidRPr="000138CA">
        <w:rPr>
          <w:rFonts w:ascii="Times New Roman" w:hAnsi="Times New Roman" w:cs="Times New Roman"/>
          <w:sz w:val="24"/>
          <w:szCs w:val="24"/>
        </w:rPr>
        <w:t xml:space="preserve">to assess the environmental conditions influencing fungal isolation and </w:t>
      </w:r>
      <w:proofErr w:type="spellStart"/>
      <w:r w:rsidR="00B1727A" w:rsidRPr="000138CA">
        <w:rPr>
          <w:rFonts w:ascii="Times New Roman" w:hAnsi="Times New Roman" w:cs="Times New Roman"/>
          <w:sz w:val="24"/>
          <w:szCs w:val="24"/>
        </w:rPr>
        <w:t>biosurfactant</w:t>
      </w:r>
      <w:proofErr w:type="spellEnd"/>
      <w:r w:rsidR="00B1727A" w:rsidRPr="000138CA">
        <w:rPr>
          <w:rFonts w:ascii="Times New Roman" w:hAnsi="Times New Roman" w:cs="Times New Roman"/>
          <w:sz w:val="24"/>
          <w:szCs w:val="24"/>
        </w:rPr>
        <w:t xml:space="preserve"> production</w:t>
      </w:r>
      <w:r w:rsidR="00421278">
        <w:rPr>
          <w:rFonts w:ascii="Times New Roman" w:eastAsia="Times New Roman" w:hAnsi="Times New Roman" w:cs="Times New Roman"/>
          <w:sz w:val="24"/>
          <w:szCs w:val="24"/>
        </w:rPr>
        <w:t xml:space="preserve"> </w:t>
      </w:r>
      <w:r w:rsidR="00421278" w:rsidRPr="000138CA">
        <w:rPr>
          <w:rFonts w:ascii="Times New Roman" w:hAnsi="Times New Roman" w:cs="Times New Roman"/>
          <w:sz w:val="24"/>
          <w:szCs w:val="24"/>
        </w:rPr>
        <w:t>(</w:t>
      </w:r>
      <w:proofErr w:type="spellStart"/>
      <w:r w:rsidR="00421278" w:rsidRPr="000138CA">
        <w:rPr>
          <w:rFonts w:ascii="Times New Roman" w:hAnsi="Times New Roman" w:cs="Times New Roman"/>
          <w:sz w:val="24"/>
          <w:szCs w:val="24"/>
        </w:rPr>
        <w:t>Aleruchi</w:t>
      </w:r>
      <w:proofErr w:type="spellEnd"/>
      <w:r w:rsidR="00421278" w:rsidRPr="000138CA">
        <w:rPr>
          <w:rFonts w:ascii="Times New Roman" w:hAnsi="Times New Roman" w:cs="Times New Roman"/>
          <w:sz w:val="24"/>
          <w:szCs w:val="24"/>
        </w:rPr>
        <w:t xml:space="preserve"> </w:t>
      </w:r>
      <w:r w:rsidR="00421278" w:rsidRPr="000138CA">
        <w:rPr>
          <w:rFonts w:ascii="Times New Roman" w:hAnsi="Times New Roman" w:cs="Times New Roman"/>
          <w:i/>
          <w:iCs/>
          <w:sz w:val="24"/>
          <w:szCs w:val="24"/>
        </w:rPr>
        <w:t>et al.,</w:t>
      </w:r>
      <w:r w:rsidR="00421278" w:rsidRPr="000138CA">
        <w:rPr>
          <w:rFonts w:ascii="Times New Roman" w:hAnsi="Times New Roman" w:cs="Times New Roman"/>
          <w:sz w:val="24"/>
          <w:szCs w:val="24"/>
        </w:rPr>
        <w:t xml:space="preserve"> 2022; </w:t>
      </w:r>
      <w:proofErr w:type="spellStart"/>
      <w:r w:rsidR="00421278" w:rsidRPr="000138CA">
        <w:rPr>
          <w:rFonts w:ascii="Times New Roman" w:hAnsi="Times New Roman" w:cs="Times New Roman"/>
          <w:sz w:val="24"/>
          <w:szCs w:val="24"/>
        </w:rPr>
        <w:t>Izomor</w:t>
      </w:r>
      <w:proofErr w:type="spellEnd"/>
      <w:r w:rsidR="00421278" w:rsidRPr="000138CA">
        <w:rPr>
          <w:rFonts w:ascii="Times New Roman" w:hAnsi="Times New Roman" w:cs="Times New Roman"/>
          <w:sz w:val="24"/>
          <w:szCs w:val="24"/>
        </w:rPr>
        <w:t xml:space="preserve"> </w:t>
      </w:r>
      <w:r w:rsidR="00421278" w:rsidRPr="000138CA">
        <w:rPr>
          <w:rFonts w:ascii="Times New Roman" w:hAnsi="Times New Roman" w:cs="Times New Roman"/>
          <w:i/>
          <w:iCs/>
          <w:sz w:val="24"/>
          <w:szCs w:val="24"/>
        </w:rPr>
        <w:t>et al.,</w:t>
      </w:r>
      <w:r w:rsidR="00421278" w:rsidRPr="000138CA">
        <w:rPr>
          <w:rFonts w:ascii="Times New Roman" w:hAnsi="Times New Roman" w:cs="Times New Roman"/>
          <w:sz w:val="24"/>
          <w:szCs w:val="24"/>
        </w:rPr>
        <w:t xml:space="preserve"> 2024).</w:t>
      </w:r>
    </w:p>
    <w:p w:rsidR="00905275" w:rsidRPr="00102C21" w:rsidRDefault="00102C21" w:rsidP="000138CA">
      <w:pPr>
        <w:spacing w:after="0" w:line="480" w:lineRule="auto"/>
        <w:jc w:val="both"/>
        <w:rPr>
          <w:rFonts w:ascii="Times New Roman" w:hAnsi="Times New Roman" w:cs="Times New Roman"/>
          <w:b/>
          <w:sz w:val="24"/>
          <w:szCs w:val="24"/>
        </w:rPr>
      </w:pPr>
      <w:bookmarkStart w:id="1" w:name="_Toc213001519"/>
      <w:r>
        <w:rPr>
          <w:rFonts w:ascii="Times New Roman" w:hAnsi="Times New Roman" w:cs="Times New Roman"/>
          <w:b/>
          <w:sz w:val="24"/>
          <w:szCs w:val="24"/>
        </w:rPr>
        <w:t xml:space="preserve">2.2.1 </w:t>
      </w:r>
      <w:r w:rsidR="00905275" w:rsidRPr="00102C21">
        <w:rPr>
          <w:rFonts w:ascii="Times New Roman" w:hAnsi="Times New Roman" w:cs="Times New Roman"/>
          <w:b/>
          <w:sz w:val="24"/>
          <w:szCs w:val="24"/>
        </w:rPr>
        <w:t>Temperature</w:t>
      </w:r>
      <w:bookmarkEnd w:id="1"/>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Soil temperature was measured in situ at the time of sampling using a digital soil thermometer (Hanna Instruments HI98501) inserted to a depth of 5 cm. Readings were taken immediately after exposure to avoid atmospheric influence, and the average of three measurements per site was </w:t>
      </w:r>
      <w:r w:rsidRPr="000138CA">
        <w:rPr>
          <w:rFonts w:ascii="Times New Roman" w:hAnsi="Times New Roman" w:cs="Times New Roman"/>
          <w:sz w:val="24"/>
          <w:szCs w:val="24"/>
        </w:rPr>
        <w:lastRenderedPageBreak/>
        <w:t>recorded. This method aligns with standard on-site determinations for soil microbial studies, where temperature affects hydrocarbon degradation rates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 </w:t>
      </w:r>
      <w:proofErr w:type="spellStart"/>
      <w:r w:rsidRPr="000138CA">
        <w:rPr>
          <w:rFonts w:ascii="Times New Roman" w:hAnsi="Times New Roman" w:cs="Times New Roman"/>
          <w:sz w:val="24"/>
          <w:szCs w:val="24"/>
        </w:rPr>
        <w:t>Izomor</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2024).</w:t>
      </w:r>
    </w:p>
    <w:p w:rsidR="00905275" w:rsidRPr="00102C21" w:rsidRDefault="00102C21" w:rsidP="000138CA">
      <w:pPr>
        <w:spacing w:after="0" w:line="480" w:lineRule="auto"/>
        <w:jc w:val="both"/>
        <w:rPr>
          <w:rFonts w:ascii="Times New Roman" w:hAnsi="Times New Roman" w:cs="Times New Roman"/>
          <w:b/>
          <w:sz w:val="24"/>
          <w:szCs w:val="24"/>
        </w:rPr>
      </w:pPr>
      <w:bookmarkStart w:id="2" w:name="_Toc213001520"/>
      <w:r>
        <w:rPr>
          <w:rFonts w:ascii="Times New Roman" w:hAnsi="Times New Roman" w:cs="Times New Roman"/>
          <w:b/>
          <w:sz w:val="24"/>
          <w:szCs w:val="24"/>
        </w:rPr>
        <w:t xml:space="preserve">2.2.2 </w:t>
      </w:r>
      <w:proofErr w:type="gramStart"/>
      <w:r w:rsidR="00905275" w:rsidRPr="00102C21">
        <w:rPr>
          <w:rFonts w:ascii="Times New Roman" w:hAnsi="Times New Roman" w:cs="Times New Roman"/>
          <w:b/>
          <w:sz w:val="24"/>
          <w:szCs w:val="24"/>
        </w:rPr>
        <w:t>pH</w:t>
      </w:r>
      <w:bookmarkEnd w:id="2"/>
      <w:proofErr w:type="gramEnd"/>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Soil pH was determined using the electrometric method in a 1:2.5 soil-water suspension. Ten grams of air-dried soil (&lt;2 mm sieve) were mixed with 25 mL of distilled water, stirred for 30 minutes, and allowed to settle for 1 hour. The pH was measured using a calibrated glass electrode pH meter standardized with buffer solutions of pH 4.0 and 7.0. This protocol follows EPA Method 9045D for soil pH analysis (U.S. Environmental Protection Agency, 2000) and is consistent with measurements in contaminated soils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w:t>
      </w:r>
    </w:p>
    <w:p w:rsidR="00905275" w:rsidRPr="00102C21" w:rsidRDefault="00102C21" w:rsidP="000138CA">
      <w:pPr>
        <w:spacing w:after="0" w:line="480" w:lineRule="auto"/>
        <w:jc w:val="both"/>
        <w:rPr>
          <w:rFonts w:ascii="Times New Roman" w:hAnsi="Times New Roman" w:cs="Times New Roman"/>
          <w:b/>
          <w:sz w:val="24"/>
          <w:szCs w:val="24"/>
        </w:rPr>
      </w:pPr>
      <w:bookmarkStart w:id="3" w:name="_Toc213001521"/>
      <w:r>
        <w:rPr>
          <w:rFonts w:ascii="Times New Roman" w:hAnsi="Times New Roman" w:cs="Times New Roman"/>
          <w:b/>
          <w:sz w:val="24"/>
          <w:szCs w:val="24"/>
        </w:rPr>
        <w:t xml:space="preserve">2.2.3 </w:t>
      </w:r>
      <w:r w:rsidR="00905275" w:rsidRPr="00102C21">
        <w:rPr>
          <w:rFonts w:ascii="Times New Roman" w:hAnsi="Times New Roman" w:cs="Times New Roman"/>
          <w:b/>
          <w:sz w:val="24"/>
          <w:szCs w:val="24"/>
        </w:rPr>
        <w:t>Moisture</w:t>
      </w:r>
      <w:bookmarkEnd w:id="3"/>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Soil moisture content was assessed gravimetrically. Five grams of fresh soil were weighed into a pre-weighed aluminum dish and oven-dried at 105°C for 24 hours until constant weight was achieved. The moisture content was calculated as:</w:t>
      </w:r>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Moisture (%) = [(Wet weight - Dry weight) / Wet weight] × 100</w:t>
      </w:r>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This standard oven-drying method is widely used for soil moisture determination in microbial ecology studies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w:t>
      </w:r>
    </w:p>
    <w:p w:rsidR="00905275" w:rsidRPr="00102C21" w:rsidRDefault="00102C21" w:rsidP="000138CA">
      <w:pPr>
        <w:spacing w:after="0" w:line="480" w:lineRule="auto"/>
        <w:jc w:val="both"/>
        <w:rPr>
          <w:rFonts w:ascii="Times New Roman" w:hAnsi="Times New Roman" w:cs="Times New Roman"/>
          <w:b/>
          <w:sz w:val="24"/>
          <w:szCs w:val="24"/>
        </w:rPr>
      </w:pPr>
      <w:bookmarkStart w:id="4" w:name="_Toc213001522"/>
      <w:r w:rsidRPr="00102C21">
        <w:rPr>
          <w:rFonts w:ascii="Times New Roman" w:hAnsi="Times New Roman" w:cs="Times New Roman"/>
          <w:b/>
          <w:sz w:val="24"/>
          <w:szCs w:val="24"/>
        </w:rPr>
        <w:t xml:space="preserve">2.2.4 </w:t>
      </w:r>
      <w:r w:rsidR="00905275" w:rsidRPr="00102C21">
        <w:rPr>
          <w:rFonts w:ascii="Times New Roman" w:hAnsi="Times New Roman" w:cs="Times New Roman"/>
          <w:b/>
          <w:sz w:val="24"/>
          <w:szCs w:val="24"/>
        </w:rPr>
        <w:t>Electrical Conductivity</w:t>
      </w:r>
      <w:bookmarkEnd w:id="4"/>
    </w:p>
    <w:p w:rsidR="00905275" w:rsidRPr="000138CA" w:rsidRDefault="00905275"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Electrical conductivity (EC) was measured in a 1:5 soil-water suspension. Ten grams of air-dried soil were mixed with 50 mL of distilled water, shaken for 1 hour, and allowed to settle. The supernatant was analyzed using a calibrated conductivity meter (Hanna Instruments HI8733) at 25°C. Results were expressed in </w:t>
      </w:r>
      <w:proofErr w:type="spellStart"/>
      <w:r w:rsidRPr="000138CA">
        <w:rPr>
          <w:rFonts w:ascii="Times New Roman" w:hAnsi="Times New Roman" w:cs="Times New Roman"/>
          <w:sz w:val="24"/>
          <w:szCs w:val="24"/>
        </w:rPr>
        <w:t>dS</w:t>
      </w:r>
      <w:proofErr w:type="spellEnd"/>
      <w:r w:rsidRPr="000138CA">
        <w:rPr>
          <w:rFonts w:ascii="Times New Roman" w:hAnsi="Times New Roman" w:cs="Times New Roman"/>
          <w:sz w:val="24"/>
          <w:szCs w:val="24"/>
        </w:rPr>
        <w:t xml:space="preserve">/m, with corrections for temperature if needed (EC decreases by approximately 2.2% per °C below 25°C). This procedure follows the FAO GLOSOLAN </w:t>
      </w:r>
      <w:r w:rsidRPr="000138CA">
        <w:rPr>
          <w:rFonts w:ascii="Times New Roman" w:hAnsi="Times New Roman" w:cs="Times New Roman"/>
          <w:sz w:val="24"/>
          <w:szCs w:val="24"/>
        </w:rPr>
        <w:lastRenderedPageBreak/>
        <w:t>standard operating procedure for soil EC (Food and Agriculture Organization, 2021) and is applied in hydrocarbon-polluted soil assessments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w:t>
      </w:r>
    </w:p>
    <w:p w:rsidR="0065272E" w:rsidRPr="006B115C" w:rsidRDefault="006B115C" w:rsidP="000138C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0065272E" w:rsidRPr="006B115C">
        <w:rPr>
          <w:rFonts w:ascii="Times New Roman" w:eastAsia="Times New Roman" w:hAnsi="Times New Roman" w:cs="Times New Roman"/>
          <w:b/>
          <w:bCs/>
          <w:sz w:val="24"/>
          <w:szCs w:val="24"/>
        </w:rPr>
        <w:t>Isolation and Identification of Fungi</w:t>
      </w:r>
    </w:p>
    <w:p w:rsidR="00B1727A" w:rsidRPr="006B115C" w:rsidRDefault="006B115C" w:rsidP="000138CA">
      <w:pPr>
        <w:spacing w:after="0" w:line="480" w:lineRule="auto"/>
        <w:jc w:val="both"/>
        <w:rPr>
          <w:rFonts w:ascii="Times New Roman" w:hAnsi="Times New Roman" w:cs="Times New Roman"/>
          <w:b/>
          <w:sz w:val="24"/>
          <w:szCs w:val="24"/>
        </w:rPr>
      </w:pPr>
      <w:bookmarkStart w:id="5" w:name="_Toc213001526"/>
      <w:r>
        <w:rPr>
          <w:rFonts w:ascii="Times New Roman" w:hAnsi="Times New Roman" w:cs="Times New Roman"/>
          <w:b/>
          <w:sz w:val="24"/>
          <w:szCs w:val="24"/>
        </w:rPr>
        <w:t>2.3.1</w:t>
      </w:r>
      <w:r w:rsidR="00B1727A" w:rsidRPr="006B115C">
        <w:rPr>
          <w:rFonts w:ascii="Times New Roman" w:hAnsi="Times New Roman" w:cs="Times New Roman"/>
          <w:b/>
          <w:sz w:val="24"/>
          <w:szCs w:val="24"/>
        </w:rPr>
        <w:t xml:space="preserve"> Sample Collection and Preparation</w:t>
      </w:r>
      <w:bookmarkEnd w:id="5"/>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Soil (25g) was suspended into a conical flask containing 225ml of sterile distilled. The mixture was </w:t>
      </w:r>
      <w:proofErr w:type="spellStart"/>
      <w:r w:rsidRPr="000138CA">
        <w:rPr>
          <w:rFonts w:ascii="Times New Roman" w:hAnsi="Times New Roman" w:cs="Times New Roman"/>
          <w:sz w:val="24"/>
          <w:szCs w:val="24"/>
        </w:rPr>
        <w:t>vortexed</w:t>
      </w:r>
      <w:proofErr w:type="spellEnd"/>
      <w:r w:rsidRPr="000138CA">
        <w:rPr>
          <w:rFonts w:ascii="Times New Roman" w:hAnsi="Times New Roman" w:cs="Times New Roman"/>
          <w:sz w:val="24"/>
          <w:szCs w:val="24"/>
        </w:rPr>
        <w:t xml:space="preserve"> to homogenize the suspension. Fur</w:t>
      </w:r>
      <w:r w:rsidR="006B115C">
        <w:rPr>
          <w:rFonts w:ascii="Times New Roman" w:hAnsi="Times New Roman" w:cs="Times New Roman"/>
          <w:sz w:val="24"/>
          <w:szCs w:val="24"/>
        </w:rPr>
        <w:t>ther serial dilutions up to 10⁻</w:t>
      </w:r>
      <w:r w:rsidR="006B115C" w:rsidRPr="006B115C">
        <w:rPr>
          <w:rFonts w:ascii="Times New Roman" w:hAnsi="Times New Roman" w:cs="Times New Roman"/>
          <w:sz w:val="24"/>
          <w:szCs w:val="24"/>
          <w:vertAlign w:val="superscript"/>
        </w:rPr>
        <w:t>4</w:t>
      </w:r>
      <w:r w:rsidRPr="000138CA">
        <w:rPr>
          <w:rFonts w:ascii="Times New Roman" w:hAnsi="Times New Roman" w:cs="Times New Roman"/>
          <w:sz w:val="24"/>
          <w:szCs w:val="24"/>
        </w:rPr>
        <w:t xml:space="preserve"> were prepared as described by Christopher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(2021).</w:t>
      </w:r>
    </w:p>
    <w:p w:rsidR="00B1727A" w:rsidRPr="006B115C" w:rsidRDefault="006B115C" w:rsidP="000138CA">
      <w:pPr>
        <w:spacing w:after="0" w:line="480" w:lineRule="auto"/>
        <w:jc w:val="both"/>
        <w:rPr>
          <w:rFonts w:ascii="Times New Roman" w:hAnsi="Times New Roman" w:cs="Times New Roman"/>
          <w:b/>
          <w:sz w:val="24"/>
          <w:szCs w:val="24"/>
        </w:rPr>
      </w:pPr>
      <w:bookmarkStart w:id="6" w:name="_Toc213001527"/>
      <w:r>
        <w:rPr>
          <w:rFonts w:ascii="Times New Roman" w:hAnsi="Times New Roman" w:cs="Times New Roman"/>
          <w:b/>
          <w:sz w:val="24"/>
          <w:szCs w:val="24"/>
        </w:rPr>
        <w:t>2.3.2</w:t>
      </w:r>
      <w:r w:rsidR="00B1727A" w:rsidRPr="006B115C">
        <w:rPr>
          <w:rFonts w:ascii="Times New Roman" w:hAnsi="Times New Roman" w:cs="Times New Roman"/>
          <w:b/>
          <w:sz w:val="24"/>
          <w:szCs w:val="24"/>
        </w:rPr>
        <w:t xml:space="preserve"> Isolation of Total Heterotrophic Fungi</w:t>
      </w:r>
      <w:bookmarkEnd w:id="6"/>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Aliquots (0.1 ml) from the 10⁻² and 10⁻³ dilutions were aseptically inoculated onto PDA plates supplemented with chloramphenicol (250 mg L⁻¹) to suppress bacterial growth. The inoculum was spread evenly using a sterile glass rod. Plates were incubated at 25–28°C for 5–7 days. After incubation, distinct colonies were counted and recorded as colony-forming units (CFU/g soil) (Christopher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2021). Pure isolates were obtained by sub-culturing onto fresh PDA plates.</w:t>
      </w:r>
    </w:p>
    <w:p w:rsidR="00B1727A" w:rsidRPr="006B115C" w:rsidRDefault="006B115C" w:rsidP="000138CA">
      <w:pPr>
        <w:spacing w:after="0" w:line="480" w:lineRule="auto"/>
        <w:jc w:val="both"/>
        <w:rPr>
          <w:rFonts w:ascii="Times New Roman" w:hAnsi="Times New Roman" w:cs="Times New Roman"/>
          <w:b/>
          <w:sz w:val="24"/>
          <w:szCs w:val="24"/>
        </w:rPr>
      </w:pPr>
      <w:bookmarkStart w:id="7" w:name="_Toc213001528"/>
      <w:r>
        <w:rPr>
          <w:rFonts w:ascii="Times New Roman" w:hAnsi="Times New Roman" w:cs="Times New Roman"/>
          <w:b/>
          <w:sz w:val="24"/>
          <w:szCs w:val="24"/>
        </w:rPr>
        <w:t>2.3.3</w:t>
      </w:r>
      <w:r w:rsidR="00B1727A" w:rsidRPr="006B115C">
        <w:rPr>
          <w:rFonts w:ascii="Times New Roman" w:hAnsi="Times New Roman" w:cs="Times New Roman"/>
          <w:b/>
          <w:sz w:val="24"/>
          <w:szCs w:val="24"/>
        </w:rPr>
        <w:t xml:space="preserve"> Identification of Fungal Isolates</w:t>
      </w:r>
      <w:bookmarkEnd w:id="7"/>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Fungal isolates were identified based on macroscopic and microscopic characteristics. Colony morphology, </w:t>
      </w:r>
      <w:proofErr w:type="spellStart"/>
      <w:r w:rsidRPr="000138CA">
        <w:rPr>
          <w:rFonts w:ascii="Times New Roman" w:hAnsi="Times New Roman" w:cs="Times New Roman"/>
          <w:sz w:val="24"/>
          <w:szCs w:val="24"/>
        </w:rPr>
        <w:t>colour</w:t>
      </w:r>
      <w:proofErr w:type="spellEnd"/>
      <w:r w:rsidRPr="000138CA">
        <w:rPr>
          <w:rFonts w:ascii="Times New Roman" w:hAnsi="Times New Roman" w:cs="Times New Roman"/>
          <w:sz w:val="24"/>
          <w:szCs w:val="24"/>
        </w:rPr>
        <w:t xml:space="preserve">, texture, and sporulation were examined on PDA. Microscopic identification was done using </w:t>
      </w:r>
      <w:proofErr w:type="spellStart"/>
      <w:r w:rsidRPr="000138CA">
        <w:rPr>
          <w:rFonts w:ascii="Times New Roman" w:hAnsi="Times New Roman" w:cs="Times New Roman"/>
          <w:sz w:val="24"/>
          <w:szCs w:val="24"/>
        </w:rPr>
        <w:t>Lactophenol</w:t>
      </w:r>
      <w:proofErr w:type="spellEnd"/>
      <w:r w:rsidRPr="000138CA">
        <w:rPr>
          <w:rFonts w:ascii="Times New Roman" w:hAnsi="Times New Roman" w:cs="Times New Roman"/>
          <w:sz w:val="24"/>
          <w:szCs w:val="24"/>
        </w:rPr>
        <w:t xml:space="preserve"> Cotton Blue (LPCB) staining as described by Sarah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(2016). A small portion of aerial mycelium was mounted on LPCB, covered with a cover slip, and examine</w:t>
      </w:r>
      <w:r w:rsidR="00E653F9">
        <w:rPr>
          <w:rFonts w:ascii="Times New Roman" w:hAnsi="Times New Roman" w:cs="Times New Roman"/>
          <w:sz w:val="24"/>
          <w:szCs w:val="24"/>
        </w:rPr>
        <w:t xml:space="preserve">d under ×10 and ×40 objectives. </w:t>
      </w:r>
      <w:r w:rsidR="00E653F9" w:rsidRPr="000138CA">
        <w:rPr>
          <w:rFonts w:ascii="Times New Roman" w:hAnsi="Times New Roman" w:cs="Times New Roman"/>
          <w:sz w:val="24"/>
          <w:szCs w:val="24"/>
        </w:rPr>
        <w:t xml:space="preserve">Identification of fungal isolates was performed based on macroscopic and microscopic characteristics. Macroscopic observations included colony </w:t>
      </w:r>
      <w:proofErr w:type="spellStart"/>
      <w:r w:rsidR="00E653F9" w:rsidRPr="000138CA">
        <w:rPr>
          <w:rFonts w:ascii="Times New Roman" w:hAnsi="Times New Roman" w:cs="Times New Roman"/>
          <w:sz w:val="24"/>
          <w:szCs w:val="24"/>
        </w:rPr>
        <w:t>colour</w:t>
      </w:r>
      <w:proofErr w:type="spellEnd"/>
      <w:r w:rsidR="00E653F9" w:rsidRPr="000138CA">
        <w:rPr>
          <w:rFonts w:ascii="Times New Roman" w:hAnsi="Times New Roman" w:cs="Times New Roman"/>
          <w:sz w:val="24"/>
          <w:szCs w:val="24"/>
        </w:rPr>
        <w:t xml:space="preserve">, texture, and growth rate, while microscopic analysis involved examining </w:t>
      </w:r>
      <w:proofErr w:type="spellStart"/>
      <w:r w:rsidR="00E653F9" w:rsidRPr="000138CA">
        <w:rPr>
          <w:rFonts w:ascii="Times New Roman" w:hAnsi="Times New Roman" w:cs="Times New Roman"/>
          <w:sz w:val="24"/>
          <w:szCs w:val="24"/>
        </w:rPr>
        <w:t>hyphal</w:t>
      </w:r>
      <w:proofErr w:type="spellEnd"/>
      <w:r w:rsidR="00E653F9" w:rsidRPr="000138CA">
        <w:rPr>
          <w:rFonts w:ascii="Times New Roman" w:hAnsi="Times New Roman" w:cs="Times New Roman"/>
          <w:sz w:val="24"/>
          <w:szCs w:val="24"/>
        </w:rPr>
        <w:t xml:space="preserve"> structures, spore morphology, and conidial arrangemen</w:t>
      </w:r>
      <w:r w:rsidR="00E653F9">
        <w:rPr>
          <w:rFonts w:ascii="Times New Roman" w:hAnsi="Times New Roman" w:cs="Times New Roman"/>
          <w:sz w:val="24"/>
          <w:szCs w:val="24"/>
        </w:rPr>
        <w:t xml:space="preserve">ts under a compound microscope </w:t>
      </w:r>
      <w:r w:rsidRPr="000138CA">
        <w:rPr>
          <w:rFonts w:ascii="Times New Roman" w:hAnsi="Times New Roman" w:cs="Times New Roman"/>
          <w:sz w:val="24"/>
          <w:szCs w:val="24"/>
        </w:rPr>
        <w:t xml:space="preserve">using standard taxonomic </w:t>
      </w:r>
      <w:r w:rsidRPr="000138CA">
        <w:rPr>
          <w:rFonts w:ascii="Times New Roman" w:hAnsi="Times New Roman" w:cs="Times New Roman"/>
          <w:sz w:val="24"/>
          <w:szCs w:val="24"/>
        </w:rPr>
        <w:lastRenderedPageBreak/>
        <w:t xml:space="preserve">keys (Sarah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2016; George-</w:t>
      </w:r>
      <w:proofErr w:type="spellStart"/>
      <w:r w:rsidRPr="000138CA">
        <w:rPr>
          <w:rFonts w:ascii="Times New Roman" w:hAnsi="Times New Roman" w:cs="Times New Roman"/>
          <w:sz w:val="24"/>
          <w:szCs w:val="24"/>
        </w:rPr>
        <w:t>Okafor</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000B7749">
        <w:rPr>
          <w:rFonts w:ascii="Times New Roman" w:hAnsi="Times New Roman" w:cs="Times New Roman"/>
          <w:sz w:val="24"/>
          <w:szCs w:val="24"/>
        </w:rPr>
        <w:t xml:space="preserve"> 2009) and </w:t>
      </w:r>
      <w:proofErr w:type="spellStart"/>
      <w:r w:rsidR="000B7749" w:rsidRPr="000138CA">
        <w:rPr>
          <w:rFonts w:ascii="Times New Roman" w:hAnsi="Times New Roman" w:cs="Times New Roman"/>
          <w:sz w:val="24"/>
          <w:szCs w:val="24"/>
        </w:rPr>
        <w:t>and</w:t>
      </w:r>
      <w:proofErr w:type="spellEnd"/>
      <w:r w:rsidR="000B7749" w:rsidRPr="000138CA">
        <w:rPr>
          <w:rFonts w:ascii="Times New Roman" w:hAnsi="Times New Roman" w:cs="Times New Roman"/>
          <w:sz w:val="24"/>
          <w:szCs w:val="24"/>
        </w:rPr>
        <w:t xml:space="preserve"> compared with identification manuals such as Descriptions of Medical Fungi by Sarah </w:t>
      </w:r>
      <w:r w:rsidR="000B7749" w:rsidRPr="000138CA">
        <w:rPr>
          <w:rFonts w:ascii="Times New Roman" w:hAnsi="Times New Roman" w:cs="Times New Roman"/>
          <w:i/>
          <w:iCs/>
          <w:sz w:val="24"/>
          <w:szCs w:val="24"/>
        </w:rPr>
        <w:t>et al.,</w:t>
      </w:r>
      <w:r w:rsidR="000B7749" w:rsidRPr="000138CA">
        <w:rPr>
          <w:rFonts w:ascii="Times New Roman" w:hAnsi="Times New Roman" w:cs="Times New Roman"/>
          <w:sz w:val="24"/>
          <w:szCs w:val="24"/>
        </w:rPr>
        <w:t xml:space="preserve"> (2016).</w:t>
      </w:r>
    </w:p>
    <w:p w:rsidR="007E7A91" w:rsidRPr="007E7A91" w:rsidRDefault="00E653F9" w:rsidP="000138CA">
      <w:pPr>
        <w:spacing w:after="0" w:line="480" w:lineRule="auto"/>
        <w:jc w:val="both"/>
        <w:rPr>
          <w:rFonts w:ascii="Times New Roman" w:hAnsi="Times New Roman" w:cs="Times New Roman"/>
          <w:b/>
          <w:sz w:val="24"/>
          <w:szCs w:val="24"/>
        </w:rPr>
      </w:pPr>
      <w:bookmarkStart w:id="8" w:name="_Toc213001530"/>
      <w:r w:rsidRPr="007E7A91">
        <w:rPr>
          <w:rFonts w:ascii="Times New Roman" w:hAnsi="Times New Roman" w:cs="Times New Roman"/>
          <w:b/>
          <w:sz w:val="24"/>
          <w:szCs w:val="24"/>
        </w:rPr>
        <w:t>2</w:t>
      </w:r>
      <w:r w:rsidR="00B1727A" w:rsidRPr="007E7A91">
        <w:rPr>
          <w:rFonts w:ascii="Times New Roman" w:hAnsi="Times New Roman" w:cs="Times New Roman"/>
          <w:b/>
          <w:sz w:val="24"/>
          <w:szCs w:val="24"/>
        </w:rPr>
        <w:t xml:space="preserve">.4 </w:t>
      </w:r>
      <w:bookmarkEnd w:id="8"/>
      <w:r w:rsidR="007E7A91">
        <w:rPr>
          <w:rFonts w:ascii="Times New Roman" w:hAnsi="Times New Roman" w:cs="Times New Roman"/>
          <w:b/>
          <w:sz w:val="24"/>
          <w:szCs w:val="24"/>
        </w:rPr>
        <w:t xml:space="preserve">Screening of </w:t>
      </w:r>
      <w:proofErr w:type="spellStart"/>
      <w:r w:rsidR="007E7A91">
        <w:rPr>
          <w:rFonts w:ascii="Times New Roman" w:hAnsi="Times New Roman" w:cs="Times New Roman"/>
          <w:b/>
          <w:sz w:val="24"/>
          <w:szCs w:val="24"/>
        </w:rPr>
        <w:t>Biosurfactant</w:t>
      </w:r>
      <w:proofErr w:type="spellEnd"/>
      <w:r w:rsidR="007E7A91">
        <w:rPr>
          <w:rFonts w:ascii="Times New Roman" w:hAnsi="Times New Roman" w:cs="Times New Roman"/>
          <w:b/>
          <w:sz w:val="24"/>
          <w:szCs w:val="24"/>
        </w:rPr>
        <w:t>-Producing F</w:t>
      </w:r>
      <w:r w:rsidR="007E7A91" w:rsidRPr="007E7A91">
        <w:rPr>
          <w:rFonts w:ascii="Times New Roman" w:hAnsi="Times New Roman" w:cs="Times New Roman"/>
          <w:b/>
          <w:sz w:val="24"/>
          <w:szCs w:val="24"/>
        </w:rPr>
        <w:t xml:space="preserve">ungi </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screening of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-producing fungi was conducted using Potato Dextrose Broth (PDB) as the basal medium, amended with diesel (20 g L⁻¹) as the carbon source and yeast extract (10 g L⁻¹) as the nitrogen source. Erlenmeyer flasks (125 mL) containing 25 mL of this medium were inoculated with fungal spores at a final concentration of 1 × 10⁴ spores mL⁻¹. The flasks were incubated without shaking at room temperature (25 ± 2°C) for 7 days, after which the cultures were filtered using quantitative filter paper (pore size 28 </w:t>
      </w:r>
      <w:proofErr w:type="spellStart"/>
      <w:r w:rsidRPr="000138CA">
        <w:rPr>
          <w:rFonts w:ascii="Times New Roman" w:hAnsi="Times New Roman" w:cs="Times New Roman"/>
          <w:sz w:val="24"/>
          <w:szCs w:val="24"/>
        </w:rPr>
        <w:t>μm</w:t>
      </w:r>
      <w:proofErr w:type="spellEnd"/>
      <w:r w:rsidRPr="000138CA">
        <w:rPr>
          <w:rFonts w:ascii="Times New Roman" w:hAnsi="Times New Roman" w:cs="Times New Roman"/>
          <w:sz w:val="24"/>
          <w:szCs w:val="24"/>
        </w:rPr>
        <w:t>) to remove fungal biomass, yielding a cell-free filtrate.</w:t>
      </w:r>
      <w:r w:rsidR="00E653F9">
        <w:rPr>
          <w:rFonts w:ascii="Times New Roman" w:hAnsi="Times New Roman" w:cs="Times New Roman"/>
          <w:sz w:val="24"/>
          <w:szCs w:val="24"/>
        </w:rPr>
        <w:t xml:space="preserv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production was assessed using three screeni</w:t>
      </w:r>
      <w:r w:rsidR="00E653F9">
        <w:rPr>
          <w:rFonts w:ascii="Times New Roman" w:hAnsi="Times New Roman" w:cs="Times New Roman"/>
          <w:sz w:val="24"/>
          <w:szCs w:val="24"/>
        </w:rPr>
        <w:t>ng methods;</w:t>
      </w:r>
      <w:r w:rsidRPr="000138CA">
        <w:rPr>
          <w:rFonts w:ascii="Times New Roman" w:hAnsi="Times New Roman" w:cs="Times New Roman"/>
          <w:sz w:val="24"/>
          <w:szCs w:val="24"/>
        </w:rPr>
        <w:t xml:space="preserve"> the oil spreading assay, the drop collapse test, and the emulsification index (E24). These met</w:t>
      </w:r>
      <w:r w:rsidR="00EE676F">
        <w:rPr>
          <w:rFonts w:ascii="Times New Roman" w:hAnsi="Times New Roman" w:cs="Times New Roman"/>
          <w:sz w:val="24"/>
          <w:szCs w:val="24"/>
        </w:rPr>
        <w:t xml:space="preserve">hods were adapted from </w:t>
      </w:r>
      <w:r w:rsidRPr="000138CA">
        <w:rPr>
          <w:rFonts w:ascii="Times New Roman" w:hAnsi="Times New Roman" w:cs="Times New Roman"/>
          <w:sz w:val="24"/>
          <w:szCs w:val="24"/>
        </w:rPr>
        <w:t xml:space="preserve">Cameron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(1988); </w:t>
      </w:r>
      <w:proofErr w:type="spellStart"/>
      <w:r w:rsidRPr="000138CA">
        <w:rPr>
          <w:rFonts w:ascii="Times New Roman" w:hAnsi="Times New Roman" w:cs="Times New Roman"/>
          <w:sz w:val="24"/>
          <w:szCs w:val="24"/>
        </w:rPr>
        <w:t>Bodour</w:t>
      </w:r>
      <w:proofErr w:type="spellEnd"/>
      <w:r w:rsidRPr="000138CA">
        <w:rPr>
          <w:rFonts w:ascii="Times New Roman" w:hAnsi="Times New Roman" w:cs="Times New Roman"/>
          <w:sz w:val="24"/>
          <w:szCs w:val="24"/>
        </w:rPr>
        <w:t xml:space="preserve"> and Miller-Maier (1998) respectively, to evaluate the surface-active properties of the fungal filtrates.</w:t>
      </w:r>
    </w:p>
    <w:p w:rsidR="00B1727A" w:rsidRPr="000138CA" w:rsidRDefault="00E653F9" w:rsidP="000138CA">
      <w:pPr>
        <w:spacing w:after="0" w:line="480" w:lineRule="auto"/>
        <w:jc w:val="both"/>
        <w:rPr>
          <w:rFonts w:ascii="Times New Roman" w:hAnsi="Times New Roman" w:cs="Times New Roman"/>
          <w:sz w:val="24"/>
          <w:szCs w:val="24"/>
        </w:rPr>
      </w:pPr>
      <w:r w:rsidRPr="00E653F9">
        <w:rPr>
          <w:rFonts w:ascii="Times New Roman" w:hAnsi="Times New Roman" w:cs="Times New Roman"/>
          <w:b/>
          <w:sz w:val="24"/>
          <w:szCs w:val="24"/>
        </w:rPr>
        <w:t>2.4.1</w:t>
      </w:r>
      <w:r w:rsidR="00B1727A" w:rsidRPr="00E653F9">
        <w:rPr>
          <w:rFonts w:ascii="Times New Roman" w:hAnsi="Times New Roman" w:cs="Times New Roman"/>
          <w:b/>
          <w:sz w:val="24"/>
          <w:szCs w:val="24"/>
        </w:rPr>
        <w:t xml:space="preserve"> Oil Spreading Assay:</w:t>
      </w:r>
      <w:r w:rsidR="00B1727A" w:rsidRPr="000138CA">
        <w:rPr>
          <w:rFonts w:ascii="Times New Roman" w:hAnsi="Times New Roman" w:cs="Times New Roman"/>
          <w:sz w:val="24"/>
          <w:szCs w:val="24"/>
        </w:rPr>
        <w:t xml:space="preserve"> This assay was performed by adding 40 mL of distilled water to a Petri dish, followed by the gentle addition of 20 </w:t>
      </w:r>
      <w:proofErr w:type="spellStart"/>
      <w:r w:rsidR="00B1727A" w:rsidRPr="000138CA">
        <w:rPr>
          <w:rFonts w:ascii="Times New Roman" w:hAnsi="Times New Roman" w:cs="Times New Roman"/>
          <w:sz w:val="24"/>
          <w:szCs w:val="24"/>
        </w:rPr>
        <w:t>μL</w:t>
      </w:r>
      <w:proofErr w:type="spellEnd"/>
      <w:r w:rsidR="00B1727A" w:rsidRPr="000138CA">
        <w:rPr>
          <w:rFonts w:ascii="Times New Roman" w:hAnsi="Times New Roman" w:cs="Times New Roman"/>
          <w:sz w:val="24"/>
          <w:szCs w:val="24"/>
        </w:rPr>
        <w:t xml:space="preserve"> of diesel oil to form a thin layer on the surface. Subsequently, 10 </w:t>
      </w:r>
      <w:proofErr w:type="spellStart"/>
      <w:r w:rsidR="00B1727A" w:rsidRPr="000138CA">
        <w:rPr>
          <w:rFonts w:ascii="Times New Roman" w:hAnsi="Times New Roman" w:cs="Times New Roman"/>
          <w:sz w:val="24"/>
          <w:szCs w:val="24"/>
        </w:rPr>
        <w:t>μL</w:t>
      </w:r>
      <w:proofErr w:type="spellEnd"/>
      <w:r w:rsidR="00B1727A" w:rsidRPr="000138CA">
        <w:rPr>
          <w:rFonts w:ascii="Times New Roman" w:hAnsi="Times New Roman" w:cs="Times New Roman"/>
          <w:sz w:val="24"/>
          <w:szCs w:val="24"/>
        </w:rPr>
        <w:t xml:space="preserve"> of the cell-free filtrate was placed onto the oil surface. The diameter of the clear zone formed due to the displacement of oil by the </w:t>
      </w:r>
      <w:proofErr w:type="spellStart"/>
      <w:r w:rsidR="00B1727A" w:rsidRPr="000138CA">
        <w:rPr>
          <w:rFonts w:ascii="Times New Roman" w:hAnsi="Times New Roman" w:cs="Times New Roman"/>
          <w:sz w:val="24"/>
          <w:szCs w:val="24"/>
        </w:rPr>
        <w:t>biosurfactant</w:t>
      </w:r>
      <w:proofErr w:type="spellEnd"/>
      <w:r w:rsidR="00B1727A" w:rsidRPr="000138CA">
        <w:rPr>
          <w:rFonts w:ascii="Times New Roman" w:hAnsi="Times New Roman" w:cs="Times New Roman"/>
          <w:sz w:val="24"/>
          <w:szCs w:val="24"/>
        </w:rPr>
        <w:t xml:space="preserve"> was measured in millimeters. A larger clear zone indicated higher </w:t>
      </w:r>
      <w:proofErr w:type="spellStart"/>
      <w:r w:rsidR="00B1727A" w:rsidRPr="000138CA">
        <w:rPr>
          <w:rFonts w:ascii="Times New Roman" w:hAnsi="Times New Roman" w:cs="Times New Roman"/>
          <w:sz w:val="24"/>
          <w:szCs w:val="24"/>
        </w:rPr>
        <w:t>biosurfactant</w:t>
      </w:r>
      <w:proofErr w:type="spellEnd"/>
      <w:r w:rsidR="00B1727A" w:rsidRPr="000138CA">
        <w:rPr>
          <w:rFonts w:ascii="Times New Roman" w:hAnsi="Times New Roman" w:cs="Times New Roman"/>
          <w:sz w:val="24"/>
          <w:szCs w:val="24"/>
        </w:rPr>
        <w:t xml:space="preserve"> activity, with distilled water serving as a negative control and Sodium Dodecyl Sulfate (SDS) at 25% as a positive control.</w:t>
      </w:r>
    </w:p>
    <w:p w:rsidR="00B1727A" w:rsidRPr="000138CA" w:rsidRDefault="00E653F9" w:rsidP="000138CA">
      <w:pPr>
        <w:spacing w:after="0" w:line="480" w:lineRule="auto"/>
        <w:jc w:val="both"/>
        <w:rPr>
          <w:rFonts w:ascii="Times New Roman" w:hAnsi="Times New Roman" w:cs="Times New Roman"/>
          <w:sz w:val="24"/>
          <w:szCs w:val="24"/>
        </w:rPr>
      </w:pPr>
      <w:r w:rsidRPr="00E653F9">
        <w:rPr>
          <w:rFonts w:ascii="Times New Roman" w:hAnsi="Times New Roman" w:cs="Times New Roman"/>
          <w:b/>
          <w:sz w:val="24"/>
          <w:szCs w:val="24"/>
        </w:rPr>
        <w:t>2.4.2</w:t>
      </w:r>
      <w:r w:rsidR="00B1727A" w:rsidRPr="00E653F9">
        <w:rPr>
          <w:rFonts w:ascii="Times New Roman" w:hAnsi="Times New Roman" w:cs="Times New Roman"/>
          <w:b/>
          <w:sz w:val="24"/>
          <w:szCs w:val="24"/>
        </w:rPr>
        <w:t xml:space="preserve"> Drop Collapse Test:</w:t>
      </w:r>
      <w:r w:rsidR="00B1727A" w:rsidRPr="000138CA">
        <w:rPr>
          <w:rFonts w:ascii="Times New Roman" w:hAnsi="Times New Roman" w:cs="Times New Roman"/>
          <w:sz w:val="24"/>
          <w:szCs w:val="24"/>
        </w:rPr>
        <w:t xml:space="preserve"> A polystyrene 96-well </w:t>
      </w:r>
      <w:proofErr w:type="spellStart"/>
      <w:r w:rsidR="00B1727A" w:rsidRPr="000138CA">
        <w:rPr>
          <w:rFonts w:ascii="Times New Roman" w:hAnsi="Times New Roman" w:cs="Times New Roman"/>
          <w:sz w:val="24"/>
          <w:szCs w:val="24"/>
        </w:rPr>
        <w:t>microplate</w:t>
      </w:r>
      <w:proofErr w:type="spellEnd"/>
      <w:r w:rsidR="00B1727A" w:rsidRPr="000138CA">
        <w:rPr>
          <w:rFonts w:ascii="Times New Roman" w:hAnsi="Times New Roman" w:cs="Times New Roman"/>
          <w:sz w:val="24"/>
          <w:szCs w:val="24"/>
        </w:rPr>
        <w:t xml:space="preserve"> was prepared by washing with hot water, ethanol, and distilled water. Each well was prefilled with 2 </w:t>
      </w:r>
      <w:proofErr w:type="spellStart"/>
      <w:r w:rsidR="00B1727A" w:rsidRPr="000138CA">
        <w:rPr>
          <w:rFonts w:ascii="Times New Roman" w:hAnsi="Times New Roman" w:cs="Times New Roman"/>
          <w:sz w:val="24"/>
          <w:szCs w:val="24"/>
        </w:rPr>
        <w:t>μL</w:t>
      </w:r>
      <w:proofErr w:type="spellEnd"/>
      <w:r w:rsidR="00B1727A" w:rsidRPr="000138CA">
        <w:rPr>
          <w:rFonts w:ascii="Times New Roman" w:hAnsi="Times New Roman" w:cs="Times New Roman"/>
          <w:sz w:val="24"/>
          <w:szCs w:val="24"/>
        </w:rPr>
        <w:t xml:space="preserve"> of diesel oil and left at room temperature for 24 hours. Then, 5 </w:t>
      </w:r>
      <w:proofErr w:type="spellStart"/>
      <w:r w:rsidR="00B1727A" w:rsidRPr="000138CA">
        <w:rPr>
          <w:rFonts w:ascii="Times New Roman" w:hAnsi="Times New Roman" w:cs="Times New Roman"/>
          <w:sz w:val="24"/>
          <w:szCs w:val="24"/>
        </w:rPr>
        <w:t>μL</w:t>
      </w:r>
      <w:proofErr w:type="spellEnd"/>
      <w:r w:rsidR="00B1727A" w:rsidRPr="000138CA">
        <w:rPr>
          <w:rFonts w:ascii="Times New Roman" w:hAnsi="Times New Roman" w:cs="Times New Roman"/>
          <w:sz w:val="24"/>
          <w:szCs w:val="24"/>
        </w:rPr>
        <w:t xml:space="preserve"> of the cell-free filtrate was added to each well. After 1 minute, the shape of the drop was observed visually. A positive result was recorded if the drop collapsed, </w:t>
      </w:r>
      <w:r w:rsidR="00B1727A" w:rsidRPr="000138CA">
        <w:rPr>
          <w:rFonts w:ascii="Times New Roman" w:hAnsi="Times New Roman" w:cs="Times New Roman"/>
          <w:sz w:val="24"/>
          <w:szCs w:val="24"/>
        </w:rPr>
        <w:lastRenderedPageBreak/>
        <w:t xml:space="preserve">indicating </w:t>
      </w:r>
      <w:proofErr w:type="spellStart"/>
      <w:r w:rsidR="00B1727A" w:rsidRPr="000138CA">
        <w:rPr>
          <w:rFonts w:ascii="Times New Roman" w:hAnsi="Times New Roman" w:cs="Times New Roman"/>
          <w:sz w:val="24"/>
          <w:szCs w:val="24"/>
        </w:rPr>
        <w:t>biosurfactant</w:t>
      </w:r>
      <w:proofErr w:type="spellEnd"/>
      <w:r w:rsidR="00B1727A" w:rsidRPr="000138CA">
        <w:rPr>
          <w:rFonts w:ascii="Times New Roman" w:hAnsi="Times New Roman" w:cs="Times New Roman"/>
          <w:sz w:val="24"/>
          <w:szCs w:val="24"/>
        </w:rPr>
        <w:t xml:space="preserve"> presence, while a beaded drop indicated no activity. SDS (25%) served as a positive control, and distilled water as a negative control.</w:t>
      </w:r>
    </w:p>
    <w:p w:rsidR="00B1727A" w:rsidRPr="000138CA" w:rsidRDefault="00E653F9" w:rsidP="000138CA">
      <w:pPr>
        <w:spacing w:after="0" w:line="480" w:lineRule="auto"/>
        <w:jc w:val="both"/>
        <w:rPr>
          <w:rFonts w:ascii="Times New Roman" w:hAnsi="Times New Roman" w:cs="Times New Roman"/>
          <w:sz w:val="24"/>
          <w:szCs w:val="24"/>
        </w:rPr>
      </w:pPr>
      <w:r w:rsidRPr="00E653F9">
        <w:rPr>
          <w:rFonts w:ascii="Times New Roman" w:hAnsi="Times New Roman" w:cs="Times New Roman"/>
          <w:b/>
          <w:sz w:val="24"/>
          <w:szCs w:val="24"/>
        </w:rPr>
        <w:t>2.4.3</w:t>
      </w:r>
      <w:r w:rsidR="00B1727A" w:rsidRPr="00E653F9">
        <w:rPr>
          <w:rFonts w:ascii="Times New Roman" w:hAnsi="Times New Roman" w:cs="Times New Roman"/>
          <w:b/>
          <w:sz w:val="24"/>
          <w:szCs w:val="24"/>
        </w:rPr>
        <w:t xml:space="preserve"> Emulsification Index (E24):</w:t>
      </w:r>
      <w:r w:rsidR="00B1727A" w:rsidRPr="000138CA">
        <w:rPr>
          <w:rFonts w:ascii="Times New Roman" w:hAnsi="Times New Roman" w:cs="Times New Roman"/>
          <w:sz w:val="24"/>
          <w:szCs w:val="24"/>
        </w:rPr>
        <w:t xml:space="preserve"> The emulsification capacity was determined by mixing 4 mL of the cell-free filtrate with 6 mL of diesel in a screw-cap test tube. The mixture was vigorously shaken for 2 minutes using a vortex mixer. After 24 hours of incubation at room temperature, the height of the emulsion layer was measured and compared to the total height of the liquid. The emulsification index was calculated using the formula:</w:t>
      </w:r>
      <w:r w:rsidR="007E7A91">
        <w:rPr>
          <w:rFonts w:ascii="Times New Roman" w:hAnsi="Times New Roman" w:cs="Times New Roman"/>
          <w:sz w:val="24"/>
          <w:szCs w:val="24"/>
        </w:rPr>
        <w:t xml:space="preserve"> </w:t>
      </w:r>
      <w:r w:rsidR="00B1727A" w:rsidRPr="000138CA">
        <w:rPr>
          <w:rFonts w:ascii="Times New Roman" w:hAnsi="Times New Roman" w:cs="Times New Roman"/>
          <w:sz w:val="24"/>
          <w:szCs w:val="24"/>
        </w:rPr>
        <w:t>E24=height of emulsion/total height X 100</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A higher E24 value indicated greater emulsification capacity, with Tween 80 (0.2% w/v) used as a positive control.</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Fungal isolates exhibiting positive results in at least two of the three assays were selected for further analysis. The isolate demonstrating the highest E24 value was chosen for subsequent experiments.</w:t>
      </w:r>
    </w:p>
    <w:p w:rsidR="00B1727A" w:rsidRPr="007E7A91" w:rsidRDefault="007E7A91" w:rsidP="000138CA">
      <w:pPr>
        <w:spacing w:after="0" w:line="480" w:lineRule="auto"/>
        <w:jc w:val="both"/>
        <w:rPr>
          <w:rFonts w:ascii="Times New Roman" w:hAnsi="Times New Roman" w:cs="Times New Roman"/>
          <w:b/>
          <w:sz w:val="24"/>
          <w:szCs w:val="24"/>
        </w:rPr>
      </w:pPr>
      <w:bookmarkStart w:id="9" w:name="_Toc213001533"/>
      <w:r w:rsidRPr="007E7A91">
        <w:rPr>
          <w:rFonts w:ascii="Times New Roman" w:hAnsi="Times New Roman" w:cs="Times New Roman"/>
          <w:b/>
          <w:sz w:val="24"/>
          <w:szCs w:val="24"/>
        </w:rPr>
        <w:t>2.5</w:t>
      </w:r>
      <w:r w:rsidR="00B1727A" w:rsidRPr="007E7A91">
        <w:rPr>
          <w:rFonts w:ascii="Times New Roman" w:hAnsi="Times New Roman" w:cs="Times New Roman"/>
          <w:b/>
          <w:sz w:val="24"/>
          <w:szCs w:val="24"/>
        </w:rPr>
        <w:t xml:space="preserve"> </w:t>
      </w:r>
      <w:proofErr w:type="spellStart"/>
      <w:r w:rsidR="00B1727A" w:rsidRPr="007E7A91">
        <w:rPr>
          <w:rFonts w:ascii="Times New Roman" w:hAnsi="Times New Roman" w:cs="Times New Roman"/>
          <w:b/>
          <w:sz w:val="24"/>
          <w:szCs w:val="24"/>
        </w:rPr>
        <w:t>Biosurfactant</w:t>
      </w:r>
      <w:proofErr w:type="spellEnd"/>
      <w:r w:rsidR="00B1727A" w:rsidRPr="007E7A91">
        <w:rPr>
          <w:rFonts w:ascii="Times New Roman" w:hAnsi="Times New Roman" w:cs="Times New Roman"/>
          <w:b/>
          <w:sz w:val="24"/>
          <w:szCs w:val="24"/>
        </w:rPr>
        <w:t xml:space="preserve"> Production in Mineral Salt Medium (MSM)</w:t>
      </w:r>
      <w:bookmarkEnd w:id="9"/>
    </w:p>
    <w:p w:rsidR="00B1727A" w:rsidRPr="000138CA" w:rsidRDefault="00B1727A" w:rsidP="000138CA">
      <w:pPr>
        <w:spacing w:after="0" w:line="480" w:lineRule="auto"/>
        <w:jc w:val="both"/>
        <w:rPr>
          <w:rFonts w:ascii="Times New Roman" w:hAnsi="Times New Roman" w:cs="Times New Roman"/>
          <w:sz w:val="24"/>
          <w:szCs w:val="24"/>
        </w:rPr>
      </w:pP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production was optimized using Mineral Salt Medium (MSM), which was prepared with the following composition per litter of distilled water: 1.0 g NH₄NO₃, 0.2 g </w:t>
      </w:r>
      <w:proofErr w:type="spellStart"/>
      <w:r w:rsidRPr="000138CA">
        <w:rPr>
          <w:rFonts w:ascii="Times New Roman" w:hAnsi="Times New Roman" w:cs="Times New Roman"/>
          <w:sz w:val="24"/>
          <w:szCs w:val="24"/>
        </w:rPr>
        <w:t>MgSO</w:t>
      </w:r>
      <w:proofErr w:type="spellEnd"/>
      <w:r w:rsidRPr="000138CA">
        <w:rPr>
          <w:rFonts w:ascii="Times New Roman" w:hAnsi="Times New Roman" w:cs="Times New Roman"/>
          <w:sz w:val="24"/>
          <w:szCs w:val="24"/>
        </w:rPr>
        <w:t xml:space="preserve">₄·7H₂O, 0.1 g </w:t>
      </w:r>
      <w:proofErr w:type="spellStart"/>
      <w:r w:rsidRPr="000138CA">
        <w:rPr>
          <w:rFonts w:ascii="Times New Roman" w:hAnsi="Times New Roman" w:cs="Times New Roman"/>
          <w:sz w:val="24"/>
          <w:szCs w:val="24"/>
        </w:rPr>
        <w:t>CaCl</w:t>
      </w:r>
      <w:proofErr w:type="spellEnd"/>
      <w:r w:rsidRPr="000138CA">
        <w:rPr>
          <w:rFonts w:ascii="Times New Roman" w:hAnsi="Times New Roman" w:cs="Times New Roman"/>
          <w:sz w:val="24"/>
          <w:szCs w:val="24"/>
        </w:rPr>
        <w:t xml:space="preserve">₂·2H₂O, 0.01 g </w:t>
      </w:r>
      <w:proofErr w:type="spellStart"/>
      <w:r w:rsidRPr="000138CA">
        <w:rPr>
          <w:rFonts w:ascii="Times New Roman" w:hAnsi="Times New Roman" w:cs="Times New Roman"/>
          <w:sz w:val="24"/>
          <w:szCs w:val="24"/>
        </w:rPr>
        <w:t>FeSO</w:t>
      </w:r>
      <w:proofErr w:type="spellEnd"/>
      <w:r w:rsidRPr="000138CA">
        <w:rPr>
          <w:rFonts w:ascii="Times New Roman" w:hAnsi="Times New Roman" w:cs="Times New Roman"/>
          <w:sz w:val="24"/>
          <w:szCs w:val="24"/>
        </w:rPr>
        <w:t xml:space="preserve">₄·7H₂O, 0.5 g K₂HPO₄, and 0.5 g KH₂PO₄, adjusted to pH 6.0. The medium was amended with diesel (20 g L⁻¹) as the carbon source and yeast extract (10 g L⁻¹) as the nitrogen source. Erlenmeyer flasks (250 mL) containing 50 mL of MSM were sterilized at 121°C for 15 minutes and inoculated with 1 × 10⁶ spores mL⁻¹ of the selected fungal isolate. The cultures were incubated at room temperature on a rotary shaker at 150 rpm for 7 days. After incubation, the broth was centrifuged at 5000 rpm for 20 minutes to remove fungal biomass, and the supernatant was collected for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extraction.</w:t>
      </w:r>
    </w:p>
    <w:p w:rsidR="007E7A91" w:rsidRDefault="00B1727A" w:rsidP="000138CA">
      <w:pPr>
        <w:spacing w:after="0" w:line="480" w:lineRule="auto"/>
        <w:jc w:val="both"/>
        <w:rPr>
          <w:rFonts w:ascii="Times New Roman" w:hAnsi="Times New Roman" w:cs="Times New Roman"/>
          <w:sz w:val="24"/>
          <w:szCs w:val="24"/>
        </w:rPr>
      </w:pPr>
      <w:proofErr w:type="spellStart"/>
      <w:r w:rsidRPr="000138CA">
        <w:rPr>
          <w:rFonts w:ascii="Times New Roman" w:hAnsi="Times New Roman" w:cs="Times New Roman"/>
          <w:sz w:val="24"/>
          <w:szCs w:val="24"/>
        </w:rPr>
        <w:lastRenderedPageBreak/>
        <w:t>Biosurfactant</w:t>
      </w:r>
      <w:proofErr w:type="spellEnd"/>
      <w:r w:rsidRPr="000138CA">
        <w:rPr>
          <w:rFonts w:ascii="Times New Roman" w:hAnsi="Times New Roman" w:cs="Times New Roman"/>
          <w:sz w:val="24"/>
          <w:szCs w:val="24"/>
        </w:rPr>
        <w:t xml:space="preserve"> extraction involved adjusting the pH of the supernatant to 2.0 with 6N </w:t>
      </w:r>
      <w:proofErr w:type="spellStart"/>
      <w:r w:rsidRPr="000138CA">
        <w:rPr>
          <w:rFonts w:ascii="Times New Roman" w:hAnsi="Times New Roman" w:cs="Times New Roman"/>
          <w:sz w:val="24"/>
          <w:szCs w:val="24"/>
        </w:rPr>
        <w:t>HCl</w:t>
      </w:r>
      <w:proofErr w:type="spellEnd"/>
      <w:r w:rsidRPr="000138CA">
        <w:rPr>
          <w:rFonts w:ascii="Times New Roman" w:hAnsi="Times New Roman" w:cs="Times New Roman"/>
          <w:sz w:val="24"/>
          <w:szCs w:val="24"/>
        </w:rPr>
        <w:t xml:space="preserve">, followed by the addition of an equal volume of ethyl acetate. The mixture was shaken vigorously and allowed to separate into two phases. The organic phase containing 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was collected, and the solvent was evaporated under reduced pressure at 40°C using a rotary evaporator. The crude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was </w:t>
      </w:r>
      <w:proofErr w:type="spellStart"/>
      <w:r w:rsidRPr="000138CA">
        <w:rPr>
          <w:rFonts w:ascii="Times New Roman" w:hAnsi="Times New Roman" w:cs="Times New Roman"/>
          <w:sz w:val="24"/>
          <w:szCs w:val="24"/>
        </w:rPr>
        <w:t>resuspended</w:t>
      </w:r>
      <w:proofErr w:type="spellEnd"/>
      <w:r w:rsidRPr="000138CA">
        <w:rPr>
          <w:rFonts w:ascii="Times New Roman" w:hAnsi="Times New Roman" w:cs="Times New Roman"/>
          <w:sz w:val="24"/>
          <w:szCs w:val="24"/>
        </w:rPr>
        <w:t xml:space="preserve"> in a minimal volume of distilled water and stored at 4°C for further analysis.</w:t>
      </w:r>
      <w:r w:rsidR="007E7A91">
        <w:rPr>
          <w:rFonts w:ascii="Times New Roman" w:hAnsi="Times New Roman" w:cs="Times New Roman"/>
          <w:sz w:val="24"/>
          <w:szCs w:val="24"/>
        </w:rPr>
        <w:t xml:space="preserve"> </w:t>
      </w:r>
      <w:r w:rsidRPr="000138CA">
        <w:rPr>
          <w:rFonts w:ascii="Times New Roman" w:hAnsi="Times New Roman" w:cs="Times New Roman"/>
          <w:sz w:val="24"/>
          <w:szCs w:val="24"/>
        </w:rPr>
        <w:t xml:space="preserve">Semi-purification of 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was conducted by pooling the crude extracts from the replicate cultures grown under optimized MSM conditions. The pooled extract was filtered through </w:t>
      </w:r>
      <w:proofErr w:type="spellStart"/>
      <w:r w:rsidRPr="000138CA">
        <w:rPr>
          <w:rFonts w:ascii="Times New Roman" w:hAnsi="Times New Roman" w:cs="Times New Roman"/>
          <w:sz w:val="24"/>
          <w:szCs w:val="24"/>
        </w:rPr>
        <w:t>Whatman</w:t>
      </w:r>
      <w:proofErr w:type="spellEnd"/>
      <w:r w:rsidRPr="000138CA">
        <w:rPr>
          <w:rFonts w:ascii="Times New Roman" w:hAnsi="Times New Roman" w:cs="Times New Roman"/>
          <w:sz w:val="24"/>
          <w:szCs w:val="24"/>
        </w:rPr>
        <w:t xml:space="preserve"> No. 1 filter paper and precipitated with ethanol (1:4 v/v) at 4°C for 48 hours. The mixture was centrifuged at 5000 rpm for 20 minutes, and the resulting precipitate was collected and air-dried to obtain a semi-purified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The emulsification index (E24) was then measured using the method described earlier.</w:t>
      </w:r>
      <w:bookmarkStart w:id="10" w:name="_Toc213001536"/>
    </w:p>
    <w:p w:rsidR="00B1727A" w:rsidRPr="007E7A91" w:rsidRDefault="007E7A91" w:rsidP="000138CA">
      <w:pPr>
        <w:spacing w:after="0" w:line="480" w:lineRule="auto"/>
        <w:jc w:val="both"/>
        <w:rPr>
          <w:rFonts w:ascii="Times New Roman" w:hAnsi="Times New Roman" w:cs="Times New Roman"/>
          <w:b/>
          <w:sz w:val="24"/>
          <w:szCs w:val="24"/>
        </w:rPr>
      </w:pPr>
      <w:r w:rsidRPr="007E7A91">
        <w:rPr>
          <w:rFonts w:ascii="Times New Roman" w:hAnsi="Times New Roman" w:cs="Times New Roman"/>
          <w:b/>
          <w:sz w:val="24"/>
          <w:szCs w:val="24"/>
        </w:rPr>
        <w:t>3.0 RESULTS</w:t>
      </w:r>
    </w:p>
    <w:bookmarkEnd w:id="10"/>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physicochemical properties of the sampling </w:t>
      </w:r>
      <w:r w:rsidR="005F280E">
        <w:rPr>
          <w:rFonts w:ascii="Times New Roman" w:hAnsi="Times New Roman" w:cs="Times New Roman"/>
          <w:sz w:val="24"/>
          <w:szCs w:val="24"/>
        </w:rPr>
        <w:t>site was presented in table 1 with a recorded temperature of a 32°C, pH</w:t>
      </w:r>
      <w:r w:rsidRPr="000138CA">
        <w:rPr>
          <w:rFonts w:ascii="Times New Roman" w:hAnsi="Times New Roman" w:cs="Times New Roman"/>
          <w:sz w:val="24"/>
          <w:szCs w:val="24"/>
        </w:rPr>
        <w:t xml:space="preserve"> 6.21, an electrical conductivi</w:t>
      </w:r>
      <w:r w:rsidR="005F280E">
        <w:rPr>
          <w:rFonts w:ascii="Times New Roman" w:hAnsi="Times New Roman" w:cs="Times New Roman"/>
          <w:sz w:val="24"/>
          <w:szCs w:val="24"/>
        </w:rPr>
        <w:t xml:space="preserve">ty </w:t>
      </w:r>
      <w:r w:rsidRPr="000138CA">
        <w:rPr>
          <w:rFonts w:ascii="Times New Roman" w:hAnsi="Times New Roman" w:cs="Times New Roman"/>
          <w:sz w:val="24"/>
          <w:szCs w:val="24"/>
        </w:rPr>
        <w:t xml:space="preserve">1.10 </w:t>
      </w:r>
      <w:proofErr w:type="spellStart"/>
      <w:r w:rsidRPr="000138CA">
        <w:rPr>
          <w:rFonts w:ascii="Times New Roman" w:hAnsi="Times New Roman" w:cs="Times New Roman"/>
          <w:sz w:val="24"/>
          <w:szCs w:val="24"/>
        </w:rPr>
        <w:t>dS</w:t>
      </w:r>
      <w:proofErr w:type="spellEnd"/>
      <w:r w:rsidRPr="000138CA">
        <w:rPr>
          <w:rFonts w:ascii="Times New Roman" w:hAnsi="Times New Roman" w:cs="Times New Roman"/>
          <w:sz w:val="24"/>
          <w:szCs w:val="24"/>
        </w:rPr>
        <w:t>/m, and a moisture content of 4.68%</w:t>
      </w:r>
      <w:r w:rsidR="005F280E">
        <w:rPr>
          <w:rFonts w:ascii="Times New Roman" w:hAnsi="Times New Roman" w:cs="Times New Roman"/>
          <w:sz w:val="24"/>
          <w:szCs w:val="24"/>
        </w:rPr>
        <w:t xml:space="preserve">. </w:t>
      </w:r>
      <w:r w:rsidR="005F280E">
        <w:rPr>
          <w:rFonts w:ascii="Times New Roman" w:hAnsi="Times New Roman" w:cs="Times New Roman"/>
          <w:bCs/>
          <w:sz w:val="24"/>
          <w:szCs w:val="24"/>
        </w:rPr>
        <w:t xml:space="preserve">Four fungal species were </w:t>
      </w:r>
      <w:r w:rsidRPr="000138CA">
        <w:rPr>
          <w:rFonts w:ascii="Times New Roman" w:hAnsi="Times New Roman" w:cs="Times New Roman"/>
          <w:bCs/>
          <w:sz w:val="24"/>
          <w:szCs w:val="24"/>
        </w:rPr>
        <w:t>identified</w:t>
      </w:r>
      <w:r w:rsidR="005F280E">
        <w:rPr>
          <w:rFonts w:ascii="Times New Roman" w:hAnsi="Times New Roman" w:cs="Times New Roman"/>
          <w:bCs/>
          <w:sz w:val="24"/>
          <w:szCs w:val="24"/>
        </w:rPr>
        <w:t>;</w:t>
      </w:r>
      <w:r w:rsidRPr="000138CA">
        <w:rPr>
          <w:rFonts w:ascii="Times New Roman" w:hAnsi="Times New Roman" w:cs="Times New Roman"/>
          <w:bCs/>
          <w:sz w:val="24"/>
          <w:szCs w:val="24"/>
        </w:rPr>
        <w:t> </w:t>
      </w:r>
      <w:proofErr w:type="spellStart"/>
      <w:r w:rsidRPr="000138CA">
        <w:rPr>
          <w:rFonts w:ascii="Times New Roman" w:hAnsi="Times New Roman" w:cs="Times New Roman"/>
          <w:bCs/>
          <w:i/>
          <w:iCs/>
          <w:sz w:val="24"/>
          <w:szCs w:val="24"/>
        </w:rPr>
        <w:t>Aspergillus</w:t>
      </w:r>
      <w:proofErr w:type="spellEnd"/>
      <w:r w:rsidRPr="000138CA">
        <w:rPr>
          <w:rFonts w:ascii="Times New Roman" w:hAnsi="Times New Roman" w:cs="Times New Roman"/>
          <w:bCs/>
          <w:i/>
          <w:iCs/>
          <w:sz w:val="24"/>
          <w:szCs w:val="24"/>
        </w:rPr>
        <w:t xml:space="preserve"> </w:t>
      </w:r>
      <w:proofErr w:type="spellStart"/>
      <w:r w:rsidRPr="000138CA">
        <w:rPr>
          <w:rFonts w:ascii="Times New Roman" w:hAnsi="Times New Roman" w:cs="Times New Roman"/>
          <w:bCs/>
          <w:i/>
          <w:iCs/>
          <w:sz w:val="24"/>
          <w:szCs w:val="24"/>
        </w:rPr>
        <w:t>flavus</w:t>
      </w:r>
      <w:proofErr w:type="spellEnd"/>
      <w:r w:rsidRPr="000138CA">
        <w:rPr>
          <w:rFonts w:ascii="Times New Roman" w:hAnsi="Times New Roman" w:cs="Times New Roman"/>
          <w:bCs/>
          <w:sz w:val="24"/>
          <w:szCs w:val="24"/>
        </w:rPr>
        <w:t>, </w:t>
      </w:r>
      <w:proofErr w:type="spellStart"/>
      <w:r w:rsidRPr="000138CA">
        <w:rPr>
          <w:rFonts w:ascii="Times New Roman" w:hAnsi="Times New Roman" w:cs="Times New Roman"/>
          <w:bCs/>
          <w:i/>
          <w:iCs/>
          <w:sz w:val="24"/>
          <w:szCs w:val="24"/>
        </w:rPr>
        <w:t>Aspergillus</w:t>
      </w:r>
      <w:proofErr w:type="spellEnd"/>
      <w:r w:rsidRPr="000138CA">
        <w:rPr>
          <w:rFonts w:ascii="Times New Roman" w:hAnsi="Times New Roman" w:cs="Times New Roman"/>
          <w:bCs/>
          <w:i/>
          <w:iCs/>
          <w:sz w:val="24"/>
          <w:szCs w:val="24"/>
        </w:rPr>
        <w:t xml:space="preserve"> </w:t>
      </w:r>
      <w:proofErr w:type="spellStart"/>
      <w:proofErr w:type="gramStart"/>
      <w:r w:rsidRPr="000138CA">
        <w:rPr>
          <w:rFonts w:ascii="Times New Roman" w:hAnsi="Times New Roman" w:cs="Times New Roman"/>
          <w:bCs/>
          <w:i/>
          <w:iCs/>
          <w:sz w:val="24"/>
          <w:szCs w:val="24"/>
        </w:rPr>
        <w:t>niger</w:t>
      </w:r>
      <w:proofErr w:type="spellEnd"/>
      <w:proofErr w:type="gramEnd"/>
      <w:r w:rsidRPr="000138CA">
        <w:rPr>
          <w:rFonts w:ascii="Times New Roman" w:hAnsi="Times New Roman" w:cs="Times New Roman"/>
          <w:bCs/>
          <w:sz w:val="24"/>
          <w:szCs w:val="24"/>
        </w:rPr>
        <w:t>, </w:t>
      </w:r>
      <w:proofErr w:type="spellStart"/>
      <w:r w:rsidRPr="000138CA">
        <w:rPr>
          <w:rFonts w:ascii="Times New Roman" w:hAnsi="Times New Roman" w:cs="Times New Roman"/>
          <w:bCs/>
          <w:i/>
          <w:iCs/>
          <w:sz w:val="24"/>
          <w:szCs w:val="24"/>
        </w:rPr>
        <w:t>Penicillium</w:t>
      </w:r>
      <w:proofErr w:type="spellEnd"/>
      <w:r w:rsidRPr="000138CA">
        <w:rPr>
          <w:rFonts w:ascii="Times New Roman" w:hAnsi="Times New Roman" w:cs="Times New Roman"/>
          <w:bCs/>
          <w:i/>
          <w:iCs/>
          <w:sz w:val="24"/>
          <w:szCs w:val="24"/>
        </w:rPr>
        <w:t xml:space="preserve"> </w:t>
      </w:r>
      <w:proofErr w:type="spellStart"/>
      <w:r w:rsidRPr="000138CA">
        <w:rPr>
          <w:rFonts w:ascii="Times New Roman" w:hAnsi="Times New Roman" w:cs="Times New Roman"/>
          <w:bCs/>
          <w:i/>
          <w:iCs/>
          <w:sz w:val="24"/>
          <w:szCs w:val="24"/>
        </w:rPr>
        <w:t>notatum</w:t>
      </w:r>
      <w:proofErr w:type="spellEnd"/>
      <w:r w:rsidRPr="000138CA">
        <w:rPr>
          <w:rFonts w:ascii="Times New Roman" w:hAnsi="Times New Roman" w:cs="Times New Roman"/>
          <w:bCs/>
          <w:sz w:val="24"/>
          <w:szCs w:val="24"/>
        </w:rPr>
        <w:t>, and </w:t>
      </w:r>
      <w:proofErr w:type="spellStart"/>
      <w:r w:rsidRPr="000138CA">
        <w:rPr>
          <w:rFonts w:ascii="Times New Roman" w:hAnsi="Times New Roman" w:cs="Times New Roman"/>
          <w:bCs/>
          <w:i/>
          <w:iCs/>
          <w:sz w:val="24"/>
          <w:szCs w:val="24"/>
        </w:rPr>
        <w:t>Fusarium</w:t>
      </w:r>
      <w:proofErr w:type="spellEnd"/>
      <w:r w:rsidRPr="000138CA">
        <w:rPr>
          <w:rFonts w:ascii="Times New Roman" w:hAnsi="Times New Roman" w:cs="Times New Roman"/>
          <w:bCs/>
          <w:i/>
          <w:iCs/>
          <w:sz w:val="24"/>
          <w:szCs w:val="24"/>
        </w:rPr>
        <w:t xml:space="preserve"> </w:t>
      </w:r>
      <w:proofErr w:type="spellStart"/>
      <w:r w:rsidRPr="000138CA">
        <w:rPr>
          <w:rFonts w:ascii="Times New Roman" w:hAnsi="Times New Roman" w:cs="Times New Roman"/>
          <w:bCs/>
          <w:i/>
          <w:iCs/>
          <w:sz w:val="24"/>
          <w:szCs w:val="24"/>
        </w:rPr>
        <w:t>oxysporum</w:t>
      </w:r>
      <w:proofErr w:type="spellEnd"/>
      <w:r w:rsidRPr="000138CA">
        <w:rPr>
          <w:rFonts w:ascii="Times New Roman" w:hAnsi="Times New Roman" w:cs="Times New Roman"/>
          <w:bCs/>
          <w:sz w:val="24"/>
          <w:szCs w:val="24"/>
        </w:rPr>
        <w:t> according to their unique morphologi</w:t>
      </w:r>
      <w:r w:rsidR="005F280E">
        <w:rPr>
          <w:rFonts w:ascii="Times New Roman" w:hAnsi="Times New Roman" w:cs="Times New Roman"/>
          <w:bCs/>
          <w:sz w:val="24"/>
          <w:szCs w:val="24"/>
        </w:rPr>
        <w:t xml:space="preserve">cal features as shown in table </w:t>
      </w:r>
      <w:r w:rsidRPr="000138CA">
        <w:rPr>
          <w:rFonts w:ascii="Times New Roman" w:hAnsi="Times New Roman" w:cs="Times New Roman"/>
          <w:bCs/>
          <w:sz w:val="24"/>
          <w:szCs w:val="24"/>
        </w:rPr>
        <w:t>2.</w:t>
      </w:r>
      <w:r w:rsidR="002D16EE">
        <w:rPr>
          <w:rFonts w:ascii="Times New Roman" w:hAnsi="Times New Roman" w:cs="Times New Roman"/>
          <w:sz w:val="24"/>
          <w:szCs w:val="24"/>
        </w:rPr>
        <w:t xml:space="preserve"> </w:t>
      </w:r>
      <w:r w:rsidRPr="000138CA">
        <w:rPr>
          <w:rFonts w:ascii="Times New Roman" w:hAnsi="Times New Roman" w:cs="Times New Roman"/>
          <w:sz w:val="24"/>
          <w:szCs w:val="24"/>
        </w:rPr>
        <w:t xml:space="preserve">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screening identified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sz w:val="24"/>
          <w:szCs w:val="24"/>
        </w:rPr>
        <w:t> and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as the only positive producers, demonstrating clear zones of 20 mm and 15 mm, respectively, along with positive drop-collapse and emulsification results.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proofErr w:type="gramStart"/>
      <w:r w:rsidRPr="000138CA">
        <w:rPr>
          <w:rFonts w:ascii="Times New Roman" w:hAnsi="Times New Roman" w:cs="Times New Roman"/>
          <w:i/>
          <w:iCs/>
          <w:sz w:val="24"/>
          <w:szCs w:val="24"/>
        </w:rPr>
        <w:t>niger</w:t>
      </w:r>
      <w:proofErr w:type="spellEnd"/>
      <w:proofErr w:type="gramEnd"/>
      <w:r w:rsidRPr="000138CA">
        <w:rPr>
          <w:rFonts w:ascii="Times New Roman" w:hAnsi="Times New Roman" w:cs="Times New Roman"/>
          <w:sz w:val="24"/>
          <w:szCs w:val="24"/>
        </w:rPr>
        <w:t> and </w:t>
      </w:r>
      <w:proofErr w:type="spellStart"/>
      <w:r w:rsidRPr="000138CA">
        <w:rPr>
          <w:rFonts w:ascii="Times New Roman" w:hAnsi="Times New Roman" w:cs="Times New Roman"/>
          <w:i/>
          <w:iCs/>
          <w:sz w:val="24"/>
          <w:szCs w:val="24"/>
        </w:rPr>
        <w:t>Penicillium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notatum</w:t>
      </w:r>
      <w:proofErr w:type="spellEnd"/>
      <w:r w:rsidRPr="000138CA">
        <w:rPr>
          <w:rFonts w:ascii="Times New Roman" w:hAnsi="Times New Roman" w:cs="Times New Roman"/>
          <w:sz w:val="24"/>
          <w:szCs w:val="24"/>
        </w:rPr>
        <w:t> showed no activity and were deemed non-producers</w:t>
      </w:r>
      <w:r w:rsidR="002D16EE">
        <w:rPr>
          <w:rFonts w:ascii="Times New Roman" w:hAnsi="Times New Roman" w:cs="Times New Roman"/>
          <w:sz w:val="24"/>
          <w:szCs w:val="24"/>
        </w:rPr>
        <w:t xml:space="preserve"> table 3</w:t>
      </w:r>
      <w:r w:rsidRPr="000138CA">
        <w:rPr>
          <w:rFonts w:ascii="Times New Roman" w:hAnsi="Times New Roman" w:cs="Times New Roman"/>
          <w:sz w:val="24"/>
          <w:szCs w:val="24"/>
        </w:rPr>
        <w:t>.</w:t>
      </w:r>
      <w:r w:rsidR="002D16EE">
        <w:rPr>
          <w:rFonts w:ascii="Times New Roman" w:hAnsi="Times New Roman" w:cs="Times New Roman"/>
          <w:sz w:val="24"/>
          <w:szCs w:val="24"/>
        </w:rPr>
        <w:t xml:space="preserve"> Table 4 shows </w:t>
      </w:r>
      <w:proofErr w:type="spellStart"/>
      <w:r w:rsidR="002D16EE">
        <w:rPr>
          <w:rFonts w:ascii="Times New Roman" w:hAnsi="Times New Roman" w:cs="Times New Roman"/>
          <w:sz w:val="24"/>
          <w:szCs w:val="24"/>
        </w:rPr>
        <w:t>b</w:t>
      </w:r>
      <w:r w:rsidRPr="000138CA">
        <w:rPr>
          <w:rFonts w:ascii="Times New Roman" w:hAnsi="Times New Roman" w:cs="Times New Roman"/>
          <w:sz w:val="24"/>
          <w:szCs w:val="24"/>
        </w:rPr>
        <w:t>iosurfactant</w:t>
      </w:r>
      <w:proofErr w:type="spellEnd"/>
      <w:r w:rsidRPr="000138CA">
        <w:rPr>
          <w:rFonts w:ascii="Times New Roman" w:hAnsi="Times New Roman" w:cs="Times New Roman"/>
          <w:sz w:val="24"/>
          <w:szCs w:val="24"/>
        </w:rPr>
        <w:t xml:space="preserve"> production in </w:t>
      </w:r>
      <w:r w:rsidR="002D16EE">
        <w:rPr>
          <w:rFonts w:ascii="Times New Roman" w:hAnsi="Times New Roman" w:cs="Times New Roman"/>
          <w:sz w:val="24"/>
          <w:szCs w:val="24"/>
        </w:rPr>
        <w:t xml:space="preserve">liquid medium amended with </w:t>
      </w:r>
      <w:r w:rsidRPr="000138CA">
        <w:rPr>
          <w:rFonts w:ascii="Times New Roman" w:hAnsi="Times New Roman" w:cs="Times New Roman"/>
          <w:sz w:val="24"/>
          <w:szCs w:val="24"/>
        </w:rPr>
        <w:t>diesel</w:t>
      </w:r>
      <w:r w:rsidR="002D16EE">
        <w:rPr>
          <w:rFonts w:ascii="Times New Roman" w:hAnsi="Times New Roman" w:cs="Times New Roman"/>
          <w:sz w:val="24"/>
          <w:szCs w:val="24"/>
        </w:rPr>
        <w:t>;</w:t>
      </w:r>
      <w:r w:rsidR="002D16EE" w:rsidRPr="000138CA">
        <w:rPr>
          <w:rFonts w:ascii="Times New Roman" w:hAnsi="Times New Roman" w:cs="Times New Roman"/>
          <w:i/>
          <w:iCs/>
          <w:sz w:val="24"/>
          <w:szCs w:val="24"/>
        </w:rPr>
        <w:t xml:space="preserve"> </w:t>
      </w:r>
      <w:r w:rsidRPr="000138CA">
        <w:rPr>
          <w:rFonts w:ascii="Times New Roman" w:hAnsi="Times New Roman" w:cs="Times New Roman"/>
          <w:i/>
          <w:iCs/>
          <w:sz w:val="24"/>
          <w:szCs w:val="24"/>
        </w:rPr>
        <w:t xml:space="preserve">A.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sz w:val="24"/>
          <w:szCs w:val="24"/>
        </w:rPr>
        <w:t> demonstrated a higher production yield (0.00152 g/mL) compared to </w:t>
      </w:r>
      <w:r w:rsidRPr="000138CA">
        <w:rPr>
          <w:rFonts w:ascii="Times New Roman" w:hAnsi="Times New Roman" w:cs="Times New Roman"/>
          <w:i/>
          <w:iCs/>
          <w:sz w:val="24"/>
          <w:szCs w:val="24"/>
        </w:rPr>
        <w:t xml:space="preserve">F. </w:t>
      </w:r>
      <w:proofErr w:type="spellStart"/>
      <w:r w:rsidRPr="000138CA">
        <w:rPr>
          <w:rFonts w:ascii="Times New Roman" w:hAnsi="Times New Roman" w:cs="Times New Roman"/>
          <w:i/>
          <w:iCs/>
          <w:sz w:val="24"/>
          <w:szCs w:val="24"/>
        </w:rPr>
        <w:t>oxysporum</w:t>
      </w:r>
      <w:proofErr w:type="spellEnd"/>
      <w:r w:rsidR="002D16EE">
        <w:rPr>
          <w:rFonts w:ascii="Times New Roman" w:hAnsi="Times New Roman" w:cs="Times New Roman"/>
          <w:sz w:val="24"/>
          <w:szCs w:val="24"/>
        </w:rPr>
        <w:t> (0.00136 g/mL).</w:t>
      </w:r>
      <w:r w:rsidR="002D16EE" w:rsidRPr="000138CA">
        <w:rPr>
          <w:rFonts w:ascii="Times New Roman" w:hAnsi="Times New Roman" w:cs="Times New Roman"/>
          <w:sz w:val="24"/>
          <w:szCs w:val="24"/>
        </w:rPr>
        <w:t xml:space="preserve"> </w:t>
      </w:r>
      <w:r w:rsidRPr="000138CA">
        <w:rPr>
          <w:rFonts w:ascii="Times New Roman" w:hAnsi="Times New Roman" w:cs="Times New Roman"/>
          <w:sz w:val="24"/>
          <w:szCs w:val="24"/>
        </w:rPr>
        <w:br w:type="page"/>
      </w:r>
    </w:p>
    <w:p w:rsidR="00B1727A" w:rsidRDefault="002D16EE" w:rsidP="000138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B1727A" w:rsidRPr="002D16EE">
        <w:rPr>
          <w:rFonts w:ascii="Times New Roman" w:hAnsi="Times New Roman" w:cs="Times New Roman"/>
          <w:b/>
          <w:sz w:val="24"/>
          <w:szCs w:val="24"/>
        </w:rPr>
        <w:t>1</w:t>
      </w:r>
      <w:r>
        <w:rPr>
          <w:rFonts w:ascii="Times New Roman" w:hAnsi="Times New Roman" w:cs="Times New Roman"/>
          <w:b/>
          <w:sz w:val="24"/>
          <w:szCs w:val="24"/>
        </w:rPr>
        <w:t>.</w:t>
      </w:r>
      <w:r w:rsidR="00B1727A" w:rsidRPr="002D16EE">
        <w:rPr>
          <w:rFonts w:ascii="Times New Roman" w:hAnsi="Times New Roman" w:cs="Times New Roman"/>
          <w:b/>
          <w:sz w:val="24"/>
          <w:szCs w:val="24"/>
        </w:rPr>
        <w:t xml:space="preserve"> Physicochemical Properties of Soil Sample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2D16EE" w:rsidTr="002D16EE">
        <w:tc>
          <w:tcPr>
            <w:tcW w:w="6475" w:type="dxa"/>
            <w:tcBorders>
              <w:top w:val="single" w:sz="4" w:space="0" w:color="auto"/>
              <w:bottom w:val="single" w:sz="4" w:space="0" w:color="auto"/>
            </w:tcBorders>
          </w:tcPr>
          <w:p w:rsidR="002D16EE" w:rsidRDefault="002D16EE" w:rsidP="000138CA">
            <w:pPr>
              <w:spacing w:line="480" w:lineRule="auto"/>
              <w:jc w:val="both"/>
              <w:rPr>
                <w:b/>
                <w:sz w:val="24"/>
                <w:szCs w:val="24"/>
              </w:rPr>
            </w:pPr>
            <w:r>
              <w:rPr>
                <w:b/>
                <w:sz w:val="24"/>
                <w:szCs w:val="24"/>
              </w:rPr>
              <w:t>Properties</w:t>
            </w:r>
          </w:p>
        </w:tc>
        <w:tc>
          <w:tcPr>
            <w:tcW w:w="2875" w:type="dxa"/>
            <w:tcBorders>
              <w:top w:val="single" w:sz="4" w:space="0" w:color="auto"/>
              <w:bottom w:val="single" w:sz="4" w:space="0" w:color="auto"/>
            </w:tcBorders>
          </w:tcPr>
          <w:p w:rsidR="002D16EE" w:rsidRDefault="002D16EE" w:rsidP="000138CA">
            <w:pPr>
              <w:spacing w:line="480" w:lineRule="auto"/>
              <w:jc w:val="both"/>
              <w:rPr>
                <w:b/>
                <w:sz w:val="24"/>
                <w:szCs w:val="24"/>
              </w:rPr>
            </w:pPr>
            <w:r>
              <w:rPr>
                <w:b/>
                <w:sz w:val="24"/>
                <w:szCs w:val="24"/>
              </w:rPr>
              <w:t>Value</w:t>
            </w:r>
          </w:p>
        </w:tc>
      </w:tr>
      <w:tr w:rsidR="002D16EE" w:rsidTr="002D16EE">
        <w:tc>
          <w:tcPr>
            <w:tcW w:w="6475" w:type="dxa"/>
            <w:tcBorders>
              <w:top w:val="single" w:sz="4" w:space="0" w:color="auto"/>
              <w:bottom w:val="nil"/>
            </w:tcBorders>
          </w:tcPr>
          <w:p w:rsidR="002D16EE" w:rsidRPr="000138CA" w:rsidRDefault="002D16EE" w:rsidP="002D16EE">
            <w:pPr>
              <w:spacing w:line="480" w:lineRule="auto"/>
              <w:jc w:val="both"/>
              <w:rPr>
                <w:sz w:val="24"/>
                <w:szCs w:val="24"/>
              </w:rPr>
            </w:pPr>
            <w:r w:rsidRPr="000138CA">
              <w:rPr>
                <w:sz w:val="24"/>
                <w:szCs w:val="24"/>
              </w:rPr>
              <w:t>Temperature (℃)</w:t>
            </w:r>
          </w:p>
        </w:tc>
        <w:tc>
          <w:tcPr>
            <w:tcW w:w="2875" w:type="dxa"/>
            <w:tcBorders>
              <w:top w:val="single" w:sz="4" w:space="0" w:color="auto"/>
              <w:bottom w:val="nil"/>
            </w:tcBorders>
          </w:tcPr>
          <w:p w:rsidR="002D16EE" w:rsidRPr="000138CA" w:rsidRDefault="002D16EE" w:rsidP="002D16EE">
            <w:pPr>
              <w:spacing w:line="480" w:lineRule="auto"/>
              <w:jc w:val="both"/>
              <w:rPr>
                <w:sz w:val="24"/>
                <w:szCs w:val="24"/>
              </w:rPr>
            </w:pPr>
            <w:r w:rsidRPr="000138CA">
              <w:rPr>
                <w:sz w:val="24"/>
                <w:szCs w:val="24"/>
              </w:rPr>
              <w:t>32</w:t>
            </w:r>
          </w:p>
        </w:tc>
      </w:tr>
      <w:tr w:rsidR="002D16EE" w:rsidTr="002D16EE">
        <w:tc>
          <w:tcPr>
            <w:tcW w:w="6475" w:type="dxa"/>
            <w:tcBorders>
              <w:top w:val="nil"/>
            </w:tcBorders>
          </w:tcPr>
          <w:p w:rsidR="002D16EE" w:rsidRPr="000138CA" w:rsidRDefault="00A030AD" w:rsidP="002D16EE">
            <w:pPr>
              <w:spacing w:line="480" w:lineRule="auto"/>
              <w:jc w:val="both"/>
              <w:rPr>
                <w:sz w:val="24"/>
                <w:szCs w:val="24"/>
              </w:rPr>
            </w:pPr>
            <w:r>
              <w:rPr>
                <w:sz w:val="24"/>
                <w:szCs w:val="24"/>
              </w:rPr>
              <w:t>pH</w:t>
            </w:r>
          </w:p>
        </w:tc>
        <w:tc>
          <w:tcPr>
            <w:tcW w:w="2875" w:type="dxa"/>
            <w:tcBorders>
              <w:top w:val="nil"/>
            </w:tcBorders>
          </w:tcPr>
          <w:p w:rsidR="002D16EE" w:rsidRPr="000138CA" w:rsidRDefault="002D16EE" w:rsidP="002D16EE">
            <w:pPr>
              <w:spacing w:line="480" w:lineRule="auto"/>
              <w:jc w:val="both"/>
              <w:rPr>
                <w:sz w:val="24"/>
                <w:szCs w:val="24"/>
              </w:rPr>
            </w:pPr>
            <w:r w:rsidRPr="000138CA">
              <w:rPr>
                <w:sz w:val="24"/>
                <w:szCs w:val="24"/>
              </w:rPr>
              <w:t>6.21</w:t>
            </w:r>
          </w:p>
        </w:tc>
      </w:tr>
      <w:tr w:rsidR="002D16EE" w:rsidTr="002D16EE">
        <w:tc>
          <w:tcPr>
            <w:tcW w:w="6475" w:type="dxa"/>
          </w:tcPr>
          <w:p w:rsidR="002D16EE" w:rsidRPr="000138CA" w:rsidRDefault="002D16EE" w:rsidP="002D16EE">
            <w:pPr>
              <w:spacing w:line="480" w:lineRule="auto"/>
              <w:jc w:val="both"/>
              <w:rPr>
                <w:sz w:val="24"/>
                <w:szCs w:val="24"/>
              </w:rPr>
            </w:pPr>
            <w:r w:rsidRPr="000138CA">
              <w:rPr>
                <w:sz w:val="24"/>
                <w:szCs w:val="24"/>
              </w:rPr>
              <w:t>Electrical Conductivity (ds/m)</w:t>
            </w:r>
          </w:p>
        </w:tc>
        <w:tc>
          <w:tcPr>
            <w:tcW w:w="2875" w:type="dxa"/>
          </w:tcPr>
          <w:p w:rsidR="002D16EE" w:rsidRPr="000138CA" w:rsidRDefault="002D16EE" w:rsidP="002D16EE">
            <w:pPr>
              <w:spacing w:line="480" w:lineRule="auto"/>
              <w:jc w:val="both"/>
              <w:rPr>
                <w:sz w:val="24"/>
                <w:szCs w:val="24"/>
              </w:rPr>
            </w:pPr>
            <w:r w:rsidRPr="000138CA">
              <w:rPr>
                <w:sz w:val="24"/>
                <w:szCs w:val="24"/>
              </w:rPr>
              <w:t>1.10</w:t>
            </w:r>
          </w:p>
        </w:tc>
      </w:tr>
      <w:tr w:rsidR="002D16EE" w:rsidTr="002D16EE">
        <w:tc>
          <w:tcPr>
            <w:tcW w:w="6475" w:type="dxa"/>
          </w:tcPr>
          <w:p w:rsidR="002D16EE" w:rsidRPr="000138CA" w:rsidRDefault="002D16EE" w:rsidP="002D16EE">
            <w:pPr>
              <w:spacing w:line="480" w:lineRule="auto"/>
              <w:jc w:val="both"/>
              <w:rPr>
                <w:sz w:val="24"/>
                <w:szCs w:val="24"/>
              </w:rPr>
            </w:pPr>
            <w:r w:rsidRPr="000138CA">
              <w:rPr>
                <w:sz w:val="24"/>
                <w:szCs w:val="24"/>
              </w:rPr>
              <w:t>Moisture (%)</w:t>
            </w:r>
          </w:p>
        </w:tc>
        <w:tc>
          <w:tcPr>
            <w:tcW w:w="2875" w:type="dxa"/>
          </w:tcPr>
          <w:p w:rsidR="002D16EE" w:rsidRPr="000138CA" w:rsidRDefault="002D16EE" w:rsidP="002D16EE">
            <w:pPr>
              <w:spacing w:line="480" w:lineRule="auto"/>
              <w:jc w:val="both"/>
              <w:rPr>
                <w:sz w:val="24"/>
                <w:szCs w:val="24"/>
              </w:rPr>
            </w:pPr>
            <w:r w:rsidRPr="000138CA">
              <w:rPr>
                <w:sz w:val="24"/>
                <w:szCs w:val="24"/>
              </w:rPr>
              <w:t>4.68</w:t>
            </w:r>
          </w:p>
        </w:tc>
      </w:tr>
    </w:tbl>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075963" w:rsidRDefault="00075963" w:rsidP="000138CA">
      <w:pPr>
        <w:spacing w:after="0" w:line="480" w:lineRule="auto"/>
        <w:jc w:val="both"/>
        <w:rPr>
          <w:rFonts w:ascii="Times New Roman" w:hAnsi="Times New Roman" w:cs="Times New Roman"/>
          <w:sz w:val="24"/>
          <w:szCs w:val="24"/>
        </w:rPr>
      </w:pPr>
    </w:p>
    <w:p w:rsidR="002D16EE" w:rsidRDefault="002D16EE" w:rsidP="000138CA">
      <w:pPr>
        <w:spacing w:after="0" w:line="480" w:lineRule="auto"/>
        <w:jc w:val="both"/>
        <w:rPr>
          <w:rFonts w:ascii="Times New Roman" w:hAnsi="Times New Roman" w:cs="Times New Roman"/>
          <w:sz w:val="24"/>
          <w:szCs w:val="24"/>
        </w:rPr>
      </w:pPr>
    </w:p>
    <w:p w:rsidR="002D16EE" w:rsidRDefault="002D16EE" w:rsidP="000138CA">
      <w:pPr>
        <w:spacing w:after="0" w:line="480" w:lineRule="auto"/>
        <w:jc w:val="both"/>
        <w:rPr>
          <w:rFonts w:ascii="Times New Roman" w:hAnsi="Times New Roman" w:cs="Times New Roman"/>
          <w:sz w:val="24"/>
          <w:szCs w:val="24"/>
        </w:rPr>
      </w:pPr>
    </w:p>
    <w:p w:rsidR="002D16EE" w:rsidRDefault="002D16EE" w:rsidP="000138CA">
      <w:pPr>
        <w:spacing w:after="0" w:line="480" w:lineRule="auto"/>
        <w:jc w:val="both"/>
        <w:rPr>
          <w:rFonts w:ascii="Times New Roman" w:hAnsi="Times New Roman" w:cs="Times New Roman"/>
          <w:sz w:val="24"/>
          <w:szCs w:val="24"/>
        </w:rPr>
      </w:pPr>
    </w:p>
    <w:p w:rsidR="002D16EE" w:rsidRDefault="002D16EE" w:rsidP="000138CA">
      <w:pPr>
        <w:spacing w:after="0" w:line="480" w:lineRule="auto"/>
        <w:jc w:val="both"/>
        <w:rPr>
          <w:rFonts w:ascii="Times New Roman" w:hAnsi="Times New Roman" w:cs="Times New Roman"/>
          <w:sz w:val="24"/>
          <w:szCs w:val="24"/>
        </w:rPr>
      </w:pPr>
    </w:p>
    <w:p w:rsidR="00120C5C" w:rsidRPr="000138CA" w:rsidRDefault="00120C5C" w:rsidP="000138CA">
      <w:pPr>
        <w:spacing w:after="0" w:line="480" w:lineRule="auto"/>
        <w:jc w:val="both"/>
        <w:rPr>
          <w:rFonts w:ascii="Times New Roman" w:hAnsi="Times New Roman" w:cs="Times New Roman"/>
          <w:sz w:val="24"/>
          <w:szCs w:val="24"/>
        </w:rPr>
      </w:pPr>
    </w:p>
    <w:p w:rsidR="00B1727A" w:rsidRDefault="002D16EE" w:rsidP="00120C5C">
      <w:pPr>
        <w:spacing w:after="0" w:line="240" w:lineRule="auto"/>
        <w:ind w:left="720" w:hanging="1890"/>
        <w:jc w:val="both"/>
        <w:rPr>
          <w:rFonts w:ascii="Times New Roman" w:hAnsi="Times New Roman" w:cs="Times New Roman"/>
          <w:b/>
          <w:sz w:val="24"/>
          <w:szCs w:val="24"/>
        </w:rPr>
      </w:pPr>
      <w:r w:rsidRPr="00120C5C">
        <w:rPr>
          <w:rFonts w:ascii="Times New Roman" w:hAnsi="Times New Roman" w:cs="Times New Roman"/>
          <w:b/>
          <w:sz w:val="24"/>
          <w:szCs w:val="24"/>
        </w:rPr>
        <w:lastRenderedPageBreak/>
        <w:t xml:space="preserve">Table </w:t>
      </w:r>
      <w:r w:rsidR="00B1727A" w:rsidRPr="00120C5C">
        <w:rPr>
          <w:rFonts w:ascii="Times New Roman" w:hAnsi="Times New Roman" w:cs="Times New Roman"/>
          <w:b/>
          <w:sz w:val="24"/>
          <w:szCs w:val="24"/>
        </w:rPr>
        <w:t>2 Cultural and Microscopic characteristics of Fungi isolated from hydrocarbon-contaminated soil</w:t>
      </w:r>
    </w:p>
    <w:p w:rsidR="00120C5C" w:rsidRDefault="00120C5C" w:rsidP="00120C5C">
      <w:pPr>
        <w:spacing w:after="0" w:line="240" w:lineRule="auto"/>
        <w:ind w:left="720" w:hanging="720"/>
        <w:jc w:val="both"/>
        <w:rPr>
          <w:rFonts w:ascii="Times New Roman" w:hAnsi="Times New Roman" w:cs="Times New Roman"/>
          <w:b/>
          <w:sz w:val="24"/>
          <w:szCs w:val="24"/>
        </w:rPr>
      </w:pPr>
    </w:p>
    <w:tbl>
      <w:tblPr>
        <w:tblStyle w:val="TableGrid"/>
        <w:tblW w:w="11610" w:type="dxa"/>
        <w:tblInd w:w="-1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870"/>
        <w:gridCol w:w="3690"/>
        <w:gridCol w:w="2610"/>
      </w:tblGrid>
      <w:tr w:rsidR="00120C5C" w:rsidTr="00120C5C">
        <w:tc>
          <w:tcPr>
            <w:tcW w:w="1440" w:type="dxa"/>
            <w:tcBorders>
              <w:top w:val="single" w:sz="4" w:space="0" w:color="auto"/>
              <w:bottom w:val="single" w:sz="4" w:space="0" w:color="auto"/>
            </w:tcBorders>
          </w:tcPr>
          <w:p w:rsidR="00120C5C" w:rsidRPr="00120C5C" w:rsidRDefault="00120C5C" w:rsidP="00120C5C">
            <w:pPr>
              <w:spacing w:line="480" w:lineRule="auto"/>
              <w:jc w:val="both"/>
              <w:rPr>
                <w:rFonts w:eastAsia="Calibri"/>
                <w:b/>
                <w:sz w:val="24"/>
                <w:szCs w:val="24"/>
              </w:rPr>
            </w:pPr>
            <w:r w:rsidRPr="00120C5C">
              <w:rPr>
                <w:rFonts w:eastAsia="Calibri"/>
                <w:b/>
                <w:sz w:val="24"/>
                <w:szCs w:val="24"/>
              </w:rPr>
              <w:t>Isolate code</w:t>
            </w:r>
          </w:p>
        </w:tc>
        <w:tc>
          <w:tcPr>
            <w:tcW w:w="3870" w:type="dxa"/>
            <w:tcBorders>
              <w:top w:val="single" w:sz="4" w:space="0" w:color="auto"/>
              <w:bottom w:val="single" w:sz="4" w:space="0" w:color="auto"/>
            </w:tcBorders>
          </w:tcPr>
          <w:p w:rsidR="00120C5C" w:rsidRPr="00120C5C" w:rsidRDefault="00120C5C" w:rsidP="00120C5C">
            <w:pPr>
              <w:spacing w:line="480" w:lineRule="auto"/>
              <w:jc w:val="both"/>
              <w:rPr>
                <w:rFonts w:eastAsia="Calibri"/>
                <w:b/>
                <w:sz w:val="24"/>
                <w:szCs w:val="24"/>
              </w:rPr>
            </w:pPr>
            <w:r w:rsidRPr="00120C5C">
              <w:rPr>
                <w:rFonts w:eastAsia="Calibri"/>
                <w:b/>
                <w:sz w:val="24"/>
                <w:szCs w:val="24"/>
              </w:rPr>
              <w:t xml:space="preserve">Macroscopic </w:t>
            </w:r>
            <w:r>
              <w:rPr>
                <w:rFonts w:eastAsia="Calibri"/>
                <w:b/>
                <w:sz w:val="24"/>
                <w:szCs w:val="24"/>
              </w:rPr>
              <w:t>characteristics</w:t>
            </w:r>
          </w:p>
        </w:tc>
        <w:tc>
          <w:tcPr>
            <w:tcW w:w="3690" w:type="dxa"/>
            <w:tcBorders>
              <w:top w:val="single" w:sz="4" w:space="0" w:color="auto"/>
              <w:bottom w:val="single" w:sz="4" w:space="0" w:color="auto"/>
            </w:tcBorders>
          </w:tcPr>
          <w:p w:rsidR="00120C5C" w:rsidRPr="00120C5C" w:rsidRDefault="00120C5C" w:rsidP="00120C5C">
            <w:pPr>
              <w:spacing w:line="480" w:lineRule="auto"/>
              <w:jc w:val="both"/>
              <w:rPr>
                <w:rFonts w:eastAsia="Calibri"/>
                <w:b/>
                <w:sz w:val="24"/>
                <w:szCs w:val="24"/>
              </w:rPr>
            </w:pPr>
            <w:r w:rsidRPr="00120C5C">
              <w:rPr>
                <w:rFonts w:eastAsia="Calibri"/>
                <w:b/>
                <w:sz w:val="24"/>
                <w:szCs w:val="24"/>
              </w:rPr>
              <w:t>Mi</w:t>
            </w:r>
            <w:r>
              <w:rPr>
                <w:rFonts w:eastAsia="Calibri"/>
                <w:b/>
                <w:sz w:val="24"/>
                <w:szCs w:val="24"/>
              </w:rPr>
              <w:t>croscopic characteristics</w:t>
            </w:r>
          </w:p>
        </w:tc>
        <w:tc>
          <w:tcPr>
            <w:tcW w:w="2610" w:type="dxa"/>
            <w:tcBorders>
              <w:top w:val="single" w:sz="4" w:space="0" w:color="auto"/>
              <w:bottom w:val="single" w:sz="4" w:space="0" w:color="auto"/>
            </w:tcBorders>
          </w:tcPr>
          <w:p w:rsidR="00120C5C" w:rsidRPr="00120C5C" w:rsidRDefault="00120C5C" w:rsidP="00120C5C">
            <w:pPr>
              <w:spacing w:line="480" w:lineRule="auto"/>
              <w:jc w:val="both"/>
              <w:rPr>
                <w:rFonts w:eastAsia="Calibri"/>
                <w:b/>
                <w:sz w:val="24"/>
                <w:szCs w:val="24"/>
              </w:rPr>
            </w:pPr>
            <w:r w:rsidRPr="00120C5C">
              <w:rPr>
                <w:rFonts w:eastAsia="Calibri"/>
                <w:b/>
                <w:sz w:val="24"/>
                <w:szCs w:val="24"/>
              </w:rPr>
              <w:t>Inference</w:t>
            </w:r>
          </w:p>
        </w:tc>
      </w:tr>
      <w:tr w:rsidR="00120C5C" w:rsidTr="00120C5C">
        <w:tc>
          <w:tcPr>
            <w:tcW w:w="1440" w:type="dxa"/>
            <w:tcBorders>
              <w:top w:val="single" w:sz="4" w:space="0" w:color="auto"/>
              <w:bottom w:val="nil"/>
            </w:tcBorders>
          </w:tcPr>
          <w:p w:rsidR="00120C5C" w:rsidRPr="000138CA" w:rsidRDefault="00120C5C" w:rsidP="00120C5C">
            <w:pPr>
              <w:spacing w:line="480" w:lineRule="auto"/>
              <w:jc w:val="both"/>
              <w:rPr>
                <w:rFonts w:eastAsia="Calibri"/>
                <w:sz w:val="24"/>
                <w:szCs w:val="24"/>
              </w:rPr>
            </w:pPr>
            <w:r w:rsidRPr="000138CA">
              <w:rPr>
                <w:rFonts w:eastAsia="Calibri"/>
                <w:sz w:val="24"/>
                <w:szCs w:val="24"/>
              </w:rPr>
              <w:t>F1</w:t>
            </w:r>
          </w:p>
        </w:tc>
        <w:tc>
          <w:tcPr>
            <w:tcW w:w="3870" w:type="dxa"/>
            <w:tcBorders>
              <w:top w:val="single" w:sz="4" w:space="0" w:color="auto"/>
              <w:bottom w:val="nil"/>
            </w:tcBorders>
          </w:tcPr>
          <w:p w:rsidR="00120C5C" w:rsidRDefault="00120C5C" w:rsidP="00120C5C">
            <w:pPr>
              <w:jc w:val="both"/>
              <w:rPr>
                <w:rFonts w:eastAsia="Calibri"/>
                <w:sz w:val="24"/>
                <w:szCs w:val="24"/>
              </w:rPr>
            </w:pPr>
            <w:r w:rsidRPr="000138CA">
              <w:rPr>
                <w:rFonts w:eastAsia="Calibri"/>
                <w:sz w:val="24"/>
                <w:szCs w:val="24"/>
              </w:rPr>
              <w:t>Yellow-green, velvety colony; Pale yellow</w:t>
            </w:r>
          </w:p>
          <w:p w:rsidR="00120C5C" w:rsidRPr="000138CA" w:rsidRDefault="00120C5C" w:rsidP="00120C5C">
            <w:pPr>
              <w:jc w:val="both"/>
              <w:rPr>
                <w:rFonts w:eastAsia="Calibri"/>
                <w:sz w:val="24"/>
                <w:szCs w:val="24"/>
              </w:rPr>
            </w:pPr>
          </w:p>
        </w:tc>
        <w:tc>
          <w:tcPr>
            <w:tcW w:w="3690" w:type="dxa"/>
            <w:tcBorders>
              <w:top w:val="single" w:sz="4" w:space="0" w:color="auto"/>
              <w:bottom w:val="nil"/>
            </w:tcBorders>
          </w:tcPr>
          <w:p w:rsidR="00120C5C" w:rsidRPr="000138CA" w:rsidRDefault="00120C5C" w:rsidP="00120C5C">
            <w:pPr>
              <w:jc w:val="both"/>
              <w:rPr>
                <w:rFonts w:eastAsia="Calibri"/>
                <w:sz w:val="24"/>
                <w:szCs w:val="24"/>
              </w:rPr>
            </w:pPr>
            <w:proofErr w:type="spellStart"/>
            <w:r w:rsidRPr="000138CA">
              <w:rPr>
                <w:rFonts w:eastAsia="Calibri"/>
                <w:sz w:val="24"/>
                <w:szCs w:val="24"/>
              </w:rPr>
              <w:t>Biseriate</w:t>
            </w:r>
            <w:proofErr w:type="spellEnd"/>
            <w:r w:rsidRPr="000138CA">
              <w:rPr>
                <w:rFonts w:eastAsia="Calibri"/>
                <w:sz w:val="24"/>
                <w:szCs w:val="24"/>
              </w:rPr>
              <w:t xml:space="preserve"> </w:t>
            </w:r>
            <w:proofErr w:type="spellStart"/>
            <w:r w:rsidRPr="000138CA">
              <w:rPr>
                <w:rFonts w:eastAsia="Calibri"/>
                <w:sz w:val="24"/>
                <w:szCs w:val="24"/>
              </w:rPr>
              <w:t>phialides</w:t>
            </w:r>
            <w:proofErr w:type="spellEnd"/>
            <w:r w:rsidRPr="000138CA">
              <w:rPr>
                <w:rFonts w:eastAsia="Calibri"/>
                <w:sz w:val="24"/>
                <w:szCs w:val="24"/>
              </w:rPr>
              <w:t xml:space="preserve"> on vesicles; rough </w:t>
            </w:r>
            <w:proofErr w:type="spellStart"/>
            <w:r w:rsidRPr="000138CA">
              <w:rPr>
                <w:rFonts w:eastAsia="Calibri"/>
                <w:sz w:val="24"/>
                <w:szCs w:val="24"/>
              </w:rPr>
              <w:t>globose</w:t>
            </w:r>
            <w:proofErr w:type="spellEnd"/>
            <w:r w:rsidRPr="000138CA">
              <w:rPr>
                <w:rFonts w:eastAsia="Calibri"/>
                <w:sz w:val="24"/>
                <w:szCs w:val="24"/>
              </w:rPr>
              <w:t xml:space="preserve"> conidia</w:t>
            </w:r>
          </w:p>
        </w:tc>
        <w:tc>
          <w:tcPr>
            <w:tcW w:w="2610" w:type="dxa"/>
            <w:tcBorders>
              <w:top w:val="single" w:sz="4" w:space="0" w:color="auto"/>
              <w:bottom w:val="nil"/>
            </w:tcBorders>
          </w:tcPr>
          <w:p w:rsidR="00120C5C" w:rsidRPr="000138CA" w:rsidRDefault="00120C5C" w:rsidP="00120C5C">
            <w:pPr>
              <w:jc w:val="both"/>
              <w:rPr>
                <w:rFonts w:eastAsia="Calibri"/>
                <w:i/>
                <w:iCs/>
                <w:sz w:val="24"/>
                <w:szCs w:val="24"/>
              </w:rPr>
            </w:pPr>
            <w:proofErr w:type="spellStart"/>
            <w:r w:rsidRPr="000138CA">
              <w:rPr>
                <w:rFonts w:eastAsia="Calibri"/>
                <w:i/>
                <w:iCs/>
                <w:sz w:val="24"/>
                <w:szCs w:val="24"/>
              </w:rPr>
              <w:t>Aspergillus</w:t>
            </w:r>
            <w:proofErr w:type="spellEnd"/>
            <w:r w:rsidRPr="000138CA">
              <w:rPr>
                <w:rFonts w:eastAsia="Calibri"/>
                <w:i/>
                <w:iCs/>
                <w:sz w:val="24"/>
                <w:szCs w:val="24"/>
              </w:rPr>
              <w:t xml:space="preserve"> </w:t>
            </w:r>
            <w:proofErr w:type="spellStart"/>
            <w:r w:rsidRPr="000138CA">
              <w:rPr>
                <w:rFonts w:eastAsia="Calibri"/>
                <w:i/>
                <w:iCs/>
                <w:sz w:val="24"/>
                <w:szCs w:val="24"/>
              </w:rPr>
              <w:t>flavus</w:t>
            </w:r>
            <w:proofErr w:type="spellEnd"/>
          </w:p>
        </w:tc>
      </w:tr>
      <w:tr w:rsidR="00120C5C" w:rsidTr="00120C5C">
        <w:tc>
          <w:tcPr>
            <w:tcW w:w="1440" w:type="dxa"/>
            <w:tcBorders>
              <w:top w:val="nil"/>
            </w:tcBorders>
          </w:tcPr>
          <w:p w:rsidR="00120C5C" w:rsidRPr="000138CA" w:rsidRDefault="00120C5C" w:rsidP="00120C5C">
            <w:pPr>
              <w:spacing w:line="480" w:lineRule="auto"/>
              <w:jc w:val="both"/>
              <w:rPr>
                <w:rFonts w:eastAsia="Calibri"/>
                <w:sz w:val="24"/>
                <w:szCs w:val="24"/>
              </w:rPr>
            </w:pPr>
            <w:r w:rsidRPr="000138CA">
              <w:rPr>
                <w:rFonts w:eastAsia="Calibri"/>
                <w:sz w:val="24"/>
                <w:szCs w:val="24"/>
              </w:rPr>
              <w:t>F2</w:t>
            </w:r>
          </w:p>
        </w:tc>
        <w:tc>
          <w:tcPr>
            <w:tcW w:w="3870" w:type="dxa"/>
            <w:tcBorders>
              <w:top w:val="nil"/>
            </w:tcBorders>
          </w:tcPr>
          <w:p w:rsidR="00120C5C" w:rsidRDefault="00120C5C" w:rsidP="00120C5C">
            <w:pPr>
              <w:jc w:val="both"/>
              <w:rPr>
                <w:rFonts w:eastAsia="Calibri"/>
                <w:sz w:val="24"/>
                <w:szCs w:val="24"/>
              </w:rPr>
            </w:pPr>
            <w:r w:rsidRPr="000138CA">
              <w:rPr>
                <w:rFonts w:eastAsia="Calibri"/>
                <w:sz w:val="24"/>
                <w:szCs w:val="24"/>
              </w:rPr>
              <w:t>Jet-black, powdery colony; pale yellow</w:t>
            </w:r>
          </w:p>
          <w:p w:rsidR="00120C5C" w:rsidRPr="000138CA" w:rsidRDefault="00120C5C" w:rsidP="00120C5C">
            <w:pPr>
              <w:jc w:val="both"/>
              <w:rPr>
                <w:rFonts w:eastAsia="Calibri"/>
                <w:sz w:val="24"/>
                <w:szCs w:val="24"/>
              </w:rPr>
            </w:pPr>
          </w:p>
        </w:tc>
        <w:tc>
          <w:tcPr>
            <w:tcW w:w="3690" w:type="dxa"/>
            <w:tcBorders>
              <w:top w:val="nil"/>
            </w:tcBorders>
          </w:tcPr>
          <w:p w:rsidR="00120C5C" w:rsidRPr="000138CA" w:rsidRDefault="00120C5C" w:rsidP="00120C5C">
            <w:pPr>
              <w:jc w:val="both"/>
              <w:rPr>
                <w:rFonts w:eastAsia="Calibri"/>
                <w:sz w:val="24"/>
                <w:szCs w:val="24"/>
              </w:rPr>
            </w:pPr>
            <w:r w:rsidRPr="000138CA">
              <w:rPr>
                <w:rFonts w:eastAsia="Calibri"/>
                <w:sz w:val="24"/>
                <w:szCs w:val="24"/>
              </w:rPr>
              <w:t xml:space="preserve">Radiate black conidial heads; </w:t>
            </w:r>
            <w:proofErr w:type="spellStart"/>
            <w:r w:rsidRPr="000138CA">
              <w:rPr>
                <w:rFonts w:eastAsia="Calibri"/>
                <w:sz w:val="24"/>
                <w:szCs w:val="24"/>
              </w:rPr>
              <w:t>biseriate</w:t>
            </w:r>
            <w:proofErr w:type="spellEnd"/>
            <w:r w:rsidRPr="000138CA">
              <w:rPr>
                <w:rFonts w:eastAsia="Calibri"/>
                <w:sz w:val="24"/>
                <w:szCs w:val="24"/>
              </w:rPr>
              <w:t xml:space="preserve"> </w:t>
            </w:r>
            <w:proofErr w:type="spellStart"/>
            <w:r w:rsidRPr="000138CA">
              <w:rPr>
                <w:rFonts w:eastAsia="Calibri"/>
                <w:sz w:val="24"/>
                <w:szCs w:val="24"/>
              </w:rPr>
              <w:t>phialides</w:t>
            </w:r>
            <w:proofErr w:type="spellEnd"/>
          </w:p>
        </w:tc>
        <w:tc>
          <w:tcPr>
            <w:tcW w:w="2610" w:type="dxa"/>
            <w:tcBorders>
              <w:top w:val="nil"/>
            </w:tcBorders>
          </w:tcPr>
          <w:p w:rsidR="00120C5C" w:rsidRPr="000138CA" w:rsidRDefault="00120C5C" w:rsidP="00120C5C">
            <w:pPr>
              <w:jc w:val="both"/>
              <w:rPr>
                <w:rFonts w:eastAsia="Calibri"/>
                <w:i/>
                <w:iCs/>
                <w:sz w:val="24"/>
                <w:szCs w:val="24"/>
              </w:rPr>
            </w:pPr>
            <w:proofErr w:type="spellStart"/>
            <w:r w:rsidRPr="000138CA">
              <w:rPr>
                <w:rFonts w:eastAsia="Calibri"/>
                <w:i/>
                <w:iCs/>
                <w:sz w:val="24"/>
                <w:szCs w:val="24"/>
              </w:rPr>
              <w:t>Aspergillus</w:t>
            </w:r>
            <w:proofErr w:type="spellEnd"/>
            <w:r w:rsidRPr="000138CA">
              <w:rPr>
                <w:rFonts w:eastAsia="Calibri"/>
                <w:i/>
                <w:iCs/>
                <w:sz w:val="24"/>
                <w:szCs w:val="24"/>
              </w:rPr>
              <w:t xml:space="preserve"> </w:t>
            </w:r>
            <w:proofErr w:type="spellStart"/>
            <w:r w:rsidRPr="000138CA">
              <w:rPr>
                <w:rFonts w:eastAsia="Calibri"/>
                <w:i/>
                <w:iCs/>
                <w:sz w:val="24"/>
                <w:szCs w:val="24"/>
              </w:rPr>
              <w:t>niger</w:t>
            </w:r>
            <w:proofErr w:type="spellEnd"/>
          </w:p>
        </w:tc>
      </w:tr>
      <w:tr w:rsidR="00120C5C" w:rsidTr="00120C5C">
        <w:tc>
          <w:tcPr>
            <w:tcW w:w="1440" w:type="dxa"/>
          </w:tcPr>
          <w:p w:rsidR="00120C5C" w:rsidRPr="000138CA" w:rsidRDefault="00120C5C" w:rsidP="00120C5C">
            <w:pPr>
              <w:spacing w:line="480" w:lineRule="auto"/>
              <w:jc w:val="both"/>
              <w:rPr>
                <w:rFonts w:eastAsia="Calibri"/>
                <w:sz w:val="24"/>
                <w:szCs w:val="24"/>
              </w:rPr>
            </w:pPr>
            <w:r w:rsidRPr="000138CA">
              <w:rPr>
                <w:rFonts w:eastAsia="Calibri"/>
                <w:sz w:val="24"/>
                <w:szCs w:val="24"/>
              </w:rPr>
              <w:t>F3</w:t>
            </w:r>
          </w:p>
        </w:tc>
        <w:tc>
          <w:tcPr>
            <w:tcW w:w="3870" w:type="dxa"/>
          </w:tcPr>
          <w:p w:rsidR="00120C5C" w:rsidRDefault="00120C5C" w:rsidP="00120C5C">
            <w:pPr>
              <w:jc w:val="both"/>
              <w:rPr>
                <w:rFonts w:eastAsia="Calibri"/>
                <w:sz w:val="24"/>
                <w:szCs w:val="24"/>
              </w:rPr>
            </w:pPr>
            <w:r w:rsidRPr="000138CA">
              <w:rPr>
                <w:rFonts w:eastAsia="Calibri"/>
                <w:sz w:val="24"/>
                <w:szCs w:val="24"/>
              </w:rPr>
              <w:t>Green-blue velvety colony; smooth margin</w:t>
            </w:r>
          </w:p>
          <w:p w:rsidR="00120C5C" w:rsidRPr="000138CA" w:rsidRDefault="00120C5C" w:rsidP="00120C5C">
            <w:pPr>
              <w:jc w:val="both"/>
              <w:rPr>
                <w:rFonts w:eastAsia="Calibri"/>
                <w:sz w:val="24"/>
                <w:szCs w:val="24"/>
              </w:rPr>
            </w:pPr>
          </w:p>
        </w:tc>
        <w:tc>
          <w:tcPr>
            <w:tcW w:w="3690" w:type="dxa"/>
          </w:tcPr>
          <w:p w:rsidR="00120C5C" w:rsidRPr="000138CA" w:rsidRDefault="00120C5C" w:rsidP="00120C5C">
            <w:pPr>
              <w:jc w:val="both"/>
              <w:rPr>
                <w:rFonts w:eastAsia="Calibri"/>
                <w:sz w:val="24"/>
                <w:szCs w:val="24"/>
              </w:rPr>
            </w:pPr>
            <w:r w:rsidRPr="000138CA">
              <w:rPr>
                <w:rFonts w:eastAsia="Calibri"/>
                <w:sz w:val="24"/>
                <w:szCs w:val="24"/>
              </w:rPr>
              <w:t xml:space="preserve">Brush-like </w:t>
            </w:r>
            <w:proofErr w:type="spellStart"/>
            <w:r w:rsidRPr="000138CA">
              <w:rPr>
                <w:rFonts w:eastAsia="Calibri"/>
                <w:sz w:val="24"/>
                <w:szCs w:val="24"/>
              </w:rPr>
              <w:t>penicillus</w:t>
            </w:r>
            <w:proofErr w:type="spellEnd"/>
            <w:r w:rsidRPr="000138CA">
              <w:rPr>
                <w:rFonts w:eastAsia="Calibri"/>
                <w:sz w:val="24"/>
                <w:szCs w:val="24"/>
              </w:rPr>
              <w:t>; ovoid conidia</w:t>
            </w:r>
          </w:p>
        </w:tc>
        <w:tc>
          <w:tcPr>
            <w:tcW w:w="2610" w:type="dxa"/>
          </w:tcPr>
          <w:p w:rsidR="00120C5C" w:rsidRPr="000138CA" w:rsidRDefault="00120C5C" w:rsidP="00120C5C">
            <w:pPr>
              <w:jc w:val="both"/>
              <w:rPr>
                <w:rFonts w:eastAsia="Calibri"/>
                <w:sz w:val="24"/>
                <w:szCs w:val="24"/>
              </w:rPr>
            </w:pPr>
            <w:proofErr w:type="spellStart"/>
            <w:r w:rsidRPr="000138CA">
              <w:rPr>
                <w:rFonts w:eastAsia="Calibri"/>
                <w:i/>
                <w:iCs/>
                <w:sz w:val="24"/>
                <w:szCs w:val="24"/>
              </w:rPr>
              <w:t>Penicillium</w:t>
            </w:r>
            <w:proofErr w:type="spellEnd"/>
            <w:r w:rsidRPr="000138CA">
              <w:rPr>
                <w:rFonts w:eastAsia="Calibri"/>
                <w:sz w:val="24"/>
                <w:szCs w:val="24"/>
              </w:rPr>
              <w:t xml:space="preserve"> </w:t>
            </w:r>
            <w:proofErr w:type="spellStart"/>
            <w:r w:rsidRPr="000138CA">
              <w:rPr>
                <w:rFonts w:eastAsia="Calibri"/>
                <w:i/>
                <w:iCs/>
                <w:sz w:val="24"/>
                <w:szCs w:val="24"/>
              </w:rPr>
              <w:t>notatum</w:t>
            </w:r>
            <w:proofErr w:type="spellEnd"/>
          </w:p>
        </w:tc>
      </w:tr>
      <w:tr w:rsidR="00120C5C" w:rsidTr="00120C5C">
        <w:tc>
          <w:tcPr>
            <w:tcW w:w="1440" w:type="dxa"/>
          </w:tcPr>
          <w:p w:rsidR="00120C5C" w:rsidRPr="000138CA" w:rsidRDefault="00120C5C" w:rsidP="00120C5C">
            <w:pPr>
              <w:spacing w:line="480" w:lineRule="auto"/>
              <w:jc w:val="both"/>
              <w:rPr>
                <w:rFonts w:eastAsia="Calibri"/>
                <w:sz w:val="24"/>
                <w:szCs w:val="24"/>
              </w:rPr>
            </w:pPr>
            <w:r w:rsidRPr="000138CA">
              <w:rPr>
                <w:rFonts w:eastAsia="Calibri"/>
                <w:sz w:val="24"/>
                <w:szCs w:val="24"/>
              </w:rPr>
              <w:t>F4</w:t>
            </w:r>
          </w:p>
        </w:tc>
        <w:tc>
          <w:tcPr>
            <w:tcW w:w="3870" w:type="dxa"/>
          </w:tcPr>
          <w:p w:rsidR="00120C5C" w:rsidRPr="000138CA" w:rsidRDefault="00120C5C" w:rsidP="00120C5C">
            <w:pPr>
              <w:jc w:val="both"/>
              <w:rPr>
                <w:rFonts w:eastAsia="Calibri"/>
                <w:sz w:val="24"/>
                <w:szCs w:val="24"/>
              </w:rPr>
            </w:pPr>
            <w:r w:rsidRPr="000138CA">
              <w:rPr>
                <w:rFonts w:eastAsia="Calibri"/>
                <w:sz w:val="24"/>
                <w:szCs w:val="24"/>
              </w:rPr>
              <w:t>Floccose white colony turning pink/purple</w:t>
            </w:r>
          </w:p>
        </w:tc>
        <w:tc>
          <w:tcPr>
            <w:tcW w:w="3690" w:type="dxa"/>
          </w:tcPr>
          <w:p w:rsidR="00120C5C" w:rsidRPr="000138CA" w:rsidRDefault="00120C5C" w:rsidP="00120C5C">
            <w:pPr>
              <w:jc w:val="both"/>
              <w:rPr>
                <w:rFonts w:eastAsia="Calibri"/>
                <w:sz w:val="24"/>
                <w:szCs w:val="24"/>
              </w:rPr>
            </w:pPr>
            <w:r w:rsidRPr="000138CA">
              <w:rPr>
                <w:rFonts w:eastAsia="Calibri"/>
                <w:sz w:val="24"/>
                <w:szCs w:val="24"/>
              </w:rPr>
              <w:t xml:space="preserve">Canoe-shaped </w:t>
            </w:r>
            <w:proofErr w:type="spellStart"/>
            <w:r w:rsidRPr="000138CA">
              <w:rPr>
                <w:rFonts w:eastAsia="Calibri"/>
                <w:sz w:val="24"/>
                <w:szCs w:val="24"/>
              </w:rPr>
              <w:t>macroconidia</w:t>
            </w:r>
            <w:proofErr w:type="spellEnd"/>
            <w:r w:rsidRPr="000138CA">
              <w:rPr>
                <w:rFonts w:eastAsia="Calibri"/>
                <w:sz w:val="24"/>
                <w:szCs w:val="24"/>
              </w:rPr>
              <w:t xml:space="preserve">; </w:t>
            </w:r>
            <w:proofErr w:type="spellStart"/>
            <w:r w:rsidRPr="000138CA">
              <w:rPr>
                <w:rFonts w:eastAsia="Calibri"/>
                <w:sz w:val="24"/>
                <w:szCs w:val="24"/>
              </w:rPr>
              <w:t>monophialides</w:t>
            </w:r>
            <w:proofErr w:type="spellEnd"/>
            <w:r w:rsidRPr="000138CA">
              <w:rPr>
                <w:rFonts w:eastAsia="Calibri"/>
                <w:sz w:val="24"/>
                <w:szCs w:val="24"/>
              </w:rPr>
              <w:t xml:space="preserve">; </w:t>
            </w:r>
            <w:proofErr w:type="spellStart"/>
            <w:r w:rsidRPr="000138CA">
              <w:rPr>
                <w:rFonts w:eastAsia="Calibri"/>
                <w:sz w:val="24"/>
                <w:szCs w:val="24"/>
              </w:rPr>
              <w:t>chlamydospores</w:t>
            </w:r>
            <w:proofErr w:type="spellEnd"/>
          </w:p>
        </w:tc>
        <w:tc>
          <w:tcPr>
            <w:tcW w:w="2610" w:type="dxa"/>
          </w:tcPr>
          <w:p w:rsidR="00120C5C" w:rsidRPr="000138CA" w:rsidRDefault="00120C5C" w:rsidP="00120C5C">
            <w:pPr>
              <w:jc w:val="both"/>
              <w:rPr>
                <w:rFonts w:eastAsia="Calibri"/>
                <w:sz w:val="24"/>
                <w:szCs w:val="24"/>
              </w:rPr>
            </w:pPr>
            <w:proofErr w:type="spellStart"/>
            <w:r w:rsidRPr="000138CA">
              <w:rPr>
                <w:rFonts w:eastAsia="Calibri"/>
                <w:i/>
                <w:iCs/>
                <w:sz w:val="24"/>
                <w:szCs w:val="24"/>
              </w:rPr>
              <w:t>Fusarium</w:t>
            </w:r>
            <w:proofErr w:type="spellEnd"/>
            <w:r w:rsidRPr="000138CA">
              <w:rPr>
                <w:rFonts w:eastAsia="Calibri"/>
                <w:sz w:val="24"/>
                <w:szCs w:val="24"/>
              </w:rPr>
              <w:t xml:space="preserve"> </w:t>
            </w:r>
            <w:proofErr w:type="spellStart"/>
            <w:r w:rsidRPr="000138CA">
              <w:rPr>
                <w:rFonts w:eastAsia="Calibri"/>
                <w:i/>
                <w:iCs/>
                <w:sz w:val="24"/>
                <w:szCs w:val="24"/>
              </w:rPr>
              <w:t>oxysporum</w:t>
            </w:r>
            <w:proofErr w:type="spellEnd"/>
          </w:p>
        </w:tc>
      </w:tr>
    </w:tbl>
    <w:p w:rsidR="00120C5C" w:rsidRDefault="00120C5C" w:rsidP="00120C5C">
      <w:pPr>
        <w:spacing w:after="0" w:line="240" w:lineRule="auto"/>
        <w:ind w:left="720" w:hanging="720"/>
        <w:jc w:val="both"/>
        <w:rPr>
          <w:rFonts w:ascii="Times New Roman" w:hAnsi="Times New Roman" w:cs="Times New Roman"/>
          <w:b/>
          <w:sz w:val="24"/>
          <w:szCs w:val="24"/>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B1727A" w:rsidRDefault="00B1727A" w:rsidP="000138CA">
      <w:pPr>
        <w:spacing w:after="0" w:line="480" w:lineRule="auto"/>
        <w:jc w:val="both"/>
        <w:rPr>
          <w:rFonts w:ascii="Times New Roman" w:eastAsia="SimSun" w:hAnsi="Times New Roman" w:cs="Times New Roman"/>
          <w:sz w:val="24"/>
          <w:szCs w:val="24"/>
          <w:lang w:eastAsia="zh-CN"/>
        </w:rPr>
      </w:pPr>
    </w:p>
    <w:p w:rsidR="00120C5C" w:rsidRDefault="00120C5C" w:rsidP="000138CA">
      <w:pPr>
        <w:spacing w:after="0" w:line="480" w:lineRule="auto"/>
        <w:jc w:val="both"/>
        <w:rPr>
          <w:rFonts w:ascii="Times New Roman" w:eastAsia="SimSun" w:hAnsi="Times New Roman" w:cs="Times New Roman"/>
          <w:sz w:val="24"/>
          <w:szCs w:val="24"/>
          <w:lang w:eastAsia="zh-CN"/>
        </w:rPr>
      </w:pPr>
    </w:p>
    <w:p w:rsidR="00120C5C" w:rsidRDefault="00120C5C" w:rsidP="000138CA">
      <w:pPr>
        <w:spacing w:after="0" w:line="480" w:lineRule="auto"/>
        <w:jc w:val="both"/>
        <w:rPr>
          <w:rFonts w:ascii="Times New Roman" w:eastAsia="SimSun" w:hAnsi="Times New Roman" w:cs="Times New Roman"/>
          <w:sz w:val="24"/>
          <w:szCs w:val="24"/>
          <w:lang w:eastAsia="zh-CN"/>
        </w:rPr>
      </w:pPr>
    </w:p>
    <w:p w:rsidR="00120C5C" w:rsidRDefault="00120C5C" w:rsidP="000138CA">
      <w:pPr>
        <w:spacing w:after="0" w:line="480" w:lineRule="auto"/>
        <w:jc w:val="both"/>
        <w:rPr>
          <w:rFonts w:ascii="Times New Roman" w:eastAsia="SimSun" w:hAnsi="Times New Roman" w:cs="Times New Roman"/>
          <w:sz w:val="24"/>
          <w:szCs w:val="24"/>
          <w:lang w:eastAsia="zh-CN"/>
        </w:rPr>
      </w:pPr>
    </w:p>
    <w:p w:rsidR="00120C5C" w:rsidRPr="000138CA" w:rsidRDefault="00120C5C" w:rsidP="000138CA">
      <w:pPr>
        <w:spacing w:after="0" w:line="480" w:lineRule="auto"/>
        <w:jc w:val="both"/>
        <w:rPr>
          <w:rFonts w:ascii="Times New Roman" w:eastAsia="SimSun" w:hAnsi="Times New Roman" w:cs="Times New Roman"/>
          <w:sz w:val="24"/>
          <w:szCs w:val="24"/>
          <w:lang w:eastAsia="zh-CN"/>
        </w:rPr>
      </w:pPr>
    </w:p>
    <w:p w:rsidR="00B1727A" w:rsidRPr="000138CA" w:rsidRDefault="00B1727A" w:rsidP="000138CA">
      <w:pPr>
        <w:spacing w:after="0" w:line="480" w:lineRule="auto"/>
        <w:jc w:val="both"/>
        <w:rPr>
          <w:rFonts w:ascii="Times New Roman" w:eastAsia="SimSun" w:hAnsi="Times New Roman" w:cs="Times New Roman"/>
          <w:sz w:val="24"/>
          <w:szCs w:val="24"/>
          <w:lang w:eastAsia="zh-CN"/>
        </w:rPr>
      </w:pPr>
    </w:p>
    <w:p w:rsidR="00075963" w:rsidRPr="000138CA" w:rsidRDefault="00075963" w:rsidP="000138CA">
      <w:pPr>
        <w:spacing w:after="0" w:line="480" w:lineRule="auto"/>
        <w:jc w:val="both"/>
        <w:rPr>
          <w:rFonts w:ascii="Times New Roman" w:hAnsi="Times New Roman" w:cs="Times New Roman"/>
          <w:sz w:val="24"/>
          <w:szCs w:val="24"/>
        </w:rPr>
      </w:pPr>
    </w:p>
    <w:p w:rsidR="00075963" w:rsidRDefault="00075963" w:rsidP="000138CA">
      <w:pPr>
        <w:spacing w:after="0" w:line="480" w:lineRule="auto"/>
        <w:jc w:val="both"/>
        <w:rPr>
          <w:rFonts w:ascii="Times New Roman" w:hAnsi="Times New Roman" w:cs="Times New Roman"/>
          <w:sz w:val="24"/>
          <w:szCs w:val="24"/>
        </w:rPr>
      </w:pPr>
    </w:p>
    <w:p w:rsidR="00120C5C" w:rsidRDefault="00120C5C" w:rsidP="000138CA">
      <w:pPr>
        <w:spacing w:after="0" w:line="480" w:lineRule="auto"/>
        <w:jc w:val="both"/>
        <w:rPr>
          <w:rFonts w:ascii="Times New Roman" w:hAnsi="Times New Roman" w:cs="Times New Roman"/>
          <w:sz w:val="24"/>
          <w:szCs w:val="24"/>
        </w:rPr>
      </w:pPr>
    </w:p>
    <w:p w:rsidR="00120C5C" w:rsidRPr="000138CA" w:rsidRDefault="00120C5C" w:rsidP="000138CA">
      <w:pPr>
        <w:spacing w:after="0" w:line="480" w:lineRule="auto"/>
        <w:jc w:val="both"/>
        <w:rPr>
          <w:rFonts w:ascii="Times New Roman" w:hAnsi="Times New Roman" w:cs="Times New Roman"/>
          <w:sz w:val="24"/>
          <w:szCs w:val="24"/>
        </w:rPr>
      </w:pPr>
    </w:p>
    <w:p w:rsidR="00B1727A" w:rsidRPr="00A030AD" w:rsidRDefault="00A030AD" w:rsidP="000138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B1727A" w:rsidRPr="00A030AD">
        <w:rPr>
          <w:rFonts w:ascii="Times New Roman" w:hAnsi="Times New Roman" w:cs="Times New Roman"/>
          <w:b/>
          <w:sz w:val="24"/>
          <w:szCs w:val="24"/>
        </w:rPr>
        <w:t xml:space="preserve">3 Screening for </w:t>
      </w:r>
      <w:proofErr w:type="spellStart"/>
      <w:r w:rsidR="00B1727A" w:rsidRPr="00A030AD">
        <w:rPr>
          <w:rFonts w:ascii="Times New Roman" w:hAnsi="Times New Roman" w:cs="Times New Roman"/>
          <w:b/>
          <w:sz w:val="24"/>
          <w:szCs w:val="24"/>
        </w:rPr>
        <w:t>Biosurfactant</w:t>
      </w:r>
      <w:proofErr w:type="spellEnd"/>
      <w:r w:rsidR="00B1727A" w:rsidRPr="00A030AD">
        <w:rPr>
          <w:rFonts w:ascii="Times New Roman" w:hAnsi="Times New Roman" w:cs="Times New Roman"/>
          <w:b/>
          <w:sz w:val="24"/>
          <w:szCs w:val="24"/>
        </w:rPr>
        <w:t xml:space="preserve"> production</w:t>
      </w:r>
      <w:r w:rsidRPr="00A030AD">
        <w:rPr>
          <w:rFonts w:ascii="Times New Roman" w:hAnsi="Times New Roman" w:cs="Times New Roman"/>
          <w:b/>
          <w:sz w:val="24"/>
          <w:szCs w:val="24"/>
        </w:rPr>
        <w:t xml:space="preserve"> Using Three Different Assay Techniques</w:t>
      </w:r>
    </w:p>
    <w:tbl>
      <w:tblPr>
        <w:tblStyle w:val="TableGrid"/>
        <w:tblW w:w="0" w:type="auto"/>
        <w:tblLook w:val="04A0" w:firstRow="1" w:lastRow="0" w:firstColumn="1" w:lastColumn="0" w:noHBand="0" w:noVBand="1"/>
      </w:tblPr>
      <w:tblGrid>
        <w:gridCol w:w="2337"/>
        <w:gridCol w:w="2788"/>
        <w:gridCol w:w="1887"/>
        <w:gridCol w:w="2338"/>
      </w:tblGrid>
      <w:tr w:rsidR="00A030AD" w:rsidTr="00A030AD">
        <w:tc>
          <w:tcPr>
            <w:tcW w:w="2337" w:type="dxa"/>
          </w:tcPr>
          <w:p w:rsidR="00A030AD" w:rsidRDefault="00A030AD" w:rsidP="000138CA">
            <w:pPr>
              <w:spacing w:line="480" w:lineRule="auto"/>
              <w:jc w:val="both"/>
              <w:rPr>
                <w:sz w:val="24"/>
                <w:szCs w:val="24"/>
              </w:rPr>
            </w:pPr>
            <w:r>
              <w:rPr>
                <w:sz w:val="24"/>
                <w:szCs w:val="24"/>
              </w:rPr>
              <w:t>Isolate Code</w:t>
            </w:r>
          </w:p>
        </w:tc>
        <w:tc>
          <w:tcPr>
            <w:tcW w:w="2788" w:type="dxa"/>
          </w:tcPr>
          <w:p w:rsidR="00A030AD" w:rsidRDefault="00A030AD" w:rsidP="00A030AD">
            <w:pPr>
              <w:spacing w:line="480" w:lineRule="auto"/>
              <w:jc w:val="center"/>
              <w:rPr>
                <w:sz w:val="24"/>
                <w:szCs w:val="24"/>
              </w:rPr>
            </w:pPr>
            <w:r w:rsidRPr="000138CA">
              <w:rPr>
                <w:bCs/>
                <w:sz w:val="24"/>
                <w:szCs w:val="24"/>
              </w:rPr>
              <w:t>Oil spreading assay (mm)</w:t>
            </w:r>
          </w:p>
        </w:tc>
        <w:tc>
          <w:tcPr>
            <w:tcW w:w="1887" w:type="dxa"/>
          </w:tcPr>
          <w:p w:rsidR="00A030AD" w:rsidRDefault="00A030AD" w:rsidP="00A030AD">
            <w:pPr>
              <w:spacing w:line="480" w:lineRule="auto"/>
              <w:jc w:val="center"/>
              <w:rPr>
                <w:sz w:val="24"/>
                <w:szCs w:val="24"/>
              </w:rPr>
            </w:pPr>
            <w:r w:rsidRPr="000138CA">
              <w:rPr>
                <w:bCs/>
                <w:sz w:val="24"/>
                <w:szCs w:val="24"/>
              </w:rPr>
              <w:t>Drop collapse</w:t>
            </w:r>
          </w:p>
        </w:tc>
        <w:tc>
          <w:tcPr>
            <w:tcW w:w="2338" w:type="dxa"/>
          </w:tcPr>
          <w:p w:rsidR="00A030AD" w:rsidRDefault="00A030AD" w:rsidP="00A030AD">
            <w:pPr>
              <w:spacing w:line="480" w:lineRule="auto"/>
              <w:jc w:val="center"/>
              <w:rPr>
                <w:sz w:val="24"/>
                <w:szCs w:val="24"/>
              </w:rPr>
            </w:pPr>
            <w:r w:rsidRPr="000138CA">
              <w:rPr>
                <w:bCs/>
                <w:sz w:val="24"/>
                <w:szCs w:val="24"/>
              </w:rPr>
              <w:t>Emulsification index</w:t>
            </w:r>
          </w:p>
        </w:tc>
      </w:tr>
      <w:tr w:rsidR="00A030AD" w:rsidTr="00A030AD">
        <w:tc>
          <w:tcPr>
            <w:tcW w:w="2337" w:type="dxa"/>
          </w:tcPr>
          <w:p w:rsidR="00A030AD" w:rsidRPr="000138CA" w:rsidRDefault="00A030AD" w:rsidP="00A030AD">
            <w:pPr>
              <w:jc w:val="both"/>
              <w:rPr>
                <w:rFonts w:eastAsia="Calibri"/>
                <w:i/>
                <w:iCs/>
                <w:sz w:val="24"/>
                <w:szCs w:val="24"/>
              </w:rPr>
            </w:pPr>
            <w:proofErr w:type="spellStart"/>
            <w:r w:rsidRPr="000138CA">
              <w:rPr>
                <w:rFonts w:eastAsia="Calibri"/>
                <w:i/>
                <w:iCs/>
                <w:sz w:val="24"/>
                <w:szCs w:val="24"/>
              </w:rPr>
              <w:t>Aspergillus</w:t>
            </w:r>
            <w:proofErr w:type="spellEnd"/>
            <w:r w:rsidRPr="000138CA">
              <w:rPr>
                <w:rFonts w:eastAsia="Calibri"/>
                <w:i/>
                <w:iCs/>
                <w:sz w:val="24"/>
                <w:szCs w:val="24"/>
              </w:rPr>
              <w:t xml:space="preserve"> </w:t>
            </w:r>
            <w:proofErr w:type="spellStart"/>
            <w:r w:rsidRPr="000138CA">
              <w:rPr>
                <w:rFonts w:eastAsia="Calibri"/>
                <w:i/>
                <w:iCs/>
                <w:sz w:val="24"/>
                <w:szCs w:val="24"/>
              </w:rPr>
              <w:t>flavus</w:t>
            </w:r>
            <w:proofErr w:type="spellEnd"/>
          </w:p>
        </w:tc>
        <w:tc>
          <w:tcPr>
            <w:tcW w:w="2788" w:type="dxa"/>
          </w:tcPr>
          <w:p w:rsidR="00A030AD" w:rsidRDefault="00A030AD" w:rsidP="00A030AD">
            <w:pPr>
              <w:spacing w:line="480" w:lineRule="auto"/>
              <w:jc w:val="center"/>
              <w:rPr>
                <w:sz w:val="24"/>
                <w:szCs w:val="24"/>
              </w:rPr>
            </w:pPr>
            <w:r>
              <w:rPr>
                <w:sz w:val="24"/>
                <w:szCs w:val="24"/>
              </w:rPr>
              <w:t>20</w:t>
            </w:r>
          </w:p>
        </w:tc>
        <w:tc>
          <w:tcPr>
            <w:tcW w:w="1887" w:type="dxa"/>
          </w:tcPr>
          <w:p w:rsidR="00A030AD" w:rsidRDefault="00A030AD" w:rsidP="00A030AD">
            <w:pPr>
              <w:spacing w:line="480" w:lineRule="auto"/>
              <w:jc w:val="center"/>
              <w:rPr>
                <w:sz w:val="24"/>
                <w:szCs w:val="24"/>
              </w:rPr>
            </w:pPr>
            <w:r>
              <w:rPr>
                <w:sz w:val="24"/>
                <w:szCs w:val="24"/>
              </w:rPr>
              <w:t>+</w:t>
            </w:r>
          </w:p>
        </w:tc>
        <w:tc>
          <w:tcPr>
            <w:tcW w:w="2338" w:type="dxa"/>
          </w:tcPr>
          <w:p w:rsidR="00A030AD" w:rsidRDefault="00A030AD" w:rsidP="00A030AD">
            <w:pPr>
              <w:spacing w:line="480" w:lineRule="auto"/>
              <w:jc w:val="center"/>
              <w:rPr>
                <w:sz w:val="24"/>
                <w:szCs w:val="24"/>
              </w:rPr>
            </w:pPr>
            <w:r>
              <w:rPr>
                <w:sz w:val="24"/>
                <w:szCs w:val="24"/>
              </w:rPr>
              <w:t>+</w:t>
            </w:r>
          </w:p>
        </w:tc>
      </w:tr>
      <w:tr w:rsidR="00A030AD" w:rsidTr="00A030AD">
        <w:tc>
          <w:tcPr>
            <w:tcW w:w="2337" w:type="dxa"/>
          </w:tcPr>
          <w:p w:rsidR="00A030AD" w:rsidRPr="000138CA" w:rsidRDefault="00A030AD" w:rsidP="00A030AD">
            <w:pPr>
              <w:jc w:val="both"/>
              <w:rPr>
                <w:rFonts w:eastAsia="Calibri"/>
                <w:i/>
                <w:iCs/>
                <w:sz w:val="24"/>
                <w:szCs w:val="24"/>
              </w:rPr>
            </w:pPr>
            <w:proofErr w:type="spellStart"/>
            <w:r w:rsidRPr="000138CA">
              <w:rPr>
                <w:rFonts w:eastAsia="Calibri"/>
                <w:i/>
                <w:iCs/>
                <w:sz w:val="24"/>
                <w:szCs w:val="24"/>
              </w:rPr>
              <w:t>Aspergillus</w:t>
            </w:r>
            <w:proofErr w:type="spellEnd"/>
            <w:r w:rsidRPr="000138CA">
              <w:rPr>
                <w:rFonts w:eastAsia="Calibri"/>
                <w:i/>
                <w:iCs/>
                <w:sz w:val="24"/>
                <w:szCs w:val="24"/>
              </w:rPr>
              <w:t xml:space="preserve"> </w:t>
            </w:r>
            <w:proofErr w:type="spellStart"/>
            <w:r w:rsidRPr="000138CA">
              <w:rPr>
                <w:rFonts w:eastAsia="Calibri"/>
                <w:i/>
                <w:iCs/>
                <w:sz w:val="24"/>
                <w:szCs w:val="24"/>
              </w:rPr>
              <w:t>niger</w:t>
            </w:r>
            <w:proofErr w:type="spellEnd"/>
          </w:p>
        </w:tc>
        <w:tc>
          <w:tcPr>
            <w:tcW w:w="2788" w:type="dxa"/>
          </w:tcPr>
          <w:p w:rsidR="00A030AD" w:rsidRDefault="00A030AD" w:rsidP="00A030AD">
            <w:pPr>
              <w:spacing w:line="480" w:lineRule="auto"/>
              <w:jc w:val="center"/>
              <w:rPr>
                <w:sz w:val="24"/>
                <w:szCs w:val="24"/>
              </w:rPr>
            </w:pPr>
            <w:r>
              <w:rPr>
                <w:sz w:val="24"/>
                <w:szCs w:val="24"/>
              </w:rPr>
              <w:t>0</w:t>
            </w:r>
          </w:p>
        </w:tc>
        <w:tc>
          <w:tcPr>
            <w:tcW w:w="1887" w:type="dxa"/>
          </w:tcPr>
          <w:p w:rsidR="00A030AD" w:rsidRDefault="00A030AD" w:rsidP="00A030AD">
            <w:pPr>
              <w:spacing w:line="480" w:lineRule="auto"/>
              <w:jc w:val="center"/>
              <w:rPr>
                <w:sz w:val="24"/>
                <w:szCs w:val="24"/>
              </w:rPr>
            </w:pPr>
            <w:r>
              <w:rPr>
                <w:sz w:val="24"/>
                <w:szCs w:val="24"/>
              </w:rPr>
              <w:t>-</w:t>
            </w:r>
          </w:p>
        </w:tc>
        <w:tc>
          <w:tcPr>
            <w:tcW w:w="2338" w:type="dxa"/>
          </w:tcPr>
          <w:p w:rsidR="00A030AD" w:rsidRDefault="00A030AD" w:rsidP="00A030AD">
            <w:pPr>
              <w:spacing w:line="480" w:lineRule="auto"/>
              <w:jc w:val="center"/>
              <w:rPr>
                <w:sz w:val="24"/>
                <w:szCs w:val="24"/>
              </w:rPr>
            </w:pPr>
            <w:r>
              <w:rPr>
                <w:sz w:val="24"/>
                <w:szCs w:val="24"/>
              </w:rPr>
              <w:t>-</w:t>
            </w:r>
          </w:p>
        </w:tc>
      </w:tr>
      <w:tr w:rsidR="00A030AD" w:rsidTr="00A030AD">
        <w:tc>
          <w:tcPr>
            <w:tcW w:w="2337" w:type="dxa"/>
          </w:tcPr>
          <w:p w:rsidR="00A030AD" w:rsidRPr="000138CA" w:rsidRDefault="00A030AD" w:rsidP="00A030AD">
            <w:pPr>
              <w:jc w:val="both"/>
              <w:rPr>
                <w:rFonts w:eastAsia="Calibri"/>
                <w:sz w:val="24"/>
                <w:szCs w:val="24"/>
              </w:rPr>
            </w:pPr>
            <w:proofErr w:type="spellStart"/>
            <w:r w:rsidRPr="000138CA">
              <w:rPr>
                <w:rFonts w:eastAsia="Calibri"/>
                <w:i/>
                <w:iCs/>
                <w:sz w:val="24"/>
                <w:szCs w:val="24"/>
              </w:rPr>
              <w:t>Penicillium</w:t>
            </w:r>
            <w:proofErr w:type="spellEnd"/>
            <w:r w:rsidRPr="000138CA">
              <w:rPr>
                <w:rFonts w:eastAsia="Calibri"/>
                <w:sz w:val="24"/>
                <w:szCs w:val="24"/>
              </w:rPr>
              <w:t xml:space="preserve"> </w:t>
            </w:r>
            <w:proofErr w:type="spellStart"/>
            <w:r w:rsidRPr="000138CA">
              <w:rPr>
                <w:rFonts w:eastAsia="Calibri"/>
                <w:i/>
                <w:iCs/>
                <w:sz w:val="24"/>
                <w:szCs w:val="24"/>
              </w:rPr>
              <w:t>notatum</w:t>
            </w:r>
            <w:proofErr w:type="spellEnd"/>
          </w:p>
        </w:tc>
        <w:tc>
          <w:tcPr>
            <w:tcW w:w="2788" w:type="dxa"/>
          </w:tcPr>
          <w:p w:rsidR="00A030AD" w:rsidRDefault="00A030AD" w:rsidP="00A030AD">
            <w:pPr>
              <w:spacing w:line="480" w:lineRule="auto"/>
              <w:jc w:val="center"/>
              <w:rPr>
                <w:sz w:val="24"/>
                <w:szCs w:val="24"/>
              </w:rPr>
            </w:pPr>
            <w:r>
              <w:rPr>
                <w:sz w:val="24"/>
                <w:szCs w:val="24"/>
              </w:rPr>
              <w:t>0</w:t>
            </w:r>
          </w:p>
        </w:tc>
        <w:tc>
          <w:tcPr>
            <w:tcW w:w="1887" w:type="dxa"/>
          </w:tcPr>
          <w:p w:rsidR="00A030AD" w:rsidRDefault="00A030AD" w:rsidP="00A030AD">
            <w:pPr>
              <w:spacing w:line="480" w:lineRule="auto"/>
              <w:jc w:val="center"/>
              <w:rPr>
                <w:sz w:val="24"/>
                <w:szCs w:val="24"/>
              </w:rPr>
            </w:pPr>
            <w:r>
              <w:rPr>
                <w:sz w:val="24"/>
                <w:szCs w:val="24"/>
              </w:rPr>
              <w:t>-</w:t>
            </w:r>
          </w:p>
        </w:tc>
        <w:tc>
          <w:tcPr>
            <w:tcW w:w="2338" w:type="dxa"/>
          </w:tcPr>
          <w:p w:rsidR="00A030AD" w:rsidRDefault="00A030AD" w:rsidP="00A030AD">
            <w:pPr>
              <w:spacing w:line="480" w:lineRule="auto"/>
              <w:jc w:val="center"/>
              <w:rPr>
                <w:sz w:val="24"/>
                <w:szCs w:val="24"/>
              </w:rPr>
            </w:pPr>
            <w:r>
              <w:rPr>
                <w:sz w:val="24"/>
                <w:szCs w:val="24"/>
              </w:rPr>
              <w:t>-</w:t>
            </w:r>
          </w:p>
        </w:tc>
      </w:tr>
      <w:tr w:rsidR="00A030AD" w:rsidTr="00A030AD">
        <w:tc>
          <w:tcPr>
            <w:tcW w:w="2337" w:type="dxa"/>
          </w:tcPr>
          <w:p w:rsidR="00A030AD" w:rsidRPr="000138CA" w:rsidRDefault="00A030AD" w:rsidP="00A030AD">
            <w:pPr>
              <w:jc w:val="both"/>
              <w:rPr>
                <w:rFonts w:eastAsia="Calibri"/>
                <w:sz w:val="24"/>
                <w:szCs w:val="24"/>
              </w:rPr>
            </w:pPr>
            <w:proofErr w:type="spellStart"/>
            <w:r w:rsidRPr="000138CA">
              <w:rPr>
                <w:rFonts w:eastAsia="Calibri"/>
                <w:i/>
                <w:iCs/>
                <w:sz w:val="24"/>
                <w:szCs w:val="24"/>
              </w:rPr>
              <w:t>Fusarium</w:t>
            </w:r>
            <w:proofErr w:type="spellEnd"/>
            <w:r w:rsidRPr="000138CA">
              <w:rPr>
                <w:rFonts w:eastAsia="Calibri"/>
                <w:sz w:val="24"/>
                <w:szCs w:val="24"/>
              </w:rPr>
              <w:t xml:space="preserve"> </w:t>
            </w:r>
            <w:proofErr w:type="spellStart"/>
            <w:r w:rsidRPr="000138CA">
              <w:rPr>
                <w:rFonts w:eastAsia="Calibri"/>
                <w:i/>
                <w:iCs/>
                <w:sz w:val="24"/>
                <w:szCs w:val="24"/>
              </w:rPr>
              <w:t>oxysporum</w:t>
            </w:r>
            <w:proofErr w:type="spellEnd"/>
          </w:p>
        </w:tc>
        <w:tc>
          <w:tcPr>
            <w:tcW w:w="2788" w:type="dxa"/>
          </w:tcPr>
          <w:p w:rsidR="00A030AD" w:rsidRDefault="00A030AD" w:rsidP="00A030AD">
            <w:pPr>
              <w:spacing w:line="480" w:lineRule="auto"/>
              <w:jc w:val="center"/>
              <w:rPr>
                <w:sz w:val="24"/>
                <w:szCs w:val="24"/>
              </w:rPr>
            </w:pPr>
            <w:r>
              <w:rPr>
                <w:sz w:val="24"/>
                <w:szCs w:val="24"/>
              </w:rPr>
              <w:t>15</w:t>
            </w:r>
          </w:p>
        </w:tc>
        <w:tc>
          <w:tcPr>
            <w:tcW w:w="1887" w:type="dxa"/>
          </w:tcPr>
          <w:p w:rsidR="00A030AD" w:rsidRDefault="00A030AD" w:rsidP="00A030AD">
            <w:pPr>
              <w:spacing w:line="480" w:lineRule="auto"/>
              <w:jc w:val="center"/>
              <w:rPr>
                <w:sz w:val="24"/>
                <w:szCs w:val="24"/>
              </w:rPr>
            </w:pPr>
            <w:r>
              <w:rPr>
                <w:sz w:val="24"/>
                <w:szCs w:val="24"/>
              </w:rPr>
              <w:t>+</w:t>
            </w:r>
          </w:p>
        </w:tc>
        <w:tc>
          <w:tcPr>
            <w:tcW w:w="2338" w:type="dxa"/>
          </w:tcPr>
          <w:p w:rsidR="00A030AD" w:rsidRDefault="00A030AD" w:rsidP="00A030AD">
            <w:pPr>
              <w:spacing w:line="480" w:lineRule="auto"/>
              <w:jc w:val="center"/>
              <w:rPr>
                <w:sz w:val="24"/>
                <w:szCs w:val="24"/>
              </w:rPr>
            </w:pPr>
            <w:r>
              <w:rPr>
                <w:sz w:val="24"/>
                <w:szCs w:val="24"/>
              </w:rPr>
              <w:t>+</w:t>
            </w:r>
          </w:p>
        </w:tc>
      </w:tr>
    </w:tbl>
    <w:p w:rsidR="00A030AD" w:rsidRDefault="00A030AD"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Key: + = Positive, - = negative.</w:t>
      </w: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075963" w:rsidRPr="000138CA" w:rsidRDefault="00075963" w:rsidP="000138CA">
      <w:pPr>
        <w:spacing w:after="0" w:line="480" w:lineRule="auto"/>
        <w:jc w:val="both"/>
        <w:rPr>
          <w:rFonts w:ascii="Times New Roman" w:hAnsi="Times New Roman" w:cs="Times New Roman"/>
          <w:bCs/>
          <w:sz w:val="24"/>
          <w:szCs w:val="24"/>
        </w:rPr>
      </w:pPr>
    </w:p>
    <w:p w:rsidR="00075963" w:rsidRPr="000138CA" w:rsidRDefault="00075963" w:rsidP="000138CA">
      <w:pPr>
        <w:spacing w:after="0" w:line="480" w:lineRule="auto"/>
        <w:jc w:val="both"/>
        <w:rPr>
          <w:rFonts w:ascii="Times New Roman" w:hAnsi="Times New Roman" w:cs="Times New Roman"/>
          <w:bCs/>
          <w:sz w:val="24"/>
          <w:szCs w:val="24"/>
        </w:rPr>
      </w:pPr>
    </w:p>
    <w:p w:rsidR="00B1727A" w:rsidRPr="000138CA" w:rsidRDefault="00A030AD" w:rsidP="000138CA">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Table 4.</w:t>
      </w:r>
      <w:r w:rsidR="00B1727A" w:rsidRPr="000138CA">
        <w:rPr>
          <w:rFonts w:ascii="Times New Roman" w:hAnsi="Times New Roman" w:cs="Times New Roman"/>
          <w:bCs/>
          <w:sz w:val="24"/>
          <w:szCs w:val="24"/>
        </w:rPr>
        <w:t xml:space="preserve"> </w:t>
      </w:r>
      <w:proofErr w:type="spellStart"/>
      <w:r w:rsidR="00B1727A" w:rsidRPr="000138CA">
        <w:rPr>
          <w:rFonts w:ascii="Times New Roman" w:hAnsi="Times New Roman" w:cs="Times New Roman"/>
          <w:bCs/>
          <w:sz w:val="24"/>
          <w:szCs w:val="24"/>
        </w:rPr>
        <w:t>Biosurfactant</w:t>
      </w:r>
      <w:proofErr w:type="spellEnd"/>
      <w:r w:rsidR="00B1727A" w:rsidRPr="000138CA">
        <w:rPr>
          <w:rFonts w:ascii="Times New Roman" w:hAnsi="Times New Roman" w:cs="Times New Roman"/>
          <w:bCs/>
          <w:sz w:val="24"/>
          <w:szCs w:val="24"/>
        </w:rPr>
        <w:t xml:space="preserve"> produced from isolated fungi</w:t>
      </w:r>
    </w:p>
    <w:tbl>
      <w:tblPr>
        <w:tblStyle w:val="ListTable6Colorful1"/>
        <w:tblW w:w="9720" w:type="dxa"/>
        <w:tblLook w:val="04A0" w:firstRow="1" w:lastRow="0" w:firstColumn="1" w:lastColumn="0" w:noHBand="0" w:noVBand="1"/>
      </w:tblPr>
      <w:tblGrid>
        <w:gridCol w:w="3080"/>
        <w:gridCol w:w="3081"/>
        <w:gridCol w:w="3559"/>
      </w:tblGrid>
      <w:tr w:rsidR="00560766" w:rsidRPr="000138CA" w:rsidTr="00A030AD">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3080" w:type="dxa"/>
            <w:shd w:val="clear" w:color="auto" w:fill="FFFFFF" w:themeFill="background1"/>
          </w:tcPr>
          <w:p w:rsidR="00B1727A" w:rsidRPr="000138CA" w:rsidRDefault="00B1727A" w:rsidP="000138CA">
            <w:pPr>
              <w:spacing w:line="480" w:lineRule="auto"/>
              <w:jc w:val="both"/>
              <w:rPr>
                <w:sz w:val="24"/>
                <w:szCs w:val="24"/>
              </w:rPr>
            </w:pPr>
            <w:r w:rsidRPr="000138CA">
              <w:rPr>
                <w:sz w:val="24"/>
                <w:szCs w:val="24"/>
              </w:rPr>
              <w:t>Fungi</w:t>
            </w:r>
          </w:p>
        </w:tc>
        <w:tc>
          <w:tcPr>
            <w:tcW w:w="3081" w:type="dxa"/>
            <w:shd w:val="clear" w:color="auto" w:fill="FFFFFF" w:themeFill="background1"/>
          </w:tcPr>
          <w:p w:rsidR="00B1727A" w:rsidRPr="000138CA" w:rsidRDefault="00B1727A" w:rsidP="000138CA">
            <w:pPr>
              <w:spacing w:line="48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0138CA">
              <w:rPr>
                <w:sz w:val="24"/>
                <w:szCs w:val="24"/>
              </w:rPr>
              <w:t>Inoculum size (</w:t>
            </w:r>
            <w:proofErr w:type="spellStart"/>
            <w:r w:rsidRPr="000138CA">
              <w:rPr>
                <w:sz w:val="24"/>
                <w:szCs w:val="24"/>
              </w:rPr>
              <w:t>cfu</w:t>
            </w:r>
            <w:proofErr w:type="spellEnd"/>
            <w:r w:rsidRPr="000138CA">
              <w:rPr>
                <w:sz w:val="24"/>
                <w:szCs w:val="24"/>
              </w:rPr>
              <w:t>/mL)</w:t>
            </w:r>
          </w:p>
        </w:tc>
        <w:tc>
          <w:tcPr>
            <w:tcW w:w="3559" w:type="dxa"/>
            <w:shd w:val="clear" w:color="auto" w:fill="FFFFFF" w:themeFill="background1"/>
          </w:tcPr>
          <w:p w:rsidR="00B1727A" w:rsidRPr="000138CA" w:rsidRDefault="00B1727A" w:rsidP="000138CA">
            <w:pPr>
              <w:spacing w:line="480" w:lineRule="auto"/>
              <w:jc w:val="both"/>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0138CA">
              <w:rPr>
                <w:sz w:val="24"/>
                <w:szCs w:val="24"/>
              </w:rPr>
              <w:t>Biosurfactant</w:t>
            </w:r>
            <w:proofErr w:type="spellEnd"/>
            <w:r w:rsidRPr="000138CA">
              <w:rPr>
                <w:sz w:val="24"/>
                <w:szCs w:val="24"/>
              </w:rPr>
              <w:t xml:space="preserve"> produced (g/mL)</w:t>
            </w:r>
          </w:p>
        </w:tc>
      </w:tr>
      <w:tr w:rsidR="00560766" w:rsidRPr="000138CA" w:rsidTr="00A03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FFFFFF" w:themeFill="background1"/>
          </w:tcPr>
          <w:p w:rsidR="00B1727A" w:rsidRPr="000138CA" w:rsidRDefault="00B1727A" w:rsidP="000138CA">
            <w:pPr>
              <w:spacing w:line="480" w:lineRule="auto"/>
              <w:jc w:val="both"/>
              <w:rPr>
                <w:sz w:val="24"/>
                <w:szCs w:val="24"/>
              </w:rPr>
            </w:pPr>
            <w:proofErr w:type="spellStart"/>
            <w:r w:rsidRPr="000138CA">
              <w:rPr>
                <w:i/>
                <w:iCs/>
                <w:sz w:val="24"/>
                <w:szCs w:val="24"/>
              </w:rPr>
              <w:t>Aspergillus</w:t>
            </w:r>
            <w:proofErr w:type="spellEnd"/>
            <w:r w:rsidRPr="000138CA">
              <w:rPr>
                <w:i/>
                <w:iCs/>
                <w:sz w:val="24"/>
                <w:szCs w:val="24"/>
              </w:rPr>
              <w:t xml:space="preserve"> </w:t>
            </w:r>
            <w:proofErr w:type="spellStart"/>
            <w:r w:rsidRPr="000138CA">
              <w:rPr>
                <w:i/>
                <w:iCs/>
                <w:sz w:val="24"/>
                <w:szCs w:val="24"/>
              </w:rPr>
              <w:t>flavus</w:t>
            </w:r>
            <w:proofErr w:type="spellEnd"/>
          </w:p>
        </w:tc>
        <w:tc>
          <w:tcPr>
            <w:tcW w:w="3081" w:type="dxa"/>
            <w:shd w:val="clear" w:color="auto" w:fill="FFFFFF" w:themeFill="background1"/>
          </w:tcPr>
          <w:p w:rsidR="00B1727A" w:rsidRPr="000138CA" w:rsidRDefault="00B1727A" w:rsidP="000138CA">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vertAlign w:val="superscript"/>
              </w:rPr>
            </w:pPr>
            <w:r w:rsidRPr="000138CA">
              <w:rPr>
                <w:sz w:val="24"/>
                <w:szCs w:val="24"/>
              </w:rPr>
              <w:t>1.0 x 10</w:t>
            </w:r>
            <w:r w:rsidRPr="000138CA">
              <w:rPr>
                <w:sz w:val="24"/>
                <w:szCs w:val="24"/>
                <w:vertAlign w:val="superscript"/>
              </w:rPr>
              <w:t>6</w:t>
            </w:r>
          </w:p>
        </w:tc>
        <w:tc>
          <w:tcPr>
            <w:tcW w:w="3559" w:type="dxa"/>
            <w:shd w:val="clear" w:color="auto" w:fill="FFFFFF" w:themeFill="background1"/>
          </w:tcPr>
          <w:p w:rsidR="00B1727A" w:rsidRPr="000138CA" w:rsidRDefault="00B1727A" w:rsidP="000138CA">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0138CA">
              <w:rPr>
                <w:sz w:val="24"/>
                <w:szCs w:val="24"/>
              </w:rPr>
              <w:t>0.00152</w:t>
            </w:r>
          </w:p>
        </w:tc>
      </w:tr>
      <w:tr w:rsidR="00560766" w:rsidRPr="000138CA" w:rsidTr="00A030AD">
        <w:tc>
          <w:tcPr>
            <w:cnfStyle w:val="001000000000" w:firstRow="0" w:lastRow="0" w:firstColumn="1" w:lastColumn="0" w:oddVBand="0" w:evenVBand="0" w:oddHBand="0" w:evenHBand="0" w:firstRowFirstColumn="0" w:firstRowLastColumn="0" w:lastRowFirstColumn="0" w:lastRowLastColumn="0"/>
            <w:tcW w:w="3080" w:type="dxa"/>
            <w:shd w:val="clear" w:color="auto" w:fill="FFFFFF" w:themeFill="background1"/>
          </w:tcPr>
          <w:p w:rsidR="00B1727A" w:rsidRPr="000138CA" w:rsidRDefault="00B1727A" w:rsidP="000138CA">
            <w:pPr>
              <w:spacing w:line="480" w:lineRule="auto"/>
              <w:jc w:val="both"/>
              <w:rPr>
                <w:sz w:val="24"/>
                <w:szCs w:val="24"/>
              </w:rPr>
            </w:pPr>
            <w:proofErr w:type="spellStart"/>
            <w:r w:rsidRPr="000138CA">
              <w:rPr>
                <w:i/>
                <w:iCs/>
                <w:sz w:val="24"/>
                <w:szCs w:val="24"/>
              </w:rPr>
              <w:t>Fusarium</w:t>
            </w:r>
            <w:proofErr w:type="spellEnd"/>
            <w:r w:rsidRPr="000138CA">
              <w:rPr>
                <w:i/>
                <w:iCs/>
                <w:sz w:val="24"/>
                <w:szCs w:val="24"/>
              </w:rPr>
              <w:t xml:space="preserve"> </w:t>
            </w:r>
            <w:proofErr w:type="spellStart"/>
            <w:r w:rsidRPr="000138CA">
              <w:rPr>
                <w:i/>
                <w:iCs/>
                <w:sz w:val="24"/>
                <w:szCs w:val="24"/>
              </w:rPr>
              <w:t>oxysporum</w:t>
            </w:r>
            <w:proofErr w:type="spellEnd"/>
          </w:p>
        </w:tc>
        <w:tc>
          <w:tcPr>
            <w:tcW w:w="3081" w:type="dxa"/>
            <w:shd w:val="clear" w:color="auto" w:fill="FFFFFF" w:themeFill="background1"/>
          </w:tcPr>
          <w:p w:rsidR="00B1727A" w:rsidRPr="000138CA" w:rsidRDefault="00B1727A" w:rsidP="000138CA">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vertAlign w:val="superscript"/>
              </w:rPr>
            </w:pPr>
            <w:r w:rsidRPr="000138CA">
              <w:rPr>
                <w:sz w:val="24"/>
                <w:szCs w:val="24"/>
              </w:rPr>
              <w:t>1.0 x 10</w:t>
            </w:r>
            <w:r w:rsidRPr="000138CA">
              <w:rPr>
                <w:sz w:val="24"/>
                <w:szCs w:val="24"/>
                <w:vertAlign w:val="superscript"/>
              </w:rPr>
              <w:t>6</w:t>
            </w:r>
          </w:p>
        </w:tc>
        <w:tc>
          <w:tcPr>
            <w:tcW w:w="3559" w:type="dxa"/>
            <w:shd w:val="clear" w:color="auto" w:fill="FFFFFF" w:themeFill="background1"/>
          </w:tcPr>
          <w:p w:rsidR="00B1727A" w:rsidRPr="000138CA" w:rsidRDefault="00B1727A" w:rsidP="000138CA">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0138CA">
              <w:rPr>
                <w:sz w:val="24"/>
                <w:szCs w:val="24"/>
              </w:rPr>
              <w:t>0.00136</w:t>
            </w:r>
          </w:p>
        </w:tc>
      </w:tr>
    </w:tbl>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B1727A" w:rsidRPr="000138CA" w:rsidRDefault="00B1727A" w:rsidP="000138CA">
      <w:pPr>
        <w:spacing w:after="0" w:line="480" w:lineRule="auto"/>
        <w:jc w:val="both"/>
        <w:rPr>
          <w:rFonts w:ascii="Times New Roman" w:hAnsi="Times New Roman" w:cs="Times New Roman"/>
          <w:sz w:val="24"/>
          <w:szCs w:val="24"/>
        </w:rPr>
      </w:pPr>
    </w:p>
    <w:p w:rsidR="00075963" w:rsidRPr="000138CA" w:rsidRDefault="00075963" w:rsidP="000138CA">
      <w:pPr>
        <w:spacing w:after="0" w:line="480" w:lineRule="auto"/>
        <w:jc w:val="both"/>
        <w:rPr>
          <w:rFonts w:ascii="Times New Roman" w:hAnsi="Times New Roman" w:cs="Times New Roman"/>
          <w:sz w:val="24"/>
          <w:szCs w:val="24"/>
        </w:rPr>
      </w:pPr>
      <w:bookmarkStart w:id="11" w:name="_Toc213001542"/>
    </w:p>
    <w:p w:rsidR="00075963" w:rsidRPr="000138CA" w:rsidRDefault="00075963" w:rsidP="000138CA">
      <w:pPr>
        <w:spacing w:after="0" w:line="480" w:lineRule="auto"/>
        <w:jc w:val="both"/>
        <w:rPr>
          <w:rFonts w:ascii="Times New Roman" w:hAnsi="Times New Roman" w:cs="Times New Roman"/>
          <w:sz w:val="24"/>
          <w:szCs w:val="24"/>
        </w:rPr>
      </w:pPr>
    </w:p>
    <w:p w:rsidR="00552EE2" w:rsidRDefault="00552EE2" w:rsidP="000138CA">
      <w:pPr>
        <w:spacing w:after="0" w:line="480" w:lineRule="auto"/>
        <w:jc w:val="both"/>
        <w:rPr>
          <w:rFonts w:ascii="Times New Roman" w:hAnsi="Times New Roman" w:cs="Times New Roman"/>
          <w:b/>
          <w:sz w:val="24"/>
          <w:szCs w:val="24"/>
        </w:rPr>
      </w:pPr>
    </w:p>
    <w:p w:rsidR="00552EE2" w:rsidRDefault="00552EE2" w:rsidP="000138CA">
      <w:pPr>
        <w:spacing w:after="0" w:line="480" w:lineRule="auto"/>
        <w:jc w:val="both"/>
        <w:rPr>
          <w:rFonts w:ascii="Times New Roman" w:hAnsi="Times New Roman" w:cs="Times New Roman"/>
          <w:b/>
          <w:sz w:val="24"/>
          <w:szCs w:val="24"/>
        </w:rPr>
      </w:pPr>
    </w:p>
    <w:p w:rsidR="00B1727A" w:rsidRPr="00A030AD" w:rsidRDefault="00A030AD" w:rsidP="000138CA">
      <w:pPr>
        <w:spacing w:after="0" w:line="480" w:lineRule="auto"/>
        <w:jc w:val="both"/>
        <w:rPr>
          <w:rFonts w:ascii="Times New Roman" w:hAnsi="Times New Roman" w:cs="Times New Roman"/>
          <w:b/>
          <w:sz w:val="24"/>
          <w:szCs w:val="24"/>
        </w:rPr>
      </w:pPr>
      <w:r w:rsidRPr="00A030AD">
        <w:rPr>
          <w:rFonts w:ascii="Times New Roman" w:hAnsi="Times New Roman" w:cs="Times New Roman"/>
          <w:b/>
          <w:sz w:val="24"/>
          <w:szCs w:val="24"/>
        </w:rPr>
        <w:lastRenderedPageBreak/>
        <w:t>4.0 DISCUSSION</w:t>
      </w:r>
      <w:bookmarkEnd w:id="11"/>
    </w:p>
    <w:p w:rsidR="000138CA" w:rsidRPr="000138CA" w:rsidRDefault="000138C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This study provides valuable insights into 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-producing potential of indigenous fungal isolates obtained from hydrocarbon-contaminated mechanic workshop soils in </w:t>
      </w:r>
      <w:proofErr w:type="spellStart"/>
      <w:r w:rsidRPr="000138CA">
        <w:rPr>
          <w:rFonts w:ascii="Times New Roman" w:hAnsi="Times New Roman" w:cs="Times New Roman"/>
          <w:sz w:val="24"/>
          <w:szCs w:val="24"/>
        </w:rPr>
        <w:t>Danmagaji</w:t>
      </w:r>
      <w:proofErr w:type="spellEnd"/>
      <w:r w:rsidRPr="000138CA">
        <w:rPr>
          <w:rFonts w:ascii="Times New Roman" w:hAnsi="Times New Roman" w:cs="Times New Roman"/>
          <w:sz w:val="24"/>
          <w:szCs w:val="24"/>
        </w:rPr>
        <w:t xml:space="preserve">, Zaria, Nigeria. The use of multiple screening assays and diesel-amended mineral salt medium strengthens the reliability and environmental relevance of the findings. However, limitations such as the restricted sampling scope, absence of molecular identification and advanced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characterization, as well as the lack of field-scale validation, may constrain the generalizability of the results. Future studies should integrate molecular, biochemical, and pilot-scale approaches to enhance understanding and practical application of fungal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in environmental remediation.</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physicochemical parameters of the soil (slightly acidic pH, moderate electrical conductivity, low moisture content, and elevated temperature) are characteristic of hydrocarbon-contaminated sites and align with findings from similar ecological niches. The slightly acidic pH observed is consistent with reports by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 in their assessment of mechanic workshop soils in Port Harcourt. This acidity often arises from the accumulation of acidic intermediates during the incomplete microbial degradation of petroleum hydrocarbons, a process that can alter soil chemistry over time. The elevated temperatures recorded are a significant ecological factor, as noted in tropical contamination studies. Higher ambient temperatures can reduce hydrocarbon viscosity, thereby increasing their bioavailability to microorganisms, a factor implied in the selective enrichment of </w:t>
      </w:r>
      <w:proofErr w:type="spellStart"/>
      <w:r w:rsidRPr="000138CA">
        <w:rPr>
          <w:rFonts w:ascii="Times New Roman" w:hAnsi="Times New Roman" w:cs="Times New Roman"/>
          <w:sz w:val="24"/>
          <w:szCs w:val="24"/>
        </w:rPr>
        <w:t>thermotolerant</w:t>
      </w:r>
      <w:proofErr w:type="spellEnd"/>
      <w:r w:rsidRPr="000138CA">
        <w:rPr>
          <w:rFonts w:ascii="Times New Roman" w:hAnsi="Times New Roman" w:cs="Times New Roman"/>
          <w:sz w:val="24"/>
          <w:szCs w:val="24"/>
        </w:rPr>
        <w:t xml:space="preserve"> species like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sz w:val="24"/>
          <w:szCs w:val="24"/>
        </w:rPr>
        <w:t>.</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low moisture content is a typical feature of surface soils in tropical savanna climates and creates a selective pressure that favors filamentous fungi. This aligns with the observations of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 who documented similar conditions and the consequent dominance of </w:t>
      </w:r>
      <w:r w:rsidRPr="000138CA">
        <w:rPr>
          <w:rFonts w:ascii="Times New Roman" w:hAnsi="Times New Roman" w:cs="Times New Roman"/>
          <w:sz w:val="24"/>
          <w:szCs w:val="24"/>
        </w:rPr>
        <w:lastRenderedPageBreak/>
        <w:t xml:space="preserve">fungal populations in mechanic workshop environments. The </w:t>
      </w:r>
      <w:proofErr w:type="spellStart"/>
      <w:r w:rsidRPr="000138CA">
        <w:rPr>
          <w:rFonts w:ascii="Times New Roman" w:hAnsi="Times New Roman" w:cs="Times New Roman"/>
          <w:sz w:val="24"/>
          <w:szCs w:val="24"/>
        </w:rPr>
        <w:t>hyphal</w:t>
      </w:r>
      <w:proofErr w:type="spellEnd"/>
      <w:r w:rsidRPr="000138CA">
        <w:rPr>
          <w:rFonts w:ascii="Times New Roman" w:hAnsi="Times New Roman" w:cs="Times New Roman"/>
          <w:sz w:val="24"/>
          <w:szCs w:val="24"/>
        </w:rPr>
        <w:t xml:space="preserve"> network of fungi is a key adaptation for traversing air-filled pores in such semi-arid soils, providing a competitive advantage for nutrient and water access, which explains their pronounced role in these contaminated ecosystems. The moderate electrical conductivity values suggest that soluble salt concentrations are not inhibitory and may in fact support the osmotic balance and metabolic processes of adapted microorganisms, a factor often overlooked but crucial for microbial activity in stressed environments.</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isolation of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proofErr w:type="gramStart"/>
      <w:r w:rsidRPr="000138CA">
        <w:rPr>
          <w:rFonts w:ascii="Times New Roman" w:hAnsi="Times New Roman" w:cs="Times New Roman"/>
          <w:i/>
          <w:iCs/>
          <w:sz w:val="24"/>
          <w:szCs w:val="24"/>
        </w:rPr>
        <w:t>niger</w:t>
      </w:r>
      <w:proofErr w:type="spellEnd"/>
      <w:proofErr w:type="gram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Penicillium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notatum</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from the diesel-contaminated soil is strongly supported by the literature on hydrocarbon-impacted environments. This mycological profile is highly consistent with the findings of April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(2000), who isolated similar genera, including </w:t>
      </w:r>
      <w:proofErr w:type="spellStart"/>
      <w:r w:rsidRPr="000138CA">
        <w:rPr>
          <w:rFonts w:ascii="Times New Roman" w:hAnsi="Times New Roman" w:cs="Times New Roman"/>
          <w:sz w:val="24"/>
          <w:szCs w:val="24"/>
        </w:rPr>
        <w:t>Aspergillus</w:t>
      </w:r>
      <w:proofErr w:type="spellEnd"/>
      <w:r w:rsidRPr="000138CA">
        <w:rPr>
          <w:rFonts w:ascii="Times New Roman" w:hAnsi="Times New Roman" w:cs="Times New Roman"/>
          <w:sz w:val="24"/>
          <w:szCs w:val="24"/>
        </w:rPr>
        <w:t xml:space="preserve"> and </w:t>
      </w:r>
      <w:proofErr w:type="spellStart"/>
      <w:r w:rsidRPr="000138CA">
        <w:rPr>
          <w:rFonts w:ascii="Times New Roman" w:hAnsi="Times New Roman" w:cs="Times New Roman"/>
          <w:sz w:val="24"/>
          <w:szCs w:val="24"/>
        </w:rPr>
        <w:t>Penicillium</w:t>
      </w:r>
      <w:proofErr w:type="spellEnd"/>
      <w:r w:rsidRPr="000138CA">
        <w:rPr>
          <w:rFonts w:ascii="Times New Roman" w:hAnsi="Times New Roman" w:cs="Times New Roman"/>
          <w:sz w:val="24"/>
          <w:szCs w:val="24"/>
        </w:rPr>
        <w:t xml:space="preserve">, from flare pit soils in Canada, and </w:t>
      </w:r>
      <w:proofErr w:type="spellStart"/>
      <w:r w:rsidRPr="000138CA">
        <w:rPr>
          <w:rFonts w:ascii="Times New Roman" w:hAnsi="Times New Roman" w:cs="Times New Roman"/>
          <w:sz w:val="24"/>
          <w:szCs w:val="24"/>
        </w:rPr>
        <w:t>Obire</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(2020), who reported their presence in oilfield environments. More recently, </w:t>
      </w:r>
      <w:proofErr w:type="spellStart"/>
      <w:r w:rsidRPr="000138CA">
        <w:rPr>
          <w:rFonts w:ascii="Times New Roman" w:hAnsi="Times New Roman" w:cs="Times New Roman"/>
          <w:sz w:val="24"/>
          <w:szCs w:val="24"/>
        </w:rPr>
        <w:t>Aleruchi</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(2022) confirmed the prevalence of these genera in automobile workshop soils in Port Harcourt, indicating a global distribution of these resilient taxa in petroleum-rich niches. The repeated isolation of these specific genera from disparate geographic locations underscores a strong evolutionary selection for traits such as robust cell walls, versatile enzymatic profiles, and efficient stress response systems in the face of hydrocarbon toxicity.</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prevalence of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 xml:space="preserve">species, corroborates their well-documented metabolic versatility and tolerance to environmental stressors, as highlighted by </w:t>
      </w:r>
      <w:proofErr w:type="spellStart"/>
      <w:r w:rsidRPr="000138CA">
        <w:rPr>
          <w:rFonts w:ascii="Times New Roman" w:hAnsi="Times New Roman" w:cs="Times New Roman"/>
          <w:sz w:val="24"/>
          <w:szCs w:val="24"/>
        </w:rPr>
        <w:t>Tomilayo</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(2025). The coexistence of multiple species within the same genus suggests potential niche differentiation, a phenomenon observed in complex microbial communities where related taxa utilize different hydrocarbon fractions or employ complementary degradation strategies. The isolation of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further supports its documented hydrocarbon-degrading capabilities in various polluted </w:t>
      </w:r>
      <w:r w:rsidRPr="000138CA">
        <w:rPr>
          <w:rFonts w:ascii="Times New Roman" w:hAnsi="Times New Roman" w:cs="Times New Roman"/>
          <w:sz w:val="24"/>
          <w:szCs w:val="24"/>
        </w:rPr>
        <w:lastRenderedPageBreak/>
        <w:t xml:space="preserve">environments. The successful cultivation of these fungi on standard media underscores their viability and robust physiological adaptation to contamination, a testament to the selective pressure exerted by diesel, as described by </w:t>
      </w:r>
      <w:proofErr w:type="spellStart"/>
      <w:r w:rsidRPr="000138CA">
        <w:rPr>
          <w:rFonts w:ascii="Times New Roman" w:hAnsi="Times New Roman" w:cs="Times New Roman"/>
          <w:sz w:val="24"/>
          <w:szCs w:val="24"/>
        </w:rPr>
        <w:t>Izomor</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(2024). This adaptation is not merely survivalist; it is indicative of a metabolic reprogramming where hydrocarbons are recognized as a primary carbon source, a prerequisite for their application in bioremediation.</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screening results, which identified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as positive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producers, are in line with the capabilities of fungi from contaminated sites. However, the fact that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proofErr w:type="gramStart"/>
      <w:r w:rsidRPr="000138CA">
        <w:rPr>
          <w:rFonts w:ascii="Times New Roman" w:hAnsi="Times New Roman" w:cs="Times New Roman"/>
          <w:i/>
          <w:iCs/>
          <w:sz w:val="24"/>
          <w:szCs w:val="24"/>
        </w:rPr>
        <w:t>niger</w:t>
      </w:r>
      <w:proofErr w:type="spellEnd"/>
      <w:proofErr w:type="gram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Penicillium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notatum</w:t>
      </w:r>
      <w:proofErr w:type="spellEnd"/>
      <w:r w:rsidRPr="000138CA">
        <w:rPr>
          <w:rFonts w:ascii="Times New Roman" w:hAnsi="Times New Roman" w:cs="Times New Roman"/>
          <w:sz w:val="24"/>
          <w:szCs w:val="24"/>
        </w:rPr>
        <w:t xml:space="preserve"> tested negative in all assays presents a point of divergence from some literature. For instance, Mahmoud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(2024) reported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production by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proofErr w:type="gramStart"/>
      <w:r w:rsidRPr="000138CA">
        <w:rPr>
          <w:rFonts w:ascii="Times New Roman" w:hAnsi="Times New Roman" w:cs="Times New Roman"/>
          <w:i/>
          <w:iCs/>
          <w:sz w:val="24"/>
          <w:szCs w:val="24"/>
        </w:rPr>
        <w:t>niger</w:t>
      </w:r>
      <w:proofErr w:type="spellEnd"/>
      <w:proofErr w:type="gramEnd"/>
      <w:r w:rsidRPr="000138CA">
        <w:rPr>
          <w:rFonts w:ascii="Times New Roman" w:hAnsi="Times New Roman" w:cs="Times New Roman"/>
          <w:sz w:val="24"/>
          <w:szCs w:val="24"/>
        </w:rPr>
        <w:t xml:space="preserve"> isolated from petrochemical waste. This discrepancy underscores a critical point in microbial ecology and biotechnology that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production is a strain-specific trait rather than a universal characteristic of a genus. It is not guaranteed that all isolates of a species will possess or express this capability under standard screening conditions, a variability noted in broader microbial studies. This highlights the importance of extensive screening within a species to find the most potent strains, rather than assuming functionality from taxonomic identification alone.</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use of multiple screening assays (oil spreading, drop collapse, emulsification index) follows established protocols and strengthens the validity of the results. The methods are consistent with those used by </w:t>
      </w:r>
      <w:proofErr w:type="spellStart"/>
      <w:r w:rsidRPr="000138CA">
        <w:rPr>
          <w:rFonts w:ascii="Times New Roman" w:hAnsi="Times New Roman" w:cs="Times New Roman"/>
          <w:sz w:val="24"/>
          <w:szCs w:val="24"/>
        </w:rPr>
        <w:t>Pieprzyca</w:t>
      </w:r>
      <w:proofErr w:type="spellEnd"/>
      <w:r w:rsidRPr="000138CA">
        <w:rPr>
          <w:rFonts w:ascii="Times New Roman" w:hAnsi="Times New Roman" w:cs="Times New Roman"/>
          <w:sz w:val="24"/>
          <w:szCs w:val="24"/>
        </w:rPr>
        <w:t xml:space="preserve"> &amp; </w:t>
      </w:r>
      <w:proofErr w:type="spellStart"/>
      <w:r w:rsidRPr="000138CA">
        <w:rPr>
          <w:rFonts w:ascii="Times New Roman" w:hAnsi="Times New Roman" w:cs="Times New Roman"/>
          <w:sz w:val="24"/>
          <w:szCs w:val="24"/>
        </w:rPr>
        <w:t>Ziembińska-Buczyńska</w:t>
      </w:r>
      <w:proofErr w:type="spellEnd"/>
      <w:r w:rsidRPr="000138CA">
        <w:rPr>
          <w:rFonts w:ascii="Times New Roman" w:hAnsi="Times New Roman" w:cs="Times New Roman"/>
          <w:sz w:val="24"/>
          <w:szCs w:val="24"/>
        </w:rPr>
        <w:t xml:space="preserve"> (2018) and </w:t>
      </w:r>
      <w:proofErr w:type="spellStart"/>
      <w:r w:rsidRPr="000138CA">
        <w:rPr>
          <w:rFonts w:ascii="Times New Roman" w:hAnsi="Times New Roman" w:cs="Times New Roman"/>
          <w:sz w:val="24"/>
          <w:szCs w:val="24"/>
        </w:rPr>
        <w:t>Izomor</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(2024) for screening environmental isolates. The positive emulsification index (E24) for the potent isolates is particularly significant, as it demonstrates a functional property critical for bioremediation (the ability to form stable emulsions and increase hydrocarbon bioavailability). This principle is central to the role of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as described by </w:t>
      </w:r>
      <w:proofErr w:type="spellStart"/>
      <w:r w:rsidRPr="000138CA">
        <w:rPr>
          <w:rFonts w:ascii="Times New Roman" w:hAnsi="Times New Roman" w:cs="Times New Roman"/>
          <w:sz w:val="24"/>
          <w:szCs w:val="24"/>
        </w:rPr>
        <w:t>Uyar</w:t>
      </w:r>
      <w:proofErr w:type="spellEnd"/>
      <w:r w:rsidRPr="000138CA">
        <w:rPr>
          <w:rFonts w:ascii="Times New Roman" w:hAnsi="Times New Roman" w:cs="Times New Roman"/>
          <w:sz w:val="24"/>
          <w:szCs w:val="24"/>
        </w:rPr>
        <w:t xml:space="preserve"> &amp; </w:t>
      </w:r>
      <w:proofErr w:type="spellStart"/>
      <w:r w:rsidRPr="000138CA">
        <w:rPr>
          <w:rFonts w:ascii="Times New Roman" w:hAnsi="Times New Roman" w:cs="Times New Roman"/>
          <w:sz w:val="24"/>
          <w:szCs w:val="24"/>
        </w:rPr>
        <w:t>Saglam</w:t>
      </w:r>
      <w:proofErr w:type="spellEnd"/>
      <w:r w:rsidRPr="000138CA">
        <w:rPr>
          <w:rFonts w:ascii="Times New Roman" w:hAnsi="Times New Roman" w:cs="Times New Roman"/>
          <w:sz w:val="24"/>
          <w:szCs w:val="24"/>
        </w:rPr>
        <w:t xml:space="preserve"> (2021), who emphasized their function </w:t>
      </w:r>
      <w:r w:rsidRPr="000138CA">
        <w:rPr>
          <w:rFonts w:ascii="Times New Roman" w:hAnsi="Times New Roman" w:cs="Times New Roman"/>
          <w:sz w:val="24"/>
          <w:szCs w:val="24"/>
        </w:rPr>
        <w:lastRenderedPageBreak/>
        <w:t xml:space="preserve">in pseudo </w:t>
      </w:r>
      <w:proofErr w:type="spellStart"/>
      <w:r w:rsidRPr="000138CA">
        <w:rPr>
          <w:rFonts w:ascii="Times New Roman" w:hAnsi="Times New Roman" w:cs="Times New Roman"/>
          <w:sz w:val="24"/>
          <w:szCs w:val="24"/>
        </w:rPr>
        <w:t>solubilization</w:t>
      </w:r>
      <w:proofErr w:type="spellEnd"/>
      <w:r w:rsidRPr="000138CA">
        <w:rPr>
          <w:rFonts w:ascii="Times New Roman" w:hAnsi="Times New Roman" w:cs="Times New Roman"/>
          <w:sz w:val="24"/>
          <w:szCs w:val="24"/>
        </w:rPr>
        <w:t xml:space="preserve">, effectively making the diesel more accessible to the enzymatic machinery of the degrading microorganisms. The oil-spreading assay, which directly demonstrates tension-reducing activity, aligns with the foundational work of Mulligan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(1984), confirming that the produced metabolites are true surface-active agents.</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successful production of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in a Mineral Salt Medium (MSM) with diesel as the sole carbon source is a key finding that aligns with the fundamental work of Desai &amp; Banat (1997), who established that hydrophobic substrates could induce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synthesis. This confirms the adaptive response of these indigenous fungi to utilize diesel not only for growth but also to produce value-added metabolites, a concept further elaborated by </w:t>
      </w:r>
      <w:proofErr w:type="spellStart"/>
      <w:r w:rsidRPr="000138CA">
        <w:rPr>
          <w:rFonts w:ascii="Times New Roman" w:hAnsi="Times New Roman" w:cs="Times New Roman"/>
          <w:sz w:val="24"/>
          <w:szCs w:val="24"/>
        </w:rPr>
        <w:t>Chandran</w:t>
      </w:r>
      <w:proofErr w:type="spellEnd"/>
      <w:r w:rsidRPr="000138CA">
        <w:rPr>
          <w:rFonts w:ascii="Times New Roman" w:hAnsi="Times New Roman" w:cs="Times New Roman"/>
          <w:sz w:val="24"/>
          <w:szCs w:val="24"/>
        </w:rPr>
        <w:t xml:space="preserve"> &amp; Das (2010) in their work with the yeast </w:t>
      </w:r>
      <w:proofErr w:type="spellStart"/>
      <w:r w:rsidRPr="000138CA">
        <w:rPr>
          <w:rFonts w:ascii="Times New Roman" w:hAnsi="Times New Roman" w:cs="Times New Roman"/>
          <w:i/>
          <w:iCs/>
          <w:sz w:val="24"/>
          <w:szCs w:val="24"/>
        </w:rPr>
        <w:t>Trichosporon</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asahii</w:t>
      </w:r>
      <w:proofErr w:type="spellEnd"/>
      <w:r w:rsidRPr="000138CA">
        <w:rPr>
          <w:rFonts w:ascii="Times New Roman" w:hAnsi="Times New Roman" w:cs="Times New Roman"/>
          <w:sz w:val="24"/>
          <w:szCs w:val="24"/>
        </w:rPr>
        <w:t xml:space="preserve">. The production process itself, involving acid precipitation and solvent extraction, is a standard downstream processing technique widely reported in the literature for recovering diverse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The extraction of a crude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with a milky, oil-like appearance is a common physical description for many microbial glycolipids and </w:t>
      </w:r>
      <w:proofErr w:type="spellStart"/>
      <w:r w:rsidRPr="000138CA">
        <w:rPr>
          <w:rFonts w:ascii="Times New Roman" w:hAnsi="Times New Roman" w:cs="Times New Roman"/>
          <w:sz w:val="24"/>
          <w:szCs w:val="24"/>
        </w:rPr>
        <w:t>lipopeptides</w:t>
      </w:r>
      <w:proofErr w:type="spellEnd"/>
      <w:r w:rsidRPr="000138CA">
        <w:rPr>
          <w:rFonts w:ascii="Times New Roman" w:hAnsi="Times New Roman" w:cs="Times New Roman"/>
          <w:sz w:val="24"/>
          <w:szCs w:val="24"/>
        </w:rPr>
        <w:t xml:space="preserve">. While this study provided a physical characterization, the literature suggests a path for further analysis. For example, </w:t>
      </w:r>
      <w:proofErr w:type="spellStart"/>
      <w:r w:rsidRPr="000138CA">
        <w:rPr>
          <w:rFonts w:ascii="Times New Roman" w:hAnsi="Times New Roman" w:cs="Times New Roman"/>
          <w:sz w:val="24"/>
          <w:szCs w:val="24"/>
        </w:rPr>
        <w:t>Rikalović</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(2012) and Faisal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(2023) utilized advanced techniques like FTIR and GC-MS to precisely characterize the chemical structure of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from </w:t>
      </w:r>
      <w:r w:rsidRPr="000138CA">
        <w:rPr>
          <w:rFonts w:ascii="Times New Roman" w:hAnsi="Times New Roman" w:cs="Times New Roman"/>
          <w:i/>
          <w:iCs/>
          <w:sz w:val="24"/>
          <w:szCs w:val="24"/>
        </w:rPr>
        <w:t>Pseudomonas</w:t>
      </w:r>
      <w:r w:rsidRPr="000138CA">
        <w:rPr>
          <w:rFonts w:ascii="Times New Roman" w:hAnsi="Times New Roman" w:cs="Times New Roman"/>
          <w:sz w:val="24"/>
          <w:szCs w:val="24"/>
        </w:rPr>
        <w:t xml:space="preserve"> species, revealing them to be </w:t>
      </w:r>
      <w:proofErr w:type="spellStart"/>
      <w:r w:rsidRPr="000138CA">
        <w:rPr>
          <w:rFonts w:ascii="Times New Roman" w:hAnsi="Times New Roman" w:cs="Times New Roman"/>
          <w:sz w:val="24"/>
          <w:szCs w:val="24"/>
        </w:rPr>
        <w:t>rhamnolipids</w:t>
      </w:r>
      <w:proofErr w:type="spellEnd"/>
      <w:r w:rsidRPr="000138CA">
        <w:rPr>
          <w:rFonts w:ascii="Times New Roman" w:hAnsi="Times New Roman" w:cs="Times New Roman"/>
          <w:sz w:val="24"/>
          <w:szCs w:val="24"/>
        </w:rPr>
        <w:t xml:space="preserve">. Similarly, </w:t>
      </w:r>
      <w:proofErr w:type="spellStart"/>
      <w:r w:rsidRPr="000138CA">
        <w:rPr>
          <w:rFonts w:ascii="Times New Roman" w:hAnsi="Times New Roman" w:cs="Times New Roman"/>
          <w:sz w:val="24"/>
          <w:szCs w:val="24"/>
        </w:rPr>
        <w:t>Chandran</w:t>
      </w:r>
      <w:proofErr w:type="spellEnd"/>
      <w:r w:rsidRPr="000138CA">
        <w:rPr>
          <w:rFonts w:ascii="Times New Roman" w:hAnsi="Times New Roman" w:cs="Times New Roman"/>
          <w:sz w:val="24"/>
          <w:szCs w:val="24"/>
        </w:rPr>
        <w:t xml:space="preserve"> &amp; Das (2010) confirmed the glycolipid nature of their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from </w:t>
      </w:r>
      <w:r w:rsidRPr="000138CA">
        <w:rPr>
          <w:rFonts w:ascii="Times New Roman" w:hAnsi="Times New Roman" w:cs="Times New Roman"/>
          <w:i/>
          <w:iCs/>
          <w:sz w:val="24"/>
          <w:szCs w:val="24"/>
        </w:rPr>
        <w:t xml:space="preserve">T. </w:t>
      </w:r>
      <w:proofErr w:type="spellStart"/>
      <w:r w:rsidRPr="000138CA">
        <w:rPr>
          <w:rFonts w:ascii="Times New Roman" w:hAnsi="Times New Roman" w:cs="Times New Roman"/>
          <w:i/>
          <w:iCs/>
          <w:sz w:val="24"/>
          <w:szCs w:val="24"/>
        </w:rPr>
        <w:t>asahii</w:t>
      </w:r>
      <w:proofErr w:type="spellEnd"/>
      <w:r w:rsidRPr="000138CA">
        <w:rPr>
          <w:rFonts w:ascii="Times New Roman" w:hAnsi="Times New Roman" w:cs="Times New Roman"/>
          <w:sz w:val="24"/>
          <w:szCs w:val="24"/>
        </w:rPr>
        <w:t xml:space="preserve"> through similar analyses. Applying these characterization methods to the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from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in future work would allow for a direct structural comparison with these well-defined molecules, potentially classifying them into known groups like </w:t>
      </w:r>
      <w:proofErr w:type="spellStart"/>
      <w:r w:rsidRPr="000138CA">
        <w:rPr>
          <w:rFonts w:ascii="Times New Roman" w:hAnsi="Times New Roman" w:cs="Times New Roman"/>
          <w:sz w:val="24"/>
          <w:szCs w:val="24"/>
        </w:rPr>
        <w:t>sophorolipids</w:t>
      </w:r>
      <w:proofErr w:type="spellEnd"/>
      <w:r w:rsidRPr="000138CA">
        <w:rPr>
          <w:rFonts w:ascii="Times New Roman" w:hAnsi="Times New Roman" w:cs="Times New Roman"/>
          <w:sz w:val="24"/>
          <w:szCs w:val="24"/>
        </w:rPr>
        <w:t xml:space="preserve"> or </w:t>
      </w:r>
      <w:proofErr w:type="spellStart"/>
      <w:r w:rsidRPr="000138CA">
        <w:rPr>
          <w:rFonts w:ascii="Times New Roman" w:hAnsi="Times New Roman" w:cs="Times New Roman"/>
          <w:sz w:val="24"/>
          <w:szCs w:val="24"/>
        </w:rPr>
        <w:t>mannosylerythritol</w:t>
      </w:r>
      <w:proofErr w:type="spellEnd"/>
      <w:r w:rsidRPr="000138CA">
        <w:rPr>
          <w:rFonts w:ascii="Times New Roman" w:hAnsi="Times New Roman" w:cs="Times New Roman"/>
          <w:sz w:val="24"/>
          <w:szCs w:val="24"/>
        </w:rPr>
        <w:t xml:space="preserve"> lipids, which are known to be produced by fungi.</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lastRenderedPageBreak/>
        <w:t>The differential yield between the two species highlights the importance of strain selection, a factor critical for process optimization as seen in bacterial systems (</w:t>
      </w:r>
      <w:proofErr w:type="spellStart"/>
      <w:r w:rsidRPr="000138CA">
        <w:rPr>
          <w:rFonts w:ascii="Times New Roman" w:hAnsi="Times New Roman" w:cs="Times New Roman"/>
          <w:sz w:val="24"/>
          <w:szCs w:val="24"/>
        </w:rPr>
        <w:t>Rikalović</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2012). The yields reported here are from a non-optimized system. The literature strongly indicates that yields can be significantly enhanced through systematic optimization of cultural parameters. Mahmoud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(2024), for instance, optimized carbon and nitrogen sources for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sz w:val="24"/>
          <w:szCs w:val="24"/>
        </w:rPr>
        <w:t xml:space="preserve"> species, while </w:t>
      </w:r>
      <w:proofErr w:type="spellStart"/>
      <w:r w:rsidRPr="000138CA">
        <w:rPr>
          <w:rFonts w:ascii="Times New Roman" w:hAnsi="Times New Roman" w:cs="Times New Roman"/>
          <w:sz w:val="24"/>
          <w:szCs w:val="24"/>
        </w:rPr>
        <w:t>Rikalović</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(2012) used response surface methodology to maximize </w:t>
      </w:r>
      <w:proofErr w:type="spellStart"/>
      <w:r w:rsidRPr="000138CA">
        <w:rPr>
          <w:rFonts w:ascii="Times New Roman" w:hAnsi="Times New Roman" w:cs="Times New Roman"/>
          <w:sz w:val="24"/>
          <w:szCs w:val="24"/>
        </w:rPr>
        <w:t>rhamnolipid</w:t>
      </w:r>
      <w:proofErr w:type="spellEnd"/>
      <w:r w:rsidRPr="000138CA">
        <w:rPr>
          <w:rFonts w:ascii="Times New Roman" w:hAnsi="Times New Roman" w:cs="Times New Roman"/>
          <w:sz w:val="24"/>
          <w:szCs w:val="24"/>
        </w:rPr>
        <w:t xml:space="preserve"> production. This presents a clear opportunity for future research to build upon these foundational findings by exploring the impact of variables such as the C/N ratio, trace elements, pH, and aeration on 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yield from these fungal isolates. Furthermore, exploring the stability of these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under various pH, temperature, and salinity conditions, as was done by </w:t>
      </w:r>
      <w:proofErr w:type="spellStart"/>
      <w:r w:rsidRPr="000138CA">
        <w:rPr>
          <w:rFonts w:ascii="Times New Roman" w:hAnsi="Times New Roman" w:cs="Times New Roman"/>
          <w:sz w:val="24"/>
          <w:szCs w:val="24"/>
        </w:rPr>
        <w:t>Rikalović</w:t>
      </w:r>
      <w:proofErr w:type="spellEnd"/>
      <w:r w:rsidRPr="000138CA">
        <w:rPr>
          <w:rFonts w:ascii="Times New Roman" w:hAnsi="Times New Roman" w:cs="Times New Roman"/>
          <w:sz w:val="24"/>
          <w:szCs w:val="24"/>
        </w:rPr>
        <w:t xml:space="preserve"> </w:t>
      </w:r>
      <w:r w:rsidRPr="000138CA">
        <w:rPr>
          <w:rFonts w:ascii="Times New Roman" w:hAnsi="Times New Roman" w:cs="Times New Roman"/>
          <w:i/>
          <w:iCs/>
          <w:sz w:val="24"/>
          <w:szCs w:val="24"/>
        </w:rPr>
        <w:t>et al.,</w:t>
      </w:r>
      <w:r w:rsidRPr="000138CA">
        <w:rPr>
          <w:rFonts w:ascii="Times New Roman" w:hAnsi="Times New Roman" w:cs="Times New Roman"/>
          <w:sz w:val="24"/>
          <w:szCs w:val="24"/>
        </w:rPr>
        <w:t xml:space="preserve"> (2012), would be a crucial next step to assess their robustness for real-world environmental applications.</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Based on the findings of this study, the following conclusions were drawn in direct relation to the stated objectives:</w:t>
      </w:r>
      <w:r w:rsidR="00425B84">
        <w:rPr>
          <w:rFonts w:ascii="Times New Roman" w:hAnsi="Times New Roman" w:cs="Times New Roman"/>
          <w:sz w:val="24"/>
          <w:szCs w:val="24"/>
        </w:rPr>
        <w:t xml:space="preserve"> </w:t>
      </w:r>
      <w:r w:rsidRPr="000138CA">
        <w:rPr>
          <w:rFonts w:ascii="Times New Roman" w:hAnsi="Times New Roman" w:cs="Times New Roman"/>
          <w:sz w:val="24"/>
          <w:szCs w:val="24"/>
        </w:rPr>
        <w:t>The soil from the mechanical workshop in Dan-</w:t>
      </w:r>
      <w:proofErr w:type="spellStart"/>
      <w:r w:rsidRPr="000138CA">
        <w:rPr>
          <w:rFonts w:ascii="Times New Roman" w:hAnsi="Times New Roman" w:cs="Times New Roman"/>
          <w:sz w:val="24"/>
          <w:szCs w:val="24"/>
        </w:rPr>
        <w:t>Magaji</w:t>
      </w:r>
      <w:proofErr w:type="spellEnd"/>
      <w:r w:rsidRPr="000138CA">
        <w:rPr>
          <w:rFonts w:ascii="Times New Roman" w:hAnsi="Times New Roman" w:cs="Times New Roman"/>
          <w:sz w:val="24"/>
          <w:szCs w:val="24"/>
        </w:rPr>
        <w:t>, Zaria, is characterized by a slightly acidic pH, elevated temperature, moderate electrical conductivity, and low moisture content, which are conditions influencing microbial activity in contaminated environments.</w:t>
      </w:r>
    </w:p>
    <w:p w:rsidR="00B1727A" w:rsidRPr="000138CA" w:rsidRDefault="00B1727A" w:rsidP="000138CA">
      <w:pPr>
        <w:spacing w:after="0" w:line="480" w:lineRule="auto"/>
        <w:jc w:val="both"/>
        <w:rPr>
          <w:rFonts w:ascii="Times New Roman" w:hAnsi="Times New Roman" w:cs="Times New Roman"/>
          <w:i/>
          <w:iCs/>
          <w:sz w:val="24"/>
          <w:szCs w:val="24"/>
        </w:rPr>
      </w:pPr>
      <w:r w:rsidRPr="000138CA">
        <w:rPr>
          <w:rFonts w:ascii="Times New Roman" w:hAnsi="Times New Roman" w:cs="Times New Roman"/>
          <w:sz w:val="24"/>
          <w:szCs w:val="24"/>
        </w:rPr>
        <w:t xml:space="preserve">The hydrocarbon-contaminated soil harbors a distinct fungal community, evidenced by the successful isolation and identification of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proofErr w:type="gramStart"/>
      <w:r w:rsidRPr="000138CA">
        <w:rPr>
          <w:rFonts w:ascii="Times New Roman" w:hAnsi="Times New Roman" w:cs="Times New Roman"/>
          <w:i/>
          <w:iCs/>
          <w:sz w:val="24"/>
          <w:szCs w:val="24"/>
        </w:rPr>
        <w:t>niger</w:t>
      </w:r>
      <w:proofErr w:type="spellEnd"/>
      <w:proofErr w:type="gram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Penicillium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notatum</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i/>
          <w:iCs/>
          <w:sz w:val="24"/>
          <w:szCs w:val="24"/>
        </w:rPr>
        <w:t>.</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Among the isolated fungi,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were identified as promising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producers, demonstrating significant surface and emulsifying activities across multiple screening assays.</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lastRenderedPageBreak/>
        <w:t xml:space="preserve">Both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flavus</w:t>
      </w:r>
      <w:proofErr w:type="spellEnd"/>
      <w:r w:rsidRPr="000138CA">
        <w:rPr>
          <w:rFonts w:ascii="Times New Roman" w:hAnsi="Times New Roman" w:cs="Times New Roman"/>
          <w:i/>
          <w:iCs/>
          <w:sz w:val="24"/>
          <w:szCs w:val="24"/>
        </w:rPr>
        <w:t xml:space="preserve"> </w:t>
      </w:r>
      <w:r w:rsidRPr="000138CA">
        <w:rPr>
          <w:rFonts w:ascii="Times New Roman" w:hAnsi="Times New Roman" w:cs="Times New Roman"/>
          <w:sz w:val="24"/>
          <w:szCs w:val="24"/>
        </w:rPr>
        <w:t>and</w:t>
      </w:r>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i/>
          <w:iCs/>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xml:space="preserve"> can utilize diesel as a sole carbon source to produce </w:t>
      </w:r>
      <w:proofErr w:type="spellStart"/>
      <w:r w:rsidRPr="000138CA">
        <w:rPr>
          <w:rFonts w:ascii="Times New Roman" w:hAnsi="Times New Roman" w:cs="Times New Roman"/>
          <w:sz w:val="24"/>
          <w:szCs w:val="24"/>
        </w:rPr>
        <w:t>biosurfactants</w:t>
      </w:r>
      <w:proofErr w:type="spellEnd"/>
      <w:r w:rsidRPr="000138CA">
        <w:rPr>
          <w:rFonts w:ascii="Times New Roman" w:hAnsi="Times New Roman" w:cs="Times New Roman"/>
          <w:sz w:val="24"/>
          <w:szCs w:val="24"/>
        </w:rPr>
        <w:t xml:space="preserve"> in a mineral salt medium, confirming their potential role in the bioremediation of diesel-contaminated soils.</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Based on the findings of this study, the following recommendations were made:</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To significantly enhance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yield from </w:t>
      </w:r>
      <w:proofErr w:type="spellStart"/>
      <w:r w:rsidRPr="000138CA">
        <w:rPr>
          <w:rFonts w:ascii="Times New Roman" w:hAnsi="Times New Roman" w:cs="Times New Roman"/>
          <w:i/>
          <w:iCs/>
          <w:sz w:val="24"/>
          <w:szCs w:val="24"/>
        </w:rPr>
        <w:t>Aspergillus</w:t>
      </w:r>
      <w:proofErr w:type="spellEnd"/>
      <w:r w:rsidRPr="000138CA">
        <w:rPr>
          <w:rFonts w:ascii="Times New Roman" w:hAnsi="Times New Roman" w:cs="Times New Roman"/>
          <w:sz w:val="24"/>
          <w:szCs w:val="24"/>
        </w:rPr>
        <w:t xml:space="preserve"> </w:t>
      </w:r>
      <w:proofErr w:type="spellStart"/>
      <w:r w:rsidRPr="000138CA">
        <w:rPr>
          <w:rFonts w:ascii="Times New Roman" w:hAnsi="Times New Roman" w:cs="Times New Roman"/>
          <w:i/>
          <w:sz w:val="24"/>
          <w:szCs w:val="24"/>
        </w:rPr>
        <w:t>flavus</w:t>
      </w:r>
      <w:proofErr w:type="spellEnd"/>
      <w:r w:rsidRPr="000138CA">
        <w:rPr>
          <w:rFonts w:ascii="Times New Roman" w:hAnsi="Times New Roman" w:cs="Times New Roman"/>
          <w:sz w:val="24"/>
          <w:szCs w:val="24"/>
        </w:rPr>
        <w:t xml:space="preserve"> and </w:t>
      </w:r>
      <w:proofErr w:type="spellStart"/>
      <w:r w:rsidRPr="000138CA">
        <w:rPr>
          <w:rFonts w:ascii="Times New Roman" w:hAnsi="Times New Roman" w:cs="Times New Roman"/>
          <w:i/>
          <w:iCs/>
          <w:sz w:val="24"/>
          <w:szCs w:val="24"/>
        </w:rPr>
        <w:t>Fusarium</w:t>
      </w:r>
      <w:proofErr w:type="spellEnd"/>
      <w:r w:rsidRPr="000138CA">
        <w:rPr>
          <w:rFonts w:ascii="Times New Roman" w:hAnsi="Times New Roman" w:cs="Times New Roman"/>
          <w:sz w:val="24"/>
          <w:szCs w:val="24"/>
        </w:rPr>
        <w:t xml:space="preserve"> </w:t>
      </w:r>
      <w:proofErr w:type="spellStart"/>
      <w:r w:rsidRPr="000138CA">
        <w:rPr>
          <w:rFonts w:ascii="Times New Roman" w:hAnsi="Times New Roman" w:cs="Times New Roman"/>
          <w:i/>
          <w:iCs/>
          <w:sz w:val="24"/>
          <w:szCs w:val="24"/>
        </w:rPr>
        <w:t>oxysporum</w:t>
      </w:r>
      <w:proofErr w:type="spellEnd"/>
      <w:r w:rsidRPr="000138CA">
        <w:rPr>
          <w:rFonts w:ascii="Times New Roman" w:hAnsi="Times New Roman" w:cs="Times New Roman"/>
          <w:sz w:val="24"/>
          <w:szCs w:val="24"/>
        </w:rPr>
        <w:t>, a systematic optimization of key cultivation parameters is recommended. This should focus on determining the optimal concentrations of the diesel amendment and nitrogen source to establish the ideal carbon-to-nitrogen (C/N) ratio, alongside the effects of initial pH, temperature, and fermentation duration.</w:t>
      </w:r>
    </w:p>
    <w:p w:rsidR="00B1727A" w:rsidRPr="000138CA" w:rsidRDefault="00B1727A" w:rsidP="000138CA">
      <w:pPr>
        <w:spacing w:after="0" w:line="480" w:lineRule="auto"/>
        <w:jc w:val="both"/>
        <w:rPr>
          <w:rFonts w:ascii="Times New Roman" w:hAnsi="Times New Roman" w:cs="Times New Roman"/>
          <w:sz w:val="24"/>
          <w:szCs w:val="24"/>
        </w:rPr>
      </w:pPr>
      <w:r w:rsidRPr="000138CA">
        <w:rPr>
          <w:rFonts w:ascii="Times New Roman" w:hAnsi="Times New Roman" w:cs="Times New Roman"/>
          <w:sz w:val="24"/>
          <w:szCs w:val="24"/>
        </w:rPr>
        <w:t xml:space="preserve">Furthermore, for a long-term strategy, the genetic engineering potential of these potent isolates should be explored. Molecular techniques, such as targeted gene editing (e.g., CRISPR-Cas9), could be employed to overexpress key genes in the </w:t>
      </w:r>
      <w:proofErr w:type="spellStart"/>
      <w:r w:rsidRPr="000138CA">
        <w:rPr>
          <w:rFonts w:ascii="Times New Roman" w:hAnsi="Times New Roman" w:cs="Times New Roman"/>
          <w:sz w:val="24"/>
          <w:szCs w:val="24"/>
        </w:rPr>
        <w:t>biosurfactant</w:t>
      </w:r>
      <w:proofErr w:type="spellEnd"/>
      <w:r w:rsidRPr="000138CA">
        <w:rPr>
          <w:rFonts w:ascii="Times New Roman" w:hAnsi="Times New Roman" w:cs="Times New Roman"/>
          <w:sz w:val="24"/>
          <w:szCs w:val="24"/>
        </w:rPr>
        <w:t xml:space="preserve"> synthesis pathway or to disrupt regulatory genes that limit production, potentially leading to the development of superior, high-yielding fungal strains.</w:t>
      </w:r>
    </w:p>
    <w:p w:rsidR="00EE079C" w:rsidRPr="00EE079C" w:rsidRDefault="00EE079C" w:rsidP="00EE079C">
      <w:pPr>
        <w:spacing w:after="0" w:line="480" w:lineRule="auto"/>
        <w:jc w:val="both"/>
        <w:rPr>
          <w:rFonts w:ascii="Times New Roman" w:hAnsi="Times New Roman" w:cs="Times New Roman"/>
          <w:sz w:val="24"/>
          <w:szCs w:val="24"/>
        </w:rPr>
      </w:pPr>
      <w:r w:rsidRPr="00EE079C">
        <w:rPr>
          <w:rFonts w:ascii="Times New Roman" w:hAnsi="Times New Roman" w:cs="Times New Roman"/>
          <w:sz w:val="24"/>
          <w:szCs w:val="24"/>
        </w:rPr>
        <w:t>REFERENCES</w:t>
      </w:r>
    </w:p>
    <w:p w:rsidR="00EE079C" w:rsidRPr="00EE079C" w:rsidRDefault="00EE079C" w:rsidP="00EE079C">
      <w:pPr>
        <w:spacing w:after="0" w:line="240" w:lineRule="auto"/>
        <w:ind w:left="720" w:hanging="720"/>
        <w:jc w:val="both"/>
        <w:rPr>
          <w:rFonts w:ascii="Times New Roman" w:hAnsi="Times New Roman" w:cs="Times New Roman"/>
          <w:sz w:val="24"/>
          <w:szCs w:val="24"/>
        </w:rPr>
      </w:pPr>
      <w:proofErr w:type="spellStart"/>
      <w:r w:rsidRPr="00EE079C">
        <w:rPr>
          <w:rFonts w:ascii="Times New Roman" w:hAnsi="Times New Roman" w:cs="Times New Roman"/>
          <w:sz w:val="24"/>
          <w:szCs w:val="24"/>
        </w:rPr>
        <w:t>Aleruchi</w:t>
      </w:r>
      <w:proofErr w:type="spellEnd"/>
      <w:r w:rsidRPr="00EE079C">
        <w:rPr>
          <w:rFonts w:ascii="Times New Roman" w:hAnsi="Times New Roman" w:cs="Times New Roman"/>
          <w:sz w:val="24"/>
          <w:szCs w:val="24"/>
        </w:rPr>
        <w:t xml:space="preserve">, C., </w:t>
      </w:r>
      <w:proofErr w:type="spellStart"/>
      <w:r w:rsidRPr="00EE079C">
        <w:rPr>
          <w:rFonts w:ascii="Times New Roman" w:hAnsi="Times New Roman" w:cs="Times New Roman"/>
          <w:sz w:val="24"/>
          <w:szCs w:val="24"/>
        </w:rPr>
        <w:t>Obire</w:t>
      </w:r>
      <w:proofErr w:type="spellEnd"/>
      <w:r w:rsidRPr="00EE079C">
        <w:rPr>
          <w:rFonts w:ascii="Times New Roman" w:hAnsi="Times New Roman" w:cs="Times New Roman"/>
          <w:sz w:val="24"/>
          <w:szCs w:val="24"/>
        </w:rPr>
        <w:t xml:space="preserve">, O., &amp; </w:t>
      </w:r>
      <w:proofErr w:type="spellStart"/>
      <w:r w:rsidRPr="00EE079C">
        <w:rPr>
          <w:rFonts w:ascii="Times New Roman" w:hAnsi="Times New Roman" w:cs="Times New Roman"/>
          <w:sz w:val="24"/>
          <w:szCs w:val="24"/>
        </w:rPr>
        <w:t>Wemedo</w:t>
      </w:r>
      <w:proofErr w:type="spellEnd"/>
      <w:r w:rsidRPr="00EE079C">
        <w:rPr>
          <w:rFonts w:ascii="Times New Roman" w:hAnsi="Times New Roman" w:cs="Times New Roman"/>
          <w:sz w:val="24"/>
          <w:szCs w:val="24"/>
        </w:rPr>
        <w:t>, S. A. (2022). Assessment of hydrocarbon-degrading fungi isolated from automobile workshop soils in Port Harcourt, Nigeria</w:t>
      </w:r>
      <w:r w:rsidRPr="00EE079C">
        <w:rPr>
          <w:rFonts w:ascii="Times New Roman" w:hAnsi="Times New Roman" w:cs="Times New Roman"/>
          <w:i/>
          <w:iCs/>
          <w:sz w:val="24"/>
          <w:szCs w:val="24"/>
        </w:rPr>
        <w:t>. African Journal of Environmental Microbiology Research,</w:t>
      </w:r>
      <w:r w:rsidRPr="00EE079C">
        <w:rPr>
          <w:rFonts w:ascii="Times New Roman" w:hAnsi="Times New Roman" w:cs="Times New Roman"/>
          <w:sz w:val="24"/>
          <w:szCs w:val="24"/>
        </w:rPr>
        <w:t xml:space="preserve"> 12(8), 467–478.</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sz w:val="24"/>
          <w:szCs w:val="24"/>
        </w:rPr>
      </w:pPr>
      <w:r w:rsidRPr="00EE079C">
        <w:rPr>
          <w:rFonts w:ascii="Times New Roman" w:hAnsi="Times New Roman" w:cs="Times New Roman"/>
          <w:sz w:val="24"/>
          <w:szCs w:val="24"/>
        </w:rPr>
        <w:t xml:space="preserve">April, T. M., </w:t>
      </w:r>
      <w:proofErr w:type="spellStart"/>
      <w:r w:rsidRPr="00EE079C">
        <w:rPr>
          <w:rFonts w:ascii="Times New Roman" w:hAnsi="Times New Roman" w:cs="Times New Roman"/>
          <w:sz w:val="24"/>
          <w:szCs w:val="24"/>
        </w:rPr>
        <w:t>Foght</w:t>
      </w:r>
      <w:proofErr w:type="spellEnd"/>
      <w:r w:rsidRPr="00EE079C">
        <w:rPr>
          <w:rFonts w:ascii="Times New Roman" w:hAnsi="Times New Roman" w:cs="Times New Roman"/>
          <w:sz w:val="24"/>
          <w:szCs w:val="24"/>
        </w:rPr>
        <w:t xml:space="preserve">, J. M., &amp; </w:t>
      </w:r>
      <w:proofErr w:type="spellStart"/>
      <w:r w:rsidRPr="00EE079C">
        <w:rPr>
          <w:rFonts w:ascii="Times New Roman" w:hAnsi="Times New Roman" w:cs="Times New Roman"/>
          <w:sz w:val="24"/>
          <w:szCs w:val="24"/>
        </w:rPr>
        <w:t>Currah</w:t>
      </w:r>
      <w:proofErr w:type="spellEnd"/>
      <w:r w:rsidRPr="00EE079C">
        <w:rPr>
          <w:rFonts w:ascii="Times New Roman" w:hAnsi="Times New Roman" w:cs="Times New Roman"/>
          <w:sz w:val="24"/>
          <w:szCs w:val="24"/>
        </w:rPr>
        <w:t>, R. S. (2000). Hydrocarbon-degrading filamentous fungi isolated from flare pit soils in Northern and Western Canada</w:t>
      </w:r>
      <w:r w:rsidRPr="00EE079C">
        <w:rPr>
          <w:rFonts w:ascii="Times New Roman" w:hAnsi="Times New Roman" w:cs="Times New Roman"/>
          <w:i/>
          <w:iCs/>
          <w:sz w:val="24"/>
          <w:szCs w:val="24"/>
        </w:rPr>
        <w:t>. Canadian Journal of Microbiology,</w:t>
      </w:r>
      <w:r w:rsidRPr="00EE079C">
        <w:rPr>
          <w:rFonts w:ascii="Times New Roman" w:hAnsi="Times New Roman" w:cs="Times New Roman"/>
          <w:sz w:val="24"/>
          <w:szCs w:val="24"/>
        </w:rPr>
        <w:t xml:space="preserve"> 46(1), 38–49.</w:t>
      </w:r>
    </w:p>
    <w:p w:rsidR="00EE079C" w:rsidRPr="00EE079C" w:rsidRDefault="00EE079C" w:rsidP="00EE079C">
      <w:pPr>
        <w:spacing w:after="0" w:line="240" w:lineRule="auto"/>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Bodour</w:t>
      </w:r>
      <w:proofErr w:type="spellEnd"/>
      <w:r w:rsidRPr="00EE079C">
        <w:rPr>
          <w:rFonts w:ascii="Times New Roman" w:hAnsi="Times New Roman" w:cs="Times New Roman"/>
          <w:sz w:val="24"/>
          <w:szCs w:val="24"/>
        </w:rPr>
        <w:t xml:space="preserve">, A. A., &amp; Miller-Maier, R. M. (1998). Application of a modified drop-collapse technique for surfactant quantification and screening of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-producing microorganisms. </w:t>
      </w:r>
      <w:r w:rsidRPr="00EE079C">
        <w:rPr>
          <w:rFonts w:ascii="Times New Roman" w:hAnsi="Times New Roman" w:cs="Times New Roman"/>
          <w:i/>
          <w:iCs/>
          <w:sz w:val="24"/>
          <w:szCs w:val="24"/>
        </w:rPr>
        <w:t>Journal of Microbiological Methods, 32(3), 273–280.</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 xml:space="preserve">Cameron, D. R., Cooper, D. G., &amp; Neufeld, R. J. (1988). The structure of a </w:t>
      </w:r>
      <w:proofErr w:type="spellStart"/>
      <w:r w:rsidRPr="00EE079C">
        <w:rPr>
          <w:rFonts w:ascii="Times New Roman" w:hAnsi="Times New Roman" w:cs="Times New Roman"/>
          <w:sz w:val="24"/>
          <w:szCs w:val="24"/>
        </w:rPr>
        <w:t>rhamnolipid</w:t>
      </w:r>
      <w:proofErr w:type="spellEnd"/>
      <w:r w:rsidRPr="00EE079C">
        <w:rPr>
          <w:rFonts w:ascii="Times New Roman" w:hAnsi="Times New Roman" w:cs="Times New Roman"/>
          <w:sz w:val="24"/>
          <w:szCs w:val="24"/>
        </w:rPr>
        <w:t xml:space="preserve"> produced by Pseudomonas </w:t>
      </w:r>
      <w:proofErr w:type="spellStart"/>
      <w:r w:rsidRPr="00EE079C">
        <w:rPr>
          <w:rFonts w:ascii="Times New Roman" w:hAnsi="Times New Roman" w:cs="Times New Roman"/>
          <w:sz w:val="24"/>
          <w:szCs w:val="24"/>
        </w:rPr>
        <w:t>aeruginosa</w:t>
      </w:r>
      <w:proofErr w:type="spellEnd"/>
      <w:r w:rsidRPr="00EE079C">
        <w:rPr>
          <w:rFonts w:ascii="Times New Roman" w:hAnsi="Times New Roman" w:cs="Times New Roman"/>
          <w:sz w:val="24"/>
          <w:szCs w:val="24"/>
        </w:rPr>
        <w:t xml:space="preserve">. </w:t>
      </w:r>
      <w:proofErr w:type="spellStart"/>
      <w:r w:rsidRPr="00EE079C">
        <w:rPr>
          <w:rFonts w:ascii="Times New Roman" w:hAnsi="Times New Roman" w:cs="Times New Roman"/>
          <w:i/>
          <w:iCs/>
          <w:sz w:val="24"/>
          <w:szCs w:val="24"/>
        </w:rPr>
        <w:t>Biochimica</w:t>
      </w:r>
      <w:proofErr w:type="spellEnd"/>
      <w:r w:rsidRPr="00EE079C">
        <w:rPr>
          <w:rFonts w:ascii="Times New Roman" w:hAnsi="Times New Roman" w:cs="Times New Roman"/>
          <w:i/>
          <w:iCs/>
          <w:sz w:val="24"/>
          <w:szCs w:val="24"/>
        </w:rPr>
        <w:t xml:space="preserve"> </w:t>
      </w:r>
      <w:proofErr w:type="gramStart"/>
      <w:r w:rsidRPr="00EE079C">
        <w:rPr>
          <w:rFonts w:ascii="Times New Roman" w:hAnsi="Times New Roman" w:cs="Times New Roman"/>
          <w:i/>
          <w:iCs/>
          <w:sz w:val="24"/>
          <w:szCs w:val="24"/>
        </w:rPr>
        <w:t>et</w:t>
      </w:r>
      <w:proofErr w:type="gramEnd"/>
      <w:r w:rsidRPr="00EE079C">
        <w:rPr>
          <w:rFonts w:ascii="Times New Roman" w:hAnsi="Times New Roman" w:cs="Times New Roman"/>
          <w:i/>
          <w:iCs/>
          <w:sz w:val="24"/>
          <w:szCs w:val="24"/>
        </w:rPr>
        <w:t xml:space="preserve"> </w:t>
      </w:r>
      <w:proofErr w:type="spellStart"/>
      <w:r w:rsidRPr="00EE079C">
        <w:rPr>
          <w:rFonts w:ascii="Times New Roman" w:hAnsi="Times New Roman" w:cs="Times New Roman"/>
          <w:i/>
          <w:iCs/>
          <w:sz w:val="24"/>
          <w:szCs w:val="24"/>
        </w:rPr>
        <w:t>Biophysica</w:t>
      </w:r>
      <w:proofErr w:type="spellEnd"/>
      <w:r w:rsidRPr="00EE079C">
        <w:rPr>
          <w:rFonts w:ascii="Times New Roman" w:hAnsi="Times New Roman" w:cs="Times New Roman"/>
          <w:i/>
          <w:iCs/>
          <w:sz w:val="24"/>
          <w:szCs w:val="24"/>
        </w:rPr>
        <w:t xml:space="preserve"> </w:t>
      </w:r>
      <w:proofErr w:type="spellStart"/>
      <w:r w:rsidRPr="00EE079C">
        <w:rPr>
          <w:rFonts w:ascii="Times New Roman" w:hAnsi="Times New Roman" w:cs="Times New Roman"/>
          <w:i/>
          <w:iCs/>
          <w:sz w:val="24"/>
          <w:szCs w:val="24"/>
        </w:rPr>
        <w:t>Acta</w:t>
      </w:r>
      <w:proofErr w:type="spellEnd"/>
      <w:r w:rsidRPr="00EE079C">
        <w:rPr>
          <w:rFonts w:ascii="Times New Roman" w:hAnsi="Times New Roman" w:cs="Times New Roman"/>
          <w:i/>
          <w:iCs/>
          <w:sz w:val="24"/>
          <w:szCs w:val="24"/>
        </w:rPr>
        <w:t>, 1001(1), 73–77.</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sz w:val="24"/>
          <w:szCs w:val="24"/>
        </w:rPr>
      </w:pPr>
      <w:proofErr w:type="spellStart"/>
      <w:r w:rsidRPr="00EE079C">
        <w:rPr>
          <w:rFonts w:ascii="Times New Roman" w:hAnsi="Times New Roman" w:cs="Times New Roman"/>
          <w:sz w:val="24"/>
          <w:szCs w:val="24"/>
        </w:rPr>
        <w:lastRenderedPageBreak/>
        <w:t>Chandran</w:t>
      </w:r>
      <w:proofErr w:type="spellEnd"/>
      <w:r w:rsidRPr="00EE079C">
        <w:rPr>
          <w:rFonts w:ascii="Times New Roman" w:hAnsi="Times New Roman" w:cs="Times New Roman"/>
          <w:sz w:val="24"/>
          <w:szCs w:val="24"/>
        </w:rPr>
        <w:t xml:space="preserve">, P., &amp; Das, N. (2010).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 production and diesel oil degradation by yeast species </w:t>
      </w:r>
      <w:proofErr w:type="spellStart"/>
      <w:r w:rsidRPr="00EE079C">
        <w:rPr>
          <w:rFonts w:ascii="Times New Roman" w:hAnsi="Times New Roman" w:cs="Times New Roman"/>
          <w:sz w:val="24"/>
          <w:szCs w:val="24"/>
        </w:rPr>
        <w:t>Trichosporon</w:t>
      </w:r>
      <w:proofErr w:type="spellEnd"/>
      <w:r w:rsidRPr="00EE079C">
        <w:rPr>
          <w:rFonts w:ascii="Times New Roman" w:hAnsi="Times New Roman" w:cs="Times New Roman"/>
          <w:sz w:val="24"/>
          <w:szCs w:val="24"/>
        </w:rPr>
        <w:t xml:space="preserve"> </w:t>
      </w:r>
      <w:proofErr w:type="spellStart"/>
      <w:r w:rsidRPr="00EE079C">
        <w:rPr>
          <w:rFonts w:ascii="Times New Roman" w:hAnsi="Times New Roman" w:cs="Times New Roman"/>
          <w:sz w:val="24"/>
          <w:szCs w:val="24"/>
        </w:rPr>
        <w:t>asahii</w:t>
      </w:r>
      <w:proofErr w:type="spellEnd"/>
      <w:r w:rsidRPr="00EE079C">
        <w:rPr>
          <w:rFonts w:ascii="Times New Roman" w:hAnsi="Times New Roman" w:cs="Times New Roman"/>
          <w:sz w:val="24"/>
          <w:szCs w:val="24"/>
        </w:rPr>
        <w:t xml:space="preserve"> isolated from petroleum hydrocarbon contaminated soil. </w:t>
      </w:r>
      <w:r w:rsidRPr="00EE079C">
        <w:rPr>
          <w:rFonts w:ascii="Times New Roman" w:hAnsi="Times New Roman" w:cs="Times New Roman"/>
          <w:i/>
          <w:iCs/>
          <w:sz w:val="24"/>
          <w:szCs w:val="24"/>
        </w:rPr>
        <w:t>International Journal of Engineering Science and Technology, 2(12), 6942–6953</w:t>
      </w:r>
      <w:r w:rsidRPr="00EE079C">
        <w:rPr>
          <w:rFonts w:ascii="Times New Roman" w:hAnsi="Times New Roman" w:cs="Times New Roman"/>
          <w:sz w:val="24"/>
          <w:szCs w:val="24"/>
        </w:rPr>
        <w:t>.</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Christopher, I. M., George-</w:t>
      </w:r>
      <w:proofErr w:type="spellStart"/>
      <w:r w:rsidRPr="00EE079C">
        <w:rPr>
          <w:rFonts w:ascii="Times New Roman" w:hAnsi="Times New Roman" w:cs="Times New Roman"/>
          <w:sz w:val="24"/>
          <w:szCs w:val="24"/>
        </w:rPr>
        <w:t>Okafor</w:t>
      </w:r>
      <w:proofErr w:type="spellEnd"/>
      <w:r w:rsidRPr="00EE079C">
        <w:rPr>
          <w:rFonts w:ascii="Times New Roman" w:hAnsi="Times New Roman" w:cs="Times New Roman"/>
          <w:sz w:val="24"/>
          <w:szCs w:val="24"/>
        </w:rPr>
        <w:t xml:space="preserve">, U. O., &amp; </w:t>
      </w:r>
      <w:proofErr w:type="spellStart"/>
      <w:r w:rsidRPr="00EE079C">
        <w:rPr>
          <w:rFonts w:ascii="Times New Roman" w:hAnsi="Times New Roman" w:cs="Times New Roman"/>
          <w:sz w:val="24"/>
          <w:szCs w:val="24"/>
        </w:rPr>
        <w:t>Enebe</w:t>
      </w:r>
      <w:proofErr w:type="spellEnd"/>
      <w:r w:rsidRPr="00EE079C">
        <w:rPr>
          <w:rFonts w:ascii="Times New Roman" w:hAnsi="Times New Roman" w:cs="Times New Roman"/>
          <w:sz w:val="24"/>
          <w:szCs w:val="24"/>
        </w:rPr>
        <w:t xml:space="preserve">, M. C. (2021). Isolation and characterization of fungi from hydrocarbon-contaminated soils. </w:t>
      </w:r>
      <w:r w:rsidRPr="00EE079C">
        <w:rPr>
          <w:rFonts w:ascii="Times New Roman" w:hAnsi="Times New Roman" w:cs="Times New Roman"/>
          <w:i/>
          <w:iCs/>
          <w:sz w:val="24"/>
          <w:szCs w:val="24"/>
        </w:rPr>
        <w:t>Microbial Research Journal International, 31(5), 12–22.</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Style w:val="Hyperlink"/>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79C">
        <w:rPr>
          <w:rFonts w:ascii="Times New Roman" w:hAnsi="Times New Roman" w:cs="Times New Roman"/>
          <w:sz w:val="24"/>
          <w:szCs w:val="24"/>
        </w:rPr>
        <w:t xml:space="preserve">Christopher, O. U., </w:t>
      </w:r>
      <w:proofErr w:type="spellStart"/>
      <w:r w:rsidRPr="00EE079C">
        <w:rPr>
          <w:rFonts w:ascii="Times New Roman" w:hAnsi="Times New Roman" w:cs="Times New Roman"/>
          <w:sz w:val="24"/>
          <w:szCs w:val="24"/>
        </w:rPr>
        <w:t>Owhonka</w:t>
      </w:r>
      <w:proofErr w:type="spellEnd"/>
      <w:r w:rsidRPr="00EE079C">
        <w:rPr>
          <w:rFonts w:ascii="Times New Roman" w:hAnsi="Times New Roman" w:cs="Times New Roman"/>
          <w:sz w:val="24"/>
          <w:szCs w:val="24"/>
        </w:rPr>
        <w:t xml:space="preserve">, A., </w:t>
      </w:r>
      <w:proofErr w:type="spellStart"/>
      <w:r w:rsidRPr="00EE079C">
        <w:rPr>
          <w:rFonts w:ascii="Times New Roman" w:hAnsi="Times New Roman" w:cs="Times New Roman"/>
          <w:sz w:val="24"/>
          <w:szCs w:val="24"/>
        </w:rPr>
        <w:t>Barika</w:t>
      </w:r>
      <w:proofErr w:type="spellEnd"/>
      <w:r w:rsidRPr="00EE079C">
        <w:rPr>
          <w:rFonts w:ascii="Times New Roman" w:hAnsi="Times New Roman" w:cs="Times New Roman"/>
          <w:sz w:val="24"/>
          <w:szCs w:val="24"/>
        </w:rPr>
        <w:t xml:space="preserve">, P. N., &amp; </w:t>
      </w:r>
      <w:proofErr w:type="spellStart"/>
      <w:r w:rsidRPr="00EE079C">
        <w:rPr>
          <w:rFonts w:ascii="Times New Roman" w:hAnsi="Times New Roman" w:cs="Times New Roman"/>
          <w:sz w:val="24"/>
          <w:szCs w:val="24"/>
        </w:rPr>
        <w:t>Ogbonna</w:t>
      </w:r>
      <w:proofErr w:type="spellEnd"/>
      <w:r w:rsidRPr="00EE079C">
        <w:rPr>
          <w:rFonts w:ascii="Times New Roman" w:hAnsi="Times New Roman" w:cs="Times New Roman"/>
          <w:sz w:val="24"/>
          <w:szCs w:val="24"/>
        </w:rPr>
        <w:t xml:space="preserve">, S. I. (2021). Isolation of heterotrophic and hydrocarbon-utilizing fungi from selected mechanic workshops in Port Harcourt. </w:t>
      </w:r>
      <w:r w:rsidRPr="00EE079C">
        <w:rPr>
          <w:rFonts w:ascii="Times New Roman" w:hAnsi="Times New Roman" w:cs="Times New Roman"/>
          <w:i/>
          <w:iCs/>
          <w:sz w:val="24"/>
          <w:szCs w:val="24"/>
        </w:rPr>
        <w:t xml:space="preserve">South Asian Journal of Research in Microbiology, 11(4), 10–18. </w:t>
      </w:r>
      <w:hyperlink r:id="rId7" w:history="1">
        <w:r w:rsidRPr="00EE079C">
          <w:rPr>
            <w:rStyle w:val="Hyperlink"/>
            <w:rFonts w:ascii="Times New Roman" w:hAnsi="Times New Roman" w:cs="Times New Roman"/>
            <w:i/>
            <w:i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https://doi.org/10.9734/SAJRM/2021/v11i430256</w:t>
        </w:r>
      </w:hyperlink>
    </w:p>
    <w:p w:rsidR="00EE079C" w:rsidRPr="00EE079C" w:rsidRDefault="00EE079C" w:rsidP="00EE079C">
      <w:pPr>
        <w:spacing w:after="0" w:line="240" w:lineRule="auto"/>
        <w:ind w:left="720" w:hanging="720"/>
        <w:jc w:val="both"/>
        <w:rPr>
          <w:rFonts w:ascii="Times New Roman" w:eastAsia="SimSu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 xml:space="preserve">Desai, J. D., &amp; Banat, I. M. (1997). Microbial production of surfactants and their commercial potential. </w:t>
      </w:r>
      <w:r w:rsidRPr="00EE079C">
        <w:rPr>
          <w:rFonts w:ascii="Times New Roman" w:hAnsi="Times New Roman" w:cs="Times New Roman"/>
          <w:i/>
          <w:iCs/>
          <w:sz w:val="24"/>
          <w:szCs w:val="24"/>
        </w:rPr>
        <w:t>Microbiology and Molecular Biology Reviews, 61(1), 47-64.</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sz w:val="24"/>
          <w:szCs w:val="24"/>
        </w:rPr>
      </w:pPr>
      <w:r w:rsidRPr="00EE079C">
        <w:rPr>
          <w:rFonts w:ascii="Times New Roman" w:hAnsi="Times New Roman" w:cs="Times New Roman"/>
          <w:sz w:val="24"/>
          <w:szCs w:val="24"/>
        </w:rPr>
        <w:t xml:space="preserve">Faisal, Z. G., Mahdi, M. S., &amp; </w:t>
      </w:r>
      <w:proofErr w:type="spellStart"/>
      <w:r w:rsidRPr="00EE079C">
        <w:rPr>
          <w:rFonts w:ascii="Times New Roman" w:hAnsi="Times New Roman" w:cs="Times New Roman"/>
          <w:sz w:val="24"/>
          <w:szCs w:val="24"/>
        </w:rPr>
        <w:t>Alobaidi</w:t>
      </w:r>
      <w:proofErr w:type="spellEnd"/>
      <w:r w:rsidRPr="00EE079C">
        <w:rPr>
          <w:rFonts w:ascii="Times New Roman" w:hAnsi="Times New Roman" w:cs="Times New Roman"/>
          <w:sz w:val="24"/>
          <w:szCs w:val="24"/>
        </w:rPr>
        <w:t xml:space="preserve">, K. H. (2023). Optimization and chemical characterization of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 produced from a novel Pseudomonas </w:t>
      </w:r>
      <w:proofErr w:type="spellStart"/>
      <w:r w:rsidRPr="00EE079C">
        <w:rPr>
          <w:rFonts w:ascii="Times New Roman" w:hAnsi="Times New Roman" w:cs="Times New Roman"/>
          <w:sz w:val="24"/>
          <w:szCs w:val="24"/>
        </w:rPr>
        <w:t>guguanensis</w:t>
      </w:r>
      <w:proofErr w:type="spellEnd"/>
      <w:r w:rsidRPr="00EE079C">
        <w:rPr>
          <w:rFonts w:ascii="Times New Roman" w:hAnsi="Times New Roman" w:cs="Times New Roman"/>
          <w:sz w:val="24"/>
          <w:szCs w:val="24"/>
        </w:rPr>
        <w:t xml:space="preserve"> strain Iraqi ZG.K.M. </w:t>
      </w:r>
      <w:r w:rsidRPr="00EE079C">
        <w:rPr>
          <w:rFonts w:ascii="Times New Roman" w:hAnsi="Times New Roman" w:cs="Times New Roman"/>
          <w:i/>
          <w:iCs/>
          <w:sz w:val="24"/>
          <w:szCs w:val="24"/>
        </w:rPr>
        <w:t>International Journal of Microbiology, 2023, Article ID 1571991. https://doi.org/10.1155/2023/1571991</w:t>
      </w:r>
    </w:p>
    <w:p w:rsidR="00EE079C" w:rsidRDefault="00EE079C" w:rsidP="00EE079C">
      <w:pPr>
        <w:spacing w:after="0" w:line="240" w:lineRule="auto"/>
        <w:ind w:left="720" w:hanging="720"/>
        <w:jc w:val="both"/>
        <w:rPr>
          <w:rFonts w:ascii="Times New Roman" w:eastAsia="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eastAsia="Times New Roman" w:hAnsi="Times New Roman" w:cs="Times New Roman"/>
          <w:sz w:val="24"/>
          <w:szCs w:val="24"/>
        </w:rPr>
      </w:pPr>
      <w:r w:rsidRPr="00EE079C">
        <w:rPr>
          <w:rFonts w:ascii="Times New Roman" w:eastAsia="Times New Roman" w:hAnsi="Times New Roman" w:cs="Times New Roman"/>
          <w:sz w:val="24"/>
          <w:szCs w:val="24"/>
        </w:rPr>
        <w:t>Food and Agriculture Organization. (2021). Standard Operating Procedure for Soil Electrical Conductivity.</w:t>
      </w:r>
    </w:p>
    <w:p w:rsidR="00EE079C" w:rsidRPr="00EE079C" w:rsidRDefault="00EE079C" w:rsidP="00EE079C">
      <w:pPr>
        <w:spacing w:after="0" w:line="240" w:lineRule="auto"/>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George-</w:t>
      </w:r>
      <w:proofErr w:type="spellStart"/>
      <w:r w:rsidRPr="00EE079C">
        <w:rPr>
          <w:rFonts w:ascii="Times New Roman" w:hAnsi="Times New Roman" w:cs="Times New Roman"/>
          <w:sz w:val="24"/>
          <w:szCs w:val="24"/>
        </w:rPr>
        <w:t>Okafor</w:t>
      </w:r>
      <w:proofErr w:type="spellEnd"/>
      <w:r w:rsidRPr="00EE079C">
        <w:rPr>
          <w:rFonts w:ascii="Times New Roman" w:hAnsi="Times New Roman" w:cs="Times New Roman"/>
          <w:sz w:val="24"/>
          <w:szCs w:val="24"/>
        </w:rPr>
        <w:t xml:space="preserve">, U., </w:t>
      </w:r>
      <w:proofErr w:type="spellStart"/>
      <w:r w:rsidRPr="00EE079C">
        <w:rPr>
          <w:rFonts w:ascii="Times New Roman" w:hAnsi="Times New Roman" w:cs="Times New Roman"/>
          <w:sz w:val="24"/>
          <w:szCs w:val="24"/>
        </w:rPr>
        <w:t>Tasie</w:t>
      </w:r>
      <w:proofErr w:type="spellEnd"/>
      <w:r w:rsidRPr="00EE079C">
        <w:rPr>
          <w:rFonts w:ascii="Times New Roman" w:hAnsi="Times New Roman" w:cs="Times New Roman"/>
          <w:sz w:val="24"/>
          <w:szCs w:val="24"/>
        </w:rPr>
        <w:t xml:space="preserve">, F., &amp; </w:t>
      </w:r>
      <w:proofErr w:type="spellStart"/>
      <w:r w:rsidRPr="00EE079C">
        <w:rPr>
          <w:rFonts w:ascii="Times New Roman" w:hAnsi="Times New Roman" w:cs="Times New Roman"/>
          <w:sz w:val="24"/>
          <w:szCs w:val="24"/>
        </w:rPr>
        <w:t>Muotoe-Okafor</w:t>
      </w:r>
      <w:proofErr w:type="spellEnd"/>
      <w:r w:rsidRPr="00EE079C">
        <w:rPr>
          <w:rFonts w:ascii="Times New Roman" w:hAnsi="Times New Roman" w:cs="Times New Roman"/>
          <w:sz w:val="24"/>
          <w:szCs w:val="24"/>
        </w:rPr>
        <w:t>, F. (2009). Hydrocarbon degradation potentials of indigenous fungal isolates from petroleum-contaminated soils</w:t>
      </w:r>
      <w:r w:rsidRPr="00EE079C">
        <w:rPr>
          <w:rFonts w:ascii="Times New Roman" w:hAnsi="Times New Roman" w:cs="Times New Roman"/>
          <w:i/>
          <w:iCs/>
          <w:sz w:val="24"/>
          <w:szCs w:val="24"/>
        </w:rPr>
        <w:t>. Journal of Physical and Applied Sciences, 3(1), 1–6.</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Izomor</w:t>
      </w:r>
      <w:proofErr w:type="spellEnd"/>
      <w:r w:rsidRPr="00EE079C">
        <w:rPr>
          <w:rFonts w:ascii="Times New Roman" w:hAnsi="Times New Roman" w:cs="Times New Roman"/>
          <w:sz w:val="24"/>
          <w:szCs w:val="24"/>
        </w:rPr>
        <w:t xml:space="preserve">, C. A., </w:t>
      </w:r>
      <w:proofErr w:type="spellStart"/>
      <w:r w:rsidRPr="00EE079C">
        <w:rPr>
          <w:rFonts w:ascii="Times New Roman" w:hAnsi="Times New Roman" w:cs="Times New Roman"/>
          <w:sz w:val="24"/>
          <w:szCs w:val="24"/>
        </w:rPr>
        <w:t>Uzeh</w:t>
      </w:r>
      <w:proofErr w:type="spellEnd"/>
      <w:r w:rsidRPr="00EE079C">
        <w:rPr>
          <w:rFonts w:ascii="Times New Roman" w:hAnsi="Times New Roman" w:cs="Times New Roman"/>
          <w:sz w:val="24"/>
          <w:szCs w:val="24"/>
        </w:rPr>
        <w:t xml:space="preserve">, R. E., &amp; </w:t>
      </w:r>
      <w:proofErr w:type="spellStart"/>
      <w:r w:rsidRPr="00EE079C">
        <w:rPr>
          <w:rFonts w:ascii="Times New Roman" w:hAnsi="Times New Roman" w:cs="Times New Roman"/>
          <w:sz w:val="24"/>
          <w:szCs w:val="24"/>
        </w:rPr>
        <w:t>Eze</w:t>
      </w:r>
      <w:proofErr w:type="spellEnd"/>
      <w:r w:rsidRPr="00EE079C">
        <w:rPr>
          <w:rFonts w:ascii="Times New Roman" w:hAnsi="Times New Roman" w:cs="Times New Roman"/>
          <w:sz w:val="24"/>
          <w:szCs w:val="24"/>
        </w:rPr>
        <w:t xml:space="preserve">, C. N. (2024). Screening of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-producing microorganisms from abattoir soils in Nigeria. </w:t>
      </w:r>
      <w:r w:rsidRPr="00EE079C">
        <w:rPr>
          <w:rFonts w:ascii="Times New Roman" w:hAnsi="Times New Roman" w:cs="Times New Roman"/>
          <w:i/>
          <w:iCs/>
          <w:sz w:val="24"/>
          <w:szCs w:val="24"/>
        </w:rPr>
        <w:t>Environmental Microbiology Reports, 16(1), 102–114.</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Izomor</w:t>
      </w:r>
      <w:proofErr w:type="spellEnd"/>
      <w:r w:rsidRPr="00EE079C">
        <w:rPr>
          <w:rFonts w:ascii="Times New Roman" w:hAnsi="Times New Roman" w:cs="Times New Roman"/>
          <w:sz w:val="24"/>
          <w:szCs w:val="24"/>
        </w:rPr>
        <w:t xml:space="preserve">, R. N., </w:t>
      </w:r>
      <w:proofErr w:type="spellStart"/>
      <w:r w:rsidRPr="00EE079C">
        <w:rPr>
          <w:rFonts w:ascii="Times New Roman" w:hAnsi="Times New Roman" w:cs="Times New Roman"/>
          <w:sz w:val="24"/>
          <w:szCs w:val="24"/>
        </w:rPr>
        <w:t>Okpara</w:t>
      </w:r>
      <w:proofErr w:type="spellEnd"/>
      <w:r w:rsidRPr="00EE079C">
        <w:rPr>
          <w:rFonts w:ascii="Times New Roman" w:hAnsi="Times New Roman" w:cs="Times New Roman"/>
          <w:sz w:val="24"/>
          <w:szCs w:val="24"/>
        </w:rPr>
        <w:t xml:space="preserve">, M. A., &amp; </w:t>
      </w:r>
      <w:proofErr w:type="spellStart"/>
      <w:r w:rsidRPr="00EE079C">
        <w:rPr>
          <w:rFonts w:ascii="Times New Roman" w:hAnsi="Times New Roman" w:cs="Times New Roman"/>
          <w:sz w:val="24"/>
          <w:szCs w:val="24"/>
        </w:rPr>
        <w:t>Chukwujekwu</w:t>
      </w:r>
      <w:proofErr w:type="spellEnd"/>
      <w:r w:rsidRPr="00EE079C">
        <w:rPr>
          <w:rFonts w:ascii="Times New Roman" w:hAnsi="Times New Roman" w:cs="Times New Roman"/>
          <w:sz w:val="24"/>
          <w:szCs w:val="24"/>
        </w:rPr>
        <w:t xml:space="preserve">, A. G. (2024). Screening for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-producing bacteria isolated from abattoir soil. </w:t>
      </w:r>
      <w:r w:rsidRPr="00EE079C">
        <w:rPr>
          <w:rFonts w:ascii="Times New Roman" w:hAnsi="Times New Roman" w:cs="Times New Roman"/>
          <w:i/>
          <w:iCs/>
          <w:sz w:val="24"/>
          <w:szCs w:val="24"/>
        </w:rPr>
        <w:t>Fountain Journal of Natural and Applied Sciences, 13(2), 58-65. https://doi.org/10.53704/fujnas.v13i2.561</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Mahmoud, Y. A.-G., El-</w:t>
      </w:r>
      <w:proofErr w:type="spellStart"/>
      <w:r w:rsidRPr="00EE079C">
        <w:rPr>
          <w:rFonts w:ascii="Times New Roman" w:hAnsi="Times New Roman" w:cs="Times New Roman"/>
          <w:sz w:val="24"/>
          <w:szCs w:val="24"/>
        </w:rPr>
        <w:t>Halmouch</w:t>
      </w:r>
      <w:proofErr w:type="spellEnd"/>
      <w:r w:rsidRPr="00EE079C">
        <w:rPr>
          <w:rFonts w:ascii="Times New Roman" w:hAnsi="Times New Roman" w:cs="Times New Roman"/>
          <w:sz w:val="24"/>
          <w:szCs w:val="24"/>
        </w:rPr>
        <w:t>, Y. H., Nasr, E. E., Al-</w:t>
      </w:r>
      <w:proofErr w:type="spellStart"/>
      <w:r w:rsidRPr="00EE079C">
        <w:rPr>
          <w:rFonts w:ascii="Times New Roman" w:hAnsi="Times New Roman" w:cs="Times New Roman"/>
          <w:sz w:val="24"/>
          <w:szCs w:val="24"/>
        </w:rPr>
        <w:t>Sodany</w:t>
      </w:r>
      <w:proofErr w:type="spellEnd"/>
      <w:r w:rsidRPr="00EE079C">
        <w:rPr>
          <w:rFonts w:ascii="Times New Roman" w:hAnsi="Times New Roman" w:cs="Times New Roman"/>
          <w:sz w:val="24"/>
          <w:szCs w:val="24"/>
        </w:rPr>
        <w:t>, Y. M., El-</w:t>
      </w:r>
      <w:proofErr w:type="spellStart"/>
      <w:r w:rsidRPr="00EE079C">
        <w:rPr>
          <w:rFonts w:ascii="Times New Roman" w:hAnsi="Times New Roman" w:cs="Times New Roman"/>
          <w:sz w:val="24"/>
          <w:szCs w:val="24"/>
        </w:rPr>
        <w:t>Nogoumy</w:t>
      </w:r>
      <w:proofErr w:type="spellEnd"/>
      <w:r w:rsidRPr="00EE079C">
        <w:rPr>
          <w:rFonts w:ascii="Times New Roman" w:hAnsi="Times New Roman" w:cs="Times New Roman"/>
          <w:sz w:val="24"/>
          <w:szCs w:val="24"/>
        </w:rPr>
        <w:t xml:space="preserve">, B. A., &amp; Ali, S. S. (2024). Exploring the potential of </w:t>
      </w:r>
      <w:proofErr w:type="spellStart"/>
      <w:r w:rsidRPr="00EE079C">
        <w:rPr>
          <w:rFonts w:ascii="Times New Roman" w:hAnsi="Times New Roman" w:cs="Times New Roman"/>
          <w:sz w:val="24"/>
          <w:szCs w:val="24"/>
        </w:rPr>
        <w:t>biosurfactants</w:t>
      </w:r>
      <w:proofErr w:type="spellEnd"/>
      <w:r w:rsidRPr="00EE079C">
        <w:rPr>
          <w:rFonts w:ascii="Times New Roman" w:hAnsi="Times New Roman" w:cs="Times New Roman"/>
          <w:sz w:val="24"/>
          <w:szCs w:val="24"/>
        </w:rPr>
        <w:t xml:space="preserve"> produced by fungi found in soil contaminated with petrochemical wastes. </w:t>
      </w:r>
      <w:r w:rsidRPr="00EE079C">
        <w:rPr>
          <w:rFonts w:ascii="Times New Roman" w:hAnsi="Times New Roman" w:cs="Times New Roman"/>
          <w:i/>
          <w:iCs/>
          <w:sz w:val="24"/>
          <w:szCs w:val="24"/>
        </w:rPr>
        <w:t>Scientific Reports, 14, Article 25733. https://doi.org/10.1038/s41598-024-75865-5</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Mahmoud, Y. A.-G., El-</w:t>
      </w:r>
      <w:proofErr w:type="spellStart"/>
      <w:r w:rsidRPr="00EE079C">
        <w:rPr>
          <w:rFonts w:ascii="Times New Roman" w:hAnsi="Times New Roman" w:cs="Times New Roman"/>
          <w:sz w:val="24"/>
          <w:szCs w:val="24"/>
        </w:rPr>
        <w:t>Halmouch</w:t>
      </w:r>
      <w:proofErr w:type="spellEnd"/>
      <w:r w:rsidRPr="00EE079C">
        <w:rPr>
          <w:rFonts w:ascii="Times New Roman" w:hAnsi="Times New Roman" w:cs="Times New Roman"/>
          <w:sz w:val="24"/>
          <w:szCs w:val="24"/>
        </w:rPr>
        <w:t>, Y. H., Nasr, E. E., Al-</w:t>
      </w:r>
      <w:proofErr w:type="spellStart"/>
      <w:r w:rsidRPr="00EE079C">
        <w:rPr>
          <w:rFonts w:ascii="Times New Roman" w:hAnsi="Times New Roman" w:cs="Times New Roman"/>
          <w:sz w:val="24"/>
          <w:szCs w:val="24"/>
        </w:rPr>
        <w:t>Sodany</w:t>
      </w:r>
      <w:proofErr w:type="spellEnd"/>
      <w:r w:rsidRPr="00EE079C">
        <w:rPr>
          <w:rFonts w:ascii="Times New Roman" w:hAnsi="Times New Roman" w:cs="Times New Roman"/>
          <w:sz w:val="24"/>
          <w:szCs w:val="24"/>
        </w:rPr>
        <w:t>, Y. M., El-</w:t>
      </w:r>
      <w:proofErr w:type="spellStart"/>
      <w:r w:rsidRPr="00EE079C">
        <w:rPr>
          <w:rFonts w:ascii="Times New Roman" w:hAnsi="Times New Roman" w:cs="Times New Roman"/>
          <w:sz w:val="24"/>
          <w:szCs w:val="24"/>
        </w:rPr>
        <w:t>Nogoumy</w:t>
      </w:r>
      <w:proofErr w:type="spellEnd"/>
      <w:r w:rsidRPr="00EE079C">
        <w:rPr>
          <w:rFonts w:ascii="Times New Roman" w:hAnsi="Times New Roman" w:cs="Times New Roman"/>
          <w:sz w:val="24"/>
          <w:szCs w:val="24"/>
        </w:rPr>
        <w:t xml:space="preserve">, B. A., &amp; Ali, S. S. (2024). Exploring the potential of </w:t>
      </w:r>
      <w:proofErr w:type="spellStart"/>
      <w:r w:rsidRPr="00EE079C">
        <w:rPr>
          <w:rFonts w:ascii="Times New Roman" w:hAnsi="Times New Roman" w:cs="Times New Roman"/>
          <w:sz w:val="24"/>
          <w:szCs w:val="24"/>
        </w:rPr>
        <w:t>biosurfactants</w:t>
      </w:r>
      <w:proofErr w:type="spellEnd"/>
      <w:r w:rsidRPr="00EE079C">
        <w:rPr>
          <w:rFonts w:ascii="Times New Roman" w:hAnsi="Times New Roman" w:cs="Times New Roman"/>
          <w:sz w:val="24"/>
          <w:szCs w:val="24"/>
        </w:rPr>
        <w:t xml:space="preserve"> produced by fungi found in soil contaminated with petrochemical wastes. </w:t>
      </w:r>
      <w:r w:rsidRPr="00EE079C">
        <w:rPr>
          <w:rFonts w:ascii="Times New Roman" w:hAnsi="Times New Roman" w:cs="Times New Roman"/>
          <w:i/>
          <w:iCs/>
          <w:sz w:val="24"/>
          <w:szCs w:val="24"/>
        </w:rPr>
        <w:t>Scientific Reports, 14, Article 25733. https://doi.org/10.1038/s41598-024-75865-5</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lastRenderedPageBreak/>
        <w:t>Obire</w:t>
      </w:r>
      <w:proofErr w:type="spellEnd"/>
      <w:r w:rsidRPr="00EE079C">
        <w:rPr>
          <w:rFonts w:ascii="Times New Roman" w:hAnsi="Times New Roman" w:cs="Times New Roman"/>
          <w:sz w:val="24"/>
          <w:szCs w:val="24"/>
        </w:rPr>
        <w:t xml:space="preserve">, O., </w:t>
      </w:r>
      <w:proofErr w:type="spellStart"/>
      <w:r w:rsidRPr="00EE079C">
        <w:rPr>
          <w:rFonts w:ascii="Times New Roman" w:hAnsi="Times New Roman" w:cs="Times New Roman"/>
          <w:sz w:val="24"/>
          <w:szCs w:val="24"/>
        </w:rPr>
        <w:t>Aleruchi</w:t>
      </w:r>
      <w:proofErr w:type="spellEnd"/>
      <w:r w:rsidRPr="00EE079C">
        <w:rPr>
          <w:rFonts w:ascii="Times New Roman" w:hAnsi="Times New Roman" w:cs="Times New Roman"/>
          <w:sz w:val="24"/>
          <w:szCs w:val="24"/>
        </w:rPr>
        <w:t xml:space="preserve">, O., &amp; </w:t>
      </w:r>
      <w:proofErr w:type="spellStart"/>
      <w:r w:rsidRPr="00EE079C">
        <w:rPr>
          <w:rFonts w:ascii="Times New Roman" w:hAnsi="Times New Roman" w:cs="Times New Roman"/>
          <w:sz w:val="24"/>
          <w:szCs w:val="24"/>
        </w:rPr>
        <w:t>Wemedo</w:t>
      </w:r>
      <w:proofErr w:type="spellEnd"/>
      <w:r w:rsidRPr="00EE079C">
        <w:rPr>
          <w:rFonts w:ascii="Times New Roman" w:hAnsi="Times New Roman" w:cs="Times New Roman"/>
          <w:sz w:val="24"/>
          <w:szCs w:val="24"/>
        </w:rPr>
        <w:t xml:space="preserve">, S. A. (2020). Fungi in biodegradation of polycyclic aromatic hydrocarbons in oilfield wastewater. </w:t>
      </w:r>
      <w:proofErr w:type="spellStart"/>
      <w:r w:rsidRPr="00EE079C">
        <w:rPr>
          <w:rFonts w:ascii="Times New Roman" w:hAnsi="Times New Roman" w:cs="Times New Roman"/>
          <w:i/>
          <w:iCs/>
          <w:sz w:val="24"/>
          <w:szCs w:val="24"/>
        </w:rPr>
        <w:t>Acta</w:t>
      </w:r>
      <w:proofErr w:type="spellEnd"/>
      <w:r w:rsidRPr="00EE079C">
        <w:rPr>
          <w:rFonts w:ascii="Times New Roman" w:hAnsi="Times New Roman" w:cs="Times New Roman"/>
          <w:i/>
          <w:iCs/>
          <w:sz w:val="24"/>
          <w:szCs w:val="24"/>
        </w:rPr>
        <w:t xml:space="preserve"> Scientific Microbiology, 3(4), 220–224.</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Pieprzyca</w:t>
      </w:r>
      <w:proofErr w:type="spellEnd"/>
      <w:r w:rsidRPr="00EE079C">
        <w:rPr>
          <w:rFonts w:ascii="Times New Roman" w:hAnsi="Times New Roman" w:cs="Times New Roman"/>
          <w:sz w:val="24"/>
          <w:szCs w:val="24"/>
        </w:rPr>
        <w:t xml:space="preserve">, M., &amp; </w:t>
      </w:r>
      <w:proofErr w:type="spellStart"/>
      <w:r w:rsidRPr="00EE079C">
        <w:rPr>
          <w:rFonts w:ascii="Times New Roman" w:hAnsi="Times New Roman" w:cs="Times New Roman"/>
          <w:sz w:val="24"/>
          <w:szCs w:val="24"/>
        </w:rPr>
        <w:t>Ziembińska-Buczyńska</w:t>
      </w:r>
      <w:proofErr w:type="spellEnd"/>
      <w:r w:rsidRPr="00EE079C">
        <w:rPr>
          <w:rFonts w:ascii="Times New Roman" w:hAnsi="Times New Roman" w:cs="Times New Roman"/>
          <w:sz w:val="24"/>
          <w:szCs w:val="24"/>
        </w:rPr>
        <w:t xml:space="preserve">, A. (2018).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 production by microorganisms isolated from petroleum-contaminated soil. </w:t>
      </w:r>
      <w:r w:rsidRPr="00EE079C">
        <w:rPr>
          <w:rFonts w:ascii="Times New Roman" w:hAnsi="Times New Roman" w:cs="Times New Roman"/>
          <w:i/>
          <w:iCs/>
          <w:sz w:val="24"/>
          <w:szCs w:val="24"/>
        </w:rPr>
        <w:t>Polish Journal of Environmental Studies, 27(5), 2221–2228.</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Rikalovic</w:t>
      </w:r>
      <w:proofErr w:type="spellEnd"/>
      <w:r w:rsidRPr="00EE079C">
        <w:rPr>
          <w:rFonts w:ascii="Times New Roman" w:hAnsi="Times New Roman" w:cs="Times New Roman"/>
          <w:sz w:val="24"/>
          <w:szCs w:val="24"/>
        </w:rPr>
        <w:t xml:space="preserve">, M. G., </w:t>
      </w:r>
      <w:proofErr w:type="spellStart"/>
      <w:r w:rsidRPr="00EE079C">
        <w:rPr>
          <w:rFonts w:ascii="Times New Roman" w:hAnsi="Times New Roman" w:cs="Times New Roman"/>
          <w:sz w:val="24"/>
          <w:szCs w:val="24"/>
        </w:rPr>
        <w:t>Gojgic-Cvijovic</w:t>
      </w:r>
      <w:proofErr w:type="spellEnd"/>
      <w:r w:rsidRPr="00EE079C">
        <w:rPr>
          <w:rFonts w:ascii="Times New Roman" w:hAnsi="Times New Roman" w:cs="Times New Roman"/>
          <w:sz w:val="24"/>
          <w:szCs w:val="24"/>
        </w:rPr>
        <w:t xml:space="preserve">, G. D., </w:t>
      </w:r>
      <w:proofErr w:type="spellStart"/>
      <w:r w:rsidRPr="00EE079C">
        <w:rPr>
          <w:rFonts w:ascii="Times New Roman" w:hAnsi="Times New Roman" w:cs="Times New Roman"/>
          <w:sz w:val="24"/>
          <w:szCs w:val="24"/>
        </w:rPr>
        <w:t>Vrvic</w:t>
      </w:r>
      <w:proofErr w:type="spellEnd"/>
      <w:r w:rsidRPr="00EE079C">
        <w:rPr>
          <w:rFonts w:ascii="Times New Roman" w:hAnsi="Times New Roman" w:cs="Times New Roman"/>
          <w:sz w:val="24"/>
          <w:szCs w:val="24"/>
        </w:rPr>
        <w:t xml:space="preserve">, M. M., &amp; Karadzic, I. (2012). Production and characterization of </w:t>
      </w:r>
      <w:proofErr w:type="spellStart"/>
      <w:r w:rsidRPr="00EE079C">
        <w:rPr>
          <w:rFonts w:ascii="Times New Roman" w:hAnsi="Times New Roman" w:cs="Times New Roman"/>
          <w:sz w:val="24"/>
          <w:szCs w:val="24"/>
        </w:rPr>
        <w:t>rhamnolipids</w:t>
      </w:r>
      <w:proofErr w:type="spellEnd"/>
      <w:r w:rsidRPr="00EE079C">
        <w:rPr>
          <w:rFonts w:ascii="Times New Roman" w:hAnsi="Times New Roman" w:cs="Times New Roman"/>
          <w:sz w:val="24"/>
          <w:szCs w:val="24"/>
        </w:rPr>
        <w:t xml:space="preserve"> from Pseudomonas </w:t>
      </w:r>
      <w:proofErr w:type="spellStart"/>
      <w:r w:rsidRPr="00EE079C">
        <w:rPr>
          <w:rFonts w:ascii="Times New Roman" w:hAnsi="Times New Roman" w:cs="Times New Roman"/>
          <w:sz w:val="24"/>
          <w:szCs w:val="24"/>
        </w:rPr>
        <w:t>aeruginosa</w:t>
      </w:r>
      <w:proofErr w:type="spellEnd"/>
      <w:r w:rsidRPr="00EE079C">
        <w:rPr>
          <w:rFonts w:ascii="Times New Roman" w:hAnsi="Times New Roman" w:cs="Times New Roman"/>
          <w:sz w:val="24"/>
          <w:szCs w:val="24"/>
        </w:rPr>
        <w:t xml:space="preserve"> san </w:t>
      </w:r>
      <w:proofErr w:type="spellStart"/>
      <w:r w:rsidRPr="00EE079C">
        <w:rPr>
          <w:rFonts w:ascii="Times New Roman" w:hAnsi="Times New Roman" w:cs="Times New Roman"/>
          <w:sz w:val="24"/>
          <w:szCs w:val="24"/>
        </w:rPr>
        <w:t>ai</w:t>
      </w:r>
      <w:proofErr w:type="spellEnd"/>
      <w:r w:rsidRPr="00EE079C">
        <w:rPr>
          <w:rFonts w:ascii="Times New Roman" w:hAnsi="Times New Roman" w:cs="Times New Roman"/>
          <w:sz w:val="24"/>
          <w:szCs w:val="24"/>
        </w:rPr>
        <w:t xml:space="preserve">. </w:t>
      </w:r>
      <w:r w:rsidRPr="00EE079C">
        <w:rPr>
          <w:rFonts w:ascii="Times New Roman" w:hAnsi="Times New Roman" w:cs="Times New Roman"/>
          <w:i/>
          <w:iCs/>
          <w:sz w:val="24"/>
          <w:szCs w:val="24"/>
        </w:rPr>
        <w:t>Journal of the Serbian Chemical Society, 77(1), 27-42. https://doi.org/10.2298/JSC110211156R</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 xml:space="preserve">Sarah, K., Catriona, H., Helen, A., &amp; David, E. (2016). </w:t>
      </w:r>
      <w:r w:rsidRPr="00EE079C">
        <w:rPr>
          <w:rFonts w:ascii="Times New Roman" w:hAnsi="Times New Roman" w:cs="Times New Roman"/>
          <w:i/>
          <w:iCs/>
          <w:sz w:val="24"/>
          <w:szCs w:val="24"/>
        </w:rPr>
        <w:t xml:space="preserve">Descriptions of Medical Fungi (3rd </w:t>
      </w:r>
      <w:proofErr w:type="gramStart"/>
      <w:r w:rsidRPr="00EE079C">
        <w:rPr>
          <w:rFonts w:ascii="Times New Roman" w:hAnsi="Times New Roman" w:cs="Times New Roman"/>
          <w:i/>
          <w:iCs/>
          <w:sz w:val="24"/>
          <w:szCs w:val="24"/>
        </w:rPr>
        <w:t>ed</w:t>
      </w:r>
      <w:proofErr w:type="gramEnd"/>
      <w:r w:rsidRPr="00EE079C">
        <w:rPr>
          <w:rFonts w:ascii="Times New Roman" w:hAnsi="Times New Roman" w:cs="Times New Roman"/>
          <w:i/>
          <w:iCs/>
          <w:sz w:val="24"/>
          <w:szCs w:val="24"/>
        </w:rPr>
        <w:t>.). University of Adelaide.</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Tomilayo</w:t>
      </w:r>
      <w:proofErr w:type="spellEnd"/>
      <w:r w:rsidRPr="00EE079C">
        <w:rPr>
          <w:rFonts w:ascii="Times New Roman" w:hAnsi="Times New Roman" w:cs="Times New Roman"/>
          <w:sz w:val="24"/>
          <w:szCs w:val="24"/>
        </w:rPr>
        <w:t xml:space="preserve">, O. F., </w:t>
      </w:r>
      <w:proofErr w:type="spellStart"/>
      <w:r w:rsidRPr="00EE079C">
        <w:rPr>
          <w:rFonts w:ascii="Times New Roman" w:hAnsi="Times New Roman" w:cs="Times New Roman"/>
          <w:sz w:val="24"/>
          <w:szCs w:val="24"/>
        </w:rPr>
        <w:t>Adeyemi</w:t>
      </w:r>
      <w:proofErr w:type="spellEnd"/>
      <w:r w:rsidRPr="00EE079C">
        <w:rPr>
          <w:rFonts w:ascii="Times New Roman" w:hAnsi="Times New Roman" w:cs="Times New Roman"/>
          <w:sz w:val="24"/>
          <w:szCs w:val="24"/>
        </w:rPr>
        <w:t xml:space="preserve">, A. T., &amp; </w:t>
      </w:r>
      <w:proofErr w:type="spellStart"/>
      <w:r w:rsidRPr="00EE079C">
        <w:rPr>
          <w:rFonts w:ascii="Times New Roman" w:hAnsi="Times New Roman" w:cs="Times New Roman"/>
          <w:sz w:val="24"/>
          <w:szCs w:val="24"/>
        </w:rPr>
        <w:t>Adetunji</w:t>
      </w:r>
      <w:proofErr w:type="spellEnd"/>
      <w:r w:rsidRPr="00EE079C">
        <w:rPr>
          <w:rFonts w:ascii="Times New Roman" w:hAnsi="Times New Roman" w:cs="Times New Roman"/>
          <w:sz w:val="24"/>
          <w:szCs w:val="24"/>
        </w:rPr>
        <w:t xml:space="preserve">, O. J. (2025). Review of microbial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 production and applications in environmental remediation. </w:t>
      </w:r>
      <w:r w:rsidRPr="00EE079C">
        <w:rPr>
          <w:rFonts w:ascii="Times New Roman" w:hAnsi="Times New Roman" w:cs="Times New Roman"/>
          <w:i/>
          <w:iCs/>
          <w:sz w:val="24"/>
          <w:szCs w:val="24"/>
        </w:rPr>
        <w:t>Journal of Applied Life Sciences, 15(1), 88–101.</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sz w:val="24"/>
          <w:szCs w:val="24"/>
        </w:rPr>
      </w:pPr>
      <w:proofErr w:type="spellStart"/>
      <w:r w:rsidRPr="00EE079C">
        <w:rPr>
          <w:rFonts w:ascii="Times New Roman" w:hAnsi="Times New Roman" w:cs="Times New Roman"/>
          <w:sz w:val="24"/>
          <w:szCs w:val="24"/>
        </w:rPr>
        <w:t>Tomilayo</w:t>
      </w:r>
      <w:proofErr w:type="spellEnd"/>
      <w:r w:rsidRPr="00EE079C">
        <w:rPr>
          <w:rFonts w:ascii="Times New Roman" w:hAnsi="Times New Roman" w:cs="Times New Roman"/>
          <w:sz w:val="24"/>
          <w:szCs w:val="24"/>
        </w:rPr>
        <w:t xml:space="preserve">, R.B., </w:t>
      </w:r>
      <w:proofErr w:type="spellStart"/>
      <w:r w:rsidRPr="00EE079C">
        <w:rPr>
          <w:rFonts w:ascii="Times New Roman" w:hAnsi="Times New Roman" w:cs="Times New Roman"/>
          <w:sz w:val="24"/>
          <w:szCs w:val="24"/>
        </w:rPr>
        <w:t>Omojasola</w:t>
      </w:r>
      <w:proofErr w:type="spellEnd"/>
      <w:r w:rsidRPr="00EE079C">
        <w:rPr>
          <w:rFonts w:ascii="Times New Roman" w:hAnsi="Times New Roman" w:cs="Times New Roman"/>
          <w:sz w:val="24"/>
          <w:szCs w:val="24"/>
        </w:rPr>
        <w:t xml:space="preserve">, P.F., </w:t>
      </w:r>
      <w:proofErr w:type="spellStart"/>
      <w:r w:rsidRPr="00EE079C">
        <w:rPr>
          <w:rFonts w:ascii="Times New Roman" w:hAnsi="Times New Roman" w:cs="Times New Roman"/>
          <w:sz w:val="24"/>
          <w:szCs w:val="24"/>
        </w:rPr>
        <w:t>Otuyelu</w:t>
      </w:r>
      <w:proofErr w:type="spellEnd"/>
      <w:r w:rsidRPr="00EE079C">
        <w:rPr>
          <w:rFonts w:ascii="Times New Roman" w:hAnsi="Times New Roman" w:cs="Times New Roman"/>
          <w:sz w:val="24"/>
          <w:szCs w:val="24"/>
        </w:rPr>
        <w:t xml:space="preserve">, F.O., </w:t>
      </w:r>
      <w:proofErr w:type="spellStart"/>
      <w:r w:rsidRPr="00EE079C">
        <w:rPr>
          <w:rFonts w:ascii="Times New Roman" w:hAnsi="Times New Roman" w:cs="Times New Roman"/>
          <w:sz w:val="24"/>
          <w:szCs w:val="24"/>
        </w:rPr>
        <w:t>Adetitun</w:t>
      </w:r>
      <w:proofErr w:type="spellEnd"/>
      <w:r w:rsidRPr="00EE079C">
        <w:rPr>
          <w:rFonts w:ascii="Times New Roman" w:hAnsi="Times New Roman" w:cs="Times New Roman"/>
          <w:sz w:val="24"/>
          <w:szCs w:val="24"/>
        </w:rPr>
        <w:t xml:space="preserve">, D.O., &amp; </w:t>
      </w:r>
      <w:proofErr w:type="spellStart"/>
      <w:r w:rsidRPr="00EE079C">
        <w:rPr>
          <w:rFonts w:ascii="Times New Roman" w:hAnsi="Times New Roman" w:cs="Times New Roman"/>
          <w:sz w:val="24"/>
          <w:szCs w:val="24"/>
        </w:rPr>
        <w:t>Azeez</w:t>
      </w:r>
      <w:proofErr w:type="spellEnd"/>
      <w:r w:rsidRPr="00EE079C">
        <w:rPr>
          <w:rFonts w:ascii="Times New Roman" w:hAnsi="Times New Roman" w:cs="Times New Roman"/>
          <w:sz w:val="24"/>
          <w:szCs w:val="24"/>
        </w:rPr>
        <w:t xml:space="preserve">, R.T. (2025). Screening and growth optimization of </w:t>
      </w:r>
      <w:proofErr w:type="spellStart"/>
      <w:r w:rsidRPr="00EE079C">
        <w:rPr>
          <w:rFonts w:ascii="Times New Roman" w:hAnsi="Times New Roman" w:cs="Times New Roman"/>
          <w:sz w:val="24"/>
          <w:szCs w:val="24"/>
        </w:rPr>
        <w:t>biosurfactant</w:t>
      </w:r>
      <w:proofErr w:type="spellEnd"/>
      <w:r w:rsidRPr="00EE079C">
        <w:rPr>
          <w:rFonts w:ascii="Times New Roman" w:hAnsi="Times New Roman" w:cs="Times New Roman"/>
          <w:sz w:val="24"/>
          <w:szCs w:val="24"/>
        </w:rPr>
        <w:t xml:space="preserve">-producing fungi in agro-waste (sorghum bran) media. </w:t>
      </w:r>
      <w:r w:rsidRPr="00EE079C">
        <w:rPr>
          <w:rFonts w:ascii="Times New Roman" w:hAnsi="Times New Roman" w:cs="Times New Roman"/>
          <w:i/>
          <w:iCs/>
          <w:sz w:val="24"/>
          <w:szCs w:val="24"/>
        </w:rPr>
        <w:t>FUDMA Journal of Sciences, 9(4), 223–228</w:t>
      </w:r>
      <w:r w:rsidRPr="00EE079C">
        <w:rPr>
          <w:rFonts w:ascii="Times New Roman" w:hAnsi="Times New Roman" w:cs="Times New Roman"/>
          <w:sz w:val="24"/>
          <w:szCs w:val="24"/>
        </w:rPr>
        <w:t>.</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r w:rsidRPr="00EE079C">
        <w:rPr>
          <w:rFonts w:ascii="Times New Roman" w:hAnsi="Times New Roman" w:cs="Times New Roman"/>
          <w:sz w:val="24"/>
          <w:szCs w:val="24"/>
        </w:rPr>
        <w:t xml:space="preserve">U.S. Environmental Protection Agency (EPA). (2000). Method 9045D: </w:t>
      </w:r>
      <w:r w:rsidRPr="00EE079C">
        <w:rPr>
          <w:rFonts w:ascii="Times New Roman" w:hAnsi="Times New Roman" w:cs="Times New Roman"/>
          <w:i/>
          <w:iCs/>
          <w:sz w:val="24"/>
          <w:szCs w:val="24"/>
        </w:rPr>
        <w:t>Soil and waste pH determination. Washington, DC: EPA.</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i/>
          <w:iCs/>
          <w:sz w:val="24"/>
          <w:szCs w:val="24"/>
        </w:rPr>
      </w:pPr>
      <w:proofErr w:type="spellStart"/>
      <w:r w:rsidRPr="00EE079C">
        <w:rPr>
          <w:rFonts w:ascii="Times New Roman" w:hAnsi="Times New Roman" w:cs="Times New Roman"/>
          <w:sz w:val="24"/>
          <w:szCs w:val="24"/>
        </w:rPr>
        <w:t>Uyar</w:t>
      </w:r>
      <w:proofErr w:type="spellEnd"/>
      <w:r w:rsidRPr="00EE079C">
        <w:rPr>
          <w:rFonts w:ascii="Times New Roman" w:hAnsi="Times New Roman" w:cs="Times New Roman"/>
          <w:sz w:val="24"/>
          <w:szCs w:val="24"/>
        </w:rPr>
        <w:t xml:space="preserve">, M. U., &amp; </w:t>
      </w:r>
      <w:proofErr w:type="spellStart"/>
      <w:r w:rsidRPr="00EE079C">
        <w:rPr>
          <w:rFonts w:ascii="Times New Roman" w:hAnsi="Times New Roman" w:cs="Times New Roman"/>
          <w:sz w:val="24"/>
          <w:szCs w:val="24"/>
        </w:rPr>
        <w:t>Saglam</w:t>
      </w:r>
      <w:proofErr w:type="spellEnd"/>
      <w:r w:rsidRPr="00EE079C">
        <w:rPr>
          <w:rFonts w:ascii="Times New Roman" w:hAnsi="Times New Roman" w:cs="Times New Roman"/>
          <w:sz w:val="24"/>
          <w:szCs w:val="24"/>
        </w:rPr>
        <w:t xml:space="preserve">, N. (2021). </w:t>
      </w:r>
      <w:proofErr w:type="spellStart"/>
      <w:r w:rsidRPr="00EE079C">
        <w:rPr>
          <w:rFonts w:ascii="Times New Roman" w:hAnsi="Times New Roman" w:cs="Times New Roman"/>
          <w:sz w:val="24"/>
          <w:szCs w:val="24"/>
        </w:rPr>
        <w:t>Biosurfactants</w:t>
      </w:r>
      <w:proofErr w:type="spellEnd"/>
      <w:r w:rsidRPr="00EE079C">
        <w:rPr>
          <w:rFonts w:ascii="Times New Roman" w:hAnsi="Times New Roman" w:cs="Times New Roman"/>
          <w:sz w:val="24"/>
          <w:szCs w:val="24"/>
        </w:rPr>
        <w:t xml:space="preserve">: Production, properties, applications. In </w:t>
      </w:r>
      <w:proofErr w:type="spellStart"/>
      <w:r w:rsidRPr="00EE079C">
        <w:rPr>
          <w:rFonts w:ascii="Times New Roman" w:hAnsi="Times New Roman" w:cs="Times New Roman"/>
          <w:sz w:val="24"/>
          <w:szCs w:val="24"/>
        </w:rPr>
        <w:t>Biosurfactants</w:t>
      </w:r>
      <w:proofErr w:type="spellEnd"/>
      <w:r w:rsidRPr="00EE079C">
        <w:rPr>
          <w:rFonts w:ascii="Times New Roman" w:hAnsi="Times New Roman" w:cs="Times New Roman"/>
          <w:sz w:val="24"/>
          <w:szCs w:val="24"/>
        </w:rPr>
        <w:t xml:space="preserve">: </w:t>
      </w:r>
      <w:r w:rsidRPr="00EE079C">
        <w:rPr>
          <w:rFonts w:ascii="Times New Roman" w:hAnsi="Times New Roman" w:cs="Times New Roman"/>
          <w:i/>
          <w:iCs/>
          <w:sz w:val="24"/>
          <w:szCs w:val="24"/>
        </w:rPr>
        <w:t>Greener Surface Active Agents for Sustainable Future (pp. 1-25). Springer.</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Pr="00EE079C" w:rsidRDefault="00EE079C" w:rsidP="00EE079C">
      <w:pPr>
        <w:spacing w:after="0" w:line="240" w:lineRule="auto"/>
        <w:ind w:left="720" w:hanging="720"/>
        <w:jc w:val="both"/>
        <w:rPr>
          <w:rFonts w:ascii="Times New Roman" w:hAnsi="Times New Roman" w:cs="Times New Roman"/>
          <w:sz w:val="24"/>
          <w:szCs w:val="24"/>
        </w:rPr>
      </w:pPr>
      <w:proofErr w:type="spellStart"/>
      <w:r w:rsidRPr="00EE079C">
        <w:rPr>
          <w:rFonts w:ascii="Times New Roman" w:hAnsi="Times New Roman" w:cs="Times New Roman"/>
          <w:sz w:val="24"/>
          <w:szCs w:val="24"/>
        </w:rPr>
        <w:t>Uyar</w:t>
      </w:r>
      <w:proofErr w:type="spellEnd"/>
      <w:r w:rsidRPr="00EE079C">
        <w:rPr>
          <w:rFonts w:ascii="Times New Roman" w:hAnsi="Times New Roman" w:cs="Times New Roman"/>
          <w:sz w:val="24"/>
          <w:szCs w:val="24"/>
        </w:rPr>
        <w:t xml:space="preserve">, S., &amp; </w:t>
      </w:r>
      <w:proofErr w:type="spellStart"/>
      <w:r w:rsidRPr="00EE079C">
        <w:rPr>
          <w:rFonts w:ascii="Times New Roman" w:hAnsi="Times New Roman" w:cs="Times New Roman"/>
          <w:sz w:val="24"/>
          <w:szCs w:val="24"/>
        </w:rPr>
        <w:t>Saglam</w:t>
      </w:r>
      <w:proofErr w:type="spellEnd"/>
      <w:r w:rsidRPr="00EE079C">
        <w:rPr>
          <w:rFonts w:ascii="Times New Roman" w:hAnsi="Times New Roman" w:cs="Times New Roman"/>
          <w:sz w:val="24"/>
          <w:szCs w:val="24"/>
        </w:rPr>
        <w:t xml:space="preserve">, F. (2021). Role of </w:t>
      </w:r>
      <w:proofErr w:type="spellStart"/>
      <w:r w:rsidRPr="00EE079C">
        <w:rPr>
          <w:rFonts w:ascii="Times New Roman" w:hAnsi="Times New Roman" w:cs="Times New Roman"/>
          <w:sz w:val="24"/>
          <w:szCs w:val="24"/>
        </w:rPr>
        <w:t>biosurfactants</w:t>
      </w:r>
      <w:proofErr w:type="spellEnd"/>
      <w:r w:rsidRPr="00EE079C">
        <w:rPr>
          <w:rFonts w:ascii="Times New Roman" w:hAnsi="Times New Roman" w:cs="Times New Roman"/>
          <w:sz w:val="24"/>
          <w:szCs w:val="24"/>
        </w:rPr>
        <w:t xml:space="preserve"> in hydrocarbon biodegradation and environmental restoration. </w:t>
      </w:r>
      <w:r w:rsidRPr="00EE079C">
        <w:rPr>
          <w:rFonts w:ascii="Times New Roman" w:hAnsi="Times New Roman" w:cs="Times New Roman"/>
          <w:i/>
          <w:iCs/>
          <w:sz w:val="24"/>
          <w:szCs w:val="24"/>
        </w:rPr>
        <w:t>Environmental Research Journal, 22(2), 121–134</w:t>
      </w:r>
      <w:r w:rsidRPr="00EE079C">
        <w:rPr>
          <w:rFonts w:ascii="Times New Roman" w:hAnsi="Times New Roman" w:cs="Times New Roman"/>
          <w:sz w:val="24"/>
          <w:szCs w:val="24"/>
        </w:rPr>
        <w:t>.</w:t>
      </w:r>
    </w:p>
    <w:p w:rsidR="00EE079C" w:rsidRPr="00EE079C" w:rsidRDefault="00EE079C" w:rsidP="00EE079C">
      <w:pPr>
        <w:spacing w:after="0" w:line="240" w:lineRule="auto"/>
        <w:ind w:left="720" w:hanging="720"/>
        <w:jc w:val="both"/>
        <w:rPr>
          <w:rFonts w:ascii="Times New Roman" w:hAnsi="Times New Roman" w:cs="Times New Roman"/>
          <w:sz w:val="24"/>
          <w:szCs w:val="24"/>
        </w:rPr>
      </w:pPr>
    </w:p>
    <w:p w:rsidR="00EE079C" w:rsidRDefault="00EE079C" w:rsidP="00EE079C">
      <w:pPr>
        <w:spacing w:after="0" w:line="240" w:lineRule="auto"/>
        <w:ind w:left="720" w:hanging="720"/>
        <w:jc w:val="both"/>
        <w:rPr>
          <w:rFonts w:ascii="Times New Roman" w:eastAsia="Times New Roman" w:hAnsi="Times New Roman" w:cs="Times New Roman"/>
          <w:sz w:val="24"/>
          <w:szCs w:val="24"/>
        </w:rPr>
      </w:pPr>
    </w:p>
    <w:p w:rsidR="00EE079C" w:rsidRDefault="00EE079C" w:rsidP="00EE079C"/>
    <w:p w:rsidR="00B1727A" w:rsidRPr="000138CA" w:rsidRDefault="00B1727A" w:rsidP="000138CA">
      <w:pPr>
        <w:spacing w:after="0" w:line="480" w:lineRule="auto"/>
        <w:jc w:val="both"/>
        <w:rPr>
          <w:rFonts w:ascii="Times New Roman" w:hAnsi="Times New Roman" w:cs="Times New Roman"/>
          <w:sz w:val="24"/>
          <w:szCs w:val="24"/>
        </w:rPr>
      </w:pPr>
    </w:p>
    <w:p w:rsidR="000D42C1" w:rsidRPr="000138CA" w:rsidRDefault="000D42C1" w:rsidP="00EE079C">
      <w:pPr>
        <w:spacing w:after="0" w:line="480" w:lineRule="auto"/>
        <w:jc w:val="both"/>
        <w:rPr>
          <w:rFonts w:ascii="Times New Roman" w:hAnsi="Times New Roman" w:cs="Times New Roman"/>
          <w:sz w:val="24"/>
          <w:szCs w:val="24"/>
        </w:rPr>
      </w:pPr>
    </w:p>
    <w:sectPr w:rsidR="000D42C1" w:rsidRPr="000138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93F" w:rsidRDefault="0039493F" w:rsidP="00E2370D">
      <w:pPr>
        <w:spacing w:after="0" w:line="240" w:lineRule="auto"/>
      </w:pPr>
      <w:r>
        <w:separator/>
      </w:r>
    </w:p>
  </w:endnote>
  <w:endnote w:type="continuationSeparator" w:id="0">
    <w:p w:rsidR="0039493F" w:rsidRDefault="0039493F" w:rsidP="00E2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14080"/>
      <w:docPartObj>
        <w:docPartGallery w:val="Page Numbers (Bottom of Page)"/>
        <w:docPartUnique/>
      </w:docPartObj>
    </w:sdtPr>
    <w:sdtEndPr>
      <w:rPr>
        <w:noProof/>
      </w:rPr>
    </w:sdtEndPr>
    <w:sdtContent>
      <w:p w:rsidR="00E2370D" w:rsidRDefault="00E2370D">
        <w:pPr>
          <w:pStyle w:val="Footer"/>
          <w:jc w:val="center"/>
        </w:pPr>
        <w:r>
          <w:fldChar w:fldCharType="begin"/>
        </w:r>
        <w:r>
          <w:instrText xml:space="preserve"> PAGE   \* MERGEFORMAT </w:instrText>
        </w:r>
        <w:r>
          <w:fldChar w:fldCharType="separate"/>
        </w:r>
        <w:r w:rsidR="00D7441D">
          <w:rPr>
            <w:noProof/>
          </w:rPr>
          <w:t>20</w:t>
        </w:r>
        <w:r>
          <w:rPr>
            <w:noProof/>
          </w:rPr>
          <w:fldChar w:fldCharType="end"/>
        </w:r>
      </w:p>
    </w:sdtContent>
  </w:sdt>
  <w:p w:rsidR="00E2370D" w:rsidRDefault="00E23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93F" w:rsidRDefault="0039493F" w:rsidP="00E2370D">
      <w:pPr>
        <w:spacing w:after="0" w:line="240" w:lineRule="auto"/>
      </w:pPr>
      <w:r>
        <w:separator/>
      </w:r>
    </w:p>
  </w:footnote>
  <w:footnote w:type="continuationSeparator" w:id="0">
    <w:p w:rsidR="0039493F" w:rsidRDefault="0039493F" w:rsidP="00E23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E7450"/>
    <w:multiLevelType w:val="multilevel"/>
    <w:tmpl w:val="BE4A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95410"/>
    <w:multiLevelType w:val="multilevel"/>
    <w:tmpl w:val="75DA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2E"/>
    <w:rsid w:val="000138CA"/>
    <w:rsid w:val="00075963"/>
    <w:rsid w:val="000B7749"/>
    <w:rsid w:val="000D42C1"/>
    <w:rsid w:val="00102C21"/>
    <w:rsid w:val="00120C5C"/>
    <w:rsid w:val="001D7955"/>
    <w:rsid w:val="002D16EE"/>
    <w:rsid w:val="002E37B8"/>
    <w:rsid w:val="003763CB"/>
    <w:rsid w:val="0039493F"/>
    <w:rsid w:val="00421278"/>
    <w:rsid w:val="00425B84"/>
    <w:rsid w:val="00552EE2"/>
    <w:rsid w:val="00560766"/>
    <w:rsid w:val="005C7370"/>
    <w:rsid w:val="005F280E"/>
    <w:rsid w:val="0065272E"/>
    <w:rsid w:val="006A3770"/>
    <w:rsid w:val="006B115C"/>
    <w:rsid w:val="007E7A91"/>
    <w:rsid w:val="00905275"/>
    <w:rsid w:val="00A030AD"/>
    <w:rsid w:val="00AA4886"/>
    <w:rsid w:val="00B1727A"/>
    <w:rsid w:val="00B4756B"/>
    <w:rsid w:val="00BA205E"/>
    <w:rsid w:val="00D7441D"/>
    <w:rsid w:val="00DC0A7A"/>
    <w:rsid w:val="00E0003D"/>
    <w:rsid w:val="00E2370D"/>
    <w:rsid w:val="00E653F9"/>
    <w:rsid w:val="00EA5BEA"/>
    <w:rsid w:val="00EE079C"/>
    <w:rsid w:val="00EE676F"/>
    <w:rsid w:val="00F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584E6-E0F8-44A0-B553-E445160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2E"/>
  </w:style>
  <w:style w:type="paragraph" w:styleId="Heading1">
    <w:name w:val="heading 1"/>
    <w:basedOn w:val="Normal"/>
    <w:link w:val="Heading1Char"/>
    <w:uiPriority w:val="9"/>
    <w:qFormat/>
    <w:rsid w:val="00652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7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052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7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7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272E"/>
    <w:rPr>
      <w:i/>
      <w:iCs/>
    </w:rPr>
  </w:style>
  <w:style w:type="character" w:customStyle="1" w:styleId="Heading3Char">
    <w:name w:val="Heading 3 Char"/>
    <w:basedOn w:val="DefaultParagraphFont"/>
    <w:link w:val="Heading3"/>
    <w:uiPriority w:val="9"/>
    <w:semiHidden/>
    <w:rsid w:val="0090527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qFormat/>
    <w:rsid w:val="00B1727A"/>
    <w:rPr>
      <w:color w:val="0563C1" w:themeColor="hyperlink"/>
      <w:u w:val="single"/>
    </w:rPr>
  </w:style>
  <w:style w:type="table" w:styleId="TableGrid">
    <w:name w:val="Table Grid"/>
    <w:basedOn w:val="TableNormal"/>
    <w:uiPriority w:val="39"/>
    <w:qFormat/>
    <w:rsid w:val="00B1727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B1727A"/>
    <w:pPr>
      <w:spacing w:after="0" w:line="240" w:lineRule="auto"/>
    </w:pPr>
    <w:rPr>
      <w:rFonts w:ascii="Times New Roman" w:eastAsia="SimSun" w:hAnsi="Times New Roman" w:cs="Times New Roman"/>
      <w:color w:val="000000" w:themeColor="text1"/>
      <w:sz w:val="20"/>
      <w:szCs w:val="2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2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70D"/>
  </w:style>
  <w:style w:type="paragraph" w:styleId="Footer">
    <w:name w:val="footer"/>
    <w:basedOn w:val="Normal"/>
    <w:link w:val="FooterChar"/>
    <w:uiPriority w:val="99"/>
    <w:unhideWhenUsed/>
    <w:rsid w:val="00E2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9734/SAJRM/2021/v11i430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20</Pages>
  <Words>4896</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2026-05-16T21:43:00Z</dcterms:created>
  <dcterms:modified xsi:type="dcterms:W3CDTF">2026-06-20T10:03:00Z</dcterms:modified>
</cp:coreProperties>
</file>