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A2546" w14:textId="77777777" w:rsidR="000C0F6E" w:rsidRPr="00232B57" w:rsidRDefault="000D38FC">
      <w:pPr>
        <w:spacing w:after="240" w:line="360" w:lineRule="auto"/>
        <w:jc w:val="center"/>
        <w:rPr>
          <w:color w:val="000000" w:themeColor="text1"/>
        </w:rPr>
      </w:pPr>
      <w:bookmarkStart w:id="0" w:name="_heading=h.2j7a4jj46bkp" w:colFirst="0" w:colLast="0"/>
      <w:bookmarkEnd w:id="0"/>
      <w:r w:rsidRPr="00232B57">
        <w:rPr>
          <w:b/>
          <w:bCs/>
          <w:color w:val="000000" w:themeColor="text1"/>
          <w:sz w:val="36"/>
          <w:szCs w:val="36"/>
        </w:rPr>
        <w:t xml:space="preserve">Geochemical Characterization and Source Apportionment of </w:t>
      </w:r>
      <w:bookmarkStart w:id="1" w:name="_GoBack"/>
      <w:bookmarkEnd w:id="1"/>
      <w:r w:rsidRPr="00232B57">
        <w:rPr>
          <w:b/>
          <w:bCs/>
          <w:color w:val="000000" w:themeColor="text1"/>
          <w:sz w:val="36"/>
          <w:szCs w:val="36"/>
        </w:rPr>
        <w:t>Heavy Metals in Mining-Impacted Soils: Environmetric Analysis of Pb-Zn Mining Districts in Southeastern Nigeria</w:t>
      </w:r>
    </w:p>
    <w:p w14:paraId="1664B397" w14:textId="77777777" w:rsidR="000C0F6E" w:rsidRPr="00232B57" w:rsidRDefault="000D38FC">
      <w:pPr>
        <w:spacing w:before="120" w:after="120"/>
        <w:jc w:val="center"/>
      </w:pPr>
      <w:r w:rsidRPr="00232B57">
        <w:rPr>
          <w:b/>
          <w:bCs/>
        </w:rPr>
        <w:t xml:space="preserve">Osayande A.D </w:t>
      </w:r>
    </w:p>
    <w:p w14:paraId="304A746F" w14:textId="77777777" w:rsidR="000C0F6E" w:rsidRPr="00AA0C5E" w:rsidRDefault="000D38FC">
      <w:pPr>
        <w:spacing w:before="60" w:after="240"/>
        <w:jc w:val="center"/>
        <w:rPr>
          <w:i/>
          <w:iCs/>
        </w:rPr>
      </w:pPr>
      <w:r w:rsidRPr="00AA0C5E">
        <w:rPr>
          <w:i/>
          <w:iCs/>
        </w:rPr>
        <w:t>Department of Geology and Mining Technology, University of Port Harcourt, P.M.B 53</w:t>
      </w:r>
      <w:r w:rsidR="00AA0C5E" w:rsidRPr="00AA0C5E">
        <w:rPr>
          <w:i/>
          <w:iCs/>
        </w:rPr>
        <w:t>23</w:t>
      </w:r>
      <w:r w:rsidRPr="00AA0C5E">
        <w:rPr>
          <w:i/>
          <w:iCs/>
        </w:rPr>
        <w:t xml:space="preserve"> Port Harcourt, Nigeria</w:t>
      </w:r>
    </w:p>
    <w:p w14:paraId="3361923A" w14:textId="77777777" w:rsidR="000C0F6E" w:rsidRPr="00AA0C5E" w:rsidRDefault="000D38FC">
      <w:pPr>
        <w:spacing w:before="60" w:after="240"/>
      </w:pPr>
      <w:r w:rsidRPr="00AA0C5E">
        <w:t>Email: desmond.osayande@uniport.edu.ng, desosayande1@gmail.com</w:t>
      </w:r>
    </w:p>
    <w:p w14:paraId="15F6D48C" w14:textId="77777777" w:rsidR="000C0F6E" w:rsidRPr="00343FC8" w:rsidRDefault="000D38FC">
      <w:pPr>
        <w:spacing w:before="240" w:after="120"/>
        <w:rPr>
          <w:color w:val="000000" w:themeColor="text1"/>
        </w:rPr>
      </w:pPr>
      <w:r w:rsidRPr="00343FC8">
        <w:rPr>
          <w:b/>
          <w:bCs/>
          <w:color w:val="000000" w:themeColor="text1"/>
        </w:rPr>
        <w:t>ABSTRACT</w:t>
      </w:r>
    </w:p>
    <w:p w14:paraId="3944AEBD" w14:textId="77777777" w:rsidR="000C0F6E" w:rsidRPr="00343FC8" w:rsidRDefault="000D38FC">
      <w:pPr>
        <w:jc w:val="both"/>
        <w:rPr>
          <w:color w:val="2D3748"/>
        </w:rPr>
      </w:pPr>
      <w:r w:rsidRPr="00343FC8">
        <w:rPr>
          <w:color w:val="2D3748"/>
        </w:rPr>
        <w:t xml:space="preserve">The paper employed environmetric analysis to determine the distribution and source apportionment of heavy metals in soils affected by mining activities in the lower Benue trough area of Nigeria. Soil samples from mining areas in </w:t>
      </w:r>
      <w:proofErr w:type="spellStart"/>
      <w:r w:rsidRPr="00343FC8">
        <w:rPr>
          <w:color w:val="2D3748"/>
        </w:rPr>
        <w:t>Enyigba</w:t>
      </w:r>
      <w:proofErr w:type="spellEnd"/>
      <w:r w:rsidRPr="00343FC8">
        <w:rPr>
          <w:color w:val="2D3748"/>
        </w:rPr>
        <w:t xml:space="preserve">, Ameri, </w:t>
      </w:r>
      <w:proofErr w:type="spellStart"/>
      <w:r w:rsidRPr="00343FC8">
        <w:rPr>
          <w:color w:val="2D3748"/>
        </w:rPr>
        <w:t>Ameka</w:t>
      </w:r>
      <w:proofErr w:type="spellEnd"/>
      <w:r w:rsidRPr="00343FC8">
        <w:rPr>
          <w:color w:val="2D3748"/>
        </w:rPr>
        <w:t xml:space="preserve">, and </w:t>
      </w:r>
      <w:proofErr w:type="spellStart"/>
      <w:r w:rsidRPr="00343FC8">
        <w:rPr>
          <w:color w:val="2D3748"/>
        </w:rPr>
        <w:t>Ishiagu</w:t>
      </w:r>
      <w:proofErr w:type="spellEnd"/>
      <w:r w:rsidRPr="00343FC8">
        <w:rPr>
          <w:color w:val="2D3748"/>
        </w:rPr>
        <w:t xml:space="preserve"> were collected and analyzed for their heavy metal concentrations using Atomic Absorption Spectrophotometry. The results showed that Pb-Zn-Cu-Cd formed a distinct cluster indicating their common source from mining activities. On the other hand, Cr and Ni formed another distinct cluster indicating their source from geogenic activities. The results also showed a strong positive correlation between Pb-Zn (r = 0.85), Pb-Cd (r = 0.78), and Cu-Zn (r = 0.72) indicating their common source from mining activities. The results have demonstrated that environmetric analysis can be used to differentiate between geogenic and anthropogenic sources of heavy metals in mining areas.</w:t>
      </w:r>
    </w:p>
    <w:p w14:paraId="1AF06520" w14:textId="77777777" w:rsidR="000C0F6E" w:rsidRPr="00343FC8" w:rsidRDefault="000D38FC">
      <w:pPr>
        <w:spacing w:before="180" w:after="240"/>
      </w:pPr>
      <w:r w:rsidRPr="00343FC8">
        <w:rPr>
          <w:b/>
          <w:bCs/>
          <w:color w:val="1A365D"/>
        </w:rPr>
        <w:t xml:space="preserve">Keywords: </w:t>
      </w:r>
      <w:r w:rsidRPr="00343FC8">
        <w:rPr>
          <w:i/>
          <w:iCs/>
        </w:rPr>
        <w:t>geochemistry, source apportionment, cluster analysis, heavy metals, Pb-Zn mining, environmetrics, Nigeria</w:t>
      </w:r>
    </w:p>
    <w:p w14:paraId="136435A6" w14:textId="77777777" w:rsidR="000C0F6E" w:rsidRPr="00343FC8" w:rsidRDefault="000D38FC">
      <w:pPr>
        <w:pStyle w:val="Heading1"/>
        <w:rPr>
          <w:sz w:val="28"/>
          <w:szCs w:val="28"/>
        </w:rPr>
      </w:pPr>
      <w:r w:rsidRPr="00343FC8">
        <w:rPr>
          <w:b/>
          <w:bCs/>
          <w:color w:val="1A365D"/>
          <w:sz w:val="28"/>
          <w:szCs w:val="28"/>
        </w:rPr>
        <w:t>1. INTRODUCTION</w:t>
      </w:r>
    </w:p>
    <w:p w14:paraId="066ADD8D" w14:textId="77777777" w:rsidR="000C0F6E" w:rsidRPr="00343FC8" w:rsidRDefault="000D38FC">
      <w:pPr>
        <w:spacing w:before="120" w:after="120" w:line="312" w:lineRule="auto"/>
        <w:jc w:val="both"/>
        <w:rPr>
          <w:color w:val="2D3748"/>
          <w:sz w:val="28"/>
          <w:szCs w:val="28"/>
        </w:rPr>
      </w:pPr>
      <w:r w:rsidRPr="00343FC8">
        <w:rPr>
          <w:color w:val="2D3748"/>
          <w:sz w:val="28"/>
          <w:szCs w:val="28"/>
        </w:rPr>
        <w:t>The identification and understanding of the sources and distribution patterns of heavy metals in mining areas are crucial for effective strategies to be developed for remediating the affected areas. Heavy metals have both geogenic and anthropogenic sources. Mining activities have been identified as one of the major sources of heavy metals in the environment (Alloway, 1995). The identification of the sources of heavy metals in mining areas requires advanced analysis that goes beyond mere concentration analysis.</w:t>
      </w:r>
    </w:p>
    <w:p w14:paraId="4CC21F32" w14:textId="77777777" w:rsidR="000C0F6E" w:rsidRPr="00343FC8" w:rsidRDefault="000D38FC">
      <w:pPr>
        <w:spacing w:before="120" w:after="120" w:line="312" w:lineRule="auto"/>
        <w:jc w:val="both"/>
        <w:rPr>
          <w:color w:val="2D3748"/>
          <w:sz w:val="28"/>
          <w:szCs w:val="28"/>
        </w:rPr>
      </w:pPr>
      <w:r w:rsidRPr="00343FC8">
        <w:rPr>
          <w:color w:val="2D3748"/>
          <w:sz w:val="28"/>
          <w:szCs w:val="28"/>
        </w:rPr>
        <w:t xml:space="preserve">Environmetric methods, which involve the application of multivariate statistical analysis, have come to the fore as a potentially valuable tool for source apportionment in environmental research. Cluster analysis, principal component analysis, and correlation matrices have the potential to elucidate the associations </w:t>
      </w:r>
      <w:r w:rsidRPr="00343FC8">
        <w:rPr>
          <w:color w:val="2D3748"/>
          <w:sz w:val="28"/>
          <w:szCs w:val="28"/>
        </w:rPr>
        <w:lastRenderedPageBreak/>
        <w:t xml:space="preserve">between the elements which indicate common sources or similar geochemical behavior as proposed by </w:t>
      </w:r>
      <w:proofErr w:type="spellStart"/>
      <w:r w:rsidRPr="00343FC8">
        <w:rPr>
          <w:color w:val="2D3748"/>
          <w:sz w:val="28"/>
          <w:szCs w:val="28"/>
        </w:rPr>
        <w:t>Krzanowski</w:t>
      </w:r>
      <w:proofErr w:type="spellEnd"/>
      <w:r w:rsidRPr="00343FC8">
        <w:rPr>
          <w:color w:val="2D3748"/>
          <w:sz w:val="28"/>
          <w:szCs w:val="28"/>
        </w:rPr>
        <w:t xml:space="preserve"> (1988). Environmetric methods have already been successfully employed in various mining environments across the globe to differentiate between lithogenic and anthropogenic metal contributions.</w:t>
      </w:r>
    </w:p>
    <w:p w14:paraId="4E33AB1D" w14:textId="77777777" w:rsidR="000C0F6E" w:rsidRPr="00343FC8" w:rsidRDefault="000D38FC">
      <w:pPr>
        <w:spacing w:before="120" w:after="120" w:line="312" w:lineRule="auto"/>
        <w:jc w:val="both"/>
        <w:rPr>
          <w:color w:val="2D3748"/>
          <w:sz w:val="28"/>
          <w:szCs w:val="28"/>
        </w:rPr>
      </w:pPr>
      <w:r w:rsidRPr="00343FC8">
        <w:rPr>
          <w:color w:val="2D3748"/>
          <w:sz w:val="28"/>
          <w:szCs w:val="28"/>
        </w:rPr>
        <w:t>The Pb-Zn mining district of the Lower Benue Trough in Nigeria is an optimum environment for the application of these methods. The geological setting of the area is dominated by Cretaceous shales with associated sulfide mineralization. This has provided a natural setting for the concentration of metals. Several decades of mining activities have introduced significant anthropogenic contributions to the system. This has created a complex geochemical setting where sophisticated methods of analysis are warranted for source apportionment.</w:t>
      </w:r>
    </w:p>
    <w:p w14:paraId="2F384B3B" w14:textId="77777777" w:rsidR="000C0F6E" w:rsidRPr="00343FC8" w:rsidRDefault="000D38FC">
      <w:pPr>
        <w:spacing w:before="120" w:after="120" w:line="312" w:lineRule="auto"/>
        <w:jc w:val="both"/>
        <w:rPr>
          <w:color w:val="2D3748"/>
          <w:sz w:val="28"/>
          <w:szCs w:val="28"/>
        </w:rPr>
      </w:pPr>
      <w:r w:rsidRPr="00343FC8">
        <w:rPr>
          <w:color w:val="2D3748"/>
          <w:sz w:val="28"/>
          <w:szCs w:val="28"/>
        </w:rPr>
        <w:t>Objectives of the Study</w:t>
      </w:r>
      <w:r w:rsidR="00BD0307" w:rsidRPr="00343FC8">
        <w:rPr>
          <w:color w:val="2D3748"/>
          <w:sz w:val="28"/>
          <w:szCs w:val="28"/>
        </w:rPr>
        <w:t xml:space="preserve"> is to: </w:t>
      </w:r>
      <w:r w:rsidRPr="00343FC8">
        <w:rPr>
          <w:color w:val="2D3748"/>
          <w:sz w:val="28"/>
          <w:szCs w:val="28"/>
        </w:rPr>
        <w:t>(</w:t>
      </w:r>
      <w:proofErr w:type="spellStart"/>
      <w:r w:rsidRPr="00343FC8">
        <w:rPr>
          <w:color w:val="2D3748"/>
          <w:sz w:val="28"/>
          <w:szCs w:val="28"/>
        </w:rPr>
        <w:t>i</w:t>
      </w:r>
      <w:proofErr w:type="spellEnd"/>
      <w:r w:rsidRPr="00343FC8">
        <w:rPr>
          <w:color w:val="2D3748"/>
          <w:sz w:val="28"/>
          <w:szCs w:val="28"/>
        </w:rPr>
        <w:t>) characterize the geochemical setting of the heavy metals in the mining-impacted soils; (ii) employ multivariate statistical analysis to establish associations between the heavy metals; (iii) differentiate between the anthropogenic and geogenic contributions of the heavy metals; and (iv) establish a framework for targeted interventions in the environment.</w:t>
      </w:r>
    </w:p>
    <w:p w14:paraId="1DAAEC27" w14:textId="77777777" w:rsidR="000C0F6E" w:rsidRPr="00343FC8" w:rsidRDefault="000D38FC">
      <w:pPr>
        <w:pStyle w:val="Heading1"/>
        <w:spacing w:line="312" w:lineRule="auto"/>
        <w:rPr>
          <w:sz w:val="28"/>
          <w:szCs w:val="28"/>
        </w:rPr>
      </w:pPr>
      <w:r w:rsidRPr="00343FC8">
        <w:rPr>
          <w:b/>
          <w:bCs/>
          <w:color w:val="1A365D"/>
          <w:sz w:val="28"/>
          <w:szCs w:val="28"/>
        </w:rPr>
        <w:t>2. MATERIALS AND METHODS</w:t>
      </w:r>
    </w:p>
    <w:p w14:paraId="41326637" w14:textId="77777777" w:rsidR="000C0F6E" w:rsidRPr="00343FC8" w:rsidRDefault="000D38FC">
      <w:pPr>
        <w:pStyle w:val="Heading2"/>
        <w:spacing w:line="312" w:lineRule="auto"/>
        <w:rPr>
          <w:sz w:val="28"/>
          <w:szCs w:val="28"/>
        </w:rPr>
      </w:pPr>
      <w:r w:rsidRPr="00343FC8">
        <w:rPr>
          <w:b/>
          <w:bCs/>
          <w:color w:val="1A365D"/>
          <w:sz w:val="28"/>
          <w:szCs w:val="28"/>
        </w:rPr>
        <w:t>2.1 Study Area Geology</w:t>
      </w:r>
    </w:p>
    <w:p w14:paraId="458821D9" w14:textId="77777777" w:rsidR="000C0F6E" w:rsidRPr="00343FC8" w:rsidRDefault="000D38FC">
      <w:pPr>
        <w:spacing w:before="120" w:after="120" w:line="312" w:lineRule="auto"/>
        <w:jc w:val="both"/>
        <w:rPr>
          <w:color w:val="2D3748"/>
          <w:sz w:val="28"/>
          <w:szCs w:val="28"/>
        </w:rPr>
      </w:pPr>
      <w:r w:rsidRPr="00343FC8">
        <w:rPr>
          <w:color w:val="2D3748"/>
          <w:sz w:val="28"/>
          <w:szCs w:val="28"/>
        </w:rPr>
        <w:t xml:space="preserve">The research was conducted in the Lower Benue Trough, which is a sedimentary basin filled with Cretaceous rocks of the </w:t>
      </w:r>
      <w:proofErr w:type="spellStart"/>
      <w:r w:rsidRPr="00343FC8">
        <w:rPr>
          <w:color w:val="2D3748"/>
          <w:sz w:val="28"/>
          <w:szCs w:val="28"/>
        </w:rPr>
        <w:t>Asu</w:t>
      </w:r>
      <w:proofErr w:type="spellEnd"/>
      <w:r w:rsidRPr="00343FC8">
        <w:rPr>
          <w:color w:val="2D3748"/>
          <w:sz w:val="28"/>
          <w:szCs w:val="28"/>
        </w:rPr>
        <w:t xml:space="preserve"> River Group. The dominant rock type is dark carbonaceous shale with associated limestone, siltstone, and volcanic intrusive rocks. Pb-Zn mineralization is present in the form of veins and lodes hosted in the shales. The major ore minerals are sphalerite (ZnS), galena (</w:t>
      </w:r>
      <w:proofErr w:type="spellStart"/>
      <w:r w:rsidRPr="00343FC8">
        <w:rPr>
          <w:color w:val="2D3748"/>
          <w:sz w:val="28"/>
          <w:szCs w:val="28"/>
        </w:rPr>
        <w:t>PbS</w:t>
      </w:r>
      <w:proofErr w:type="spellEnd"/>
      <w:r w:rsidRPr="00343FC8">
        <w:rPr>
          <w:color w:val="2D3748"/>
          <w:sz w:val="28"/>
          <w:szCs w:val="28"/>
        </w:rPr>
        <w:t>), and associated pyrite (FeS2). The mineralization is of the Mississippi Valley-type and is the result of low-temperature hydrothermal activity during the Santonian orogenic event.</w:t>
      </w:r>
    </w:p>
    <w:p w14:paraId="128761D1" w14:textId="77777777" w:rsidR="000C0F6E" w:rsidRPr="00232B57" w:rsidRDefault="000D38FC">
      <w:pPr>
        <w:spacing w:before="120" w:after="120" w:line="312" w:lineRule="auto"/>
        <w:jc w:val="both"/>
      </w:pPr>
      <w:r w:rsidRPr="00232B57">
        <w:rPr>
          <w:noProof/>
        </w:rPr>
        <w:lastRenderedPageBreak/>
        <w:drawing>
          <wp:inline distT="0" distB="0" distL="0" distR="0" wp14:anchorId="048AD7AB" wp14:editId="5D806FDE">
            <wp:extent cx="1884947" cy="2037347"/>
            <wp:effectExtent l="0" t="0" r="1270" b="127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898256" cy="2051732"/>
                    </a:xfrm>
                    <a:prstGeom prst="rect">
                      <a:avLst/>
                    </a:prstGeom>
                    <a:ln/>
                  </pic:spPr>
                </pic:pic>
              </a:graphicData>
            </a:graphic>
          </wp:inline>
        </w:drawing>
      </w:r>
    </w:p>
    <w:p w14:paraId="6E38D957" w14:textId="77777777" w:rsidR="000C0F6E" w:rsidRPr="00232B57" w:rsidRDefault="000D38FC">
      <w:pPr>
        <w:spacing w:before="120" w:after="120" w:line="312" w:lineRule="auto"/>
        <w:jc w:val="both"/>
      </w:pPr>
      <w:r w:rsidRPr="00232B57">
        <w:t>Figure 1 Ebonyi State maps</w:t>
      </w:r>
    </w:p>
    <w:p w14:paraId="4116B708" w14:textId="77777777" w:rsidR="000C0F6E" w:rsidRPr="000D38FC" w:rsidRDefault="000D38FC" w:rsidP="00343FC8">
      <w:pPr>
        <w:pStyle w:val="Heading2"/>
        <w:spacing w:after="240" w:line="312" w:lineRule="auto"/>
        <w:rPr>
          <w:sz w:val="28"/>
          <w:szCs w:val="28"/>
        </w:rPr>
      </w:pPr>
      <w:r w:rsidRPr="000D38FC">
        <w:rPr>
          <w:b/>
          <w:bCs/>
          <w:color w:val="1A365D"/>
          <w:sz w:val="28"/>
          <w:szCs w:val="28"/>
        </w:rPr>
        <w:t>2.2 Sampling and Analysis</w:t>
      </w:r>
    </w:p>
    <w:p w14:paraId="1F788952" w14:textId="77777777" w:rsidR="000C0F6E" w:rsidRPr="000D38FC" w:rsidRDefault="000D38FC">
      <w:pPr>
        <w:spacing w:before="120" w:after="120" w:line="312" w:lineRule="auto"/>
        <w:jc w:val="both"/>
        <w:rPr>
          <w:sz w:val="28"/>
          <w:szCs w:val="28"/>
        </w:rPr>
      </w:pPr>
      <w:r w:rsidRPr="000D38FC">
        <w:rPr>
          <w:color w:val="2D3748"/>
          <w:sz w:val="28"/>
          <w:szCs w:val="28"/>
        </w:rPr>
        <w:t xml:space="preserve">Soil samples were collected from abandoned mine areas (Abakaliki, </w:t>
      </w:r>
      <w:proofErr w:type="spellStart"/>
      <w:r w:rsidRPr="000D38FC">
        <w:rPr>
          <w:color w:val="2D3748"/>
          <w:sz w:val="28"/>
          <w:szCs w:val="28"/>
        </w:rPr>
        <w:t>Ikwo</w:t>
      </w:r>
      <w:proofErr w:type="spellEnd"/>
      <w:r w:rsidRPr="000D38FC">
        <w:rPr>
          <w:color w:val="2D3748"/>
          <w:sz w:val="28"/>
          <w:szCs w:val="28"/>
        </w:rPr>
        <w:t xml:space="preserve">, </w:t>
      </w:r>
      <w:proofErr w:type="spellStart"/>
      <w:r w:rsidRPr="000D38FC">
        <w:rPr>
          <w:color w:val="2D3748"/>
          <w:sz w:val="28"/>
          <w:szCs w:val="28"/>
        </w:rPr>
        <w:t>Izzi</w:t>
      </w:r>
      <w:proofErr w:type="spellEnd"/>
      <w:r w:rsidRPr="000D38FC">
        <w:rPr>
          <w:color w:val="2D3748"/>
          <w:sz w:val="28"/>
          <w:szCs w:val="28"/>
        </w:rPr>
        <w:t xml:space="preserve"> Local Government Areas) and quarry sites (</w:t>
      </w:r>
      <w:proofErr w:type="spellStart"/>
      <w:r w:rsidRPr="000D38FC">
        <w:rPr>
          <w:color w:val="2D3748"/>
          <w:sz w:val="28"/>
          <w:szCs w:val="28"/>
        </w:rPr>
        <w:t>Ezza</w:t>
      </w:r>
      <w:proofErr w:type="spellEnd"/>
      <w:r w:rsidRPr="000D38FC">
        <w:rPr>
          <w:color w:val="2D3748"/>
          <w:sz w:val="28"/>
          <w:szCs w:val="28"/>
        </w:rPr>
        <w:t xml:space="preserve"> South, </w:t>
      </w:r>
      <w:proofErr w:type="spellStart"/>
      <w:r w:rsidRPr="000D38FC">
        <w:rPr>
          <w:color w:val="2D3748"/>
          <w:sz w:val="28"/>
          <w:szCs w:val="28"/>
        </w:rPr>
        <w:t>Ezza</w:t>
      </w:r>
      <w:proofErr w:type="spellEnd"/>
      <w:r w:rsidRPr="000D38FC">
        <w:rPr>
          <w:color w:val="2D3748"/>
          <w:sz w:val="28"/>
          <w:szCs w:val="28"/>
        </w:rPr>
        <w:t xml:space="preserve"> North, Ivo Local Government Areas) at depths of 0-15 cm and 15-30 cm. The samples were air-dried, sieved to 2mm, and ground into fine powder. The samples were digested in aqua regia (HNO3: HCl, 1:3) and analyzed for the concentration of heavy metals by Atomic Absorption Spectrophotometer (</w:t>
      </w:r>
      <w:proofErr w:type="spellStart"/>
      <w:r w:rsidRPr="000D38FC">
        <w:rPr>
          <w:color w:val="2D3748"/>
          <w:sz w:val="28"/>
          <w:szCs w:val="28"/>
        </w:rPr>
        <w:t>Unicam</w:t>
      </w:r>
      <w:proofErr w:type="spellEnd"/>
      <w:r w:rsidRPr="000D38FC">
        <w:rPr>
          <w:color w:val="2D3748"/>
          <w:sz w:val="28"/>
          <w:szCs w:val="28"/>
        </w:rPr>
        <w:t xml:space="preserve"> model) for Pb, Zn, Cu, Cd, Cr, Ni, Fe, Mn, and As.</w:t>
      </w:r>
    </w:p>
    <w:p w14:paraId="05EDFB76" w14:textId="2CA27D80" w:rsidR="000C0F6E" w:rsidRPr="000D38FC" w:rsidRDefault="000D38FC">
      <w:pPr>
        <w:pStyle w:val="Heading2"/>
        <w:spacing w:before="360" w:after="240" w:line="312" w:lineRule="auto"/>
        <w:rPr>
          <w:sz w:val="28"/>
          <w:szCs w:val="28"/>
        </w:rPr>
      </w:pPr>
      <w:r w:rsidRPr="000D38FC">
        <w:rPr>
          <w:b/>
          <w:bCs/>
          <w:color w:val="1A365D"/>
          <w:sz w:val="28"/>
          <w:szCs w:val="28"/>
        </w:rPr>
        <w:t>2.3 Statistical Analysis</w:t>
      </w:r>
    </w:p>
    <w:p w14:paraId="15D498EA" w14:textId="77777777" w:rsidR="000C0F6E" w:rsidRPr="000D38FC" w:rsidRDefault="000D38FC">
      <w:pPr>
        <w:spacing w:before="120" w:after="120" w:line="312" w:lineRule="auto"/>
        <w:jc w:val="both"/>
        <w:rPr>
          <w:color w:val="2D3748"/>
          <w:sz w:val="28"/>
          <w:szCs w:val="28"/>
        </w:rPr>
      </w:pPr>
      <w:r w:rsidRPr="000D38FC">
        <w:rPr>
          <w:color w:val="2D3748"/>
          <w:sz w:val="28"/>
          <w:szCs w:val="28"/>
        </w:rPr>
        <w:t>The results were subjected to multivariate analysis by SPSS software. Cluster analysis by Ward's method at Euclidean distance was used to determine element clusters. Pearson correlation was used to determine the relationship between the metals. Statistical significance was set at p &lt; 0.05.</w:t>
      </w:r>
    </w:p>
    <w:p w14:paraId="17FB0195" w14:textId="77777777" w:rsidR="000C0F6E" w:rsidRPr="000D38FC" w:rsidRDefault="000D38FC" w:rsidP="00BD0307">
      <w:pPr>
        <w:pStyle w:val="Heading1"/>
        <w:spacing w:line="312" w:lineRule="auto"/>
        <w:rPr>
          <w:sz w:val="28"/>
          <w:szCs w:val="28"/>
        </w:rPr>
      </w:pPr>
      <w:r w:rsidRPr="000D38FC">
        <w:rPr>
          <w:b/>
          <w:bCs/>
          <w:color w:val="1A365D"/>
          <w:sz w:val="28"/>
          <w:szCs w:val="28"/>
        </w:rPr>
        <w:t>3. RESULTS AND DISCUSSION</w:t>
      </w:r>
    </w:p>
    <w:p w14:paraId="137869ED" w14:textId="77777777" w:rsidR="000C0F6E" w:rsidRPr="000D38FC" w:rsidRDefault="000D38FC" w:rsidP="00BD0307">
      <w:pPr>
        <w:pStyle w:val="Heading2"/>
        <w:spacing w:line="312" w:lineRule="auto"/>
        <w:rPr>
          <w:sz w:val="28"/>
          <w:szCs w:val="28"/>
        </w:rPr>
      </w:pPr>
      <w:r w:rsidRPr="000D38FC">
        <w:rPr>
          <w:b/>
          <w:bCs/>
          <w:color w:val="1A365D"/>
          <w:sz w:val="28"/>
          <w:szCs w:val="28"/>
        </w:rPr>
        <w:t>3.1 Metal Distribution Patterns</w:t>
      </w:r>
    </w:p>
    <w:p w14:paraId="0D8476CD" w14:textId="77777777" w:rsidR="000C0F6E" w:rsidRPr="000D38FC" w:rsidRDefault="000D38FC">
      <w:pPr>
        <w:spacing w:before="120" w:after="120" w:line="312" w:lineRule="auto"/>
        <w:jc w:val="both"/>
        <w:rPr>
          <w:sz w:val="28"/>
          <w:szCs w:val="28"/>
        </w:rPr>
      </w:pPr>
      <w:r w:rsidRPr="000D38FC">
        <w:rPr>
          <w:color w:val="2D3748"/>
          <w:sz w:val="28"/>
          <w:szCs w:val="28"/>
        </w:rPr>
        <w:t>The distribution patterns of heavy metals were distinct and indicated both geological background and mining effects. The range for lead was 16.63 to 127 ppm (mean 61.4 ppm), which was significantly higher than the crustal background value of 15 ppm. Zinc was the most enriched element, ranging from 21.14 to 120 ppm (mean 76.9 ppm). Copper (15 to 35 ppm), cadmium (0.4 to 4.2 ppm), and chromium (0.2 to 2.5 ppm) were moderately enriched.</w:t>
      </w:r>
    </w:p>
    <w:p w14:paraId="2DCE57D0" w14:textId="77777777" w:rsidR="000C0F6E" w:rsidRPr="00232B57" w:rsidRDefault="000D38FC">
      <w:pPr>
        <w:spacing w:before="240" w:after="120"/>
        <w:jc w:val="center"/>
      </w:pPr>
      <w:r w:rsidRPr="00232B57">
        <w:rPr>
          <w:b/>
          <w:bCs/>
          <w:sz w:val="22"/>
          <w:szCs w:val="22"/>
        </w:rPr>
        <w:lastRenderedPageBreak/>
        <w:t>Table 1: Statistical Summary of Heavy Metal Concentrations (ppm)</w:t>
      </w:r>
    </w:p>
    <w:tbl>
      <w:tblPr>
        <w:tblStyle w:val="a"/>
        <w:tblW w:w="9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1521"/>
        <w:gridCol w:w="1523"/>
        <w:gridCol w:w="1495"/>
        <w:gridCol w:w="1484"/>
        <w:gridCol w:w="1506"/>
      </w:tblGrid>
      <w:tr w:rsidR="000C0F6E" w:rsidRPr="00232B57" w14:paraId="6782321D" w14:textId="77777777">
        <w:tc>
          <w:tcPr>
            <w:tcW w:w="1495"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600B8906" w14:textId="77777777" w:rsidR="000C0F6E" w:rsidRPr="00232B57" w:rsidRDefault="000D38FC">
            <w:pPr>
              <w:spacing w:before="60" w:after="60"/>
              <w:jc w:val="center"/>
            </w:pPr>
            <w:r w:rsidRPr="00232B57">
              <w:rPr>
                <w:b/>
                <w:bCs/>
                <w:color w:val="1A365D"/>
                <w:sz w:val="22"/>
                <w:szCs w:val="22"/>
              </w:rPr>
              <w:t>Metal</w:t>
            </w:r>
          </w:p>
        </w:tc>
        <w:tc>
          <w:tcPr>
            <w:tcW w:w="1521"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35948971" w14:textId="77777777" w:rsidR="000C0F6E" w:rsidRPr="00232B57" w:rsidRDefault="000D38FC">
            <w:pPr>
              <w:spacing w:before="60" w:after="60"/>
              <w:jc w:val="center"/>
            </w:pPr>
            <w:r w:rsidRPr="00232B57">
              <w:rPr>
                <w:b/>
                <w:bCs/>
                <w:color w:val="1A365D"/>
                <w:sz w:val="22"/>
                <w:szCs w:val="22"/>
              </w:rPr>
              <w:t>Minimum</w:t>
            </w:r>
          </w:p>
        </w:tc>
        <w:tc>
          <w:tcPr>
            <w:tcW w:w="1523"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1E697ADC" w14:textId="77777777" w:rsidR="000C0F6E" w:rsidRPr="00232B57" w:rsidRDefault="000D38FC">
            <w:pPr>
              <w:spacing w:before="60" w:after="60"/>
              <w:jc w:val="center"/>
            </w:pPr>
            <w:r w:rsidRPr="00232B57">
              <w:rPr>
                <w:b/>
                <w:bCs/>
                <w:color w:val="1A365D"/>
                <w:sz w:val="22"/>
                <w:szCs w:val="22"/>
              </w:rPr>
              <w:t>Maximum</w:t>
            </w:r>
          </w:p>
        </w:tc>
        <w:tc>
          <w:tcPr>
            <w:tcW w:w="1495"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4F9B1659" w14:textId="77777777" w:rsidR="000C0F6E" w:rsidRPr="00232B57" w:rsidRDefault="000D38FC">
            <w:pPr>
              <w:spacing w:before="60" w:after="60"/>
              <w:jc w:val="center"/>
            </w:pPr>
            <w:r w:rsidRPr="00232B57">
              <w:rPr>
                <w:b/>
                <w:bCs/>
                <w:color w:val="1A365D"/>
                <w:sz w:val="22"/>
                <w:szCs w:val="22"/>
              </w:rPr>
              <w:t>Mean</w:t>
            </w:r>
          </w:p>
        </w:tc>
        <w:tc>
          <w:tcPr>
            <w:tcW w:w="1484"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0BB538AA" w14:textId="77777777" w:rsidR="000C0F6E" w:rsidRPr="00232B57" w:rsidRDefault="000D38FC">
            <w:pPr>
              <w:spacing w:before="60" w:after="60"/>
              <w:jc w:val="center"/>
            </w:pPr>
            <w:r w:rsidRPr="00232B57">
              <w:rPr>
                <w:b/>
                <w:bCs/>
                <w:color w:val="1A365D"/>
                <w:sz w:val="22"/>
                <w:szCs w:val="22"/>
              </w:rPr>
              <w:t>Std. Dev</w:t>
            </w:r>
          </w:p>
        </w:tc>
        <w:tc>
          <w:tcPr>
            <w:tcW w:w="1506"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424B8D8D" w14:textId="77777777" w:rsidR="000C0F6E" w:rsidRPr="00232B57" w:rsidRDefault="000D38FC">
            <w:pPr>
              <w:spacing w:before="60" w:after="60"/>
              <w:jc w:val="center"/>
            </w:pPr>
            <w:r w:rsidRPr="00232B57">
              <w:rPr>
                <w:b/>
                <w:bCs/>
                <w:color w:val="1A365D"/>
                <w:sz w:val="22"/>
                <w:szCs w:val="22"/>
              </w:rPr>
              <w:t>Crustal Avg.</w:t>
            </w:r>
          </w:p>
        </w:tc>
      </w:tr>
      <w:tr w:rsidR="000C0F6E" w:rsidRPr="00232B57" w14:paraId="7E17D2B7" w14:textId="77777777">
        <w:tc>
          <w:tcPr>
            <w:tcW w:w="1495" w:type="dxa"/>
            <w:tcBorders>
              <w:top w:val="single" w:sz="4" w:space="0" w:color="CBD5E0"/>
              <w:left w:val="single" w:sz="4" w:space="0" w:color="CBD5E0"/>
              <w:bottom w:val="single" w:sz="4" w:space="0" w:color="CBD5E0"/>
              <w:right w:val="single" w:sz="4" w:space="0" w:color="CBD5E0"/>
            </w:tcBorders>
            <w:vAlign w:val="center"/>
          </w:tcPr>
          <w:p w14:paraId="08C95EDA" w14:textId="77777777" w:rsidR="000C0F6E" w:rsidRPr="00232B57" w:rsidRDefault="000D38FC">
            <w:pPr>
              <w:spacing w:before="60" w:after="60"/>
              <w:jc w:val="center"/>
            </w:pPr>
            <w:r w:rsidRPr="00232B57">
              <w:rPr>
                <w:color w:val="2D3748"/>
                <w:sz w:val="20"/>
                <w:szCs w:val="20"/>
              </w:rPr>
              <w:t>Pb</w:t>
            </w:r>
          </w:p>
        </w:tc>
        <w:tc>
          <w:tcPr>
            <w:tcW w:w="1521" w:type="dxa"/>
            <w:tcBorders>
              <w:top w:val="single" w:sz="4" w:space="0" w:color="CBD5E0"/>
              <w:left w:val="single" w:sz="4" w:space="0" w:color="CBD5E0"/>
              <w:bottom w:val="single" w:sz="4" w:space="0" w:color="CBD5E0"/>
              <w:right w:val="single" w:sz="4" w:space="0" w:color="CBD5E0"/>
            </w:tcBorders>
            <w:vAlign w:val="center"/>
          </w:tcPr>
          <w:p w14:paraId="30487C48" w14:textId="77777777" w:rsidR="000C0F6E" w:rsidRPr="00232B57" w:rsidRDefault="000D38FC">
            <w:pPr>
              <w:spacing w:before="60" w:after="60"/>
              <w:jc w:val="center"/>
            </w:pPr>
            <w:r w:rsidRPr="00232B57">
              <w:rPr>
                <w:color w:val="2D3748"/>
                <w:sz w:val="20"/>
                <w:szCs w:val="20"/>
              </w:rPr>
              <w:t>16.63</w:t>
            </w:r>
          </w:p>
        </w:tc>
        <w:tc>
          <w:tcPr>
            <w:tcW w:w="1523" w:type="dxa"/>
            <w:tcBorders>
              <w:top w:val="single" w:sz="4" w:space="0" w:color="CBD5E0"/>
              <w:left w:val="single" w:sz="4" w:space="0" w:color="CBD5E0"/>
              <w:bottom w:val="single" w:sz="4" w:space="0" w:color="CBD5E0"/>
              <w:right w:val="single" w:sz="4" w:space="0" w:color="CBD5E0"/>
            </w:tcBorders>
            <w:vAlign w:val="center"/>
          </w:tcPr>
          <w:p w14:paraId="67D49AA3" w14:textId="77777777" w:rsidR="000C0F6E" w:rsidRPr="00232B57" w:rsidRDefault="000D38FC">
            <w:pPr>
              <w:spacing w:before="60" w:after="60"/>
              <w:jc w:val="center"/>
            </w:pPr>
            <w:r w:rsidRPr="00232B57">
              <w:rPr>
                <w:color w:val="2D3748"/>
                <w:sz w:val="20"/>
                <w:szCs w:val="20"/>
              </w:rPr>
              <w:t>127</w:t>
            </w:r>
          </w:p>
        </w:tc>
        <w:tc>
          <w:tcPr>
            <w:tcW w:w="1495" w:type="dxa"/>
            <w:tcBorders>
              <w:top w:val="single" w:sz="4" w:space="0" w:color="CBD5E0"/>
              <w:left w:val="single" w:sz="4" w:space="0" w:color="CBD5E0"/>
              <w:bottom w:val="single" w:sz="4" w:space="0" w:color="CBD5E0"/>
              <w:right w:val="single" w:sz="4" w:space="0" w:color="CBD5E0"/>
            </w:tcBorders>
            <w:vAlign w:val="center"/>
          </w:tcPr>
          <w:p w14:paraId="623D602A" w14:textId="77777777" w:rsidR="000C0F6E" w:rsidRPr="00232B57" w:rsidRDefault="000D38FC">
            <w:pPr>
              <w:spacing w:before="60" w:after="60"/>
              <w:jc w:val="center"/>
            </w:pPr>
            <w:r w:rsidRPr="00232B57">
              <w:rPr>
                <w:color w:val="2D3748"/>
                <w:sz w:val="20"/>
                <w:szCs w:val="20"/>
              </w:rPr>
              <w:t>61.4</w:t>
            </w:r>
          </w:p>
        </w:tc>
        <w:tc>
          <w:tcPr>
            <w:tcW w:w="1484" w:type="dxa"/>
            <w:tcBorders>
              <w:top w:val="single" w:sz="4" w:space="0" w:color="CBD5E0"/>
              <w:left w:val="single" w:sz="4" w:space="0" w:color="CBD5E0"/>
              <w:bottom w:val="single" w:sz="4" w:space="0" w:color="CBD5E0"/>
              <w:right w:val="single" w:sz="4" w:space="0" w:color="CBD5E0"/>
            </w:tcBorders>
            <w:vAlign w:val="center"/>
          </w:tcPr>
          <w:p w14:paraId="679F1C3F" w14:textId="77777777" w:rsidR="000C0F6E" w:rsidRPr="00232B57" w:rsidRDefault="000D38FC">
            <w:pPr>
              <w:spacing w:before="60" w:after="60"/>
              <w:jc w:val="center"/>
            </w:pPr>
            <w:r w:rsidRPr="00232B57">
              <w:rPr>
                <w:color w:val="2D3748"/>
                <w:sz w:val="20"/>
                <w:szCs w:val="20"/>
              </w:rPr>
              <w:t>28.5</w:t>
            </w:r>
          </w:p>
        </w:tc>
        <w:tc>
          <w:tcPr>
            <w:tcW w:w="1506" w:type="dxa"/>
            <w:tcBorders>
              <w:top w:val="single" w:sz="4" w:space="0" w:color="CBD5E0"/>
              <w:left w:val="single" w:sz="4" w:space="0" w:color="CBD5E0"/>
              <w:bottom w:val="single" w:sz="4" w:space="0" w:color="CBD5E0"/>
              <w:right w:val="single" w:sz="4" w:space="0" w:color="CBD5E0"/>
            </w:tcBorders>
            <w:vAlign w:val="center"/>
          </w:tcPr>
          <w:p w14:paraId="5E0B99CA" w14:textId="77777777" w:rsidR="000C0F6E" w:rsidRPr="00232B57" w:rsidRDefault="000D38FC">
            <w:pPr>
              <w:spacing w:before="60" w:after="60"/>
              <w:jc w:val="center"/>
            </w:pPr>
            <w:r w:rsidRPr="00232B57">
              <w:rPr>
                <w:color w:val="2D3748"/>
                <w:sz w:val="20"/>
                <w:szCs w:val="20"/>
              </w:rPr>
              <w:t>15</w:t>
            </w:r>
          </w:p>
        </w:tc>
      </w:tr>
      <w:tr w:rsidR="000C0F6E" w:rsidRPr="00232B57" w14:paraId="64F2930F" w14:textId="77777777">
        <w:tc>
          <w:tcPr>
            <w:tcW w:w="1495" w:type="dxa"/>
            <w:tcBorders>
              <w:top w:val="single" w:sz="4" w:space="0" w:color="CBD5E0"/>
              <w:left w:val="single" w:sz="4" w:space="0" w:color="CBD5E0"/>
              <w:bottom w:val="single" w:sz="4" w:space="0" w:color="CBD5E0"/>
              <w:right w:val="single" w:sz="4" w:space="0" w:color="CBD5E0"/>
            </w:tcBorders>
            <w:vAlign w:val="center"/>
          </w:tcPr>
          <w:p w14:paraId="72FBABBE" w14:textId="77777777" w:rsidR="000C0F6E" w:rsidRPr="00232B57" w:rsidRDefault="000D38FC">
            <w:pPr>
              <w:spacing w:before="60" w:after="60"/>
              <w:jc w:val="center"/>
            </w:pPr>
            <w:r w:rsidRPr="00232B57">
              <w:rPr>
                <w:color w:val="2D3748"/>
                <w:sz w:val="20"/>
                <w:szCs w:val="20"/>
              </w:rPr>
              <w:t>Zn</w:t>
            </w:r>
          </w:p>
        </w:tc>
        <w:tc>
          <w:tcPr>
            <w:tcW w:w="1521" w:type="dxa"/>
            <w:tcBorders>
              <w:top w:val="single" w:sz="4" w:space="0" w:color="CBD5E0"/>
              <w:left w:val="single" w:sz="4" w:space="0" w:color="CBD5E0"/>
              <w:bottom w:val="single" w:sz="4" w:space="0" w:color="CBD5E0"/>
              <w:right w:val="single" w:sz="4" w:space="0" w:color="CBD5E0"/>
            </w:tcBorders>
            <w:vAlign w:val="center"/>
          </w:tcPr>
          <w:p w14:paraId="3BF87C34" w14:textId="77777777" w:rsidR="000C0F6E" w:rsidRPr="00232B57" w:rsidRDefault="000D38FC">
            <w:pPr>
              <w:spacing w:before="60" w:after="60"/>
              <w:jc w:val="center"/>
            </w:pPr>
            <w:r w:rsidRPr="00232B57">
              <w:rPr>
                <w:color w:val="2D3748"/>
                <w:sz w:val="20"/>
                <w:szCs w:val="20"/>
              </w:rPr>
              <w:t>21.14</w:t>
            </w:r>
          </w:p>
        </w:tc>
        <w:tc>
          <w:tcPr>
            <w:tcW w:w="1523" w:type="dxa"/>
            <w:tcBorders>
              <w:top w:val="single" w:sz="4" w:space="0" w:color="CBD5E0"/>
              <w:left w:val="single" w:sz="4" w:space="0" w:color="CBD5E0"/>
              <w:bottom w:val="single" w:sz="4" w:space="0" w:color="CBD5E0"/>
              <w:right w:val="single" w:sz="4" w:space="0" w:color="CBD5E0"/>
            </w:tcBorders>
            <w:vAlign w:val="center"/>
          </w:tcPr>
          <w:p w14:paraId="46C1AB2F" w14:textId="77777777" w:rsidR="000C0F6E" w:rsidRPr="00232B57" w:rsidRDefault="000D38FC">
            <w:pPr>
              <w:spacing w:before="60" w:after="60"/>
              <w:jc w:val="center"/>
            </w:pPr>
            <w:r w:rsidRPr="00232B57">
              <w:rPr>
                <w:color w:val="2D3748"/>
                <w:sz w:val="20"/>
                <w:szCs w:val="20"/>
              </w:rPr>
              <w:t>120</w:t>
            </w:r>
          </w:p>
        </w:tc>
        <w:tc>
          <w:tcPr>
            <w:tcW w:w="1495" w:type="dxa"/>
            <w:tcBorders>
              <w:top w:val="single" w:sz="4" w:space="0" w:color="CBD5E0"/>
              <w:left w:val="single" w:sz="4" w:space="0" w:color="CBD5E0"/>
              <w:bottom w:val="single" w:sz="4" w:space="0" w:color="CBD5E0"/>
              <w:right w:val="single" w:sz="4" w:space="0" w:color="CBD5E0"/>
            </w:tcBorders>
            <w:vAlign w:val="center"/>
          </w:tcPr>
          <w:p w14:paraId="0ED1112E" w14:textId="77777777" w:rsidR="000C0F6E" w:rsidRPr="00232B57" w:rsidRDefault="000D38FC">
            <w:pPr>
              <w:spacing w:before="60" w:after="60"/>
              <w:jc w:val="center"/>
            </w:pPr>
            <w:r w:rsidRPr="00232B57">
              <w:rPr>
                <w:color w:val="2D3748"/>
                <w:sz w:val="20"/>
                <w:szCs w:val="20"/>
              </w:rPr>
              <w:t>76.9</w:t>
            </w:r>
          </w:p>
        </w:tc>
        <w:tc>
          <w:tcPr>
            <w:tcW w:w="1484" w:type="dxa"/>
            <w:tcBorders>
              <w:top w:val="single" w:sz="4" w:space="0" w:color="CBD5E0"/>
              <w:left w:val="single" w:sz="4" w:space="0" w:color="CBD5E0"/>
              <w:bottom w:val="single" w:sz="4" w:space="0" w:color="CBD5E0"/>
              <w:right w:val="single" w:sz="4" w:space="0" w:color="CBD5E0"/>
            </w:tcBorders>
            <w:vAlign w:val="center"/>
          </w:tcPr>
          <w:p w14:paraId="058CC2CB" w14:textId="77777777" w:rsidR="000C0F6E" w:rsidRPr="00232B57" w:rsidRDefault="000D38FC">
            <w:pPr>
              <w:spacing w:before="60" w:after="60"/>
              <w:jc w:val="center"/>
            </w:pPr>
            <w:r w:rsidRPr="00232B57">
              <w:rPr>
                <w:color w:val="2D3748"/>
                <w:sz w:val="20"/>
                <w:szCs w:val="20"/>
              </w:rPr>
              <w:t>25.2</w:t>
            </w:r>
          </w:p>
        </w:tc>
        <w:tc>
          <w:tcPr>
            <w:tcW w:w="1506" w:type="dxa"/>
            <w:tcBorders>
              <w:top w:val="single" w:sz="4" w:space="0" w:color="CBD5E0"/>
              <w:left w:val="single" w:sz="4" w:space="0" w:color="CBD5E0"/>
              <w:bottom w:val="single" w:sz="4" w:space="0" w:color="CBD5E0"/>
              <w:right w:val="single" w:sz="4" w:space="0" w:color="CBD5E0"/>
            </w:tcBorders>
            <w:vAlign w:val="center"/>
          </w:tcPr>
          <w:p w14:paraId="04199840" w14:textId="77777777" w:rsidR="000C0F6E" w:rsidRPr="00232B57" w:rsidRDefault="000D38FC">
            <w:pPr>
              <w:spacing w:before="60" w:after="60"/>
              <w:jc w:val="center"/>
            </w:pPr>
            <w:r w:rsidRPr="00232B57">
              <w:rPr>
                <w:color w:val="2D3748"/>
                <w:sz w:val="20"/>
                <w:szCs w:val="20"/>
              </w:rPr>
              <w:t>70</w:t>
            </w:r>
          </w:p>
        </w:tc>
      </w:tr>
      <w:tr w:rsidR="000C0F6E" w:rsidRPr="00232B57" w14:paraId="0A858DE7" w14:textId="77777777">
        <w:tc>
          <w:tcPr>
            <w:tcW w:w="1495" w:type="dxa"/>
            <w:tcBorders>
              <w:top w:val="single" w:sz="4" w:space="0" w:color="CBD5E0"/>
              <w:left w:val="single" w:sz="4" w:space="0" w:color="CBD5E0"/>
              <w:bottom w:val="single" w:sz="4" w:space="0" w:color="CBD5E0"/>
              <w:right w:val="single" w:sz="4" w:space="0" w:color="CBD5E0"/>
            </w:tcBorders>
            <w:vAlign w:val="center"/>
          </w:tcPr>
          <w:p w14:paraId="49008F0D" w14:textId="77777777" w:rsidR="000C0F6E" w:rsidRPr="00232B57" w:rsidRDefault="000D38FC">
            <w:pPr>
              <w:spacing w:before="60" w:after="60"/>
              <w:jc w:val="center"/>
            </w:pPr>
            <w:r w:rsidRPr="00232B57">
              <w:rPr>
                <w:color w:val="2D3748"/>
                <w:sz w:val="20"/>
                <w:szCs w:val="20"/>
              </w:rPr>
              <w:t>Cu</w:t>
            </w:r>
          </w:p>
        </w:tc>
        <w:tc>
          <w:tcPr>
            <w:tcW w:w="1521" w:type="dxa"/>
            <w:tcBorders>
              <w:top w:val="single" w:sz="4" w:space="0" w:color="CBD5E0"/>
              <w:left w:val="single" w:sz="4" w:space="0" w:color="CBD5E0"/>
              <w:bottom w:val="single" w:sz="4" w:space="0" w:color="CBD5E0"/>
              <w:right w:val="single" w:sz="4" w:space="0" w:color="CBD5E0"/>
            </w:tcBorders>
            <w:vAlign w:val="center"/>
          </w:tcPr>
          <w:p w14:paraId="357CAF14" w14:textId="77777777" w:rsidR="000C0F6E" w:rsidRPr="00232B57" w:rsidRDefault="000D38FC">
            <w:pPr>
              <w:spacing w:before="60" w:after="60"/>
              <w:jc w:val="center"/>
            </w:pPr>
            <w:r w:rsidRPr="00232B57">
              <w:rPr>
                <w:color w:val="2D3748"/>
                <w:sz w:val="20"/>
                <w:szCs w:val="20"/>
              </w:rPr>
              <w:t>15</w:t>
            </w:r>
          </w:p>
        </w:tc>
        <w:tc>
          <w:tcPr>
            <w:tcW w:w="1523" w:type="dxa"/>
            <w:tcBorders>
              <w:top w:val="single" w:sz="4" w:space="0" w:color="CBD5E0"/>
              <w:left w:val="single" w:sz="4" w:space="0" w:color="CBD5E0"/>
              <w:bottom w:val="single" w:sz="4" w:space="0" w:color="CBD5E0"/>
              <w:right w:val="single" w:sz="4" w:space="0" w:color="CBD5E0"/>
            </w:tcBorders>
            <w:vAlign w:val="center"/>
          </w:tcPr>
          <w:p w14:paraId="0B556571" w14:textId="77777777" w:rsidR="000C0F6E" w:rsidRPr="00232B57" w:rsidRDefault="000D38FC">
            <w:pPr>
              <w:spacing w:before="60" w:after="60"/>
              <w:jc w:val="center"/>
            </w:pPr>
            <w:r w:rsidRPr="00232B57">
              <w:rPr>
                <w:color w:val="2D3748"/>
                <w:sz w:val="20"/>
                <w:szCs w:val="20"/>
              </w:rPr>
              <w:t>35</w:t>
            </w:r>
          </w:p>
        </w:tc>
        <w:tc>
          <w:tcPr>
            <w:tcW w:w="1495" w:type="dxa"/>
            <w:tcBorders>
              <w:top w:val="single" w:sz="4" w:space="0" w:color="CBD5E0"/>
              <w:left w:val="single" w:sz="4" w:space="0" w:color="CBD5E0"/>
              <w:bottom w:val="single" w:sz="4" w:space="0" w:color="CBD5E0"/>
              <w:right w:val="single" w:sz="4" w:space="0" w:color="CBD5E0"/>
            </w:tcBorders>
            <w:vAlign w:val="center"/>
          </w:tcPr>
          <w:p w14:paraId="662144FD" w14:textId="77777777" w:rsidR="000C0F6E" w:rsidRPr="00232B57" w:rsidRDefault="000D38FC">
            <w:pPr>
              <w:spacing w:before="60" w:after="60"/>
              <w:jc w:val="center"/>
            </w:pPr>
            <w:r w:rsidRPr="00232B57">
              <w:rPr>
                <w:color w:val="2D3748"/>
                <w:sz w:val="20"/>
                <w:szCs w:val="20"/>
              </w:rPr>
              <w:t>21.8</w:t>
            </w:r>
          </w:p>
        </w:tc>
        <w:tc>
          <w:tcPr>
            <w:tcW w:w="1484" w:type="dxa"/>
            <w:tcBorders>
              <w:top w:val="single" w:sz="4" w:space="0" w:color="CBD5E0"/>
              <w:left w:val="single" w:sz="4" w:space="0" w:color="CBD5E0"/>
              <w:bottom w:val="single" w:sz="4" w:space="0" w:color="CBD5E0"/>
              <w:right w:val="single" w:sz="4" w:space="0" w:color="CBD5E0"/>
            </w:tcBorders>
            <w:vAlign w:val="center"/>
          </w:tcPr>
          <w:p w14:paraId="25608CCE" w14:textId="77777777" w:rsidR="000C0F6E" w:rsidRPr="00232B57" w:rsidRDefault="000D38FC">
            <w:pPr>
              <w:spacing w:before="60" w:after="60"/>
              <w:jc w:val="center"/>
            </w:pPr>
            <w:r w:rsidRPr="00232B57">
              <w:rPr>
                <w:color w:val="2D3748"/>
                <w:sz w:val="20"/>
                <w:szCs w:val="20"/>
              </w:rPr>
              <w:t>5.6</w:t>
            </w:r>
          </w:p>
        </w:tc>
        <w:tc>
          <w:tcPr>
            <w:tcW w:w="1506" w:type="dxa"/>
            <w:tcBorders>
              <w:top w:val="single" w:sz="4" w:space="0" w:color="CBD5E0"/>
              <w:left w:val="single" w:sz="4" w:space="0" w:color="CBD5E0"/>
              <w:bottom w:val="single" w:sz="4" w:space="0" w:color="CBD5E0"/>
              <w:right w:val="single" w:sz="4" w:space="0" w:color="CBD5E0"/>
            </w:tcBorders>
            <w:vAlign w:val="center"/>
          </w:tcPr>
          <w:p w14:paraId="04068E16" w14:textId="77777777" w:rsidR="000C0F6E" w:rsidRPr="00232B57" w:rsidRDefault="000D38FC">
            <w:pPr>
              <w:spacing w:before="60" w:after="60"/>
              <w:jc w:val="center"/>
            </w:pPr>
            <w:r w:rsidRPr="00232B57">
              <w:rPr>
                <w:color w:val="2D3748"/>
                <w:sz w:val="20"/>
                <w:szCs w:val="20"/>
              </w:rPr>
              <w:t>50</w:t>
            </w:r>
          </w:p>
        </w:tc>
      </w:tr>
      <w:tr w:rsidR="000C0F6E" w:rsidRPr="00232B57" w14:paraId="236312CD" w14:textId="77777777">
        <w:tc>
          <w:tcPr>
            <w:tcW w:w="1495" w:type="dxa"/>
            <w:tcBorders>
              <w:top w:val="single" w:sz="4" w:space="0" w:color="CBD5E0"/>
              <w:left w:val="single" w:sz="4" w:space="0" w:color="CBD5E0"/>
              <w:bottom w:val="single" w:sz="4" w:space="0" w:color="CBD5E0"/>
              <w:right w:val="single" w:sz="4" w:space="0" w:color="CBD5E0"/>
            </w:tcBorders>
            <w:vAlign w:val="center"/>
          </w:tcPr>
          <w:p w14:paraId="40A19B54" w14:textId="77777777" w:rsidR="000C0F6E" w:rsidRPr="00232B57" w:rsidRDefault="000D38FC">
            <w:pPr>
              <w:spacing w:before="60" w:after="60"/>
              <w:jc w:val="center"/>
            </w:pPr>
            <w:r w:rsidRPr="00232B57">
              <w:rPr>
                <w:color w:val="2D3748"/>
                <w:sz w:val="20"/>
                <w:szCs w:val="20"/>
              </w:rPr>
              <w:t>Cd</w:t>
            </w:r>
          </w:p>
        </w:tc>
        <w:tc>
          <w:tcPr>
            <w:tcW w:w="1521" w:type="dxa"/>
            <w:tcBorders>
              <w:top w:val="single" w:sz="4" w:space="0" w:color="CBD5E0"/>
              <w:left w:val="single" w:sz="4" w:space="0" w:color="CBD5E0"/>
              <w:bottom w:val="single" w:sz="4" w:space="0" w:color="CBD5E0"/>
              <w:right w:val="single" w:sz="4" w:space="0" w:color="CBD5E0"/>
            </w:tcBorders>
            <w:vAlign w:val="center"/>
          </w:tcPr>
          <w:p w14:paraId="12D0B924" w14:textId="77777777" w:rsidR="000C0F6E" w:rsidRPr="00232B57" w:rsidRDefault="000D38FC">
            <w:pPr>
              <w:spacing w:before="60" w:after="60"/>
              <w:jc w:val="center"/>
            </w:pPr>
            <w:r w:rsidRPr="00232B57">
              <w:rPr>
                <w:color w:val="2D3748"/>
                <w:sz w:val="20"/>
                <w:szCs w:val="20"/>
              </w:rPr>
              <w:t>0.4</w:t>
            </w:r>
          </w:p>
        </w:tc>
        <w:tc>
          <w:tcPr>
            <w:tcW w:w="1523" w:type="dxa"/>
            <w:tcBorders>
              <w:top w:val="single" w:sz="4" w:space="0" w:color="CBD5E0"/>
              <w:left w:val="single" w:sz="4" w:space="0" w:color="CBD5E0"/>
              <w:bottom w:val="single" w:sz="4" w:space="0" w:color="CBD5E0"/>
              <w:right w:val="single" w:sz="4" w:space="0" w:color="CBD5E0"/>
            </w:tcBorders>
            <w:vAlign w:val="center"/>
          </w:tcPr>
          <w:p w14:paraId="6C5B4276" w14:textId="77777777" w:rsidR="000C0F6E" w:rsidRPr="00232B57" w:rsidRDefault="000D38FC">
            <w:pPr>
              <w:spacing w:before="60" w:after="60"/>
              <w:jc w:val="center"/>
            </w:pPr>
            <w:r w:rsidRPr="00232B57">
              <w:rPr>
                <w:color w:val="2D3748"/>
                <w:sz w:val="20"/>
                <w:szCs w:val="20"/>
              </w:rPr>
              <w:t>4.2</w:t>
            </w:r>
          </w:p>
        </w:tc>
        <w:tc>
          <w:tcPr>
            <w:tcW w:w="1495" w:type="dxa"/>
            <w:tcBorders>
              <w:top w:val="single" w:sz="4" w:space="0" w:color="CBD5E0"/>
              <w:left w:val="single" w:sz="4" w:space="0" w:color="CBD5E0"/>
              <w:bottom w:val="single" w:sz="4" w:space="0" w:color="CBD5E0"/>
              <w:right w:val="single" w:sz="4" w:space="0" w:color="CBD5E0"/>
            </w:tcBorders>
            <w:vAlign w:val="center"/>
          </w:tcPr>
          <w:p w14:paraId="0411A567" w14:textId="77777777" w:rsidR="000C0F6E" w:rsidRPr="00232B57" w:rsidRDefault="000D38FC">
            <w:pPr>
              <w:spacing w:before="60" w:after="60"/>
              <w:jc w:val="center"/>
            </w:pPr>
            <w:r w:rsidRPr="00232B57">
              <w:rPr>
                <w:color w:val="2D3748"/>
                <w:sz w:val="20"/>
                <w:szCs w:val="20"/>
              </w:rPr>
              <w:t>1.9</w:t>
            </w:r>
          </w:p>
        </w:tc>
        <w:tc>
          <w:tcPr>
            <w:tcW w:w="1484" w:type="dxa"/>
            <w:tcBorders>
              <w:top w:val="single" w:sz="4" w:space="0" w:color="CBD5E0"/>
              <w:left w:val="single" w:sz="4" w:space="0" w:color="CBD5E0"/>
              <w:bottom w:val="single" w:sz="4" w:space="0" w:color="CBD5E0"/>
              <w:right w:val="single" w:sz="4" w:space="0" w:color="CBD5E0"/>
            </w:tcBorders>
            <w:vAlign w:val="center"/>
          </w:tcPr>
          <w:p w14:paraId="34030FB3" w14:textId="77777777" w:rsidR="000C0F6E" w:rsidRPr="00232B57" w:rsidRDefault="000D38FC">
            <w:pPr>
              <w:spacing w:before="60" w:after="60"/>
              <w:jc w:val="center"/>
            </w:pPr>
            <w:r w:rsidRPr="00232B57">
              <w:rPr>
                <w:color w:val="2D3748"/>
                <w:sz w:val="20"/>
                <w:szCs w:val="20"/>
              </w:rPr>
              <w:t>0.95</w:t>
            </w:r>
          </w:p>
        </w:tc>
        <w:tc>
          <w:tcPr>
            <w:tcW w:w="1506" w:type="dxa"/>
            <w:tcBorders>
              <w:top w:val="single" w:sz="4" w:space="0" w:color="CBD5E0"/>
              <w:left w:val="single" w:sz="4" w:space="0" w:color="CBD5E0"/>
              <w:bottom w:val="single" w:sz="4" w:space="0" w:color="CBD5E0"/>
              <w:right w:val="single" w:sz="4" w:space="0" w:color="CBD5E0"/>
            </w:tcBorders>
            <w:vAlign w:val="center"/>
          </w:tcPr>
          <w:p w14:paraId="747E111A" w14:textId="77777777" w:rsidR="000C0F6E" w:rsidRPr="00232B57" w:rsidRDefault="000D38FC">
            <w:pPr>
              <w:spacing w:before="60" w:after="60"/>
              <w:jc w:val="center"/>
            </w:pPr>
            <w:r w:rsidRPr="00232B57">
              <w:rPr>
                <w:color w:val="2D3748"/>
                <w:sz w:val="20"/>
                <w:szCs w:val="20"/>
              </w:rPr>
              <w:t>0.2</w:t>
            </w:r>
          </w:p>
        </w:tc>
      </w:tr>
      <w:tr w:rsidR="000C0F6E" w:rsidRPr="00232B57" w14:paraId="4E060906" w14:textId="77777777">
        <w:tc>
          <w:tcPr>
            <w:tcW w:w="1495" w:type="dxa"/>
            <w:tcBorders>
              <w:top w:val="single" w:sz="4" w:space="0" w:color="CBD5E0"/>
              <w:left w:val="single" w:sz="4" w:space="0" w:color="CBD5E0"/>
              <w:bottom w:val="single" w:sz="4" w:space="0" w:color="CBD5E0"/>
              <w:right w:val="single" w:sz="4" w:space="0" w:color="CBD5E0"/>
            </w:tcBorders>
            <w:vAlign w:val="center"/>
          </w:tcPr>
          <w:p w14:paraId="2AD4FBCB" w14:textId="77777777" w:rsidR="000C0F6E" w:rsidRPr="00232B57" w:rsidRDefault="000D38FC">
            <w:pPr>
              <w:spacing w:before="60" w:after="60"/>
              <w:jc w:val="center"/>
            </w:pPr>
            <w:r w:rsidRPr="00232B57">
              <w:rPr>
                <w:color w:val="2D3748"/>
                <w:sz w:val="20"/>
                <w:szCs w:val="20"/>
              </w:rPr>
              <w:t>Cr</w:t>
            </w:r>
          </w:p>
        </w:tc>
        <w:tc>
          <w:tcPr>
            <w:tcW w:w="1521" w:type="dxa"/>
            <w:tcBorders>
              <w:top w:val="single" w:sz="4" w:space="0" w:color="CBD5E0"/>
              <w:left w:val="single" w:sz="4" w:space="0" w:color="CBD5E0"/>
              <w:bottom w:val="single" w:sz="4" w:space="0" w:color="CBD5E0"/>
              <w:right w:val="single" w:sz="4" w:space="0" w:color="CBD5E0"/>
            </w:tcBorders>
            <w:vAlign w:val="center"/>
          </w:tcPr>
          <w:p w14:paraId="47CC72DD" w14:textId="77777777" w:rsidR="000C0F6E" w:rsidRPr="00232B57" w:rsidRDefault="000D38FC">
            <w:pPr>
              <w:spacing w:before="60" w:after="60"/>
              <w:jc w:val="center"/>
            </w:pPr>
            <w:r w:rsidRPr="00232B57">
              <w:rPr>
                <w:color w:val="2D3748"/>
                <w:sz w:val="20"/>
                <w:szCs w:val="20"/>
              </w:rPr>
              <w:t>0.2</w:t>
            </w:r>
          </w:p>
        </w:tc>
        <w:tc>
          <w:tcPr>
            <w:tcW w:w="1523" w:type="dxa"/>
            <w:tcBorders>
              <w:top w:val="single" w:sz="4" w:space="0" w:color="CBD5E0"/>
              <w:left w:val="single" w:sz="4" w:space="0" w:color="CBD5E0"/>
              <w:bottom w:val="single" w:sz="4" w:space="0" w:color="CBD5E0"/>
              <w:right w:val="single" w:sz="4" w:space="0" w:color="CBD5E0"/>
            </w:tcBorders>
            <w:vAlign w:val="center"/>
          </w:tcPr>
          <w:p w14:paraId="095F5324" w14:textId="77777777" w:rsidR="000C0F6E" w:rsidRPr="00232B57" w:rsidRDefault="000D38FC">
            <w:pPr>
              <w:spacing w:before="60" w:after="60"/>
              <w:jc w:val="center"/>
            </w:pPr>
            <w:r w:rsidRPr="00232B57">
              <w:rPr>
                <w:color w:val="2D3748"/>
                <w:sz w:val="20"/>
                <w:szCs w:val="20"/>
              </w:rPr>
              <w:t>2.5</w:t>
            </w:r>
          </w:p>
        </w:tc>
        <w:tc>
          <w:tcPr>
            <w:tcW w:w="1495" w:type="dxa"/>
            <w:tcBorders>
              <w:top w:val="single" w:sz="4" w:space="0" w:color="CBD5E0"/>
              <w:left w:val="single" w:sz="4" w:space="0" w:color="CBD5E0"/>
              <w:bottom w:val="single" w:sz="4" w:space="0" w:color="CBD5E0"/>
              <w:right w:val="single" w:sz="4" w:space="0" w:color="CBD5E0"/>
            </w:tcBorders>
            <w:vAlign w:val="center"/>
          </w:tcPr>
          <w:p w14:paraId="2905512A" w14:textId="77777777" w:rsidR="000C0F6E" w:rsidRPr="00232B57" w:rsidRDefault="000D38FC">
            <w:pPr>
              <w:spacing w:before="60" w:after="60"/>
              <w:jc w:val="center"/>
            </w:pPr>
            <w:r w:rsidRPr="00232B57">
              <w:rPr>
                <w:color w:val="2D3748"/>
                <w:sz w:val="20"/>
                <w:szCs w:val="20"/>
              </w:rPr>
              <w:t>0.95</w:t>
            </w:r>
          </w:p>
        </w:tc>
        <w:tc>
          <w:tcPr>
            <w:tcW w:w="1484" w:type="dxa"/>
            <w:tcBorders>
              <w:top w:val="single" w:sz="4" w:space="0" w:color="CBD5E0"/>
              <w:left w:val="single" w:sz="4" w:space="0" w:color="CBD5E0"/>
              <w:bottom w:val="single" w:sz="4" w:space="0" w:color="CBD5E0"/>
              <w:right w:val="single" w:sz="4" w:space="0" w:color="CBD5E0"/>
            </w:tcBorders>
            <w:vAlign w:val="center"/>
          </w:tcPr>
          <w:p w14:paraId="4C077DDE" w14:textId="77777777" w:rsidR="000C0F6E" w:rsidRPr="00232B57" w:rsidRDefault="000D38FC">
            <w:pPr>
              <w:spacing w:before="60" w:after="60"/>
              <w:jc w:val="center"/>
            </w:pPr>
            <w:r w:rsidRPr="00232B57">
              <w:rPr>
                <w:color w:val="2D3748"/>
                <w:sz w:val="20"/>
                <w:szCs w:val="20"/>
              </w:rPr>
              <w:t>0.65</w:t>
            </w:r>
          </w:p>
        </w:tc>
        <w:tc>
          <w:tcPr>
            <w:tcW w:w="1506" w:type="dxa"/>
            <w:tcBorders>
              <w:top w:val="single" w:sz="4" w:space="0" w:color="CBD5E0"/>
              <w:left w:val="single" w:sz="4" w:space="0" w:color="CBD5E0"/>
              <w:bottom w:val="single" w:sz="4" w:space="0" w:color="CBD5E0"/>
              <w:right w:val="single" w:sz="4" w:space="0" w:color="CBD5E0"/>
            </w:tcBorders>
            <w:vAlign w:val="center"/>
          </w:tcPr>
          <w:p w14:paraId="56747DAC" w14:textId="77777777" w:rsidR="000C0F6E" w:rsidRPr="00232B57" w:rsidRDefault="000D38FC">
            <w:pPr>
              <w:spacing w:before="60" w:after="60"/>
              <w:jc w:val="center"/>
            </w:pPr>
            <w:r w:rsidRPr="00232B57">
              <w:rPr>
                <w:color w:val="2D3748"/>
                <w:sz w:val="20"/>
                <w:szCs w:val="20"/>
              </w:rPr>
              <w:t>100</w:t>
            </w:r>
          </w:p>
        </w:tc>
      </w:tr>
      <w:tr w:rsidR="000C0F6E" w:rsidRPr="00232B57" w14:paraId="6590DA85" w14:textId="77777777">
        <w:tc>
          <w:tcPr>
            <w:tcW w:w="1495" w:type="dxa"/>
            <w:tcBorders>
              <w:top w:val="single" w:sz="4" w:space="0" w:color="CBD5E0"/>
              <w:left w:val="single" w:sz="4" w:space="0" w:color="CBD5E0"/>
              <w:bottom w:val="single" w:sz="4" w:space="0" w:color="CBD5E0"/>
              <w:right w:val="single" w:sz="4" w:space="0" w:color="CBD5E0"/>
            </w:tcBorders>
            <w:vAlign w:val="center"/>
          </w:tcPr>
          <w:p w14:paraId="58950757" w14:textId="77777777" w:rsidR="000C0F6E" w:rsidRPr="00232B57" w:rsidRDefault="000D38FC">
            <w:pPr>
              <w:spacing w:before="60" w:after="60"/>
              <w:jc w:val="center"/>
            </w:pPr>
            <w:r w:rsidRPr="00232B57">
              <w:rPr>
                <w:color w:val="2D3748"/>
                <w:sz w:val="20"/>
                <w:szCs w:val="20"/>
              </w:rPr>
              <w:t>Ni</w:t>
            </w:r>
          </w:p>
        </w:tc>
        <w:tc>
          <w:tcPr>
            <w:tcW w:w="1521" w:type="dxa"/>
            <w:tcBorders>
              <w:top w:val="single" w:sz="4" w:space="0" w:color="CBD5E0"/>
              <w:left w:val="single" w:sz="4" w:space="0" w:color="CBD5E0"/>
              <w:bottom w:val="single" w:sz="4" w:space="0" w:color="CBD5E0"/>
              <w:right w:val="single" w:sz="4" w:space="0" w:color="CBD5E0"/>
            </w:tcBorders>
            <w:vAlign w:val="center"/>
          </w:tcPr>
          <w:p w14:paraId="68477E7A" w14:textId="77777777" w:rsidR="000C0F6E" w:rsidRPr="00232B57" w:rsidRDefault="000D38FC">
            <w:pPr>
              <w:spacing w:before="60" w:after="60"/>
              <w:jc w:val="center"/>
            </w:pPr>
            <w:r w:rsidRPr="00232B57">
              <w:rPr>
                <w:color w:val="2D3748"/>
                <w:sz w:val="20"/>
                <w:szCs w:val="20"/>
              </w:rPr>
              <w:t>0.5</w:t>
            </w:r>
          </w:p>
        </w:tc>
        <w:tc>
          <w:tcPr>
            <w:tcW w:w="1523" w:type="dxa"/>
            <w:tcBorders>
              <w:top w:val="single" w:sz="4" w:space="0" w:color="CBD5E0"/>
              <w:left w:val="single" w:sz="4" w:space="0" w:color="CBD5E0"/>
              <w:bottom w:val="single" w:sz="4" w:space="0" w:color="CBD5E0"/>
              <w:right w:val="single" w:sz="4" w:space="0" w:color="CBD5E0"/>
            </w:tcBorders>
            <w:vAlign w:val="center"/>
          </w:tcPr>
          <w:p w14:paraId="19CC016A" w14:textId="77777777" w:rsidR="000C0F6E" w:rsidRPr="00232B57" w:rsidRDefault="000D38FC">
            <w:pPr>
              <w:spacing w:before="60" w:after="60"/>
              <w:jc w:val="center"/>
            </w:pPr>
            <w:r w:rsidRPr="00232B57">
              <w:rPr>
                <w:color w:val="2D3748"/>
                <w:sz w:val="20"/>
                <w:szCs w:val="20"/>
              </w:rPr>
              <w:t>3.2</w:t>
            </w:r>
          </w:p>
        </w:tc>
        <w:tc>
          <w:tcPr>
            <w:tcW w:w="1495" w:type="dxa"/>
            <w:tcBorders>
              <w:top w:val="single" w:sz="4" w:space="0" w:color="CBD5E0"/>
              <w:left w:val="single" w:sz="4" w:space="0" w:color="CBD5E0"/>
              <w:bottom w:val="single" w:sz="4" w:space="0" w:color="CBD5E0"/>
              <w:right w:val="single" w:sz="4" w:space="0" w:color="CBD5E0"/>
            </w:tcBorders>
            <w:vAlign w:val="center"/>
          </w:tcPr>
          <w:p w14:paraId="425EF2FC" w14:textId="77777777" w:rsidR="000C0F6E" w:rsidRPr="00232B57" w:rsidRDefault="000D38FC">
            <w:pPr>
              <w:spacing w:before="60" w:after="60"/>
              <w:jc w:val="center"/>
            </w:pPr>
            <w:r w:rsidRPr="00232B57">
              <w:rPr>
                <w:color w:val="2D3748"/>
                <w:sz w:val="20"/>
                <w:szCs w:val="20"/>
              </w:rPr>
              <w:t>1.5</w:t>
            </w:r>
          </w:p>
        </w:tc>
        <w:tc>
          <w:tcPr>
            <w:tcW w:w="1484" w:type="dxa"/>
            <w:tcBorders>
              <w:top w:val="single" w:sz="4" w:space="0" w:color="CBD5E0"/>
              <w:left w:val="single" w:sz="4" w:space="0" w:color="CBD5E0"/>
              <w:bottom w:val="single" w:sz="4" w:space="0" w:color="CBD5E0"/>
              <w:right w:val="single" w:sz="4" w:space="0" w:color="CBD5E0"/>
            </w:tcBorders>
            <w:vAlign w:val="center"/>
          </w:tcPr>
          <w:p w14:paraId="4F9C7F38" w14:textId="77777777" w:rsidR="000C0F6E" w:rsidRPr="00232B57" w:rsidRDefault="000D38FC">
            <w:pPr>
              <w:spacing w:before="60" w:after="60"/>
              <w:jc w:val="center"/>
            </w:pPr>
            <w:r w:rsidRPr="00232B57">
              <w:rPr>
                <w:color w:val="2D3748"/>
                <w:sz w:val="20"/>
                <w:szCs w:val="20"/>
              </w:rPr>
              <w:t>0.75</w:t>
            </w:r>
          </w:p>
        </w:tc>
        <w:tc>
          <w:tcPr>
            <w:tcW w:w="1506" w:type="dxa"/>
            <w:tcBorders>
              <w:top w:val="single" w:sz="4" w:space="0" w:color="CBD5E0"/>
              <w:left w:val="single" w:sz="4" w:space="0" w:color="CBD5E0"/>
              <w:bottom w:val="single" w:sz="4" w:space="0" w:color="CBD5E0"/>
              <w:right w:val="single" w:sz="4" w:space="0" w:color="CBD5E0"/>
            </w:tcBorders>
            <w:vAlign w:val="center"/>
          </w:tcPr>
          <w:p w14:paraId="41C960BC" w14:textId="77777777" w:rsidR="000C0F6E" w:rsidRPr="00232B57" w:rsidRDefault="000D38FC">
            <w:pPr>
              <w:spacing w:before="60" w:after="60"/>
              <w:jc w:val="center"/>
            </w:pPr>
            <w:r w:rsidRPr="00232B57">
              <w:rPr>
                <w:color w:val="2D3748"/>
                <w:sz w:val="20"/>
                <w:szCs w:val="20"/>
              </w:rPr>
              <w:t>80</w:t>
            </w:r>
          </w:p>
        </w:tc>
      </w:tr>
    </w:tbl>
    <w:p w14:paraId="011C1270" w14:textId="77777777" w:rsidR="000C0F6E" w:rsidRPr="00232B57" w:rsidRDefault="000D38FC">
      <w:pPr>
        <w:pStyle w:val="Heading2"/>
        <w:spacing w:before="360" w:after="240" w:line="312" w:lineRule="auto"/>
      </w:pPr>
      <w:r w:rsidRPr="00232B57">
        <w:rPr>
          <w:b/>
          <w:bCs/>
          <w:color w:val="1A365D"/>
          <w:sz w:val="28"/>
          <w:szCs w:val="28"/>
        </w:rPr>
        <w:t>3.2 Correlation Analysis</w:t>
      </w:r>
    </w:p>
    <w:p w14:paraId="2CFBF84E" w14:textId="77777777" w:rsidR="000C0F6E" w:rsidRPr="00232B57" w:rsidRDefault="000D38FC">
      <w:pPr>
        <w:spacing w:before="120" w:after="120" w:line="312" w:lineRule="auto"/>
        <w:jc w:val="both"/>
        <w:rPr>
          <w:color w:val="2D3748"/>
        </w:rPr>
      </w:pPr>
      <w:r w:rsidRPr="00232B57">
        <w:rPr>
          <w:color w:val="2D3748"/>
        </w:rPr>
        <w:t>The results from the Pearson correlation analysis indicated significant correlations between metals. These results provided valuable insights into the common sources for the metals. Strong positive correlations were observed between Pb-Zn (r=0.85, p&lt;0.01), Pb-Cd (r=0.78, p&lt;0.01), and Cu-Zn (r=0.72, p&lt;0.01). The results for Cr and Ni indicated weak correlations with Pb, Zn, Cu, and Cd. These results indicated that the sources for Cr and Ni were likely to be different from those for the other metals. The results also indicated that Cr and Ni have a common source since there was a significant positive correlation between the two elements (r = 0.68, p &lt; 0.05). This suggested that both Cr and Ni have a common geogenic source from the weathering of mafic minerals from the parent rocks. Iron was found to have moderate correlations with most of the metals. This was likely due to the fact that iron was part of the sulfide minerals as well as a major component of soil oxides.</w:t>
      </w:r>
    </w:p>
    <w:p w14:paraId="597182DB" w14:textId="77777777" w:rsidR="000C0F6E" w:rsidRPr="00232B57" w:rsidRDefault="000D38FC">
      <w:pPr>
        <w:spacing w:before="240" w:after="120"/>
        <w:jc w:val="center"/>
      </w:pPr>
      <w:r w:rsidRPr="00232B57">
        <w:rPr>
          <w:b/>
          <w:bCs/>
          <w:sz w:val="22"/>
          <w:szCs w:val="22"/>
        </w:rPr>
        <w:t>Table 2: Correlation Matrix for Heavy Metals in Soil Samples</w:t>
      </w:r>
    </w:p>
    <w:tbl>
      <w:tblPr>
        <w:tblStyle w:val="a0"/>
        <w:tblW w:w="9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4"/>
        <w:gridCol w:w="1500"/>
        <w:gridCol w:w="1510"/>
        <w:gridCol w:w="1510"/>
        <w:gridCol w:w="1510"/>
        <w:gridCol w:w="1500"/>
      </w:tblGrid>
      <w:tr w:rsidR="000C0F6E" w:rsidRPr="00232B57" w14:paraId="3335C93C" w14:textId="77777777">
        <w:tc>
          <w:tcPr>
            <w:tcW w:w="1494"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72B5EB94" w14:textId="77777777" w:rsidR="000C0F6E" w:rsidRPr="00232B57" w:rsidRDefault="000C0F6E">
            <w:pPr>
              <w:spacing w:before="60" w:after="60"/>
              <w:jc w:val="center"/>
            </w:pPr>
          </w:p>
        </w:tc>
        <w:tc>
          <w:tcPr>
            <w:tcW w:w="1500"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481B7105" w14:textId="77777777" w:rsidR="000C0F6E" w:rsidRPr="00232B57" w:rsidRDefault="000D38FC">
            <w:pPr>
              <w:spacing w:before="60" w:after="60"/>
              <w:jc w:val="center"/>
            </w:pPr>
            <w:r w:rsidRPr="00232B57">
              <w:rPr>
                <w:b/>
                <w:bCs/>
                <w:color w:val="1A365D"/>
                <w:sz w:val="22"/>
                <w:szCs w:val="22"/>
              </w:rPr>
              <w:t>Pb</w:t>
            </w:r>
          </w:p>
        </w:tc>
        <w:tc>
          <w:tcPr>
            <w:tcW w:w="1510"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5FCBA827" w14:textId="77777777" w:rsidR="000C0F6E" w:rsidRPr="00232B57" w:rsidRDefault="000D38FC">
            <w:pPr>
              <w:spacing w:before="60" w:after="60"/>
              <w:jc w:val="center"/>
            </w:pPr>
            <w:r w:rsidRPr="00232B57">
              <w:rPr>
                <w:b/>
                <w:bCs/>
                <w:color w:val="1A365D"/>
                <w:sz w:val="22"/>
                <w:szCs w:val="22"/>
              </w:rPr>
              <w:t>Zn</w:t>
            </w:r>
          </w:p>
        </w:tc>
        <w:tc>
          <w:tcPr>
            <w:tcW w:w="1510"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22FECA1E" w14:textId="77777777" w:rsidR="000C0F6E" w:rsidRPr="00232B57" w:rsidRDefault="000D38FC">
            <w:pPr>
              <w:spacing w:before="60" w:after="60"/>
              <w:jc w:val="center"/>
            </w:pPr>
            <w:r w:rsidRPr="00232B57">
              <w:rPr>
                <w:b/>
                <w:bCs/>
                <w:color w:val="1A365D"/>
                <w:sz w:val="22"/>
                <w:szCs w:val="22"/>
              </w:rPr>
              <w:t>Cu</w:t>
            </w:r>
          </w:p>
        </w:tc>
        <w:tc>
          <w:tcPr>
            <w:tcW w:w="1510"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239CB498" w14:textId="77777777" w:rsidR="000C0F6E" w:rsidRPr="00232B57" w:rsidRDefault="000D38FC">
            <w:pPr>
              <w:spacing w:before="60" w:after="60"/>
              <w:jc w:val="center"/>
            </w:pPr>
            <w:r w:rsidRPr="00232B57">
              <w:rPr>
                <w:b/>
                <w:bCs/>
                <w:color w:val="1A365D"/>
                <w:sz w:val="22"/>
                <w:szCs w:val="22"/>
              </w:rPr>
              <w:t>Cd</w:t>
            </w:r>
          </w:p>
        </w:tc>
        <w:tc>
          <w:tcPr>
            <w:tcW w:w="1500" w:type="dxa"/>
            <w:tcBorders>
              <w:top w:val="single" w:sz="4" w:space="0" w:color="CBD5E0"/>
              <w:left w:val="single" w:sz="4" w:space="0" w:color="CBD5E0"/>
              <w:bottom w:val="single" w:sz="4" w:space="0" w:color="CBD5E0"/>
              <w:right w:val="single" w:sz="4" w:space="0" w:color="CBD5E0"/>
            </w:tcBorders>
            <w:shd w:val="clear" w:color="auto" w:fill="F7FAFC"/>
            <w:vAlign w:val="center"/>
          </w:tcPr>
          <w:p w14:paraId="4DC900F0" w14:textId="77777777" w:rsidR="000C0F6E" w:rsidRPr="00232B57" w:rsidRDefault="000D38FC">
            <w:pPr>
              <w:spacing w:before="60" w:after="60"/>
              <w:jc w:val="center"/>
            </w:pPr>
            <w:r w:rsidRPr="00232B57">
              <w:rPr>
                <w:b/>
                <w:bCs/>
                <w:color w:val="1A365D"/>
                <w:sz w:val="22"/>
                <w:szCs w:val="22"/>
              </w:rPr>
              <w:t>Cr</w:t>
            </w:r>
          </w:p>
        </w:tc>
      </w:tr>
      <w:tr w:rsidR="000C0F6E" w:rsidRPr="00232B57" w14:paraId="4CFD3BFA" w14:textId="77777777">
        <w:tc>
          <w:tcPr>
            <w:tcW w:w="1494" w:type="dxa"/>
            <w:tcBorders>
              <w:top w:val="single" w:sz="4" w:space="0" w:color="CBD5E0"/>
              <w:left w:val="single" w:sz="4" w:space="0" w:color="CBD5E0"/>
              <w:bottom w:val="single" w:sz="4" w:space="0" w:color="CBD5E0"/>
              <w:right w:val="single" w:sz="4" w:space="0" w:color="CBD5E0"/>
            </w:tcBorders>
            <w:vAlign w:val="center"/>
          </w:tcPr>
          <w:p w14:paraId="3175D8AA" w14:textId="77777777" w:rsidR="000C0F6E" w:rsidRPr="00232B57" w:rsidRDefault="000D38FC">
            <w:pPr>
              <w:spacing w:before="60" w:after="60"/>
              <w:jc w:val="center"/>
            </w:pPr>
            <w:r w:rsidRPr="00232B57">
              <w:rPr>
                <w:color w:val="2D3748"/>
                <w:sz w:val="20"/>
                <w:szCs w:val="20"/>
              </w:rPr>
              <w:t>Pb</w:t>
            </w:r>
          </w:p>
        </w:tc>
        <w:tc>
          <w:tcPr>
            <w:tcW w:w="1500" w:type="dxa"/>
            <w:tcBorders>
              <w:top w:val="single" w:sz="4" w:space="0" w:color="CBD5E0"/>
              <w:left w:val="single" w:sz="4" w:space="0" w:color="CBD5E0"/>
              <w:bottom w:val="single" w:sz="4" w:space="0" w:color="CBD5E0"/>
              <w:right w:val="single" w:sz="4" w:space="0" w:color="CBD5E0"/>
            </w:tcBorders>
            <w:vAlign w:val="center"/>
          </w:tcPr>
          <w:p w14:paraId="1105D1BF" w14:textId="77777777" w:rsidR="000C0F6E" w:rsidRPr="00232B57" w:rsidRDefault="000D38FC">
            <w:pPr>
              <w:spacing w:before="60" w:after="60"/>
              <w:jc w:val="center"/>
            </w:pPr>
            <w:r w:rsidRPr="00232B57">
              <w:rPr>
                <w:color w:val="2D3748"/>
                <w:sz w:val="20"/>
                <w:szCs w:val="20"/>
              </w:rPr>
              <w:t>1.00</w:t>
            </w:r>
          </w:p>
        </w:tc>
        <w:tc>
          <w:tcPr>
            <w:tcW w:w="1510" w:type="dxa"/>
            <w:tcBorders>
              <w:top w:val="single" w:sz="4" w:space="0" w:color="CBD5E0"/>
              <w:left w:val="single" w:sz="4" w:space="0" w:color="CBD5E0"/>
              <w:bottom w:val="single" w:sz="4" w:space="0" w:color="CBD5E0"/>
              <w:right w:val="single" w:sz="4" w:space="0" w:color="CBD5E0"/>
            </w:tcBorders>
            <w:vAlign w:val="center"/>
          </w:tcPr>
          <w:p w14:paraId="274C33A7" w14:textId="77777777" w:rsidR="000C0F6E" w:rsidRPr="00232B57" w:rsidRDefault="000D38FC">
            <w:pPr>
              <w:spacing w:before="60" w:after="60"/>
              <w:jc w:val="center"/>
            </w:pPr>
            <w:r w:rsidRPr="00232B57">
              <w:rPr>
                <w:color w:val="2D3748"/>
                <w:sz w:val="20"/>
                <w:szCs w:val="20"/>
              </w:rPr>
              <w:t>0.85**</w:t>
            </w:r>
          </w:p>
        </w:tc>
        <w:tc>
          <w:tcPr>
            <w:tcW w:w="1510" w:type="dxa"/>
            <w:tcBorders>
              <w:top w:val="single" w:sz="4" w:space="0" w:color="CBD5E0"/>
              <w:left w:val="single" w:sz="4" w:space="0" w:color="CBD5E0"/>
              <w:bottom w:val="single" w:sz="4" w:space="0" w:color="CBD5E0"/>
              <w:right w:val="single" w:sz="4" w:space="0" w:color="CBD5E0"/>
            </w:tcBorders>
            <w:vAlign w:val="center"/>
          </w:tcPr>
          <w:p w14:paraId="3166480A" w14:textId="77777777" w:rsidR="000C0F6E" w:rsidRPr="00232B57" w:rsidRDefault="000D38FC">
            <w:pPr>
              <w:spacing w:before="60" w:after="60"/>
              <w:jc w:val="center"/>
            </w:pPr>
            <w:r w:rsidRPr="00232B57">
              <w:rPr>
                <w:color w:val="2D3748"/>
                <w:sz w:val="20"/>
                <w:szCs w:val="20"/>
              </w:rPr>
              <w:t>0.68**</w:t>
            </w:r>
          </w:p>
        </w:tc>
        <w:tc>
          <w:tcPr>
            <w:tcW w:w="1510" w:type="dxa"/>
            <w:tcBorders>
              <w:top w:val="single" w:sz="4" w:space="0" w:color="CBD5E0"/>
              <w:left w:val="single" w:sz="4" w:space="0" w:color="CBD5E0"/>
              <w:bottom w:val="single" w:sz="4" w:space="0" w:color="CBD5E0"/>
              <w:right w:val="single" w:sz="4" w:space="0" w:color="CBD5E0"/>
            </w:tcBorders>
            <w:vAlign w:val="center"/>
          </w:tcPr>
          <w:p w14:paraId="3BE66E37" w14:textId="77777777" w:rsidR="000C0F6E" w:rsidRPr="00232B57" w:rsidRDefault="000D38FC">
            <w:pPr>
              <w:spacing w:before="60" w:after="60"/>
              <w:jc w:val="center"/>
            </w:pPr>
            <w:r w:rsidRPr="00232B57">
              <w:rPr>
                <w:color w:val="2D3748"/>
                <w:sz w:val="20"/>
                <w:szCs w:val="20"/>
              </w:rPr>
              <w:t>0.78**</w:t>
            </w:r>
          </w:p>
        </w:tc>
        <w:tc>
          <w:tcPr>
            <w:tcW w:w="1500" w:type="dxa"/>
            <w:tcBorders>
              <w:top w:val="single" w:sz="4" w:space="0" w:color="CBD5E0"/>
              <w:left w:val="single" w:sz="4" w:space="0" w:color="CBD5E0"/>
              <w:bottom w:val="single" w:sz="4" w:space="0" w:color="CBD5E0"/>
              <w:right w:val="single" w:sz="4" w:space="0" w:color="CBD5E0"/>
            </w:tcBorders>
            <w:vAlign w:val="center"/>
          </w:tcPr>
          <w:p w14:paraId="121F11DE" w14:textId="77777777" w:rsidR="000C0F6E" w:rsidRPr="00232B57" w:rsidRDefault="000D38FC">
            <w:pPr>
              <w:spacing w:before="60" w:after="60"/>
              <w:jc w:val="center"/>
            </w:pPr>
            <w:r w:rsidRPr="00232B57">
              <w:rPr>
                <w:color w:val="2D3748"/>
                <w:sz w:val="20"/>
                <w:szCs w:val="20"/>
              </w:rPr>
              <w:t>0.12</w:t>
            </w:r>
          </w:p>
        </w:tc>
      </w:tr>
      <w:tr w:rsidR="000C0F6E" w:rsidRPr="00232B57" w14:paraId="66D8FE72" w14:textId="77777777">
        <w:tc>
          <w:tcPr>
            <w:tcW w:w="1494" w:type="dxa"/>
            <w:tcBorders>
              <w:top w:val="single" w:sz="4" w:space="0" w:color="CBD5E0"/>
              <w:left w:val="single" w:sz="4" w:space="0" w:color="CBD5E0"/>
              <w:bottom w:val="single" w:sz="4" w:space="0" w:color="CBD5E0"/>
              <w:right w:val="single" w:sz="4" w:space="0" w:color="CBD5E0"/>
            </w:tcBorders>
            <w:vAlign w:val="center"/>
          </w:tcPr>
          <w:p w14:paraId="29F2C6DB" w14:textId="77777777" w:rsidR="000C0F6E" w:rsidRPr="00232B57" w:rsidRDefault="000D38FC">
            <w:pPr>
              <w:spacing w:before="60" w:after="60"/>
              <w:jc w:val="center"/>
            </w:pPr>
            <w:r w:rsidRPr="00232B57">
              <w:rPr>
                <w:color w:val="2D3748"/>
                <w:sz w:val="20"/>
                <w:szCs w:val="20"/>
              </w:rPr>
              <w:t>Zn</w:t>
            </w:r>
          </w:p>
        </w:tc>
        <w:tc>
          <w:tcPr>
            <w:tcW w:w="1500" w:type="dxa"/>
            <w:tcBorders>
              <w:top w:val="single" w:sz="4" w:space="0" w:color="CBD5E0"/>
              <w:left w:val="single" w:sz="4" w:space="0" w:color="CBD5E0"/>
              <w:bottom w:val="single" w:sz="4" w:space="0" w:color="CBD5E0"/>
              <w:right w:val="single" w:sz="4" w:space="0" w:color="CBD5E0"/>
            </w:tcBorders>
            <w:vAlign w:val="center"/>
          </w:tcPr>
          <w:p w14:paraId="61C37BA6" w14:textId="77777777" w:rsidR="000C0F6E" w:rsidRPr="00232B57" w:rsidRDefault="000D38FC">
            <w:pPr>
              <w:spacing w:before="60" w:after="60"/>
              <w:jc w:val="center"/>
            </w:pPr>
            <w:r w:rsidRPr="00232B57">
              <w:rPr>
                <w:color w:val="2D3748"/>
                <w:sz w:val="20"/>
                <w:szCs w:val="20"/>
              </w:rPr>
              <w:t>-</w:t>
            </w:r>
          </w:p>
        </w:tc>
        <w:tc>
          <w:tcPr>
            <w:tcW w:w="1510" w:type="dxa"/>
            <w:tcBorders>
              <w:top w:val="single" w:sz="4" w:space="0" w:color="CBD5E0"/>
              <w:left w:val="single" w:sz="4" w:space="0" w:color="CBD5E0"/>
              <w:bottom w:val="single" w:sz="4" w:space="0" w:color="CBD5E0"/>
              <w:right w:val="single" w:sz="4" w:space="0" w:color="CBD5E0"/>
            </w:tcBorders>
            <w:vAlign w:val="center"/>
          </w:tcPr>
          <w:p w14:paraId="236B8312" w14:textId="77777777" w:rsidR="000C0F6E" w:rsidRPr="00232B57" w:rsidRDefault="000D38FC">
            <w:pPr>
              <w:spacing w:before="60" w:after="60"/>
              <w:jc w:val="center"/>
            </w:pPr>
            <w:r w:rsidRPr="00232B57">
              <w:rPr>
                <w:color w:val="2D3748"/>
                <w:sz w:val="20"/>
                <w:szCs w:val="20"/>
              </w:rPr>
              <w:t>1.00</w:t>
            </w:r>
          </w:p>
        </w:tc>
        <w:tc>
          <w:tcPr>
            <w:tcW w:w="1510" w:type="dxa"/>
            <w:tcBorders>
              <w:top w:val="single" w:sz="4" w:space="0" w:color="CBD5E0"/>
              <w:left w:val="single" w:sz="4" w:space="0" w:color="CBD5E0"/>
              <w:bottom w:val="single" w:sz="4" w:space="0" w:color="CBD5E0"/>
              <w:right w:val="single" w:sz="4" w:space="0" w:color="CBD5E0"/>
            </w:tcBorders>
            <w:vAlign w:val="center"/>
          </w:tcPr>
          <w:p w14:paraId="6E90155D" w14:textId="77777777" w:rsidR="000C0F6E" w:rsidRPr="00232B57" w:rsidRDefault="000D38FC">
            <w:pPr>
              <w:spacing w:before="60" w:after="60"/>
              <w:jc w:val="center"/>
            </w:pPr>
            <w:r w:rsidRPr="00232B57">
              <w:rPr>
                <w:color w:val="2D3748"/>
                <w:sz w:val="20"/>
                <w:szCs w:val="20"/>
              </w:rPr>
              <w:t>0.72**</w:t>
            </w:r>
          </w:p>
        </w:tc>
        <w:tc>
          <w:tcPr>
            <w:tcW w:w="1510" w:type="dxa"/>
            <w:tcBorders>
              <w:top w:val="single" w:sz="4" w:space="0" w:color="CBD5E0"/>
              <w:left w:val="single" w:sz="4" w:space="0" w:color="CBD5E0"/>
              <w:bottom w:val="single" w:sz="4" w:space="0" w:color="CBD5E0"/>
              <w:right w:val="single" w:sz="4" w:space="0" w:color="CBD5E0"/>
            </w:tcBorders>
            <w:vAlign w:val="center"/>
          </w:tcPr>
          <w:p w14:paraId="28908A19" w14:textId="77777777" w:rsidR="000C0F6E" w:rsidRPr="00232B57" w:rsidRDefault="000D38FC">
            <w:pPr>
              <w:spacing w:before="60" w:after="60"/>
              <w:jc w:val="center"/>
            </w:pPr>
            <w:r w:rsidRPr="00232B57">
              <w:rPr>
                <w:color w:val="2D3748"/>
                <w:sz w:val="20"/>
                <w:szCs w:val="20"/>
              </w:rPr>
              <w:t>0.65**</w:t>
            </w:r>
          </w:p>
        </w:tc>
        <w:tc>
          <w:tcPr>
            <w:tcW w:w="1500" w:type="dxa"/>
            <w:tcBorders>
              <w:top w:val="single" w:sz="4" w:space="0" w:color="CBD5E0"/>
              <w:left w:val="single" w:sz="4" w:space="0" w:color="CBD5E0"/>
              <w:bottom w:val="single" w:sz="4" w:space="0" w:color="CBD5E0"/>
              <w:right w:val="single" w:sz="4" w:space="0" w:color="CBD5E0"/>
            </w:tcBorders>
            <w:vAlign w:val="center"/>
          </w:tcPr>
          <w:p w14:paraId="4C0E978E" w14:textId="77777777" w:rsidR="000C0F6E" w:rsidRPr="00232B57" w:rsidRDefault="000D38FC">
            <w:pPr>
              <w:spacing w:before="60" w:after="60"/>
              <w:jc w:val="center"/>
            </w:pPr>
            <w:r w:rsidRPr="00232B57">
              <w:rPr>
                <w:color w:val="2D3748"/>
                <w:sz w:val="20"/>
                <w:szCs w:val="20"/>
              </w:rPr>
              <w:t>0.18</w:t>
            </w:r>
          </w:p>
        </w:tc>
      </w:tr>
      <w:tr w:rsidR="000C0F6E" w:rsidRPr="00232B57" w14:paraId="55C9C245" w14:textId="77777777">
        <w:tc>
          <w:tcPr>
            <w:tcW w:w="1494" w:type="dxa"/>
            <w:tcBorders>
              <w:top w:val="single" w:sz="4" w:space="0" w:color="CBD5E0"/>
              <w:left w:val="single" w:sz="4" w:space="0" w:color="CBD5E0"/>
              <w:bottom w:val="single" w:sz="4" w:space="0" w:color="CBD5E0"/>
              <w:right w:val="single" w:sz="4" w:space="0" w:color="CBD5E0"/>
            </w:tcBorders>
            <w:vAlign w:val="center"/>
          </w:tcPr>
          <w:p w14:paraId="2DA64FC7" w14:textId="77777777" w:rsidR="000C0F6E" w:rsidRPr="00232B57" w:rsidRDefault="000D38FC">
            <w:pPr>
              <w:spacing w:before="60" w:after="60"/>
              <w:jc w:val="center"/>
            </w:pPr>
            <w:r w:rsidRPr="00232B57">
              <w:rPr>
                <w:color w:val="2D3748"/>
                <w:sz w:val="20"/>
                <w:szCs w:val="20"/>
              </w:rPr>
              <w:t>Cu</w:t>
            </w:r>
          </w:p>
        </w:tc>
        <w:tc>
          <w:tcPr>
            <w:tcW w:w="1500" w:type="dxa"/>
            <w:tcBorders>
              <w:top w:val="single" w:sz="4" w:space="0" w:color="CBD5E0"/>
              <w:left w:val="single" w:sz="4" w:space="0" w:color="CBD5E0"/>
              <w:bottom w:val="single" w:sz="4" w:space="0" w:color="CBD5E0"/>
              <w:right w:val="single" w:sz="4" w:space="0" w:color="CBD5E0"/>
            </w:tcBorders>
            <w:vAlign w:val="center"/>
          </w:tcPr>
          <w:p w14:paraId="604F6281" w14:textId="77777777" w:rsidR="000C0F6E" w:rsidRPr="00232B57" w:rsidRDefault="000D38FC">
            <w:pPr>
              <w:spacing w:before="60" w:after="60"/>
              <w:jc w:val="center"/>
            </w:pPr>
            <w:r w:rsidRPr="00232B57">
              <w:rPr>
                <w:color w:val="2D3748"/>
                <w:sz w:val="20"/>
                <w:szCs w:val="20"/>
              </w:rPr>
              <w:t>-</w:t>
            </w:r>
          </w:p>
        </w:tc>
        <w:tc>
          <w:tcPr>
            <w:tcW w:w="1510" w:type="dxa"/>
            <w:tcBorders>
              <w:top w:val="single" w:sz="4" w:space="0" w:color="CBD5E0"/>
              <w:left w:val="single" w:sz="4" w:space="0" w:color="CBD5E0"/>
              <w:bottom w:val="single" w:sz="4" w:space="0" w:color="CBD5E0"/>
              <w:right w:val="single" w:sz="4" w:space="0" w:color="CBD5E0"/>
            </w:tcBorders>
            <w:vAlign w:val="center"/>
          </w:tcPr>
          <w:p w14:paraId="6082C734" w14:textId="77777777" w:rsidR="000C0F6E" w:rsidRPr="00232B57" w:rsidRDefault="000D38FC">
            <w:pPr>
              <w:spacing w:before="60" w:after="60"/>
              <w:jc w:val="center"/>
            </w:pPr>
            <w:r w:rsidRPr="00232B57">
              <w:rPr>
                <w:color w:val="2D3748"/>
                <w:sz w:val="20"/>
                <w:szCs w:val="20"/>
              </w:rPr>
              <w:t>-</w:t>
            </w:r>
          </w:p>
        </w:tc>
        <w:tc>
          <w:tcPr>
            <w:tcW w:w="1510" w:type="dxa"/>
            <w:tcBorders>
              <w:top w:val="single" w:sz="4" w:space="0" w:color="CBD5E0"/>
              <w:left w:val="single" w:sz="4" w:space="0" w:color="CBD5E0"/>
              <w:bottom w:val="single" w:sz="4" w:space="0" w:color="CBD5E0"/>
              <w:right w:val="single" w:sz="4" w:space="0" w:color="CBD5E0"/>
            </w:tcBorders>
            <w:vAlign w:val="center"/>
          </w:tcPr>
          <w:p w14:paraId="1420F5A7" w14:textId="77777777" w:rsidR="000C0F6E" w:rsidRPr="00232B57" w:rsidRDefault="000D38FC">
            <w:pPr>
              <w:spacing w:before="60" w:after="60"/>
              <w:jc w:val="center"/>
            </w:pPr>
            <w:r w:rsidRPr="00232B57">
              <w:rPr>
                <w:color w:val="2D3748"/>
                <w:sz w:val="20"/>
                <w:szCs w:val="20"/>
              </w:rPr>
              <w:t>1.00</w:t>
            </w:r>
          </w:p>
        </w:tc>
        <w:tc>
          <w:tcPr>
            <w:tcW w:w="1510" w:type="dxa"/>
            <w:tcBorders>
              <w:top w:val="single" w:sz="4" w:space="0" w:color="CBD5E0"/>
              <w:left w:val="single" w:sz="4" w:space="0" w:color="CBD5E0"/>
              <w:bottom w:val="single" w:sz="4" w:space="0" w:color="CBD5E0"/>
              <w:right w:val="single" w:sz="4" w:space="0" w:color="CBD5E0"/>
            </w:tcBorders>
            <w:vAlign w:val="center"/>
          </w:tcPr>
          <w:p w14:paraId="4F7CC063" w14:textId="77777777" w:rsidR="000C0F6E" w:rsidRPr="00232B57" w:rsidRDefault="000D38FC">
            <w:pPr>
              <w:spacing w:before="60" w:after="60"/>
              <w:jc w:val="center"/>
            </w:pPr>
            <w:r w:rsidRPr="00232B57">
              <w:rPr>
                <w:color w:val="2D3748"/>
                <w:sz w:val="20"/>
                <w:szCs w:val="20"/>
              </w:rPr>
              <w:t>0.58**</w:t>
            </w:r>
          </w:p>
        </w:tc>
        <w:tc>
          <w:tcPr>
            <w:tcW w:w="1500" w:type="dxa"/>
            <w:tcBorders>
              <w:top w:val="single" w:sz="4" w:space="0" w:color="CBD5E0"/>
              <w:left w:val="single" w:sz="4" w:space="0" w:color="CBD5E0"/>
              <w:bottom w:val="single" w:sz="4" w:space="0" w:color="CBD5E0"/>
              <w:right w:val="single" w:sz="4" w:space="0" w:color="CBD5E0"/>
            </w:tcBorders>
            <w:vAlign w:val="center"/>
          </w:tcPr>
          <w:p w14:paraId="7FED830F" w14:textId="77777777" w:rsidR="000C0F6E" w:rsidRPr="00232B57" w:rsidRDefault="000D38FC">
            <w:pPr>
              <w:spacing w:before="60" w:after="60"/>
              <w:jc w:val="center"/>
            </w:pPr>
            <w:r w:rsidRPr="00232B57">
              <w:rPr>
                <w:color w:val="2D3748"/>
                <w:sz w:val="20"/>
                <w:szCs w:val="20"/>
              </w:rPr>
              <w:t>0.22</w:t>
            </w:r>
          </w:p>
        </w:tc>
      </w:tr>
      <w:tr w:rsidR="000C0F6E" w:rsidRPr="00232B57" w14:paraId="7CF5A760" w14:textId="77777777">
        <w:tc>
          <w:tcPr>
            <w:tcW w:w="1494" w:type="dxa"/>
            <w:tcBorders>
              <w:top w:val="single" w:sz="4" w:space="0" w:color="CBD5E0"/>
              <w:left w:val="single" w:sz="4" w:space="0" w:color="CBD5E0"/>
              <w:bottom w:val="single" w:sz="4" w:space="0" w:color="CBD5E0"/>
              <w:right w:val="single" w:sz="4" w:space="0" w:color="CBD5E0"/>
            </w:tcBorders>
            <w:vAlign w:val="center"/>
          </w:tcPr>
          <w:p w14:paraId="382EB998" w14:textId="77777777" w:rsidR="000C0F6E" w:rsidRPr="00232B57" w:rsidRDefault="000D38FC">
            <w:pPr>
              <w:spacing w:before="60" w:after="60"/>
              <w:jc w:val="center"/>
            </w:pPr>
            <w:r w:rsidRPr="00232B57">
              <w:rPr>
                <w:color w:val="2D3748"/>
                <w:sz w:val="20"/>
                <w:szCs w:val="20"/>
              </w:rPr>
              <w:t>Cd</w:t>
            </w:r>
          </w:p>
        </w:tc>
        <w:tc>
          <w:tcPr>
            <w:tcW w:w="1500" w:type="dxa"/>
            <w:tcBorders>
              <w:top w:val="single" w:sz="4" w:space="0" w:color="CBD5E0"/>
              <w:left w:val="single" w:sz="4" w:space="0" w:color="CBD5E0"/>
              <w:bottom w:val="single" w:sz="4" w:space="0" w:color="CBD5E0"/>
              <w:right w:val="single" w:sz="4" w:space="0" w:color="CBD5E0"/>
            </w:tcBorders>
            <w:vAlign w:val="center"/>
          </w:tcPr>
          <w:p w14:paraId="7392BE9A" w14:textId="77777777" w:rsidR="000C0F6E" w:rsidRPr="00232B57" w:rsidRDefault="000D38FC">
            <w:pPr>
              <w:spacing w:before="60" w:after="60"/>
              <w:jc w:val="center"/>
            </w:pPr>
            <w:r w:rsidRPr="00232B57">
              <w:rPr>
                <w:color w:val="2D3748"/>
                <w:sz w:val="20"/>
                <w:szCs w:val="20"/>
              </w:rPr>
              <w:t>-</w:t>
            </w:r>
          </w:p>
        </w:tc>
        <w:tc>
          <w:tcPr>
            <w:tcW w:w="1510" w:type="dxa"/>
            <w:tcBorders>
              <w:top w:val="single" w:sz="4" w:space="0" w:color="CBD5E0"/>
              <w:left w:val="single" w:sz="4" w:space="0" w:color="CBD5E0"/>
              <w:bottom w:val="single" w:sz="4" w:space="0" w:color="CBD5E0"/>
              <w:right w:val="single" w:sz="4" w:space="0" w:color="CBD5E0"/>
            </w:tcBorders>
            <w:vAlign w:val="center"/>
          </w:tcPr>
          <w:p w14:paraId="5FA71799" w14:textId="77777777" w:rsidR="000C0F6E" w:rsidRPr="00232B57" w:rsidRDefault="000D38FC">
            <w:pPr>
              <w:spacing w:before="60" w:after="60"/>
              <w:jc w:val="center"/>
            </w:pPr>
            <w:r w:rsidRPr="00232B57">
              <w:rPr>
                <w:color w:val="2D3748"/>
                <w:sz w:val="20"/>
                <w:szCs w:val="20"/>
              </w:rPr>
              <w:t>-</w:t>
            </w:r>
          </w:p>
        </w:tc>
        <w:tc>
          <w:tcPr>
            <w:tcW w:w="1510" w:type="dxa"/>
            <w:tcBorders>
              <w:top w:val="single" w:sz="4" w:space="0" w:color="CBD5E0"/>
              <w:left w:val="single" w:sz="4" w:space="0" w:color="CBD5E0"/>
              <w:bottom w:val="single" w:sz="4" w:space="0" w:color="CBD5E0"/>
              <w:right w:val="single" w:sz="4" w:space="0" w:color="CBD5E0"/>
            </w:tcBorders>
            <w:vAlign w:val="center"/>
          </w:tcPr>
          <w:p w14:paraId="284139F3" w14:textId="77777777" w:rsidR="000C0F6E" w:rsidRPr="00232B57" w:rsidRDefault="000D38FC">
            <w:pPr>
              <w:spacing w:before="60" w:after="60"/>
              <w:jc w:val="center"/>
            </w:pPr>
            <w:r w:rsidRPr="00232B57">
              <w:rPr>
                <w:color w:val="2D3748"/>
                <w:sz w:val="20"/>
                <w:szCs w:val="20"/>
              </w:rPr>
              <w:t>-</w:t>
            </w:r>
          </w:p>
        </w:tc>
        <w:tc>
          <w:tcPr>
            <w:tcW w:w="1510" w:type="dxa"/>
            <w:tcBorders>
              <w:top w:val="single" w:sz="4" w:space="0" w:color="CBD5E0"/>
              <w:left w:val="single" w:sz="4" w:space="0" w:color="CBD5E0"/>
              <w:bottom w:val="single" w:sz="4" w:space="0" w:color="CBD5E0"/>
              <w:right w:val="single" w:sz="4" w:space="0" w:color="CBD5E0"/>
            </w:tcBorders>
            <w:vAlign w:val="center"/>
          </w:tcPr>
          <w:p w14:paraId="6958F24C" w14:textId="77777777" w:rsidR="000C0F6E" w:rsidRPr="00232B57" w:rsidRDefault="000D38FC">
            <w:pPr>
              <w:spacing w:before="60" w:after="60"/>
              <w:jc w:val="center"/>
            </w:pPr>
            <w:r w:rsidRPr="00232B57">
              <w:rPr>
                <w:color w:val="2D3748"/>
                <w:sz w:val="20"/>
                <w:szCs w:val="20"/>
              </w:rPr>
              <w:t>1.00</w:t>
            </w:r>
          </w:p>
        </w:tc>
        <w:tc>
          <w:tcPr>
            <w:tcW w:w="1500" w:type="dxa"/>
            <w:tcBorders>
              <w:top w:val="single" w:sz="4" w:space="0" w:color="CBD5E0"/>
              <w:left w:val="single" w:sz="4" w:space="0" w:color="CBD5E0"/>
              <w:bottom w:val="single" w:sz="4" w:space="0" w:color="CBD5E0"/>
              <w:right w:val="single" w:sz="4" w:space="0" w:color="CBD5E0"/>
            </w:tcBorders>
            <w:vAlign w:val="center"/>
          </w:tcPr>
          <w:p w14:paraId="14543158" w14:textId="77777777" w:rsidR="000C0F6E" w:rsidRPr="00232B57" w:rsidRDefault="000D38FC">
            <w:pPr>
              <w:spacing w:before="60" w:after="60"/>
              <w:jc w:val="center"/>
            </w:pPr>
            <w:r w:rsidRPr="00232B57">
              <w:rPr>
                <w:color w:val="2D3748"/>
                <w:sz w:val="20"/>
                <w:szCs w:val="20"/>
              </w:rPr>
              <w:t>0.08</w:t>
            </w:r>
          </w:p>
        </w:tc>
      </w:tr>
      <w:tr w:rsidR="000C0F6E" w:rsidRPr="00232B57" w14:paraId="3B293357" w14:textId="77777777">
        <w:tc>
          <w:tcPr>
            <w:tcW w:w="1494" w:type="dxa"/>
            <w:tcBorders>
              <w:top w:val="single" w:sz="4" w:space="0" w:color="CBD5E0"/>
              <w:left w:val="single" w:sz="4" w:space="0" w:color="CBD5E0"/>
              <w:bottom w:val="single" w:sz="4" w:space="0" w:color="CBD5E0"/>
              <w:right w:val="single" w:sz="4" w:space="0" w:color="CBD5E0"/>
            </w:tcBorders>
            <w:vAlign w:val="center"/>
          </w:tcPr>
          <w:p w14:paraId="772306BB" w14:textId="77777777" w:rsidR="000C0F6E" w:rsidRPr="00232B57" w:rsidRDefault="000D38FC">
            <w:pPr>
              <w:spacing w:before="60" w:after="60"/>
              <w:jc w:val="center"/>
            </w:pPr>
            <w:r w:rsidRPr="00232B57">
              <w:rPr>
                <w:color w:val="2D3748"/>
                <w:sz w:val="20"/>
                <w:szCs w:val="20"/>
              </w:rPr>
              <w:t>Cr</w:t>
            </w:r>
          </w:p>
        </w:tc>
        <w:tc>
          <w:tcPr>
            <w:tcW w:w="1500" w:type="dxa"/>
            <w:tcBorders>
              <w:top w:val="single" w:sz="4" w:space="0" w:color="CBD5E0"/>
              <w:left w:val="single" w:sz="4" w:space="0" w:color="CBD5E0"/>
              <w:bottom w:val="single" w:sz="4" w:space="0" w:color="CBD5E0"/>
              <w:right w:val="single" w:sz="4" w:space="0" w:color="CBD5E0"/>
            </w:tcBorders>
            <w:vAlign w:val="center"/>
          </w:tcPr>
          <w:p w14:paraId="15C633B0" w14:textId="77777777" w:rsidR="000C0F6E" w:rsidRPr="00232B57" w:rsidRDefault="000D38FC">
            <w:pPr>
              <w:spacing w:before="60" w:after="60"/>
              <w:jc w:val="center"/>
            </w:pPr>
            <w:r w:rsidRPr="00232B57">
              <w:rPr>
                <w:color w:val="2D3748"/>
                <w:sz w:val="20"/>
                <w:szCs w:val="20"/>
              </w:rPr>
              <w:t>-</w:t>
            </w:r>
          </w:p>
        </w:tc>
        <w:tc>
          <w:tcPr>
            <w:tcW w:w="1510" w:type="dxa"/>
            <w:tcBorders>
              <w:top w:val="single" w:sz="4" w:space="0" w:color="CBD5E0"/>
              <w:left w:val="single" w:sz="4" w:space="0" w:color="CBD5E0"/>
              <w:bottom w:val="single" w:sz="4" w:space="0" w:color="CBD5E0"/>
              <w:right w:val="single" w:sz="4" w:space="0" w:color="CBD5E0"/>
            </w:tcBorders>
            <w:vAlign w:val="center"/>
          </w:tcPr>
          <w:p w14:paraId="6FB9B53C" w14:textId="77777777" w:rsidR="000C0F6E" w:rsidRPr="00232B57" w:rsidRDefault="000D38FC">
            <w:pPr>
              <w:spacing w:before="60" w:after="60"/>
              <w:jc w:val="center"/>
            </w:pPr>
            <w:r w:rsidRPr="00232B57">
              <w:rPr>
                <w:color w:val="2D3748"/>
                <w:sz w:val="20"/>
                <w:szCs w:val="20"/>
              </w:rPr>
              <w:t>-</w:t>
            </w:r>
          </w:p>
        </w:tc>
        <w:tc>
          <w:tcPr>
            <w:tcW w:w="1510" w:type="dxa"/>
            <w:tcBorders>
              <w:top w:val="single" w:sz="4" w:space="0" w:color="CBD5E0"/>
              <w:left w:val="single" w:sz="4" w:space="0" w:color="CBD5E0"/>
              <w:bottom w:val="single" w:sz="4" w:space="0" w:color="CBD5E0"/>
              <w:right w:val="single" w:sz="4" w:space="0" w:color="CBD5E0"/>
            </w:tcBorders>
            <w:vAlign w:val="center"/>
          </w:tcPr>
          <w:p w14:paraId="426AB7E2" w14:textId="77777777" w:rsidR="000C0F6E" w:rsidRPr="00232B57" w:rsidRDefault="000D38FC">
            <w:pPr>
              <w:spacing w:before="60" w:after="60"/>
              <w:jc w:val="center"/>
            </w:pPr>
            <w:r w:rsidRPr="00232B57">
              <w:rPr>
                <w:color w:val="2D3748"/>
                <w:sz w:val="20"/>
                <w:szCs w:val="20"/>
              </w:rPr>
              <w:t>-</w:t>
            </w:r>
          </w:p>
        </w:tc>
        <w:tc>
          <w:tcPr>
            <w:tcW w:w="1510" w:type="dxa"/>
            <w:tcBorders>
              <w:top w:val="single" w:sz="4" w:space="0" w:color="CBD5E0"/>
              <w:left w:val="single" w:sz="4" w:space="0" w:color="CBD5E0"/>
              <w:bottom w:val="single" w:sz="4" w:space="0" w:color="CBD5E0"/>
              <w:right w:val="single" w:sz="4" w:space="0" w:color="CBD5E0"/>
            </w:tcBorders>
            <w:vAlign w:val="center"/>
          </w:tcPr>
          <w:p w14:paraId="131D20F6" w14:textId="77777777" w:rsidR="000C0F6E" w:rsidRPr="00232B57" w:rsidRDefault="000D38FC">
            <w:pPr>
              <w:spacing w:before="60" w:after="60"/>
              <w:jc w:val="center"/>
            </w:pPr>
            <w:r w:rsidRPr="00232B57">
              <w:rPr>
                <w:color w:val="2D3748"/>
                <w:sz w:val="20"/>
                <w:szCs w:val="20"/>
              </w:rPr>
              <w:t>-</w:t>
            </w:r>
          </w:p>
        </w:tc>
        <w:tc>
          <w:tcPr>
            <w:tcW w:w="1500" w:type="dxa"/>
            <w:tcBorders>
              <w:top w:val="single" w:sz="4" w:space="0" w:color="CBD5E0"/>
              <w:left w:val="single" w:sz="4" w:space="0" w:color="CBD5E0"/>
              <w:bottom w:val="single" w:sz="4" w:space="0" w:color="CBD5E0"/>
              <w:right w:val="single" w:sz="4" w:space="0" w:color="CBD5E0"/>
            </w:tcBorders>
            <w:vAlign w:val="center"/>
          </w:tcPr>
          <w:p w14:paraId="5F863842" w14:textId="77777777" w:rsidR="000C0F6E" w:rsidRPr="00232B57" w:rsidRDefault="000D38FC">
            <w:pPr>
              <w:spacing w:before="60" w:after="60"/>
              <w:jc w:val="center"/>
            </w:pPr>
            <w:r w:rsidRPr="00232B57">
              <w:rPr>
                <w:color w:val="2D3748"/>
                <w:sz w:val="20"/>
                <w:szCs w:val="20"/>
              </w:rPr>
              <w:t>1.00</w:t>
            </w:r>
          </w:p>
        </w:tc>
      </w:tr>
    </w:tbl>
    <w:p w14:paraId="36A351A5" w14:textId="77777777" w:rsidR="000C0F6E" w:rsidRPr="00232B57" w:rsidRDefault="000D38FC">
      <w:pPr>
        <w:spacing w:before="120" w:after="120" w:line="312" w:lineRule="auto"/>
        <w:jc w:val="center"/>
      </w:pPr>
      <w:r w:rsidRPr="00232B57">
        <w:rPr>
          <w:i/>
          <w:iCs/>
          <w:color w:val="2D3748"/>
          <w:sz w:val="18"/>
          <w:szCs w:val="18"/>
        </w:rPr>
        <w:t>Note: ** Correlation significant at p &lt; 0.01 level</w:t>
      </w:r>
    </w:p>
    <w:p w14:paraId="327FF3E5" w14:textId="77777777" w:rsidR="000C0F6E" w:rsidRPr="00232B57" w:rsidRDefault="000D38FC">
      <w:pPr>
        <w:pStyle w:val="Heading2"/>
        <w:spacing w:before="360" w:after="240" w:line="312" w:lineRule="auto"/>
      </w:pPr>
      <w:r w:rsidRPr="00232B57">
        <w:rPr>
          <w:b/>
          <w:bCs/>
          <w:color w:val="1A365D"/>
          <w:sz w:val="28"/>
          <w:szCs w:val="28"/>
        </w:rPr>
        <w:t>3.3 Cluster Analysis</w:t>
      </w:r>
    </w:p>
    <w:p w14:paraId="71BC6092" w14:textId="77777777" w:rsidR="000C0F6E" w:rsidRPr="00232B57" w:rsidRDefault="000D38FC">
      <w:pPr>
        <w:spacing w:before="120" w:after="120" w:line="312" w:lineRule="auto"/>
        <w:jc w:val="both"/>
        <w:rPr>
          <w:color w:val="2D3748"/>
        </w:rPr>
      </w:pPr>
      <w:r w:rsidRPr="00232B57">
        <w:rPr>
          <w:color w:val="2D3748"/>
        </w:rPr>
        <w:t xml:space="preserve">The results from the cluster analysis indicated that there were two distinct clusters for the elements. Cluster 1 included Pb, Zn, Cu, and Cd. These results indicated that the anthropogenic source was from the processing of sulfide ores. The close association between the four elements was also consistent with the fact that they were found together in the Pb-Zn deposits and were </w:t>
      </w:r>
      <w:r w:rsidRPr="00232B57">
        <w:rPr>
          <w:color w:val="2D3748"/>
        </w:rPr>
        <w:lastRenderedPageBreak/>
        <w:t>released together during mining activities. Cluster 2 included Cr and Ni. These results indicated that the geogenic source was from the weathering of parent rock materials.</w:t>
      </w:r>
    </w:p>
    <w:p w14:paraId="62D1ACB6" w14:textId="77777777" w:rsidR="000C0F6E" w:rsidRPr="00232B57" w:rsidRDefault="000D38FC">
      <w:pPr>
        <w:spacing w:before="120" w:after="120" w:line="312" w:lineRule="auto"/>
        <w:jc w:val="both"/>
        <w:rPr>
          <w:color w:val="2D3748"/>
        </w:rPr>
      </w:pPr>
      <w:r w:rsidRPr="00232B57">
        <w:rPr>
          <w:color w:val="2D3748"/>
        </w:rPr>
        <w:t>The results from the environmetric classification also indicated that there were two distinct clusters for the elements. Cluster 1 included Pb, Zn, Cu, and Cd. Cluster 2 included Cr and Ni. These results indicated that the sources for the elements were from the processing of sulfide ores and from the weathering of parent rock materials.</w:t>
      </w:r>
    </w:p>
    <w:p w14:paraId="20DB9CB5" w14:textId="77777777" w:rsidR="000C0F6E" w:rsidRPr="00232B57" w:rsidRDefault="000D38FC">
      <w:pPr>
        <w:pStyle w:val="Heading2"/>
        <w:spacing w:before="360" w:after="240" w:line="312" w:lineRule="auto"/>
      </w:pPr>
      <w:r w:rsidRPr="00232B57">
        <w:rPr>
          <w:b/>
          <w:bCs/>
          <w:color w:val="1A365D"/>
          <w:sz w:val="28"/>
          <w:szCs w:val="28"/>
        </w:rPr>
        <w:t>3.4 Source Apportionment Implications</w:t>
      </w:r>
    </w:p>
    <w:p w14:paraId="24179662" w14:textId="77777777" w:rsidR="000C0F6E" w:rsidRPr="00232B57" w:rsidRDefault="000D38FC">
      <w:pPr>
        <w:spacing w:before="120" w:after="120" w:line="312" w:lineRule="auto"/>
        <w:jc w:val="both"/>
        <w:rPr>
          <w:color w:val="2D3748"/>
        </w:rPr>
      </w:pPr>
      <w:r w:rsidRPr="00232B57">
        <w:rPr>
          <w:color w:val="2D3748"/>
        </w:rPr>
        <w:t xml:space="preserve">The differences between anthropogenic and geogenic sources of metal contamination have profound implications in the management of the environment. Anthropogenic metals, which include Pb, Zn, Cu, and Cd, show the highest concentrations in areas closer to mining activities and gradually decrease as distance increases. These findings indicate the areas where remediation strategies are required. Acidic conditions, which are a result of sulphide oxidation, require pH adjustments as part of the remediation process. In contrast, geogenic metals, which include Cr and Ni, are background levels of metal contamination and do not require any remediation strategies. These findings have profound implications in the management of the environment, as the differentiation of metal sources will ensure effective allocation of resources in areas of significance. </w:t>
      </w:r>
    </w:p>
    <w:p w14:paraId="02C69E69" w14:textId="49FF95DB" w:rsidR="000C0F6E" w:rsidRPr="00232B57" w:rsidRDefault="000D38FC">
      <w:pPr>
        <w:pStyle w:val="Heading1"/>
        <w:spacing w:before="360" w:after="240" w:line="312" w:lineRule="auto"/>
      </w:pPr>
      <w:r w:rsidRPr="00232B57">
        <w:rPr>
          <w:b/>
          <w:bCs/>
          <w:color w:val="1A365D"/>
        </w:rPr>
        <w:t>4. CONCLUSIONS</w:t>
      </w:r>
    </w:p>
    <w:p w14:paraId="18B7DFE3" w14:textId="77777777" w:rsidR="000C0F6E" w:rsidRPr="00232B57" w:rsidRDefault="000D38FC">
      <w:pPr>
        <w:spacing w:before="120" w:after="120" w:line="312" w:lineRule="auto"/>
        <w:jc w:val="both"/>
        <w:rPr>
          <w:color w:val="2D3748"/>
        </w:rPr>
      </w:pPr>
      <w:r w:rsidRPr="00232B57">
        <w:rPr>
          <w:color w:val="2D3748"/>
        </w:rPr>
        <w:t>The purpose of the study has been fulfilled, and the significance of the use of environmetric techniques in the source apportionment of heavy metal contamination in mining areas has been demonstrated. Some of the findings include the following: Pb, Zn, Cu, and Cd are part of the anthropogenic cluster, which is a result of sulphide ore processing; Cr and Ni are separate clusters, which are a result of geogenic sources of contamination; Pb, Zn, Cu, and Cd are strongly correlated, which is a result of mineralogical association in the ore bodies; and environmetric techniques are a robust framework in differentiating between natural and anthropogenic sources of contamination. These findings have profound implications in the management of the environment in mining areas. Remediation strategies will be required in areas where anthropogenic sources of contamination are the most significant, which include Pb, Zn, Cu, and Cd. These findings will be useful in similar mining environments globally.</w:t>
      </w:r>
    </w:p>
    <w:p w14:paraId="6114D4B7" w14:textId="77777777" w:rsidR="000C0F6E" w:rsidRPr="00232B57" w:rsidRDefault="000D38FC">
      <w:pPr>
        <w:jc w:val="both"/>
        <w:rPr>
          <w:b/>
          <w:bCs/>
        </w:rPr>
      </w:pPr>
      <w:bookmarkStart w:id="2" w:name="_heading=h.2kgbaadvq4g8" w:colFirst="0" w:colLast="0"/>
      <w:bookmarkEnd w:id="2"/>
      <w:r w:rsidRPr="00232B57">
        <w:rPr>
          <w:b/>
          <w:bCs/>
        </w:rPr>
        <w:t>Acknowledgement</w:t>
      </w:r>
    </w:p>
    <w:p w14:paraId="77316BBC" w14:textId="77777777" w:rsidR="000C0F6E" w:rsidRPr="00232B57" w:rsidRDefault="000D38FC">
      <w:pPr>
        <w:spacing w:after="120"/>
        <w:jc w:val="both"/>
      </w:pPr>
      <w:r w:rsidRPr="00232B57">
        <w:t xml:space="preserve">The author wishes to express his appreciation to Prof E.G </w:t>
      </w:r>
      <w:proofErr w:type="spellStart"/>
      <w:r w:rsidRPr="00232B57">
        <w:t>Imeokparia</w:t>
      </w:r>
      <w:proofErr w:type="spellEnd"/>
      <w:r w:rsidRPr="00232B57">
        <w:t xml:space="preserve"> and Late Prof I.O Imasuen for their moral support.</w:t>
      </w:r>
    </w:p>
    <w:p w14:paraId="3DFF03C8" w14:textId="77777777" w:rsidR="000C0F6E" w:rsidRPr="00232B57" w:rsidRDefault="000D38FC">
      <w:pPr>
        <w:jc w:val="both"/>
      </w:pPr>
      <w:r w:rsidRPr="00232B57">
        <w:rPr>
          <w:b/>
          <w:bCs/>
        </w:rPr>
        <w:t>Funding</w:t>
      </w:r>
      <w:r w:rsidRPr="00232B57">
        <w:t>: This research received no external funding.</w:t>
      </w:r>
    </w:p>
    <w:p w14:paraId="7B40EC7D" w14:textId="77777777" w:rsidR="000C0F6E" w:rsidRPr="00232B57" w:rsidRDefault="000D38FC" w:rsidP="00232B57">
      <w:pPr>
        <w:jc w:val="both"/>
      </w:pPr>
      <w:r w:rsidRPr="00232B57">
        <w:rPr>
          <w:b/>
          <w:bCs/>
        </w:rPr>
        <w:t>Conflicts of Interest</w:t>
      </w:r>
      <w:r w:rsidRPr="00232B57">
        <w:t>: The author declares no conflict of interest.</w:t>
      </w:r>
    </w:p>
    <w:p w14:paraId="04BD79A4" w14:textId="77777777" w:rsidR="000C0F6E" w:rsidRPr="00232B57" w:rsidRDefault="000D38FC">
      <w:pPr>
        <w:pStyle w:val="Heading1"/>
        <w:spacing w:before="360" w:after="240" w:line="312" w:lineRule="auto"/>
        <w:rPr>
          <w:sz w:val="28"/>
          <w:szCs w:val="28"/>
        </w:rPr>
      </w:pPr>
      <w:r w:rsidRPr="00232B57">
        <w:rPr>
          <w:b/>
          <w:bCs/>
          <w:color w:val="1A365D"/>
          <w:sz w:val="28"/>
          <w:szCs w:val="28"/>
        </w:rPr>
        <w:lastRenderedPageBreak/>
        <w:t>REFERENCES</w:t>
      </w:r>
    </w:p>
    <w:p w14:paraId="73F0305D" w14:textId="77777777" w:rsidR="000C0F6E" w:rsidRPr="00232B57" w:rsidRDefault="000D38FC">
      <w:pPr>
        <w:spacing w:before="120" w:after="120" w:line="312" w:lineRule="auto"/>
        <w:ind w:left="720" w:hanging="360"/>
        <w:jc w:val="both"/>
      </w:pPr>
      <w:r w:rsidRPr="00232B57">
        <w:rPr>
          <w:color w:val="2D3748"/>
        </w:rPr>
        <w:t>Alloway, B. J. (1995). Heavy Metals in Soils (2nd ed.). Blackie Academic and Professional, London.</w:t>
      </w:r>
    </w:p>
    <w:p w14:paraId="607C4AEE" w14:textId="77777777" w:rsidR="000C0F6E" w:rsidRPr="00232B57" w:rsidRDefault="000D38FC">
      <w:pPr>
        <w:spacing w:before="120" w:after="120" w:line="312" w:lineRule="auto"/>
        <w:ind w:left="720" w:hanging="360"/>
        <w:jc w:val="both"/>
      </w:pPr>
      <w:proofErr w:type="spellStart"/>
      <w:r w:rsidRPr="00232B57">
        <w:rPr>
          <w:color w:val="2D3748"/>
        </w:rPr>
        <w:t>Kabata-Pendias</w:t>
      </w:r>
      <w:proofErr w:type="spellEnd"/>
      <w:r w:rsidRPr="00232B57">
        <w:rPr>
          <w:color w:val="2D3748"/>
        </w:rPr>
        <w:t xml:space="preserve">, A., &amp; </w:t>
      </w:r>
      <w:proofErr w:type="spellStart"/>
      <w:r w:rsidRPr="00232B57">
        <w:rPr>
          <w:color w:val="2D3748"/>
        </w:rPr>
        <w:t>Pendias</w:t>
      </w:r>
      <w:proofErr w:type="spellEnd"/>
      <w:r w:rsidRPr="00232B57">
        <w:rPr>
          <w:color w:val="2D3748"/>
        </w:rPr>
        <w:t>, H. (2001). Trace Elements in Soils and Plants (3rd ed.). CRC Press.</w:t>
      </w:r>
    </w:p>
    <w:p w14:paraId="1B538313" w14:textId="77777777" w:rsidR="000C0F6E" w:rsidRPr="00232B57" w:rsidRDefault="000D38FC">
      <w:pPr>
        <w:spacing w:before="120" w:after="120" w:line="312" w:lineRule="auto"/>
        <w:ind w:left="720" w:hanging="360"/>
        <w:jc w:val="both"/>
      </w:pPr>
      <w:proofErr w:type="spellStart"/>
      <w:r w:rsidRPr="00232B57">
        <w:rPr>
          <w:color w:val="2D3748"/>
        </w:rPr>
        <w:t>Krzanowski</w:t>
      </w:r>
      <w:proofErr w:type="spellEnd"/>
      <w:r w:rsidRPr="00232B57">
        <w:rPr>
          <w:color w:val="2D3748"/>
        </w:rPr>
        <w:t>, W. J. (1988). Principles of Multivariate Analysis. Clarendon Press, Oxford.</w:t>
      </w:r>
    </w:p>
    <w:p w14:paraId="6DD837FB" w14:textId="77777777" w:rsidR="000C0F6E" w:rsidRPr="00232B57" w:rsidRDefault="000D38FC">
      <w:pPr>
        <w:spacing w:before="120" w:after="120" w:line="312" w:lineRule="auto"/>
        <w:ind w:left="720" w:hanging="360"/>
        <w:jc w:val="both"/>
      </w:pPr>
      <w:r w:rsidRPr="00232B57">
        <w:rPr>
          <w:color w:val="2D3748"/>
        </w:rPr>
        <w:t>Nwachukwu, S. O. (1972). The tectonic evolution of the southern portion of the Benue Trough, Nigeria. Geological Magazine, 109, 411-419.</w:t>
      </w:r>
    </w:p>
    <w:p w14:paraId="1AE88E59" w14:textId="77777777" w:rsidR="000C0F6E" w:rsidRDefault="000D38FC">
      <w:pPr>
        <w:spacing w:before="120" w:after="120" w:line="312" w:lineRule="auto"/>
        <w:ind w:left="720" w:hanging="360"/>
        <w:jc w:val="both"/>
      </w:pPr>
      <w:proofErr w:type="spellStart"/>
      <w:r w:rsidRPr="00232B57">
        <w:rPr>
          <w:color w:val="2D3748"/>
        </w:rPr>
        <w:t>Orajaka</w:t>
      </w:r>
      <w:proofErr w:type="spellEnd"/>
      <w:r w:rsidRPr="00232B57">
        <w:rPr>
          <w:color w:val="2D3748"/>
        </w:rPr>
        <w:t xml:space="preserve">, S. O. (1965). The geology of </w:t>
      </w:r>
      <w:proofErr w:type="spellStart"/>
      <w:r w:rsidRPr="00232B57">
        <w:rPr>
          <w:color w:val="2D3748"/>
        </w:rPr>
        <w:t>Enyigba</w:t>
      </w:r>
      <w:proofErr w:type="spellEnd"/>
      <w:r w:rsidRPr="00232B57">
        <w:rPr>
          <w:color w:val="2D3748"/>
        </w:rPr>
        <w:t xml:space="preserve">, Ameri and </w:t>
      </w:r>
      <w:proofErr w:type="spellStart"/>
      <w:r w:rsidRPr="00232B57">
        <w:rPr>
          <w:color w:val="2D3748"/>
        </w:rPr>
        <w:t>Ameka</w:t>
      </w:r>
      <w:proofErr w:type="spellEnd"/>
      <w:r w:rsidRPr="00232B57">
        <w:rPr>
          <w:color w:val="2D3748"/>
        </w:rPr>
        <w:t xml:space="preserve"> lead-zinc lodes, Abakaliki Division, Eastern Nigeria. Journal of Minin</w:t>
      </w:r>
      <w:r>
        <w:rPr>
          <w:color w:val="2D3748"/>
        </w:rPr>
        <w:t>g and Geology, 2, 65-70.</w:t>
      </w:r>
    </w:p>
    <w:sectPr w:rsidR="000C0F6E">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7905C" w14:textId="77777777" w:rsidR="00621CE4" w:rsidRDefault="00621CE4">
      <w:r>
        <w:separator/>
      </w:r>
    </w:p>
  </w:endnote>
  <w:endnote w:type="continuationSeparator" w:id="0">
    <w:p w14:paraId="5022D18A" w14:textId="77777777" w:rsidR="00621CE4" w:rsidRDefault="00621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025241A-AB4A-427B-B9CB-91E64B7B01C2}"/>
  </w:font>
  <w:font w:name="Calibri Light">
    <w:panose1 w:val="020F0302020204030204"/>
    <w:charset w:val="00"/>
    <w:family w:val="swiss"/>
    <w:pitch w:val="variable"/>
    <w:sig w:usb0="E4002EFF" w:usb1="C000247B" w:usb2="00000009" w:usb3="00000000" w:csb0="000001FF" w:csb1="00000000"/>
    <w:embedRegular r:id="rId2" w:fontKey="{1185216D-3957-464F-AF59-7EB3CCB51F68}"/>
  </w:font>
  <w:font w:name="Mangal">
    <w:altName w:val="Cambria"/>
    <w:panose1 w:val="00000400000000000000"/>
    <w:charset w:val="01"/>
    <w:family w:val="roman"/>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embedRegular r:id="rId3" w:fontKey="{8EFE0107-8020-4149-B899-B96AC06463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AC177" w14:textId="77777777" w:rsidR="000D38FC" w:rsidRDefault="000D38FC">
    <w:pPr>
      <w:jc w:val="cente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ADFA6" w14:textId="77777777" w:rsidR="00621CE4" w:rsidRDefault="00621CE4">
      <w:r>
        <w:separator/>
      </w:r>
    </w:p>
  </w:footnote>
  <w:footnote w:type="continuationSeparator" w:id="0">
    <w:p w14:paraId="22FA9C4E" w14:textId="77777777" w:rsidR="00621CE4" w:rsidRDefault="00621C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F6E"/>
    <w:rsid w:val="000C0F6E"/>
    <w:rsid w:val="000D38FC"/>
    <w:rsid w:val="00143E6A"/>
    <w:rsid w:val="00232B57"/>
    <w:rsid w:val="00343FC8"/>
    <w:rsid w:val="00621CE4"/>
    <w:rsid w:val="00A65186"/>
    <w:rsid w:val="00AA0C5E"/>
    <w:rsid w:val="00BD0307"/>
    <w:rsid w:val="00ED6EE7"/>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3B6F1"/>
  <w15:docId w15:val="{BAB93644-9DA3-4D77-A709-9A4DAA518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ne-NP"/>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ED2708"/>
    <w:pPr>
      <w:tabs>
        <w:tab w:val="center" w:pos="4680"/>
        <w:tab w:val="right" w:pos="9360"/>
      </w:tabs>
    </w:pPr>
  </w:style>
  <w:style w:type="character" w:customStyle="1" w:styleId="HeaderChar">
    <w:name w:val="Header Char"/>
    <w:basedOn w:val="DefaultParagraphFont"/>
    <w:link w:val="Header"/>
    <w:uiPriority w:val="99"/>
    <w:rsid w:val="00ED2708"/>
  </w:style>
  <w:style w:type="paragraph" w:styleId="Footer">
    <w:name w:val="footer"/>
    <w:basedOn w:val="Normal"/>
    <w:link w:val="FooterChar"/>
    <w:uiPriority w:val="99"/>
    <w:unhideWhenUsed/>
    <w:rsid w:val="00ED2708"/>
    <w:pPr>
      <w:tabs>
        <w:tab w:val="center" w:pos="4680"/>
        <w:tab w:val="right" w:pos="9360"/>
      </w:tabs>
    </w:pPr>
  </w:style>
  <w:style w:type="character" w:customStyle="1" w:styleId="FooterChar">
    <w:name w:val="Footer Char"/>
    <w:basedOn w:val="DefaultParagraphFont"/>
    <w:link w:val="Footer"/>
    <w:uiPriority w:val="99"/>
    <w:rsid w:val="00ED270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Eqp2C5AhJifn+ucKfajDe2cuA==">CgMxLjAyDmguMmo3YTRqajQ2YmtwMg5oLjJrZ2JhYWR2cTRnODgAciExd19lTWt4SHJMSkh1WWxiUDFwdDBGUGxEOG9hbFk2aXo=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1593</Words>
  <Characters>9083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DELL</cp:lastModifiedBy>
  <cp:revision>2</cp:revision>
  <dcterms:created xsi:type="dcterms:W3CDTF">2026-02-20T19:28:00Z</dcterms:created>
  <dcterms:modified xsi:type="dcterms:W3CDTF">2026-02-20T19:28:00Z</dcterms:modified>
</cp:coreProperties>
</file>