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B95" w:rsidRPr="00E52B95" w:rsidRDefault="00E52B95" w:rsidP="00E52B95">
      <w:pPr>
        <w:spacing w:before="100" w:beforeAutospacing="1" w:after="100" w:afterAutospacing="1" w:line="360" w:lineRule="auto"/>
        <w:ind w:left="720"/>
        <w:jc w:val="both"/>
        <w:rPr>
          <w:rFonts w:ascii="Times New Roman" w:eastAsia="Times New Roman" w:hAnsi="Times New Roman" w:cs="Times New Roman"/>
          <w:b/>
          <w:bCs/>
          <w:color w:val="000000"/>
          <w:sz w:val="24"/>
          <w:szCs w:val="24"/>
          <w:lang w:eastAsia="en-IN" w:bidi="ar-SA"/>
        </w:rPr>
      </w:pPr>
      <w:bookmarkStart w:id="0" w:name="_Hlk209295691"/>
      <w:r w:rsidRPr="00E52B95">
        <w:rPr>
          <w:rFonts w:ascii="Times New Roman" w:eastAsia="Times New Roman" w:hAnsi="Times New Roman" w:cs="Times New Roman"/>
          <w:b/>
          <w:bCs/>
          <w:color w:val="000000"/>
          <w:sz w:val="24"/>
          <w:szCs w:val="24"/>
          <w:lang w:eastAsia="en-IN" w:bidi="ar-SA"/>
        </w:rPr>
        <w:t xml:space="preserve">Harnessing the </w:t>
      </w:r>
      <w:r w:rsidRPr="00E52B95">
        <w:rPr>
          <w:rFonts w:ascii="Times New Roman" w:eastAsia="Times New Roman" w:hAnsi="Times New Roman" w:cs="Times New Roman"/>
          <w:b/>
          <w:bCs/>
          <w:i/>
          <w:color w:val="000000"/>
          <w:sz w:val="24"/>
          <w:szCs w:val="24"/>
          <w:lang w:eastAsia="en-IN" w:bidi="ar-SA"/>
        </w:rPr>
        <w:t xml:space="preserve">Zingiberaceae </w:t>
      </w:r>
      <w:r w:rsidRPr="00E52B95">
        <w:rPr>
          <w:rFonts w:ascii="Times New Roman" w:eastAsia="Times New Roman" w:hAnsi="Times New Roman" w:cs="Times New Roman"/>
          <w:b/>
          <w:bCs/>
          <w:color w:val="000000"/>
          <w:sz w:val="24"/>
          <w:szCs w:val="24"/>
          <w:lang w:eastAsia="en-IN" w:bidi="ar-SA"/>
        </w:rPr>
        <w:t>Family against Viral Threats: T</w:t>
      </w:r>
      <w:r w:rsidR="001C22B2">
        <w:rPr>
          <w:rFonts w:ascii="Times New Roman" w:eastAsia="Times New Roman" w:hAnsi="Times New Roman" w:cs="Times New Roman"/>
          <w:b/>
          <w:bCs/>
          <w:color w:val="000000"/>
          <w:sz w:val="24"/>
          <w:szCs w:val="24"/>
          <w:lang w:eastAsia="en-IN" w:bidi="ar-SA"/>
        </w:rPr>
        <w:t>raditional Uses, Phytochemistry</w:t>
      </w:r>
      <w:r w:rsidRPr="00E52B95">
        <w:rPr>
          <w:rFonts w:ascii="Times New Roman" w:eastAsia="Times New Roman" w:hAnsi="Times New Roman" w:cs="Times New Roman"/>
          <w:b/>
          <w:bCs/>
          <w:color w:val="000000"/>
          <w:sz w:val="24"/>
          <w:szCs w:val="24"/>
          <w:lang w:eastAsia="en-IN" w:bidi="ar-SA"/>
        </w:rPr>
        <w:t xml:space="preserve"> and Mode of Action During COVID-19</w:t>
      </w:r>
    </w:p>
    <w:p w:rsidR="00E52B95" w:rsidRPr="00E52B95" w:rsidRDefault="00E52B95" w:rsidP="00E52B95">
      <w:pPr>
        <w:spacing w:before="100" w:beforeAutospacing="1" w:after="100" w:afterAutospacing="1" w:line="360" w:lineRule="auto"/>
        <w:ind w:left="720"/>
        <w:jc w:val="both"/>
        <w:rPr>
          <w:rFonts w:ascii="Times New Roman" w:hAnsi="Times New Roman" w:cs="Times New Roman"/>
          <w:b/>
          <w:color w:val="000000"/>
          <w:sz w:val="24"/>
          <w:szCs w:val="24"/>
        </w:rPr>
      </w:pPr>
      <w:r w:rsidRPr="00E52B95">
        <w:rPr>
          <w:rFonts w:ascii="Times New Roman" w:hAnsi="Times New Roman" w:cs="Times New Roman"/>
          <w:b/>
          <w:color w:val="000000"/>
          <w:sz w:val="24"/>
          <w:szCs w:val="24"/>
        </w:rPr>
        <w:t>Muskan Dhiman, Jaya Thakur, Ria, Anamika Sharma, Madhvi Negi, Harsharan Singh</w:t>
      </w:r>
      <w:r w:rsidRPr="00E52B95">
        <w:rPr>
          <w:rFonts w:ascii="Times New Roman" w:hAnsi="Times New Roman" w:cs="Times New Roman"/>
          <w:b/>
          <w:color w:val="000000"/>
          <w:sz w:val="24"/>
          <w:szCs w:val="24"/>
          <w:vertAlign w:val="superscript"/>
        </w:rPr>
        <w:t>*</w:t>
      </w:r>
      <w:r w:rsidRPr="00E52B95">
        <w:rPr>
          <w:rFonts w:ascii="Times New Roman" w:hAnsi="Times New Roman" w:cs="Times New Roman"/>
          <w:b/>
          <w:color w:val="000000"/>
          <w:sz w:val="24"/>
          <w:szCs w:val="24"/>
        </w:rPr>
        <w:t>,</w:t>
      </w:r>
    </w:p>
    <w:p w:rsidR="00E52B95" w:rsidRPr="00E52B95" w:rsidRDefault="00E52B95" w:rsidP="00E52B95">
      <w:pPr>
        <w:tabs>
          <w:tab w:val="left" w:pos="8647"/>
        </w:tabs>
        <w:spacing w:after="0" w:line="360" w:lineRule="auto"/>
        <w:ind w:right="261"/>
        <w:jc w:val="both"/>
        <w:rPr>
          <w:rFonts w:ascii="Times New Roman" w:hAnsi="Times New Roman" w:cs="Times New Roman"/>
          <w:color w:val="000000"/>
          <w:sz w:val="24"/>
          <w:szCs w:val="24"/>
        </w:rPr>
      </w:pPr>
      <w:r w:rsidRPr="00E52B95">
        <w:rPr>
          <w:rFonts w:ascii="Times New Roman" w:hAnsi="Times New Roman" w:cs="Times New Roman"/>
          <w:b/>
          <w:bCs/>
          <w:color w:val="000000"/>
          <w:sz w:val="24"/>
          <w:szCs w:val="24"/>
        </w:rPr>
        <w:t>Muskan Dhiman</w:t>
      </w:r>
    </w:p>
    <w:p w:rsidR="00E52B95" w:rsidRPr="00E52B95" w:rsidRDefault="00E52B95" w:rsidP="00E52B95">
      <w:pPr>
        <w:tabs>
          <w:tab w:val="left" w:pos="8647"/>
        </w:tabs>
        <w:spacing w:after="0" w:line="360" w:lineRule="auto"/>
        <w:ind w:right="261"/>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Department of Plant Sciences, Central University of Himachal Pradesh, Shahpur, Kangra-1</w:t>
      </w:r>
      <w:r w:rsidR="00572BCF">
        <w:rPr>
          <w:rFonts w:ascii="Times New Roman" w:hAnsi="Times New Roman" w:cs="Times New Roman"/>
          <w:color w:val="000000"/>
          <w:sz w:val="24"/>
          <w:szCs w:val="24"/>
        </w:rPr>
        <w:t>76206, Himachal Pradesh, India.</w:t>
      </w:r>
    </w:p>
    <w:p w:rsidR="00E52B95" w:rsidRPr="00E52B95" w:rsidRDefault="00E52B95" w:rsidP="00E52B95">
      <w:pPr>
        <w:autoSpaceDE w:val="0"/>
        <w:autoSpaceDN w:val="0"/>
        <w:adjustRightInd w:val="0"/>
        <w:spacing w:after="0" w:line="360" w:lineRule="auto"/>
        <w:jc w:val="both"/>
        <w:rPr>
          <w:rFonts w:ascii="Times New Roman" w:hAnsi="Times New Roman" w:cs="Times New Roman"/>
          <w:b/>
          <w:bCs/>
          <w:color w:val="000000"/>
          <w:sz w:val="24"/>
          <w:szCs w:val="24"/>
        </w:rPr>
      </w:pPr>
      <w:r w:rsidRPr="00E52B95">
        <w:rPr>
          <w:rFonts w:ascii="Times New Roman" w:hAnsi="Times New Roman" w:cs="Times New Roman"/>
          <w:b/>
          <w:bCs/>
          <w:color w:val="000000"/>
          <w:sz w:val="24"/>
          <w:szCs w:val="24"/>
        </w:rPr>
        <w:t xml:space="preserve">Jaya Thakur </w:t>
      </w:r>
    </w:p>
    <w:p w:rsidR="00E52B95" w:rsidRPr="00E52B95" w:rsidRDefault="00E52B95" w:rsidP="00E52B95">
      <w:pPr>
        <w:tabs>
          <w:tab w:val="left" w:pos="8647"/>
        </w:tabs>
        <w:spacing w:after="0"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Department of Plant Sciences, Central University of Himachal Pradesh, Shahpur, Kangra-176206, Himachal Pradesh, India</w:t>
      </w:r>
    </w:p>
    <w:p w:rsidR="00E52B95" w:rsidRPr="00E52B95" w:rsidRDefault="00E52B95" w:rsidP="00E52B95">
      <w:pPr>
        <w:spacing w:after="0" w:line="360" w:lineRule="auto"/>
        <w:jc w:val="both"/>
        <w:rPr>
          <w:rFonts w:ascii="Times New Roman" w:hAnsi="Times New Roman" w:cs="Times New Roman"/>
          <w:b/>
          <w:color w:val="000000"/>
          <w:sz w:val="24"/>
          <w:szCs w:val="24"/>
        </w:rPr>
      </w:pPr>
      <w:r w:rsidRPr="00E52B95">
        <w:rPr>
          <w:rFonts w:ascii="Times New Roman" w:hAnsi="Times New Roman" w:cs="Times New Roman"/>
          <w:b/>
          <w:color w:val="000000"/>
          <w:sz w:val="24"/>
          <w:szCs w:val="24"/>
        </w:rPr>
        <w:t xml:space="preserve">Ria </w:t>
      </w:r>
    </w:p>
    <w:p w:rsidR="00E52B95" w:rsidRPr="00E52B95" w:rsidRDefault="00E52B95" w:rsidP="00E52B95">
      <w:pPr>
        <w:tabs>
          <w:tab w:val="left" w:pos="8647"/>
        </w:tabs>
        <w:spacing w:after="0" w:line="360" w:lineRule="auto"/>
        <w:ind w:right="261"/>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Department of Plant Sciences, Central University of Himachal Pradesh, Shahpur, Kangra-176206, Himachal Pradesh, India.</w:t>
      </w:r>
    </w:p>
    <w:p w:rsidR="00E52B95" w:rsidRPr="00E52B95" w:rsidRDefault="00E52B95" w:rsidP="00E52B95">
      <w:pPr>
        <w:autoSpaceDE w:val="0"/>
        <w:autoSpaceDN w:val="0"/>
        <w:adjustRightInd w:val="0"/>
        <w:spacing w:after="0" w:line="360" w:lineRule="auto"/>
        <w:jc w:val="both"/>
        <w:rPr>
          <w:rFonts w:ascii="Times New Roman" w:hAnsi="Times New Roman" w:cs="Times New Roman"/>
          <w:b/>
          <w:bCs/>
          <w:color w:val="000000"/>
          <w:sz w:val="24"/>
          <w:szCs w:val="24"/>
          <w:vertAlign w:val="superscript"/>
        </w:rPr>
      </w:pPr>
      <w:r w:rsidRPr="00E52B95">
        <w:rPr>
          <w:rFonts w:ascii="Times New Roman" w:hAnsi="Times New Roman" w:cs="Times New Roman"/>
          <w:b/>
          <w:bCs/>
          <w:color w:val="000000"/>
          <w:sz w:val="24"/>
          <w:szCs w:val="24"/>
        </w:rPr>
        <w:t>Anamika Sharma</w:t>
      </w:r>
    </w:p>
    <w:p w:rsidR="00E52B95" w:rsidRPr="00E52B95" w:rsidRDefault="00E52B95" w:rsidP="00E52B95">
      <w:pPr>
        <w:tabs>
          <w:tab w:val="left" w:pos="8647"/>
        </w:tabs>
        <w:spacing w:after="0" w:line="360" w:lineRule="auto"/>
        <w:ind w:right="261"/>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Department of Plant Sciences, Central University of Himachal Pradesh, Shahpur, Kangra-176206, Himachal Pradesh, India.</w:t>
      </w:r>
      <w:r w:rsidRPr="00E52B95">
        <w:rPr>
          <w:rFonts w:ascii="Times New Roman" w:eastAsia="Times New Roman" w:hAnsi="Times New Roman" w:cs="Times New Roman"/>
          <w:color w:val="000000"/>
          <w:kern w:val="36"/>
          <w:sz w:val="24"/>
          <w:szCs w:val="24"/>
          <w:lang w:val="en-GB" w:eastAsia="en-IN"/>
        </w:rPr>
        <w:t xml:space="preserve"> </w:t>
      </w:r>
      <w:r w:rsidRPr="00E52B95">
        <w:rPr>
          <w:rStyle w:val="Hyperlink"/>
          <w:rFonts w:ascii="Times New Roman" w:eastAsia="Times New Roman" w:hAnsi="Times New Roman" w:cs="Times New Roman"/>
          <w:color w:val="000000"/>
          <w:kern w:val="36"/>
          <w:sz w:val="24"/>
          <w:szCs w:val="24"/>
          <w:u w:val="none"/>
          <w:lang w:val="en-GB" w:eastAsia="en-IN"/>
        </w:rPr>
        <w:t xml:space="preserve"> </w:t>
      </w:r>
    </w:p>
    <w:p w:rsidR="00E52B95" w:rsidRPr="00E52B95" w:rsidRDefault="00E52B95" w:rsidP="00E52B95">
      <w:pPr>
        <w:autoSpaceDE w:val="0"/>
        <w:autoSpaceDN w:val="0"/>
        <w:adjustRightInd w:val="0"/>
        <w:spacing w:after="0" w:line="360" w:lineRule="auto"/>
        <w:jc w:val="both"/>
        <w:rPr>
          <w:rFonts w:ascii="Times New Roman" w:hAnsi="Times New Roman" w:cs="Times New Roman"/>
          <w:b/>
          <w:bCs/>
          <w:color w:val="000000"/>
          <w:sz w:val="24"/>
          <w:szCs w:val="24"/>
        </w:rPr>
      </w:pPr>
      <w:r w:rsidRPr="00E52B95">
        <w:rPr>
          <w:rFonts w:ascii="Times New Roman" w:hAnsi="Times New Roman" w:cs="Times New Roman"/>
          <w:b/>
          <w:bCs/>
          <w:color w:val="000000"/>
          <w:sz w:val="24"/>
          <w:szCs w:val="24"/>
        </w:rPr>
        <w:t>Madhvi Negi</w:t>
      </w:r>
    </w:p>
    <w:p w:rsidR="00E52B95" w:rsidRPr="00E52B95" w:rsidRDefault="00E52B95" w:rsidP="00E52B95">
      <w:pPr>
        <w:tabs>
          <w:tab w:val="left" w:pos="8647"/>
        </w:tabs>
        <w:spacing w:after="0"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Department of Plant Sciences, Central University of Himachal Pradesh, Shahpur, Kangra-176206, Himachal Pradesh, India</w:t>
      </w:r>
    </w:p>
    <w:p w:rsidR="00E52B95" w:rsidRPr="00E52B95" w:rsidRDefault="00E52B95" w:rsidP="00E52B95">
      <w:pPr>
        <w:tabs>
          <w:tab w:val="left" w:pos="8647"/>
        </w:tabs>
        <w:spacing w:after="0" w:line="360" w:lineRule="auto"/>
        <w:jc w:val="both"/>
        <w:rPr>
          <w:rFonts w:ascii="Times New Roman" w:hAnsi="Times New Roman" w:cs="Times New Roman"/>
          <w:color w:val="000000"/>
          <w:sz w:val="24"/>
          <w:szCs w:val="24"/>
        </w:rPr>
      </w:pPr>
    </w:p>
    <w:p w:rsidR="00E52B95" w:rsidRPr="00E52B95" w:rsidRDefault="00E52B95" w:rsidP="00E52B95">
      <w:pPr>
        <w:spacing w:after="0" w:line="360" w:lineRule="auto"/>
        <w:jc w:val="both"/>
        <w:rPr>
          <w:rFonts w:ascii="Times New Roman" w:hAnsi="Times New Roman" w:cs="Times New Roman"/>
          <w:b/>
          <w:bCs/>
          <w:color w:val="000000"/>
          <w:sz w:val="24"/>
          <w:szCs w:val="24"/>
        </w:rPr>
      </w:pPr>
      <w:r w:rsidRPr="00E52B95">
        <w:rPr>
          <w:rFonts w:ascii="Times New Roman" w:hAnsi="Times New Roman" w:cs="Times New Roman"/>
          <w:b/>
          <w:bCs/>
          <w:color w:val="000000"/>
          <w:sz w:val="24"/>
          <w:szCs w:val="24"/>
        </w:rPr>
        <w:t xml:space="preserve">Corresponding Author*: </w:t>
      </w:r>
    </w:p>
    <w:p w:rsidR="00E52B95" w:rsidRPr="00E52B95" w:rsidRDefault="00572BCF" w:rsidP="00E52B95">
      <w:pPr>
        <w:spacing w:after="0" w:line="36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Dr. </w:t>
      </w:r>
      <w:r w:rsidR="00E52B95" w:rsidRPr="00E52B95">
        <w:rPr>
          <w:rFonts w:ascii="Times New Roman" w:hAnsi="Times New Roman" w:cs="Times New Roman"/>
          <w:color w:val="000000"/>
          <w:sz w:val="24"/>
          <w:szCs w:val="24"/>
        </w:rPr>
        <w:t>Harsharan Singh , Associate Professor, Department of Plant Sciences, Central University of Himachal Pradesh, Shahpur, Kangra-176206, Himachal Pradesh, India</w:t>
      </w:r>
    </w:p>
    <w:p w:rsidR="00E52B95" w:rsidRPr="00E52B95" w:rsidRDefault="00E52B95" w:rsidP="00E52B95">
      <w:pPr>
        <w:spacing w:after="0"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Email: </w:t>
      </w:r>
      <w:r w:rsidR="00571D4C">
        <w:rPr>
          <w:rFonts w:ascii="Times New Roman" w:hAnsi="Times New Roman" w:cs="Times New Roman"/>
          <w:color w:val="000000"/>
          <w:sz w:val="24"/>
          <w:szCs w:val="24"/>
        </w:rPr>
        <w:t>harsharan@hpcu.ac.in</w:t>
      </w:r>
    </w:p>
    <w:p w:rsidR="00E52B95" w:rsidRPr="00E52B95" w:rsidRDefault="00E52B95" w:rsidP="00E52B95">
      <w:pPr>
        <w:spacing w:after="0"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ORCID ID: </w:t>
      </w:r>
      <w:r w:rsidR="00571D4C">
        <w:rPr>
          <w:rFonts w:ascii="Times New Roman" w:hAnsi="Times New Roman" w:cs="Times New Roman"/>
          <w:color w:val="000000"/>
          <w:sz w:val="24"/>
          <w:szCs w:val="24"/>
        </w:rPr>
        <w:t>0009-0006-4473-8244</w:t>
      </w:r>
    </w:p>
    <w:p w:rsidR="00E52B95" w:rsidRPr="00E52B95" w:rsidRDefault="00E52B95" w:rsidP="00E52B95">
      <w:pPr>
        <w:spacing w:after="0"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Contact Number: </w:t>
      </w:r>
      <w:r w:rsidR="00571D4C">
        <w:rPr>
          <w:rFonts w:ascii="Times New Roman" w:hAnsi="Times New Roman" w:cs="Times New Roman"/>
          <w:color w:val="000000"/>
          <w:sz w:val="24"/>
          <w:szCs w:val="24"/>
        </w:rPr>
        <w:t>9877212423</w:t>
      </w:r>
    </w:p>
    <w:p w:rsidR="00E52B95" w:rsidRPr="00E52B95" w:rsidRDefault="00E52B95" w:rsidP="00E52B95">
      <w:pPr>
        <w:spacing w:line="360" w:lineRule="auto"/>
        <w:jc w:val="both"/>
        <w:rPr>
          <w:rFonts w:ascii="Times New Roman" w:eastAsia="Times New Roman" w:hAnsi="Times New Roman" w:cs="Times New Roman"/>
          <w:b/>
          <w:color w:val="000000"/>
          <w:sz w:val="24"/>
          <w:szCs w:val="24"/>
          <w:lang w:eastAsia="en-IN"/>
        </w:rPr>
      </w:pPr>
    </w:p>
    <w:p w:rsidR="00E52B95" w:rsidRPr="00E52B95" w:rsidRDefault="00E52B95" w:rsidP="00E52B95">
      <w:pPr>
        <w:spacing w:line="360" w:lineRule="auto"/>
        <w:jc w:val="both"/>
        <w:rPr>
          <w:rFonts w:ascii="Times New Roman" w:eastAsia="Times New Roman" w:hAnsi="Times New Roman" w:cs="Times New Roman"/>
          <w:b/>
          <w:color w:val="000000"/>
          <w:sz w:val="24"/>
          <w:szCs w:val="24"/>
          <w:lang w:eastAsia="en-IN"/>
        </w:rPr>
      </w:pPr>
      <w:r w:rsidRPr="00E52B95">
        <w:rPr>
          <w:rFonts w:ascii="Times New Roman" w:eastAsia="Times New Roman" w:hAnsi="Times New Roman" w:cs="Times New Roman"/>
          <w:b/>
          <w:color w:val="000000"/>
          <w:sz w:val="24"/>
          <w:szCs w:val="24"/>
          <w:lang w:eastAsia="en-IN"/>
        </w:rPr>
        <w:t xml:space="preserve">                                         </w:t>
      </w:r>
    </w:p>
    <w:p w:rsidR="00E52B95" w:rsidRPr="00E52B95" w:rsidRDefault="00E52B95" w:rsidP="00E52B95">
      <w:pPr>
        <w:spacing w:line="360" w:lineRule="auto"/>
        <w:jc w:val="both"/>
        <w:rPr>
          <w:rFonts w:ascii="Times New Roman" w:eastAsia="Times New Roman" w:hAnsi="Times New Roman" w:cs="Times New Roman"/>
          <w:b/>
          <w:color w:val="000000"/>
          <w:sz w:val="24"/>
          <w:szCs w:val="24"/>
          <w:lang w:eastAsia="en-IN"/>
        </w:rPr>
      </w:pPr>
      <w:r w:rsidRPr="00E52B95">
        <w:rPr>
          <w:rFonts w:ascii="Times New Roman" w:eastAsia="Times New Roman" w:hAnsi="Times New Roman" w:cs="Times New Roman"/>
          <w:b/>
          <w:color w:val="000000"/>
          <w:sz w:val="24"/>
          <w:szCs w:val="24"/>
          <w:lang w:eastAsia="en-IN"/>
        </w:rPr>
        <w:t xml:space="preserve">Abstract </w:t>
      </w:r>
    </w:p>
    <w:p w:rsidR="00E52B95" w:rsidRPr="00E52B95" w:rsidRDefault="00E52B95" w:rsidP="00E52B95">
      <w:pPr>
        <w:spacing w:after="0" w:line="360" w:lineRule="auto"/>
        <w:jc w:val="both"/>
        <w:rPr>
          <w:rFonts w:ascii="Times New Roman" w:eastAsia="Times New Roman" w:hAnsi="Times New Roman" w:cs="Times New Roman"/>
          <w:color w:val="000000"/>
          <w:sz w:val="24"/>
          <w:szCs w:val="24"/>
          <w:lang w:eastAsia="en-IN" w:bidi="ar-SA"/>
        </w:rPr>
      </w:pPr>
      <w:r w:rsidRPr="00E52B95">
        <w:rPr>
          <w:rFonts w:ascii="Times New Roman" w:eastAsia="Times New Roman" w:hAnsi="Times New Roman" w:cs="Times New Roman"/>
          <w:color w:val="000000"/>
          <w:sz w:val="24"/>
          <w:szCs w:val="24"/>
          <w:lang w:eastAsia="en-IN" w:bidi="ar-SA"/>
        </w:rPr>
        <w:t xml:space="preserve">The </w:t>
      </w:r>
      <w:r w:rsidRPr="00E52B95">
        <w:rPr>
          <w:rFonts w:ascii="Times New Roman" w:eastAsia="Times New Roman" w:hAnsi="Times New Roman" w:cs="Times New Roman"/>
          <w:i/>
          <w:color w:val="000000"/>
          <w:sz w:val="24"/>
          <w:szCs w:val="24"/>
          <w:lang w:eastAsia="en-IN" w:bidi="ar-SA"/>
        </w:rPr>
        <w:t xml:space="preserve">Zingiberaceae </w:t>
      </w:r>
      <w:r w:rsidRPr="00E52B95">
        <w:rPr>
          <w:rFonts w:ascii="Times New Roman" w:eastAsia="Times New Roman" w:hAnsi="Times New Roman" w:cs="Times New Roman"/>
          <w:color w:val="000000"/>
          <w:sz w:val="24"/>
          <w:szCs w:val="24"/>
          <w:lang w:eastAsia="en-IN" w:bidi="ar-SA"/>
        </w:rPr>
        <w:t xml:space="preserve">family, which comprises important genera including </w:t>
      </w:r>
      <w:r w:rsidRPr="00E52B95">
        <w:rPr>
          <w:rFonts w:ascii="Times New Roman" w:eastAsia="Times New Roman" w:hAnsi="Times New Roman" w:cs="Times New Roman"/>
          <w:i/>
          <w:color w:val="000000"/>
          <w:sz w:val="24"/>
          <w:szCs w:val="24"/>
          <w:lang w:eastAsia="en-IN" w:bidi="ar-SA"/>
        </w:rPr>
        <w:t>Zingiber, Curcuma</w:t>
      </w:r>
      <w:r w:rsidRPr="00E52B95">
        <w:rPr>
          <w:rFonts w:ascii="Times New Roman" w:eastAsia="Times New Roman" w:hAnsi="Times New Roman" w:cs="Times New Roman"/>
          <w:color w:val="000000"/>
          <w:sz w:val="24"/>
          <w:szCs w:val="24"/>
          <w:lang w:eastAsia="en-IN" w:bidi="ar-SA"/>
        </w:rPr>
        <w:t xml:space="preserve">, </w:t>
      </w:r>
      <w:r w:rsidRPr="00E52B95">
        <w:rPr>
          <w:rFonts w:ascii="Times New Roman" w:eastAsia="Times New Roman" w:hAnsi="Times New Roman" w:cs="Times New Roman"/>
          <w:i/>
          <w:color w:val="000000"/>
          <w:sz w:val="24"/>
          <w:szCs w:val="24"/>
          <w:lang w:eastAsia="en-IN" w:bidi="ar-SA"/>
        </w:rPr>
        <w:t>Elettaria</w:t>
      </w:r>
      <w:r w:rsidRPr="00E52B95">
        <w:rPr>
          <w:rFonts w:ascii="Times New Roman" w:eastAsia="Times New Roman" w:hAnsi="Times New Roman" w:cs="Times New Roman"/>
          <w:i/>
          <w:iCs/>
          <w:color w:val="000000"/>
          <w:sz w:val="24"/>
          <w:szCs w:val="24"/>
          <w:lang w:eastAsia="en-IN" w:bidi="ar-SA"/>
        </w:rPr>
        <w:t xml:space="preserve">, Etlingera, Amomum, Hedychium and Kaemferia </w:t>
      </w:r>
      <w:r w:rsidRPr="00E52B95">
        <w:rPr>
          <w:rFonts w:ascii="Times New Roman" w:eastAsia="Times New Roman" w:hAnsi="Times New Roman" w:cs="Times New Roman"/>
          <w:color w:val="000000"/>
          <w:sz w:val="24"/>
          <w:szCs w:val="24"/>
          <w:lang w:eastAsia="en-IN" w:bidi="ar-SA"/>
        </w:rPr>
        <w:t xml:space="preserve">is a fundamental component of both </w:t>
      </w:r>
      <w:r w:rsidRPr="00E52B95">
        <w:rPr>
          <w:rFonts w:ascii="Times New Roman" w:eastAsia="Times New Roman" w:hAnsi="Times New Roman" w:cs="Times New Roman"/>
          <w:color w:val="000000"/>
          <w:sz w:val="24"/>
          <w:szCs w:val="24"/>
          <w:lang w:eastAsia="en-IN" w:bidi="ar-SA"/>
        </w:rPr>
        <w:lastRenderedPageBreak/>
        <w:t>ethnobotany and global commerce. This review study summarizes the family's various uses, emphasizing its historical applications, pharmacological properties, and economic significance. We examine the phytochemical profiles of important species to clarify the mechanisms of action of their bioactive substances, including</w:t>
      </w:r>
      <w:r w:rsidR="00571D4C">
        <w:rPr>
          <w:rFonts w:ascii="Times New Roman" w:eastAsia="Times New Roman" w:hAnsi="Times New Roman" w:cs="Times New Roman"/>
          <w:color w:val="000000"/>
          <w:sz w:val="24"/>
          <w:szCs w:val="24"/>
          <w:lang w:eastAsia="en-IN" w:bidi="ar-SA"/>
        </w:rPr>
        <w:t xml:space="preserve"> gingerols, curcumin and galangin</w:t>
      </w:r>
      <w:r w:rsidRPr="00E52B95">
        <w:rPr>
          <w:rFonts w:ascii="Times New Roman" w:eastAsia="Times New Roman" w:hAnsi="Times New Roman" w:cs="Times New Roman"/>
          <w:color w:val="000000"/>
          <w:sz w:val="24"/>
          <w:szCs w:val="24"/>
          <w:lang w:eastAsia="en-IN" w:bidi="ar-SA"/>
        </w:rPr>
        <w:t xml:space="preserve"> which exhibits strong antioxidant, anti-inflammatory effects. </w:t>
      </w:r>
      <w:r w:rsidRPr="00E52B95">
        <w:rPr>
          <w:rFonts w:ascii="Times New Roman" w:eastAsia="Times New Roman" w:hAnsi="Times New Roman" w:cs="Times New Roman"/>
          <w:i/>
          <w:color w:val="000000"/>
          <w:sz w:val="24"/>
          <w:szCs w:val="24"/>
          <w:lang w:eastAsia="en-IN" w:bidi="ar-SA"/>
        </w:rPr>
        <w:t xml:space="preserve">Zingiberaceae </w:t>
      </w:r>
      <w:r w:rsidRPr="00E52B95">
        <w:rPr>
          <w:rFonts w:ascii="Times New Roman" w:eastAsia="Times New Roman" w:hAnsi="Times New Roman" w:cs="Times New Roman"/>
          <w:color w:val="000000"/>
          <w:sz w:val="24"/>
          <w:szCs w:val="24"/>
          <w:lang w:eastAsia="en-IN" w:bidi="ar-SA"/>
        </w:rPr>
        <w:t>has emerged as an important participant during COVID-19 pandemic. Compounds from these plants have demonstrated potential in preventing viral multiplication and reducing cytokine storm. The review emphasizes this family's enormous significance for future medical and economic advancement by highlighting how it acts as a vital link between conventional wisdom and contemporary scientific validation.</w:t>
      </w:r>
    </w:p>
    <w:p w:rsidR="00E52B95" w:rsidRPr="00E52B95" w:rsidRDefault="00E52B95" w:rsidP="00E52B95">
      <w:pPr>
        <w:spacing w:after="0" w:line="360" w:lineRule="auto"/>
        <w:jc w:val="both"/>
        <w:rPr>
          <w:rFonts w:ascii="Times New Roman" w:eastAsia="Times New Roman" w:hAnsi="Times New Roman" w:cs="Times New Roman"/>
          <w:color w:val="000000"/>
          <w:sz w:val="24"/>
          <w:szCs w:val="24"/>
          <w:lang w:eastAsia="en-IN" w:bidi="ar-SA"/>
        </w:rPr>
      </w:pPr>
      <w:r w:rsidRPr="00E52B95">
        <w:rPr>
          <w:rFonts w:ascii="Times New Roman" w:eastAsia="Times New Roman" w:hAnsi="Times New Roman" w:cs="Times New Roman"/>
          <w:b/>
          <w:color w:val="000000"/>
          <w:sz w:val="24"/>
          <w:szCs w:val="24"/>
          <w:lang w:eastAsia="en-IN" w:bidi="ar-SA"/>
        </w:rPr>
        <w:t>Keywords:</w:t>
      </w:r>
      <w:r w:rsidRPr="00E52B95">
        <w:rPr>
          <w:rFonts w:ascii="Times New Roman" w:eastAsia="Times New Roman" w:hAnsi="Times New Roman" w:cs="Times New Roman"/>
          <w:color w:val="000000"/>
          <w:sz w:val="24"/>
          <w:szCs w:val="24"/>
          <w:lang w:eastAsia="en-IN" w:bidi="ar-SA"/>
        </w:rPr>
        <w:t xml:space="preserve"> </w:t>
      </w:r>
      <w:r w:rsidRPr="00571D4C">
        <w:rPr>
          <w:rFonts w:ascii="Times New Roman" w:eastAsia="Times New Roman" w:hAnsi="Times New Roman" w:cs="Times New Roman"/>
          <w:i/>
          <w:color w:val="000000"/>
          <w:sz w:val="24"/>
          <w:szCs w:val="24"/>
          <w:lang w:eastAsia="en-IN" w:bidi="ar-SA"/>
        </w:rPr>
        <w:t>Zingiberaceae</w:t>
      </w:r>
      <w:r w:rsidR="00571D4C">
        <w:rPr>
          <w:rFonts w:ascii="Times New Roman" w:eastAsia="Times New Roman" w:hAnsi="Times New Roman" w:cs="Times New Roman"/>
          <w:color w:val="000000"/>
          <w:sz w:val="24"/>
          <w:szCs w:val="24"/>
          <w:lang w:eastAsia="en-IN" w:bidi="ar-SA"/>
        </w:rPr>
        <w:t>, Ethnobotany, Pharmacological, Covid, Gingerol, curcumin, Galangin</w:t>
      </w:r>
    </w:p>
    <w:p w:rsidR="00E52B95" w:rsidRPr="00E52B95" w:rsidRDefault="00E52B95" w:rsidP="00E52B95">
      <w:pPr>
        <w:spacing w:after="0" w:line="360" w:lineRule="auto"/>
        <w:jc w:val="both"/>
        <w:rPr>
          <w:rFonts w:ascii="Times New Roman" w:eastAsia="Times New Roman" w:hAnsi="Times New Roman" w:cs="Times New Roman"/>
          <w:b/>
          <w:color w:val="000000"/>
          <w:sz w:val="24"/>
          <w:szCs w:val="24"/>
          <w:lang w:eastAsia="en-IN" w:bidi="ar-SA"/>
        </w:rPr>
      </w:pPr>
      <w:r w:rsidRPr="00E52B95">
        <w:rPr>
          <w:rFonts w:ascii="Times New Roman" w:eastAsia="Times New Roman" w:hAnsi="Times New Roman" w:cs="Times New Roman"/>
          <w:b/>
          <w:color w:val="000000"/>
          <w:sz w:val="24"/>
          <w:szCs w:val="24"/>
          <w:lang w:eastAsia="en-IN" w:bidi="ar-SA"/>
        </w:rPr>
        <w:t>Highlights:</w:t>
      </w:r>
    </w:p>
    <w:p w:rsidR="00E52B95" w:rsidRPr="00E52B95" w:rsidRDefault="00E52B95" w:rsidP="00E52B95">
      <w:pPr>
        <w:numPr>
          <w:ilvl w:val="0"/>
          <w:numId w:val="3"/>
        </w:numPr>
        <w:spacing w:after="0" w:line="360" w:lineRule="auto"/>
        <w:jc w:val="both"/>
        <w:rPr>
          <w:rFonts w:ascii="Times New Roman" w:eastAsia="Times New Roman" w:hAnsi="Times New Roman" w:cs="Times New Roman"/>
          <w:color w:val="000000"/>
          <w:sz w:val="24"/>
          <w:szCs w:val="24"/>
          <w:lang w:eastAsia="en-IN" w:bidi="ar-SA"/>
        </w:rPr>
      </w:pPr>
      <w:r w:rsidRPr="00E52B95">
        <w:rPr>
          <w:rFonts w:ascii="Times New Roman" w:eastAsia="Times New Roman" w:hAnsi="Times New Roman" w:cs="Times New Roman"/>
          <w:color w:val="000000"/>
          <w:sz w:val="24"/>
          <w:szCs w:val="24"/>
          <w:lang w:eastAsia="en-IN" w:bidi="ar-SA"/>
        </w:rPr>
        <w:t>Comprehensive overview of phytochemicals across major genera of Zingiberaceae.</w:t>
      </w:r>
    </w:p>
    <w:p w:rsidR="00E52B95" w:rsidRPr="00E52B95" w:rsidRDefault="00E52B95" w:rsidP="00E52B95">
      <w:pPr>
        <w:numPr>
          <w:ilvl w:val="0"/>
          <w:numId w:val="3"/>
        </w:numPr>
        <w:spacing w:after="0" w:line="360" w:lineRule="auto"/>
        <w:jc w:val="both"/>
        <w:rPr>
          <w:rFonts w:ascii="Times New Roman" w:eastAsia="Times New Roman" w:hAnsi="Times New Roman" w:cs="Times New Roman"/>
          <w:color w:val="000000"/>
          <w:sz w:val="24"/>
          <w:szCs w:val="24"/>
          <w:lang w:eastAsia="en-IN" w:bidi="ar-SA"/>
        </w:rPr>
      </w:pPr>
      <w:r w:rsidRPr="00E52B95">
        <w:rPr>
          <w:rFonts w:ascii="Times New Roman" w:eastAsia="Times New Roman" w:hAnsi="Times New Roman" w:cs="Times New Roman"/>
          <w:color w:val="000000"/>
          <w:sz w:val="24"/>
          <w:szCs w:val="24"/>
          <w:lang w:eastAsia="en-IN" w:bidi="ar-SA"/>
        </w:rPr>
        <w:t xml:space="preserve">Summarizes the pharmacological activities: antioxidant, anti-inflammatory, anticancerous. </w:t>
      </w:r>
    </w:p>
    <w:p w:rsidR="00E52B95" w:rsidRPr="00E52B95" w:rsidRDefault="00E52B95" w:rsidP="00E52B95">
      <w:pPr>
        <w:numPr>
          <w:ilvl w:val="0"/>
          <w:numId w:val="3"/>
        </w:numPr>
        <w:spacing w:after="0" w:line="360" w:lineRule="auto"/>
        <w:jc w:val="both"/>
        <w:rPr>
          <w:rFonts w:ascii="Times New Roman" w:eastAsia="Times New Roman" w:hAnsi="Times New Roman" w:cs="Times New Roman"/>
          <w:color w:val="000000"/>
          <w:sz w:val="24"/>
          <w:szCs w:val="24"/>
          <w:lang w:eastAsia="en-IN" w:bidi="ar-SA"/>
        </w:rPr>
      </w:pPr>
      <w:r w:rsidRPr="00E52B95">
        <w:rPr>
          <w:rFonts w:ascii="Times New Roman" w:eastAsia="Times New Roman" w:hAnsi="Times New Roman" w:cs="Times New Roman"/>
          <w:color w:val="000000"/>
          <w:sz w:val="24"/>
          <w:szCs w:val="24"/>
          <w:lang w:eastAsia="en-IN" w:bidi="ar-SA"/>
        </w:rPr>
        <w:t xml:space="preserve">Discusses the ethnobotanical uses and economic relevance of </w:t>
      </w:r>
      <w:r w:rsidRPr="00E52B95">
        <w:rPr>
          <w:rFonts w:ascii="Times New Roman" w:eastAsia="Times New Roman" w:hAnsi="Times New Roman" w:cs="Times New Roman"/>
          <w:i/>
          <w:color w:val="000000"/>
          <w:sz w:val="24"/>
          <w:szCs w:val="24"/>
          <w:lang w:eastAsia="en-IN" w:bidi="ar-SA"/>
        </w:rPr>
        <w:t xml:space="preserve">Zingiberaceae </w:t>
      </w:r>
      <w:r w:rsidRPr="00E52B95">
        <w:rPr>
          <w:rFonts w:ascii="Times New Roman" w:eastAsia="Times New Roman" w:hAnsi="Times New Roman" w:cs="Times New Roman"/>
          <w:color w:val="000000"/>
          <w:sz w:val="24"/>
          <w:szCs w:val="24"/>
          <w:lang w:eastAsia="en-IN" w:bidi="ar-SA"/>
        </w:rPr>
        <w:t xml:space="preserve">species. </w:t>
      </w:r>
    </w:p>
    <w:p w:rsidR="00E52B95" w:rsidRPr="00E52B95" w:rsidRDefault="00E52B95" w:rsidP="00E52B95">
      <w:pPr>
        <w:numPr>
          <w:ilvl w:val="0"/>
          <w:numId w:val="3"/>
        </w:numPr>
        <w:spacing w:after="0" w:line="360" w:lineRule="auto"/>
        <w:jc w:val="both"/>
        <w:rPr>
          <w:rFonts w:ascii="Times New Roman" w:eastAsia="Times New Roman" w:hAnsi="Times New Roman" w:cs="Times New Roman"/>
          <w:color w:val="000000"/>
          <w:sz w:val="24"/>
          <w:szCs w:val="24"/>
          <w:lang w:eastAsia="en-IN" w:bidi="ar-SA"/>
        </w:rPr>
      </w:pPr>
      <w:r w:rsidRPr="00E52B95">
        <w:rPr>
          <w:rFonts w:ascii="Times New Roman" w:eastAsia="Times New Roman" w:hAnsi="Times New Roman" w:cs="Times New Roman"/>
          <w:color w:val="000000"/>
          <w:sz w:val="24"/>
          <w:szCs w:val="24"/>
          <w:lang w:eastAsia="en-IN" w:bidi="ar-SA"/>
        </w:rPr>
        <w:t xml:space="preserve">Reviews role of </w:t>
      </w:r>
      <w:r w:rsidRPr="00E52B95">
        <w:rPr>
          <w:rFonts w:ascii="Times New Roman" w:eastAsia="Times New Roman" w:hAnsi="Times New Roman" w:cs="Times New Roman"/>
          <w:i/>
          <w:color w:val="000000"/>
          <w:sz w:val="24"/>
          <w:szCs w:val="24"/>
          <w:lang w:eastAsia="en-IN" w:bidi="ar-SA"/>
        </w:rPr>
        <w:t xml:space="preserve">Zingiberaceae </w:t>
      </w:r>
      <w:r w:rsidRPr="00E52B95">
        <w:rPr>
          <w:rFonts w:ascii="Times New Roman" w:eastAsia="Times New Roman" w:hAnsi="Times New Roman" w:cs="Times New Roman"/>
          <w:color w:val="000000"/>
          <w:sz w:val="24"/>
          <w:szCs w:val="24"/>
          <w:lang w:eastAsia="en-IN" w:bidi="ar-SA"/>
        </w:rPr>
        <w:t>phytochemicals in the COVID -19 therapeutic context.</w:t>
      </w:r>
    </w:p>
    <w:p w:rsidR="00E52B95" w:rsidRPr="00E52B95" w:rsidRDefault="00E52B95" w:rsidP="00E52B95">
      <w:pPr>
        <w:numPr>
          <w:ilvl w:val="0"/>
          <w:numId w:val="3"/>
        </w:numPr>
        <w:spacing w:after="0" w:line="360" w:lineRule="auto"/>
        <w:jc w:val="both"/>
        <w:rPr>
          <w:rFonts w:ascii="Times New Roman" w:eastAsia="Times New Roman" w:hAnsi="Times New Roman" w:cs="Times New Roman"/>
          <w:color w:val="000000"/>
          <w:sz w:val="24"/>
          <w:szCs w:val="24"/>
          <w:lang w:eastAsia="en-IN" w:bidi="ar-SA"/>
        </w:rPr>
      </w:pPr>
      <w:r w:rsidRPr="00E52B95">
        <w:rPr>
          <w:rFonts w:ascii="Times New Roman" w:eastAsia="Times New Roman" w:hAnsi="Times New Roman" w:cs="Times New Roman"/>
          <w:color w:val="000000"/>
          <w:sz w:val="24"/>
          <w:szCs w:val="24"/>
          <w:lang w:eastAsia="en-IN" w:bidi="ar-SA"/>
        </w:rPr>
        <w:t xml:space="preserve">Elucidates molecular mechanisms of gingerol, curcumin and galangin activity. </w:t>
      </w:r>
    </w:p>
    <w:p w:rsidR="00E52B95" w:rsidRPr="00E52B95" w:rsidRDefault="00E52B95" w:rsidP="00E52B95">
      <w:pPr>
        <w:spacing w:after="0" w:line="360" w:lineRule="auto"/>
        <w:ind w:left="720"/>
        <w:jc w:val="both"/>
        <w:rPr>
          <w:rFonts w:ascii="Times New Roman" w:eastAsia="Times New Roman" w:hAnsi="Times New Roman" w:cs="Times New Roman"/>
          <w:color w:val="000000"/>
          <w:sz w:val="24"/>
          <w:szCs w:val="24"/>
          <w:lang w:eastAsia="en-IN" w:bidi="ar-SA"/>
        </w:rPr>
      </w:pPr>
    </w:p>
    <w:p w:rsidR="00E52B95" w:rsidRPr="00E52B95" w:rsidRDefault="00E52B95" w:rsidP="00E52B95">
      <w:pPr>
        <w:spacing w:after="0" w:line="360" w:lineRule="auto"/>
        <w:jc w:val="both"/>
        <w:rPr>
          <w:rFonts w:ascii="Times New Roman" w:eastAsia="Times New Roman" w:hAnsi="Times New Roman" w:cs="Times New Roman"/>
          <w:color w:val="000000"/>
          <w:sz w:val="24"/>
          <w:szCs w:val="24"/>
          <w:lang w:eastAsia="en-IN" w:bidi="ar-SA"/>
        </w:rPr>
      </w:pPr>
    </w:p>
    <w:p w:rsidR="00E52B95" w:rsidRPr="00E52B95" w:rsidRDefault="00E52B95" w:rsidP="00E52B95">
      <w:pPr>
        <w:spacing w:line="360" w:lineRule="auto"/>
        <w:jc w:val="both"/>
        <w:rPr>
          <w:rFonts w:ascii="Times New Roman" w:eastAsia="Times New Roman" w:hAnsi="Times New Roman" w:cs="Times New Roman"/>
          <w:b/>
          <w:color w:val="000000"/>
          <w:sz w:val="24"/>
          <w:szCs w:val="24"/>
          <w:lang w:eastAsia="en-IN"/>
        </w:rPr>
      </w:pPr>
      <w:r w:rsidRPr="00E52B95">
        <w:rPr>
          <w:rFonts w:ascii="Times New Roman" w:eastAsia="Times New Roman" w:hAnsi="Times New Roman" w:cs="Times New Roman"/>
          <w:b/>
          <w:color w:val="000000"/>
          <w:sz w:val="24"/>
          <w:szCs w:val="24"/>
          <w:lang w:eastAsia="en-IN"/>
        </w:rPr>
        <w:t>1. Introduction:</w:t>
      </w:r>
    </w:p>
    <w:p w:rsidR="00E52B95" w:rsidRPr="00E52B95" w:rsidRDefault="00E52B95" w:rsidP="00E52B95">
      <w:pPr>
        <w:spacing w:after="0" w:line="360" w:lineRule="auto"/>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lang w:val="en-US"/>
        </w:rPr>
        <w:t>Plants have historically played a vital role in advancement of medicines, largely to their capacity to produce secondary metabolites with notable biological activity. In traditional health care system, they have been utilized in diverse form to manage and treat a wide range of medical conditions (Rolnik &amp; Olas., 2021)</w:t>
      </w:r>
      <w:r w:rsidRPr="00E52B95">
        <w:rPr>
          <w:rFonts w:ascii="Times New Roman" w:hAnsi="Times New Roman" w:cs="Times New Roman"/>
          <w:color w:val="000000"/>
          <w:sz w:val="24"/>
          <w:szCs w:val="24"/>
          <w:shd w:val="clear" w:color="auto" w:fill="FFFFFF"/>
        </w:rPr>
        <w:t>.</w:t>
      </w:r>
      <w:r w:rsidRPr="00E52B95">
        <w:rPr>
          <w:rFonts w:ascii="Times New Roman" w:eastAsia="Times New Roman" w:hAnsi="Times New Roman" w:cs="Times New Roman"/>
          <w:color w:val="000000"/>
          <w:sz w:val="24"/>
          <w:szCs w:val="24"/>
          <w:lang w:eastAsia="en-IN"/>
        </w:rPr>
        <w:t xml:space="preserve"> More than 2.14 million secondary metabolites have been identified or are being studied, including about 29,00</w:t>
      </w:r>
      <w:r w:rsidR="00524E5A">
        <w:rPr>
          <w:rFonts w:ascii="Times New Roman" w:eastAsia="Times New Roman" w:hAnsi="Times New Roman" w:cs="Times New Roman"/>
          <w:color w:val="000000"/>
          <w:sz w:val="24"/>
          <w:szCs w:val="24"/>
          <w:lang w:eastAsia="en-IN"/>
        </w:rPr>
        <w:t xml:space="preserve">0 terpenoids, 12,000 alkaloids </w:t>
      </w:r>
      <w:r w:rsidRPr="00E52B95">
        <w:rPr>
          <w:rFonts w:ascii="Times New Roman" w:eastAsia="Times New Roman" w:hAnsi="Times New Roman" w:cs="Times New Roman"/>
          <w:color w:val="000000"/>
          <w:sz w:val="24"/>
          <w:szCs w:val="24"/>
          <w:lang w:eastAsia="en-IN"/>
        </w:rPr>
        <w:t xml:space="preserve">and 8,000 phenolics. </w:t>
      </w:r>
      <w:r w:rsidRPr="00E52B95">
        <w:rPr>
          <w:rFonts w:ascii="Times New Roman" w:hAnsi="Times New Roman" w:cs="Times New Roman"/>
          <w:color w:val="000000"/>
          <w:sz w:val="24"/>
          <w:szCs w:val="24"/>
        </w:rPr>
        <w:t>Secondary metabolites, such as terpenoids, phenols</w:t>
      </w:r>
      <w:r w:rsidR="00524E5A">
        <w:rPr>
          <w:rFonts w:ascii="Times New Roman" w:hAnsi="Times New Roman" w:cs="Times New Roman"/>
          <w:color w:val="000000"/>
          <w:sz w:val="24"/>
          <w:szCs w:val="24"/>
        </w:rPr>
        <w:t>, steroids, flavonoids, tannins</w:t>
      </w:r>
      <w:r w:rsidRPr="00E52B95">
        <w:rPr>
          <w:rFonts w:ascii="Times New Roman" w:hAnsi="Times New Roman" w:cs="Times New Roman"/>
          <w:color w:val="000000"/>
          <w:sz w:val="24"/>
          <w:szCs w:val="24"/>
        </w:rPr>
        <w:t xml:space="preserve"> and aromatic chemicals, are plentiful in medicinal plants and are crucial for plant defense and environmental adaptability but not for plant development</w:t>
      </w:r>
      <w:r w:rsidRPr="00E52B95">
        <w:rPr>
          <w:rFonts w:ascii="Times New Roman" w:hAnsi="Times New Roman" w:cs="Times New Roman"/>
          <w:color w:val="000000"/>
          <w:sz w:val="24"/>
          <w:szCs w:val="24"/>
          <w:shd w:val="clear" w:color="auto" w:fill="FFFFFF"/>
        </w:rPr>
        <w:t xml:space="preserve"> (Pant et.al., 2021).</w:t>
      </w:r>
      <w:r w:rsidRPr="00E52B95">
        <w:rPr>
          <w:rFonts w:ascii="Times New Roman" w:eastAsia="Times New Roman" w:hAnsi="Times New Roman" w:cs="Times New Roman"/>
          <w:color w:val="000000"/>
          <w:sz w:val="24"/>
          <w:szCs w:val="24"/>
          <w:lang w:eastAsia="en-IN"/>
        </w:rPr>
        <w:t xml:space="preserve"> According to WHO, Traditional medicine is the fusion of information and procedures that can be formally explained or applied in the prevention and eradication of physical, mental, or social imbalances and that solely depends upon observation and real-world experience that has been </w:t>
      </w:r>
      <w:r w:rsidRPr="00E52B95">
        <w:rPr>
          <w:rFonts w:ascii="Times New Roman" w:eastAsia="Times New Roman" w:hAnsi="Times New Roman" w:cs="Times New Roman"/>
          <w:color w:val="000000"/>
          <w:sz w:val="24"/>
          <w:szCs w:val="24"/>
          <w:lang w:eastAsia="en-IN"/>
        </w:rPr>
        <w:lastRenderedPageBreak/>
        <w:t>passed down orally or in writing from generation to generation (</w:t>
      </w:r>
      <w:r w:rsidRPr="00E52B95">
        <w:rPr>
          <w:rFonts w:ascii="Times New Roman" w:hAnsi="Times New Roman" w:cs="Times New Roman"/>
          <w:color w:val="000000"/>
          <w:sz w:val="24"/>
          <w:szCs w:val="24"/>
          <w:shd w:val="clear" w:color="auto" w:fill="FFFFFF"/>
        </w:rPr>
        <w:t>Agidew., 2022).</w:t>
      </w:r>
      <w:r w:rsidRPr="00E52B95">
        <w:rPr>
          <w:rFonts w:ascii="Times New Roman" w:eastAsia="Times New Roman" w:hAnsi="Times New Roman" w:cs="Times New Roman"/>
          <w:color w:val="000000"/>
          <w:sz w:val="24"/>
          <w:szCs w:val="24"/>
          <w:lang w:eastAsia="en-IN"/>
        </w:rPr>
        <w:t xml:space="preserve">The ginger family, </w:t>
      </w:r>
      <w:r w:rsidRPr="00E52B95">
        <w:rPr>
          <w:rFonts w:ascii="Times New Roman" w:eastAsia="Times New Roman" w:hAnsi="Times New Roman" w:cs="Times New Roman"/>
          <w:i/>
          <w:iCs/>
          <w:color w:val="000000"/>
          <w:sz w:val="24"/>
          <w:szCs w:val="24"/>
          <w:lang w:eastAsia="en-IN"/>
        </w:rPr>
        <w:t>Zingiberaceae</w:t>
      </w:r>
      <w:r w:rsidRPr="00E52B95">
        <w:rPr>
          <w:rFonts w:ascii="Times New Roman" w:eastAsia="Times New Roman" w:hAnsi="Times New Roman" w:cs="Times New Roman"/>
          <w:color w:val="000000"/>
          <w:sz w:val="24"/>
          <w:szCs w:val="24"/>
          <w:lang w:eastAsia="en-IN"/>
        </w:rPr>
        <w:t>, belongs to the Zingiberales order and is a monocotyledonous flowering plant family. It has over 1600 species of aromatic perennial herbaceous plants with creeping horizontal or tuberous rhizome</w:t>
      </w:r>
      <w:r w:rsidR="00524E5A">
        <w:rPr>
          <w:rFonts w:ascii="Times New Roman" w:eastAsia="Times New Roman" w:hAnsi="Times New Roman" w:cs="Times New Roman"/>
          <w:color w:val="000000"/>
          <w:sz w:val="24"/>
          <w:szCs w:val="24"/>
          <w:lang w:eastAsia="en-IN"/>
        </w:rPr>
        <w:t>s. Across tropical Africa, Asia</w:t>
      </w:r>
      <w:r w:rsidRPr="00E52B95">
        <w:rPr>
          <w:rFonts w:ascii="Times New Roman" w:eastAsia="Times New Roman" w:hAnsi="Times New Roman" w:cs="Times New Roman"/>
          <w:color w:val="000000"/>
          <w:sz w:val="24"/>
          <w:szCs w:val="24"/>
          <w:lang w:eastAsia="en-IN"/>
        </w:rPr>
        <w:t xml:space="preserve"> and the Americas, its members are dispersed across roughly 50 genera. Numerous species in this family are significant medicinal, ornamental, or spice plants. Plants are aromatic, h</w:t>
      </w:r>
      <w:r w:rsidR="00524E5A">
        <w:rPr>
          <w:rFonts w:ascii="Times New Roman" w:eastAsia="Times New Roman" w:hAnsi="Times New Roman" w:cs="Times New Roman"/>
          <w:color w:val="000000"/>
          <w:sz w:val="24"/>
          <w:szCs w:val="24"/>
          <w:lang w:eastAsia="en-IN"/>
        </w:rPr>
        <w:t>erbaceous, perennial</w:t>
      </w:r>
      <w:r w:rsidRPr="00E52B95">
        <w:rPr>
          <w:rFonts w:ascii="Times New Roman" w:eastAsia="Times New Roman" w:hAnsi="Times New Roman" w:cs="Times New Roman"/>
          <w:color w:val="000000"/>
          <w:sz w:val="24"/>
          <w:szCs w:val="24"/>
          <w:lang w:eastAsia="en-IN"/>
        </w:rPr>
        <w:t xml:space="preserve"> and have rhizomes. They are pseudo stems that look like real stems but are actually made from the bases of leaves. Distichous and simple, basal leaves typically have ligules and are reduced to sheaths. A terminal thyrse, spike, or raceme is the arrangement of the zygomorphic, several-to-many-flowered flowers, which are supported by bracts. It is a tubular calyx. Corollas have three lobes. Two-whorled stamens, also known as staminodes, are six in number. Two nectaries sit atop the inferior ovary. Each locule has several ovules. Stigmas are funnel-shaped. Fruit is either dehiscent or indehiscent capsules. The seeds have arillate shapes</w:t>
      </w:r>
      <w:r w:rsidRPr="00E52B95">
        <w:rPr>
          <w:rFonts w:ascii="Times New Roman" w:hAnsi="Times New Roman" w:cs="Times New Roman"/>
          <w:color w:val="000000"/>
          <w:sz w:val="24"/>
          <w:szCs w:val="24"/>
          <w:shd w:val="clear" w:color="auto" w:fill="FFFFFF"/>
        </w:rPr>
        <w:t xml:space="preserve"> (Xu </w:t>
      </w:r>
      <w:r w:rsidRPr="00E52B95">
        <w:rPr>
          <w:rFonts w:ascii="Times New Roman" w:hAnsi="Times New Roman" w:cs="Times New Roman"/>
          <w:i/>
          <w:color w:val="000000"/>
          <w:sz w:val="24"/>
          <w:szCs w:val="24"/>
          <w:shd w:val="clear" w:color="auto" w:fill="FFFFFF"/>
        </w:rPr>
        <w:t>et.al.,</w:t>
      </w:r>
      <w:r w:rsidRPr="00E52B95">
        <w:rPr>
          <w:rFonts w:ascii="Times New Roman" w:hAnsi="Times New Roman" w:cs="Times New Roman"/>
          <w:color w:val="000000"/>
          <w:sz w:val="24"/>
          <w:szCs w:val="24"/>
          <w:shd w:val="clear" w:color="auto" w:fill="FFFFFF"/>
        </w:rPr>
        <w:t xml:space="preserve"> 2017). </w:t>
      </w:r>
      <w:r w:rsidRPr="00E52B95">
        <w:rPr>
          <w:rFonts w:ascii="Times New Roman" w:eastAsia="Times New Roman" w:hAnsi="Times New Roman" w:cs="Times New Roman"/>
          <w:color w:val="000000"/>
          <w:sz w:val="24"/>
          <w:szCs w:val="24"/>
          <w:lang w:eastAsia="en-IN"/>
        </w:rPr>
        <w:t xml:space="preserve">They thrive mostly in shaded, humid environments. In secondary forests, they are also sporadically encountered. Certain plants can grow at high elevations and receive full sun exposure. The majority of </w:t>
      </w:r>
      <w:r w:rsidRPr="00E52B95">
        <w:rPr>
          <w:rFonts w:ascii="Times New Roman" w:eastAsia="Times New Roman" w:hAnsi="Times New Roman" w:cs="Times New Roman"/>
          <w:i/>
          <w:iCs/>
          <w:color w:val="000000"/>
          <w:sz w:val="24"/>
          <w:szCs w:val="24"/>
          <w:lang w:eastAsia="en-IN"/>
        </w:rPr>
        <w:t>Zingiberaceae's</w:t>
      </w:r>
      <w:r w:rsidRPr="00E52B95">
        <w:rPr>
          <w:rFonts w:ascii="Times New Roman" w:eastAsia="Times New Roman" w:hAnsi="Times New Roman" w:cs="Times New Roman"/>
          <w:color w:val="000000"/>
          <w:sz w:val="24"/>
          <w:szCs w:val="24"/>
          <w:lang w:eastAsia="en-IN"/>
        </w:rPr>
        <w:t xml:space="preserve"> distribution occurs in tropical and subtropical regions. Southeast Asia is the distribution center. The rhizome of the </w:t>
      </w:r>
      <w:r w:rsidRPr="00E52B95">
        <w:rPr>
          <w:rFonts w:ascii="Times New Roman" w:eastAsia="Times New Roman" w:hAnsi="Times New Roman" w:cs="Times New Roman"/>
          <w:i/>
          <w:color w:val="000000"/>
          <w:sz w:val="24"/>
          <w:szCs w:val="24"/>
          <w:lang w:eastAsia="en-IN"/>
        </w:rPr>
        <w:t xml:space="preserve">Zingiberaceae </w:t>
      </w:r>
      <w:r w:rsidRPr="00E52B95">
        <w:rPr>
          <w:rFonts w:ascii="Times New Roman" w:eastAsia="Times New Roman" w:hAnsi="Times New Roman" w:cs="Times New Roman"/>
          <w:color w:val="000000"/>
          <w:sz w:val="24"/>
          <w:szCs w:val="24"/>
          <w:lang w:eastAsia="en-IN"/>
        </w:rPr>
        <w:t>family is particularly useful for making spices, traditional medicines, cosmetics</w:t>
      </w:r>
      <w:r w:rsidR="00524E5A">
        <w:rPr>
          <w:rFonts w:ascii="Times New Roman" w:eastAsia="Times New Roman" w:hAnsi="Times New Roman" w:cs="Times New Roman"/>
          <w:color w:val="000000"/>
          <w:sz w:val="24"/>
          <w:szCs w:val="24"/>
          <w:lang w:eastAsia="en-IN"/>
        </w:rPr>
        <w:t>, food, decorative plants, dyes</w:t>
      </w:r>
      <w:r w:rsidRPr="00E52B95">
        <w:rPr>
          <w:rFonts w:ascii="Times New Roman" w:eastAsia="Times New Roman" w:hAnsi="Times New Roman" w:cs="Times New Roman"/>
          <w:color w:val="000000"/>
          <w:sz w:val="24"/>
          <w:szCs w:val="24"/>
          <w:lang w:eastAsia="en-IN"/>
        </w:rPr>
        <w:t xml:space="preserve"> and perfumes. Several bioactive compounds with pharmacological activities, including antiviral, antibacterial, anti-hepatotoxic, anti-cancer, anti-inflammatory, antidiabetic, hypocholestraemic, antioxidant anti-rheumatic, anti-fibrotic, gastro protective, anti-arthritic, anti-car</w:t>
      </w:r>
      <w:r w:rsidR="00524E5A">
        <w:rPr>
          <w:rFonts w:ascii="Times New Roman" w:eastAsia="Times New Roman" w:hAnsi="Times New Roman" w:cs="Times New Roman"/>
          <w:color w:val="000000"/>
          <w:sz w:val="24"/>
          <w:szCs w:val="24"/>
          <w:lang w:eastAsia="en-IN"/>
        </w:rPr>
        <w:t>dio protective, anti-arrhythmic</w:t>
      </w:r>
      <w:r w:rsidRPr="00E52B95">
        <w:rPr>
          <w:rFonts w:ascii="Times New Roman" w:eastAsia="Times New Roman" w:hAnsi="Times New Roman" w:cs="Times New Roman"/>
          <w:color w:val="000000"/>
          <w:sz w:val="24"/>
          <w:szCs w:val="24"/>
          <w:lang w:eastAsia="en-IN"/>
        </w:rPr>
        <w:t xml:space="preserve"> and neuroprotective properties, make </w:t>
      </w:r>
      <w:r w:rsidRPr="00E52B95">
        <w:rPr>
          <w:rFonts w:ascii="Times New Roman" w:eastAsia="Times New Roman" w:hAnsi="Times New Roman" w:cs="Times New Roman"/>
          <w:i/>
          <w:color w:val="000000"/>
          <w:sz w:val="24"/>
          <w:szCs w:val="24"/>
          <w:lang w:eastAsia="en-IN"/>
        </w:rPr>
        <w:t xml:space="preserve">Zingiberaceae </w:t>
      </w:r>
      <w:r w:rsidRPr="00E52B95">
        <w:rPr>
          <w:rFonts w:ascii="Times New Roman" w:eastAsia="Times New Roman" w:hAnsi="Times New Roman" w:cs="Times New Roman"/>
          <w:color w:val="000000"/>
          <w:sz w:val="24"/>
          <w:szCs w:val="24"/>
          <w:lang w:eastAsia="en-IN"/>
        </w:rPr>
        <w:t>a useful family having medicinal properties (</w:t>
      </w:r>
      <w:r w:rsidRPr="00E52B95">
        <w:rPr>
          <w:rFonts w:ascii="Times New Roman" w:hAnsi="Times New Roman" w:cs="Times New Roman"/>
          <w:color w:val="000000"/>
          <w:sz w:val="24"/>
          <w:szCs w:val="24"/>
          <w:shd w:val="clear" w:color="auto" w:fill="FFFFFF"/>
        </w:rPr>
        <w:t xml:space="preserve">Windarsih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2021).</w:t>
      </w:r>
    </w:p>
    <w:p w:rsidR="00E52B95" w:rsidRPr="00E52B95" w:rsidRDefault="00E52B95" w:rsidP="00E52B95">
      <w:pPr>
        <w:spacing w:after="0" w:line="360" w:lineRule="auto"/>
        <w:jc w:val="both"/>
        <w:rPr>
          <w:rFonts w:ascii="Times New Roman" w:hAnsi="Times New Roman" w:cs="Times New Roman"/>
          <w:color w:val="000000"/>
          <w:sz w:val="24"/>
          <w:szCs w:val="24"/>
          <w:lang w:eastAsia="en-IN" w:bidi="ar-SA"/>
        </w:rPr>
      </w:pPr>
    </w:p>
    <w:p w:rsidR="00E52B95" w:rsidRPr="00E52B95" w:rsidRDefault="00E52B95" w:rsidP="00E52B95">
      <w:pPr>
        <w:spacing w:line="360" w:lineRule="auto"/>
        <w:jc w:val="both"/>
        <w:rPr>
          <w:rFonts w:ascii="Times New Roman" w:eastAsia="Times New Roman" w:hAnsi="Times New Roman" w:cs="Times New Roman"/>
          <w:b/>
          <w:color w:val="000000"/>
          <w:sz w:val="24"/>
          <w:szCs w:val="24"/>
          <w:lang w:eastAsia="en-IN"/>
        </w:rPr>
      </w:pPr>
      <w:r w:rsidRPr="00E52B95">
        <w:rPr>
          <w:rFonts w:ascii="Times New Roman" w:eastAsia="Times New Roman" w:hAnsi="Times New Roman" w:cs="Times New Roman"/>
          <w:b/>
          <w:color w:val="000000"/>
          <w:sz w:val="24"/>
          <w:szCs w:val="24"/>
          <w:lang w:eastAsia="en-IN"/>
        </w:rPr>
        <w:t>2. Distribution</w:t>
      </w:r>
    </w:p>
    <w:p w:rsidR="00E52B95" w:rsidRPr="00E52B95" w:rsidRDefault="00E52B95" w:rsidP="00E52B95">
      <w:pPr>
        <w:spacing w:line="360" w:lineRule="auto"/>
        <w:jc w:val="both"/>
        <w:rPr>
          <w:rFonts w:ascii="Times New Roman" w:hAnsi="Times New Roman" w:cs="Times New Roman"/>
          <w:color w:val="000000"/>
          <w:sz w:val="24"/>
          <w:szCs w:val="24"/>
          <w:shd w:val="clear" w:color="auto" w:fill="FFFFFF"/>
        </w:rPr>
      </w:pPr>
      <w:r w:rsidRPr="00E52B95">
        <w:rPr>
          <w:rFonts w:ascii="Times New Roman" w:eastAsia="Times New Roman" w:hAnsi="Times New Roman" w:cs="Times New Roman"/>
          <w:i/>
          <w:color w:val="000000"/>
          <w:sz w:val="24"/>
          <w:szCs w:val="24"/>
          <w:lang w:eastAsia="en-IN"/>
        </w:rPr>
        <w:t xml:space="preserve">Zingiberaceae </w:t>
      </w:r>
      <w:r w:rsidRPr="00E52B95">
        <w:rPr>
          <w:rFonts w:ascii="Times New Roman" w:eastAsia="Times New Roman" w:hAnsi="Times New Roman" w:cs="Times New Roman"/>
          <w:color w:val="000000"/>
          <w:sz w:val="24"/>
          <w:szCs w:val="24"/>
          <w:lang w:eastAsia="en-IN"/>
        </w:rPr>
        <w:t>members are widely distributed throughout tropical and subtropical pa</w:t>
      </w:r>
      <w:r w:rsidR="00524E5A">
        <w:rPr>
          <w:rFonts w:ascii="Times New Roman" w:eastAsia="Times New Roman" w:hAnsi="Times New Roman" w:cs="Times New Roman"/>
          <w:color w:val="000000"/>
          <w:sz w:val="24"/>
          <w:szCs w:val="24"/>
          <w:lang w:eastAsia="en-IN"/>
        </w:rPr>
        <w:t xml:space="preserve">rts of Asia, Australia, Africa </w:t>
      </w:r>
      <w:r w:rsidRPr="00E52B95">
        <w:rPr>
          <w:rFonts w:ascii="Times New Roman" w:eastAsia="Times New Roman" w:hAnsi="Times New Roman" w:cs="Times New Roman"/>
          <w:color w:val="000000"/>
          <w:sz w:val="24"/>
          <w:szCs w:val="24"/>
          <w:lang w:eastAsia="en-IN"/>
        </w:rPr>
        <w:t>and America, with the Indo-Malayan region serving as their geographic distribution center (Saha</w:t>
      </w:r>
      <w:r w:rsidRPr="00E52B95">
        <w:rPr>
          <w:rFonts w:ascii="Times New Roman" w:hAnsi="Times New Roman" w:cs="Times New Roman"/>
          <w:color w:val="000000"/>
          <w:sz w:val="24"/>
          <w:szCs w:val="24"/>
          <w:shd w:val="clear" w:color="auto" w:fill="FFFFFF"/>
        </w:rPr>
        <w:t xml:space="preserve">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xml:space="preserve">., 2020). </w:t>
      </w:r>
      <w:r w:rsidRPr="00E52B95">
        <w:rPr>
          <w:rFonts w:ascii="Times New Roman" w:eastAsia="Times New Roman" w:hAnsi="Times New Roman" w:cs="Times New Roman"/>
          <w:color w:val="000000"/>
          <w:sz w:val="24"/>
          <w:szCs w:val="24"/>
          <w:lang w:eastAsia="en-IN"/>
        </w:rPr>
        <w:t xml:space="preserve">The </w:t>
      </w:r>
      <w:r w:rsidRPr="00E52B95">
        <w:rPr>
          <w:rFonts w:ascii="Times New Roman" w:eastAsia="Times New Roman" w:hAnsi="Times New Roman" w:cs="Times New Roman"/>
          <w:i/>
          <w:color w:val="000000"/>
          <w:sz w:val="24"/>
          <w:szCs w:val="24"/>
          <w:lang w:eastAsia="en-IN"/>
        </w:rPr>
        <w:t xml:space="preserve">Zingiberaceae </w:t>
      </w:r>
      <w:r w:rsidRPr="00E52B95">
        <w:rPr>
          <w:rFonts w:ascii="Times New Roman" w:eastAsia="Times New Roman" w:hAnsi="Times New Roman" w:cs="Times New Roman"/>
          <w:color w:val="000000"/>
          <w:sz w:val="24"/>
          <w:szCs w:val="24"/>
          <w:lang w:eastAsia="en-IN"/>
        </w:rPr>
        <w:t xml:space="preserve">family includes the huge genus </w:t>
      </w:r>
      <w:r w:rsidRPr="00E52B95">
        <w:rPr>
          <w:rFonts w:ascii="Times New Roman" w:eastAsia="Times New Roman" w:hAnsi="Times New Roman" w:cs="Times New Roman"/>
          <w:i/>
          <w:iCs/>
          <w:color w:val="000000"/>
          <w:sz w:val="24"/>
          <w:szCs w:val="24"/>
          <w:lang w:eastAsia="en-IN"/>
        </w:rPr>
        <w:t>Alpinia</w:t>
      </w:r>
      <w:r w:rsidR="00524E5A">
        <w:rPr>
          <w:rFonts w:ascii="Times New Roman" w:eastAsia="Times New Roman" w:hAnsi="Times New Roman" w:cs="Times New Roman"/>
          <w:i/>
          <w:iCs/>
          <w:color w:val="000000"/>
          <w:sz w:val="24"/>
          <w:szCs w:val="24"/>
          <w:lang w:eastAsia="en-IN"/>
        </w:rPr>
        <w:t xml:space="preserve"> </w:t>
      </w:r>
      <w:r w:rsidRPr="00E52B95">
        <w:rPr>
          <w:rFonts w:ascii="Times New Roman" w:eastAsia="Times New Roman" w:hAnsi="Times New Roman" w:cs="Times New Roman"/>
          <w:i/>
          <w:iCs/>
          <w:color w:val="000000"/>
          <w:sz w:val="24"/>
          <w:szCs w:val="24"/>
          <w:lang w:eastAsia="en-IN"/>
        </w:rPr>
        <w:t>Roxb</w:t>
      </w:r>
      <w:r w:rsidRPr="00E52B95">
        <w:rPr>
          <w:rFonts w:ascii="Times New Roman" w:eastAsia="Times New Roman" w:hAnsi="Times New Roman" w:cs="Times New Roman"/>
          <w:color w:val="000000"/>
          <w:sz w:val="24"/>
          <w:szCs w:val="24"/>
          <w:lang w:eastAsia="en-IN"/>
        </w:rPr>
        <w:t xml:space="preserve">., which has about 230 species. In tropical and subtropical areas, such as the Andamans, Japan, Australia, New Guinea, Burma, the Carolines, China, Fiji, India, Indochina, Sri Lanka, Indonesia, New Hebrides, New Caledonia, Malaysia, Thailand, Philippines, Solomons and Samoa, this genus is extensively spread. Herbal plants, the </w:t>
      </w:r>
      <w:r w:rsidRPr="00E52B95">
        <w:rPr>
          <w:rFonts w:ascii="Times New Roman" w:eastAsia="Times New Roman" w:hAnsi="Times New Roman" w:cs="Times New Roman"/>
          <w:i/>
          <w:color w:val="000000"/>
          <w:sz w:val="24"/>
          <w:szCs w:val="24"/>
          <w:lang w:eastAsia="en-IN"/>
        </w:rPr>
        <w:t>Alpinia</w:t>
      </w:r>
      <w:r w:rsidR="00524E5A">
        <w:rPr>
          <w:rFonts w:ascii="Times New Roman" w:eastAsia="Times New Roman" w:hAnsi="Times New Roman" w:cs="Times New Roman"/>
          <w:i/>
          <w:color w:val="000000"/>
          <w:sz w:val="24"/>
          <w:szCs w:val="24"/>
          <w:lang w:eastAsia="en-IN"/>
        </w:rPr>
        <w:t xml:space="preserve"> </w:t>
      </w:r>
      <w:r w:rsidRPr="00E52B95">
        <w:rPr>
          <w:rFonts w:ascii="Times New Roman" w:eastAsia="Times New Roman" w:hAnsi="Times New Roman" w:cs="Times New Roman"/>
          <w:color w:val="000000"/>
          <w:sz w:val="24"/>
          <w:szCs w:val="24"/>
          <w:lang w:eastAsia="en-IN"/>
        </w:rPr>
        <w:t xml:space="preserve">species can grow up to 12 meters in height, but they typically reach 2 to 4 meters. Numerous </w:t>
      </w:r>
      <w:r w:rsidRPr="00E52B95">
        <w:rPr>
          <w:rFonts w:ascii="Times New Roman" w:eastAsia="Times New Roman" w:hAnsi="Times New Roman" w:cs="Times New Roman"/>
          <w:i/>
          <w:color w:val="000000"/>
          <w:sz w:val="24"/>
          <w:szCs w:val="24"/>
          <w:lang w:eastAsia="en-IN"/>
        </w:rPr>
        <w:t>Alpinia</w:t>
      </w:r>
      <w:r w:rsidR="00524E5A">
        <w:rPr>
          <w:rFonts w:ascii="Times New Roman" w:eastAsia="Times New Roman" w:hAnsi="Times New Roman" w:cs="Times New Roman"/>
          <w:i/>
          <w:color w:val="000000"/>
          <w:sz w:val="24"/>
          <w:szCs w:val="24"/>
          <w:lang w:eastAsia="en-IN"/>
        </w:rPr>
        <w:t xml:space="preserve"> </w:t>
      </w:r>
      <w:r w:rsidRPr="00E52B95">
        <w:rPr>
          <w:rFonts w:ascii="Times New Roman" w:eastAsia="Times New Roman" w:hAnsi="Times New Roman" w:cs="Times New Roman"/>
          <w:color w:val="000000"/>
          <w:sz w:val="24"/>
          <w:szCs w:val="24"/>
          <w:lang w:eastAsia="en-IN"/>
        </w:rPr>
        <w:t xml:space="preserve">species </w:t>
      </w:r>
      <w:r w:rsidRPr="00E52B95">
        <w:rPr>
          <w:rFonts w:ascii="Times New Roman" w:eastAsia="Times New Roman" w:hAnsi="Times New Roman" w:cs="Times New Roman"/>
          <w:color w:val="000000"/>
          <w:sz w:val="24"/>
          <w:szCs w:val="24"/>
          <w:lang w:eastAsia="en-IN"/>
        </w:rPr>
        <w:lastRenderedPageBreak/>
        <w:t xml:space="preserve">are used as spices and ethnomedicine in a number of nations, including China, India, Japan, and Vietnam. </w:t>
      </w:r>
      <w:r w:rsidRPr="00E52B95">
        <w:rPr>
          <w:rFonts w:ascii="Times New Roman" w:hAnsi="Times New Roman" w:cs="Times New Roman"/>
          <w:color w:val="000000"/>
          <w:sz w:val="24"/>
          <w:szCs w:val="24"/>
          <w:shd w:val="clear" w:color="auto" w:fill="FFFFFF"/>
        </w:rPr>
        <w:t xml:space="preserve">(Van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xml:space="preserve">., 2021). </w:t>
      </w:r>
      <w:r w:rsidR="00524E5A">
        <w:rPr>
          <w:rFonts w:ascii="Times New Roman" w:hAnsi="Times New Roman" w:cs="Times New Roman"/>
          <w:i/>
          <w:color w:val="000000"/>
          <w:sz w:val="24"/>
          <w:szCs w:val="24"/>
        </w:rPr>
        <w:t xml:space="preserve">Zingiber </w:t>
      </w:r>
      <w:r w:rsidRPr="00E52B95">
        <w:rPr>
          <w:rFonts w:ascii="Times New Roman" w:hAnsi="Times New Roman" w:cs="Times New Roman"/>
          <w:i/>
          <w:color w:val="000000"/>
          <w:sz w:val="24"/>
          <w:szCs w:val="24"/>
        </w:rPr>
        <w:t>Mill</w:t>
      </w:r>
      <w:r w:rsidR="00524E5A" w:rsidRPr="00524E5A">
        <w:rPr>
          <w:rFonts w:ascii="Times New Roman" w:hAnsi="Times New Roman" w:cs="Times New Roman"/>
          <w:color w:val="000000"/>
          <w:sz w:val="24"/>
          <w:szCs w:val="24"/>
        </w:rPr>
        <w:t>. i</w:t>
      </w:r>
      <w:r w:rsidRPr="00524E5A">
        <w:rPr>
          <w:rFonts w:ascii="Times New Roman" w:hAnsi="Times New Roman" w:cs="Times New Roman"/>
          <w:color w:val="000000"/>
          <w:sz w:val="24"/>
          <w:szCs w:val="24"/>
        </w:rPr>
        <w:t>s</w:t>
      </w:r>
      <w:r w:rsidRPr="00E52B95">
        <w:rPr>
          <w:rFonts w:ascii="Times New Roman" w:hAnsi="Times New Roman" w:cs="Times New Roman"/>
          <w:color w:val="000000"/>
          <w:sz w:val="24"/>
          <w:szCs w:val="24"/>
        </w:rPr>
        <w:t xml:space="preserve"> the second-largest genus in the </w:t>
      </w:r>
      <w:r w:rsidRPr="00E52B95">
        <w:rPr>
          <w:rFonts w:ascii="Times New Roman" w:hAnsi="Times New Roman" w:cs="Times New Roman"/>
          <w:i/>
          <w:color w:val="000000"/>
          <w:sz w:val="24"/>
          <w:szCs w:val="24"/>
        </w:rPr>
        <w:t xml:space="preserve">Zingiberaceae </w:t>
      </w:r>
      <w:r w:rsidRPr="00E52B95">
        <w:rPr>
          <w:rFonts w:ascii="Times New Roman" w:hAnsi="Times New Roman" w:cs="Times New Roman"/>
          <w:color w:val="000000"/>
          <w:sz w:val="24"/>
          <w:szCs w:val="24"/>
        </w:rPr>
        <w:t>family worldwide, with about 210 species. They are well-known for their many uses as ornamentals, medicinal plants, and spices and cuisines. Throughout the world, these species are found in tropical and subtropical regions. China, India, Bangladesh, Malaysia, Thailand, Laos, Cambodia, Myanmar, Ind</w:t>
      </w:r>
      <w:r w:rsidR="00524E5A">
        <w:rPr>
          <w:rFonts w:ascii="Times New Roman" w:hAnsi="Times New Roman" w:cs="Times New Roman"/>
          <w:color w:val="000000"/>
          <w:sz w:val="24"/>
          <w:szCs w:val="24"/>
        </w:rPr>
        <w:t xml:space="preserve">onesia </w:t>
      </w:r>
      <w:r w:rsidRPr="00E52B95">
        <w:rPr>
          <w:rFonts w:ascii="Times New Roman" w:hAnsi="Times New Roman" w:cs="Times New Roman"/>
          <w:color w:val="000000"/>
          <w:sz w:val="24"/>
          <w:szCs w:val="24"/>
        </w:rPr>
        <w:t xml:space="preserve">and Vietnam are among the Asian nations where several </w:t>
      </w:r>
      <w:r w:rsidR="00524E5A">
        <w:rPr>
          <w:rFonts w:ascii="Times New Roman" w:hAnsi="Times New Roman" w:cs="Times New Roman"/>
          <w:i/>
          <w:color w:val="000000"/>
          <w:sz w:val="24"/>
          <w:szCs w:val="24"/>
        </w:rPr>
        <w:t>Zingiber</w:t>
      </w:r>
      <w:r w:rsidRPr="00E52B95">
        <w:rPr>
          <w:rFonts w:ascii="Times New Roman" w:hAnsi="Times New Roman" w:cs="Times New Roman"/>
          <w:i/>
          <w:color w:val="000000"/>
          <w:sz w:val="24"/>
          <w:szCs w:val="24"/>
        </w:rPr>
        <w:t xml:space="preserve"> </w:t>
      </w:r>
      <w:r w:rsidRPr="00E52B95">
        <w:rPr>
          <w:rFonts w:ascii="Times New Roman" w:hAnsi="Times New Roman" w:cs="Times New Roman"/>
          <w:color w:val="000000"/>
          <w:sz w:val="24"/>
          <w:szCs w:val="24"/>
        </w:rPr>
        <w:t xml:space="preserve">species have been documented </w:t>
      </w:r>
      <w:r w:rsidRPr="00E52B95">
        <w:rPr>
          <w:rFonts w:ascii="Times New Roman" w:eastAsia="Times New Roman" w:hAnsi="Times New Roman" w:cs="Times New Roman"/>
          <w:color w:val="000000"/>
          <w:sz w:val="24"/>
          <w:szCs w:val="24"/>
          <w:lang w:eastAsia="en-IN"/>
        </w:rPr>
        <w:t>(</w:t>
      </w:r>
      <w:r w:rsidRPr="00E52B95">
        <w:rPr>
          <w:rFonts w:ascii="Times New Roman" w:hAnsi="Times New Roman" w:cs="Times New Roman"/>
          <w:color w:val="000000"/>
          <w:sz w:val="24"/>
          <w:szCs w:val="24"/>
          <w:shd w:val="clear" w:color="auto" w:fill="FFFFFF"/>
        </w:rPr>
        <w:t xml:space="preserve">Chen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xml:space="preserve">., 2025). The genus </w:t>
      </w:r>
      <w:r w:rsidRPr="00E52B95">
        <w:rPr>
          <w:rFonts w:ascii="Times New Roman" w:hAnsi="Times New Roman" w:cs="Times New Roman"/>
          <w:i/>
          <w:color w:val="000000"/>
          <w:sz w:val="24"/>
          <w:szCs w:val="24"/>
          <w:shd w:val="clear" w:color="auto" w:fill="FFFFFF"/>
        </w:rPr>
        <w:t>Curcuma</w:t>
      </w:r>
      <w:r w:rsidRPr="00E52B95">
        <w:rPr>
          <w:rFonts w:ascii="Times New Roman" w:hAnsi="Times New Roman" w:cs="Times New Roman"/>
          <w:color w:val="000000"/>
          <w:sz w:val="24"/>
          <w:szCs w:val="24"/>
          <w:shd w:val="clear" w:color="auto" w:fill="FFFFFF"/>
        </w:rPr>
        <w:t xml:space="preserve"> contains roughly 120 species that are distributed across South-East Asia, including the South Pacific, Australia, and China. The countries with the greatest </w:t>
      </w:r>
      <w:r w:rsidRPr="00E52B95">
        <w:rPr>
          <w:rFonts w:ascii="Times New Roman" w:hAnsi="Times New Roman" w:cs="Times New Roman"/>
          <w:i/>
          <w:color w:val="000000"/>
          <w:sz w:val="24"/>
          <w:szCs w:val="24"/>
          <w:shd w:val="clear" w:color="auto" w:fill="FFFFFF"/>
        </w:rPr>
        <w:t>curcuma</w:t>
      </w:r>
      <w:r w:rsidRPr="00E52B95">
        <w:rPr>
          <w:rFonts w:ascii="Times New Roman" w:hAnsi="Times New Roman" w:cs="Times New Roman"/>
          <w:color w:val="000000"/>
          <w:sz w:val="24"/>
          <w:szCs w:val="24"/>
          <w:shd w:val="clear" w:color="auto" w:fill="FFFFFF"/>
        </w:rPr>
        <w:t xml:space="preserve"> diversity are Thailand and India, followed by</w:t>
      </w:r>
      <w:r w:rsidR="00524E5A">
        <w:rPr>
          <w:rFonts w:ascii="Times New Roman" w:hAnsi="Times New Roman" w:cs="Times New Roman"/>
          <w:color w:val="000000"/>
          <w:sz w:val="24"/>
          <w:szCs w:val="24"/>
          <w:shd w:val="clear" w:color="auto" w:fill="FFFFFF"/>
        </w:rPr>
        <w:t xml:space="preserve"> Bangladesh, Indonesia, Vietnam</w:t>
      </w:r>
      <w:r w:rsidRPr="00E52B95">
        <w:rPr>
          <w:rFonts w:ascii="Times New Roman" w:hAnsi="Times New Roman" w:cs="Times New Roman"/>
          <w:color w:val="000000"/>
          <w:sz w:val="24"/>
          <w:szCs w:val="24"/>
          <w:shd w:val="clear" w:color="auto" w:fill="FFFFFF"/>
        </w:rPr>
        <w:t xml:space="preserve"> and Burma. About 40 species can be found in India. The "Golden Spice," </w:t>
      </w:r>
      <w:r w:rsidRPr="00E52B95">
        <w:rPr>
          <w:rFonts w:ascii="Times New Roman" w:hAnsi="Times New Roman" w:cs="Times New Roman"/>
          <w:i/>
          <w:color w:val="000000"/>
          <w:sz w:val="24"/>
          <w:szCs w:val="24"/>
          <w:shd w:val="clear" w:color="auto" w:fill="FFFFFF"/>
        </w:rPr>
        <w:t>Curcuma longa</w:t>
      </w:r>
      <w:r w:rsidRPr="00E52B95">
        <w:rPr>
          <w:rFonts w:ascii="Times New Roman" w:hAnsi="Times New Roman" w:cs="Times New Roman"/>
          <w:color w:val="000000"/>
          <w:sz w:val="24"/>
          <w:szCs w:val="24"/>
          <w:shd w:val="clear" w:color="auto" w:fill="FFFFFF"/>
        </w:rPr>
        <w:t xml:space="preserve">, is grown mostly in tropical and subtropical nations. China, Indonesia, Bangladesh, and Thailand are the next biggest producers and exporters of turmeric worldwide, after India. Despite being indigenous to North East and Central India, </w:t>
      </w:r>
      <w:r w:rsidRPr="00E52B95">
        <w:rPr>
          <w:rFonts w:ascii="Times New Roman" w:hAnsi="Times New Roman" w:cs="Times New Roman"/>
          <w:i/>
          <w:color w:val="000000"/>
          <w:sz w:val="24"/>
          <w:szCs w:val="24"/>
          <w:shd w:val="clear" w:color="auto" w:fill="FFFFFF"/>
        </w:rPr>
        <w:t>Curcuma caesia</w:t>
      </w:r>
      <w:r w:rsidRPr="00E52B95">
        <w:rPr>
          <w:rFonts w:ascii="Times New Roman" w:hAnsi="Times New Roman" w:cs="Times New Roman"/>
          <w:color w:val="000000"/>
          <w:sz w:val="24"/>
          <w:szCs w:val="24"/>
          <w:shd w:val="clear" w:color="auto" w:fill="FFFFFF"/>
        </w:rPr>
        <w:t xml:space="preserve"> is also found in Bangladesh </w:t>
      </w:r>
      <w:r w:rsidRPr="00E52B95">
        <w:rPr>
          <w:rFonts w:ascii="Times New Roman" w:eastAsia="Times New Roman" w:hAnsi="Times New Roman" w:cs="Times New Roman"/>
          <w:color w:val="000000"/>
          <w:sz w:val="24"/>
          <w:szCs w:val="24"/>
          <w:lang w:eastAsia="en-IN"/>
        </w:rPr>
        <w:t>(Saha</w:t>
      </w:r>
      <w:r w:rsidRPr="00E52B95">
        <w:rPr>
          <w:rFonts w:ascii="Times New Roman" w:hAnsi="Times New Roman" w:cs="Times New Roman"/>
          <w:color w:val="000000"/>
          <w:sz w:val="24"/>
          <w:szCs w:val="24"/>
          <w:shd w:val="clear" w:color="auto" w:fill="FFFFFF"/>
        </w:rPr>
        <w:t xml:space="preserve">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xml:space="preserve">., 2020; Yuhendri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xml:space="preserve">., 2025). </w:t>
      </w:r>
      <w:r w:rsidRPr="00E52B95">
        <w:rPr>
          <w:rFonts w:ascii="Times New Roman" w:eastAsia="Times New Roman" w:hAnsi="Times New Roman" w:cs="Times New Roman"/>
          <w:color w:val="000000"/>
          <w:sz w:val="24"/>
          <w:szCs w:val="24"/>
          <w:lang w:eastAsia="en-IN"/>
        </w:rPr>
        <w:t xml:space="preserve">The second largest genus in the family, </w:t>
      </w:r>
      <w:r w:rsidRPr="00E52B95">
        <w:rPr>
          <w:rFonts w:ascii="Times New Roman" w:eastAsia="Times New Roman" w:hAnsi="Times New Roman" w:cs="Times New Roman"/>
          <w:i/>
          <w:iCs/>
          <w:color w:val="000000"/>
          <w:sz w:val="24"/>
          <w:szCs w:val="24"/>
          <w:lang w:eastAsia="en-IN"/>
        </w:rPr>
        <w:t>Amomum</w:t>
      </w:r>
      <w:r w:rsidRPr="00E52B95">
        <w:rPr>
          <w:rFonts w:ascii="Times New Roman" w:eastAsia="Times New Roman" w:hAnsi="Times New Roman" w:cs="Times New Roman"/>
          <w:color w:val="000000"/>
          <w:sz w:val="24"/>
          <w:szCs w:val="24"/>
          <w:lang w:eastAsia="en-IN"/>
        </w:rPr>
        <w:t>, has roughly 178 species and is found in tropical regions of China, th</w:t>
      </w:r>
      <w:r w:rsidR="00524E5A">
        <w:rPr>
          <w:rFonts w:ascii="Times New Roman" w:eastAsia="Times New Roman" w:hAnsi="Times New Roman" w:cs="Times New Roman"/>
          <w:color w:val="000000"/>
          <w:sz w:val="24"/>
          <w:szCs w:val="24"/>
          <w:lang w:eastAsia="en-IN"/>
        </w:rPr>
        <w:t>e Himalayas, northern Australia</w:t>
      </w:r>
      <w:r w:rsidRPr="00E52B95">
        <w:rPr>
          <w:rFonts w:ascii="Times New Roman" w:eastAsia="Times New Roman" w:hAnsi="Times New Roman" w:cs="Times New Roman"/>
          <w:color w:val="000000"/>
          <w:sz w:val="24"/>
          <w:szCs w:val="24"/>
          <w:lang w:eastAsia="en-IN"/>
        </w:rPr>
        <w:t xml:space="preserve"> and South East Asia. Members of this genus are primarily found in the Andaman and Nicobar Islands, South-Eastern India, and the peninsular region of India</w:t>
      </w:r>
      <w:r w:rsidRPr="00E52B95">
        <w:rPr>
          <w:rFonts w:ascii="Times New Roman" w:hAnsi="Times New Roman" w:cs="Times New Roman"/>
          <w:color w:val="000000"/>
          <w:sz w:val="24"/>
          <w:szCs w:val="24"/>
          <w:shd w:val="clear" w:color="auto" w:fill="FFFFFF"/>
        </w:rPr>
        <w:t xml:space="preserve"> (Docot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xml:space="preserve">., 2025). </w:t>
      </w:r>
      <w:r w:rsidRPr="00E52B95">
        <w:rPr>
          <w:rFonts w:ascii="Times New Roman" w:hAnsi="Times New Roman" w:cs="Times New Roman"/>
          <w:i/>
          <w:iCs/>
          <w:color w:val="000000"/>
          <w:sz w:val="24"/>
          <w:szCs w:val="24"/>
          <w:shd w:val="clear" w:color="auto" w:fill="FFFFFF"/>
        </w:rPr>
        <w:t xml:space="preserve">Hedychium </w:t>
      </w:r>
      <w:r w:rsidRPr="00E52B95">
        <w:rPr>
          <w:rFonts w:ascii="Times New Roman" w:hAnsi="Times New Roman" w:cs="Times New Roman"/>
          <w:color w:val="000000"/>
          <w:sz w:val="24"/>
          <w:szCs w:val="24"/>
          <w:shd w:val="clear" w:color="auto" w:fill="FFFFFF"/>
        </w:rPr>
        <w:t>is a genus with 97 species that are found mostly in tropical Asia, including New Guinea, New Caledonia, Australia, Solo</w:t>
      </w:r>
      <w:r w:rsidR="00524E5A">
        <w:rPr>
          <w:rFonts w:ascii="Times New Roman" w:hAnsi="Times New Roman" w:cs="Times New Roman"/>
          <w:color w:val="000000"/>
          <w:sz w:val="24"/>
          <w:szCs w:val="24"/>
          <w:shd w:val="clear" w:color="auto" w:fill="FFFFFF"/>
        </w:rPr>
        <w:t>mon Islands, New Hebrides, Fiji</w:t>
      </w:r>
      <w:r w:rsidRPr="00E52B95">
        <w:rPr>
          <w:rFonts w:ascii="Times New Roman" w:hAnsi="Times New Roman" w:cs="Times New Roman"/>
          <w:color w:val="000000"/>
          <w:sz w:val="24"/>
          <w:szCs w:val="24"/>
          <w:shd w:val="clear" w:color="auto" w:fill="FFFFFF"/>
        </w:rPr>
        <w:t xml:space="preserve"> and Samoa.</w:t>
      </w:r>
      <w:r w:rsidR="00524E5A">
        <w:rPr>
          <w:rFonts w:ascii="Times New Roman" w:hAnsi="Times New Roman" w:cs="Times New Roman"/>
          <w:color w:val="000000"/>
          <w:sz w:val="24"/>
          <w:szCs w:val="24"/>
          <w:shd w:val="clear" w:color="auto" w:fill="FFFFFF"/>
        </w:rPr>
        <w:t xml:space="preserve"> </w:t>
      </w:r>
      <w:r w:rsidRPr="00E52B95">
        <w:rPr>
          <w:rFonts w:ascii="Times New Roman" w:hAnsi="Times New Roman" w:cs="Times New Roman"/>
          <w:color w:val="000000"/>
          <w:sz w:val="24"/>
          <w:szCs w:val="24"/>
          <w:shd w:val="clear" w:color="auto" w:fill="FFFFFF"/>
        </w:rPr>
        <w:t xml:space="preserve">The majority of </w:t>
      </w:r>
      <w:r w:rsidRPr="00524E5A">
        <w:rPr>
          <w:rFonts w:ascii="Times New Roman" w:hAnsi="Times New Roman" w:cs="Times New Roman"/>
          <w:i/>
          <w:color w:val="000000"/>
          <w:sz w:val="24"/>
          <w:szCs w:val="24"/>
          <w:shd w:val="clear" w:color="auto" w:fill="FFFFFF"/>
        </w:rPr>
        <w:t>Hedychium's</w:t>
      </w:r>
      <w:r w:rsidRPr="00E52B95">
        <w:rPr>
          <w:rFonts w:ascii="Times New Roman" w:hAnsi="Times New Roman" w:cs="Times New Roman"/>
          <w:color w:val="000000"/>
          <w:sz w:val="24"/>
          <w:szCs w:val="24"/>
          <w:shd w:val="clear" w:color="auto" w:fill="FFFFFF"/>
        </w:rPr>
        <w:t xml:space="preserve"> range in India is limited to the northeastern states; up to 45 species have been identified there. It is thought that the genus </w:t>
      </w:r>
      <w:r w:rsidRPr="00E52B95">
        <w:rPr>
          <w:rFonts w:ascii="Times New Roman" w:hAnsi="Times New Roman" w:cs="Times New Roman"/>
          <w:i/>
          <w:iCs/>
          <w:color w:val="000000"/>
          <w:sz w:val="24"/>
          <w:szCs w:val="24"/>
          <w:shd w:val="clear" w:color="auto" w:fill="FFFFFF"/>
        </w:rPr>
        <w:t xml:space="preserve">Hedychium </w:t>
      </w:r>
      <w:r w:rsidRPr="00E52B95">
        <w:rPr>
          <w:rFonts w:ascii="Times New Roman" w:hAnsi="Times New Roman" w:cs="Times New Roman"/>
          <w:color w:val="000000"/>
          <w:sz w:val="24"/>
          <w:szCs w:val="24"/>
          <w:shd w:val="clear" w:color="auto" w:fill="FFFFFF"/>
        </w:rPr>
        <w:t xml:space="preserve">originated in northeastern India (Cheng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2024).</w:t>
      </w:r>
      <w:r w:rsidRPr="00E52B95">
        <w:rPr>
          <w:rFonts w:ascii="Times New Roman" w:eastAsia="Times New Roman" w:hAnsi="Times New Roman" w:cs="Times New Roman"/>
          <w:color w:val="000000"/>
          <w:sz w:val="24"/>
          <w:szCs w:val="24"/>
          <w:lang w:eastAsia="en-IN"/>
        </w:rPr>
        <w:t xml:space="preserve"> There are 70 species in the genus </w:t>
      </w:r>
      <w:r w:rsidRPr="00E52B95">
        <w:rPr>
          <w:rFonts w:ascii="Times New Roman" w:eastAsia="Times New Roman" w:hAnsi="Times New Roman" w:cs="Times New Roman"/>
          <w:i/>
          <w:iCs/>
          <w:color w:val="000000"/>
          <w:sz w:val="24"/>
          <w:szCs w:val="24"/>
          <w:lang w:eastAsia="en-IN"/>
        </w:rPr>
        <w:t>Kaempferia</w:t>
      </w:r>
      <w:r w:rsidRPr="00E52B95">
        <w:rPr>
          <w:rFonts w:ascii="Times New Roman" w:eastAsia="Times New Roman" w:hAnsi="Times New Roman" w:cs="Times New Roman"/>
          <w:color w:val="000000"/>
          <w:sz w:val="24"/>
          <w:szCs w:val="24"/>
          <w:lang w:eastAsia="en-IN"/>
        </w:rPr>
        <w:t xml:space="preserve">, with two thirds of them found in Asia and the remaining one third found in Africa. This genus's species are found in regions of Southeast Asia, India, and tropical Africa. Carl Linnaeus created the genus </w:t>
      </w:r>
      <w:r w:rsidRPr="00E52B95">
        <w:rPr>
          <w:rFonts w:ascii="Times New Roman" w:eastAsia="Times New Roman" w:hAnsi="Times New Roman" w:cs="Times New Roman"/>
          <w:i/>
          <w:iCs/>
          <w:color w:val="000000"/>
          <w:sz w:val="24"/>
          <w:szCs w:val="24"/>
          <w:lang w:eastAsia="en-IN"/>
        </w:rPr>
        <w:t xml:space="preserve">Kaempferia </w:t>
      </w:r>
      <w:r w:rsidRPr="00E52B95">
        <w:rPr>
          <w:rFonts w:ascii="Times New Roman" w:eastAsia="Times New Roman" w:hAnsi="Times New Roman" w:cs="Times New Roman"/>
          <w:color w:val="000000"/>
          <w:sz w:val="24"/>
          <w:szCs w:val="24"/>
          <w:lang w:eastAsia="en-IN"/>
        </w:rPr>
        <w:t>in honor of the important work of German physician and scientist Engelbert Kaempfer (1651–1716). Given that this species is widely distributed throughout tropical Asia, monsoon Asia is thought to be its centre of diversification (</w:t>
      </w:r>
      <w:r w:rsidRPr="00E52B95">
        <w:rPr>
          <w:rFonts w:ascii="Times New Roman" w:hAnsi="Times New Roman" w:cs="Times New Roman"/>
          <w:color w:val="000000"/>
          <w:sz w:val="24"/>
          <w:szCs w:val="24"/>
          <w:shd w:val="clear" w:color="auto" w:fill="FFFFFF"/>
        </w:rPr>
        <w:t xml:space="preserve">Gangmei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2024).</w:t>
      </w:r>
      <w:r w:rsidRPr="00E52B95">
        <w:rPr>
          <w:rFonts w:ascii="Times New Roman" w:eastAsia="Times New Roman" w:hAnsi="Times New Roman" w:cs="Times New Roman"/>
          <w:color w:val="000000"/>
          <w:sz w:val="24"/>
          <w:szCs w:val="24"/>
          <w:lang w:eastAsia="en-IN"/>
        </w:rPr>
        <w:t xml:space="preserve"> There are perhaps six or seven species in the genus </w:t>
      </w:r>
      <w:r w:rsidRPr="00E52B95">
        <w:rPr>
          <w:rFonts w:ascii="Times New Roman" w:eastAsia="Times New Roman" w:hAnsi="Times New Roman" w:cs="Times New Roman"/>
          <w:i/>
          <w:iCs/>
          <w:color w:val="000000"/>
          <w:sz w:val="24"/>
          <w:szCs w:val="24"/>
          <w:lang w:eastAsia="en-IN"/>
        </w:rPr>
        <w:t>Elettaria</w:t>
      </w:r>
      <w:r w:rsidRPr="00E52B95">
        <w:rPr>
          <w:rFonts w:ascii="Times New Roman" w:eastAsia="Times New Roman" w:hAnsi="Times New Roman" w:cs="Times New Roman"/>
          <w:color w:val="000000"/>
          <w:sz w:val="24"/>
          <w:szCs w:val="24"/>
          <w:lang w:eastAsia="en-IN"/>
        </w:rPr>
        <w:t>, which are found in</w:t>
      </w:r>
      <w:r w:rsidR="00524E5A">
        <w:rPr>
          <w:rFonts w:ascii="Times New Roman" w:eastAsia="Times New Roman" w:hAnsi="Times New Roman" w:cs="Times New Roman"/>
          <w:color w:val="000000"/>
          <w:sz w:val="24"/>
          <w:szCs w:val="24"/>
          <w:lang w:eastAsia="en-IN"/>
        </w:rPr>
        <w:t xml:space="preserve"> Malaysia, Indonesia, Sri Lanka</w:t>
      </w:r>
      <w:r w:rsidRPr="00E52B95">
        <w:rPr>
          <w:rFonts w:ascii="Times New Roman" w:eastAsia="Times New Roman" w:hAnsi="Times New Roman" w:cs="Times New Roman"/>
          <w:color w:val="000000"/>
          <w:sz w:val="24"/>
          <w:szCs w:val="24"/>
          <w:lang w:eastAsia="en-IN"/>
        </w:rPr>
        <w:t xml:space="preserve"> and India. Only </w:t>
      </w:r>
      <w:r w:rsidRPr="00E52B95">
        <w:rPr>
          <w:rFonts w:ascii="Times New Roman" w:eastAsia="Times New Roman" w:hAnsi="Times New Roman" w:cs="Times New Roman"/>
          <w:i/>
          <w:iCs/>
          <w:color w:val="000000"/>
          <w:sz w:val="24"/>
          <w:szCs w:val="24"/>
          <w:lang w:eastAsia="en-IN"/>
        </w:rPr>
        <w:t>E. cardamomum</w:t>
      </w:r>
      <w:r w:rsidRPr="00E52B95">
        <w:rPr>
          <w:rFonts w:ascii="Times New Roman" w:eastAsia="Times New Roman" w:hAnsi="Times New Roman" w:cs="Times New Roman"/>
          <w:color w:val="000000"/>
          <w:sz w:val="24"/>
          <w:szCs w:val="24"/>
          <w:lang w:eastAsia="en-IN"/>
        </w:rPr>
        <w:t xml:space="preserve"> has economic significance and member of the monotypic genus </w:t>
      </w:r>
      <w:r w:rsidRPr="00E52B95">
        <w:rPr>
          <w:rFonts w:ascii="Times New Roman" w:eastAsia="Times New Roman" w:hAnsi="Times New Roman" w:cs="Times New Roman"/>
          <w:i/>
          <w:iCs/>
          <w:color w:val="000000"/>
          <w:sz w:val="24"/>
          <w:szCs w:val="24"/>
          <w:lang w:eastAsia="en-IN"/>
        </w:rPr>
        <w:t>Elettaria</w:t>
      </w:r>
      <w:r w:rsidRPr="00E52B95">
        <w:rPr>
          <w:rFonts w:ascii="Times New Roman" w:eastAsia="Times New Roman" w:hAnsi="Times New Roman" w:cs="Times New Roman"/>
          <w:color w:val="000000"/>
          <w:sz w:val="24"/>
          <w:szCs w:val="24"/>
          <w:lang w:eastAsia="en-IN"/>
        </w:rPr>
        <w:t xml:space="preserve"> in India (</w:t>
      </w:r>
      <w:r w:rsidRPr="00E52B95">
        <w:rPr>
          <w:rFonts w:ascii="Times New Roman" w:hAnsi="Times New Roman" w:cs="Times New Roman"/>
          <w:color w:val="000000"/>
          <w:sz w:val="24"/>
          <w:szCs w:val="24"/>
          <w:shd w:val="clear" w:color="auto" w:fill="FFFFFF"/>
        </w:rPr>
        <w:t xml:space="preserve">Nirmal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xml:space="preserve">., 2012). The geographical distribution of different genera of </w:t>
      </w:r>
      <w:r w:rsidRPr="00E52B95">
        <w:rPr>
          <w:rFonts w:ascii="Times New Roman" w:hAnsi="Times New Roman" w:cs="Times New Roman"/>
          <w:i/>
          <w:color w:val="000000"/>
          <w:sz w:val="24"/>
          <w:szCs w:val="24"/>
          <w:shd w:val="clear" w:color="auto" w:fill="FFFFFF"/>
        </w:rPr>
        <w:t xml:space="preserve">Zingiberaceae </w:t>
      </w:r>
      <w:r w:rsidRPr="00E52B95">
        <w:rPr>
          <w:rFonts w:ascii="Times New Roman" w:hAnsi="Times New Roman" w:cs="Times New Roman"/>
          <w:color w:val="000000"/>
          <w:sz w:val="24"/>
          <w:szCs w:val="24"/>
          <w:shd w:val="clear" w:color="auto" w:fill="FFFFFF"/>
        </w:rPr>
        <w:t xml:space="preserve">has been mentioned in Table1 and Figure1 (a-d). </w:t>
      </w:r>
    </w:p>
    <w:p w:rsidR="00E52B95" w:rsidRPr="00E52B95" w:rsidRDefault="00E52B95" w:rsidP="00E52B95">
      <w:pPr>
        <w:spacing w:line="360" w:lineRule="auto"/>
        <w:jc w:val="both"/>
        <w:rPr>
          <w:rFonts w:ascii="Times New Roman" w:hAnsi="Times New Roman" w:cs="Times New Roman"/>
          <w:i/>
          <w:color w:val="000000"/>
          <w:sz w:val="24"/>
          <w:szCs w:val="24"/>
        </w:rPr>
      </w:pPr>
      <w:r w:rsidRPr="00E52B95">
        <w:rPr>
          <w:rFonts w:ascii="Times New Roman" w:hAnsi="Times New Roman" w:cs="Times New Roman"/>
          <w:color w:val="000000"/>
          <w:sz w:val="24"/>
          <w:szCs w:val="24"/>
        </w:rPr>
        <w:t xml:space="preserve">Table 1. Geographical distribution of different genus of family </w:t>
      </w:r>
      <w:r w:rsidRPr="00E52B95">
        <w:rPr>
          <w:rFonts w:ascii="Times New Roman" w:hAnsi="Times New Roman" w:cs="Times New Roman"/>
          <w:i/>
          <w:color w:val="000000"/>
          <w:sz w:val="24"/>
          <w:szCs w:val="24"/>
        </w:rPr>
        <w:t>Zingiberaceae</w:t>
      </w:r>
    </w:p>
    <w:tbl>
      <w:tblPr>
        <w:tblpPr w:leftFromText="180" w:rightFromText="180" w:vertAnchor="text" w:tblpY="1"/>
        <w:tblOverlap w:val="never"/>
        <w:tblW w:w="0" w:type="auto"/>
        <w:tblLook w:val="04A0" w:firstRow="1" w:lastRow="0" w:firstColumn="1" w:lastColumn="0" w:noHBand="0" w:noVBand="1"/>
      </w:tblPr>
      <w:tblGrid>
        <w:gridCol w:w="4510"/>
        <w:gridCol w:w="4516"/>
      </w:tblGrid>
      <w:tr w:rsidR="00E52B95" w:rsidRPr="00E52B95" w:rsidTr="00E52B95">
        <w:tc>
          <w:tcPr>
            <w:tcW w:w="4621" w:type="dxa"/>
            <w:tcBorders>
              <w:top w:val="single" w:sz="4" w:space="0" w:color="auto"/>
              <w:bottom w:val="single" w:sz="4" w:space="0" w:color="auto"/>
            </w:tcBorders>
          </w:tcPr>
          <w:p w:rsidR="00E52B95" w:rsidRPr="00E52B95" w:rsidRDefault="00E52B95" w:rsidP="00E52B95">
            <w:pPr>
              <w:spacing w:line="360" w:lineRule="auto"/>
              <w:jc w:val="both"/>
              <w:rPr>
                <w:rFonts w:ascii="Times New Roman" w:eastAsia="Times New Roman" w:hAnsi="Times New Roman" w:cs="Times New Roman"/>
                <w:color w:val="000000"/>
                <w:sz w:val="24"/>
                <w:szCs w:val="24"/>
                <w:lang w:eastAsia="en-IN"/>
              </w:rPr>
            </w:pPr>
            <w:r w:rsidRPr="00E52B95">
              <w:rPr>
                <w:rFonts w:ascii="Times New Roman" w:eastAsia="Times New Roman" w:hAnsi="Times New Roman" w:cs="Times New Roman"/>
                <w:color w:val="000000"/>
                <w:sz w:val="24"/>
                <w:szCs w:val="24"/>
                <w:lang w:eastAsia="en-IN"/>
              </w:rPr>
              <w:lastRenderedPageBreak/>
              <w:t xml:space="preserve">Genus </w:t>
            </w:r>
          </w:p>
        </w:tc>
        <w:tc>
          <w:tcPr>
            <w:tcW w:w="4621" w:type="dxa"/>
            <w:tcBorders>
              <w:top w:val="single" w:sz="4" w:space="0" w:color="auto"/>
              <w:bottom w:val="single" w:sz="4" w:space="0" w:color="auto"/>
            </w:tcBorders>
          </w:tcPr>
          <w:p w:rsidR="00E52B95" w:rsidRPr="00E52B95" w:rsidRDefault="00E52B95" w:rsidP="00E52B95">
            <w:pPr>
              <w:spacing w:line="360" w:lineRule="auto"/>
              <w:jc w:val="both"/>
              <w:rPr>
                <w:rFonts w:ascii="Times New Roman" w:eastAsia="Times New Roman" w:hAnsi="Times New Roman" w:cs="Times New Roman"/>
                <w:color w:val="000000"/>
                <w:sz w:val="24"/>
                <w:szCs w:val="24"/>
                <w:lang w:eastAsia="en-IN"/>
              </w:rPr>
            </w:pPr>
            <w:r w:rsidRPr="00E52B95">
              <w:rPr>
                <w:rFonts w:ascii="Times New Roman" w:eastAsia="Times New Roman" w:hAnsi="Times New Roman" w:cs="Times New Roman"/>
                <w:color w:val="000000"/>
                <w:sz w:val="24"/>
                <w:szCs w:val="24"/>
                <w:lang w:eastAsia="en-IN"/>
              </w:rPr>
              <w:t xml:space="preserve">Geographical distribution  </w:t>
            </w:r>
          </w:p>
        </w:tc>
      </w:tr>
      <w:tr w:rsidR="00E52B95" w:rsidRPr="00E52B95" w:rsidTr="00E52B95">
        <w:tc>
          <w:tcPr>
            <w:tcW w:w="4621" w:type="dxa"/>
            <w:tcBorders>
              <w:top w:val="single" w:sz="4" w:space="0" w:color="auto"/>
            </w:tcBorders>
          </w:tcPr>
          <w:p w:rsidR="00E52B95" w:rsidRPr="00E52B95" w:rsidRDefault="00E52B95" w:rsidP="00E52B95">
            <w:pPr>
              <w:spacing w:line="360" w:lineRule="auto"/>
              <w:jc w:val="both"/>
              <w:rPr>
                <w:rFonts w:ascii="Times New Roman" w:eastAsia="Times New Roman" w:hAnsi="Times New Roman" w:cs="Times New Roman"/>
                <w:i/>
                <w:iCs/>
                <w:color w:val="000000"/>
                <w:sz w:val="24"/>
                <w:szCs w:val="24"/>
                <w:lang w:eastAsia="en-IN"/>
              </w:rPr>
            </w:pPr>
            <w:r w:rsidRPr="00E52B95">
              <w:rPr>
                <w:rFonts w:ascii="Times New Roman" w:eastAsia="Times New Roman" w:hAnsi="Times New Roman" w:cs="Times New Roman"/>
                <w:i/>
                <w:iCs/>
                <w:color w:val="000000"/>
                <w:sz w:val="24"/>
                <w:szCs w:val="24"/>
                <w:lang w:eastAsia="en-IN"/>
              </w:rPr>
              <w:t xml:space="preserve">Zingiber  </w:t>
            </w:r>
          </w:p>
        </w:tc>
        <w:tc>
          <w:tcPr>
            <w:tcW w:w="4621" w:type="dxa"/>
            <w:tcBorders>
              <w:top w:val="single" w:sz="4" w:space="0" w:color="auto"/>
            </w:tcBorders>
          </w:tcPr>
          <w:p w:rsidR="00E52B95" w:rsidRPr="00E52B95" w:rsidRDefault="00E52B95" w:rsidP="00E52B95">
            <w:pPr>
              <w:spacing w:line="360" w:lineRule="auto"/>
              <w:jc w:val="both"/>
              <w:rPr>
                <w:rFonts w:ascii="Times New Roman" w:eastAsia="Times New Roman" w:hAnsi="Times New Roman" w:cs="Times New Roman"/>
                <w:color w:val="000000"/>
                <w:sz w:val="24"/>
                <w:szCs w:val="24"/>
                <w:lang w:eastAsia="en-IN"/>
              </w:rPr>
            </w:pPr>
            <w:r w:rsidRPr="00E52B95">
              <w:rPr>
                <w:rFonts w:ascii="Times New Roman" w:hAnsi="Times New Roman" w:cs="Times New Roman"/>
                <w:color w:val="000000"/>
                <w:sz w:val="24"/>
                <w:szCs w:val="24"/>
              </w:rPr>
              <w:t xml:space="preserve">China, India, Bangladesh, Malaysia, Thailand, Laos, Cambodia, Myanmar, Indonesia, and Vietnam </w:t>
            </w:r>
          </w:p>
        </w:tc>
      </w:tr>
      <w:tr w:rsidR="00E52B95" w:rsidRPr="00E52B95" w:rsidTr="00E52B95">
        <w:tc>
          <w:tcPr>
            <w:tcW w:w="4621" w:type="dxa"/>
          </w:tcPr>
          <w:p w:rsidR="00E52B95" w:rsidRPr="00E52B95" w:rsidRDefault="00E52B95" w:rsidP="00E52B95">
            <w:pPr>
              <w:spacing w:line="360" w:lineRule="auto"/>
              <w:jc w:val="both"/>
              <w:rPr>
                <w:rFonts w:ascii="Times New Roman" w:eastAsia="Times New Roman" w:hAnsi="Times New Roman" w:cs="Times New Roman"/>
                <w:i/>
                <w:iCs/>
                <w:color w:val="000000"/>
                <w:sz w:val="24"/>
                <w:szCs w:val="24"/>
                <w:lang w:eastAsia="en-IN"/>
              </w:rPr>
            </w:pPr>
            <w:r w:rsidRPr="00E52B95">
              <w:rPr>
                <w:rFonts w:ascii="Times New Roman" w:eastAsia="Times New Roman" w:hAnsi="Times New Roman" w:cs="Times New Roman"/>
                <w:i/>
                <w:iCs/>
                <w:color w:val="000000"/>
                <w:sz w:val="24"/>
                <w:szCs w:val="24"/>
                <w:lang w:eastAsia="en-IN"/>
              </w:rPr>
              <w:t>Alpinia</w:t>
            </w:r>
          </w:p>
        </w:tc>
        <w:tc>
          <w:tcPr>
            <w:tcW w:w="4621" w:type="dxa"/>
          </w:tcPr>
          <w:p w:rsidR="00E52B95" w:rsidRPr="00E52B95" w:rsidRDefault="00E52B95" w:rsidP="00E52B95">
            <w:pPr>
              <w:spacing w:line="360" w:lineRule="auto"/>
              <w:jc w:val="both"/>
              <w:rPr>
                <w:rFonts w:ascii="Times New Roman" w:eastAsia="Times New Roman" w:hAnsi="Times New Roman" w:cs="Times New Roman"/>
                <w:color w:val="000000"/>
                <w:sz w:val="24"/>
                <w:szCs w:val="24"/>
                <w:lang w:eastAsia="en-IN"/>
              </w:rPr>
            </w:pPr>
            <w:r w:rsidRPr="00E52B95">
              <w:rPr>
                <w:rFonts w:ascii="Times New Roman" w:eastAsia="Times New Roman" w:hAnsi="Times New Roman" w:cs="Times New Roman"/>
                <w:color w:val="000000"/>
                <w:sz w:val="24"/>
                <w:szCs w:val="24"/>
                <w:lang w:eastAsia="en-IN"/>
              </w:rPr>
              <w:t>India, Andaman, China, Australia, Fiji, Burma, the Carolines, Malaysia, Indochina, Indonesia, Japan, Samoa, New Guinea, New Hebrides, Solomons, Sri Lanka, New Caledonia,  Philippines and Thailand.</w:t>
            </w:r>
          </w:p>
        </w:tc>
      </w:tr>
      <w:tr w:rsidR="00E52B95" w:rsidRPr="00E52B95" w:rsidTr="00E52B95">
        <w:tc>
          <w:tcPr>
            <w:tcW w:w="4621" w:type="dxa"/>
          </w:tcPr>
          <w:p w:rsidR="00E52B95" w:rsidRPr="00E52B95" w:rsidRDefault="00E52B95" w:rsidP="00E52B95">
            <w:pPr>
              <w:tabs>
                <w:tab w:val="left" w:pos="1050"/>
              </w:tabs>
              <w:spacing w:line="360" w:lineRule="auto"/>
              <w:jc w:val="both"/>
              <w:rPr>
                <w:rFonts w:ascii="Times New Roman" w:eastAsia="Times New Roman" w:hAnsi="Times New Roman" w:cs="Times New Roman"/>
                <w:i/>
                <w:iCs/>
                <w:color w:val="000000"/>
                <w:sz w:val="24"/>
                <w:szCs w:val="24"/>
                <w:lang w:eastAsia="en-IN"/>
              </w:rPr>
            </w:pPr>
            <w:r w:rsidRPr="00E52B95">
              <w:rPr>
                <w:rFonts w:ascii="Times New Roman" w:hAnsi="Times New Roman" w:cs="Times New Roman"/>
                <w:i/>
                <w:iCs/>
                <w:color w:val="000000"/>
                <w:sz w:val="24"/>
                <w:szCs w:val="24"/>
                <w:shd w:val="clear" w:color="auto" w:fill="FFFFFF"/>
              </w:rPr>
              <w:t xml:space="preserve">Curcuma </w:t>
            </w:r>
          </w:p>
        </w:tc>
        <w:tc>
          <w:tcPr>
            <w:tcW w:w="4621" w:type="dxa"/>
          </w:tcPr>
          <w:p w:rsidR="00E52B95" w:rsidRPr="00E52B95" w:rsidRDefault="00E52B95" w:rsidP="00E52B95">
            <w:pPr>
              <w:spacing w:line="360" w:lineRule="auto"/>
              <w:jc w:val="both"/>
              <w:rPr>
                <w:rFonts w:ascii="Times New Roman" w:eastAsia="Times New Roman" w:hAnsi="Times New Roman" w:cs="Times New Roman"/>
                <w:color w:val="000000"/>
                <w:sz w:val="24"/>
                <w:szCs w:val="24"/>
                <w:lang w:eastAsia="en-IN"/>
              </w:rPr>
            </w:pPr>
            <w:r w:rsidRPr="00E52B95">
              <w:rPr>
                <w:rFonts w:ascii="Times New Roman" w:hAnsi="Times New Roman" w:cs="Times New Roman"/>
                <w:color w:val="000000"/>
                <w:sz w:val="24"/>
                <w:szCs w:val="24"/>
                <w:shd w:val="clear" w:color="auto" w:fill="FFFFFF"/>
              </w:rPr>
              <w:t>China, Australia, the South Pacific, India Thailand, Bangladesh, Indonesia, Vietnam, and Burma</w:t>
            </w:r>
          </w:p>
        </w:tc>
      </w:tr>
      <w:tr w:rsidR="00E52B95" w:rsidRPr="00E52B95" w:rsidTr="00E52B95">
        <w:tc>
          <w:tcPr>
            <w:tcW w:w="4621" w:type="dxa"/>
          </w:tcPr>
          <w:p w:rsidR="00E52B95" w:rsidRPr="00E52B95" w:rsidRDefault="00E52B95" w:rsidP="00E52B95">
            <w:pPr>
              <w:tabs>
                <w:tab w:val="left" w:pos="1050"/>
              </w:tabs>
              <w:spacing w:line="360" w:lineRule="auto"/>
              <w:jc w:val="both"/>
              <w:rPr>
                <w:rFonts w:ascii="Times New Roman" w:hAnsi="Times New Roman" w:cs="Times New Roman"/>
                <w:i/>
                <w:iCs/>
                <w:color w:val="000000"/>
                <w:sz w:val="24"/>
                <w:szCs w:val="24"/>
                <w:shd w:val="clear" w:color="auto" w:fill="FFFFFF"/>
              </w:rPr>
            </w:pPr>
            <w:r w:rsidRPr="00E52B95">
              <w:rPr>
                <w:rFonts w:ascii="Times New Roman" w:hAnsi="Times New Roman" w:cs="Times New Roman"/>
                <w:i/>
                <w:iCs/>
                <w:color w:val="000000"/>
                <w:sz w:val="24"/>
                <w:szCs w:val="24"/>
                <w:shd w:val="clear" w:color="auto" w:fill="FFFFFF"/>
              </w:rPr>
              <w:t>Elettaria</w:t>
            </w:r>
          </w:p>
        </w:tc>
        <w:tc>
          <w:tcPr>
            <w:tcW w:w="4621" w:type="dxa"/>
          </w:tcPr>
          <w:p w:rsidR="00E52B95" w:rsidRPr="00E52B95" w:rsidRDefault="00E52B95" w:rsidP="00E52B95">
            <w:pPr>
              <w:spacing w:line="360" w:lineRule="auto"/>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rPr>
              <w:t>India, Guatemala, Sri Lanka, Nepal, Indonesia, Costa Rica, Mexico and Tanzania</w:t>
            </w:r>
          </w:p>
        </w:tc>
      </w:tr>
      <w:tr w:rsidR="00E52B95" w:rsidRPr="00E52B95" w:rsidTr="00E52B95">
        <w:tc>
          <w:tcPr>
            <w:tcW w:w="4621" w:type="dxa"/>
          </w:tcPr>
          <w:p w:rsidR="00E52B95" w:rsidRPr="00E52B95" w:rsidRDefault="00E52B95" w:rsidP="00E52B95">
            <w:pPr>
              <w:tabs>
                <w:tab w:val="left" w:pos="1050"/>
              </w:tabs>
              <w:spacing w:line="360" w:lineRule="auto"/>
              <w:jc w:val="both"/>
              <w:rPr>
                <w:rFonts w:ascii="Times New Roman" w:hAnsi="Times New Roman" w:cs="Times New Roman"/>
                <w:i/>
                <w:iCs/>
                <w:color w:val="000000"/>
                <w:sz w:val="24"/>
                <w:szCs w:val="24"/>
                <w:shd w:val="clear" w:color="auto" w:fill="FFFFFF"/>
              </w:rPr>
            </w:pPr>
            <w:r w:rsidRPr="00E52B95">
              <w:rPr>
                <w:rFonts w:ascii="Times New Roman" w:hAnsi="Times New Roman" w:cs="Times New Roman"/>
                <w:i/>
                <w:iCs/>
                <w:color w:val="000000"/>
                <w:sz w:val="24"/>
                <w:szCs w:val="24"/>
                <w:shd w:val="clear" w:color="auto" w:fill="FFFFFF"/>
              </w:rPr>
              <w:t xml:space="preserve">Etlingera </w:t>
            </w:r>
          </w:p>
        </w:tc>
        <w:tc>
          <w:tcPr>
            <w:tcW w:w="4621"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Peninsular Malaysia, Indonesia, Thailand, Singapore, the Philippines, Central America </w:t>
            </w:r>
          </w:p>
        </w:tc>
      </w:tr>
      <w:tr w:rsidR="00E52B95" w:rsidRPr="00E52B95" w:rsidTr="00E52B95">
        <w:tc>
          <w:tcPr>
            <w:tcW w:w="4621" w:type="dxa"/>
          </w:tcPr>
          <w:p w:rsidR="00E52B95" w:rsidRPr="00E52B95" w:rsidRDefault="00E52B95" w:rsidP="00E52B95">
            <w:pPr>
              <w:spacing w:line="360" w:lineRule="auto"/>
              <w:jc w:val="both"/>
              <w:rPr>
                <w:rFonts w:ascii="Times New Roman" w:eastAsia="Times New Roman" w:hAnsi="Times New Roman" w:cs="Times New Roman"/>
                <w:i/>
                <w:iCs/>
                <w:color w:val="000000"/>
                <w:sz w:val="24"/>
                <w:szCs w:val="24"/>
                <w:lang w:eastAsia="en-IN"/>
              </w:rPr>
            </w:pPr>
            <w:r w:rsidRPr="00E52B95">
              <w:rPr>
                <w:rFonts w:ascii="Times New Roman" w:hAnsi="Times New Roman" w:cs="Times New Roman"/>
                <w:i/>
                <w:iCs/>
                <w:color w:val="000000"/>
                <w:sz w:val="24"/>
                <w:szCs w:val="24"/>
                <w:shd w:val="clear" w:color="auto" w:fill="FFFFFF"/>
              </w:rPr>
              <w:t xml:space="preserve"> Hedychium</w:t>
            </w:r>
          </w:p>
        </w:tc>
        <w:tc>
          <w:tcPr>
            <w:tcW w:w="4621" w:type="dxa"/>
          </w:tcPr>
          <w:p w:rsidR="00E52B95" w:rsidRPr="00E52B95" w:rsidRDefault="00E52B95" w:rsidP="00E52B95">
            <w:pPr>
              <w:spacing w:line="360" w:lineRule="auto"/>
              <w:jc w:val="both"/>
              <w:rPr>
                <w:rFonts w:ascii="Times New Roman" w:eastAsia="Times New Roman" w:hAnsi="Times New Roman" w:cs="Times New Roman"/>
                <w:color w:val="000000"/>
                <w:sz w:val="24"/>
                <w:szCs w:val="24"/>
                <w:lang w:eastAsia="en-IN"/>
              </w:rPr>
            </w:pPr>
            <w:r w:rsidRPr="00E52B95">
              <w:rPr>
                <w:rFonts w:ascii="Times New Roman" w:hAnsi="Times New Roman" w:cs="Times New Roman"/>
                <w:color w:val="000000"/>
                <w:sz w:val="24"/>
                <w:szCs w:val="24"/>
                <w:shd w:val="clear" w:color="auto" w:fill="FFFFFF"/>
              </w:rPr>
              <w:t>New Guinea, Fiji, Australia, New Hebrides, Solomon Islands, New Caledonia and Samoa, India (Northeastern states)</w:t>
            </w:r>
          </w:p>
        </w:tc>
      </w:tr>
      <w:tr w:rsidR="00E52B95" w:rsidRPr="00E52B95" w:rsidTr="00E52B95">
        <w:tc>
          <w:tcPr>
            <w:tcW w:w="4621" w:type="dxa"/>
          </w:tcPr>
          <w:p w:rsidR="00E52B95" w:rsidRPr="00E52B95" w:rsidRDefault="00E52B95" w:rsidP="00E52B95">
            <w:pPr>
              <w:spacing w:line="360" w:lineRule="auto"/>
              <w:jc w:val="both"/>
              <w:rPr>
                <w:rFonts w:ascii="Times New Roman" w:eastAsia="Times New Roman" w:hAnsi="Times New Roman" w:cs="Times New Roman"/>
                <w:i/>
                <w:iCs/>
                <w:color w:val="000000"/>
                <w:sz w:val="24"/>
                <w:szCs w:val="24"/>
                <w:lang w:eastAsia="en-IN"/>
              </w:rPr>
            </w:pPr>
            <w:r w:rsidRPr="00E52B95">
              <w:rPr>
                <w:rFonts w:ascii="Times New Roman" w:eastAsia="Times New Roman" w:hAnsi="Times New Roman" w:cs="Times New Roman"/>
                <w:i/>
                <w:iCs/>
                <w:color w:val="000000"/>
                <w:sz w:val="24"/>
                <w:szCs w:val="24"/>
                <w:lang w:eastAsia="en-IN"/>
              </w:rPr>
              <w:t>Kaempferia</w:t>
            </w:r>
          </w:p>
        </w:tc>
        <w:tc>
          <w:tcPr>
            <w:tcW w:w="4621" w:type="dxa"/>
          </w:tcPr>
          <w:p w:rsidR="00E52B95" w:rsidRPr="00E52B95" w:rsidRDefault="00E52B95" w:rsidP="00E52B95">
            <w:pPr>
              <w:spacing w:line="360" w:lineRule="auto"/>
              <w:jc w:val="both"/>
              <w:rPr>
                <w:rFonts w:ascii="Times New Roman" w:eastAsia="Times New Roman" w:hAnsi="Times New Roman" w:cs="Times New Roman"/>
                <w:color w:val="000000"/>
                <w:sz w:val="24"/>
                <w:szCs w:val="24"/>
                <w:lang w:eastAsia="en-IN"/>
              </w:rPr>
            </w:pPr>
            <w:r w:rsidRPr="00E52B95">
              <w:rPr>
                <w:rFonts w:ascii="Times New Roman" w:eastAsia="Times New Roman" w:hAnsi="Times New Roman" w:cs="Times New Roman"/>
                <w:color w:val="000000"/>
                <w:sz w:val="24"/>
                <w:szCs w:val="24"/>
                <w:lang w:eastAsia="en-IN"/>
              </w:rPr>
              <w:t>Southeast Asia, India, and tropical Africa</w:t>
            </w:r>
          </w:p>
        </w:tc>
      </w:tr>
      <w:tr w:rsidR="00E52B95" w:rsidRPr="00E52B95" w:rsidTr="00E52B95">
        <w:tc>
          <w:tcPr>
            <w:tcW w:w="4621" w:type="dxa"/>
          </w:tcPr>
          <w:p w:rsidR="00E52B95" w:rsidRPr="00E52B95" w:rsidRDefault="00E52B95" w:rsidP="00E52B95">
            <w:pPr>
              <w:spacing w:line="360" w:lineRule="auto"/>
              <w:jc w:val="both"/>
              <w:rPr>
                <w:rFonts w:ascii="Times New Roman" w:eastAsia="Times New Roman" w:hAnsi="Times New Roman" w:cs="Times New Roman"/>
                <w:i/>
                <w:iCs/>
                <w:color w:val="000000"/>
                <w:sz w:val="24"/>
                <w:szCs w:val="24"/>
                <w:lang w:eastAsia="en-IN"/>
              </w:rPr>
            </w:pPr>
            <w:r w:rsidRPr="00E52B95">
              <w:rPr>
                <w:rFonts w:ascii="Times New Roman" w:eastAsia="Times New Roman" w:hAnsi="Times New Roman" w:cs="Times New Roman"/>
                <w:i/>
                <w:iCs/>
                <w:color w:val="000000"/>
                <w:sz w:val="24"/>
                <w:szCs w:val="24"/>
                <w:lang w:eastAsia="en-IN"/>
              </w:rPr>
              <w:t xml:space="preserve">Amomum </w:t>
            </w:r>
          </w:p>
        </w:tc>
        <w:tc>
          <w:tcPr>
            <w:tcW w:w="4621" w:type="dxa"/>
          </w:tcPr>
          <w:p w:rsidR="00E52B95" w:rsidRPr="00E52B95" w:rsidRDefault="00E52B95" w:rsidP="00E52B95">
            <w:pPr>
              <w:spacing w:line="360" w:lineRule="auto"/>
              <w:jc w:val="both"/>
              <w:rPr>
                <w:rFonts w:ascii="Times New Roman" w:eastAsia="Times New Roman" w:hAnsi="Times New Roman" w:cs="Times New Roman"/>
                <w:color w:val="000000"/>
                <w:sz w:val="24"/>
                <w:szCs w:val="24"/>
                <w:lang w:eastAsia="en-IN"/>
              </w:rPr>
            </w:pPr>
            <w:r w:rsidRPr="00E52B95">
              <w:rPr>
                <w:rFonts w:ascii="Times New Roman" w:hAnsi="Times New Roman" w:cs="Times New Roman"/>
                <w:color w:val="000000"/>
                <w:sz w:val="24"/>
                <w:szCs w:val="24"/>
              </w:rPr>
              <w:t>Nepal, Sikkim, Bengal and southeast Asian countries</w:t>
            </w:r>
          </w:p>
        </w:tc>
      </w:tr>
    </w:tbl>
    <w:p w:rsidR="00E52B95" w:rsidRPr="00E52B95" w:rsidRDefault="00E52B95" w:rsidP="00E52B95">
      <w:pPr>
        <w:spacing w:line="360" w:lineRule="auto"/>
        <w:jc w:val="both"/>
        <w:rPr>
          <w:rFonts w:ascii="Times New Roman" w:hAnsi="Times New Roman" w:cs="Times New Roman"/>
          <w:b/>
          <w:color w:val="000000"/>
          <w:sz w:val="24"/>
          <w:szCs w:val="24"/>
        </w:rPr>
      </w:pPr>
      <w:r w:rsidRPr="00E52B95">
        <w:rPr>
          <w:rFonts w:ascii="Times New Roman" w:hAnsi="Times New Roman" w:cs="Times New Roman"/>
          <w:b/>
          <w:color w:val="000000"/>
          <w:sz w:val="24"/>
          <w:szCs w:val="24"/>
        </w:rPr>
        <w:lastRenderedPageBreak/>
        <w:t>3. Morphology</w:t>
      </w:r>
    </w:p>
    <w:p w:rsidR="00E52B95" w:rsidRPr="00E52B95" w:rsidRDefault="00E52B95" w:rsidP="00E52B95">
      <w:pPr>
        <w:spacing w:line="360" w:lineRule="auto"/>
        <w:jc w:val="both"/>
        <w:rPr>
          <w:rFonts w:ascii="Times New Roman" w:hAnsi="Times New Roman" w:cs="Times New Roman"/>
          <w:b/>
          <w:noProof/>
          <w:color w:val="000000"/>
          <w:sz w:val="24"/>
          <w:szCs w:val="24"/>
        </w:rPr>
      </w:pPr>
      <w:r w:rsidRPr="00E52B95">
        <w:rPr>
          <w:rFonts w:ascii="Times New Roman" w:hAnsi="Times New Roman" w:cs="Times New Roman"/>
          <w:color w:val="000000"/>
          <w:sz w:val="24"/>
          <w:szCs w:val="24"/>
        </w:rPr>
        <w:t xml:space="preserve">The morphological characterization of different genera of family </w:t>
      </w:r>
      <w:r w:rsidRPr="00E52B95">
        <w:rPr>
          <w:rFonts w:ascii="Times New Roman" w:hAnsi="Times New Roman" w:cs="Times New Roman"/>
          <w:i/>
          <w:color w:val="000000"/>
          <w:sz w:val="24"/>
          <w:szCs w:val="24"/>
        </w:rPr>
        <w:t xml:space="preserve">Zingiberaceae </w:t>
      </w:r>
      <w:r w:rsidRPr="00E52B95">
        <w:rPr>
          <w:rFonts w:ascii="Times New Roman" w:hAnsi="Times New Roman" w:cs="Times New Roman"/>
          <w:color w:val="000000"/>
          <w:sz w:val="24"/>
          <w:szCs w:val="24"/>
        </w:rPr>
        <w:t>has been discussed in the Table2.</w:t>
      </w:r>
      <w:r w:rsidRPr="00E52B95">
        <w:rPr>
          <w:rFonts w:ascii="Times New Roman" w:hAnsi="Times New Roman" w:cs="Times New Roman"/>
          <w:b/>
          <w:color w:val="000000"/>
          <w:sz w:val="24"/>
          <w:szCs w:val="24"/>
        </w:rPr>
        <w:t xml:space="preserve"> </w:t>
      </w:r>
    </w:p>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Table 2: Morphological features of different species of Family </w:t>
      </w:r>
      <w:r w:rsidRPr="00E52B95">
        <w:rPr>
          <w:rFonts w:ascii="Times New Roman" w:hAnsi="Times New Roman" w:cs="Times New Roman"/>
          <w:i/>
          <w:color w:val="000000"/>
          <w:sz w:val="24"/>
          <w:szCs w:val="24"/>
        </w:rPr>
        <w:t xml:space="preserve">Zingiberaceae </w:t>
      </w:r>
    </w:p>
    <w:tbl>
      <w:tblPr>
        <w:tblW w:w="11482" w:type="dxa"/>
        <w:tblInd w:w="-1026" w:type="dxa"/>
        <w:tblLayout w:type="fixed"/>
        <w:tblLook w:val="04A0" w:firstRow="1" w:lastRow="0" w:firstColumn="1" w:lastColumn="0" w:noHBand="0" w:noVBand="1"/>
      </w:tblPr>
      <w:tblGrid>
        <w:gridCol w:w="992"/>
        <w:gridCol w:w="142"/>
        <w:gridCol w:w="780"/>
        <w:gridCol w:w="213"/>
        <w:gridCol w:w="1417"/>
        <w:gridCol w:w="142"/>
        <w:gridCol w:w="142"/>
        <w:gridCol w:w="1134"/>
        <w:gridCol w:w="1701"/>
        <w:gridCol w:w="2835"/>
        <w:gridCol w:w="1984"/>
      </w:tblGrid>
      <w:tr w:rsidR="00E52B95" w:rsidRPr="00E52B95" w:rsidTr="00E52B95">
        <w:trPr>
          <w:trHeight w:val="652"/>
        </w:trPr>
        <w:tc>
          <w:tcPr>
            <w:tcW w:w="992" w:type="dxa"/>
            <w:tcBorders>
              <w:top w:val="single" w:sz="4" w:space="0" w:color="auto"/>
              <w:bottom w:val="single" w:sz="4" w:space="0" w:color="auto"/>
            </w:tcBorders>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lastRenderedPageBreak/>
              <w:t xml:space="preserve">Species </w:t>
            </w:r>
          </w:p>
        </w:tc>
        <w:tc>
          <w:tcPr>
            <w:tcW w:w="922" w:type="dxa"/>
            <w:gridSpan w:val="2"/>
            <w:tcBorders>
              <w:top w:val="single" w:sz="4" w:space="0" w:color="auto"/>
              <w:bottom w:val="single" w:sz="4" w:space="0" w:color="auto"/>
            </w:tcBorders>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Plant height </w:t>
            </w:r>
          </w:p>
        </w:tc>
        <w:tc>
          <w:tcPr>
            <w:tcW w:w="1914" w:type="dxa"/>
            <w:gridSpan w:val="4"/>
            <w:tcBorders>
              <w:top w:val="single" w:sz="4" w:space="0" w:color="auto"/>
              <w:bottom w:val="single" w:sz="4" w:space="0" w:color="auto"/>
            </w:tcBorders>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Rhizome Features</w:t>
            </w:r>
          </w:p>
        </w:tc>
        <w:tc>
          <w:tcPr>
            <w:tcW w:w="1134" w:type="dxa"/>
            <w:tcBorders>
              <w:top w:val="single" w:sz="4" w:space="0" w:color="auto"/>
              <w:bottom w:val="single" w:sz="4" w:space="0" w:color="auto"/>
            </w:tcBorders>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Leaf Features</w:t>
            </w:r>
          </w:p>
        </w:tc>
        <w:tc>
          <w:tcPr>
            <w:tcW w:w="1701" w:type="dxa"/>
            <w:tcBorders>
              <w:top w:val="single" w:sz="4" w:space="0" w:color="auto"/>
              <w:bottom w:val="single" w:sz="4" w:space="0" w:color="auto"/>
            </w:tcBorders>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Inflorescence Features</w:t>
            </w:r>
          </w:p>
        </w:tc>
        <w:tc>
          <w:tcPr>
            <w:tcW w:w="2835" w:type="dxa"/>
            <w:tcBorders>
              <w:top w:val="single" w:sz="4" w:space="0" w:color="auto"/>
              <w:bottom w:val="single" w:sz="4" w:space="0" w:color="auto"/>
            </w:tcBorders>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Other Notable Features</w:t>
            </w:r>
          </w:p>
        </w:tc>
        <w:tc>
          <w:tcPr>
            <w:tcW w:w="1984" w:type="dxa"/>
            <w:tcBorders>
              <w:top w:val="single" w:sz="4" w:space="0" w:color="auto"/>
              <w:bottom w:val="single" w:sz="4" w:space="0" w:color="auto"/>
            </w:tcBorders>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References </w:t>
            </w:r>
          </w:p>
        </w:tc>
      </w:tr>
      <w:tr w:rsidR="00E52B95" w:rsidRPr="00E52B95" w:rsidTr="00E52B95">
        <w:tc>
          <w:tcPr>
            <w:tcW w:w="11482" w:type="dxa"/>
            <w:gridSpan w:val="11"/>
            <w:tcBorders>
              <w:top w:val="single" w:sz="4" w:space="0" w:color="auto"/>
            </w:tcBorders>
          </w:tcPr>
          <w:p w:rsidR="00E52B95" w:rsidRPr="00E52B95" w:rsidRDefault="00E52B95" w:rsidP="00524E5A">
            <w:pPr>
              <w:spacing w:line="360" w:lineRule="auto"/>
              <w:jc w:val="center"/>
              <w:rPr>
                <w:rFonts w:ascii="Times New Roman" w:hAnsi="Times New Roman" w:cs="Times New Roman"/>
                <w:b/>
                <w:i/>
                <w:color w:val="000000"/>
                <w:sz w:val="24"/>
                <w:szCs w:val="24"/>
              </w:rPr>
            </w:pPr>
            <w:r w:rsidRPr="00E52B95">
              <w:rPr>
                <w:rFonts w:ascii="Times New Roman" w:hAnsi="Times New Roman" w:cs="Times New Roman"/>
                <w:b/>
                <w:i/>
                <w:color w:val="000000"/>
                <w:sz w:val="24"/>
                <w:szCs w:val="24"/>
              </w:rPr>
              <w:t>Genus Zingiber</w:t>
            </w:r>
          </w:p>
        </w:tc>
      </w:tr>
      <w:tr w:rsidR="00E52B95" w:rsidRPr="00E52B95" w:rsidTr="00E52B95">
        <w:trPr>
          <w:trHeight w:val="3238"/>
        </w:trPr>
        <w:tc>
          <w:tcPr>
            <w:tcW w:w="1134"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t>Z. officinale</w:t>
            </w:r>
            <w:r w:rsidRPr="00E52B95">
              <w:rPr>
                <w:rFonts w:ascii="Times New Roman" w:hAnsi="Times New Roman" w:cs="Times New Roman"/>
                <w:color w:val="000000"/>
                <w:sz w:val="24"/>
                <w:szCs w:val="24"/>
              </w:rPr>
              <w:t xml:space="preserve"> (Common Ginger)</w:t>
            </w:r>
          </w:p>
        </w:tc>
        <w:tc>
          <w:tcPr>
            <w:tcW w:w="993"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30 cm - 1 m</w:t>
            </w:r>
          </w:p>
        </w:tc>
        <w:tc>
          <w:tcPr>
            <w:tcW w:w="1559"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Long-lasting, can generate new shoots; extended flat, irregular branches, coarsely fibrous, pale-yellow inside. Shoots emerge from top, roots from base.</w:t>
            </w:r>
          </w:p>
        </w:tc>
        <w:tc>
          <w:tcPr>
            <w:tcW w:w="1276"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Hairy petioles (2–4 mm long), 15–23 mm long, and 8–15 mm wide.</w:t>
            </w:r>
          </w:p>
        </w:tc>
        <w:tc>
          <w:tcPr>
            <w:tcW w:w="1701" w:type="dxa"/>
          </w:tcPr>
          <w:p w:rsidR="00E52B95" w:rsidRPr="00E52B95" w:rsidRDefault="00E52B95" w:rsidP="00E52B95">
            <w:pPr>
              <w:spacing w:line="360" w:lineRule="auto"/>
              <w:jc w:val="both"/>
              <w:rPr>
                <w:rFonts w:ascii="Times New Roman" w:hAnsi="Times New Roman" w:cs="Times New Roman"/>
                <w:color w:val="000000"/>
                <w:sz w:val="24"/>
                <w:szCs w:val="24"/>
              </w:rPr>
            </w:pPr>
          </w:p>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Spike inflorescence </w:t>
            </w:r>
          </w:p>
        </w:tc>
        <w:tc>
          <w:tcPr>
            <w:tcW w:w="283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Pseudo-trunked, seasonal herbaceous plant.</w:t>
            </w:r>
          </w:p>
        </w:tc>
        <w:tc>
          <w:tcPr>
            <w:tcW w:w="1984"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(Ayustaningwarno </w:t>
            </w:r>
            <w:r w:rsidRPr="00E52B95">
              <w:rPr>
                <w:rFonts w:ascii="Times New Roman" w:hAnsi="Times New Roman" w:cs="Times New Roman"/>
                <w:i/>
                <w:color w:val="000000"/>
                <w:sz w:val="24"/>
                <w:szCs w:val="24"/>
              </w:rPr>
              <w:t>et al</w:t>
            </w:r>
            <w:r w:rsidRPr="00E52B95">
              <w:rPr>
                <w:rFonts w:ascii="Times New Roman" w:hAnsi="Times New Roman" w:cs="Times New Roman"/>
                <w:color w:val="000000"/>
                <w:sz w:val="24"/>
                <w:szCs w:val="24"/>
              </w:rPr>
              <w:t>., 2024)</w:t>
            </w:r>
          </w:p>
        </w:tc>
      </w:tr>
      <w:tr w:rsidR="00E52B95" w:rsidRPr="00E52B95" w:rsidTr="00E52B95">
        <w:tc>
          <w:tcPr>
            <w:tcW w:w="1134"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t>Z. zerumbet</w:t>
            </w:r>
            <w:r w:rsidRPr="00E52B95">
              <w:rPr>
                <w:rFonts w:ascii="Times New Roman" w:hAnsi="Times New Roman" w:cs="Times New Roman"/>
                <w:color w:val="000000"/>
                <w:sz w:val="24"/>
                <w:szCs w:val="24"/>
              </w:rPr>
              <w:t xml:space="preserve"> (Shampoo Ginger)</w:t>
            </w:r>
          </w:p>
        </w:tc>
        <w:tc>
          <w:tcPr>
            <w:tcW w:w="993"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0.9–2.0 m</w:t>
            </w:r>
          </w:p>
        </w:tc>
        <w:tc>
          <w:tcPr>
            <w:tcW w:w="1559"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Pale yellow inside, white exterior; rich, potent flavor.</w:t>
            </w:r>
          </w:p>
        </w:tc>
        <w:tc>
          <w:tcPr>
            <w:tcW w:w="1276"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Oblanceolate, acuminate, base narrowed, unbranched; 20–30 cm by 5–7.5 cm; covered in sheaths.</w:t>
            </w:r>
          </w:p>
        </w:tc>
        <w:tc>
          <w:tcPr>
            <w:tcW w:w="1701" w:type="dxa"/>
          </w:tcPr>
          <w:p w:rsidR="00E52B95" w:rsidRPr="00E52B95" w:rsidRDefault="00E52B95" w:rsidP="0029796B">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Erect, slant, round, glabrous stem; flexuous, robust, covered in</w:t>
            </w:r>
            <w:r w:rsidR="0029796B">
              <w:rPr>
                <w:rFonts w:ascii="Times New Roman" w:hAnsi="Times New Roman" w:cs="Times New Roman"/>
                <w:color w:val="000000"/>
                <w:sz w:val="24"/>
                <w:szCs w:val="24"/>
              </w:rPr>
              <w:t xml:space="preserve"> long, obtuse, </w:t>
            </w:r>
            <w:r w:rsidRPr="00E52B95">
              <w:rPr>
                <w:rFonts w:ascii="Times New Roman" w:hAnsi="Times New Roman" w:cs="Times New Roman"/>
                <w:color w:val="000000"/>
                <w:sz w:val="24"/>
                <w:szCs w:val="24"/>
              </w:rPr>
              <w:t xml:space="preserve"> green when young, turns red when mature (6-12 cm tall). Creates open pouch for flowers. White </w:t>
            </w:r>
            <w:r w:rsidRPr="00E52B95">
              <w:rPr>
                <w:rFonts w:ascii="Times New Roman" w:hAnsi="Times New Roman" w:cs="Times New Roman"/>
                <w:color w:val="000000"/>
                <w:sz w:val="24"/>
                <w:szCs w:val="24"/>
              </w:rPr>
              <w:lastRenderedPageBreak/>
              <w:t>to pale sulfur yellow flowers.</w:t>
            </w:r>
          </w:p>
        </w:tc>
        <w:tc>
          <w:tcPr>
            <w:tcW w:w="283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lastRenderedPageBreak/>
              <w:t>Distinctive yarn connected to a long, bent beak. Fruit tiny, capsule-shaped, white, glabrous. Seeds ellipsoidal, oblong, black.</w:t>
            </w:r>
          </w:p>
        </w:tc>
        <w:tc>
          <w:tcPr>
            <w:tcW w:w="1984"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(Chavan &amp; Dey., 2023)</w:t>
            </w:r>
          </w:p>
        </w:tc>
      </w:tr>
      <w:tr w:rsidR="00E52B95" w:rsidRPr="00E52B95" w:rsidTr="00E52B95">
        <w:tc>
          <w:tcPr>
            <w:tcW w:w="1134"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lastRenderedPageBreak/>
              <w:t>Z. mioga</w:t>
            </w:r>
            <w:r w:rsidRPr="00E52B95">
              <w:rPr>
                <w:rFonts w:ascii="Times New Roman" w:hAnsi="Times New Roman" w:cs="Times New Roman"/>
                <w:color w:val="000000"/>
                <w:sz w:val="24"/>
                <w:szCs w:val="24"/>
              </w:rPr>
              <w:t xml:space="preserve"> (Myoga Ginger)</w:t>
            </w:r>
          </w:p>
        </w:tc>
        <w:tc>
          <w:tcPr>
            <w:tcW w:w="993"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60–80 cm</w:t>
            </w:r>
          </w:p>
        </w:tc>
        <w:tc>
          <w:tcPr>
            <w:tcW w:w="1559"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0.9-2.9 cm diameter, compacted, branched, fleshy, mildly scented, brown outside, light yellow inside. Root tubers (3.0 x 1.5 cm) far from rhizomes.</w:t>
            </w:r>
          </w:p>
        </w:tc>
        <w:tc>
          <w:tcPr>
            <w:tcW w:w="1276"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13–16 leaves per shoot; simple, distichous, deciduous. Ligules 3 mm, bilobed; petiole 8–11 mm. Elliptic lamina 13–29 × 4–7 cm, adaxially green, abaxially pale green, pubescent along midrib, noticeably undulate.</w:t>
            </w:r>
          </w:p>
        </w:tc>
        <w:tc>
          <w:tcPr>
            <w:tcW w:w="1701"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Two to four inflorescences from rhizomes; peduncles 1.5-2.4 cm. Spikes ellipsoid (4.2-8.2 × 1.6-3.7 cm) with 3-7 greenish-yellow flowers.</w:t>
            </w:r>
          </w:p>
        </w:tc>
        <w:tc>
          <w:tcPr>
            <w:tcW w:w="283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Rhizomatous perennial herb.</w:t>
            </w:r>
          </w:p>
        </w:tc>
        <w:tc>
          <w:tcPr>
            <w:tcW w:w="1984"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(Lin </w:t>
            </w:r>
            <w:r w:rsidRPr="00E52B95">
              <w:rPr>
                <w:rFonts w:ascii="Times New Roman" w:hAnsi="Times New Roman" w:cs="Times New Roman"/>
                <w:i/>
                <w:color w:val="000000"/>
                <w:sz w:val="24"/>
                <w:szCs w:val="24"/>
              </w:rPr>
              <w:t>et al</w:t>
            </w:r>
            <w:r w:rsidRPr="00E52B95">
              <w:rPr>
                <w:rFonts w:ascii="Times New Roman" w:hAnsi="Times New Roman" w:cs="Times New Roman"/>
                <w:color w:val="000000"/>
                <w:sz w:val="24"/>
                <w:szCs w:val="24"/>
              </w:rPr>
              <w:t>., 2022)</w:t>
            </w:r>
          </w:p>
        </w:tc>
      </w:tr>
      <w:tr w:rsidR="00E52B95" w:rsidRPr="00E52B95" w:rsidTr="00E52B95">
        <w:tc>
          <w:tcPr>
            <w:tcW w:w="1134"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t>Z. montanum</w:t>
            </w:r>
            <w:r w:rsidRPr="00E52B95">
              <w:rPr>
                <w:rFonts w:ascii="Times New Roman" w:hAnsi="Times New Roman" w:cs="Times New Roman"/>
                <w:color w:val="000000"/>
                <w:sz w:val="24"/>
                <w:szCs w:val="24"/>
              </w:rPr>
              <w:t xml:space="preserve"> (Cassumunar Ginger)</w:t>
            </w:r>
          </w:p>
        </w:tc>
        <w:tc>
          <w:tcPr>
            <w:tcW w:w="993"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1-1.5 m</w:t>
            </w:r>
          </w:p>
        </w:tc>
        <w:tc>
          <w:tcPr>
            <w:tcW w:w="1559"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Perennial, horizontal, aromatic, yellow on the inside, and </w:t>
            </w:r>
            <w:r w:rsidRPr="00E52B95">
              <w:rPr>
                <w:rFonts w:ascii="Times New Roman" w:hAnsi="Times New Roman" w:cs="Times New Roman"/>
                <w:color w:val="000000"/>
                <w:sz w:val="24"/>
                <w:szCs w:val="24"/>
              </w:rPr>
              <w:lastRenderedPageBreak/>
              <w:t>thick (1-2 cm).</w:t>
            </w:r>
          </w:p>
        </w:tc>
        <w:tc>
          <w:tcPr>
            <w:tcW w:w="1276"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lastRenderedPageBreak/>
              <w:t>Subsessil; pubescent, bilobed, very short (2–3 mm) ligule. 20–</w:t>
            </w:r>
            <w:r w:rsidRPr="00E52B95">
              <w:rPr>
                <w:rFonts w:ascii="Times New Roman" w:hAnsi="Times New Roman" w:cs="Times New Roman"/>
                <w:color w:val="000000"/>
                <w:sz w:val="24"/>
                <w:szCs w:val="24"/>
              </w:rPr>
              <w:lastRenderedPageBreak/>
              <w:t>35 x 3–4 cm, linear-lanceolate, acute tip, slightly rounded base, lower pubescent, upper glabrous lamina.</w:t>
            </w:r>
          </w:p>
        </w:tc>
        <w:tc>
          <w:tcPr>
            <w:tcW w:w="1701"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lastRenderedPageBreak/>
              <w:t xml:space="preserve">Peduncle 10–20 cm, pubescent sheaths, inflorescence distinct from </w:t>
            </w:r>
            <w:r w:rsidRPr="00E52B95">
              <w:rPr>
                <w:rFonts w:ascii="Times New Roman" w:hAnsi="Times New Roman" w:cs="Times New Roman"/>
                <w:color w:val="000000"/>
                <w:sz w:val="24"/>
                <w:szCs w:val="24"/>
              </w:rPr>
              <w:lastRenderedPageBreak/>
              <w:t>leafy shoot. Spike: ovate, deep red, 6-8 x 3-4 cm. Bracts are pubescent, purplish brown, and broadly ovate. The white corolla.</w:t>
            </w:r>
          </w:p>
        </w:tc>
        <w:tc>
          <w:tcPr>
            <w:tcW w:w="283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lastRenderedPageBreak/>
              <w:t>Ovoid capsules (1.5 cm diameter) with very small, purple seeds.</w:t>
            </w:r>
          </w:p>
        </w:tc>
        <w:tc>
          <w:tcPr>
            <w:tcW w:w="1984"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(Kasarkar </w:t>
            </w:r>
            <w:r w:rsidRPr="00E52B95">
              <w:rPr>
                <w:rFonts w:ascii="Times New Roman" w:hAnsi="Times New Roman" w:cs="Times New Roman"/>
                <w:i/>
                <w:color w:val="000000"/>
                <w:sz w:val="24"/>
                <w:szCs w:val="24"/>
              </w:rPr>
              <w:t>et al</w:t>
            </w:r>
            <w:r w:rsidRPr="00E52B95">
              <w:rPr>
                <w:rFonts w:ascii="Times New Roman" w:hAnsi="Times New Roman" w:cs="Times New Roman"/>
                <w:color w:val="000000"/>
                <w:sz w:val="24"/>
                <w:szCs w:val="24"/>
              </w:rPr>
              <w:t>., 2017)</w:t>
            </w:r>
          </w:p>
        </w:tc>
      </w:tr>
      <w:tr w:rsidR="00E52B95" w:rsidRPr="00E52B95" w:rsidTr="00E52B95">
        <w:tc>
          <w:tcPr>
            <w:tcW w:w="1134" w:type="dxa"/>
            <w:gridSpan w:val="2"/>
          </w:tcPr>
          <w:p w:rsidR="00E52B95" w:rsidRPr="00E52B95" w:rsidRDefault="00E52B95" w:rsidP="00524E5A">
            <w:pPr>
              <w:spacing w:line="360" w:lineRule="auto"/>
              <w:jc w:val="center"/>
              <w:rPr>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lastRenderedPageBreak/>
              <w:t>Z. ottensii</w:t>
            </w:r>
            <w:r w:rsidRPr="00E52B95">
              <w:rPr>
                <w:rFonts w:ascii="Times New Roman" w:hAnsi="Times New Roman" w:cs="Times New Roman"/>
                <w:color w:val="000000"/>
                <w:sz w:val="24"/>
                <w:szCs w:val="24"/>
              </w:rPr>
              <w:t xml:space="preserve"> (Ottens Ginger)</w:t>
            </w:r>
          </w:p>
        </w:tc>
        <w:tc>
          <w:tcPr>
            <w:tcW w:w="993"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1.5 m</w:t>
            </w:r>
          </w:p>
        </w:tc>
        <w:tc>
          <w:tcPr>
            <w:tcW w:w="1559"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Strong scent, greyish purple inside.</w:t>
            </w:r>
          </w:p>
        </w:tc>
        <w:tc>
          <w:tcPr>
            <w:tcW w:w="1276"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Many, slightly hairy leaves on underside.</w:t>
            </w:r>
          </w:p>
        </w:tc>
        <w:tc>
          <w:tcPr>
            <w:tcW w:w="1701"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Densely imbricating bracts (4 cm long, ~10 cm total). Bracts dull reddish to bright crimson. Labellum pink and light yellow mottled</w:t>
            </w:r>
          </w:p>
        </w:tc>
        <w:tc>
          <w:tcPr>
            <w:tcW w:w="283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Closely spaced stems.</w:t>
            </w:r>
          </w:p>
        </w:tc>
        <w:tc>
          <w:tcPr>
            <w:tcW w:w="1984"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(Ruttanapattanakul </w:t>
            </w:r>
            <w:r w:rsidRPr="00E52B95">
              <w:rPr>
                <w:rFonts w:ascii="Times New Roman" w:hAnsi="Times New Roman" w:cs="Times New Roman"/>
                <w:i/>
                <w:color w:val="000000"/>
                <w:sz w:val="24"/>
                <w:szCs w:val="24"/>
              </w:rPr>
              <w:t>et al</w:t>
            </w:r>
            <w:r w:rsidRPr="00E52B95">
              <w:rPr>
                <w:rFonts w:ascii="Times New Roman" w:hAnsi="Times New Roman" w:cs="Times New Roman"/>
                <w:color w:val="000000"/>
                <w:sz w:val="24"/>
                <w:szCs w:val="24"/>
              </w:rPr>
              <w:t>., 2021)</w:t>
            </w:r>
          </w:p>
        </w:tc>
      </w:tr>
      <w:tr w:rsidR="00E52B95" w:rsidRPr="00E52B95" w:rsidTr="00E52B95">
        <w:tc>
          <w:tcPr>
            <w:tcW w:w="11482" w:type="dxa"/>
            <w:gridSpan w:val="11"/>
          </w:tcPr>
          <w:p w:rsidR="00E52B95" w:rsidRPr="00E52B95" w:rsidRDefault="00E52B95" w:rsidP="00524E5A">
            <w:pPr>
              <w:spacing w:line="360" w:lineRule="auto"/>
              <w:jc w:val="center"/>
              <w:rPr>
                <w:rFonts w:ascii="Times New Roman" w:hAnsi="Times New Roman" w:cs="Times New Roman"/>
                <w:b/>
                <w:i/>
                <w:color w:val="000000"/>
                <w:sz w:val="24"/>
                <w:szCs w:val="24"/>
              </w:rPr>
            </w:pPr>
            <w:r w:rsidRPr="00E52B95">
              <w:rPr>
                <w:rFonts w:ascii="Times New Roman" w:hAnsi="Times New Roman" w:cs="Times New Roman"/>
                <w:b/>
                <w:i/>
                <w:color w:val="000000"/>
                <w:sz w:val="24"/>
                <w:szCs w:val="24"/>
              </w:rPr>
              <w:t>Genus Curcuma</w:t>
            </w:r>
          </w:p>
        </w:tc>
      </w:tr>
      <w:tr w:rsidR="00E52B95" w:rsidRPr="00E52B95" w:rsidTr="00E52B95">
        <w:tc>
          <w:tcPr>
            <w:tcW w:w="1134"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t>C. longa</w:t>
            </w:r>
            <w:r w:rsidRPr="00E52B95">
              <w:rPr>
                <w:rFonts w:ascii="Times New Roman" w:hAnsi="Times New Roman" w:cs="Times New Roman"/>
                <w:color w:val="000000"/>
                <w:sz w:val="24"/>
                <w:szCs w:val="24"/>
              </w:rPr>
              <w:t xml:space="preserve"> (Turmeric)</w:t>
            </w:r>
          </w:p>
        </w:tc>
        <w:tc>
          <w:tcPr>
            <w:tcW w:w="993"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145.6</w:t>
            </w:r>
            <w:r w:rsidR="00073DBE">
              <w:rPr>
                <w:rFonts w:ascii="Times New Roman" w:hAnsi="Times New Roman" w:cs="Times New Roman"/>
                <w:color w:val="000000"/>
                <w:sz w:val="24"/>
                <w:szCs w:val="24"/>
              </w:rPr>
              <w:t xml:space="preserve">  </w:t>
            </w:r>
            <w:r w:rsidRPr="00E52B95">
              <w:rPr>
                <w:rFonts w:ascii="Times New Roman" w:hAnsi="Times New Roman" w:cs="Times New Roman"/>
                <w:color w:val="000000"/>
                <w:sz w:val="24"/>
                <w:szCs w:val="24"/>
              </w:rPr>
              <w:t>-180.6 cm (average 163.43±11.63 cm)</w:t>
            </w:r>
          </w:p>
        </w:tc>
        <w:tc>
          <w:tcPr>
            <w:tcW w:w="1417"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Round (2.03-2.68 cm diameter), uneven, orange surface.</w:t>
            </w:r>
          </w:p>
        </w:tc>
        <w:tc>
          <w:tcPr>
            <w:tcW w:w="1418" w:type="dxa"/>
            <w:gridSpan w:val="3"/>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5-8 blades (average 6.43±0.98), lanceolate, acuminate tip/base, entire margin, pinnate </w:t>
            </w:r>
            <w:r w:rsidRPr="00E52B95">
              <w:rPr>
                <w:rFonts w:ascii="Times New Roman" w:hAnsi="Times New Roman" w:cs="Times New Roman"/>
                <w:color w:val="000000"/>
                <w:sz w:val="24"/>
                <w:szCs w:val="24"/>
              </w:rPr>
              <w:lastRenderedPageBreak/>
              <w:t>venation, prominent midrib. Petiole 39.0-48.7 cm. Leaf blade 64.4-81.0 cm long, 14.7-18.4 cm wide.</w:t>
            </w:r>
          </w:p>
        </w:tc>
        <w:tc>
          <w:tcPr>
            <w:tcW w:w="1701" w:type="dxa"/>
          </w:tcPr>
          <w:p w:rsidR="00E52B95" w:rsidRPr="00E52B95" w:rsidRDefault="00E52B95" w:rsidP="00E52B95">
            <w:pPr>
              <w:spacing w:line="360" w:lineRule="auto"/>
              <w:jc w:val="both"/>
              <w:rPr>
                <w:rFonts w:ascii="Times New Roman" w:hAnsi="Times New Roman" w:cs="Times New Roman"/>
                <w:color w:val="000000"/>
                <w:sz w:val="24"/>
                <w:szCs w:val="24"/>
              </w:rPr>
            </w:pPr>
          </w:p>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        Spike inflorescence </w:t>
            </w:r>
          </w:p>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(racemose type)</w:t>
            </w:r>
          </w:p>
        </w:tc>
        <w:tc>
          <w:tcPr>
            <w:tcW w:w="283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Pseudo-stem base green; pseudo-stem diameter 3.15-3.95 cm. Erect growth.</w:t>
            </w:r>
          </w:p>
        </w:tc>
        <w:tc>
          <w:tcPr>
            <w:tcW w:w="1984"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(Windarsih </w:t>
            </w:r>
            <w:r w:rsidRPr="00E52B95">
              <w:rPr>
                <w:rFonts w:ascii="Times New Roman" w:hAnsi="Times New Roman" w:cs="Times New Roman"/>
                <w:i/>
                <w:color w:val="000000"/>
                <w:sz w:val="24"/>
                <w:szCs w:val="24"/>
              </w:rPr>
              <w:t>et al</w:t>
            </w:r>
            <w:r w:rsidRPr="00E52B95">
              <w:rPr>
                <w:rFonts w:ascii="Times New Roman" w:hAnsi="Times New Roman" w:cs="Times New Roman"/>
                <w:color w:val="000000"/>
                <w:sz w:val="24"/>
                <w:szCs w:val="24"/>
              </w:rPr>
              <w:t>., 2021)</w:t>
            </w:r>
          </w:p>
        </w:tc>
      </w:tr>
      <w:tr w:rsidR="00E52B95" w:rsidRPr="00E52B95" w:rsidTr="00E52B95">
        <w:tc>
          <w:tcPr>
            <w:tcW w:w="1134"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lastRenderedPageBreak/>
              <w:t>C. caesia</w:t>
            </w:r>
            <w:r w:rsidRPr="00E52B95">
              <w:rPr>
                <w:rFonts w:ascii="Times New Roman" w:hAnsi="Times New Roman" w:cs="Times New Roman"/>
                <w:color w:val="000000"/>
                <w:sz w:val="24"/>
                <w:szCs w:val="24"/>
              </w:rPr>
              <w:t xml:space="preserve"> (Black Turmeric)</w:t>
            </w:r>
          </w:p>
        </w:tc>
        <w:tc>
          <w:tcPr>
            <w:tcW w:w="993"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0.5 - 1.0 m</w:t>
            </w:r>
          </w:p>
        </w:tc>
        <w:tc>
          <w:tcPr>
            <w:tcW w:w="1417"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Sizable bluish-black, subterranean, ovoid (2–6 cm diameter); camphoraceous smell; warty exterior, adventitious roots, root scars, longitudinal wrinkles (internodal/nodal zones).</w:t>
            </w:r>
          </w:p>
        </w:tc>
        <w:tc>
          <w:tcPr>
            <w:tcW w:w="1418" w:type="dxa"/>
            <w:gridSpan w:val="3"/>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Bunches of 10-20 leaves; deep violet spot runs throughout lamina. Ivory-colored petioles. Parallel venation.</w:t>
            </w:r>
          </w:p>
        </w:tc>
        <w:tc>
          <w:tcPr>
            <w:tcW w:w="1701"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Inflorescence with orange leaves and white blossoms grows at rhizome base in early spring (20-25 cm long). Larger, colorful bracts at tips of flowering stalks. Flowering stem 3.8–5 cm long.</w:t>
            </w:r>
          </w:p>
        </w:tc>
        <w:tc>
          <w:tcPr>
            <w:tcW w:w="283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Typically grows in sandy loam, acidic soils. Matures in ~9 months.</w:t>
            </w:r>
          </w:p>
        </w:tc>
        <w:tc>
          <w:tcPr>
            <w:tcW w:w="1984"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(Borah </w:t>
            </w:r>
            <w:r w:rsidRPr="00E52B95">
              <w:rPr>
                <w:rFonts w:ascii="Times New Roman" w:hAnsi="Times New Roman" w:cs="Times New Roman"/>
                <w:i/>
                <w:color w:val="000000"/>
                <w:sz w:val="24"/>
                <w:szCs w:val="24"/>
              </w:rPr>
              <w:t>et al</w:t>
            </w:r>
            <w:r w:rsidRPr="00E52B95">
              <w:rPr>
                <w:rFonts w:ascii="Times New Roman" w:hAnsi="Times New Roman" w:cs="Times New Roman"/>
                <w:color w:val="000000"/>
                <w:sz w:val="24"/>
                <w:szCs w:val="24"/>
              </w:rPr>
              <w:t>., 2020)</w:t>
            </w:r>
          </w:p>
        </w:tc>
      </w:tr>
      <w:tr w:rsidR="00E52B95" w:rsidRPr="00E52B95" w:rsidTr="00E52B95">
        <w:tc>
          <w:tcPr>
            <w:tcW w:w="1134"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lastRenderedPageBreak/>
              <w:t>C. aromatica</w:t>
            </w:r>
            <w:r w:rsidRPr="00E52B95">
              <w:rPr>
                <w:rFonts w:ascii="Times New Roman" w:hAnsi="Times New Roman" w:cs="Times New Roman"/>
                <w:color w:val="000000"/>
                <w:sz w:val="24"/>
                <w:szCs w:val="24"/>
              </w:rPr>
              <w:t xml:space="preserve"> (Wild Turmeric)</w:t>
            </w:r>
          </w:p>
        </w:tc>
        <w:tc>
          <w:tcPr>
            <w:tcW w:w="993"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Up to 90 cm</w:t>
            </w:r>
          </w:p>
        </w:tc>
        <w:tc>
          <w:tcPr>
            <w:tcW w:w="1417"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Robust underground rhizome; dormant in winter.</w:t>
            </w:r>
          </w:p>
        </w:tc>
        <w:tc>
          <w:tcPr>
            <w:tcW w:w="1418" w:type="dxa"/>
            <w:gridSpan w:val="3"/>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Leaf stalk as long as rhizomes; oval, 1-1.2 m long, 20 cm wide.</w:t>
            </w:r>
          </w:p>
        </w:tc>
        <w:tc>
          <w:tcPr>
            <w:tcW w:w="1701"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Unlike bracts, these long, tubular, pale yellow flowers have a crimson border</w:t>
            </w:r>
          </w:p>
        </w:tc>
        <w:tc>
          <w:tcPr>
            <w:tcW w:w="283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Visually appealing and aromatic. Foliage dies off in late autumn.</w:t>
            </w:r>
          </w:p>
        </w:tc>
        <w:tc>
          <w:tcPr>
            <w:tcW w:w="1984"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(Dhiman &amp; Sharma., 2023)</w:t>
            </w:r>
          </w:p>
        </w:tc>
      </w:tr>
      <w:tr w:rsidR="00E52B95" w:rsidRPr="00E52B95" w:rsidTr="00E52B95">
        <w:tc>
          <w:tcPr>
            <w:tcW w:w="1134"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C.</w:t>
            </w:r>
          </w:p>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zedoaroides</w:t>
            </w:r>
          </w:p>
        </w:tc>
        <w:tc>
          <w:tcPr>
            <w:tcW w:w="993"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70-100 cm</w:t>
            </w:r>
          </w:p>
        </w:tc>
        <w:tc>
          <w:tcPr>
            <w:tcW w:w="1417"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Branching; primary rhizome upright, broadly conical (10.0–12.0 × 3.0–5.0 cm). Secondary rhizome cylinder-shaped (8.0–10.0 × 2.5–3.0 cm) downward. Silvery, pale greenish outside, pale yellow/green inside depending on season.</w:t>
            </w:r>
          </w:p>
        </w:tc>
        <w:tc>
          <w:tcPr>
            <w:tcW w:w="1418" w:type="dxa"/>
            <w:gridSpan w:val="3"/>
          </w:tcPr>
          <w:p w:rsidR="00E52B95" w:rsidRPr="00E52B95" w:rsidRDefault="00E52B95" w:rsidP="00E52B95">
            <w:pPr>
              <w:spacing w:after="0" w:line="360" w:lineRule="auto"/>
              <w:jc w:val="both"/>
              <w:rPr>
                <w:rFonts w:ascii="Times New Roman" w:eastAsia="Times New Roman" w:hAnsi="Times New Roman" w:cs="Times New Roman"/>
                <w:color w:val="000000"/>
                <w:sz w:val="24"/>
                <w:szCs w:val="24"/>
                <w:lang w:eastAsia="en-IN" w:bidi="ar-SA"/>
              </w:rPr>
            </w:pPr>
            <w:r w:rsidRPr="00E52B95">
              <w:rPr>
                <w:rFonts w:ascii="Times New Roman" w:eastAsia="Times New Roman" w:hAnsi="Times New Roman" w:cs="Times New Roman"/>
                <w:color w:val="000000"/>
                <w:sz w:val="24"/>
                <w:szCs w:val="24"/>
                <w:lang w:eastAsia="en-IN" w:bidi="ar-SA"/>
              </w:rPr>
              <w:t xml:space="preserve">Oblong to oblong-lanceolate (70–100 × 15–18 cm); hairy beneath surface; glabrous top, reddish-purple stripe along midrib. </w:t>
            </w:r>
          </w:p>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Petioles thin, at least 8.0–12.0 cm.</w:t>
            </w:r>
          </w:p>
        </w:tc>
        <w:tc>
          <w:tcPr>
            <w:tcW w:w="1701"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Erect inflorescences (15.0–18.0 cm long) on sides of parent rhizomes. Peduncles 25.0–28.0 cm with sheaths. Spikes elliptic.</w:t>
            </w:r>
          </w:p>
        </w:tc>
        <w:tc>
          <w:tcPr>
            <w:tcW w:w="283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Perennial terrestrial rhizomatous plant; some pseudo stems develop ovoid/conical tubers at apex.</w:t>
            </w:r>
          </w:p>
        </w:tc>
        <w:tc>
          <w:tcPr>
            <w:tcW w:w="1984"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(Chaveerach </w:t>
            </w:r>
            <w:r w:rsidRPr="00E52B95">
              <w:rPr>
                <w:rFonts w:ascii="Times New Roman" w:hAnsi="Times New Roman" w:cs="Times New Roman"/>
                <w:i/>
                <w:color w:val="000000"/>
                <w:sz w:val="24"/>
                <w:szCs w:val="24"/>
              </w:rPr>
              <w:t>et al</w:t>
            </w:r>
            <w:r w:rsidRPr="00E52B95">
              <w:rPr>
                <w:rFonts w:ascii="Times New Roman" w:hAnsi="Times New Roman" w:cs="Times New Roman"/>
                <w:color w:val="000000"/>
                <w:sz w:val="24"/>
                <w:szCs w:val="24"/>
              </w:rPr>
              <w:t>., 2008)</w:t>
            </w:r>
          </w:p>
        </w:tc>
      </w:tr>
      <w:tr w:rsidR="00E52B95" w:rsidRPr="00E52B95" w:rsidTr="00E52B95">
        <w:tc>
          <w:tcPr>
            <w:tcW w:w="1134"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t>C. xanthorrhiza</w:t>
            </w:r>
            <w:r w:rsidRPr="00E52B95">
              <w:rPr>
                <w:rFonts w:ascii="Times New Roman" w:hAnsi="Times New Roman" w:cs="Times New Roman"/>
                <w:color w:val="000000"/>
                <w:sz w:val="24"/>
                <w:szCs w:val="24"/>
              </w:rPr>
              <w:t xml:space="preserve"> </w:t>
            </w:r>
            <w:r w:rsidRPr="00E52B95">
              <w:rPr>
                <w:rFonts w:ascii="Times New Roman" w:hAnsi="Times New Roman" w:cs="Times New Roman"/>
                <w:color w:val="000000"/>
                <w:sz w:val="24"/>
                <w:szCs w:val="24"/>
              </w:rPr>
              <w:lastRenderedPageBreak/>
              <w:t>(Javanese Turmeric)</w:t>
            </w:r>
          </w:p>
        </w:tc>
        <w:tc>
          <w:tcPr>
            <w:tcW w:w="993"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lastRenderedPageBreak/>
              <w:t>2–2.5 m (pseudo stem)</w:t>
            </w:r>
          </w:p>
        </w:tc>
        <w:tc>
          <w:tcPr>
            <w:tcW w:w="1417"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Parent rhizome oval, </w:t>
            </w:r>
            <w:r w:rsidRPr="00E52B95">
              <w:rPr>
                <w:rFonts w:ascii="Times New Roman" w:hAnsi="Times New Roman" w:cs="Times New Roman"/>
                <w:color w:val="000000"/>
                <w:sz w:val="24"/>
                <w:szCs w:val="24"/>
              </w:rPr>
              <w:lastRenderedPageBreak/>
              <w:t>circular, egg-shaped. Branch rhizome elongated (3-4 per plant). Fibrous root system (~2.5 cm long).</w:t>
            </w:r>
          </w:p>
        </w:tc>
        <w:tc>
          <w:tcPr>
            <w:tcW w:w="1418" w:type="dxa"/>
            <w:gridSpan w:val="3"/>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lastRenderedPageBreak/>
              <w:t xml:space="preserve">Long and very broad (50–55 cm </w:t>
            </w:r>
            <w:r w:rsidRPr="00E52B95">
              <w:rPr>
                <w:rFonts w:ascii="Times New Roman" w:hAnsi="Times New Roman" w:cs="Times New Roman"/>
                <w:color w:val="000000"/>
                <w:sz w:val="24"/>
                <w:szCs w:val="24"/>
              </w:rPr>
              <w:lastRenderedPageBreak/>
              <w:t>length, ~18 cm breadth); 2-9 leaves per plant.</w:t>
            </w:r>
          </w:p>
        </w:tc>
        <w:tc>
          <w:tcPr>
            <w:tcW w:w="1701"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lastRenderedPageBreak/>
              <w:t xml:space="preserve">Flowers all year, alternately </w:t>
            </w:r>
            <w:r w:rsidRPr="00E52B95">
              <w:rPr>
                <w:rFonts w:ascii="Times New Roman" w:hAnsi="Times New Roman" w:cs="Times New Roman"/>
                <w:color w:val="000000"/>
                <w:sz w:val="24"/>
                <w:szCs w:val="24"/>
              </w:rPr>
              <w:lastRenderedPageBreak/>
              <w:t>from rhizome. Flower stalk ~3 cm. Inflorescentia flower arrangement 1.5 cm. 3-4 blossoms in one armpit. Slender, hairy flower stalks (4-37 cm).</w:t>
            </w:r>
          </w:p>
        </w:tc>
        <w:tc>
          <w:tcPr>
            <w:tcW w:w="283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lastRenderedPageBreak/>
              <w:t>Grows in clusters (3-9 plants per colony).</w:t>
            </w:r>
          </w:p>
        </w:tc>
        <w:tc>
          <w:tcPr>
            <w:tcW w:w="1984"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(Rahmat &amp; Kang., 2021)</w:t>
            </w:r>
          </w:p>
        </w:tc>
      </w:tr>
      <w:tr w:rsidR="00E52B95" w:rsidRPr="00E52B95" w:rsidTr="00E52B95">
        <w:tc>
          <w:tcPr>
            <w:tcW w:w="1134"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lastRenderedPageBreak/>
              <w:t>C. amada</w:t>
            </w:r>
            <w:r w:rsidRPr="00E52B95">
              <w:rPr>
                <w:rFonts w:ascii="Times New Roman" w:hAnsi="Times New Roman" w:cs="Times New Roman"/>
                <w:color w:val="000000"/>
                <w:sz w:val="24"/>
                <w:szCs w:val="24"/>
              </w:rPr>
              <w:t xml:space="preserve"> (Mango Ginger)</w:t>
            </w:r>
          </w:p>
        </w:tc>
        <w:tc>
          <w:tcPr>
            <w:tcW w:w="993"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Up to 1 m</w:t>
            </w:r>
          </w:p>
        </w:tc>
        <w:tc>
          <w:tcPr>
            <w:tcW w:w="1417"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Meaty, buff-colored (3-5 cm length, 2-4 cm width); separated into internodes and nodes with developing rings/scars. Sympodial branches on roots.</w:t>
            </w:r>
          </w:p>
        </w:tc>
        <w:tc>
          <w:tcPr>
            <w:tcW w:w="1418" w:type="dxa"/>
            <w:gridSpan w:val="3"/>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Long, oblong, lanceolate, radical; tuft-like, petiolate, sheathed. 5-6 pairs of foliage.</w:t>
            </w:r>
          </w:p>
        </w:tc>
        <w:tc>
          <w:tcPr>
            <w:tcW w:w="1701"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Spike (compact cone like )</w:t>
            </w:r>
          </w:p>
        </w:tc>
        <w:tc>
          <w:tcPr>
            <w:tcW w:w="283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Roots strongly flavored, taste like raw mango.</w:t>
            </w:r>
          </w:p>
        </w:tc>
        <w:tc>
          <w:tcPr>
            <w:tcW w:w="1984"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(Sharma et.al., 2025)</w:t>
            </w:r>
          </w:p>
        </w:tc>
      </w:tr>
      <w:tr w:rsidR="00E52B95" w:rsidRPr="00E52B95" w:rsidTr="00E52B95">
        <w:tc>
          <w:tcPr>
            <w:tcW w:w="11482" w:type="dxa"/>
            <w:gridSpan w:val="11"/>
          </w:tcPr>
          <w:p w:rsidR="00E52B95" w:rsidRPr="00E52B95" w:rsidRDefault="00E52B95" w:rsidP="00524E5A">
            <w:pPr>
              <w:spacing w:line="360" w:lineRule="auto"/>
              <w:jc w:val="center"/>
              <w:rPr>
                <w:rFonts w:ascii="Times New Roman" w:hAnsi="Times New Roman" w:cs="Times New Roman"/>
                <w:b/>
                <w:i/>
                <w:color w:val="000000"/>
                <w:sz w:val="24"/>
                <w:szCs w:val="24"/>
              </w:rPr>
            </w:pPr>
            <w:r w:rsidRPr="00E52B95">
              <w:rPr>
                <w:rFonts w:ascii="Times New Roman" w:hAnsi="Times New Roman" w:cs="Times New Roman"/>
                <w:b/>
                <w:i/>
                <w:color w:val="000000"/>
                <w:sz w:val="24"/>
                <w:szCs w:val="24"/>
              </w:rPr>
              <w:t>Genus Alpinia</w:t>
            </w:r>
          </w:p>
        </w:tc>
      </w:tr>
      <w:tr w:rsidR="00E52B95" w:rsidRPr="00E52B95" w:rsidTr="00E52B95">
        <w:tc>
          <w:tcPr>
            <w:tcW w:w="1134" w:type="dxa"/>
            <w:gridSpan w:val="2"/>
          </w:tcPr>
          <w:p w:rsidR="00E52B95" w:rsidRPr="00E52B95" w:rsidRDefault="00E52B95" w:rsidP="00E52B95">
            <w:pPr>
              <w:spacing w:line="360" w:lineRule="auto"/>
              <w:jc w:val="both"/>
              <w:rPr>
                <w:rFonts w:ascii="Times New Roman" w:hAnsi="Times New Roman" w:cs="Times New Roman"/>
                <w:i/>
                <w:color w:val="000000"/>
                <w:sz w:val="24"/>
                <w:szCs w:val="24"/>
              </w:rPr>
            </w:pPr>
            <w:r w:rsidRPr="00E52B95">
              <w:rPr>
                <w:rFonts w:ascii="Times New Roman" w:hAnsi="Times New Roman" w:cs="Times New Roman"/>
                <w:i/>
                <w:color w:val="000000"/>
                <w:sz w:val="24"/>
                <w:szCs w:val="24"/>
              </w:rPr>
              <w:t>A. malaccensis</w:t>
            </w:r>
          </w:p>
        </w:tc>
        <w:tc>
          <w:tcPr>
            <w:tcW w:w="780"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2 - 4 m</w:t>
            </w:r>
          </w:p>
        </w:tc>
        <w:tc>
          <w:tcPr>
            <w:tcW w:w="1630"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Robust rhizomes just below ground give rise to </w:t>
            </w:r>
            <w:r w:rsidRPr="00E52B95">
              <w:rPr>
                <w:rFonts w:ascii="Times New Roman" w:hAnsi="Times New Roman" w:cs="Times New Roman"/>
                <w:color w:val="000000"/>
                <w:sz w:val="24"/>
                <w:szCs w:val="24"/>
              </w:rPr>
              <w:lastRenderedPageBreak/>
              <w:t>tall, green stems in large clumps.</w:t>
            </w:r>
          </w:p>
        </w:tc>
        <w:tc>
          <w:tcPr>
            <w:tcW w:w="1418" w:type="dxa"/>
            <w:gridSpan w:val="3"/>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lastRenderedPageBreak/>
              <w:t xml:space="preserve">Up to 8 pairs of enormous linear leaves (up to 90 by </w:t>
            </w:r>
            <w:r w:rsidRPr="00E52B95">
              <w:rPr>
                <w:rFonts w:ascii="Times New Roman" w:hAnsi="Times New Roman" w:cs="Times New Roman"/>
                <w:color w:val="000000"/>
                <w:sz w:val="24"/>
                <w:szCs w:val="24"/>
              </w:rPr>
              <w:lastRenderedPageBreak/>
              <w:t>20 cm); narrowly cuneate base, slightly pointed apex. Upper glabrous (except midrib), underside soft, velvety hairs. Petiole up to 8 cm.</w:t>
            </w:r>
          </w:p>
        </w:tc>
        <w:tc>
          <w:tcPr>
            <w:tcW w:w="1701"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lastRenderedPageBreak/>
              <w:t xml:space="preserve">Bears the largest flower among Peninsular </w:t>
            </w:r>
            <w:r w:rsidRPr="00E52B95">
              <w:rPr>
                <w:rFonts w:ascii="Times New Roman" w:hAnsi="Times New Roman" w:cs="Times New Roman"/>
                <w:color w:val="000000"/>
                <w:sz w:val="24"/>
                <w:szCs w:val="24"/>
              </w:rPr>
              <w:lastRenderedPageBreak/>
              <w:t xml:space="preserve">Malaysian </w:t>
            </w:r>
            <w:r w:rsidRPr="00E52B95">
              <w:rPr>
                <w:rFonts w:ascii="Times New Roman" w:hAnsi="Times New Roman" w:cs="Times New Roman"/>
                <w:i/>
                <w:color w:val="000000"/>
                <w:sz w:val="24"/>
                <w:szCs w:val="24"/>
              </w:rPr>
              <w:t>Alpinia</w:t>
            </w:r>
            <w:r w:rsidRPr="00E52B95">
              <w:rPr>
                <w:rFonts w:ascii="Times New Roman" w:hAnsi="Times New Roman" w:cs="Times New Roman"/>
                <w:color w:val="000000"/>
                <w:sz w:val="24"/>
                <w:szCs w:val="24"/>
              </w:rPr>
              <w:t>species, held upright at stem end.</w:t>
            </w:r>
          </w:p>
        </w:tc>
        <w:tc>
          <w:tcPr>
            <w:tcW w:w="283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lastRenderedPageBreak/>
              <w:t>Big ginger</w:t>
            </w:r>
          </w:p>
        </w:tc>
        <w:tc>
          <w:tcPr>
            <w:tcW w:w="1984"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(Azah </w:t>
            </w:r>
            <w:r w:rsidRPr="00E52B95">
              <w:rPr>
                <w:rFonts w:ascii="Times New Roman" w:hAnsi="Times New Roman" w:cs="Times New Roman"/>
                <w:i/>
                <w:color w:val="000000"/>
                <w:sz w:val="24"/>
                <w:szCs w:val="24"/>
              </w:rPr>
              <w:t>et al</w:t>
            </w:r>
            <w:r w:rsidRPr="00E52B95">
              <w:rPr>
                <w:rFonts w:ascii="Times New Roman" w:hAnsi="Times New Roman" w:cs="Times New Roman"/>
                <w:color w:val="000000"/>
                <w:sz w:val="24"/>
                <w:szCs w:val="24"/>
              </w:rPr>
              <w:t>., 2005)</w:t>
            </w:r>
          </w:p>
        </w:tc>
      </w:tr>
      <w:tr w:rsidR="00E52B95" w:rsidRPr="00E52B95" w:rsidTr="00E52B95">
        <w:tc>
          <w:tcPr>
            <w:tcW w:w="1134"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lastRenderedPageBreak/>
              <w:t>A. galanga</w:t>
            </w:r>
            <w:r w:rsidRPr="00E52B95">
              <w:rPr>
                <w:rFonts w:ascii="Times New Roman" w:hAnsi="Times New Roman" w:cs="Times New Roman"/>
                <w:color w:val="000000"/>
                <w:sz w:val="24"/>
                <w:szCs w:val="24"/>
              </w:rPr>
              <w:t xml:space="preserve"> (Greater Galangal)</w:t>
            </w:r>
          </w:p>
        </w:tc>
        <w:tc>
          <w:tcPr>
            <w:tcW w:w="780"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Up to ~1.5 m</w:t>
            </w:r>
          </w:p>
        </w:tc>
        <w:tc>
          <w:tcPr>
            <w:tcW w:w="1630"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Tuberous roots; rarely thicker than 2 cm, 3.5-7.5 cm long</w:t>
            </w:r>
          </w:p>
        </w:tc>
        <w:tc>
          <w:tcPr>
            <w:tcW w:w="1418" w:type="dxa"/>
            <w:gridSpan w:val="3"/>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Long, oblong-lanceolate, sharp, hairless. Ligules short, rounded.</w:t>
            </w:r>
          </w:p>
        </w:tc>
        <w:tc>
          <w:tcPr>
            <w:tcW w:w="1701"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Greenish white flowers; oblong and lanceolate bracts. Tubular calyx; oblong corolla lobes; white blade with red-striated green claw. Broadly elliptic labellum, short 2-lobed apex, subulate glands.</w:t>
            </w:r>
          </w:p>
        </w:tc>
        <w:tc>
          <w:tcPr>
            <w:tcW w:w="283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Herb, faintly scented. Orange-red fruit (small cherry size).</w:t>
            </w:r>
          </w:p>
        </w:tc>
        <w:tc>
          <w:tcPr>
            <w:tcW w:w="1984"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(Chouni &amp; Paul., 2018)</w:t>
            </w:r>
          </w:p>
        </w:tc>
      </w:tr>
      <w:tr w:rsidR="00E52B95" w:rsidRPr="00E52B95" w:rsidTr="00E52B95">
        <w:tc>
          <w:tcPr>
            <w:tcW w:w="1134"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lastRenderedPageBreak/>
              <w:t>A. nigra</w:t>
            </w:r>
            <w:r w:rsidRPr="00E52B95">
              <w:rPr>
                <w:rFonts w:ascii="Times New Roman" w:hAnsi="Times New Roman" w:cs="Times New Roman"/>
                <w:color w:val="000000"/>
                <w:sz w:val="24"/>
                <w:szCs w:val="24"/>
              </w:rPr>
              <w:t xml:space="preserve">(Blackfruit Galangal) </w:t>
            </w:r>
          </w:p>
        </w:tc>
        <w:tc>
          <w:tcPr>
            <w:tcW w:w="780"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~3.08 m (pseudo-stem)</w:t>
            </w:r>
          </w:p>
        </w:tc>
        <w:tc>
          <w:tcPr>
            <w:tcW w:w="1630"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Subsurface rhizome.</w:t>
            </w:r>
          </w:p>
        </w:tc>
        <w:tc>
          <w:tcPr>
            <w:tcW w:w="1418" w:type="dxa"/>
            <w:gridSpan w:val="3"/>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Simple, alternating, oblong, whole, acute at base/apex; lengthy leaf sheath with little ligule, very short petiole.</w:t>
            </w:r>
          </w:p>
        </w:tc>
        <w:tc>
          <w:tcPr>
            <w:tcW w:w="1701"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Penicle-shaped inflorescence with uneven orientation, immediate involucre bract. 4 florets per infloret. White-green petals. Flat, divided labellum (white-pink petaloid staminode).</w:t>
            </w:r>
          </w:p>
        </w:tc>
        <w:tc>
          <w:tcPr>
            <w:tcW w:w="283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Only one fertile stamen. Inferior ovary. Fruit berry with many seeds, green young, black and brittle mature. Pollen echinate, monad.</w:t>
            </w:r>
          </w:p>
        </w:tc>
        <w:tc>
          <w:tcPr>
            <w:tcW w:w="1984"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(Roy </w:t>
            </w:r>
            <w:r w:rsidRPr="00E52B95">
              <w:rPr>
                <w:rFonts w:ascii="Times New Roman" w:hAnsi="Times New Roman" w:cs="Times New Roman"/>
                <w:i/>
                <w:color w:val="000000"/>
                <w:sz w:val="24"/>
                <w:szCs w:val="24"/>
              </w:rPr>
              <w:t>et al</w:t>
            </w:r>
            <w:r w:rsidRPr="00E52B95">
              <w:rPr>
                <w:rFonts w:ascii="Times New Roman" w:hAnsi="Times New Roman" w:cs="Times New Roman"/>
                <w:color w:val="000000"/>
                <w:sz w:val="24"/>
                <w:szCs w:val="24"/>
              </w:rPr>
              <w:t>., 2012)</w:t>
            </w:r>
          </w:p>
        </w:tc>
      </w:tr>
      <w:tr w:rsidR="00E52B95" w:rsidRPr="00E52B95" w:rsidTr="00E52B95">
        <w:tc>
          <w:tcPr>
            <w:tcW w:w="1134"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t>A. calcarata</w:t>
            </w:r>
            <w:r w:rsidRPr="00E52B95">
              <w:rPr>
                <w:rFonts w:ascii="Times New Roman" w:hAnsi="Times New Roman" w:cs="Times New Roman"/>
                <w:color w:val="000000"/>
                <w:sz w:val="24"/>
                <w:szCs w:val="24"/>
              </w:rPr>
              <w:t xml:space="preserve"> (Snap Ginger)</w:t>
            </w:r>
          </w:p>
        </w:tc>
        <w:tc>
          <w:tcPr>
            <w:tcW w:w="780"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softHyphen/>
              <w:t>1-1.5m</w:t>
            </w:r>
          </w:p>
        </w:tc>
        <w:tc>
          <w:tcPr>
            <w:tcW w:w="1630"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Dense, branching, mature rhizomes range from light to dark brown.</w:t>
            </w:r>
          </w:p>
        </w:tc>
        <w:tc>
          <w:tcPr>
            <w:tcW w:w="1418" w:type="dxa"/>
            <w:gridSpan w:val="3"/>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Simple, alternate leaves, 2.5–5 cm wide, 25–32 cm long.</w:t>
            </w:r>
          </w:p>
        </w:tc>
        <w:tc>
          <w:tcPr>
            <w:tcW w:w="1701"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Pendunculate, bisexual, irregular blooms.</w:t>
            </w:r>
          </w:p>
        </w:tc>
        <w:tc>
          <w:tcPr>
            <w:tcW w:w="283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Rhizomatous plant frequently used as systemic medicine.</w:t>
            </w:r>
          </w:p>
        </w:tc>
        <w:tc>
          <w:tcPr>
            <w:tcW w:w="1984"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(Rahman </w:t>
            </w:r>
            <w:r w:rsidRPr="00E52B95">
              <w:rPr>
                <w:rFonts w:ascii="Times New Roman" w:hAnsi="Times New Roman" w:cs="Times New Roman"/>
                <w:i/>
                <w:color w:val="000000"/>
                <w:sz w:val="24"/>
                <w:szCs w:val="24"/>
              </w:rPr>
              <w:t>et al</w:t>
            </w:r>
            <w:r w:rsidRPr="00E52B95">
              <w:rPr>
                <w:rFonts w:ascii="Times New Roman" w:hAnsi="Times New Roman" w:cs="Times New Roman"/>
                <w:color w:val="000000"/>
                <w:sz w:val="24"/>
                <w:szCs w:val="24"/>
              </w:rPr>
              <w:t>., 2015)</w:t>
            </w:r>
          </w:p>
        </w:tc>
      </w:tr>
      <w:tr w:rsidR="00E52B95" w:rsidRPr="00E52B95" w:rsidTr="00E52B95">
        <w:tc>
          <w:tcPr>
            <w:tcW w:w="1134"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t>A. officinarum</w:t>
            </w:r>
            <w:r w:rsidRPr="00E52B95">
              <w:rPr>
                <w:rFonts w:ascii="Times New Roman" w:hAnsi="Times New Roman" w:cs="Times New Roman"/>
                <w:color w:val="000000"/>
                <w:sz w:val="24"/>
                <w:szCs w:val="24"/>
              </w:rPr>
              <w:t xml:space="preserve"> (Lesser Galangal)</w:t>
            </w:r>
          </w:p>
        </w:tc>
        <w:tc>
          <w:tcPr>
            <w:tcW w:w="780"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Up to ~1.1 m</w:t>
            </w:r>
          </w:p>
        </w:tc>
        <w:tc>
          <w:tcPr>
            <w:tcW w:w="1630"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Broad, cylindrical, frequently curved, branching, 1-1.5 cm diameter.</w:t>
            </w:r>
          </w:p>
        </w:tc>
        <w:tc>
          <w:tcPr>
            <w:tcW w:w="1418" w:type="dxa"/>
            <w:gridSpan w:val="3"/>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Sessile or short petiolate leaves; linear to lanceolate blades, 29–40 cm length, 24 mm width.</w:t>
            </w:r>
          </w:p>
        </w:tc>
        <w:tc>
          <w:tcPr>
            <w:tcW w:w="1701"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Racemose inflorescence</w:t>
            </w:r>
          </w:p>
        </w:tc>
        <w:tc>
          <w:tcPr>
            <w:tcW w:w="283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Perennial dicotyledonous herb.</w:t>
            </w:r>
          </w:p>
        </w:tc>
        <w:tc>
          <w:tcPr>
            <w:tcW w:w="1984"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(Rahman </w:t>
            </w:r>
            <w:r w:rsidRPr="00E52B95">
              <w:rPr>
                <w:rFonts w:ascii="Times New Roman" w:hAnsi="Times New Roman" w:cs="Times New Roman"/>
                <w:i/>
                <w:color w:val="000000"/>
                <w:sz w:val="24"/>
                <w:szCs w:val="24"/>
              </w:rPr>
              <w:t>et al</w:t>
            </w:r>
            <w:r w:rsidRPr="00E52B95">
              <w:rPr>
                <w:rFonts w:ascii="Times New Roman" w:hAnsi="Times New Roman" w:cs="Times New Roman"/>
                <w:color w:val="000000"/>
                <w:sz w:val="24"/>
                <w:szCs w:val="24"/>
              </w:rPr>
              <w:t>., 2015)</w:t>
            </w:r>
          </w:p>
        </w:tc>
      </w:tr>
      <w:tr w:rsidR="00E52B95" w:rsidRPr="00E52B95" w:rsidTr="00E52B95">
        <w:tc>
          <w:tcPr>
            <w:tcW w:w="11482" w:type="dxa"/>
            <w:gridSpan w:val="11"/>
          </w:tcPr>
          <w:p w:rsidR="00E52B95" w:rsidRPr="00E52B95" w:rsidRDefault="00E52B95" w:rsidP="00524E5A">
            <w:pPr>
              <w:spacing w:line="360" w:lineRule="auto"/>
              <w:jc w:val="center"/>
              <w:rPr>
                <w:rFonts w:ascii="Times New Roman" w:hAnsi="Times New Roman" w:cs="Times New Roman"/>
                <w:b/>
                <w:i/>
                <w:color w:val="000000"/>
                <w:sz w:val="24"/>
                <w:szCs w:val="24"/>
              </w:rPr>
            </w:pPr>
            <w:r w:rsidRPr="00E52B95">
              <w:rPr>
                <w:rFonts w:ascii="Times New Roman" w:hAnsi="Times New Roman" w:cs="Times New Roman"/>
                <w:b/>
                <w:i/>
                <w:color w:val="000000"/>
                <w:sz w:val="24"/>
                <w:szCs w:val="24"/>
              </w:rPr>
              <w:lastRenderedPageBreak/>
              <w:t>Genus Hedychium</w:t>
            </w:r>
          </w:p>
        </w:tc>
      </w:tr>
      <w:tr w:rsidR="00E52B95" w:rsidRPr="00E52B95" w:rsidTr="00E52B95">
        <w:tc>
          <w:tcPr>
            <w:tcW w:w="992" w:type="dxa"/>
          </w:tcPr>
          <w:p w:rsidR="00E52B95" w:rsidRPr="00E52B95" w:rsidRDefault="00E52B95" w:rsidP="00E52B95">
            <w:pPr>
              <w:spacing w:line="360" w:lineRule="auto"/>
              <w:jc w:val="both"/>
              <w:rPr>
                <w:rStyle w:val="Emphasis"/>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t xml:space="preserve">H. coronarium </w:t>
            </w:r>
          </w:p>
        </w:tc>
        <w:tc>
          <w:tcPr>
            <w:tcW w:w="922"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p>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1.5- 3 m</w:t>
            </w:r>
          </w:p>
        </w:tc>
        <w:tc>
          <w:tcPr>
            <w:tcW w:w="1630"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Fleshy, branching, knotty, several nodes, horizontally spreading (2.5–5 cm diameter).</w:t>
            </w:r>
          </w:p>
        </w:tc>
        <w:tc>
          <w:tcPr>
            <w:tcW w:w="1418" w:type="dxa"/>
            <w:gridSpan w:val="3"/>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Simple, two-ranked, alternate, lance-shaped, sharply pointed (20–61 cm length, 5–12.7 cm width). Complete margins, strong midrib, smooth, glossy, bright green.</w:t>
            </w:r>
          </w:p>
        </w:tc>
        <w:tc>
          <w:tcPr>
            <w:tcW w:w="1701"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White flower clusters between bracts (2-3 blooms per bract). Tubular calyx (4 cm long), glabrous. Zygomorphic, hermaphrodite flowers. Broad flower spikes.</w:t>
            </w:r>
          </w:p>
        </w:tc>
        <w:tc>
          <w:tcPr>
            <w:tcW w:w="283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Fruits are long capsules with many seeds.</w:t>
            </w:r>
          </w:p>
        </w:tc>
        <w:tc>
          <w:tcPr>
            <w:tcW w:w="1984"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(Pachurekar &amp; Dixit, 2017)</w:t>
            </w:r>
          </w:p>
        </w:tc>
      </w:tr>
      <w:tr w:rsidR="00E52B95" w:rsidRPr="00E52B95" w:rsidTr="00E52B95">
        <w:tc>
          <w:tcPr>
            <w:tcW w:w="992"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t>H. spicatum</w:t>
            </w:r>
            <w:r w:rsidRPr="00E52B95">
              <w:rPr>
                <w:rFonts w:ascii="Times New Roman" w:hAnsi="Times New Roman" w:cs="Times New Roman"/>
                <w:color w:val="000000"/>
                <w:sz w:val="24"/>
                <w:szCs w:val="24"/>
              </w:rPr>
              <w:t xml:space="preserve"> (Spiked Ginger Lily)</w:t>
            </w:r>
          </w:p>
        </w:tc>
        <w:tc>
          <w:tcPr>
            <w:tcW w:w="922"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5 - 150 cm</w:t>
            </w:r>
          </w:p>
        </w:tc>
        <w:tc>
          <w:tcPr>
            <w:tcW w:w="1630"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Medicinal rhizomes.</w:t>
            </w:r>
          </w:p>
        </w:tc>
        <w:tc>
          <w:tcPr>
            <w:tcW w:w="1418" w:type="dxa"/>
            <w:gridSpan w:val="3"/>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Sessile, glabrous, ovate-lanceolate leaves with clasping sheaths. Straight, leafy stem with leaves ~30 cm long/wide.</w:t>
            </w:r>
          </w:p>
        </w:tc>
        <w:tc>
          <w:tcPr>
            <w:tcW w:w="1701"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Broad flower spikes (15-25 cm long) at end. One flower per large, oblong, green floral bract. White, fragrant, hermaphrodite flowers with orange-</w:t>
            </w:r>
            <w:r w:rsidRPr="00E52B95">
              <w:rPr>
                <w:rFonts w:ascii="Times New Roman" w:hAnsi="Times New Roman" w:cs="Times New Roman"/>
                <w:color w:val="000000"/>
                <w:sz w:val="24"/>
                <w:szCs w:val="24"/>
              </w:rPr>
              <w:lastRenderedPageBreak/>
              <w:t>yellow/crimson base.</w:t>
            </w:r>
          </w:p>
        </w:tc>
        <w:tc>
          <w:tcPr>
            <w:tcW w:w="283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lastRenderedPageBreak/>
              <w:t>Three-lobed white calyx, shorter than bract. Corolla 5-6.3 cm. White petals. White curate lip with orange/yellow base and two elliptical lobes. Red filaments. Linear anthers. Globular fruit capsules with orange-red lining. Many black/white seeds in arils.</w:t>
            </w:r>
          </w:p>
        </w:tc>
        <w:tc>
          <w:tcPr>
            <w:tcW w:w="1984"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(Singh </w:t>
            </w:r>
            <w:r w:rsidRPr="00E52B95">
              <w:rPr>
                <w:rFonts w:ascii="Times New Roman" w:hAnsi="Times New Roman" w:cs="Times New Roman"/>
                <w:i/>
                <w:color w:val="000000"/>
                <w:sz w:val="24"/>
                <w:szCs w:val="24"/>
              </w:rPr>
              <w:t>et al</w:t>
            </w:r>
            <w:r w:rsidRPr="00E52B95">
              <w:rPr>
                <w:rFonts w:ascii="Times New Roman" w:hAnsi="Times New Roman" w:cs="Times New Roman"/>
                <w:color w:val="000000"/>
                <w:sz w:val="24"/>
                <w:szCs w:val="24"/>
              </w:rPr>
              <w:t>., 2023)</w:t>
            </w:r>
          </w:p>
        </w:tc>
      </w:tr>
      <w:tr w:rsidR="00E52B95" w:rsidRPr="00E52B95" w:rsidTr="00E52B95">
        <w:tc>
          <w:tcPr>
            <w:tcW w:w="992"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lastRenderedPageBreak/>
              <w:t>H. flavescens</w:t>
            </w:r>
            <w:r w:rsidRPr="00E52B95">
              <w:rPr>
                <w:rFonts w:ascii="Times New Roman" w:hAnsi="Times New Roman" w:cs="Times New Roman"/>
                <w:color w:val="000000"/>
                <w:sz w:val="24"/>
                <w:szCs w:val="24"/>
              </w:rPr>
              <w:t xml:space="preserve"> (Yellow Ginger)</w:t>
            </w:r>
          </w:p>
        </w:tc>
        <w:tc>
          <w:tcPr>
            <w:tcW w:w="922"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Up to 4 m</w:t>
            </w:r>
          </w:p>
        </w:tc>
        <w:tc>
          <w:tcPr>
            <w:tcW w:w="1630"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Thick, fleshy, creeping, branched (15–20 cm long, 2.6–4.4 cm diameter), yellowish-white, fragrant.</w:t>
            </w:r>
          </w:p>
        </w:tc>
        <w:tc>
          <w:tcPr>
            <w:tcW w:w="1418" w:type="dxa"/>
            <w:gridSpan w:val="3"/>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Leaf sheaths densely pubescent. Ligule 3.1–5.6 cm. Leaves sessile, oblong to elliptic-lanceolate (35–62 × 5–12 cm), green adaxial, pale green abaxial, pubescent.</w:t>
            </w:r>
          </w:p>
        </w:tc>
        <w:tc>
          <w:tcPr>
            <w:tcW w:w="1701"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Terminal, conical, densely flowered inflorescence. Spikes oblong-elliptic (16–20 × 5–12 cm). Foliaceous, densely imbricate bracts. Creamy yellow to pale yellow flowers, turning pinkish/brown when dry.</w:t>
            </w:r>
          </w:p>
        </w:tc>
        <w:tc>
          <w:tcPr>
            <w:tcW w:w="283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Pistil curving, yellow. Stamen deep yellow to light orange. Fruit not observed.</w:t>
            </w:r>
          </w:p>
        </w:tc>
        <w:tc>
          <w:tcPr>
            <w:tcW w:w="1984"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(Mendez </w:t>
            </w:r>
            <w:r w:rsidRPr="00E52B95">
              <w:rPr>
                <w:rFonts w:ascii="Times New Roman" w:hAnsi="Times New Roman" w:cs="Times New Roman"/>
                <w:i/>
                <w:color w:val="000000"/>
                <w:sz w:val="24"/>
                <w:szCs w:val="24"/>
              </w:rPr>
              <w:t>et al</w:t>
            </w:r>
            <w:r w:rsidRPr="00E52B95">
              <w:rPr>
                <w:rFonts w:ascii="Times New Roman" w:hAnsi="Times New Roman" w:cs="Times New Roman"/>
                <w:color w:val="000000"/>
                <w:sz w:val="24"/>
                <w:szCs w:val="24"/>
              </w:rPr>
              <w:t>., 2023)</w:t>
            </w:r>
          </w:p>
        </w:tc>
      </w:tr>
      <w:tr w:rsidR="00E52B95" w:rsidRPr="00E52B95" w:rsidTr="00E52B95">
        <w:tc>
          <w:tcPr>
            <w:tcW w:w="992"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t>H. gardnerianum</w:t>
            </w:r>
            <w:r w:rsidRPr="00E52B95">
              <w:rPr>
                <w:rFonts w:ascii="Times New Roman" w:hAnsi="Times New Roman" w:cs="Times New Roman"/>
                <w:color w:val="000000"/>
                <w:sz w:val="24"/>
                <w:szCs w:val="24"/>
              </w:rPr>
              <w:t xml:space="preserve"> (Ginger Lily)</w:t>
            </w:r>
          </w:p>
        </w:tc>
        <w:tc>
          <w:tcPr>
            <w:tcW w:w="922"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1–2 m</w:t>
            </w:r>
          </w:p>
        </w:tc>
        <w:tc>
          <w:tcPr>
            <w:tcW w:w="1630"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Large branching surface rhizomes.</w:t>
            </w:r>
          </w:p>
        </w:tc>
        <w:tc>
          <w:tcPr>
            <w:tcW w:w="1418" w:type="dxa"/>
            <w:gridSpan w:val="3"/>
          </w:tcPr>
          <w:p w:rsidR="00E52B95" w:rsidRPr="00E52B95" w:rsidRDefault="00E52B95" w:rsidP="00E52B95">
            <w:pPr>
              <w:spacing w:after="0" w:line="360" w:lineRule="auto"/>
              <w:jc w:val="both"/>
              <w:rPr>
                <w:rFonts w:ascii="Times New Roman" w:eastAsia="Times New Roman" w:hAnsi="Times New Roman" w:cs="Times New Roman"/>
                <w:color w:val="000000"/>
                <w:sz w:val="24"/>
                <w:szCs w:val="24"/>
                <w:lang w:eastAsia="en-IN" w:bidi="ar-SA"/>
              </w:rPr>
            </w:pPr>
            <w:r w:rsidRPr="00E52B95">
              <w:rPr>
                <w:rFonts w:ascii="Times New Roman" w:eastAsia="Times New Roman" w:hAnsi="Times New Roman" w:cs="Times New Roman"/>
                <w:color w:val="000000"/>
                <w:sz w:val="24"/>
                <w:szCs w:val="24"/>
                <w:lang w:eastAsia="en-IN" w:bidi="ar-SA"/>
              </w:rPr>
              <w:t>Long, ovate-elliptic, bright green, sub sessile, and in alternated pattern with sheaths clasping stems (25–45 cm × 10–15 cm).</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1701" w:type="dxa"/>
          </w:tcPr>
          <w:p w:rsidR="00E52B95" w:rsidRPr="00E52B95" w:rsidRDefault="00E52B95" w:rsidP="00E52B95">
            <w:pPr>
              <w:spacing w:after="0" w:line="360" w:lineRule="auto"/>
              <w:jc w:val="both"/>
              <w:rPr>
                <w:rFonts w:ascii="Times New Roman" w:eastAsia="Times New Roman" w:hAnsi="Times New Roman" w:cs="Times New Roman"/>
                <w:color w:val="000000"/>
                <w:sz w:val="24"/>
                <w:szCs w:val="24"/>
                <w:lang w:eastAsia="en-IN" w:bidi="ar-SA"/>
              </w:rPr>
            </w:pPr>
            <w:r w:rsidRPr="00E52B95">
              <w:rPr>
                <w:rFonts w:ascii="Times New Roman" w:eastAsia="Times New Roman" w:hAnsi="Times New Roman" w:cs="Times New Roman"/>
                <w:color w:val="000000"/>
                <w:sz w:val="24"/>
                <w:szCs w:val="24"/>
                <w:lang w:eastAsia="en-IN" w:bidi="ar-SA"/>
              </w:rPr>
              <w:lastRenderedPageBreak/>
              <w:t>Above the leaves, terminal cylindrical spikes that are 25–40 cm long. A single huge bright red stamen accompanied by fragrant bright yellow blooms.</w:t>
            </w:r>
          </w:p>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lastRenderedPageBreak/>
              <w:t>.</w:t>
            </w:r>
          </w:p>
        </w:tc>
        <w:tc>
          <w:tcPr>
            <w:tcW w:w="2835" w:type="dxa"/>
          </w:tcPr>
          <w:p w:rsidR="00E52B95" w:rsidRPr="00E52B95" w:rsidRDefault="00E52B95" w:rsidP="00E52B95">
            <w:pPr>
              <w:spacing w:after="0" w:line="360" w:lineRule="auto"/>
              <w:jc w:val="both"/>
              <w:rPr>
                <w:rFonts w:ascii="Times New Roman" w:eastAsia="Times New Roman" w:hAnsi="Times New Roman" w:cs="Times New Roman"/>
                <w:color w:val="000000"/>
                <w:sz w:val="24"/>
                <w:szCs w:val="24"/>
                <w:lang w:eastAsia="en-IN" w:bidi="ar-SA"/>
              </w:rPr>
            </w:pPr>
            <w:r w:rsidRPr="00E52B95">
              <w:rPr>
                <w:rFonts w:ascii="Times New Roman" w:eastAsia="Times New Roman" w:hAnsi="Times New Roman" w:cs="Times New Roman"/>
                <w:color w:val="000000"/>
                <w:sz w:val="24"/>
                <w:szCs w:val="24"/>
                <w:lang w:eastAsia="en-IN" w:bidi="ar-SA"/>
              </w:rPr>
              <w:lastRenderedPageBreak/>
              <w:t xml:space="preserve"> Crimson aril contains orange fleshy capsules with tiny, glossy red seeds.</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1984"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(Pereira </w:t>
            </w:r>
            <w:r w:rsidRPr="00E52B95">
              <w:rPr>
                <w:rFonts w:ascii="Times New Roman" w:hAnsi="Times New Roman" w:cs="Times New Roman"/>
                <w:i/>
                <w:color w:val="000000"/>
                <w:sz w:val="24"/>
                <w:szCs w:val="24"/>
              </w:rPr>
              <w:t>et al</w:t>
            </w:r>
            <w:r w:rsidRPr="00E52B95">
              <w:rPr>
                <w:rFonts w:ascii="Times New Roman" w:hAnsi="Times New Roman" w:cs="Times New Roman"/>
                <w:color w:val="000000"/>
                <w:sz w:val="24"/>
                <w:szCs w:val="24"/>
              </w:rPr>
              <w:t>., 2021)</w:t>
            </w:r>
          </w:p>
        </w:tc>
      </w:tr>
      <w:tr w:rsidR="00E52B95" w:rsidRPr="00E52B95" w:rsidTr="00E52B95">
        <w:tc>
          <w:tcPr>
            <w:tcW w:w="11482" w:type="dxa"/>
            <w:gridSpan w:val="11"/>
          </w:tcPr>
          <w:p w:rsidR="00E52B95" w:rsidRPr="00E52B95" w:rsidRDefault="00E52B95" w:rsidP="00524E5A">
            <w:pPr>
              <w:spacing w:line="360" w:lineRule="auto"/>
              <w:jc w:val="center"/>
              <w:rPr>
                <w:rFonts w:ascii="Times New Roman" w:hAnsi="Times New Roman" w:cs="Times New Roman"/>
                <w:b/>
                <w:i/>
                <w:color w:val="000000"/>
                <w:sz w:val="24"/>
                <w:szCs w:val="24"/>
              </w:rPr>
            </w:pPr>
            <w:r w:rsidRPr="00E52B95">
              <w:rPr>
                <w:rFonts w:ascii="Times New Roman" w:hAnsi="Times New Roman" w:cs="Times New Roman"/>
                <w:b/>
                <w:i/>
                <w:color w:val="000000"/>
                <w:sz w:val="24"/>
                <w:szCs w:val="24"/>
              </w:rPr>
              <w:lastRenderedPageBreak/>
              <w:t>Genus Etlingera</w:t>
            </w:r>
          </w:p>
        </w:tc>
      </w:tr>
      <w:tr w:rsidR="00E52B95" w:rsidRPr="00E52B95" w:rsidTr="00E52B95">
        <w:tc>
          <w:tcPr>
            <w:tcW w:w="992"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t>E. elatior</w:t>
            </w:r>
            <w:r w:rsidRPr="00E52B95">
              <w:rPr>
                <w:rFonts w:ascii="Times New Roman" w:hAnsi="Times New Roman" w:cs="Times New Roman"/>
                <w:color w:val="000000"/>
                <w:sz w:val="24"/>
                <w:szCs w:val="24"/>
              </w:rPr>
              <w:t xml:space="preserve"> (Torch Ginger)</w:t>
            </w:r>
          </w:p>
        </w:tc>
        <w:tc>
          <w:tcPr>
            <w:tcW w:w="922"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3 - 4 m (pseudo-stems</w:t>
            </w:r>
          </w:p>
        </w:tc>
        <w:tc>
          <w:tcPr>
            <w:tcW w:w="1630"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Fleshy underground rhizomes.</w:t>
            </w:r>
          </w:p>
        </w:tc>
        <w:tc>
          <w:tcPr>
            <w:tcW w:w="1418" w:type="dxa"/>
            <w:gridSpan w:val="3"/>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Several closely grouped pseudo stems.</w:t>
            </w:r>
          </w:p>
        </w:tc>
        <w:tc>
          <w:tcPr>
            <w:tcW w:w="1701"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Torch-like inflorescences on erect stalks up to 1.5 m tall, arising from rhizomes. Varied from pink, red, and white colors.</w:t>
            </w:r>
          </w:p>
        </w:tc>
        <w:tc>
          <w:tcPr>
            <w:tcW w:w="283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Perennial herb.</w:t>
            </w:r>
          </w:p>
        </w:tc>
        <w:tc>
          <w:tcPr>
            <w:tcW w:w="1984"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(Ismail &amp; Ridzuan, 2023)</w:t>
            </w:r>
          </w:p>
        </w:tc>
      </w:tr>
      <w:tr w:rsidR="00E52B95" w:rsidRPr="00E52B95" w:rsidTr="00E52B95">
        <w:tc>
          <w:tcPr>
            <w:tcW w:w="11482" w:type="dxa"/>
            <w:gridSpan w:val="11"/>
          </w:tcPr>
          <w:p w:rsidR="00E52B95" w:rsidRPr="00E52B95" w:rsidRDefault="00E52B95" w:rsidP="00524E5A">
            <w:pPr>
              <w:spacing w:line="360" w:lineRule="auto"/>
              <w:jc w:val="center"/>
              <w:rPr>
                <w:rFonts w:ascii="Times New Roman" w:hAnsi="Times New Roman" w:cs="Times New Roman"/>
                <w:b/>
                <w:i/>
                <w:color w:val="000000"/>
                <w:sz w:val="24"/>
                <w:szCs w:val="24"/>
              </w:rPr>
            </w:pPr>
            <w:r w:rsidRPr="00E52B95">
              <w:rPr>
                <w:rFonts w:ascii="Times New Roman" w:hAnsi="Times New Roman" w:cs="Times New Roman"/>
                <w:b/>
                <w:i/>
                <w:color w:val="000000"/>
                <w:sz w:val="24"/>
                <w:szCs w:val="24"/>
              </w:rPr>
              <w:t>Genus Kaempferia</w:t>
            </w:r>
          </w:p>
        </w:tc>
      </w:tr>
      <w:tr w:rsidR="00E52B95" w:rsidRPr="00E52B95" w:rsidTr="00E52B95">
        <w:tc>
          <w:tcPr>
            <w:tcW w:w="992"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t>K. galanga</w:t>
            </w:r>
            <w:r w:rsidRPr="00E52B95">
              <w:rPr>
                <w:rFonts w:ascii="Times New Roman" w:hAnsi="Times New Roman" w:cs="Times New Roman"/>
                <w:color w:val="000000"/>
                <w:sz w:val="24"/>
                <w:szCs w:val="24"/>
              </w:rPr>
              <w:t xml:space="preserve"> (Aromatic Ginger)</w:t>
            </w:r>
          </w:p>
        </w:tc>
        <w:tc>
          <w:tcPr>
            <w:tcW w:w="922"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p>
          <w:p w:rsidR="00E52B95" w:rsidRPr="00E52B95" w:rsidRDefault="00E52B95" w:rsidP="00E52B95">
            <w:pPr>
              <w:spacing w:line="360" w:lineRule="auto"/>
              <w:jc w:val="both"/>
              <w:rPr>
                <w:rFonts w:ascii="Times New Roman" w:hAnsi="Times New Roman" w:cs="Times New Roman"/>
                <w:color w:val="000000"/>
                <w:sz w:val="24"/>
                <w:szCs w:val="24"/>
              </w:rPr>
            </w:pPr>
          </w:p>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15-30 cm </w:t>
            </w:r>
          </w:p>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   </w:t>
            </w:r>
          </w:p>
        </w:tc>
        <w:tc>
          <w:tcPr>
            <w:tcW w:w="1630"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p>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Short, small, strongly fragrant (smells like camphor)</w:t>
            </w:r>
          </w:p>
          <w:p w:rsidR="00E52B95" w:rsidRPr="00E52B95" w:rsidRDefault="00E52B95" w:rsidP="00E52B95">
            <w:pPr>
              <w:spacing w:line="360" w:lineRule="auto"/>
              <w:jc w:val="both"/>
              <w:rPr>
                <w:rFonts w:ascii="Times New Roman" w:hAnsi="Times New Roman" w:cs="Times New Roman"/>
                <w:color w:val="000000"/>
                <w:sz w:val="24"/>
                <w:szCs w:val="24"/>
              </w:rPr>
            </w:pPr>
          </w:p>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          </w:t>
            </w:r>
          </w:p>
        </w:tc>
        <w:tc>
          <w:tcPr>
            <w:tcW w:w="1418" w:type="dxa"/>
            <w:gridSpan w:val="3"/>
          </w:tcPr>
          <w:p w:rsidR="00E52B95" w:rsidRPr="00E52B95" w:rsidRDefault="00E52B95" w:rsidP="00E52B95">
            <w:pPr>
              <w:spacing w:line="360" w:lineRule="auto"/>
              <w:jc w:val="both"/>
              <w:rPr>
                <w:rFonts w:ascii="Times New Roman" w:hAnsi="Times New Roman" w:cs="Times New Roman"/>
                <w:color w:val="000000"/>
                <w:sz w:val="24"/>
                <w:szCs w:val="24"/>
              </w:rPr>
            </w:pPr>
          </w:p>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Very short, broad, ovate leaves (5-15 cm long), grows close to the ground in a rosette.</w:t>
            </w:r>
          </w:p>
          <w:p w:rsidR="00E52B95" w:rsidRPr="00E52B95" w:rsidRDefault="00E52B95" w:rsidP="00E52B95">
            <w:pPr>
              <w:spacing w:line="360" w:lineRule="auto"/>
              <w:jc w:val="both"/>
              <w:rPr>
                <w:rFonts w:ascii="Times New Roman" w:hAnsi="Times New Roman" w:cs="Times New Roman"/>
                <w:color w:val="000000"/>
                <w:sz w:val="24"/>
                <w:szCs w:val="24"/>
              </w:rPr>
            </w:pPr>
          </w:p>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    </w:t>
            </w:r>
          </w:p>
        </w:tc>
        <w:tc>
          <w:tcPr>
            <w:tcW w:w="1701"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Style w:val="Strong"/>
                <w:rFonts w:ascii="Times New Roman" w:hAnsi="Times New Roman" w:cs="Times New Roman"/>
                <w:b w:val="0"/>
                <w:bCs w:val="0"/>
                <w:color w:val="000000"/>
                <w:sz w:val="24"/>
                <w:szCs w:val="24"/>
              </w:rPr>
              <w:t>4–15 white flowers</w:t>
            </w:r>
            <w:r w:rsidRPr="00E52B95">
              <w:rPr>
                <w:rFonts w:ascii="Times New Roman" w:hAnsi="Times New Roman" w:cs="Times New Roman"/>
                <w:color w:val="000000"/>
                <w:sz w:val="24"/>
                <w:szCs w:val="24"/>
              </w:rPr>
              <w:t xml:space="preserve"> between lobes/tubes; broad, elliptical lip, often </w:t>
            </w:r>
            <w:r w:rsidRPr="00E52B95">
              <w:rPr>
                <w:rStyle w:val="Strong"/>
                <w:rFonts w:ascii="Times New Roman" w:hAnsi="Times New Roman" w:cs="Times New Roman"/>
                <w:b w:val="0"/>
                <w:bCs w:val="0"/>
                <w:color w:val="000000"/>
                <w:sz w:val="24"/>
                <w:szCs w:val="24"/>
              </w:rPr>
              <w:t>purple or white with purple dots</w:t>
            </w:r>
            <w:r w:rsidRPr="00E52B95">
              <w:rPr>
                <w:rFonts w:ascii="Times New Roman" w:hAnsi="Times New Roman" w:cs="Times New Roman"/>
                <w:color w:val="000000"/>
                <w:sz w:val="24"/>
                <w:szCs w:val="24"/>
              </w:rPr>
              <w:t xml:space="preserve">; </w:t>
            </w:r>
            <w:r w:rsidRPr="00E52B95">
              <w:rPr>
                <w:rStyle w:val="Strong"/>
                <w:rFonts w:ascii="Times New Roman" w:hAnsi="Times New Roman" w:cs="Times New Roman"/>
                <w:b w:val="0"/>
                <w:bCs w:val="0"/>
                <w:color w:val="000000"/>
                <w:sz w:val="24"/>
                <w:szCs w:val="24"/>
              </w:rPr>
              <w:t>imperfect anthers</w:t>
            </w:r>
          </w:p>
        </w:tc>
        <w:tc>
          <w:tcPr>
            <w:tcW w:w="2835" w:type="dxa"/>
          </w:tcPr>
          <w:p w:rsidR="00E52B95" w:rsidRPr="00E52B95" w:rsidRDefault="00E52B95" w:rsidP="00E52B95">
            <w:pPr>
              <w:spacing w:line="360" w:lineRule="auto"/>
              <w:jc w:val="both"/>
              <w:rPr>
                <w:rFonts w:ascii="Times New Roman" w:hAnsi="Times New Roman" w:cs="Times New Roman"/>
                <w:color w:val="000000"/>
                <w:sz w:val="24"/>
                <w:szCs w:val="24"/>
              </w:rPr>
            </w:pPr>
          </w:p>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 Ground level violet white flowers</w:t>
            </w:r>
          </w:p>
        </w:tc>
        <w:tc>
          <w:tcPr>
            <w:tcW w:w="1984"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(Khairullah </w:t>
            </w:r>
            <w:r w:rsidRPr="00E52B95">
              <w:rPr>
                <w:rFonts w:ascii="Times New Roman" w:hAnsi="Times New Roman" w:cs="Times New Roman"/>
                <w:i/>
                <w:color w:val="000000"/>
                <w:sz w:val="24"/>
                <w:szCs w:val="24"/>
              </w:rPr>
              <w:t>et al</w:t>
            </w:r>
            <w:r w:rsidRPr="00E52B95">
              <w:rPr>
                <w:rFonts w:ascii="Times New Roman" w:hAnsi="Times New Roman" w:cs="Times New Roman"/>
                <w:color w:val="000000"/>
                <w:sz w:val="24"/>
                <w:szCs w:val="24"/>
              </w:rPr>
              <w:t>., 2021)</w:t>
            </w:r>
          </w:p>
        </w:tc>
      </w:tr>
    </w:tbl>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Table 2: Morphological features of different species of Family </w:t>
      </w:r>
      <w:r w:rsidRPr="00E52B95">
        <w:rPr>
          <w:rFonts w:ascii="Times New Roman" w:hAnsi="Times New Roman" w:cs="Times New Roman"/>
          <w:i/>
          <w:color w:val="000000"/>
          <w:sz w:val="24"/>
          <w:szCs w:val="24"/>
        </w:rPr>
        <w:t xml:space="preserve">Zingiberaceae </w:t>
      </w:r>
    </w:p>
    <w:p w:rsidR="00E52B95" w:rsidRPr="00E52B95" w:rsidRDefault="00E52B95" w:rsidP="00E52B95">
      <w:pPr>
        <w:spacing w:line="360" w:lineRule="auto"/>
        <w:jc w:val="both"/>
        <w:rPr>
          <w:rFonts w:ascii="Times New Roman" w:hAnsi="Times New Roman" w:cs="Times New Roman"/>
          <w:b/>
          <w:color w:val="000000"/>
          <w:sz w:val="24"/>
          <w:szCs w:val="24"/>
        </w:rPr>
      </w:pPr>
      <w:r w:rsidRPr="00E52B95">
        <w:rPr>
          <w:rFonts w:ascii="Times New Roman" w:hAnsi="Times New Roman" w:cs="Times New Roman"/>
          <w:b/>
          <w:color w:val="000000"/>
          <w:sz w:val="24"/>
          <w:szCs w:val="24"/>
        </w:rPr>
        <w:t xml:space="preserve">4. Phytochemistry </w:t>
      </w:r>
    </w:p>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i/>
          <w:color w:val="000000"/>
          <w:sz w:val="24"/>
          <w:szCs w:val="24"/>
        </w:rPr>
        <w:t xml:space="preserve">Zingiberaceae </w:t>
      </w:r>
      <w:r w:rsidRPr="00E52B95">
        <w:rPr>
          <w:rFonts w:ascii="Times New Roman" w:hAnsi="Times New Roman" w:cs="Times New Roman"/>
          <w:color w:val="000000"/>
          <w:sz w:val="24"/>
          <w:szCs w:val="24"/>
        </w:rPr>
        <w:t>family consist of various bioactive compounds which exhibits various pharmacological values that has been mentioned in</w:t>
      </w:r>
      <w:r w:rsidR="004F1ADB">
        <w:rPr>
          <w:rFonts w:ascii="Times New Roman" w:hAnsi="Times New Roman" w:cs="Times New Roman"/>
          <w:color w:val="000000"/>
          <w:sz w:val="24"/>
          <w:szCs w:val="24"/>
        </w:rPr>
        <w:t xml:space="preserve"> the Table 3and the chemical structure of the compounds has been shown in the Figure 2(a-d).</w:t>
      </w:r>
    </w:p>
    <w:p w:rsidR="00E52B95" w:rsidRPr="00E52B95" w:rsidRDefault="00E52B95" w:rsidP="00E52B95">
      <w:pPr>
        <w:spacing w:line="360" w:lineRule="auto"/>
        <w:jc w:val="both"/>
        <w:rPr>
          <w:rFonts w:ascii="Times New Roman" w:hAnsi="Times New Roman" w:cs="Times New Roman"/>
          <w:b/>
          <w:bCs/>
          <w:color w:val="000000"/>
          <w:sz w:val="24"/>
          <w:szCs w:val="24"/>
        </w:rPr>
      </w:pPr>
      <w:r w:rsidRPr="00E52B95">
        <w:rPr>
          <w:rFonts w:ascii="Times New Roman" w:hAnsi="Times New Roman" w:cs="Times New Roman"/>
          <w:b/>
          <w:color w:val="000000"/>
          <w:sz w:val="24"/>
          <w:szCs w:val="24"/>
        </w:rPr>
        <w:lastRenderedPageBreak/>
        <w:t>Table3</w:t>
      </w:r>
      <w:r w:rsidRPr="00E52B95">
        <w:rPr>
          <w:rFonts w:ascii="Times New Roman" w:hAnsi="Times New Roman" w:cs="Times New Roman"/>
          <w:color w:val="000000"/>
          <w:sz w:val="24"/>
          <w:szCs w:val="24"/>
        </w:rPr>
        <w:t>:</w:t>
      </w:r>
      <w:r w:rsidRPr="00E52B95">
        <w:rPr>
          <w:rFonts w:ascii="Times New Roman" w:hAnsi="Times New Roman" w:cs="Times New Roman"/>
          <w:bCs/>
          <w:color w:val="000000"/>
          <w:sz w:val="24"/>
          <w:szCs w:val="24"/>
        </w:rPr>
        <w:t xml:space="preserve"> Important Phytoconstituents presents in members of Family </w:t>
      </w:r>
      <w:r w:rsidRPr="00E52B95">
        <w:rPr>
          <w:rFonts w:ascii="Times New Roman" w:hAnsi="Times New Roman" w:cs="Times New Roman"/>
          <w:bCs/>
          <w:i/>
          <w:color w:val="000000"/>
          <w:sz w:val="24"/>
          <w:szCs w:val="24"/>
        </w:rPr>
        <w:t xml:space="preserve">Zingiberaceae </w:t>
      </w:r>
      <w:r w:rsidRPr="00E52B95">
        <w:rPr>
          <w:rFonts w:ascii="Times New Roman" w:hAnsi="Times New Roman" w:cs="Times New Roman"/>
          <w:b/>
          <w:bCs/>
          <w:color w:val="000000"/>
          <w:sz w:val="24"/>
          <w:szCs w:val="24"/>
        </w:rPr>
        <w:t xml:space="preserve"> </w:t>
      </w:r>
    </w:p>
    <w:tbl>
      <w:tblPr>
        <w:tblW w:w="11057" w:type="dxa"/>
        <w:jc w:val="center"/>
        <w:tblLook w:val="04A0" w:firstRow="1" w:lastRow="0" w:firstColumn="1" w:lastColumn="0" w:noHBand="0" w:noVBand="1"/>
      </w:tblPr>
      <w:tblGrid>
        <w:gridCol w:w="2188"/>
        <w:gridCol w:w="1843"/>
        <w:gridCol w:w="2557"/>
        <w:gridCol w:w="1936"/>
        <w:gridCol w:w="2533"/>
      </w:tblGrid>
      <w:tr w:rsidR="00E52B95" w:rsidRPr="00E52B95" w:rsidTr="00524E5A">
        <w:trPr>
          <w:trHeight w:val="699"/>
          <w:jc w:val="center"/>
        </w:trPr>
        <w:tc>
          <w:tcPr>
            <w:tcW w:w="2344" w:type="dxa"/>
            <w:tcBorders>
              <w:top w:val="single" w:sz="4" w:space="0" w:color="auto"/>
              <w:bottom w:val="single" w:sz="4" w:space="0" w:color="auto"/>
            </w:tcBorders>
          </w:tcPr>
          <w:p w:rsidR="00E52B95" w:rsidRPr="00E52B95" w:rsidRDefault="00E52B95" w:rsidP="00E52B95">
            <w:pPr>
              <w:spacing w:line="360" w:lineRule="auto"/>
              <w:jc w:val="both"/>
              <w:rPr>
                <w:rFonts w:ascii="Times New Roman" w:hAnsi="Times New Roman" w:cs="Times New Roman"/>
                <w:b/>
                <w:color w:val="000000"/>
                <w:sz w:val="24"/>
                <w:szCs w:val="24"/>
              </w:rPr>
            </w:pPr>
            <w:r w:rsidRPr="00E52B95">
              <w:rPr>
                <w:rFonts w:ascii="Times New Roman" w:hAnsi="Times New Roman" w:cs="Times New Roman"/>
                <w:b/>
                <w:color w:val="000000"/>
                <w:sz w:val="24"/>
                <w:szCs w:val="24"/>
              </w:rPr>
              <w:t xml:space="preserve">Genus </w:t>
            </w:r>
          </w:p>
        </w:tc>
        <w:tc>
          <w:tcPr>
            <w:tcW w:w="1590" w:type="dxa"/>
            <w:tcBorders>
              <w:top w:val="single" w:sz="4" w:space="0" w:color="auto"/>
              <w:bottom w:val="single" w:sz="4" w:space="0" w:color="auto"/>
            </w:tcBorders>
          </w:tcPr>
          <w:p w:rsidR="00E52B95" w:rsidRPr="00E52B95" w:rsidRDefault="00E52B95" w:rsidP="00E52B95">
            <w:pPr>
              <w:spacing w:line="360" w:lineRule="auto"/>
              <w:jc w:val="both"/>
              <w:rPr>
                <w:rFonts w:ascii="Times New Roman" w:hAnsi="Times New Roman" w:cs="Times New Roman"/>
                <w:b/>
                <w:color w:val="000000"/>
                <w:sz w:val="24"/>
                <w:szCs w:val="24"/>
              </w:rPr>
            </w:pPr>
            <w:r w:rsidRPr="00E52B95">
              <w:rPr>
                <w:rFonts w:ascii="Times New Roman" w:hAnsi="Times New Roman" w:cs="Times New Roman"/>
                <w:b/>
                <w:color w:val="000000"/>
                <w:sz w:val="24"/>
                <w:szCs w:val="24"/>
              </w:rPr>
              <w:t xml:space="preserve">Species </w:t>
            </w:r>
          </w:p>
        </w:tc>
        <w:tc>
          <w:tcPr>
            <w:tcW w:w="2569" w:type="dxa"/>
            <w:tcBorders>
              <w:top w:val="single" w:sz="4" w:space="0" w:color="auto"/>
              <w:bottom w:val="single" w:sz="4" w:space="0" w:color="auto"/>
            </w:tcBorders>
          </w:tcPr>
          <w:p w:rsidR="00E52B95" w:rsidRPr="00E52B95" w:rsidRDefault="00E52B95" w:rsidP="00E52B95">
            <w:pPr>
              <w:spacing w:line="360" w:lineRule="auto"/>
              <w:jc w:val="both"/>
              <w:rPr>
                <w:rFonts w:ascii="Times New Roman" w:hAnsi="Times New Roman" w:cs="Times New Roman"/>
                <w:b/>
                <w:color w:val="000000"/>
                <w:sz w:val="24"/>
                <w:szCs w:val="24"/>
              </w:rPr>
            </w:pPr>
            <w:r w:rsidRPr="00E52B95">
              <w:rPr>
                <w:rFonts w:ascii="Times New Roman" w:hAnsi="Times New Roman" w:cs="Times New Roman"/>
                <w:b/>
                <w:color w:val="000000"/>
                <w:sz w:val="24"/>
                <w:szCs w:val="24"/>
              </w:rPr>
              <w:t xml:space="preserve">Compounds </w:t>
            </w:r>
          </w:p>
        </w:tc>
        <w:tc>
          <w:tcPr>
            <w:tcW w:w="1869" w:type="dxa"/>
            <w:tcBorders>
              <w:top w:val="single" w:sz="4" w:space="0" w:color="auto"/>
              <w:bottom w:val="single" w:sz="4" w:space="0" w:color="auto"/>
            </w:tcBorders>
          </w:tcPr>
          <w:p w:rsidR="00E52B95" w:rsidRPr="00E52B95" w:rsidRDefault="00E52B95" w:rsidP="00E52B95">
            <w:pPr>
              <w:spacing w:line="360" w:lineRule="auto"/>
              <w:jc w:val="both"/>
              <w:rPr>
                <w:rFonts w:ascii="Times New Roman" w:hAnsi="Times New Roman" w:cs="Times New Roman"/>
                <w:b/>
                <w:color w:val="000000"/>
                <w:sz w:val="24"/>
                <w:szCs w:val="24"/>
              </w:rPr>
            </w:pPr>
            <w:r w:rsidRPr="00E52B95">
              <w:rPr>
                <w:rFonts w:ascii="Times New Roman" w:hAnsi="Times New Roman" w:cs="Times New Roman"/>
                <w:b/>
                <w:color w:val="000000"/>
                <w:sz w:val="24"/>
                <w:szCs w:val="24"/>
              </w:rPr>
              <w:t xml:space="preserve">Pharmacological activity </w:t>
            </w:r>
          </w:p>
        </w:tc>
        <w:tc>
          <w:tcPr>
            <w:tcW w:w="2685" w:type="dxa"/>
            <w:tcBorders>
              <w:top w:val="single" w:sz="4" w:space="0" w:color="auto"/>
              <w:bottom w:val="single" w:sz="4" w:space="0" w:color="auto"/>
            </w:tcBorders>
          </w:tcPr>
          <w:p w:rsidR="00E52B95" w:rsidRPr="00E52B95" w:rsidRDefault="00E52B95" w:rsidP="00E52B95">
            <w:pPr>
              <w:spacing w:line="360" w:lineRule="auto"/>
              <w:jc w:val="both"/>
              <w:rPr>
                <w:rFonts w:ascii="Times New Roman" w:hAnsi="Times New Roman" w:cs="Times New Roman"/>
                <w:b/>
                <w:color w:val="000000"/>
                <w:sz w:val="24"/>
                <w:szCs w:val="24"/>
              </w:rPr>
            </w:pPr>
            <w:r w:rsidRPr="00E52B95">
              <w:rPr>
                <w:rFonts w:ascii="Times New Roman" w:hAnsi="Times New Roman" w:cs="Times New Roman"/>
                <w:b/>
                <w:color w:val="000000"/>
                <w:sz w:val="24"/>
                <w:szCs w:val="24"/>
              </w:rPr>
              <w:t xml:space="preserve">References </w:t>
            </w:r>
          </w:p>
        </w:tc>
      </w:tr>
      <w:tr w:rsidR="00E52B95" w:rsidRPr="00E52B95" w:rsidTr="00E52B95">
        <w:trPr>
          <w:jc w:val="center"/>
        </w:trPr>
        <w:tc>
          <w:tcPr>
            <w:tcW w:w="11057" w:type="dxa"/>
            <w:gridSpan w:val="5"/>
            <w:tcBorders>
              <w:top w:val="single" w:sz="4" w:space="0" w:color="auto"/>
            </w:tcBorders>
          </w:tcPr>
          <w:p w:rsidR="00E52B95" w:rsidRPr="00E52B95" w:rsidRDefault="00E52B95" w:rsidP="00524E5A">
            <w:pPr>
              <w:spacing w:line="360" w:lineRule="auto"/>
              <w:jc w:val="center"/>
              <w:rPr>
                <w:rFonts w:ascii="Times New Roman" w:hAnsi="Times New Roman" w:cs="Times New Roman"/>
                <w:b/>
                <w:color w:val="000000"/>
                <w:sz w:val="24"/>
                <w:szCs w:val="24"/>
              </w:rPr>
            </w:pPr>
            <w:r w:rsidRPr="00E52B95">
              <w:rPr>
                <w:rFonts w:ascii="Times New Roman" w:hAnsi="Times New Roman" w:cs="Times New Roman"/>
                <w:b/>
                <w:color w:val="000000"/>
                <w:sz w:val="24"/>
                <w:szCs w:val="24"/>
              </w:rPr>
              <w:t>PHENOLS</w:t>
            </w:r>
          </w:p>
        </w:tc>
      </w:tr>
      <w:tr w:rsidR="00E52B95" w:rsidRPr="00E52B95" w:rsidTr="00E52B95">
        <w:trPr>
          <w:trHeight w:val="1266"/>
          <w:jc w:val="center"/>
        </w:trPr>
        <w:tc>
          <w:tcPr>
            <w:tcW w:w="2344" w:type="dxa"/>
          </w:tcPr>
          <w:tbl>
            <w:tblPr>
              <w:tblW w:w="983" w:type="dxa"/>
              <w:tblCellSpacing w:w="15" w:type="dxa"/>
              <w:tblCellMar>
                <w:top w:w="15" w:type="dxa"/>
                <w:left w:w="15" w:type="dxa"/>
                <w:bottom w:w="15" w:type="dxa"/>
                <w:right w:w="15" w:type="dxa"/>
              </w:tblCellMar>
              <w:tblLook w:val="04A0" w:firstRow="1" w:lastRow="0" w:firstColumn="1" w:lastColumn="0" w:noHBand="0" w:noVBand="1"/>
            </w:tblPr>
            <w:tblGrid>
              <w:gridCol w:w="491"/>
              <w:gridCol w:w="492"/>
            </w:tblGrid>
            <w:tr w:rsidR="00E52B95" w:rsidRPr="00E52B95" w:rsidTr="00E52B95">
              <w:trPr>
                <w:trHeight w:val="261"/>
                <w:tblCellSpacing w:w="15" w:type="dxa"/>
              </w:trPr>
              <w:tc>
                <w:tcPr>
                  <w:tcW w:w="0" w:type="auto"/>
                  <w:vAlign w:val="center"/>
                </w:tcPr>
                <w:p w:rsidR="00E52B95" w:rsidRPr="00E52B95" w:rsidRDefault="00E52B95" w:rsidP="00E52B95">
                  <w:pPr>
                    <w:spacing w:after="0" w:line="360" w:lineRule="auto"/>
                    <w:jc w:val="both"/>
                    <w:rPr>
                      <w:rFonts w:ascii="Times New Roman" w:eastAsia="Times New Roman" w:hAnsi="Times New Roman" w:cs="Times New Roman"/>
                      <w:i/>
                      <w:iCs/>
                      <w:color w:val="000000"/>
                      <w:sz w:val="24"/>
                      <w:szCs w:val="24"/>
                      <w:lang w:eastAsia="en-IN"/>
                    </w:rPr>
                  </w:pPr>
                </w:p>
              </w:tc>
              <w:tc>
                <w:tcPr>
                  <w:tcW w:w="0" w:type="auto"/>
                  <w:vAlign w:val="center"/>
                </w:tcPr>
                <w:p w:rsidR="00E52B95" w:rsidRPr="00E52B95" w:rsidRDefault="00E52B95" w:rsidP="00E52B95">
                  <w:pPr>
                    <w:spacing w:after="0" w:line="360" w:lineRule="auto"/>
                    <w:jc w:val="both"/>
                    <w:rPr>
                      <w:rFonts w:ascii="Times New Roman" w:eastAsia="Times New Roman" w:hAnsi="Times New Roman" w:cs="Times New Roman"/>
                      <w:i/>
                      <w:iCs/>
                      <w:color w:val="000000"/>
                      <w:sz w:val="24"/>
                      <w:szCs w:val="24"/>
                      <w:lang w:eastAsia="en-IN"/>
                    </w:rPr>
                  </w:pPr>
                </w:p>
              </w:tc>
            </w:tr>
          </w:tbl>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Fonts w:ascii="Times New Roman" w:hAnsi="Times New Roman" w:cs="Times New Roman"/>
                <w:i/>
                <w:iCs/>
                <w:color w:val="000000"/>
                <w:sz w:val="24"/>
                <w:szCs w:val="24"/>
              </w:rPr>
              <w:t xml:space="preserve">Zingiber  </w:t>
            </w:r>
          </w:p>
        </w:tc>
        <w:tc>
          <w:tcPr>
            <w:tcW w:w="1590" w:type="dxa"/>
          </w:tcPr>
          <w:p w:rsidR="00E52B95" w:rsidRPr="00E52B95" w:rsidRDefault="00E52B95" w:rsidP="00E52B95">
            <w:pPr>
              <w:spacing w:line="360" w:lineRule="auto"/>
              <w:jc w:val="both"/>
              <w:rPr>
                <w:rFonts w:ascii="Times New Roman" w:hAnsi="Times New Roman" w:cs="Times New Roman"/>
                <w:i/>
                <w:color w:val="000000"/>
                <w:sz w:val="24"/>
                <w:szCs w:val="24"/>
              </w:rPr>
            </w:pPr>
            <w:r w:rsidRPr="00E52B95">
              <w:rPr>
                <w:rFonts w:ascii="Times New Roman" w:hAnsi="Times New Roman" w:cs="Times New Roman"/>
                <w:i/>
                <w:color w:val="000000"/>
                <w:sz w:val="24"/>
                <w:szCs w:val="24"/>
              </w:rPr>
              <w:t xml:space="preserve">Zingiber  officinale </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Gingerols (1), Shogaols (2), Paradols (3)</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Antioxidant, Anticancer, Antibacterial, Anti-inflammatory</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(Mao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2019)</w:t>
            </w:r>
          </w:p>
        </w:tc>
      </w:tr>
      <w:tr w:rsidR="00E52B95" w:rsidRPr="00E52B95" w:rsidTr="00E52B95">
        <w:trPr>
          <w:trHeight w:val="1936"/>
          <w:jc w:val="center"/>
        </w:trPr>
        <w:tc>
          <w:tcPr>
            <w:tcW w:w="2344" w:type="dxa"/>
            <w:vMerge w:val="restart"/>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Fonts w:ascii="Times New Roman" w:hAnsi="Times New Roman" w:cs="Times New Roman"/>
                <w:i/>
                <w:iCs/>
                <w:color w:val="000000"/>
                <w:sz w:val="24"/>
                <w:szCs w:val="24"/>
              </w:rPr>
              <w:t xml:space="preserve">Curcuma </w:t>
            </w:r>
          </w:p>
        </w:tc>
        <w:tc>
          <w:tcPr>
            <w:tcW w:w="1590" w:type="dxa"/>
          </w:tcPr>
          <w:p w:rsidR="00E52B95" w:rsidRPr="00E52B95" w:rsidRDefault="00E52B95" w:rsidP="00E52B95">
            <w:pPr>
              <w:spacing w:line="360" w:lineRule="auto"/>
              <w:jc w:val="both"/>
              <w:rPr>
                <w:rFonts w:ascii="Times New Roman" w:hAnsi="Times New Roman" w:cs="Times New Roman"/>
                <w:i/>
                <w:color w:val="000000"/>
                <w:sz w:val="24"/>
                <w:szCs w:val="24"/>
              </w:rPr>
            </w:pPr>
            <w:r w:rsidRPr="00E52B95">
              <w:rPr>
                <w:rFonts w:ascii="Times New Roman" w:hAnsi="Times New Roman" w:cs="Times New Roman"/>
                <w:i/>
                <w:color w:val="000000"/>
                <w:sz w:val="24"/>
                <w:szCs w:val="24"/>
              </w:rPr>
              <w:t>Curcuma longa</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Curcumin (4), demethoxycurcumin (5), bisdemethoxycurcumin (6)</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Anti-inflammatory, Antioxidant, Anticancer, Hepatoprotective</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(de Oliveira Filho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.,2021)</w:t>
            </w:r>
          </w:p>
        </w:tc>
      </w:tr>
      <w:tr w:rsidR="00E52B95" w:rsidRPr="00E52B95" w:rsidTr="00E52B95">
        <w:trPr>
          <w:jc w:val="center"/>
        </w:trPr>
        <w:tc>
          <w:tcPr>
            <w:tcW w:w="2344" w:type="dxa"/>
            <w:vMerge/>
          </w:tcPr>
          <w:p w:rsidR="00E52B95" w:rsidRPr="00E52B95" w:rsidRDefault="00E52B95" w:rsidP="00E52B95">
            <w:pPr>
              <w:spacing w:line="360" w:lineRule="auto"/>
              <w:jc w:val="both"/>
              <w:rPr>
                <w:rFonts w:ascii="Times New Roman" w:hAnsi="Times New Roman" w:cs="Times New Roman"/>
                <w:i/>
                <w:iCs/>
                <w:color w:val="000000"/>
                <w:sz w:val="24"/>
                <w:szCs w:val="24"/>
              </w:rPr>
            </w:pPr>
          </w:p>
        </w:tc>
        <w:tc>
          <w:tcPr>
            <w:tcW w:w="1590" w:type="dxa"/>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Style w:val="Emphasis"/>
                <w:rFonts w:ascii="Times New Roman" w:hAnsi="Times New Roman" w:cs="Times New Roman"/>
                <w:iCs w:val="0"/>
                <w:color w:val="000000"/>
                <w:sz w:val="24"/>
                <w:szCs w:val="24"/>
              </w:rPr>
              <w:t>Curcuma amada</w:t>
            </w:r>
            <w:r w:rsidRPr="00E52B95">
              <w:rPr>
                <w:rFonts w:ascii="Times New Roman" w:hAnsi="Times New Roman" w:cs="Times New Roman"/>
                <w:i/>
                <w:iCs/>
                <w:color w:val="000000"/>
                <w:sz w:val="24"/>
                <w:szCs w:val="24"/>
              </w:rPr>
              <w:t xml:space="preserve"> (Mango Ginger)</w:t>
            </w: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Curcumin (4)</w:t>
            </w: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Anti-inflammatory, antioxidant, anticancer</w:t>
            </w: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(Shahi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2025)</w:t>
            </w:r>
          </w:p>
        </w:tc>
      </w:tr>
      <w:tr w:rsidR="00E52B95" w:rsidRPr="00E52B95" w:rsidTr="00E52B95">
        <w:trPr>
          <w:jc w:val="center"/>
        </w:trPr>
        <w:tc>
          <w:tcPr>
            <w:tcW w:w="2344" w:type="dxa"/>
            <w:vMerge/>
          </w:tcPr>
          <w:p w:rsidR="00E52B95" w:rsidRPr="00E52B95" w:rsidRDefault="00E52B95" w:rsidP="00E52B95">
            <w:pPr>
              <w:spacing w:line="360" w:lineRule="auto"/>
              <w:jc w:val="both"/>
              <w:rPr>
                <w:rFonts w:ascii="Times New Roman" w:hAnsi="Times New Roman" w:cs="Times New Roman"/>
                <w:i/>
                <w:iCs/>
                <w:color w:val="000000"/>
                <w:sz w:val="24"/>
                <w:szCs w:val="24"/>
              </w:rPr>
            </w:pPr>
          </w:p>
        </w:tc>
        <w:tc>
          <w:tcPr>
            <w:tcW w:w="1590" w:type="dxa"/>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Style w:val="Emphasis"/>
                <w:rFonts w:ascii="Times New Roman" w:hAnsi="Times New Roman" w:cs="Times New Roman"/>
                <w:iCs w:val="0"/>
                <w:color w:val="000000"/>
                <w:sz w:val="24"/>
                <w:szCs w:val="24"/>
              </w:rPr>
              <w:t>Curcuma zedoaria</w:t>
            </w:r>
            <w:r w:rsidRPr="00E52B95">
              <w:rPr>
                <w:rFonts w:ascii="Times New Roman" w:hAnsi="Times New Roman" w:cs="Times New Roman"/>
                <w:i/>
                <w:iCs/>
                <w:color w:val="000000"/>
                <w:sz w:val="24"/>
                <w:szCs w:val="24"/>
              </w:rPr>
              <w:t xml:space="preserve"> (White Turmeric)</w:t>
            </w: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Curcumin (4)</w:t>
            </w: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Anti-inflammatory, antioxidant, anticancer</w:t>
            </w: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rPr>
            </w:pPr>
          </w:p>
        </w:tc>
      </w:tr>
      <w:tr w:rsidR="00E52B95" w:rsidRPr="00E52B95" w:rsidTr="00E52B95">
        <w:trPr>
          <w:jc w:val="center"/>
        </w:trPr>
        <w:tc>
          <w:tcPr>
            <w:tcW w:w="2344"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t xml:space="preserve">Etlingera </w:t>
            </w:r>
          </w:p>
        </w:tc>
        <w:tc>
          <w:tcPr>
            <w:tcW w:w="1590" w:type="dxa"/>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Style w:val="Emphasis"/>
                <w:rFonts w:ascii="Times New Roman" w:hAnsi="Times New Roman" w:cs="Times New Roman"/>
                <w:iCs w:val="0"/>
                <w:color w:val="000000"/>
                <w:sz w:val="24"/>
                <w:szCs w:val="24"/>
              </w:rPr>
              <w:t>Etlingera elatior</w:t>
            </w:r>
            <w:r w:rsidRPr="00E52B95">
              <w:rPr>
                <w:rFonts w:ascii="Times New Roman" w:hAnsi="Times New Roman" w:cs="Times New Roman"/>
                <w:i/>
                <w:iCs/>
                <w:color w:val="000000"/>
                <w:sz w:val="24"/>
                <w:szCs w:val="24"/>
              </w:rPr>
              <w:t xml:space="preserve"> (Torch Ginger)</w:t>
            </w: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2-Hydroxycinnamic acid (7), 4-Hydroxycoumarin (8), </w:t>
            </w:r>
            <w:r w:rsidRPr="00E52B95">
              <w:rPr>
                <w:rFonts w:ascii="Times New Roman" w:hAnsi="Times New Roman" w:cs="Times New Roman"/>
                <w:color w:val="000000"/>
                <w:sz w:val="24"/>
                <w:szCs w:val="24"/>
              </w:rPr>
              <w:lastRenderedPageBreak/>
              <w:t>Chlorogenic Acid (9), Coumarin (10)</w:t>
            </w: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lastRenderedPageBreak/>
              <w:t xml:space="preserve">Anti-inflammatory, anticoagulant antimicrobial, </w:t>
            </w:r>
            <w:r w:rsidRPr="00E52B95">
              <w:rPr>
                <w:rFonts w:ascii="Times New Roman" w:hAnsi="Times New Roman" w:cs="Times New Roman"/>
                <w:color w:val="000000"/>
                <w:sz w:val="24"/>
                <w:szCs w:val="24"/>
              </w:rPr>
              <w:lastRenderedPageBreak/>
              <w:t>some anticancer activity</w:t>
            </w: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lastRenderedPageBreak/>
              <w:t xml:space="preserve">(Mutmainah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2024)</w:t>
            </w:r>
          </w:p>
        </w:tc>
      </w:tr>
      <w:tr w:rsidR="00E52B95" w:rsidRPr="00E52B95" w:rsidTr="00E52B95">
        <w:trPr>
          <w:jc w:val="center"/>
        </w:trPr>
        <w:tc>
          <w:tcPr>
            <w:tcW w:w="2344" w:type="dxa"/>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Fonts w:ascii="Times New Roman" w:hAnsi="Times New Roman" w:cs="Times New Roman"/>
                <w:i/>
                <w:iCs/>
                <w:color w:val="000000"/>
                <w:sz w:val="24"/>
                <w:szCs w:val="24"/>
              </w:rPr>
              <w:lastRenderedPageBreak/>
              <w:t>Alpinia</w:t>
            </w:r>
          </w:p>
        </w:tc>
        <w:tc>
          <w:tcPr>
            <w:tcW w:w="1590" w:type="dxa"/>
          </w:tcPr>
          <w:p w:rsidR="00E52B95" w:rsidRPr="00E52B95" w:rsidRDefault="00E52B95" w:rsidP="00E52B95">
            <w:pPr>
              <w:spacing w:line="360" w:lineRule="auto"/>
              <w:jc w:val="both"/>
              <w:rPr>
                <w:rFonts w:ascii="Times New Roman" w:hAnsi="Times New Roman" w:cs="Times New Roman"/>
                <w:i/>
                <w:color w:val="000000"/>
                <w:sz w:val="24"/>
                <w:szCs w:val="24"/>
              </w:rPr>
            </w:pPr>
            <w:r w:rsidRPr="00E52B95">
              <w:rPr>
                <w:rFonts w:ascii="Times New Roman" w:hAnsi="Times New Roman" w:cs="Times New Roman"/>
                <w:i/>
                <w:color w:val="000000"/>
                <w:sz w:val="24"/>
                <w:szCs w:val="24"/>
              </w:rPr>
              <w:t>Alpinia</w:t>
            </w:r>
            <w:r w:rsidR="00524E5A">
              <w:rPr>
                <w:rFonts w:ascii="Times New Roman" w:hAnsi="Times New Roman" w:cs="Times New Roman"/>
                <w:i/>
                <w:color w:val="000000"/>
                <w:sz w:val="24"/>
                <w:szCs w:val="24"/>
              </w:rPr>
              <w:t xml:space="preserve"> </w:t>
            </w:r>
            <w:r w:rsidRPr="00E52B95">
              <w:rPr>
                <w:rFonts w:ascii="Times New Roman" w:hAnsi="Times New Roman" w:cs="Times New Roman"/>
                <w:i/>
                <w:color w:val="000000"/>
                <w:sz w:val="24"/>
                <w:szCs w:val="24"/>
              </w:rPr>
              <w:t>officinarum</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1,7-bis 4-hydroxyphenyl (11) Bisdemethoxycurcumin (6), </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186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639"/>
            </w:tblGrid>
            <w:tr w:rsidR="00E52B95" w:rsidRPr="00E52B95" w:rsidTr="00E52B95">
              <w:trPr>
                <w:tblCellSpacing w:w="15" w:type="dxa"/>
              </w:trPr>
              <w:tc>
                <w:tcPr>
                  <w:tcW w:w="0" w:type="auto"/>
                  <w:vAlign w:val="center"/>
                  <w:hideMark/>
                </w:tcPr>
                <w:p w:rsidR="00E52B95" w:rsidRPr="00E52B95" w:rsidRDefault="00E52B95" w:rsidP="00E52B95">
                  <w:pPr>
                    <w:spacing w:after="0" w:line="360" w:lineRule="auto"/>
                    <w:jc w:val="both"/>
                    <w:rPr>
                      <w:rFonts w:ascii="Times New Roman" w:eastAsia="Times New Roman" w:hAnsi="Times New Roman" w:cs="Times New Roman"/>
                      <w:color w:val="000000"/>
                      <w:sz w:val="24"/>
                      <w:szCs w:val="24"/>
                      <w:lang w:eastAsia="en-IN"/>
                    </w:rPr>
                  </w:pPr>
                </w:p>
              </w:tc>
              <w:tc>
                <w:tcPr>
                  <w:tcW w:w="0" w:type="auto"/>
                  <w:vAlign w:val="center"/>
                  <w:hideMark/>
                </w:tcPr>
                <w:p w:rsidR="00E52B95" w:rsidRPr="00E52B95" w:rsidRDefault="00E52B95" w:rsidP="00E52B95">
                  <w:pPr>
                    <w:spacing w:after="0" w:line="360" w:lineRule="auto"/>
                    <w:jc w:val="both"/>
                    <w:rPr>
                      <w:rFonts w:ascii="Times New Roman" w:eastAsia="Times New Roman" w:hAnsi="Times New Roman" w:cs="Times New Roman"/>
                      <w:color w:val="000000"/>
                      <w:sz w:val="24"/>
                      <w:szCs w:val="24"/>
                      <w:lang w:eastAsia="en-IN"/>
                    </w:rPr>
                  </w:pPr>
                  <w:r w:rsidRPr="00E52B95">
                    <w:rPr>
                      <w:rFonts w:ascii="Times New Roman" w:eastAsia="Times New Roman" w:hAnsi="Times New Roman" w:cs="Times New Roman"/>
                      <w:color w:val="000000"/>
                      <w:sz w:val="24"/>
                      <w:szCs w:val="24"/>
                      <w:lang w:eastAsia="en-IN"/>
                    </w:rPr>
                    <w:t>Antioxidant, Anti-inflammatory</w:t>
                  </w:r>
                </w:p>
              </w:tc>
            </w:tr>
          </w:tbl>
          <w:p w:rsidR="00E52B95" w:rsidRPr="00E52B95" w:rsidRDefault="00E52B95" w:rsidP="00E52B95">
            <w:pPr>
              <w:spacing w:line="360" w:lineRule="auto"/>
              <w:jc w:val="both"/>
              <w:rPr>
                <w:rFonts w:ascii="Times New Roman" w:hAnsi="Times New Roman" w:cs="Times New Roman"/>
                <w:color w:val="000000"/>
                <w:sz w:val="24"/>
                <w:szCs w:val="24"/>
              </w:rPr>
            </w:pP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(Ahmad </w:t>
            </w:r>
            <w:r w:rsidRPr="00E52B95">
              <w:rPr>
                <w:rFonts w:ascii="Times New Roman" w:hAnsi="Times New Roman" w:cs="Times New Roman"/>
                <w:i/>
                <w:color w:val="000000"/>
                <w:sz w:val="24"/>
                <w:szCs w:val="24"/>
              </w:rPr>
              <w:t>et al</w:t>
            </w:r>
            <w:r w:rsidRPr="00E52B95">
              <w:rPr>
                <w:rFonts w:ascii="Times New Roman" w:hAnsi="Times New Roman" w:cs="Times New Roman"/>
                <w:color w:val="000000"/>
                <w:sz w:val="24"/>
                <w:szCs w:val="24"/>
              </w:rPr>
              <w:t>., 2023)</w:t>
            </w:r>
          </w:p>
        </w:tc>
      </w:tr>
      <w:tr w:rsidR="00E52B95" w:rsidRPr="00E52B95" w:rsidTr="00E52B95">
        <w:trPr>
          <w:jc w:val="center"/>
        </w:trPr>
        <w:tc>
          <w:tcPr>
            <w:tcW w:w="2344" w:type="dxa"/>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Fonts w:ascii="Times New Roman" w:hAnsi="Times New Roman" w:cs="Times New Roman"/>
                <w:i/>
                <w:iCs/>
                <w:color w:val="000000"/>
                <w:sz w:val="24"/>
                <w:szCs w:val="24"/>
              </w:rPr>
              <w:t>Amomum</w:t>
            </w:r>
          </w:p>
        </w:tc>
        <w:tc>
          <w:tcPr>
            <w:tcW w:w="1590" w:type="dxa"/>
          </w:tcPr>
          <w:p w:rsidR="00E52B95" w:rsidRPr="00E52B95" w:rsidRDefault="00E52B95" w:rsidP="00E52B95">
            <w:pPr>
              <w:spacing w:line="360" w:lineRule="auto"/>
              <w:jc w:val="both"/>
              <w:rPr>
                <w:rFonts w:ascii="Times New Roman" w:hAnsi="Times New Roman" w:cs="Times New Roman"/>
                <w:i/>
                <w:color w:val="000000"/>
                <w:sz w:val="24"/>
                <w:szCs w:val="24"/>
              </w:rPr>
            </w:pPr>
            <w:r w:rsidRPr="00E52B95">
              <w:rPr>
                <w:rFonts w:ascii="Times New Roman" w:hAnsi="Times New Roman" w:cs="Times New Roman"/>
                <w:i/>
                <w:color w:val="000000"/>
                <w:sz w:val="24"/>
                <w:szCs w:val="24"/>
              </w:rPr>
              <w:t>Amomum subulatum</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Gallic acid (12)</w:t>
            </w: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Antioxidant, Antibacterial</w:t>
            </w:r>
          </w:p>
          <w:p w:rsidR="00E52B95" w:rsidRPr="00E52B95" w:rsidRDefault="00E52B95" w:rsidP="00E52B95">
            <w:pPr>
              <w:spacing w:after="0" w:line="360" w:lineRule="auto"/>
              <w:jc w:val="both"/>
              <w:rPr>
                <w:rFonts w:ascii="Times New Roman" w:eastAsia="Times New Roman" w:hAnsi="Times New Roman" w:cs="Times New Roman"/>
                <w:color w:val="000000"/>
                <w:sz w:val="24"/>
                <w:szCs w:val="24"/>
                <w:lang w:eastAsia="en-IN"/>
              </w:rPr>
            </w:pP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w:t>
            </w:r>
            <w:r w:rsidRPr="00E52B95">
              <w:rPr>
                <w:rFonts w:ascii="Times New Roman" w:hAnsi="Times New Roman" w:cs="Times New Roman"/>
                <w:color w:val="000000"/>
                <w:sz w:val="24"/>
                <w:szCs w:val="24"/>
                <w:shd w:val="clear" w:color="auto" w:fill="FFFFFF"/>
              </w:rPr>
              <w:t xml:space="preserve">Bisht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.,2011)</w:t>
            </w:r>
          </w:p>
        </w:tc>
      </w:tr>
      <w:tr w:rsidR="00E52B95" w:rsidRPr="00E52B95" w:rsidTr="00E52B95">
        <w:trPr>
          <w:jc w:val="center"/>
        </w:trPr>
        <w:tc>
          <w:tcPr>
            <w:tcW w:w="11057" w:type="dxa"/>
            <w:gridSpan w:val="5"/>
          </w:tcPr>
          <w:p w:rsidR="00E52B95" w:rsidRPr="00E52B95" w:rsidRDefault="00E52B95" w:rsidP="00524E5A">
            <w:pPr>
              <w:spacing w:line="360" w:lineRule="auto"/>
              <w:jc w:val="center"/>
              <w:rPr>
                <w:rFonts w:ascii="Times New Roman" w:hAnsi="Times New Roman" w:cs="Times New Roman"/>
                <w:b/>
                <w:color w:val="000000"/>
                <w:sz w:val="24"/>
                <w:szCs w:val="24"/>
              </w:rPr>
            </w:pPr>
            <w:r w:rsidRPr="00E52B95">
              <w:rPr>
                <w:rFonts w:ascii="Times New Roman" w:hAnsi="Times New Roman" w:cs="Times New Roman"/>
                <w:b/>
                <w:color w:val="000000"/>
                <w:sz w:val="24"/>
                <w:szCs w:val="24"/>
              </w:rPr>
              <w:t>FLAVANOIDS</w:t>
            </w:r>
          </w:p>
        </w:tc>
      </w:tr>
      <w:tr w:rsidR="00E52B95" w:rsidRPr="00E52B95" w:rsidTr="00E52B95">
        <w:trPr>
          <w:jc w:val="center"/>
        </w:trPr>
        <w:tc>
          <w:tcPr>
            <w:tcW w:w="2344" w:type="dxa"/>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Fonts w:ascii="Times New Roman" w:hAnsi="Times New Roman" w:cs="Times New Roman"/>
                <w:i/>
                <w:iCs/>
                <w:color w:val="000000"/>
                <w:sz w:val="24"/>
                <w:szCs w:val="24"/>
              </w:rPr>
              <w:t>Alpinia</w:t>
            </w:r>
          </w:p>
        </w:tc>
        <w:tc>
          <w:tcPr>
            <w:tcW w:w="1590" w:type="dxa"/>
          </w:tcPr>
          <w:p w:rsidR="00E52B95" w:rsidRPr="00E52B95" w:rsidRDefault="00E52B95" w:rsidP="00E52B95">
            <w:pPr>
              <w:spacing w:line="360" w:lineRule="auto"/>
              <w:jc w:val="both"/>
              <w:rPr>
                <w:rFonts w:ascii="Times New Roman" w:hAnsi="Times New Roman" w:cs="Times New Roman"/>
                <w:i/>
                <w:color w:val="000000"/>
                <w:sz w:val="24"/>
                <w:szCs w:val="24"/>
              </w:rPr>
            </w:pPr>
            <w:r w:rsidRPr="00E52B95">
              <w:rPr>
                <w:rFonts w:ascii="Times New Roman" w:hAnsi="Times New Roman" w:cs="Times New Roman"/>
                <w:i/>
                <w:color w:val="000000"/>
                <w:sz w:val="24"/>
                <w:szCs w:val="24"/>
              </w:rPr>
              <w:t>Alpinia</w:t>
            </w:r>
            <w:r w:rsidR="00524E5A">
              <w:rPr>
                <w:rFonts w:ascii="Times New Roman" w:hAnsi="Times New Roman" w:cs="Times New Roman"/>
                <w:i/>
                <w:color w:val="000000"/>
                <w:sz w:val="24"/>
                <w:szCs w:val="24"/>
              </w:rPr>
              <w:t xml:space="preserve"> </w:t>
            </w:r>
            <w:r w:rsidRPr="00E52B95">
              <w:rPr>
                <w:rFonts w:ascii="Times New Roman" w:hAnsi="Times New Roman" w:cs="Times New Roman"/>
                <w:i/>
                <w:color w:val="000000"/>
                <w:sz w:val="24"/>
                <w:szCs w:val="24"/>
              </w:rPr>
              <w:t>nigra</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Astragalin (13), Kaempferol-3-glucuronide (14)</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Anthelmintic, Antioxidant</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(Roy </w:t>
            </w:r>
            <w:r w:rsidRPr="00E52B95">
              <w:rPr>
                <w:rFonts w:ascii="Times New Roman" w:hAnsi="Times New Roman" w:cs="Times New Roman"/>
                <w:i/>
                <w:color w:val="000000"/>
                <w:sz w:val="24"/>
                <w:szCs w:val="24"/>
              </w:rPr>
              <w:t>et al</w:t>
            </w:r>
            <w:r w:rsidRPr="00E52B95">
              <w:rPr>
                <w:rFonts w:ascii="Times New Roman" w:hAnsi="Times New Roman" w:cs="Times New Roman"/>
                <w:color w:val="000000"/>
                <w:sz w:val="24"/>
                <w:szCs w:val="24"/>
              </w:rPr>
              <w:t>., 2012)</w:t>
            </w:r>
          </w:p>
          <w:p w:rsidR="00E52B95" w:rsidRPr="00E52B95" w:rsidRDefault="00E52B95" w:rsidP="00E52B95">
            <w:pPr>
              <w:spacing w:line="360" w:lineRule="auto"/>
              <w:jc w:val="both"/>
              <w:rPr>
                <w:rFonts w:ascii="Times New Roman" w:hAnsi="Times New Roman" w:cs="Times New Roman"/>
                <w:color w:val="000000"/>
                <w:sz w:val="24"/>
                <w:szCs w:val="24"/>
              </w:rPr>
            </w:pPr>
          </w:p>
        </w:tc>
      </w:tr>
      <w:tr w:rsidR="00E52B95" w:rsidRPr="00E52B95" w:rsidTr="00E52B95">
        <w:trPr>
          <w:jc w:val="center"/>
        </w:trPr>
        <w:tc>
          <w:tcPr>
            <w:tcW w:w="2344" w:type="dxa"/>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Fonts w:ascii="Times New Roman" w:hAnsi="Times New Roman" w:cs="Times New Roman"/>
                <w:i/>
                <w:iCs/>
                <w:color w:val="000000"/>
                <w:sz w:val="24"/>
                <w:szCs w:val="24"/>
              </w:rPr>
              <w:t>Boesenbergia</w:t>
            </w:r>
          </w:p>
          <w:p w:rsidR="00E52B95" w:rsidRPr="00E52B95" w:rsidRDefault="00E52B95" w:rsidP="00E52B95">
            <w:pPr>
              <w:spacing w:line="360" w:lineRule="auto"/>
              <w:jc w:val="both"/>
              <w:rPr>
                <w:rFonts w:ascii="Times New Roman" w:hAnsi="Times New Roman" w:cs="Times New Roman"/>
                <w:i/>
                <w:iCs/>
                <w:color w:val="000000"/>
                <w:sz w:val="24"/>
                <w:szCs w:val="24"/>
              </w:rPr>
            </w:pPr>
          </w:p>
        </w:tc>
        <w:tc>
          <w:tcPr>
            <w:tcW w:w="1590" w:type="dxa"/>
          </w:tcPr>
          <w:p w:rsidR="00E52B95" w:rsidRPr="00E52B95" w:rsidRDefault="00E52B95" w:rsidP="00E52B95">
            <w:pPr>
              <w:spacing w:line="360" w:lineRule="auto"/>
              <w:jc w:val="both"/>
              <w:rPr>
                <w:rFonts w:ascii="Times New Roman" w:hAnsi="Times New Roman" w:cs="Times New Roman"/>
                <w:i/>
                <w:color w:val="000000"/>
                <w:sz w:val="24"/>
                <w:szCs w:val="24"/>
              </w:rPr>
            </w:pPr>
            <w:r w:rsidRPr="00E52B95">
              <w:rPr>
                <w:rFonts w:ascii="Times New Roman" w:hAnsi="Times New Roman" w:cs="Times New Roman"/>
                <w:i/>
                <w:color w:val="000000"/>
                <w:sz w:val="24"/>
                <w:szCs w:val="24"/>
              </w:rPr>
              <w:t>Boesenbergia rotunda</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Pinostrobin (15)</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Antiviral, Antioxidant, Anti-inflammatory</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(Chutiwitoonchai </w:t>
            </w:r>
            <w:r w:rsidRPr="00E52B95">
              <w:rPr>
                <w:rFonts w:ascii="Times New Roman" w:hAnsi="Times New Roman" w:cs="Times New Roman"/>
                <w:i/>
                <w:color w:val="000000"/>
                <w:sz w:val="24"/>
                <w:szCs w:val="24"/>
              </w:rPr>
              <w:t>et al</w:t>
            </w:r>
            <w:r w:rsidRPr="00E52B95">
              <w:rPr>
                <w:rFonts w:ascii="Times New Roman" w:hAnsi="Times New Roman" w:cs="Times New Roman"/>
                <w:color w:val="000000"/>
                <w:sz w:val="24"/>
                <w:szCs w:val="24"/>
              </w:rPr>
              <w:t>., 2025)</w:t>
            </w:r>
          </w:p>
          <w:p w:rsidR="00E52B95" w:rsidRPr="00E52B95" w:rsidRDefault="00E52B95" w:rsidP="00E52B95">
            <w:pPr>
              <w:spacing w:line="360" w:lineRule="auto"/>
              <w:jc w:val="both"/>
              <w:rPr>
                <w:rFonts w:ascii="Times New Roman" w:hAnsi="Times New Roman" w:cs="Times New Roman"/>
                <w:color w:val="000000"/>
                <w:sz w:val="24"/>
                <w:szCs w:val="24"/>
              </w:rPr>
            </w:pPr>
          </w:p>
        </w:tc>
      </w:tr>
      <w:tr w:rsidR="00E52B95" w:rsidRPr="00E52B95" w:rsidTr="00E52B95">
        <w:trPr>
          <w:jc w:val="center"/>
        </w:trPr>
        <w:tc>
          <w:tcPr>
            <w:tcW w:w="2344" w:type="dxa"/>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Fonts w:ascii="Times New Roman" w:hAnsi="Times New Roman" w:cs="Times New Roman"/>
                <w:i/>
                <w:iCs/>
                <w:color w:val="000000"/>
                <w:sz w:val="24"/>
                <w:szCs w:val="24"/>
              </w:rPr>
              <w:t>Kaempferia</w:t>
            </w:r>
          </w:p>
          <w:p w:rsidR="00E52B95" w:rsidRPr="00E52B95" w:rsidRDefault="00E52B95" w:rsidP="00E52B95">
            <w:pPr>
              <w:spacing w:line="360" w:lineRule="auto"/>
              <w:jc w:val="both"/>
              <w:rPr>
                <w:rFonts w:ascii="Times New Roman" w:hAnsi="Times New Roman" w:cs="Times New Roman"/>
                <w:i/>
                <w:iCs/>
                <w:color w:val="000000"/>
                <w:sz w:val="24"/>
                <w:szCs w:val="24"/>
              </w:rPr>
            </w:pPr>
          </w:p>
        </w:tc>
        <w:tc>
          <w:tcPr>
            <w:tcW w:w="1590" w:type="dxa"/>
          </w:tcPr>
          <w:p w:rsidR="00E52B95" w:rsidRPr="00E52B95" w:rsidRDefault="00E52B95" w:rsidP="00E52B95">
            <w:pPr>
              <w:spacing w:line="360" w:lineRule="auto"/>
              <w:jc w:val="both"/>
              <w:rPr>
                <w:rFonts w:ascii="Times New Roman" w:hAnsi="Times New Roman" w:cs="Times New Roman"/>
                <w:i/>
                <w:color w:val="000000"/>
                <w:sz w:val="24"/>
                <w:szCs w:val="24"/>
              </w:rPr>
            </w:pPr>
            <w:r w:rsidRPr="00E52B95">
              <w:rPr>
                <w:rFonts w:ascii="Times New Roman" w:hAnsi="Times New Roman" w:cs="Times New Roman"/>
                <w:i/>
                <w:color w:val="000000"/>
                <w:sz w:val="24"/>
                <w:szCs w:val="24"/>
              </w:rPr>
              <w:t>Kaempferia rotunda</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 7-hydroxy-5-methoxyflavanone (16), 5,7-dihydroxy flavanone (17)</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Antioxidant, Anticancer, anti-inflammatory, antimicrobial, antiviral</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(Aryantini </w:t>
            </w:r>
            <w:r w:rsidRPr="00E52B95">
              <w:rPr>
                <w:rFonts w:ascii="Times New Roman" w:hAnsi="Times New Roman" w:cs="Times New Roman"/>
                <w:i/>
                <w:color w:val="000000"/>
                <w:sz w:val="24"/>
                <w:szCs w:val="24"/>
              </w:rPr>
              <w:t>et al</w:t>
            </w:r>
            <w:r w:rsidRPr="00E52B95">
              <w:rPr>
                <w:rFonts w:ascii="Times New Roman" w:hAnsi="Times New Roman" w:cs="Times New Roman"/>
                <w:color w:val="000000"/>
                <w:sz w:val="24"/>
                <w:szCs w:val="24"/>
              </w:rPr>
              <w:t>., 2023)</w:t>
            </w:r>
          </w:p>
          <w:p w:rsidR="00E52B95" w:rsidRPr="00E52B95" w:rsidRDefault="00E52B95" w:rsidP="00E52B95">
            <w:pPr>
              <w:spacing w:line="360" w:lineRule="auto"/>
              <w:jc w:val="both"/>
              <w:rPr>
                <w:rFonts w:ascii="Times New Roman" w:hAnsi="Times New Roman" w:cs="Times New Roman"/>
                <w:color w:val="000000"/>
                <w:sz w:val="24"/>
                <w:szCs w:val="24"/>
              </w:rPr>
            </w:pPr>
          </w:p>
        </w:tc>
      </w:tr>
      <w:tr w:rsidR="00E52B95" w:rsidRPr="00E52B95" w:rsidTr="00E52B95">
        <w:trPr>
          <w:jc w:val="center"/>
        </w:trPr>
        <w:tc>
          <w:tcPr>
            <w:tcW w:w="2344"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lastRenderedPageBreak/>
              <w:t xml:space="preserve">Etlingera </w:t>
            </w:r>
          </w:p>
        </w:tc>
        <w:tc>
          <w:tcPr>
            <w:tcW w:w="1590" w:type="dxa"/>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Style w:val="Emphasis"/>
                <w:rFonts w:ascii="Times New Roman" w:hAnsi="Times New Roman" w:cs="Times New Roman"/>
                <w:iCs w:val="0"/>
                <w:color w:val="000000"/>
                <w:sz w:val="24"/>
                <w:szCs w:val="24"/>
              </w:rPr>
              <w:t>Etlingera elatior</w:t>
            </w:r>
            <w:r w:rsidRPr="00E52B95">
              <w:rPr>
                <w:rFonts w:ascii="Times New Roman" w:hAnsi="Times New Roman" w:cs="Times New Roman"/>
                <w:i/>
                <w:iCs/>
                <w:color w:val="000000"/>
                <w:sz w:val="24"/>
                <w:szCs w:val="24"/>
              </w:rPr>
              <w:t xml:space="preserve"> (Torch Ginger)</w:t>
            </w: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Astragalin (13), (±)-Catechin(18), Epicatechin(19), Procyanidin B2(20), Phlorizin(21)</w:t>
            </w: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Antioxidant, anti-inflammatory, cardioprotective, antimicrobial, neuroprotective, Antidiabetic </w:t>
            </w: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(Mutmainah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2024)</w:t>
            </w:r>
          </w:p>
        </w:tc>
      </w:tr>
      <w:tr w:rsidR="00E52B95" w:rsidRPr="00E52B95" w:rsidTr="00E52B95">
        <w:trPr>
          <w:jc w:val="center"/>
        </w:trPr>
        <w:tc>
          <w:tcPr>
            <w:tcW w:w="2344" w:type="dxa"/>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Fonts w:ascii="Times New Roman" w:hAnsi="Times New Roman" w:cs="Times New Roman"/>
                <w:i/>
                <w:iCs/>
                <w:color w:val="000000"/>
                <w:sz w:val="24"/>
                <w:szCs w:val="24"/>
              </w:rPr>
              <w:t>Amomum</w:t>
            </w:r>
          </w:p>
          <w:p w:rsidR="00E52B95" w:rsidRPr="00E52B95" w:rsidRDefault="00E52B95" w:rsidP="00E52B95">
            <w:pPr>
              <w:spacing w:line="360" w:lineRule="auto"/>
              <w:jc w:val="both"/>
              <w:rPr>
                <w:rFonts w:ascii="Times New Roman" w:hAnsi="Times New Roman" w:cs="Times New Roman"/>
                <w:i/>
                <w:iCs/>
                <w:color w:val="000000"/>
                <w:sz w:val="24"/>
                <w:szCs w:val="24"/>
              </w:rPr>
            </w:pPr>
          </w:p>
        </w:tc>
        <w:tc>
          <w:tcPr>
            <w:tcW w:w="1590"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Amomum subulatum</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Quercetin(22), Isoquercetin(23)</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Antioxidant, Anti-inflammatory</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w:t>
            </w:r>
            <w:r w:rsidRPr="00E52B95">
              <w:rPr>
                <w:rFonts w:ascii="Times New Roman" w:hAnsi="Times New Roman" w:cs="Times New Roman"/>
                <w:color w:val="000000"/>
                <w:sz w:val="24"/>
                <w:szCs w:val="24"/>
                <w:shd w:val="clear" w:color="auto" w:fill="FFFFFF"/>
              </w:rPr>
              <w:t xml:space="preserve">Bisht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.,2011)</w:t>
            </w:r>
          </w:p>
        </w:tc>
      </w:tr>
      <w:tr w:rsidR="00E52B95" w:rsidRPr="00E52B95" w:rsidTr="00E52B95">
        <w:trPr>
          <w:trHeight w:val="466"/>
          <w:jc w:val="center"/>
        </w:trPr>
        <w:tc>
          <w:tcPr>
            <w:tcW w:w="11057" w:type="dxa"/>
            <w:gridSpan w:val="5"/>
          </w:tcPr>
          <w:p w:rsidR="00E52B95" w:rsidRPr="00E52B95" w:rsidRDefault="00E52B95" w:rsidP="00524E5A">
            <w:pPr>
              <w:pStyle w:val="Heading3"/>
              <w:spacing w:line="360" w:lineRule="auto"/>
              <w:jc w:val="center"/>
              <w:rPr>
                <w:bCs w:val="0"/>
                <w:color w:val="000000"/>
                <w:sz w:val="24"/>
                <w:szCs w:val="24"/>
              </w:rPr>
            </w:pPr>
            <w:r w:rsidRPr="00E52B95">
              <w:rPr>
                <w:bCs w:val="0"/>
                <w:color w:val="000000"/>
                <w:sz w:val="24"/>
                <w:szCs w:val="24"/>
              </w:rPr>
              <w:t>Terpenes</w:t>
            </w:r>
          </w:p>
        </w:tc>
      </w:tr>
      <w:tr w:rsidR="00E52B95" w:rsidRPr="00E52B95" w:rsidTr="00E52B95">
        <w:trPr>
          <w:trHeight w:val="969"/>
          <w:jc w:val="center"/>
        </w:trPr>
        <w:tc>
          <w:tcPr>
            <w:tcW w:w="2344" w:type="dxa"/>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Fonts w:ascii="Times New Roman" w:hAnsi="Times New Roman" w:cs="Times New Roman"/>
                <w:i/>
                <w:iCs/>
                <w:color w:val="000000"/>
                <w:sz w:val="24"/>
                <w:szCs w:val="24"/>
              </w:rPr>
              <w:t>Zingiber</w:t>
            </w:r>
          </w:p>
          <w:p w:rsidR="00E52B95" w:rsidRPr="00E52B95" w:rsidRDefault="00E52B95" w:rsidP="00E52B95">
            <w:pPr>
              <w:spacing w:line="360" w:lineRule="auto"/>
              <w:jc w:val="both"/>
              <w:rPr>
                <w:rFonts w:ascii="Times New Roman" w:hAnsi="Times New Roman" w:cs="Times New Roman"/>
                <w:i/>
                <w:iCs/>
                <w:color w:val="000000"/>
                <w:sz w:val="24"/>
                <w:szCs w:val="24"/>
              </w:rPr>
            </w:pPr>
          </w:p>
        </w:tc>
        <w:tc>
          <w:tcPr>
            <w:tcW w:w="1590" w:type="dxa"/>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Fonts w:ascii="Times New Roman" w:hAnsi="Times New Roman" w:cs="Times New Roman"/>
                <w:i/>
                <w:iCs/>
                <w:color w:val="000000"/>
                <w:sz w:val="24"/>
                <w:szCs w:val="24"/>
              </w:rPr>
              <w:t xml:space="preserve">Zingiber  officinale </w:t>
            </w:r>
          </w:p>
          <w:p w:rsidR="00E52B95" w:rsidRPr="00E52B95" w:rsidRDefault="00E52B95" w:rsidP="00E52B95">
            <w:pPr>
              <w:spacing w:line="360" w:lineRule="auto"/>
              <w:jc w:val="both"/>
              <w:rPr>
                <w:rFonts w:ascii="Times New Roman" w:hAnsi="Times New Roman" w:cs="Times New Roman"/>
                <w:i/>
                <w:iCs/>
                <w:color w:val="000000"/>
                <w:sz w:val="24"/>
                <w:szCs w:val="24"/>
              </w:rPr>
            </w:pP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Pinene (24), Zingiberene (25), β-Sesquiphellandrene (26), β-bisabolene(27), α-farnesene (28)</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Antibacterial, Anti-inflammatory</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(Mao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2019)</w:t>
            </w:r>
          </w:p>
        </w:tc>
      </w:tr>
      <w:tr w:rsidR="00E52B95" w:rsidRPr="00E52B95" w:rsidTr="00E52B95">
        <w:trPr>
          <w:trHeight w:val="969"/>
          <w:jc w:val="center"/>
        </w:trPr>
        <w:tc>
          <w:tcPr>
            <w:tcW w:w="2344" w:type="dxa"/>
          </w:tcPr>
          <w:p w:rsidR="00E52B95" w:rsidRPr="00E52B95" w:rsidRDefault="00E52B95" w:rsidP="00E52B95">
            <w:pPr>
              <w:spacing w:line="360" w:lineRule="auto"/>
              <w:jc w:val="both"/>
              <w:rPr>
                <w:rFonts w:ascii="Times New Roman" w:hAnsi="Times New Roman" w:cs="Times New Roman"/>
                <w:i/>
                <w:iCs/>
                <w:color w:val="000000"/>
                <w:sz w:val="24"/>
                <w:szCs w:val="24"/>
              </w:rPr>
            </w:pPr>
          </w:p>
        </w:tc>
        <w:tc>
          <w:tcPr>
            <w:tcW w:w="1590" w:type="dxa"/>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Style w:val="Emphasis"/>
                <w:rFonts w:ascii="Times New Roman" w:hAnsi="Times New Roman" w:cs="Times New Roman"/>
                <w:color w:val="000000"/>
                <w:sz w:val="24"/>
                <w:szCs w:val="24"/>
              </w:rPr>
              <w:t>Zingiber  mioga</w:t>
            </w:r>
            <w:r w:rsidRPr="00E52B95">
              <w:rPr>
                <w:rFonts w:ascii="Times New Roman" w:hAnsi="Times New Roman" w:cs="Times New Roman"/>
                <w:i/>
                <w:iCs/>
                <w:color w:val="000000"/>
                <w:sz w:val="24"/>
                <w:szCs w:val="24"/>
              </w:rPr>
              <w:t xml:space="preserve"> (Myoga Ginger)</w:t>
            </w: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Pinene (24), β-terpinene (29), β-phellandrene (30), galanal A (31), galanal B (32), miogadial (33), aframodial (34), miogatrial (35), polygodial (36), </w:t>
            </w: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Anti-inflammatory, antimicrobial, bronchodilator, neuroprotective</w:t>
            </w: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(Stirling., 2004)</w:t>
            </w:r>
          </w:p>
        </w:tc>
      </w:tr>
      <w:tr w:rsidR="00E52B95" w:rsidRPr="00E52B95" w:rsidTr="00E52B95">
        <w:trPr>
          <w:jc w:val="center"/>
        </w:trPr>
        <w:tc>
          <w:tcPr>
            <w:tcW w:w="2344" w:type="dxa"/>
            <w:vMerge w:val="restart"/>
          </w:tcPr>
          <w:p w:rsidR="00E52B95" w:rsidRPr="00E52B95" w:rsidRDefault="00E52B95" w:rsidP="00E52B95">
            <w:pPr>
              <w:spacing w:line="360" w:lineRule="auto"/>
              <w:jc w:val="both"/>
              <w:rPr>
                <w:rFonts w:ascii="Times New Roman" w:hAnsi="Times New Roman" w:cs="Times New Roman"/>
                <w:i/>
                <w:iCs/>
                <w:color w:val="000000"/>
                <w:sz w:val="24"/>
                <w:szCs w:val="24"/>
              </w:rPr>
            </w:pPr>
          </w:p>
        </w:tc>
        <w:tc>
          <w:tcPr>
            <w:tcW w:w="1590" w:type="dxa"/>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Fonts w:ascii="Times New Roman" w:hAnsi="Times New Roman" w:cs="Times New Roman"/>
                <w:i/>
                <w:iCs/>
                <w:color w:val="000000"/>
                <w:sz w:val="24"/>
                <w:szCs w:val="24"/>
              </w:rPr>
              <w:t>Zingiber  zerumbet</w:t>
            </w:r>
          </w:p>
          <w:p w:rsidR="00E52B95" w:rsidRPr="00E52B95" w:rsidRDefault="00E52B95" w:rsidP="00E52B95">
            <w:pPr>
              <w:spacing w:line="360" w:lineRule="auto"/>
              <w:jc w:val="both"/>
              <w:rPr>
                <w:rFonts w:ascii="Times New Roman" w:hAnsi="Times New Roman" w:cs="Times New Roman"/>
                <w:i/>
                <w:iCs/>
                <w:color w:val="000000"/>
                <w:sz w:val="24"/>
                <w:szCs w:val="24"/>
              </w:rPr>
            </w:pP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Zerumbone (37)</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Anticancer, Antibacterial</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(Kaur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.,2025)</w:t>
            </w:r>
          </w:p>
        </w:tc>
      </w:tr>
      <w:tr w:rsidR="00E52B95" w:rsidRPr="00E52B95" w:rsidTr="00E52B95">
        <w:trPr>
          <w:jc w:val="center"/>
        </w:trPr>
        <w:tc>
          <w:tcPr>
            <w:tcW w:w="2344" w:type="dxa"/>
            <w:vMerge/>
          </w:tcPr>
          <w:p w:rsidR="00E52B95" w:rsidRPr="00E52B95" w:rsidRDefault="00E52B95" w:rsidP="00E52B95">
            <w:pPr>
              <w:spacing w:line="360" w:lineRule="auto"/>
              <w:jc w:val="both"/>
              <w:rPr>
                <w:rFonts w:ascii="Times New Roman" w:hAnsi="Times New Roman" w:cs="Times New Roman"/>
                <w:i/>
                <w:iCs/>
                <w:color w:val="000000"/>
                <w:sz w:val="24"/>
                <w:szCs w:val="24"/>
              </w:rPr>
            </w:pPr>
          </w:p>
        </w:tc>
        <w:tc>
          <w:tcPr>
            <w:tcW w:w="1590" w:type="dxa"/>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Style w:val="Emphasis"/>
                <w:rFonts w:ascii="Times New Roman" w:hAnsi="Times New Roman" w:cs="Times New Roman"/>
                <w:color w:val="000000"/>
                <w:sz w:val="24"/>
                <w:szCs w:val="24"/>
              </w:rPr>
              <w:t>Zingiber  ottensii</w:t>
            </w:r>
            <w:r w:rsidRPr="00E52B95">
              <w:rPr>
                <w:rFonts w:ascii="Times New Roman" w:hAnsi="Times New Roman" w:cs="Times New Roman"/>
                <w:i/>
                <w:iCs/>
                <w:color w:val="000000"/>
                <w:sz w:val="24"/>
                <w:szCs w:val="24"/>
              </w:rPr>
              <w:t xml:space="preserve"> (Ottens Ginger)</w:t>
            </w: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Sabinene (38), terpene-4-ol(39)</w:t>
            </w: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Antimicrobial, anti-inflammatory</w:t>
            </w: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(Panyajai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.,2022)</w:t>
            </w:r>
          </w:p>
        </w:tc>
      </w:tr>
      <w:tr w:rsidR="00E52B95" w:rsidRPr="00E52B95" w:rsidTr="00E52B95">
        <w:trPr>
          <w:jc w:val="center"/>
        </w:trPr>
        <w:tc>
          <w:tcPr>
            <w:tcW w:w="2344" w:type="dxa"/>
            <w:vMerge/>
          </w:tcPr>
          <w:p w:rsidR="00E52B95" w:rsidRPr="00E52B95" w:rsidRDefault="00E52B95" w:rsidP="00E52B95">
            <w:pPr>
              <w:spacing w:line="360" w:lineRule="auto"/>
              <w:jc w:val="both"/>
              <w:rPr>
                <w:rFonts w:ascii="Times New Roman" w:hAnsi="Times New Roman" w:cs="Times New Roman"/>
                <w:i/>
                <w:iCs/>
                <w:color w:val="000000"/>
                <w:sz w:val="24"/>
                <w:szCs w:val="24"/>
              </w:rPr>
            </w:pPr>
          </w:p>
        </w:tc>
        <w:tc>
          <w:tcPr>
            <w:tcW w:w="1590" w:type="dxa"/>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Fonts w:ascii="Times New Roman" w:hAnsi="Times New Roman" w:cs="Times New Roman"/>
                <w:i/>
                <w:iCs/>
                <w:color w:val="000000"/>
                <w:sz w:val="24"/>
                <w:szCs w:val="24"/>
              </w:rPr>
              <w:t>Zingiber  montanum</w:t>
            </w:r>
          </w:p>
          <w:p w:rsidR="00E52B95" w:rsidRPr="00E52B95" w:rsidRDefault="00E52B95" w:rsidP="00E52B95">
            <w:pPr>
              <w:spacing w:line="360" w:lineRule="auto"/>
              <w:jc w:val="both"/>
              <w:rPr>
                <w:rFonts w:ascii="Times New Roman" w:hAnsi="Times New Roman" w:cs="Times New Roman"/>
                <w:i/>
                <w:iCs/>
                <w:color w:val="000000"/>
                <w:sz w:val="24"/>
                <w:szCs w:val="24"/>
              </w:rPr>
            </w:pP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 Terpinen-4-ol (39), pinene (24), β-phellandrene (30)</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Anti-inflammatory, Antimicrobial, bronchodilator, Sedative, analgesic,</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 (Devkota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.,2021)</w:t>
            </w:r>
          </w:p>
        </w:tc>
      </w:tr>
      <w:tr w:rsidR="00E52B95" w:rsidRPr="00E52B95" w:rsidTr="00E52B95">
        <w:trPr>
          <w:jc w:val="center"/>
        </w:trPr>
        <w:tc>
          <w:tcPr>
            <w:tcW w:w="2344" w:type="dxa"/>
            <w:vMerge w:val="restart"/>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Fonts w:ascii="Times New Roman" w:hAnsi="Times New Roman" w:cs="Times New Roman"/>
                <w:i/>
                <w:iCs/>
                <w:color w:val="000000"/>
                <w:sz w:val="24"/>
                <w:szCs w:val="24"/>
              </w:rPr>
              <w:t xml:space="preserve">Curcuma </w:t>
            </w:r>
          </w:p>
        </w:tc>
        <w:tc>
          <w:tcPr>
            <w:tcW w:w="1590" w:type="dxa"/>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Style w:val="Emphasis"/>
                <w:rFonts w:ascii="Times New Roman" w:hAnsi="Times New Roman" w:cs="Times New Roman"/>
                <w:color w:val="000000"/>
                <w:sz w:val="24"/>
                <w:szCs w:val="24"/>
              </w:rPr>
              <w:t>Curcuma caesia</w:t>
            </w:r>
            <w:r w:rsidRPr="00E52B95">
              <w:rPr>
                <w:rFonts w:ascii="Times New Roman" w:hAnsi="Times New Roman" w:cs="Times New Roman"/>
                <w:i/>
                <w:iCs/>
                <w:color w:val="000000"/>
                <w:sz w:val="24"/>
                <w:szCs w:val="24"/>
              </w:rPr>
              <w:t xml:space="preserve"> (Black Turmeric)</w:t>
            </w: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   Ar-curcumene (40), β-elemene (41) </w:t>
            </w: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Anti-inflammatory, mucolytic, bronchodilator, antimicrobial</w:t>
            </w: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w:t>
            </w:r>
            <w:r w:rsidRPr="00E52B95">
              <w:rPr>
                <w:rFonts w:ascii="Times New Roman" w:hAnsi="Times New Roman" w:cs="Times New Roman"/>
                <w:color w:val="000000"/>
                <w:sz w:val="24"/>
                <w:szCs w:val="24"/>
                <w:shd w:val="clear" w:color="auto" w:fill="FFFFFF"/>
              </w:rPr>
              <w:t xml:space="preserve">Kanglom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.,2024)</w:t>
            </w:r>
          </w:p>
        </w:tc>
      </w:tr>
      <w:tr w:rsidR="00E52B95" w:rsidRPr="00E52B95" w:rsidTr="00E52B95">
        <w:trPr>
          <w:jc w:val="center"/>
        </w:trPr>
        <w:tc>
          <w:tcPr>
            <w:tcW w:w="2344" w:type="dxa"/>
            <w:vMerge/>
          </w:tcPr>
          <w:p w:rsidR="00E52B95" w:rsidRPr="00E52B95" w:rsidRDefault="00E52B95" w:rsidP="00E52B95">
            <w:pPr>
              <w:spacing w:line="360" w:lineRule="auto"/>
              <w:jc w:val="both"/>
              <w:rPr>
                <w:rFonts w:ascii="Times New Roman" w:hAnsi="Times New Roman" w:cs="Times New Roman"/>
                <w:i/>
                <w:iCs/>
                <w:color w:val="000000"/>
                <w:sz w:val="24"/>
                <w:szCs w:val="24"/>
              </w:rPr>
            </w:pPr>
          </w:p>
        </w:tc>
        <w:tc>
          <w:tcPr>
            <w:tcW w:w="1590" w:type="dxa"/>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Style w:val="Emphasis"/>
                <w:rFonts w:ascii="Times New Roman" w:hAnsi="Times New Roman" w:cs="Times New Roman"/>
                <w:color w:val="000000"/>
                <w:sz w:val="24"/>
                <w:szCs w:val="24"/>
              </w:rPr>
              <w:t>Curcuma amada</w:t>
            </w:r>
            <w:r w:rsidRPr="00E52B95">
              <w:rPr>
                <w:rFonts w:ascii="Times New Roman" w:hAnsi="Times New Roman" w:cs="Times New Roman"/>
                <w:i/>
                <w:iCs/>
                <w:color w:val="000000"/>
                <w:sz w:val="24"/>
                <w:szCs w:val="24"/>
              </w:rPr>
              <w:t xml:space="preserve"> (Mango Ginger)</w:t>
            </w: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 Pinene(24), cis-ocimene(42), car-3-ene(43)</w:t>
            </w: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Anti-inflammatory, insecticidal, Sedative, analgesic</w:t>
            </w: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(Shahi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2025)</w:t>
            </w:r>
          </w:p>
        </w:tc>
      </w:tr>
      <w:tr w:rsidR="00E52B95" w:rsidRPr="00E52B95" w:rsidTr="00E52B95">
        <w:trPr>
          <w:jc w:val="center"/>
        </w:trPr>
        <w:tc>
          <w:tcPr>
            <w:tcW w:w="2344" w:type="dxa"/>
            <w:vMerge/>
          </w:tcPr>
          <w:p w:rsidR="00E52B95" w:rsidRPr="00E52B95" w:rsidRDefault="00E52B95" w:rsidP="00E52B95">
            <w:pPr>
              <w:spacing w:line="360" w:lineRule="auto"/>
              <w:jc w:val="both"/>
              <w:rPr>
                <w:rFonts w:ascii="Times New Roman" w:hAnsi="Times New Roman" w:cs="Times New Roman"/>
                <w:i/>
                <w:iCs/>
                <w:color w:val="000000"/>
                <w:sz w:val="24"/>
                <w:szCs w:val="24"/>
              </w:rPr>
            </w:pPr>
          </w:p>
        </w:tc>
        <w:tc>
          <w:tcPr>
            <w:tcW w:w="1590" w:type="dxa"/>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Style w:val="Emphasis"/>
                <w:rFonts w:ascii="Times New Roman" w:hAnsi="Times New Roman" w:cs="Times New Roman"/>
                <w:color w:val="000000"/>
                <w:sz w:val="24"/>
                <w:szCs w:val="24"/>
              </w:rPr>
              <w:t>Curcuma zedoaria</w:t>
            </w:r>
            <w:r w:rsidRPr="00E52B95">
              <w:rPr>
                <w:rFonts w:ascii="Times New Roman" w:hAnsi="Times New Roman" w:cs="Times New Roman"/>
                <w:i/>
                <w:iCs/>
                <w:color w:val="000000"/>
                <w:sz w:val="24"/>
                <w:szCs w:val="24"/>
              </w:rPr>
              <w:t xml:space="preserve"> (White Turmeric)</w:t>
            </w: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α-phellandrene (44), 1,8-cineole (45), β-turmerone (46), β-eudesmol (47), zingiberene, furanodiene (48), germacrone (49)</w:t>
            </w: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Anti-inflammatory, mucolytic, bronchodilator, antimicrobial</w:t>
            </w: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(Gharge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.,2021)</w:t>
            </w:r>
          </w:p>
        </w:tc>
      </w:tr>
      <w:tr w:rsidR="00E52B95" w:rsidRPr="00E52B95" w:rsidTr="00E52B95">
        <w:trPr>
          <w:jc w:val="center"/>
        </w:trPr>
        <w:tc>
          <w:tcPr>
            <w:tcW w:w="2344" w:type="dxa"/>
            <w:vMerge/>
          </w:tcPr>
          <w:p w:rsidR="00E52B95" w:rsidRPr="00E52B95" w:rsidRDefault="00E52B95" w:rsidP="00E52B95">
            <w:pPr>
              <w:spacing w:line="360" w:lineRule="auto"/>
              <w:jc w:val="both"/>
              <w:rPr>
                <w:rFonts w:ascii="Times New Roman" w:hAnsi="Times New Roman" w:cs="Times New Roman"/>
                <w:i/>
                <w:iCs/>
                <w:color w:val="000000"/>
                <w:sz w:val="24"/>
                <w:szCs w:val="24"/>
              </w:rPr>
            </w:pPr>
          </w:p>
        </w:tc>
        <w:tc>
          <w:tcPr>
            <w:tcW w:w="1590" w:type="dxa"/>
          </w:tcPr>
          <w:p w:rsidR="00E52B95" w:rsidRPr="00E52B95" w:rsidRDefault="00E52B95" w:rsidP="00E52B95">
            <w:pPr>
              <w:spacing w:line="360" w:lineRule="auto"/>
              <w:jc w:val="both"/>
              <w:rPr>
                <w:rStyle w:val="Emphasis"/>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t>Curcuma zanthorrhiza</w:t>
            </w:r>
            <w:r w:rsidRPr="00E52B95">
              <w:rPr>
                <w:rFonts w:ascii="Times New Roman" w:hAnsi="Times New Roman" w:cs="Times New Roman"/>
                <w:i/>
                <w:iCs/>
                <w:color w:val="000000"/>
                <w:sz w:val="24"/>
                <w:szCs w:val="24"/>
              </w:rPr>
              <w:t xml:space="preserve"> </w:t>
            </w:r>
            <w:r w:rsidRPr="00E52B95">
              <w:rPr>
                <w:rFonts w:ascii="Times New Roman" w:hAnsi="Times New Roman" w:cs="Times New Roman"/>
                <w:i/>
                <w:iCs/>
                <w:color w:val="000000"/>
                <w:sz w:val="24"/>
                <w:szCs w:val="24"/>
              </w:rPr>
              <w:lastRenderedPageBreak/>
              <w:t>(Javanese Turmeric)</w:t>
            </w: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lastRenderedPageBreak/>
              <w:t xml:space="preserve">Curcumene (50), xanthorrhizol (51), </w:t>
            </w:r>
            <w:r w:rsidRPr="00E52B95">
              <w:rPr>
                <w:rFonts w:ascii="Times New Roman" w:hAnsi="Times New Roman" w:cs="Times New Roman"/>
                <w:color w:val="000000"/>
                <w:sz w:val="24"/>
                <w:szCs w:val="24"/>
              </w:rPr>
              <w:lastRenderedPageBreak/>
              <w:t>germacrone (49), β-curcumene (52)</w:t>
            </w: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lastRenderedPageBreak/>
              <w:t>Antimicrobial, anticancer, anti-inflammatory</w:t>
            </w: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(Schmidt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.,2015)</w:t>
            </w:r>
          </w:p>
        </w:tc>
      </w:tr>
      <w:tr w:rsidR="00E52B95" w:rsidRPr="00E52B95" w:rsidTr="00E52B95">
        <w:trPr>
          <w:jc w:val="center"/>
        </w:trPr>
        <w:tc>
          <w:tcPr>
            <w:tcW w:w="2344" w:type="dxa"/>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Fonts w:ascii="Times New Roman" w:hAnsi="Times New Roman" w:cs="Times New Roman"/>
                <w:i/>
                <w:iCs/>
                <w:color w:val="000000"/>
                <w:sz w:val="24"/>
                <w:szCs w:val="24"/>
              </w:rPr>
              <w:lastRenderedPageBreak/>
              <w:t xml:space="preserve">Elettaria </w:t>
            </w:r>
          </w:p>
        </w:tc>
        <w:tc>
          <w:tcPr>
            <w:tcW w:w="1590" w:type="dxa"/>
          </w:tcPr>
          <w:p w:rsidR="00E52B95" w:rsidRPr="00E52B95" w:rsidRDefault="00E52B95" w:rsidP="00E52B95">
            <w:pPr>
              <w:spacing w:line="360" w:lineRule="auto"/>
              <w:jc w:val="both"/>
              <w:rPr>
                <w:rStyle w:val="Emphasis"/>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t>Elettaria cardamomum L.</w:t>
            </w:r>
            <w:r w:rsidRPr="00E52B95">
              <w:rPr>
                <w:rFonts w:ascii="Times New Roman" w:hAnsi="Times New Roman" w:cs="Times New Roman"/>
                <w:i/>
                <w:iCs/>
                <w:color w:val="000000"/>
                <w:sz w:val="24"/>
                <w:szCs w:val="24"/>
              </w:rPr>
              <w:t xml:space="preserve"> (Cardamom)</w:t>
            </w: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1,8-cineole (45), α-pinene (53), α-terpineol, linalool (54), nerolidol (55)</w:t>
            </w: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Anti-inflammatory, mucolytic, bronchodilator, antimicrobial</w:t>
            </w: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(kumar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.,2020)</w:t>
            </w:r>
          </w:p>
        </w:tc>
      </w:tr>
      <w:tr w:rsidR="00E52B95" w:rsidRPr="00E52B95" w:rsidTr="00E52B95">
        <w:trPr>
          <w:jc w:val="center"/>
        </w:trPr>
        <w:tc>
          <w:tcPr>
            <w:tcW w:w="2344" w:type="dxa"/>
            <w:vMerge w:val="restart"/>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Fonts w:ascii="Times New Roman" w:hAnsi="Times New Roman" w:cs="Times New Roman"/>
                <w:i/>
                <w:iCs/>
                <w:color w:val="000000"/>
                <w:sz w:val="24"/>
                <w:szCs w:val="24"/>
              </w:rPr>
              <w:t>Alpinia</w:t>
            </w:r>
          </w:p>
        </w:tc>
        <w:tc>
          <w:tcPr>
            <w:tcW w:w="1590" w:type="dxa"/>
          </w:tcPr>
          <w:p w:rsidR="00E52B95" w:rsidRPr="00E52B95" w:rsidRDefault="00E52B95" w:rsidP="00E52B95">
            <w:pPr>
              <w:spacing w:line="360" w:lineRule="auto"/>
              <w:jc w:val="both"/>
              <w:rPr>
                <w:rStyle w:val="Emphasis"/>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t>Alpinianigra</w:t>
            </w:r>
            <w:r w:rsidRPr="00E52B95">
              <w:rPr>
                <w:rFonts w:ascii="Times New Roman" w:hAnsi="Times New Roman" w:cs="Times New Roman"/>
                <w:i/>
                <w:iCs/>
                <w:color w:val="000000"/>
                <w:sz w:val="24"/>
                <w:szCs w:val="24"/>
              </w:rPr>
              <w:t xml:space="preserve"> (Blackfruit Galangal)</w:t>
            </w: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β-Pinene (56), α-pinene (53)</w:t>
            </w: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Anti-inflammatory, antimicrobial, bronchodilator</w:t>
            </w: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(Roy </w:t>
            </w:r>
            <w:r w:rsidRPr="00E52B95">
              <w:rPr>
                <w:rFonts w:ascii="Times New Roman" w:hAnsi="Times New Roman" w:cs="Times New Roman"/>
                <w:i/>
                <w:color w:val="000000"/>
                <w:sz w:val="24"/>
                <w:szCs w:val="24"/>
              </w:rPr>
              <w:t>et al</w:t>
            </w:r>
            <w:r w:rsidRPr="00E52B95">
              <w:rPr>
                <w:rFonts w:ascii="Times New Roman" w:hAnsi="Times New Roman" w:cs="Times New Roman"/>
                <w:color w:val="000000"/>
                <w:sz w:val="24"/>
                <w:szCs w:val="24"/>
              </w:rPr>
              <w:t>., 2012)</w:t>
            </w:r>
          </w:p>
          <w:p w:rsidR="00E52B95" w:rsidRPr="00E52B95" w:rsidRDefault="00E52B95" w:rsidP="00E52B95">
            <w:pPr>
              <w:spacing w:line="360" w:lineRule="auto"/>
              <w:jc w:val="both"/>
              <w:rPr>
                <w:rFonts w:ascii="Times New Roman" w:hAnsi="Times New Roman" w:cs="Times New Roman"/>
                <w:color w:val="000000"/>
                <w:sz w:val="24"/>
                <w:szCs w:val="24"/>
              </w:rPr>
            </w:pPr>
          </w:p>
        </w:tc>
      </w:tr>
      <w:tr w:rsidR="00E52B95" w:rsidRPr="00E52B95" w:rsidTr="00E52B95">
        <w:trPr>
          <w:jc w:val="center"/>
        </w:trPr>
        <w:tc>
          <w:tcPr>
            <w:tcW w:w="2344" w:type="dxa"/>
            <w:vMerge/>
          </w:tcPr>
          <w:p w:rsidR="00E52B95" w:rsidRPr="00E52B95" w:rsidRDefault="00E52B95" w:rsidP="00E52B95">
            <w:pPr>
              <w:spacing w:line="360" w:lineRule="auto"/>
              <w:jc w:val="both"/>
              <w:rPr>
                <w:rFonts w:ascii="Times New Roman" w:hAnsi="Times New Roman" w:cs="Times New Roman"/>
                <w:i/>
                <w:iCs/>
                <w:color w:val="000000"/>
                <w:sz w:val="24"/>
                <w:szCs w:val="24"/>
              </w:rPr>
            </w:pPr>
          </w:p>
        </w:tc>
        <w:tc>
          <w:tcPr>
            <w:tcW w:w="1590" w:type="dxa"/>
          </w:tcPr>
          <w:p w:rsidR="00E52B95" w:rsidRPr="00E52B95" w:rsidRDefault="00E52B95" w:rsidP="00E52B95">
            <w:pPr>
              <w:spacing w:line="360" w:lineRule="auto"/>
              <w:jc w:val="both"/>
              <w:rPr>
                <w:rStyle w:val="Emphasis"/>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t>Alpiniacalcarata</w:t>
            </w:r>
            <w:r w:rsidRPr="00E52B95">
              <w:rPr>
                <w:rFonts w:ascii="Times New Roman" w:hAnsi="Times New Roman" w:cs="Times New Roman"/>
                <w:i/>
                <w:iCs/>
                <w:color w:val="000000"/>
                <w:sz w:val="24"/>
                <w:szCs w:val="24"/>
              </w:rPr>
              <w:t xml:space="preserve"> (Snap Ginger)</w:t>
            </w: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Camphene (57), α-Pinene (53), 1,8-Cineole (45)</w:t>
            </w: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Anti-inflammatory, mucolytic, bronchodilator, antimicrobial</w:t>
            </w: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w:t>
            </w:r>
            <w:r w:rsidRPr="00E52B95">
              <w:rPr>
                <w:rFonts w:ascii="Times New Roman" w:hAnsi="Times New Roman" w:cs="Times New Roman"/>
                <w:color w:val="000000"/>
                <w:sz w:val="24"/>
                <w:szCs w:val="24"/>
                <w:shd w:val="clear" w:color="auto" w:fill="FFFFFF"/>
              </w:rPr>
              <w:t xml:space="preserve">Anuranj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2024)</w:t>
            </w:r>
          </w:p>
        </w:tc>
      </w:tr>
      <w:tr w:rsidR="00E52B95" w:rsidRPr="00E52B95" w:rsidTr="00E52B95">
        <w:trPr>
          <w:jc w:val="center"/>
        </w:trPr>
        <w:tc>
          <w:tcPr>
            <w:tcW w:w="2344" w:type="dxa"/>
            <w:vMerge w:val="restart"/>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Fonts w:ascii="Times New Roman" w:hAnsi="Times New Roman" w:cs="Times New Roman"/>
                <w:i/>
                <w:iCs/>
                <w:color w:val="000000"/>
                <w:sz w:val="24"/>
                <w:szCs w:val="24"/>
              </w:rPr>
              <w:t>Hedychium</w:t>
            </w:r>
          </w:p>
        </w:tc>
        <w:tc>
          <w:tcPr>
            <w:tcW w:w="1590" w:type="dxa"/>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Fonts w:ascii="Times New Roman" w:hAnsi="Times New Roman" w:cs="Times New Roman"/>
                <w:i/>
                <w:iCs/>
                <w:color w:val="000000"/>
                <w:sz w:val="24"/>
                <w:szCs w:val="24"/>
              </w:rPr>
              <w:t>Hedychium coronarium</w:t>
            </w:r>
          </w:p>
          <w:p w:rsidR="00E52B95" w:rsidRPr="00E52B95" w:rsidRDefault="00E52B95" w:rsidP="00E52B95">
            <w:pPr>
              <w:spacing w:line="360" w:lineRule="auto"/>
              <w:jc w:val="both"/>
              <w:rPr>
                <w:rFonts w:ascii="Times New Roman" w:hAnsi="Times New Roman" w:cs="Times New Roman"/>
                <w:i/>
                <w:iCs/>
                <w:color w:val="000000"/>
                <w:sz w:val="24"/>
                <w:szCs w:val="24"/>
              </w:rPr>
            </w:pP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1,8-cineole (45), β-pinene (56), α-pinene (53), Linalool (54)</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Antioxidant, Antimicrobial</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(Kar </w:t>
            </w:r>
            <w:r w:rsidRPr="00E52B95">
              <w:rPr>
                <w:rFonts w:ascii="Times New Roman" w:hAnsi="Times New Roman" w:cs="Times New Roman"/>
                <w:i/>
                <w:color w:val="000000"/>
                <w:sz w:val="24"/>
                <w:szCs w:val="24"/>
              </w:rPr>
              <w:t>et al</w:t>
            </w:r>
            <w:r w:rsidRPr="00E52B95">
              <w:rPr>
                <w:rFonts w:ascii="Times New Roman" w:hAnsi="Times New Roman" w:cs="Times New Roman"/>
                <w:color w:val="000000"/>
                <w:sz w:val="24"/>
                <w:szCs w:val="24"/>
              </w:rPr>
              <w:t>.,2023)</w:t>
            </w:r>
          </w:p>
        </w:tc>
      </w:tr>
      <w:tr w:rsidR="00E52B95" w:rsidRPr="00E52B95" w:rsidTr="00E52B95">
        <w:trPr>
          <w:jc w:val="center"/>
        </w:trPr>
        <w:tc>
          <w:tcPr>
            <w:tcW w:w="2344" w:type="dxa"/>
            <w:vMerge/>
          </w:tcPr>
          <w:p w:rsidR="00E52B95" w:rsidRPr="00E52B95" w:rsidRDefault="00E52B95" w:rsidP="00E52B95">
            <w:pPr>
              <w:spacing w:line="360" w:lineRule="auto"/>
              <w:jc w:val="both"/>
              <w:rPr>
                <w:rFonts w:ascii="Times New Roman" w:hAnsi="Times New Roman" w:cs="Times New Roman"/>
                <w:i/>
                <w:iCs/>
                <w:color w:val="000000"/>
                <w:sz w:val="24"/>
                <w:szCs w:val="24"/>
              </w:rPr>
            </w:pPr>
          </w:p>
        </w:tc>
        <w:tc>
          <w:tcPr>
            <w:tcW w:w="1590" w:type="dxa"/>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Style w:val="Emphasis"/>
                <w:rFonts w:ascii="Times New Roman" w:hAnsi="Times New Roman" w:cs="Times New Roman"/>
                <w:color w:val="000000"/>
                <w:sz w:val="24"/>
                <w:szCs w:val="24"/>
              </w:rPr>
              <w:t>Hedychium spicatum</w:t>
            </w:r>
            <w:r w:rsidRPr="00E52B95">
              <w:rPr>
                <w:rFonts w:ascii="Times New Roman" w:hAnsi="Times New Roman" w:cs="Times New Roman"/>
                <w:i/>
                <w:iCs/>
                <w:color w:val="000000"/>
                <w:sz w:val="24"/>
                <w:szCs w:val="24"/>
              </w:rPr>
              <w:t xml:space="preserve"> (Spiked Ginger Lily)</w:t>
            </w: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1, 8-cineole (45), β-pinene (56), α-pinene (53), Linalool (54)</w:t>
            </w:r>
          </w:p>
          <w:p w:rsidR="00E52B95" w:rsidRPr="00E52B95" w:rsidRDefault="00E52B95" w:rsidP="00E52B95">
            <w:pPr>
              <w:spacing w:line="360" w:lineRule="auto"/>
              <w:jc w:val="both"/>
              <w:rPr>
                <w:rFonts w:ascii="Times New Roman" w:hAnsi="Times New Roman" w:cs="Times New Roman"/>
                <w:color w:val="000000"/>
                <w:sz w:val="24"/>
                <w:szCs w:val="24"/>
              </w:rPr>
            </w:pPr>
          </w:p>
          <w:p w:rsidR="00E52B95" w:rsidRPr="00E52B95" w:rsidRDefault="00E52B95" w:rsidP="00E52B95">
            <w:pPr>
              <w:spacing w:line="360" w:lineRule="auto"/>
              <w:jc w:val="both"/>
              <w:rPr>
                <w:rFonts w:ascii="Times New Roman" w:hAnsi="Times New Roman" w:cs="Times New Roman"/>
                <w:color w:val="000000"/>
                <w:sz w:val="24"/>
                <w:szCs w:val="24"/>
              </w:rPr>
            </w:pP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Anti-inflammatory, antioxidant, anxiolytic, neuroprotective</w:t>
            </w: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(Singh </w:t>
            </w:r>
            <w:r w:rsidRPr="00E52B95">
              <w:rPr>
                <w:rFonts w:ascii="Times New Roman" w:hAnsi="Times New Roman" w:cs="Times New Roman"/>
                <w:i/>
                <w:color w:val="000000"/>
                <w:sz w:val="24"/>
                <w:szCs w:val="24"/>
              </w:rPr>
              <w:t>et al</w:t>
            </w:r>
            <w:r w:rsidRPr="00E52B95">
              <w:rPr>
                <w:rFonts w:ascii="Times New Roman" w:hAnsi="Times New Roman" w:cs="Times New Roman"/>
                <w:color w:val="000000"/>
                <w:sz w:val="24"/>
                <w:szCs w:val="24"/>
              </w:rPr>
              <w:t>.,2024)</w:t>
            </w:r>
          </w:p>
        </w:tc>
      </w:tr>
      <w:tr w:rsidR="00E52B95" w:rsidRPr="00E52B95" w:rsidTr="00E52B95">
        <w:trPr>
          <w:jc w:val="center"/>
        </w:trPr>
        <w:tc>
          <w:tcPr>
            <w:tcW w:w="2344" w:type="dxa"/>
            <w:vMerge/>
          </w:tcPr>
          <w:p w:rsidR="00E52B95" w:rsidRPr="00E52B95" w:rsidRDefault="00E52B95" w:rsidP="00E52B95">
            <w:pPr>
              <w:spacing w:line="360" w:lineRule="auto"/>
              <w:jc w:val="both"/>
              <w:rPr>
                <w:rFonts w:ascii="Times New Roman" w:hAnsi="Times New Roman" w:cs="Times New Roman"/>
                <w:i/>
                <w:iCs/>
                <w:color w:val="000000"/>
                <w:sz w:val="24"/>
                <w:szCs w:val="24"/>
              </w:rPr>
            </w:pPr>
          </w:p>
        </w:tc>
        <w:tc>
          <w:tcPr>
            <w:tcW w:w="1590" w:type="dxa"/>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Style w:val="Emphasis"/>
                <w:rFonts w:ascii="Times New Roman" w:hAnsi="Times New Roman" w:cs="Times New Roman"/>
                <w:color w:val="000000"/>
                <w:sz w:val="24"/>
                <w:szCs w:val="24"/>
              </w:rPr>
              <w:t>Hedychium flavescens</w:t>
            </w:r>
            <w:r w:rsidRPr="00E52B95">
              <w:rPr>
                <w:rFonts w:ascii="Times New Roman" w:hAnsi="Times New Roman" w:cs="Times New Roman"/>
                <w:i/>
                <w:iCs/>
                <w:color w:val="000000"/>
                <w:sz w:val="24"/>
                <w:szCs w:val="24"/>
              </w:rPr>
              <w:t xml:space="preserve"> (Yellow Ginger)</w:t>
            </w: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8-cineole (45), β-pinene (56), α-pinene (53), Linalool (54)</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lastRenderedPageBreak/>
              <w:t xml:space="preserve">Anti-inflammatory, mucolytic, </w:t>
            </w:r>
            <w:r w:rsidRPr="00E52B95">
              <w:rPr>
                <w:rFonts w:ascii="Times New Roman" w:hAnsi="Times New Roman" w:cs="Times New Roman"/>
                <w:color w:val="000000"/>
                <w:sz w:val="24"/>
                <w:szCs w:val="24"/>
              </w:rPr>
              <w:lastRenderedPageBreak/>
              <w:t>bronchodilator, antimicrobial</w:t>
            </w: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lastRenderedPageBreak/>
              <w:t xml:space="preserve">(Mani </w:t>
            </w:r>
            <w:r w:rsidRPr="00E52B95">
              <w:rPr>
                <w:rFonts w:ascii="Times New Roman" w:hAnsi="Times New Roman" w:cs="Times New Roman"/>
                <w:i/>
                <w:color w:val="000000"/>
                <w:sz w:val="24"/>
                <w:szCs w:val="24"/>
              </w:rPr>
              <w:t>et al</w:t>
            </w:r>
            <w:r w:rsidRPr="00E52B95">
              <w:rPr>
                <w:rFonts w:ascii="Times New Roman" w:hAnsi="Times New Roman" w:cs="Times New Roman"/>
                <w:color w:val="000000"/>
                <w:sz w:val="24"/>
                <w:szCs w:val="24"/>
              </w:rPr>
              <w:t>., 2023)</w:t>
            </w:r>
          </w:p>
        </w:tc>
      </w:tr>
      <w:tr w:rsidR="00E52B95" w:rsidRPr="00E52B95" w:rsidTr="00E52B95">
        <w:trPr>
          <w:jc w:val="center"/>
        </w:trPr>
        <w:tc>
          <w:tcPr>
            <w:tcW w:w="2344" w:type="dxa"/>
            <w:vMerge/>
          </w:tcPr>
          <w:p w:rsidR="00E52B95" w:rsidRPr="00E52B95" w:rsidRDefault="00E52B95" w:rsidP="00E52B95">
            <w:pPr>
              <w:spacing w:line="360" w:lineRule="auto"/>
              <w:jc w:val="both"/>
              <w:rPr>
                <w:rFonts w:ascii="Times New Roman" w:hAnsi="Times New Roman" w:cs="Times New Roman"/>
                <w:i/>
                <w:iCs/>
                <w:color w:val="000000"/>
                <w:sz w:val="24"/>
                <w:szCs w:val="24"/>
              </w:rPr>
            </w:pPr>
          </w:p>
        </w:tc>
        <w:tc>
          <w:tcPr>
            <w:tcW w:w="1590" w:type="dxa"/>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Style w:val="Emphasis"/>
                <w:rFonts w:ascii="Times New Roman" w:hAnsi="Times New Roman" w:cs="Times New Roman"/>
                <w:color w:val="000000"/>
                <w:sz w:val="24"/>
                <w:szCs w:val="24"/>
              </w:rPr>
              <w:t>Hedychium gardnerianum</w:t>
            </w:r>
            <w:r w:rsidRPr="00E52B95">
              <w:rPr>
                <w:rFonts w:ascii="Times New Roman" w:hAnsi="Times New Roman" w:cs="Times New Roman"/>
                <w:i/>
                <w:iCs/>
                <w:color w:val="000000"/>
                <w:sz w:val="24"/>
                <w:szCs w:val="24"/>
              </w:rPr>
              <w:t xml:space="preserve"> (Ginger Lily)</w:t>
            </w: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β-Pinene (56), α-Pinene, Camphene (57) Aromadendrene (58), α-Cubebene (59), α-Copaene (60)</w:t>
            </w: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Anti-inflammatory, antimicrobial</w:t>
            </w: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(Singh </w:t>
            </w:r>
            <w:r w:rsidRPr="00E52B95">
              <w:rPr>
                <w:rFonts w:ascii="Times New Roman" w:hAnsi="Times New Roman" w:cs="Times New Roman"/>
                <w:i/>
                <w:color w:val="000000"/>
                <w:sz w:val="24"/>
                <w:szCs w:val="24"/>
              </w:rPr>
              <w:t>et al</w:t>
            </w:r>
            <w:r w:rsidRPr="00E52B95">
              <w:rPr>
                <w:rFonts w:ascii="Times New Roman" w:hAnsi="Times New Roman" w:cs="Times New Roman"/>
                <w:color w:val="000000"/>
                <w:sz w:val="24"/>
                <w:szCs w:val="24"/>
              </w:rPr>
              <w:t>., 2023)</w:t>
            </w:r>
          </w:p>
        </w:tc>
      </w:tr>
      <w:tr w:rsidR="00E52B95" w:rsidRPr="00E52B95" w:rsidTr="00E52B95">
        <w:trPr>
          <w:jc w:val="center"/>
        </w:trPr>
        <w:tc>
          <w:tcPr>
            <w:tcW w:w="2344" w:type="dxa"/>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Fonts w:ascii="Times New Roman" w:hAnsi="Times New Roman" w:cs="Times New Roman"/>
                <w:i/>
                <w:iCs/>
                <w:color w:val="000000"/>
                <w:sz w:val="24"/>
                <w:szCs w:val="24"/>
              </w:rPr>
              <w:t>Amomum</w:t>
            </w:r>
          </w:p>
        </w:tc>
        <w:tc>
          <w:tcPr>
            <w:tcW w:w="1590" w:type="dxa"/>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Fonts w:ascii="Times New Roman" w:hAnsi="Times New Roman" w:cs="Times New Roman"/>
                <w:i/>
                <w:iCs/>
                <w:color w:val="000000"/>
                <w:sz w:val="24"/>
                <w:szCs w:val="24"/>
              </w:rPr>
              <w:t>Amomum villosum</w:t>
            </w:r>
          </w:p>
          <w:p w:rsidR="00E52B95" w:rsidRPr="00E52B95" w:rsidRDefault="00E52B95" w:rsidP="00E52B95">
            <w:pPr>
              <w:spacing w:line="360" w:lineRule="auto"/>
              <w:jc w:val="both"/>
              <w:rPr>
                <w:rFonts w:ascii="Times New Roman" w:hAnsi="Times New Roman" w:cs="Times New Roman"/>
                <w:i/>
                <w:iCs/>
                <w:color w:val="000000"/>
                <w:sz w:val="24"/>
                <w:szCs w:val="24"/>
              </w:rPr>
            </w:pP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Borneol (61), Camphor (62), Limonene (63)</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186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639"/>
            </w:tblGrid>
            <w:tr w:rsidR="00E52B95" w:rsidRPr="00E52B95" w:rsidTr="00E52B95">
              <w:trPr>
                <w:tblCellSpacing w:w="15" w:type="dxa"/>
              </w:trPr>
              <w:tc>
                <w:tcPr>
                  <w:tcW w:w="0" w:type="auto"/>
                  <w:vAlign w:val="center"/>
                  <w:hideMark/>
                </w:tcPr>
                <w:p w:rsidR="00E52B95" w:rsidRPr="00E52B95" w:rsidRDefault="00E52B95" w:rsidP="00E52B95">
                  <w:pPr>
                    <w:spacing w:after="0" w:line="360" w:lineRule="auto"/>
                    <w:jc w:val="both"/>
                    <w:rPr>
                      <w:rFonts w:ascii="Times New Roman" w:eastAsia="Times New Roman" w:hAnsi="Times New Roman" w:cs="Times New Roman"/>
                      <w:color w:val="000000"/>
                      <w:sz w:val="24"/>
                      <w:szCs w:val="24"/>
                      <w:lang w:eastAsia="en-IN"/>
                    </w:rPr>
                  </w:pPr>
                </w:p>
              </w:tc>
              <w:tc>
                <w:tcPr>
                  <w:tcW w:w="0" w:type="auto"/>
                  <w:vAlign w:val="center"/>
                  <w:hideMark/>
                </w:tcPr>
                <w:p w:rsidR="00E52B95" w:rsidRPr="00E52B95" w:rsidRDefault="00E52B95" w:rsidP="00E52B95">
                  <w:pPr>
                    <w:spacing w:after="0" w:line="360" w:lineRule="auto"/>
                    <w:jc w:val="both"/>
                    <w:rPr>
                      <w:rFonts w:ascii="Times New Roman" w:eastAsia="Times New Roman" w:hAnsi="Times New Roman" w:cs="Times New Roman"/>
                      <w:color w:val="000000"/>
                      <w:sz w:val="24"/>
                      <w:szCs w:val="24"/>
                      <w:lang w:eastAsia="en-IN"/>
                    </w:rPr>
                  </w:pPr>
                  <w:r w:rsidRPr="00E52B95">
                    <w:rPr>
                      <w:rFonts w:ascii="Times New Roman" w:eastAsia="Times New Roman" w:hAnsi="Times New Roman" w:cs="Times New Roman"/>
                      <w:color w:val="000000"/>
                      <w:sz w:val="24"/>
                      <w:szCs w:val="24"/>
                      <w:lang w:eastAsia="en-IN"/>
                    </w:rPr>
                    <w:t>Antimicrobial, Analgesic</w:t>
                  </w:r>
                </w:p>
              </w:tc>
            </w:tr>
          </w:tbl>
          <w:p w:rsidR="00E52B95" w:rsidRPr="00E52B95" w:rsidRDefault="00E52B95" w:rsidP="00E52B95">
            <w:pPr>
              <w:spacing w:line="360" w:lineRule="auto"/>
              <w:jc w:val="both"/>
              <w:rPr>
                <w:rFonts w:ascii="Times New Roman" w:hAnsi="Times New Roman" w:cs="Times New Roman"/>
                <w:color w:val="000000"/>
                <w:sz w:val="24"/>
                <w:szCs w:val="24"/>
              </w:rPr>
            </w:pP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(Feng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2024)</w:t>
            </w:r>
          </w:p>
        </w:tc>
      </w:tr>
      <w:tr w:rsidR="00E52B95" w:rsidRPr="00E52B95" w:rsidTr="00E52B95">
        <w:trPr>
          <w:jc w:val="center"/>
        </w:trPr>
        <w:tc>
          <w:tcPr>
            <w:tcW w:w="11057" w:type="dxa"/>
            <w:gridSpan w:val="5"/>
          </w:tcPr>
          <w:p w:rsidR="00E52B95" w:rsidRPr="00E52B95" w:rsidRDefault="00E52B95" w:rsidP="004F1ADB">
            <w:pPr>
              <w:pStyle w:val="Heading3"/>
              <w:spacing w:line="360" w:lineRule="auto"/>
              <w:jc w:val="center"/>
              <w:rPr>
                <w:bCs w:val="0"/>
                <w:color w:val="000000"/>
                <w:sz w:val="24"/>
                <w:szCs w:val="24"/>
              </w:rPr>
            </w:pPr>
            <w:r w:rsidRPr="00E52B95">
              <w:rPr>
                <w:bCs w:val="0"/>
                <w:color w:val="000000"/>
                <w:sz w:val="24"/>
                <w:szCs w:val="24"/>
              </w:rPr>
              <w:t>Esters</w:t>
            </w:r>
          </w:p>
        </w:tc>
      </w:tr>
      <w:tr w:rsidR="00E52B95" w:rsidRPr="00E52B95" w:rsidTr="00E52B95">
        <w:trPr>
          <w:jc w:val="center"/>
        </w:trPr>
        <w:tc>
          <w:tcPr>
            <w:tcW w:w="2344" w:type="dxa"/>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Fonts w:ascii="Times New Roman" w:hAnsi="Times New Roman" w:cs="Times New Roman"/>
                <w:i/>
                <w:iCs/>
                <w:color w:val="000000"/>
                <w:sz w:val="24"/>
                <w:szCs w:val="24"/>
              </w:rPr>
              <w:t xml:space="preserve">Zingiber  </w:t>
            </w:r>
          </w:p>
          <w:p w:rsidR="00E52B95" w:rsidRPr="00E52B95" w:rsidRDefault="00E52B95" w:rsidP="00E52B95">
            <w:pPr>
              <w:spacing w:line="360" w:lineRule="auto"/>
              <w:jc w:val="both"/>
              <w:rPr>
                <w:rFonts w:ascii="Times New Roman" w:hAnsi="Times New Roman" w:cs="Times New Roman"/>
                <w:i/>
                <w:iCs/>
                <w:color w:val="000000"/>
                <w:sz w:val="24"/>
                <w:szCs w:val="24"/>
              </w:rPr>
            </w:pPr>
          </w:p>
        </w:tc>
        <w:tc>
          <w:tcPr>
            <w:tcW w:w="1590" w:type="dxa"/>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Style w:val="Emphasis"/>
                <w:rFonts w:ascii="Times New Roman" w:hAnsi="Times New Roman" w:cs="Times New Roman"/>
                <w:color w:val="000000"/>
                <w:sz w:val="24"/>
                <w:szCs w:val="24"/>
              </w:rPr>
              <w:t>Zingiber  montanum</w:t>
            </w:r>
            <w:r w:rsidRPr="00E52B95">
              <w:rPr>
                <w:rFonts w:ascii="Times New Roman" w:hAnsi="Times New Roman" w:cs="Times New Roman"/>
                <w:i/>
                <w:iCs/>
                <w:color w:val="000000"/>
                <w:sz w:val="24"/>
                <w:szCs w:val="24"/>
              </w:rPr>
              <w:t xml:space="preserve"> (Cassumunar Ginger) </w:t>
            </w: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terpinyl acetate (64) </w:t>
            </w: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Antimicrobial, sedative </w:t>
            </w: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(Devkota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.,2021)</w:t>
            </w:r>
          </w:p>
        </w:tc>
      </w:tr>
      <w:tr w:rsidR="00E52B95" w:rsidRPr="00E52B95" w:rsidTr="00E52B95">
        <w:trPr>
          <w:jc w:val="center"/>
        </w:trPr>
        <w:tc>
          <w:tcPr>
            <w:tcW w:w="2344" w:type="dxa"/>
            <w:vMerge w:val="restart"/>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Fonts w:ascii="Times New Roman" w:hAnsi="Times New Roman" w:cs="Times New Roman"/>
                <w:i/>
                <w:iCs/>
                <w:color w:val="000000"/>
                <w:sz w:val="24"/>
                <w:szCs w:val="24"/>
              </w:rPr>
              <w:t>Curcuma</w:t>
            </w:r>
          </w:p>
        </w:tc>
        <w:tc>
          <w:tcPr>
            <w:tcW w:w="1590" w:type="dxa"/>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Style w:val="Emphasis"/>
                <w:rFonts w:ascii="Times New Roman" w:hAnsi="Times New Roman" w:cs="Times New Roman"/>
                <w:color w:val="000000"/>
                <w:sz w:val="24"/>
                <w:szCs w:val="24"/>
              </w:rPr>
              <w:t>Curcuma caesia</w:t>
            </w:r>
            <w:r w:rsidRPr="00E52B95">
              <w:rPr>
                <w:rFonts w:ascii="Times New Roman" w:hAnsi="Times New Roman" w:cs="Times New Roman"/>
                <w:i/>
                <w:iCs/>
                <w:color w:val="000000"/>
                <w:sz w:val="24"/>
                <w:szCs w:val="24"/>
              </w:rPr>
              <w:t xml:space="preserve"> (Black Turmeric) </w:t>
            </w: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bornyl acetate (65)</w:t>
            </w: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Anti-inflammatory, analgesic, sedative </w:t>
            </w: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rPr>
            </w:pPr>
          </w:p>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w:t>
            </w:r>
            <w:r w:rsidRPr="00E52B95">
              <w:rPr>
                <w:rFonts w:ascii="Times New Roman" w:hAnsi="Times New Roman" w:cs="Times New Roman"/>
                <w:color w:val="000000"/>
                <w:sz w:val="24"/>
                <w:szCs w:val="24"/>
                <w:shd w:val="clear" w:color="auto" w:fill="FFFFFF"/>
              </w:rPr>
              <w:t xml:space="preserve">Kanglom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.,2024)</w:t>
            </w:r>
          </w:p>
        </w:tc>
      </w:tr>
      <w:tr w:rsidR="00E52B95" w:rsidRPr="00E52B95" w:rsidTr="00E52B95">
        <w:trPr>
          <w:jc w:val="center"/>
        </w:trPr>
        <w:tc>
          <w:tcPr>
            <w:tcW w:w="2344" w:type="dxa"/>
            <w:vMerge/>
          </w:tcPr>
          <w:p w:rsidR="00E52B95" w:rsidRPr="00E52B95" w:rsidRDefault="00E52B95" w:rsidP="00E52B95">
            <w:pPr>
              <w:spacing w:line="360" w:lineRule="auto"/>
              <w:jc w:val="both"/>
              <w:rPr>
                <w:rFonts w:ascii="Times New Roman" w:hAnsi="Times New Roman" w:cs="Times New Roman"/>
                <w:i/>
                <w:iCs/>
                <w:color w:val="000000"/>
                <w:sz w:val="24"/>
                <w:szCs w:val="24"/>
              </w:rPr>
            </w:pPr>
          </w:p>
        </w:tc>
        <w:tc>
          <w:tcPr>
            <w:tcW w:w="1590" w:type="dxa"/>
          </w:tcPr>
          <w:p w:rsidR="00E52B95" w:rsidRPr="00E52B95" w:rsidRDefault="00E52B95" w:rsidP="00E52B95">
            <w:pPr>
              <w:spacing w:line="360" w:lineRule="auto"/>
              <w:jc w:val="both"/>
              <w:rPr>
                <w:rStyle w:val="Emphasis"/>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t>Curcuma aromatica</w:t>
            </w:r>
            <w:r w:rsidRPr="00E52B95">
              <w:rPr>
                <w:rFonts w:ascii="Times New Roman" w:hAnsi="Times New Roman" w:cs="Times New Roman"/>
                <w:i/>
                <w:iCs/>
                <w:color w:val="000000"/>
                <w:sz w:val="24"/>
                <w:szCs w:val="24"/>
              </w:rPr>
              <w:t xml:space="preserve"> (Wild Turmeric)</w:t>
            </w: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hexadecenoic acid (66), 9,12-octadecadienoic acid methyl ester (67), methyl stearate (68)</w:t>
            </w: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Lubricant, emollient, Antimicrobial, antioxidant</w:t>
            </w: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(Anuoluwa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2025)</w:t>
            </w:r>
          </w:p>
        </w:tc>
      </w:tr>
      <w:tr w:rsidR="00E52B95" w:rsidRPr="00E52B95" w:rsidTr="00E52B95">
        <w:trPr>
          <w:jc w:val="center"/>
        </w:trPr>
        <w:tc>
          <w:tcPr>
            <w:tcW w:w="2344" w:type="dxa"/>
            <w:vMerge/>
          </w:tcPr>
          <w:p w:rsidR="00E52B95" w:rsidRPr="00E52B95" w:rsidRDefault="00E52B95" w:rsidP="00E52B95">
            <w:pPr>
              <w:spacing w:line="360" w:lineRule="auto"/>
              <w:jc w:val="both"/>
              <w:rPr>
                <w:rFonts w:ascii="Times New Roman" w:hAnsi="Times New Roman" w:cs="Times New Roman"/>
                <w:i/>
                <w:iCs/>
                <w:color w:val="000000"/>
                <w:sz w:val="24"/>
                <w:szCs w:val="24"/>
              </w:rPr>
            </w:pPr>
          </w:p>
        </w:tc>
        <w:tc>
          <w:tcPr>
            <w:tcW w:w="1590" w:type="dxa"/>
          </w:tcPr>
          <w:p w:rsidR="00E52B95" w:rsidRPr="00E52B95" w:rsidRDefault="00E52B95" w:rsidP="00E52B95">
            <w:pPr>
              <w:spacing w:line="360" w:lineRule="auto"/>
              <w:jc w:val="both"/>
              <w:rPr>
                <w:rStyle w:val="Emphasis"/>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t>Curcuma zedoaria</w:t>
            </w:r>
            <w:r w:rsidRPr="00E52B95">
              <w:rPr>
                <w:rFonts w:ascii="Times New Roman" w:hAnsi="Times New Roman" w:cs="Times New Roman"/>
                <w:i/>
                <w:iCs/>
                <w:color w:val="000000"/>
                <w:sz w:val="24"/>
                <w:szCs w:val="24"/>
              </w:rPr>
              <w:t xml:space="preserve"> (White Turmeric)</w:t>
            </w: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ethyl p-methoxycinnamate (69)</w:t>
            </w: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Anticancer, anti-inflammatory, antimicrobial</w:t>
            </w: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(Gharge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.,2021)</w:t>
            </w:r>
          </w:p>
        </w:tc>
      </w:tr>
      <w:tr w:rsidR="00E52B95" w:rsidRPr="00E52B95" w:rsidTr="00E52B95">
        <w:trPr>
          <w:jc w:val="center"/>
        </w:trPr>
        <w:tc>
          <w:tcPr>
            <w:tcW w:w="2344"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t>Elettaria</w:t>
            </w:r>
          </w:p>
        </w:tc>
        <w:tc>
          <w:tcPr>
            <w:tcW w:w="1590" w:type="dxa"/>
          </w:tcPr>
          <w:p w:rsidR="00E52B95" w:rsidRPr="00E52B95" w:rsidRDefault="00E52B95" w:rsidP="00E52B95">
            <w:pPr>
              <w:spacing w:line="360" w:lineRule="auto"/>
              <w:jc w:val="both"/>
              <w:rPr>
                <w:rStyle w:val="Emphasis"/>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t>Elettaria cardamomum L.</w:t>
            </w:r>
            <w:r w:rsidRPr="00E52B95">
              <w:rPr>
                <w:rFonts w:ascii="Times New Roman" w:hAnsi="Times New Roman" w:cs="Times New Roman"/>
                <w:color w:val="000000"/>
                <w:sz w:val="24"/>
                <w:szCs w:val="24"/>
              </w:rPr>
              <w:t xml:space="preserve"> (Cardamom)</w:t>
            </w: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linalyl acetate (70), α-terpinyl acetate (71)</w:t>
            </w: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Antimicrobial, anti-inflammatory</w:t>
            </w: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(Kumar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.,2020)</w:t>
            </w:r>
          </w:p>
        </w:tc>
      </w:tr>
      <w:tr w:rsidR="00E52B95" w:rsidRPr="00E52B95" w:rsidTr="00E52B95">
        <w:trPr>
          <w:jc w:val="center"/>
        </w:trPr>
        <w:tc>
          <w:tcPr>
            <w:tcW w:w="2344" w:type="dxa"/>
            <w:vMerge w:val="restart"/>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lastRenderedPageBreak/>
              <w:t>Alpinia</w:t>
            </w:r>
            <w:r w:rsidR="004F1ADB">
              <w:rPr>
                <w:rStyle w:val="Emphasis"/>
                <w:rFonts w:ascii="Times New Roman" w:hAnsi="Times New Roman" w:cs="Times New Roman"/>
                <w:color w:val="000000"/>
                <w:sz w:val="24"/>
                <w:szCs w:val="24"/>
              </w:rPr>
              <w:t xml:space="preserve"> </w:t>
            </w:r>
            <w:r w:rsidRPr="00E52B95">
              <w:rPr>
                <w:rStyle w:val="Emphasis"/>
                <w:rFonts w:ascii="Times New Roman" w:hAnsi="Times New Roman" w:cs="Times New Roman"/>
                <w:color w:val="000000"/>
                <w:sz w:val="24"/>
                <w:szCs w:val="24"/>
              </w:rPr>
              <w:t>galangal</w:t>
            </w:r>
          </w:p>
        </w:tc>
        <w:tc>
          <w:tcPr>
            <w:tcW w:w="1590" w:type="dxa"/>
          </w:tcPr>
          <w:p w:rsidR="00E52B95" w:rsidRPr="00E52B95" w:rsidRDefault="00E52B95" w:rsidP="00E52B95">
            <w:pPr>
              <w:spacing w:line="360" w:lineRule="auto"/>
              <w:jc w:val="both"/>
              <w:rPr>
                <w:rStyle w:val="Emphasis"/>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t>Alpinia</w:t>
            </w:r>
            <w:r w:rsidR="004F1ADB">
              <w:rPr>
                <w:rStyle w:val="Emphasis"/>
                <w:rFonts w:ascii="Times New Roman" w:hAnsi="Times New Roman" w:cs="Times New Roman"/>
                <w:color w:val="000000"/>
                <w:sz w:val="24"/>
                <w:szCs w:val="24"/>
              </w:rPr>
              <w:t xml:space="preserve"> </w:t>
            </w:r>
            <w:r w:rsidRPr="00E52B95">
              <w:rPr>
                <w:rStyle w:val="Emphasis"/>
                <w:rFonts w:ascii="Times New Roman" w:hAnsi="Times New Roman" w:cs="Times New Roman"/>
                <w:color w:val="000000"/>
                <w:sz w:val="24"/>
                <w:szCs w:val="24"/>
              </w:rPr>
              <w:t>galanga</w:t>
            </w:r>
            <w:r w:rsidRPr="00E52B95">
              <w:rPr>
                <w:rFonts w:ascii="Times New Roman" w:hAnsi="Times New Roman" w:cs="Times New Roman"/>
                <w:color w:val="000000"/>
                <w:sz w:val="24"/>
                <w:szCs w:val="24"/>
              </w:rPr>
              <w:t xml:space="preserve"> (Greater Galangal)</w:t>
            </w: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1’S-1’-acetoxychavicol acetate (72)</w:t>
            </w: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Anticancer, anti-inflammatory, antiviral</w:t>
            </w: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(Chouni, &amp; Paul., 2018)</w:t>
            </w:r>
          </w:p>
        </w:tc>
      </w:tr>
      <w:tr w:rsidR="00E52B95" w:rsidRPr="00E52B95" w:rsidTr="00E52B95">
        <w:trPr>
          <w:jc w:val="center"/>
        </w:trPr>
        <w:tc>
          <w:tcPr>
            <w:tcW w:w="2344" w:type="dxa"/>
            <w:vMerge/>
          </w:tcPr>
          <w:p w:rsidR="00E52B95" w:rsidRPr="00E52B95" w:rsidRDefault="00E52B95" w:rsidP="00E52B95">
            <w:pPr>
              <w:spacing w:line="360" w:lineRule="auto"/>
              <w:jc w:val="both"/>
              <w:rPr>
                <w:rFonts w:ascii="Times New Roman" w:hAnsi="Times New Roman" w:cs="Times New Roman"/>
                <w:i/>
                <w:iCs/>
                <w:color w:val="000000"/>
                <w:sz w:val="24"/>
                <w:szCs w:val="24"/>
              </w:rPr>
            </w:pPr>
          </w:p>
        </w:tc>
        <w:tc>
          <w:tcPr>
            <w:tcW w:w="1590" w:type="dxa"/>
          </w:tcPr>
          <w:p w:rsidR="00E52B95" w:rsidRPr="00E52B95" w:rsidRDefault="00E52B95" w:rsidP="00E52B95">
            <w:pPr>
              <w:spacing w:line="360" w:lineRule="auto"/>
              <w:jc w:val="both"/>
              <w:rPr>
                <w:rStyle w:val="Emphasis"/>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t>Alpinia</w:t>
            </w:r>
            <w:r w:rsidR="004F1ADB">
              <w:rPr>
                <w:rStyle w:val="Emphasis"/>
                <w:rFonts w:ascii="Times New Roman" w:hAnsi="Times New Roman" w:cs="Times New Roman"/>
                <w:color w:val="000000"/>
                <w:sz w:val="24"/>
                <w:szCs w:val="24"/>
              </w:rPr>
              <w:t xml:space="preserve"> </w:t>
            </w:r>
            <w:r w:rsidRPr="00E52B95">
              <w:rPr>
                <w:rStyle w:val="Emphasis"/>
                <w:rFonts w:ascii="Times New Roman" w:hAnsi="Times New Roman" w:cs="Times New Roman"/>
                <w:color w:val="000000"/>
                <w:sz w:val="24"/>
                <w:szCs w:val="24"/>
              </w:rPr>
              <w:t>calcarata</w:t>
            </w:r>
            <w:r w:rsidRPr="00E52B95">
              <w:rPr>
                <w:rFonts w:ascii="Times New Roman" w:hAnsi="Times New Roman" w:cs="Times New Roman"/>
                <w:i/>
                <w:iCs/>
                <w:color w:val="000000"/>
                <w:sz w:val="24"/>
                <w:szCs w:val="24"/>
              </w:rPr>
              <w:t xml:space="preserve"> (Snap Ginger)</w:t>
            </w: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Fenchyl acetate (73)</w:t>
            </w: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Antimicrobial</w:t>
            </w: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(Anuranj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2024)</w:t>
            </w:r>
          </w:p>
          <w:p w:rsidR="00E52B95" w:rsidRPr="00E52B95" w:rsidRDefault="00E52B95" w:rsidP="00E52B95">
            <w:pPr>
              <w:spacing w:line="360" w:lineRule="auto"/>
              <w:jc w:val="both"/>
              <w:rPr>
                <w:rFonts w:ascii="Times New Roman" w:hAnsi="Times New Roman" w:cs="Times New Roman"/>
                <w:color w:val="000000"/>
                <w:sz w:val="24"/>
                <w:szCs w:val="24"/>
                <w:shd w:val="clear" w:color="auto" w:fill="FFFFFF"/>
              </w:rPr>
            </w:pPr>
          </w:p>
          <w:p w:rsidR="00E52B95" w:rsidRPr="00E52B95" w:rsidRDefault="00E52B95" w:rsidP="00E52B95">
            <w:pPr>
              <w:spacing w:line="360" w:lineRule="auto"/>
              <w:jc w:val="both"/>
              <w:rPr>
                <w:rFonts w:ascii="Times New Roman" w:hAnsi="Times New Roman" w:cs="Times New Roman"/>
                <w:color w:val="000000"/>
                <w:sz w:val="24"/>
                <w:szCs w:val="24"/>
                <w:shd w:val="clear" w:color="auto" w:fill="FFFFFF"/>
              </w:rPr>
            </w:pPr>
          </w:p>
          <w:p w:rsidR="00E52B95" w:rsidRPr="00E52B95" w:rsidRDefault="00E52B95" w:rsidP="00E52B95">
            <w:pPr>
              <w:spacing w:line="360" w:lineRule="auto"/>
              <w:jc w:val="both"/>
              <w:rPr>
                <w:rFonts w:ascii="Times New Roman" w:hAnsi="Times New Roman" w:cs="Times New Roman"/>
                <w:color w:val="000000"/>
                <w:sz w:val="24"/>
                <w:szCs w:val="24"/>
                <w:shd w:val="clear" w:color="auto" w:fill="FFFFFF"/>
              </w:rPr>
            </w:pPr>
          </w:p>
          <w:p w:rsidR="00E52B95" w:rsidRPr="00E52B95" w:rsidRDefault="00E52B95" w:rsidP="00E52B95">
            <w:pPr>
              <w:spacing w:line="360" w:lineRule="auto"/>
              <w:jc w:val="both"/>
              <w:rPr>
                <w:rFonts w:ascii="Times New Roman" w:hAnsi="Times New Roman" w:cs="Times New Roman"/>
                <w:color w:val="000000"/>
                <w:sz w:val="24"/>
                <w:szCs w:val="24"/>
                <w:shd w:val="clear" w:color="auto" w:fill="FFFFFF"/>
              </w:rPr>
            </w:pPr>
          </w:p>
          <w:p w:rsidR="00E52B95" w:rsidRPr="00E52B95" w:rsidRDefault="00E52B95" w:rsidP="00E52B95">
            <w:pPr>
              <w:spacing w:line="360" w:lineRule="auto"/>
              <w:jc w:val="both"/>
              <w:rPr>
                <w:rFonts w:ascii="Times New Roman" w:hAnsi="Times New Roman" w:cs="Times New Roman"/>
                <w:color w:val="000000"/>
                <w:sz w:val="24"/>
                <w:szCs w:val="24"/>
                <w:shd w:val="clear" w:color="auto" w:fill="FFFFFF"/>
              </w:rPr>
            </w:pPr>
          </w:p>
          <w:p w:rsidR="00E52B95" w:rsidRPr="00E52B95" w:rsidRDefault="00E52B95" w:rsidP="00E52B95">
            <w:pPr>
              <w:spacing w:line="360" w:lineRule="auto"/>
              <w:jc w:val="both"/>
              <w:rPr>
                <w:rFonts w:ascii="Times New Roman" w:hAnsi="Times New Roman" w:cs="Times New Roman"/>
                <w:color w:val="000000"/>
                <w:sz w:val="24"/>
                <w:szCs w:val="24"/>
              </w:rPr>
            </w:pPr>
          </w:p>
        </w:tc>
      </w:tr>
      <w:tr w:rsidR="00E52B95" w:rsidRPr="00E52B95" w:rsidTr="00E52B95">
        <w:trPr>
          <w:jc w:val="center"/>
        </w:trPr>
        <w:tc>
          <w:tcPr>
            <w:tcW w:w="2344" w:type="dxa"/>
            <w:vMerge/>
          </w:tcPr>
          <w:p w:rsidR="00E52B95" w:rsidRPr="00E52B95" w:rsidRDefault="00E52B95" w:rsidP="00E52B95">
            <w:pPr>
              <w:spacing w:line="360" w:lineRule="auto"/>
              <w:jc w:val="both"/>
              <w:rPr>
                <w:rFonts w:ascii="Times New Roman" w:hAnsi="Times New Roman" w:cs="Times New Roman"/>
                <w:i/>
                <w:iCs/>
                <w:color w:val="000000"/>
                <w:sz w:val="24"/>
                <w:szCs w:val="24"/>
              </w:rPr>
            </w:pPr>
          </w:p>
        </w:tc>
        <w:tc>
          <w:tcPr>
            <w:tcW w:w="1590" w:type="dxa"/>
          </w:tcPr>
          <w:p w:rsidR="00E52B95" w:rsidRPr="00E52B95" w:rsidRDefault="00E52B95" w:rsidP="00E52B95">
            <w:pPr>
              <w:spacing w:line="360" w:lineRule="auto"/>
              <w:jc w:val="both"/>
              <w:rPr>
                <w:rStyle w:val="Emphasis"/>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t>Alpinia</w:t>
            </w:r>
            <w:r w:rsidR="004F1ADB">
              <w:rPr>
                <w:rStyle w:val="Emphasis"/>
                <w:rFonts w:ascii="Times New Roman" w:hAnsi="Times New Roman" w:cs="Times New Roman"/>
                <w:color w:val="000000"/>
                <w:sz w:val="24"/>
                <w:szCs w:val="24"/>
              </w:rPr>
              <w:t xml:space="preserve"> </w:t>
            </w:r>
            <w:r w:rsidRPr="00E52B95">
              <w:rPr>
                <w:rStyle w:val="Emphasis"/>
                <w:rFonts w:ascii="Times New Roman" w:hAnsi="Times New Roman" w:cs="Times New Roman"/>
                <w:color w:val="000000"/>
                <w:sz w:val="24"/>
                <w:szCs w:val="24"/>
              </w:rPr>
              <w:t>officinarum</w:t>
            </w:r>
            <w:r w:rsidRPr="00E52B95">
              <w:rPr>
                <w:rFonts w:ascii="Times New Roman" w:hAnsi="Times New Roman" w:cs="Times New Roman"/>
                <w:i/>
                <w:iCs/>
                <w:color w:val="000000"/>
                <w:sz w:val="24"/>
                <w:szCs w:val="24"/>
              </w:rPr>
              <w:t xml:space="preserve"> (Lesser Galangal)</w:t>
            </w: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1’-acetoxychavicol acetate (72)</w:t>
            </w: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Anticancer, anti-inflammatory, antiviral</w:t>
            </w: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(Ahmad </w:t>
            </w:r>
            <w:r w:rsidRPr="00E52B95">
              <w:rPr>
                <w:rFonts w:ascii="Times New Roman" w:hAnsi="Times New Roman" w:cs="Times New Roman"/>
                <w:i/>
                <w:color w:val="000000"/>
                <w:sz w:val="24"/>
                <w:szCs w:val="24"/>
              </w:rPr>
              <w:t>et al</w:t>
            </w:r>
            <w:r w:rsidRPr="00E52B95">
              <w:rPr>
                <w:rFonts w:ascii="Times New Roman" w:hAnsi="Times New Roman" w:cs="Times New Roman"/>
                <w:color w:val="000000"/>
                <w:sz w:val="24"/>
                <w:szCs w:val="24"/>
              </w:rPr>
              <w:t>., 2023)</w:t>
            </w:r>
          </w:p>
        </w:tc>
      </w:tr>
      <w:tr w:rsidR="00E52B95" w:rsidRPr="00E52B95" w:rsidTr="00E52B95">
        <w:trPr>
          <w:jc w:val="center"/>
        </w:trPr>
        <w:tc>
          <w:tcPr>
            <w:tcW w:w="2344"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t>Kaempferia</w:t>
            </w:r>
          </w:p>
        </w:tc>
        <w:tc>
          <w:tcPr>
            <w:tcW w:w="1590" w:type="dxa"/>
          </w:tcPr>
          <w:p w:rsidR="00E52B95" w:rsidRPr="00E52B95" w:rsidRDefault="00E52B95" w:rsidP="00E52B95">
            <w:pPr>
              <w:spacing w:line="360" w:lineRule="auto"/>
              <w:jc w:val="both"/>
              <w:rPr>
                <w:rStyle w:val="Emphasis"/>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t>Kaempferia galanga</w:t>
            </w:r>
            <w:r w:rsidRPr="00E52B95">
              <w:rPr>
                <w:rFonts w:ascii="Times New Roman" w:hAnsi="Times New Roman" w:cs="Times New Roman"/>
                <w:color w:val="000000"/>
                <w:sz w:val="24"/>
                <w:szCs w:val="24"/>
              </w:rPr>
              <w:t xml:space="preserve"> (Aromatic Ginger)</w:t>
            </w: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ethyl p-methoxycinnamate (69)</w:t>
            </w: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Anticancer, anti-inflammatory, antimicrobial</w:t>
            </w: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(Dana </w:t>
            </w:r>
            <w:r w:rsidRPr="00E52B95">
              <w:rPr>
                <w:rFonts w:ascii="Times New Roman" w:hAnsi="Times New Roman" w:cs="Times New Roman"/>
                <w:i/>
                <w:color w:val="000000"/>
                <w:sz w:val="24"/>
                <w:szCs w:val="24"/>
              </w:rPr>
              <w:t>et al</w:t>
            </w:r>
            <w:r w:rsidRPr="00E52B95">
              <w:rPr>
                <w:rFonts w:ascii="Times New Roman" w:hAnsi="Times New Roman" w:cs="Times New Roman"/>
                <w:color w:val="000000"/>
                <w:sz w:val="24"/>
                <w:szCs w:val="24"/>
              </w:rPr>
              <w:t>., 2025)</w:t>
            </w:r>
          </w:p>
        </w:tc>
      </w:tr>
    </w:tbl>
    <w:p w:rsidR="00E52B95" w:rsidRPr="00E52B95" w:rsidRDefault="00E52B95" w:rsidP="00E52B95">
      <w:pPr>
        <w:spacing w:line="360" w:lineRule="auto"/>
        <w:jc w:val="both"/>
        <w:rPr>
          <w:rFonts w:ascii="Times New Roman" w:hAnsi="Times New Roman" w:cs="Times New Roman"/>
          <w:color w:val="000000"/>
          <w:sz w:val="24"/>
          <w:szCs w:val="24"/>
        </w:rPr>
      </w:pPr>
    </w:p>
    <w:p w:rsidR="00E52B95" w:rsidRPr="00E52B95" w:rsidRDefault="00E52B95" w:rsidP="00E52B95">
      <w:pPr>
        <w:spacing w:line="360" w:lineRule="auto"/>
        <w:jc w:val="both"/>
        <w:rPr>
          <w:rFonts w:ascii="Times New Roman" w:hAnsi="Times New Roman" w:cs="Times New Roman"/>
          <w:color w:val="000000"/>
          <w:sz w:val="24"/>
          <w:szCs w:val="24"/>
        </w:rPr>
      </w:pPr>
    </w:p>
    <w:p w:rsidR="00E52B95" w:rsidRPr="00E52B95" w:rsidRDefault="00E52B95" w:rsidP="00E52B95">
      <w:pPr>
        <w:spacing w:line="360" w:lineRule="auto"/>
        <w:jc w:val="both"/>
        <w:rPr>
          <w:rFonts w:ascii="Times New Roman" w:hAnsi="Times New Roman" w:cs="Times New Roman"/>
          <w:b/>
          <w:bCs/>
          <w:color w:val="000000"/>
          <w:sz w:val="24"/>
          <w:szCs w:val="24"/>
          <w:shd w:val="clear" w:color="auto" w:fill="FFFFFF"/>
        </w:rPr>
      </w:pPr>
      <w:r w:rsidRPr="00E52B95">
        <w:rPr>
          <w:rFonts w:ascii="Times New Roman" w:hAnsi="Times New Roman" w:cs="Times New Roman"/>
          <w:b/>
          <w:bCs/>
          <w:color w:val="000000"/>
          <w:sz w:val="24"/>
          <w:szCs w:val="24"/>
          <w:shd w:val="clear" w:color="auto" w:fill="FFFFFF"/>
        </w:rPr>
        <w:t xml:space="preserve">5. </w:t>
      </w:r>
      <w:r w:rsidR="004F1ADB">
        <w:rPr>
          <w:rFonts w:ascii="Times New Roman" w:hAnsi="Times New Roman" w:cs="Times New Roman"/>
          <w:b/>
          <w:bCs/>
          <w:color w:val="000000"/>
          <w:sz w:val="24"/>
          <w:szCs w:val="24"/>
          <w:shd w:val="clear" w:color="auto" w:fill="FFFFFF"/>
        </w:rPr>
        <w:t xml:space="preserve">Ethno botanical uses of family </w:t>
      </w:r>
      <w:r w:rsidR="004F1ADB" w:rsidRPr="004F1ADB">
        <w:rPr>
          <w:rFonts w:ascii="Times New Roman" w:hAnsi="Times New Roman" w:cs="Times New Roman"/>
          <w:b/>
          <w:bCs/>
          <w:i/>
          <w:color w:val="000000"/>
          <w:sz w:val="24"/>
          <w:szCs w:val="24"/>
          <w:shd w:val="clear" w:color="auto" w:fill="FFFFFF"/>
        </w:rPr>
        <w:t>Z</w:t>
      </w:r>
      <w:r w:rsidRPr="004F1ADB">
        <w:rPr>
          <w:rFonts w:ascii="Times New Roman" w:hAnsi="Times New Roman" w:cs="Times New Roman"/>
          <w:b/>
          <w:bCs/>
          <w:i/>
          <w:color w:val="000000"/>
          <w:sz w:val="24"/>
          <w:szCs w:val="24"/>
          <w:shd w:val="clear" w:color="auto" w:fill="FFFFFF"/>
        </w:rPr>
        <w:t>ingiberaceae</w:t>
      </w:r>
    </w:p>
    <w:p w:rsidR="00E52B95" w:rsidRPr="00E52B95" w:rsidRDefault="00E52B95" w:rsidP="00E52B95">
      <w:pPr>
        <w:spacing w:before="100" w:beforeAutospacing="1" w:after="100" w:afterAutospacing="1" w:line="360" w:lineRule="auto"/>
        <w:jc w:val="both"/>
        <w:rPr>
          <w:rFonts w:ascii="Times New Roman" w:eastAsia="Times New Roman" w:hAnsi="Times New Roman" w:cs="Times New Roman"/>
          <w:b/>
          <w:i/>
          <w:color w:val="000000"/>
          <w:sz w:val="24"/>
          <w:szCs w:val="24"/>
          <w:lang w:eastAsia="en-IN"/>
        </w:rPr>
      </w:pPr>
      <w:r w:rsidRPr="00E52B95">
        <w:rPr>
          <w:rFonts w:ascii="Times New Roman" w:eastAsia="Times New Roman" w:hAnsi="Times New Roman" w:cs="Times New Roman"/>
          <w:b/>
          <w:color w:val="000000"/>
          <w:sz w:val="24"/>
          <w:szCs w:val="24"/>
          <w:lang w:eastAsia="en-IN"/>
        </w:rPr>
        <w:t>5.1</w:t>
      </w:r>
      <w:r w:rsidRPr="00E52B95">
        <w:rPr>
          <w:rFonts w:ascii="Times New Roman" w:eastAsia="Times New Roman" w:hAnsi="Times New Roman" w:cs="Times New Roman"/>
          <w:b/>
          <w:i/>
          <w:color w:val="000000"/>
          <w:sz w:val="24"/>
          <w:szCs w:val="24"/>
          <w:lang w:eastAsia="en-IN"/>
        </w:rPr>
        <w:t xml:space="preserve"> Genus Zingiber  </w:t>
      </w:r>
    </w:p>
    <w:p w:rsidR="00E52B95" w:rsidRPr="00E52B95" w:rsidRDefault="004F1ADB" w:rsidP="00E52B95">
      <w:pPr>
        <w:spacing w:before="100" w:beforeAutospacing="1" w:after="100" w:afterAutospacing="1" w:line="360" w:lineRule="auto"/>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i/>
          <w:color w:val="000000"/>
          <w:sz w:val="24"/>
          <w:szCs w:val="24"/>
          <w:lang w:eastAsia="en-IN"/>
        </w:rPr>
        <w:t>Zingiber</w:t>
      </w:r>
      <w:r w:rsidR="00E52B95" w:rsidRPr="00E52B95">
        <w:rPr>
          <w:rFonts w:ascii="Times New Roman" w:eastAsia="Times New Roman" w:hAnsi="Times New Roman" w:cs="Times New Roman"/>
          <w:i/>
          <w:color w:val="000000"/>
          <w:sz w:val="24"/>
          <w:szCs w:val="24"/>
          <w:lang w:eastAsia="en-IN"/>
        </w:rPr>
        <w:t xml:space="preserve"> </w:t>
      </w:r>
      <w:r w:rsidRPr="00E52B95">
        <w:rPr>
          <w:rFonts w:ascii="Times New Roman" w:eastAsia="Times New Roman" w:hAnsi="Times New Roman" w:cs="Times New Roman"/>
          <w:i/>
          <w:color w:val="000000"/>
          <w:sz w:val="24"/>
          <w:szCs w:val="24"/>
          <w:lang w:eastAsia="en-IN"/>
        </w:rPr>
        <w:t xml:space="preserve">officinale </w:t>
      </w:r>
      <w:r w:rsidRPr="00E52B95">
        <w:rPr>
          <w:rFonts w:ascii="Times New Roman" w:eastAsia="Times New Roman" w:hAnsi="Times New Roman" w:cs="Times New Roman"/>
          <w:color w:val="000000"/>
          <w:sz w:val="24"/>
          <w:szCs w:val="24"/>
          <w:lang w:eastAsia="en-IN"/>
        </w:rPr>
        <w:t>(</w:t>
      </w:r>
      <w:r w:rsidR="00E52B95" w:rsidRPr="00E52B95">
        <w:rPr>
          <w:rFonts w:ascii="Times New Roman" w:eastAsia="Times New Roman" w:hAnsi="Times New Roman" w:cs="Times New Roman"/>
          <w:color w:val="000000"/>
          <w:sz w:val="24"/>
          <w:szCs w:val="24"/>
          <w:lang w:eastAsia="en-IN"/>
        </w:rPr>
        <w:t xml:space="preserve">Ginger) is one of the most widely used medicinal plants globally.  In Indonesia, ginger is used to treat 69 ailments having 785 traditional uses. It is primarily utilized in concoctions, with pre- and postnatal care being the most frequent traditional indication. Other common uses include treating toothache, liver disease, digestive problems (e.g., nausea, </w:t>
      </w:r>
      <w:r w:rsidR="00E52B95" w:rsidRPr="00E52B95">
        <w:rPr>
          <w:rFonts w:ascii="Times New Roman" w:eastAsia="Times New Roman" w:hAnsi="Times New Roman" w:cs="Times New Roman"/>
          <w:color w:val="000000"/>
          <w:sz w:val="24"/>
          <w:szCs w:val="24"/>
          <w:lang w:eastAsia="en-IN"/>
        </w:rPr>
        <w:lastRenderedPageBreak/>
        <w:t>vomiting, diarrhoea,</w:t>
      </w:r>
      <w:r>
        <w:rPr>
          <w:rFonts w:ascii="Times New Roman" w:eastAsia="Times New Roman" w:hAnsi="Times New Roman" w:cs="Times New Roman"/>
          <w:color w:val="000000"/>
          <w:sz w:val="24"/>
          <w:szCs w:val="24"/>
          <w:lang w:eastAsia="en-IN"/>
        </w:rPr>
        <w:t xml:space="preserve"> abdominal pain), colds, coughs</w:t>
      </w:r>
      <w:r w:rsidR="00E52B95" w:rsidRPr="00E52B95">
        <w:rPr>
          <w:rFonts w:ascii="Times New Roman" w:eastAsia="Times New Roman" w:hAnsi="Times New Roman" w:cs="Times New Roman"/>
          <w:color w:val="000000"/>
          <w:sz w:val="24"/>
          <w:szCs w:val="24"/>
          <w:lang w:eastAsia="en-IN"/>
        </w:rPr>
        <w:t xml:space="preserve"> and as a gene</w:t>
      </w:r>
      <w:r>
        <w:rPr>
          <w:rFonts w:ascii="Times New Roman" w:eastAsia="Times New Roman" w:hAnsi="Times New Roman" w:cs="Times New Roman"/>
          <w:color w:val="000000"/>
          <w:sz w:val="24"/>
          <w:szCs w:val="24"/>
          <w:lang w:eastAsia="en-IN"/>
        </w:rPr>
        <w:t xml:space="preserve">ral remedy to increase stamina </w:t>
      </w:r>
      <w:r w:rsidR="00E52B95" w:rsidRPr="00E52B95">
        <w:rPr>
          <w:rFonts w:ascii="Times New Roman" w:eastAsia="Times New Roman" w:hAnsi="Times New Roman" w:cs="Times New Roman"/>
          <w:color w:val="000000"/>
          <w:sz w:val="24"/>
          <w:szCs w:val="24"/>
          <w:lang w:eastAsia="en-IN"/>
        </w:rPr>
        <w:t xml:space="preserve">(Rahmawatia </w:t>
      </w:r>
      <w:r w:rsidR="00E52B95" w:rsidRPr="00E52B95">
        <w:rPr>
          <w:rFonts w:ascii="Times New Roman" w:eastAsia="Times New Roman" w:hAnsi="Times New Roman" w:cs="Times New Roman"/>
          <w:i/>
          <w:color w:val="000000"/>
          <w:sz w:val="24"/>
          <w:szCs w:val="24"/>
          <w:lang w:eastAsia="en-IN"/>
        </w:rPr>
        <w:t>et al</w:t>
      </w:r>
      <w:r w:rsidR="00E52B95" w:rsidRPr="00E52B95">
        <w:rPr>
          <w:rFonts w:ascii="Times New Roman" w:eastAsia="Times New Roman" w:hAnsi="Times New Roman" w:cs="Times New Roman"/>
          <w:color w:val="000000"/>
          <w:sz w:val="24"/>
          <w:szCs w:val="24"/>
          <w:lang w:eastAsia="en-IN"/>
        </w:rPr>
        <w:t xml:space="preserve">. 2024; Deng </w:t>
      </w:r>
      <w:r w:rsidR="00E52B95" w:rsidRPr="00E52B95">
        <w:rPr>
          <w:rFonts w:ascii="Times New Roman" w:eastAsia="Times New Roman" w:hAnsi="Times New Roman" w:cs="Times New Roman"/>
          <w:i/>
          <w:color w:val="000000"/>
          <w:sz w:val="24"/>
          <w:szCs w:val="24"/>
          <w:lang w:eastAsia="en-IN"/>
        </w:rPr>
        <w:t>et al</w:t>
      </w:r>
      <w:r w:rsidR="00E52B95" w:rsidRPr="00E52B95">
        <w:rPr>
          <w:rFonts w:ascii="Times New Roman" w:eastAsia="Times New Roman" w:hAnsi="Times New Roman" w:cs="Times New Roman"/>
          <w:color w:val="000000"/>
          <w:sz w:val="24"/>
          <w:szCs w:val="24"/>
          <w:lang w:eastAsia="en-IN"/>
        </w:rPr>
        <w:t xml:space="preserve">. 2022). The genus </w:t>
      </w:r>
      <w:r w:rsidRPr="00E52B95">
        <w:rPr>
          <w:rFonts w:ascii="Times New Roman" w:eastAsia="Times New Roman" w:hAnsi="Times New Roman" w:cs="Times New Roman"/>
          <w:i/>
          <w:iCs/>
          <w:color w:val="000000"/>
          <w:sz w:val="24"/>
          <w:szCs w:val="24"/>
          <w:lang w:eastAsia="en-IN"/>
        </w:rPr>
        <w:t>Zingiber as</w:t>
      </w:r>
      <w:r w:rsidR="00E52B95" w:rsidRPr="00E52B95">
        <w:rPr>
          <w:rFonts w:ascii="Times New Roman" w:eastAsia="Times New Roman" w:hAnsi="Times New Roman" w:cs="Times New Roman"/>
          <w:color w:val="000000"/>
          <w:sz w:val="24"/>
          <w:szCs w:val="24"/>
          <w:lang w:eastAsia="en-IN"/>
        </w:rPr>
        <w:t xml:space="preserve"> a whole is crucia</w:t>
      </w:r>
      <w:r>
        <w:rPr>
          <w:rFonts w:ascii="Times New Roman" w:eastAsia="Times New Roman" w:hAnsi="Times New Roman" w:cs="Times New Roman"/>
          <w:color w:val="000000"/>
          <w:sz w:val="24"/>
          <w:szCs w:val="24"/>
          <w:lang w:eastAsia="en-IN"/>
        </w:rPr>
        <w:t>l in traditional medicine, food</w:t>
      </w:r>
      <w:r w:rsidR="00E52B95" w:rsidRPr="00E52B95">
        <w:rPr>
          <w:rFonts w:ascii="Times New Roman" w:eastAsia="Times New Roman" w:hAnsi="Times New Roman" w:cs="Times New Roman"/>
          <w:color w:val="000000"/>
          <w:sz w:val="24"/>
          <w:szCs w:val="24"/>
          <w:lang w:eastAsia="en-IN"/>
        </w:rPr>
        <w:t xml:space="preserve"> and drinks in various regions.</w:t>
      </w:r>
    </w:p>
    <w:p w:rsidR="00E52B95" w:rsidRPr="00E52B95" w:rsidRDefault="00E52B95" w:rsidP="00E52B95">
      <w:pPr>
        <w:spacing w:before="100" w:beforeAutospacing="1" w:after="100" w:afterAutospacing="1" w:line="360" w:lineRule="auto"/>
        <w:jc w:val="both"/>
        <w:rPr>
          <w:rFonts w:ascii="Times New Roman" w:eastAsia="Times New Roman" w:hAnsi="Times New Roman" w:cs="Times New Roman"/>
          <w:color w:val="000000"/>
          <w:sz w:val="24"/>
          <w:szCs w:val="24"/>
          <w:lang w:eastAsia="en-IN"/>
        </w:rPr>
      </w:pPr>
      <w:r w:rsidRPr="00E52B95">
        <w:rPr>
          <w:rFonts w:ascii="Times New Roman" w:eastAsia="Times New Roman" w:hAnsi="Times New Roman" w:cs="Times New Roman"/>
          <w:b/>
          <w:color w:val="000000"/>
          <w:sz w:val="24"/>
          <w:szCs w:val="24"/>
          <w:lang w:eastAsia="en-IN"/>
        </w:rPr>
        <w:t>5.2</w:t>
      </w:r>
      <w:r w:rsidRPr="00E52B95">
        <w:rPr>
          <w:rFonts w:ascii="Times New Roman" w:eastAsia="Times New Roman" w:hAnsi="Times New Roman" w:cs="Times New Roman"/>
          <w:b/>
          <w:i/>
          <w:color w:val="000000"/>
          <w:sz w:val="24"/>
          <w:szCs w:val="24"/>
          <w:lang w:eastAsia="en-IN"/>
        </w:rPr>
        <w:t xml:space="preserve"> Genus Curcuma</w:t>
      </w:r>
    </w:p>
    <w:p w:rsidR="00E52B95" w:rsidRPr="00E52B95" w:rsidRDefault="00E52B95" w:rsidP="00E52B95">
      <w:pPr>
        <w:spacing w:before="100" w:beforeAutospacing="1" w:after="100" w:afterAutospacing="1" w:line="360" w:lineRule="auto"/>
        <w:jc w:val="both"/>
        <w:rPr>
          <w:rFonts w:ascii="Times New Roman" w:eastAsia="Times New Roman" w:hAnsi="Times New Roman" w:cs="Times New Roman"/>
          <w:color w:val="000000"/>
          <w:sz w:val="24"/>
          <w:szCs w:val="24"/>
          <w:lang w:eastAsia="en-IN"/>
        </w:rPr>
      </w:pPr>
      <w:r w:rsidRPr="00E52B95">
        <w:rPr>
          <w:rFonts w:ascii="Times New Roman" w:eastAsia="Times New Roman" w:hAnsi="Times New Roman" w:cs="Times New Roman"/>
          <w:color w:val="000000"/>
          <w:sz w:val="24"/>
          <w:szCs w:val="24"/>
          <w:lang w:eastAsia="en-IN" w:bidi="ar-SA"/>
        </w:rPr>
        <w:t xml:space="preserve">A total of 2,031 methods for ailments like liver illness, gastritis, and pre- and postpartum care use </w:t>
      </w:r>
      <w:r w:rsidRPr="00E52B95">
        <w:rPr>
          <w:rFonts w:ascii="Times New Roman" w:eastAsia="Times New Roman" w:hAnsi="Times New Roman" w:cs="Times New Roman"/>
          <w:i/>
          <w:color w:val="000000"/>
          <w:sz w:val="24"/>
          <w:szCs w:val="24"/>
          <w:lang w:eastAsia="en-IN" w:bidi="ar-SA"/>
        </w:rPr>
        <w:t>curcuma</w:t>
      </w:r>
      <w:r w:rsidRPr="00E52B95">
        <w:rPr>
          <w:rFonts w:ascii="Times New Roman" w:eastAsia="Times New Roman" w:hAnsi="Times New Roman" w:cs="Times New Roman"/>
          <w:color w:val="000000"/>
          <w:sz w:val="24"/>
          <w:szCs w:val="24"/>
          <w:lang w:eastAsia="en-IN" w:bidi="ar-SA"/>
        </w:rPr>
        <w:t xml:space="preserve"> species, making them an important component of traditional medicine. The most commonly used species is </w:t>
      </w:r>
      <w:r w:rsidRPr="00E52B95">
        <w:rPr>
          <w:rFonts w:ascii="Times New Roman" w:eastAsia="Times New Roman" w:hAnsi="Times New Roman" w:cs="Times New Roman"/>
          <w:i/>
          <w:iCs/>
          <w:color w:val="000000"/>
          <w:sz w:val="24"/>
          <w:szCs w:val="24"/>
          <w:lang w:eastAsia="en-IN" w:bidi="ar-SA"/>
        </w:rPr>
        <w:t>C. longa</w:t>
      </w:r>
      <w:r w:rsidRPr="00E52B95">
        <w:rPr>
          <w:rFonts w:ascii="Times New Roman" w:eastAsia="Times New Roman" w:hAnsi="Times New Roman" w:cs="Times New Roman"/>
          <w:color w:val="000000"/>
          <w:sz w:val="24"/>
          <w:szCs w:val="24"/>
          <w:lang w:eastAsia="en-IN" w:bidi="ar-SA"/>
        </w:rPr>
        <w:t xml:space="preserve">, which is used for dental and oral care as well as to cure a variety of ailments like measles, herpes, mumps, nosebleeds, and mental disorders. Tumors are treated with the less common species, </w:t>
      </w:r>
      <w:r w:rsidRPr="00E52B95">
        <w:rPr>
          <w:rFonts w:ascii="Times New Roman" w:eastAsia="Times New Roman" w:hAnsi="Times New Roman" w:cs="Times New Roman"/>
          <w:i/>
          <w:iCs/>
          <w:color w:val="000000"/>
          <w:sz w:val="24"/>
          <w:szCs w:val="24"/>
          <w:lang w:eastAsia="en-IN" w:bidi="ar-SA"/>
        </w:rPr>
        <w:t>C. caesia</w:t>
      </w:r>
      <w:r w:rsidRPr="00E52B95">
        <w:rPr>
          <w:rFonts w:ascii="Times New Roman" w:eastAsia="Times New Roman" w:hAnsi="Times New Roman" w:cs="Times New Roman"/>
          <w:color w:val="000000"/>
          <w:sz w:val="24"/>
          <w:szCs w:val="24"/>
          <w:lang w:eastAsia="en-IN" w:bidi="ar-SA"/>
        </w:rPr>
        <w:t xml:space="preserve">. </w:t>
      </w:r>
      <w:r w:rsidRPr="00E52B95">
        <w:rPr>
          <w:rFonts w:ascii="Times New Roman" w:eastAsia="Times New Roman" w:hAnsi="Times New Roman" w:cs="Times New Roman"/>
          <w:i/>
          <w:iCs/>
          <w:color w:val="000000"/>
          <w:sz w:val="24"/>
          <w:szCs w:val="24"/>
          <w:lang w:eastAsia="en-IN" w:bidi="ar-SA"/>
        </w:rPr>
        <w:t>Curcuma rubescens</w:t>
      </w:r>
      <w:r w:rsidRPr="00E52B95">
        <w:rPr>
          <w:rFonts w:ascii="Times New Roman" w:eastAsia="Times New Roman" w:hAnsi="Times New Roman" w:cs="Times New Roman"/>
          <w:color w:val="000000"/>
          <w:sz w:val="24"/>
          <w:szCs w:val="24"/>
          <w:lang w:eastAsia="en-IN" w:bidi="ar-SA"/>
        </w:rPr>
        <w:t xml:space="preserve"> is used as an anti-toxin, </w:t>
      </w:r>
      <w:r w:rsidRPr="00E52B95">
        <w:rPr>
          <w:rFonts w:ascii="Times New Roman" w:eastAsia="Times New Roman" w:hAnsi="Times New Roman" w:cs="Times New Roman"/>
          <w:i/>
          <w:iCs/>
          <w:color w:val="000000"/>
          <w:sz w:val="24"/>
          <w:szCs w:val="24"/>
          <w:lang w:eastAsia="en-IN" w:bidi="ar-SA"/>
        </w:rPr>
        <w:t>C. zanthorrhiza</w:t>
      </w:r>
      <w:r w:rsidRPr="00E52B95">
        <w:rPr>
          <w:rFonts w:ascii="Times New Roman" w:eastAsia="Times New Roman" w:hAnsi="Times New Roman" w:cs="Times New Roman"/>
          <w:color w:val="000000"/>
          <w:sz w:val="24"/>
          <w:szCs w:val="24"/>
          <w:lang w:eastAsia="en-IN" w:bidi="ar-SA"/>
        </w:rPr>
        <w:t xml:space="preserve"> is used </w:t>
      </w:r>
      <w:r w:rsidR="004F1ADB">
        <w:rPr>
          <w:rFonts w:ascii="Times New Roman" w:eastAsia="Times New Roman" w:hAnsi="Times New Roman" w:cs="Times New Roman"/>
          <w:color w:val="000000"/>
          <w:sz w:val="24"/>
          <w:szCs w:val="24"/>
          <w:lang w:eastAsia="en-IN" w:bidi="ar-SA"/>
        </w:rPr>
        <w:t xml:space="preserve">specifically to treat epilepsy </w:t>
      </w:r>
      <w:r w:rsidRPr="00E52B95">
        <w:rPr>
          <w:rFonts w:ascii="Times New Roman" w:eastAsia="Times New Roman" w:hAnsi="Times New Roman" w:cs="Times New Roman"/>
          <w:color w:val="000000"/>
          <w:sz w:val="24"/>
          <w:szCs w:val="24"/>
          <w:lang w:eastAsia="en-IN" w:bidi="ar-SA"/>
        </w:rPr>
        <w:t xml:space="preserve">and an unidentified species of </w:t>
      </w:r>
      <w:r w:rsidRPr="00E52B95">
        <w:rPr>
          <w:rFonts w:ascii="Times New Roman" w:eastAsia="Times New Roman" w:hAnsi="Times New Roman" w:cs="Times New Roman"/>
          <w:i/>
          <w:color w:val="000000"/>
          <w:sz w:val="24"/>
          <w:szCs w:val="24"/>
          <w:lang w:eastAsia="en-IN" w:bidi="ar-SA"/>
        </w:rPr>
        <w:t>Curcuma</w:t>
      </w:r>
      <w:r w:rsidRPr="00E52B95">
        <w:rPr>
          <w:rFonts w:ascii="Times New Roman" w:eastAsia="Times New Roman" w:hAnsi="Times New Roman" w:cs="Times New Roman"/>
          <w:color w:val="000000"/>
          <w:sz w:val="24"/>
          <w:szCs w:val="24"/>
          <w:lang w:eastAsia="en-IN" w:bidi="ar-SA"/>
        </w:rPr>
        <w:t xml:space="preserve"> is used to treat insomnia (</w:t>
      </w:r>
      <w:r w:rsidRPr="00E52B95">
        <w:rPr>
          <w:rFonts w:ascii="Times New Roman" w:hAnsi="Times New Roman" w:cs="Times New Roman"/>
          <w:color w:val="000000"/>
          <w:sz w:val="24"/>
          <w:szCs w:val="24"/>
          <w:shd w:val="clear" w:color="auto" w:fill="FFFFFF"/>
        </w:rPr>
        <w:t>Subositi &amp; Wahyono., 2019)</w:t>
      </w:r>
      <w:r w:rsidRPr="00E52B95">
        <w:rPr>
          <w:rFonts w:ascii="Times New Roman" w:eastAsia="Times New Roman" w:hAnsi="Times New Roman" w:cs="Times New Roman"/>
          <w:color w:val="000000"/>
          <w:sz w:val="24"/>
          <w:szCs w:val="24"/>
          <w:lang w:eastAsia="en-IN"/>
        </w:rPr>
        <w:t>.</w:t>
      </w:r>
    </w:p>
    <w:p w:rsidR="00E52B95" w:rsidRPr="00E52B95" w:rsidRDefault="00E52B95" w:rsidP="00E52B95">
      <w:pPr>
        <w:spacing w:before="100" w:beforeAutospacing="1" w:after="100" w:afterAutospacing="1" w:line="360" w:lineRule="auto"/>
        <w:jc w:val="both"/>
        <w:rPr>
          <w:rFonts w:ascii="Times New Roman" w:eastAsia="Times New Roman" w:hAnsi="Times New Roman" w:cs="Times New Roman"/>
          <w:b/>
          <w:i/>
          <w:color w:val="000000"/>
          <w:sz w:val="24"/>
          <w:szCs w:val="24"/>
          <w:lang w:eastAsia="en-IN"/>
        </w:rPr>
      </w:pPr>
      <w:r w:rsidRPr="00E52B95">
        <w:rPr>
          <w:rFonts w:ascii="Times New Roman" w:eastAsia="Times New Roman" w:hAnsi="Times New Roman" w:cs="Times New Roman"/>
          <w:b/>
          <w:color w:val="000000"/>
          <w:sz w:val="24"/>
          <w:szCs w:val="24"/>
          <w:lang w:eastAsia="en-IN"/>
        </w:rPr>
        <w:t>5.3</w:t>
      </w:r>
      <w:r w:rsidRPr="00E52B95">
        <w:rPr>
          <w:rFonts w:ascii="Times New Roman" w:eastAsia="Times New Roman" w:hAnsi="Times New Roman" w:cs="Times New Roman"/>
          <w:b/>
          <w:i/>
          <w:color w:val="000000"/>
          <w:sz w:val="24"/>
          <w:szCs w:val="24"/>
          <w:lang w:eastAsia="en-IN"/>
        </w:rPr>
        <w:t xml:space="preserve"> Genus Alpinia</w:t>
      </w:r>
    </w:p>
    <w:p w:rsidR="00E52B95" w:rsidRPr="00E52B95" w:rsidRDefault="00E52B95" w:rsidP="00E52B95">
      <w:pPr>
        <w:spacing w:after="0" w:line="360" w:lineRule="auto"/>
        <w:jc w:val="both"/>
        <w:rPr>
          <w:rFonts w:ascii="Times New Roman" w:eastAsia="Times New Roman" w:hAnsi="Times New Roman" w:cs="Times New Roman"/>
          <w:b/>
          <w:i/>
          <w:color w:val="000000"/>
          <w:sz w:val="24"/>
          <w:szCs w:val="24"/>
          <w:lang w:eastAsia="en-IN"/>
        </w:rPr>
      </w:pPr>
      <w:r w:rsidRPr="00E52B95">
        <w:rPr>
          <w:rFonts w:ascii="Times New Roman" w:eastAsia="Times New Roman" w:hAnsi="Times New Roman" w:cs="Times New Roman"/>
          <w:color w:val="000000"/>
          <w:sz w:val="24"/>
          <w:szCs w:val="24"/>
          <w:lang w:eastAsia="en-IN" w:bidi="ar-SA"/>
        </w:rPr>
        <w:t>Thai traditional medicine uses A. nigra, a prominent herbal remedy, for gastrointest</w:t>
      </w:r>
      <w:r w:rsidR="004F1ADB">
        <w:rPr>
          <w:rFonts w:ascii="Times New Roman" w:eastAsia="Times New Roman" w:hAnsi="Times New Roman" w:cs="Times New Roman"/>
          <w:color w:val="000000"/>
          <w:sz w:val="24"/>
          <w:szCs w:val="24"/>
          <w:lang w:eastAsia="en-IN" w:bidi="ar-SA"/>
        </w:rPr>
        <w:t xml:space="preserve">inal, stomachic, antibacterial </w:t>
      </w:r>
      <w:r w:rsidRPr="00E52B95">
        <w:rPr>
          <w:rFonts w:ascii="Times New Roman" w:eastAsia="Times New Roman" w:hAnsi="Times New Roman" w:cs="Times New Roman"/>
          <w:color w:val="000000"/>
          <w:sz w:val="24"/>
          <w:szCs w:val="24"/>
          <w:lang w:eastAsia="en-IN" w:bidi="ar-SA"/>
        </w:rPr>
        <w:t xml:space="preserve">and antifungal purposes. The rhizome is quite adaptable; it can be used as an analgesic, aphrodisiac, tonic, diuretic, expectorant, and to treat bronchitis and impotence. For fungal illnesses like ringworm and melasma, some indigenous cultures apply a mixture of ground root and rice whisky topically. To lessen dyspepsia and flatulence, the cooked green root has strong carminative properties. A root extract is used to treat jaundice and stomach ulcers. Its anti-inflammatory and analgesic benefits in mice have also been shown by scientific research. The rhizome has been used traditionally by the Mizo tribes to treat intestinal illnesses, and a crude extract of it has demonstrated great efficacy against the trematode </w:t>
      </w:r>
      <w:r w:rsidRPr="004F1ADB">
        <w:rPr>
          <w:rFonts w:ascii="Times New Roman" w:eastAsia="Times New Roman" w:hAnsi="Times New Roman" w:cs="Times New Roman"/>
          <w:i/>
          <w:color w:val="000000"/>
          <w:sz w:val="24"/>
          <w:szCs w:val="24"/>
          <w:lang w:eastAsia="en-IN" w:bidi="ar-SA"/>
        </w:rPr>
        <w:t xml:space="preserve">Fasciolopsis buski </w:t>
      </w:r>
      <w:r w:rsidRPr="00E52B95">
        <w:rPr>
          <w:rFonts w:ascii="Times New Roman" w:eastAsia="Times New Roman" w:hAnsi="Times New Roman" w:cs="Times New Roman"/>
          <w:color w:val="000000"/>
          <w:sz w:val="24"/>
          <w:szCs w:val="24"/>
          <w:lang w:eastAsia="en-IN" w:bidi="ar-SA"/>
        </w:rPr>
        <w:t>(</w:t>
      </w:r>
      <w:r w:rsidRPr="00E52B95">
        <w:rPr>
          <w:rFonts w:ascii="Times New Roman" w:hAnsi="Times New Roman" w:cs="Times New Roman"/>
          <w:color w:val="000000"/>
          <w:sz w:val="24"/>
          <w:szCs w:val="24"/>
          <w:shd w:val="clear" w:color="auto" w:fill="FFFFFF"/>
        </w:rPr>
        <w:t xml:space="preserve">Zhang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2016).</w:t>
      </w:r>
    </w:p>
    <w:p w:rsidR="00E52B95" w:rsidRPr="00E52B95" w:rsidRDefault="00E52B95" w:rsidP="00E52B95">
      <w:pPr>
        <w:spacing w:after="0" w:line="360" w:lineRule="auto"/>
        <w:jc w:val="both"/>
        <w:rPr>
          <w:rFonts w:ascii="Times New Roman" w:eastAsia="Times New Roman" w:hAnsi="Times New Roman" w:cs="Times New Roman"/>
          <w:b/>
          <w:i/>
          <w:color w:val="000000"/>
          <w:sz w:val="24"/>
          <w:szCs w:val="24"/>
          <w:lang w:eastAsia="en-IN"/>
        </w:rPr>
      </w:pPr>
    </w:p>
    <w:p w:rsidR="00E52B95" w:rsidRPr="00E52B95" w:rsidRDefault="00E52B95" w:rsidP="00E52B95">
      <w:pPr>
        <w:spacing w:after="0" w:line="360" w:lineRule="auto"/>
        <w:jc w:val="both"/>
        <w:rPr>
          <w:rFonts w:ascii="Times New Roman" w:eastAsia="Times New Roman" w:hAnsi="Times New Roman" w:cs="Times New Roman"/>
          <w:b/>
          <w:i/>
          <w:color w:val="000000"/>
          <w:sz w:val="24"/>
          <w:szCs w:val="24"/>
          <w:lang w:eastAsia="en-IN"/>
        </w:rPr>
      </w:pPr>
      <w:r w:rsidRPr="00E52B95">
        <w:rPr>
          <w:rFonts w:ascii="Times New Roman" w:eastAsia="Times New Roman" w:hAnsi="Times New Roman" w:cs="Times New Roman"/>
          <w:b/>
          <w:color w:val="000000"/>
          <w:sz w:val="24"/>
          <w:szCs w:val="24"/>
          <w:lang w:eastAsia="en-IN"/>
        </w:rPr>
        <w:t xml:space="preserve">5.4 </w:t>
      </w:r>
      <w:r w:rsidRPr="00E52B95">
        <w:rPr>
          <w:rFonts w:ascii="Times New Roman" w:eastAsia="Times New Roman" w:hAnsi="Times New Roman" w:cs="Times New Roman"/>
          <w:b/>
          <w:i/>
          <w:color w:val="000000"/>
          <w:sz w:val="24"/>
          <w:szCs w:val="24"/>
          <w:lang w:eastAsia="en-IN"/>
        </w:rPr>
        <w:t>Genus Kaempferia</w:t>
      </w:r>
    </w:p>
    <w:p w:rsidR="00E52B95" w:rsidRPr="00E52B95" w:rsidRDefault="00E52B95" w:rsidP="00E52B95">
      <w:pPr>
        <w:spacing w:before="100" w:beforeAutospacing="1" w:after="100" w:afterAutospacing="1" w:line="360" w:lineRule="auto"/>
        <w:jc w:val="both"/>
        <w:rPr>
          <w:rFonts w:ascii="Times New Roman" w:eastAsia="Times New Roman" w:hAnsi="Times New Roman" w:cs="Times New Roman"/>
          <w:b/>
          <w:i/>
          <w:color w:val="000000"/>
          <w:sz w:val="24"/>
          <w:szCs w:val="24"/>
          <w:lang w:eastAsia="en-IN"/>
        </w:rPr>
      </w:pPr>
      <w:r w:rsidRPr="00E52B95">
        <w:rPr>
          <w:rFonts w:ascii="Times New Roman" w:eastAsia="Times New Roman" w:hAnsi="Times New Roman" w:cs="Times New Roman"/>
          <w:i/>
          <w:color w:val="000000"/>
          <w:sz w:val="24"/>
          <w:szCs w:val="24"/>
          <w:lang w:eastAsia="en-IN"/>
        </w:rPr>
        <w:t>Kaempferia galanga L</w:t>
      </w:r>
      <w:r w:rsidRPr="00E52B95">
        <w:rPr>
          <w:rFonts w:ascii="Times New Roman" w:eastAsia="Times New Roman" w:hAnsi="Times New Roman" w:cs="Times New Roman"/>
          <w:color w:val="000000"/>
          <w:sz w:val="24"/>
          <w:szCs w:val="24"/>
          <w:lang w:eastAsia="en-IN"/>
        </w:rPr>
        <w:t xml:space="preserve">. extensively used in traditional medicine across Asian countries. It's an expectorant, Stimulant, diuretic, antipyretic and carminative. Traditional uses include treatment for diabetes, Cough, hypertension, asthma, headaches, vertigo, joint fractures, rheumatism, intestinal injuries, toothaches, stomach aches, urticaria, indigestion, and bacterial infections. The dried rhizome is a cardiotonic and sedative. Powdered rhizome helps cure cough with phlegm and chest pain, while the essential oil relieves colds and nasal congestion. </w:t>
      </w:r>
      <w:r w:rsidRPr="00E52B95">
        <w:rPr>
          <w:rFonts w:ascii="Times New Roman" w:eastAsia="Times New Roman" w:hAnsi="Times New Roman" w:cs="Times New Roman"/>
          <w:color w:val="000000"/>
          <w:sz w:val="24"/>
          <w:szCs w:val="24"/>
          <w:lang w:eastAsia="en-IN"/>
        </w:rPr>
        <w:lastRenderedPageBreak/>
        <w:t xml:space="preserve">Processed rhizome paste is used in balms for rheumatism and wounds. Local tribes in India use it for ear inflammation in children, tongue blisters in babies, vomiting of blood, menstrual pain, gastroenteritis and whooping cough (Khairullah </w:t>
      </w:r>
      <w:r w:rsidRPr="00E52B95">
        <w:rPr>
          <w:rFonts w:ascii="Times New Roman" w:eastAsia="Times New Roman" w:hAnsi="Times New Roman" w:cs="Times New Roman"/>
          <w:i/>
          <w:color w:val="000000"/>
          <w:sz w:val="24"/>
          <w:szCs w:val="24"/>
          <w:lang w:eastAsia="en-IN"/>
        </w:rPr>
        <w:t>et al</w:t>
      </w:r>
      <w:r w:rsidRPr="00E52B95">
        <w:rPr>
          <w:rFonts w:ascii="Times New Roman" w:eastAsia="Times New Roman" w:hAnsi="Times New Roman" w:cs="Times New Roman"/>
          <w:color w:val="000000"/>
          <w:sz w:val="24"/>
          <w:szCs w:val="24"/>
          <w:lang w:eastAsia="en-IN"/>
        </w:rPr>
        <w:t xml:space="preserve">. 2021). </w:t>
      </w:r>
      <w:r w:rsidRPr="00E52B95">
        <w:rPr>
          <w:rFonts w:ascii="Times New Roman" w:eastAsia="Times New Roman" w:hAnsi="Times New Roman" w:cs="Times New Roman"/>
          <w:i/>
          <w:iCs/>
          <w:color w:val="000000"/>
          <w:sz w:val="24"/>
          <w:szCs w:val="24"/>
          <w:lang w:eastAsia="en-IN"/>
        </w:rPr>
        <w:t xml:space="preserve">K. rotunda </w:t>
      </w:r>
      <w:r w:rsidRPr="00E52B95">
        <w:rPr>
          <w:rFonts w:ascii="Times New Roman" w:eastAsia="Times New Roman" w:hAnsi="Times New Roman" w:cs="Times New Roman"/>
          <w:color w:val="000000"/>
          <w:sz w:val="24"/>
          <w:szCs w:val="24"/>
          <w:lang w:eastAsia="en-IN"/>
        </w:rPr>
        <w:t xml:space="preserve">traditionally used to treat abdominal illness, gastric problems, and stomach aches (Somani </w:t>
      </w:r>
      <w:r w:rsidRPr="00E52B95">
        <w:rPr>
          <w:rFonts w:ascii="Times New Roman" w:eastAsia="Times New Roman" w:hAnsi="Times New Roman" w:cs="Times New Roman"/>
          <w:i/>
          <w:color w:val="000000"/>
          <w:sz w:val="24"/>
          <w:szCs w:val="24"/>
          <w:lang w:eastAsia="en-IN"/>
        </w:rPr>
        <w:t>et al</w:t>
      </w:r>
      <w:r w:rsidRPr="00E52B95">
        <w:rPr>
          <w:rFonts w:ascii="Times New Roman" w:eastAsia="Times New Roman" w:hAnsi="Times New Roman" w:cs="Times New Roman"/>
          <w:color w:val="000000"/>
          <w:sz w:val="24"/>
          <w:szCs w:val="24"/>
          <w:lang w:eastAsia="en-IN"/>
        </w:rPr>
        <w:t>. 2021).</w:t>
      </w:r>
    </w:p>
    <w:p w:rsidR="00E52B95" w:rsidRPr="00E52B95" w:rsidRDefault="00E52B95" w:rsidP="00E52B95">
      <w:pPr>
        <w:spacing w:before="100" w:beforeAutospacing="1" w:after="100" w:afterAutospacing="1" w:line="360" w:lineRule="auto"/>
        <w:jc w:val="both"/>
        <w:rPr>
          <w:rFonts w:ascii="Times New Roman" w:eastAsia="Times New Roman" w:hAnsi="Times New Roman" w:cs="Times New Roman"/>
          <w:b/>
          <w:i/>
          <w:color w:val="000000"/>
          <w:sz w:val="24"/>
          <w:szCs w:val="24"/>
          <w:lang w:eastAsia="en-IN"/>
        </w:rPr>
      </w:pPr>
      <w:r w:rsidRPr="00E52B95">
        <w:rPr>
          <w:rFonts w:ascii="Times New Roman" w:eastAsia="Times New Roman" w:hAnsi="Times New Roman" w:cs="Times New Roman"/>
          <w:b/>
          <w:color w:val="000000"/>
          <w:sz w:val="24"/>
          <w:szCs w:val="24"/>
          <w:lang w:eastAsia="en-IN"/>
        </w:rPr>
        <w:t>5.5</w:t>
      </w:r>
      <w:r w:rsidRPr="00E52B95">
        <w:rPr>
          <w:rFonts w:ascii="Times New Roman" w:eastAsia="Times New Roman" w:hAnsi="Times New Roman" w:cs="Times New Roman"/>
          <w:b/>
          <w:i/>
          <w:color w:val="000000"/>
          <w:sz w:val="24"/>
          <w:szCs w:val="24"/>
          <w:lang w:eastAsia="en-IN"/>
        </w:rPr>
        <w:t xml:space="preserve"> Genus Elettaria</w:t>
      </w:r>
    </w:p>
    <w:p w:rsidR="00E52B95" w:rsidRPr="00E52B95" w:rsidRDefault="00E52B95" w:rsidP="00E52B95">
      <w:pPr>
        <w:spacing w:before="100" w:beforeAutospacing="1" w:after="100" w:afterAutospacing="1" w:line="360" w:lineRule="auto"/>
        <w:jc w:val="both"/>
        <w:rPr>
          <w:rFonts w:ascii="Times New Roman" w:eastAsia="Times New Roman" w:hAnsi="Times New Roman" w:cs="Times New Roman"/>
          <w:color w:val="000000"/>
          <w:sz w:val="24"/>
          <w:szCs w:val="24"/>
          <w:lang w:eastAsia="en-IN"/>
        </w:rPr>
      </w:pPr>
      <w:r w:rsidRPr="00E52B95">
        <w:rPr>
          <w:rFonts w:ascii="Times New Roman" w:eastAsia="Times New Roman" w:hAnsi="Times New Roman" w:cs="Times New Roman"/>
          <w:i/>
          <w:iCs/>
          <w:color w:val="000000"/>
          <w:sz w:val="24"/>
          <w:szCs w:val="24"/>
          <w:lang w:eastAsia="en-IN"/>
        </w:rPr>
        <w:t>Elettaria cardamomum</w:t>
      </w:r>
      <w:r w:rsidRPr="00E52B95">
        <w:rPr>
          <w:rFonts w:ascii="Times New Roman" w:eastAsia="Times New Roman" w:hAnsi="Times New Roman" w:cs="Times New Roman"/>
          <w:color w:val="000000"/>
          <w:sz w:val="24"/>
          <w:szCs w:val="24"/>
          <w:lang w:eastAsia="en-IN"/>
        </w:rPr>
        <w:t xml:space="preserve"> (Green Cardamom) is highly valued spice is used in traditional medical systems like Ayurveda and Unani. Its traditional applications include treating metabolic syndromes like cardiovascular dysfunctions, diabetes, respiratory disorders (bronchitis, asthma) and gastrointestinal disorders (indigestion, constipation, anorexia, vomiting, and dyspepsia). In addition, it is regarded as a stomachic, d</w:t>
      </w:r>
      <w:r w:rsidR="004F1ADB">
        <w:rPr>
          <w:rFonts w:ascii="Times New Roman" w:eastAsia="Times New Roman" w:hAnsi="Times New Roman" w:cs="Times New Roman"/>
          <w:color w:val="000000"/>
          <w:sz w:val="24"/>
          <w:szCs w:val="24"/>
          <w:lang w:eastAsia="en-IN"/>
        </w:rPr>
        <w:t xml:space="preserve">iuretic, laxative, carminative </w:t>
      </w:r>
      <w:r w:rsidRPr="00E52B95">
        <w:rPr>
          <w:rFonts w:ascii="Times New Roman" w:eastAsia="Times New Roman" w:hAnsi="Times New Roman" w:cs="Times New Roman"/>
          <w:color w:val="000000"/>
          <w:sz w:val="24"/>
          <w:szCs w:val="24"/>
          <w:lang w:eastAsia="en-IN"/>
        </w:rPr>
        <w:t xml:space="preserve">and heart tonic. It has traditionally </w:t>
      </w:r>
      <w:r w:rsidR="004F1ADB">
        <w:rPr>
          <w:rFonts w:ascii="Times New Roman" w:eastAsia="Times New Roman" w:hAnsi="Times New Roman" w:cs="Times New Roman"/>
          <w:color w:val="000000"/>
          <w:sz w:val="24"/>
          <w:szCs w:val="24"/>
          <w:lang w:eastAsia="en-IN"/>
        </w:rPr>
        <w:t>been used to treat liver, chest</w:t>
      </w:r>
      <w:r w:rsidRPr="00E52B95">
        <w:rPr>
          <w:rFonts w:ascii="Times New Roman" w:eastAsia="Times New Roman" w:hAnsi="Times New Roman" w:cs="Times New Roman"/>
          <w:color w:val="000000"/>
          <w:sz w:val="24"/>
          <w:szCs w:val="24"/>
          <w:lang w:eastAsia="en-IN"/>
        </w:rPr>
        <w:t xml:space="preserve"> and throat disorders as well as to reduce in</w:t>
      </w:r>
      <w:r w:rsidR="004F1ADB">
        <w:rPr>
          <w:rFonts w:ascii="Times New Roman" w:eastAsia="Times New Roman" w:hAnsi="Times New Roman" w:cs="Times New Roman"/>
          <w:color w:val="000000"/>
          <w:sz w:val="24"/>
          <w:szCs w:val="24"/>
          <w:lang w:eastAsia="en-IN"/>
        </w:rPr>
        <w:t>flammation, headaches, earaches</w:t>
      </w:r>
      <w:r w:rsidRPr="00E52B95">
        <w:rPr>
          <w:rFonts w:ascii="Times New Roman" w:eastAsia="Times New Roman" w:hAnsi="Times New Roman" w:cs="Times New Roman"/>
          <w:color w:val="000000"/>
          <w:sz w:val="24"/>
          <w:szCs w:val="24"/>
          <w:lang w:eastAsia="en-IN"/>
        </w:rPr>
        <w:t xml:space="preserve"> and toothaches. Although not as an antidote, it is also administered in cases of scorpion sting and snake bite (Kumar </w:t>
      </w:r>
      <w:r w:rsidRPr="00E52B95">
        <w:rPr>
          <w:rFonts w:ascii="Times New Roman" w:eastAsia="Times New Roman" w:hAnsi="Times New Roman" w:cs="Times New Roman"/>
          <w:i/>
          <w:color w:val="000000"/>
          <w:sz w:val="24"/>
          <w:szCs w:val="24"/>
          <w:lang w:eastAsia="en-IN"/>
        </w:rPr>
        <w:t>et al</w:t>
      </w:r>
      <w:r w:rsidRPr="00E52B95">
        <w:rPr>
          <w:rFonts w:ascii="Times New Roman" w:eastAsia="Times New Roman" w:hAnsi="Times New Roman" w:cs="Times New Roman"/>
          <w:color w:val="000000"/>
          <w:sz w:val="24"/>
          <w:szCs w:val="24"/>
          <w:lang w:eastAsia="en-IN"/>
        </w:rPr>
        <w:t xml:space="preserve">. 2020). </w:t>
      </w:r>
    </w:p>
    <w:p w:rsidR="00E52B95" w:rsidRPr="00E52B95" w:rsidRDefault="00E52B95" w:rsidP="00E52B95">
      <w:pPr>
        <w:spacing w:before="100" w:beforeAutospacing="1" w:after="100" w:afterAutospacing="1" w:line="360" w:lineRule="auto"/>
        <w:jc w:val="both"/>
        <w:rPr>
          <w:rFonts w:ascii="Times New Roman" w:eastAsia="Times New Roman" w:hAnsi="Times New Roman" w:cs="Times New Roman"/>
          <w:color w:val="000000"/>
          <w:sz w:val="24"/>
          <w:szCs w:val="24"/>
          <w:lang w:eastAsia="en-IN"/>
        </w:rPr>
      </w:pPr>
      <w:r w:rsidRPr="00E52B95">
        <w:rPr>
          <w:rFonts w:ascii="Times New Roman" w:eastAsia="Times New Roman" w:hAnsi="Times New Roman" w:cs="Times New Roman"/>
          <w:b/>
          <w:color w:val="000000"/>
          <w:sz w:val="24"/>
          <w:szCs w:val="24"/>
          <w:lang w:eastAsia="en-IN"/>
        </w:rPr>
        <w:t xml:space="preserve">5.6 </w:t>
      </w:r>
      <w:r w:rsidRPr="00E52B95">
        <w:rPr>
          <w:rFonts w:ascii="Times New Roman" w:eastAsia="Times New Roman" w:hAnsi="Times New Roman" w:cs="Times New Roman"/>
          <w:b/>
          <w:i/>
          <w:color w:val="000000"/>
          <w:sz w:val="24"/>
          <w:szCs w:val="24"/>
          <w:lang w:eastAsia="en-IN"/>
        </w:rPr>
        <w:t>Genus Etlingera</w:t>
      </w:r>
    </w:p>
    <w:p w:rsidR="00E52B95" w:rsidRPr="00E52B95" w:rsidRDefault="00E52B95" w:rsidP="00E52B95">
      <w:pPr>
        <w:spacing w:after="0" w:line="360" w:lineRule="auto"/>
        <w:jc w:val="both"/>
        <w:rPr>
          <w:rFonts w:ascii="Times New Roman" w:eastAsia="Times New Roman" w:hAnsi="Times New Roman" w:cs="Times New Roman"/>
          <w:color w:val="000000"/>
          <w:sz w:val="24"/>
          <w:szCs w:val="24"/>
          <w:lang w:eastAsia="en-IN" w:bidi="ar-SA"/>
        </w:rPr>
      </w:pPr>
      <w:r w:rsidRPr="00E52B95">
        <w:rPr>
          <w:rFonts w:ascii="Times New Roman" w:eastAsia="Times New Roman" w:hAnsi="Times New Roman" w:cs="Times New Roman"/>
          <w:color w:val="000000"/>
          <w:sz w:val="24"/>
          <w:szCs w:val="24"/>
          <w:lang w:eastAsia="en-IN" w:bidi="ar-SA"/>
        </w:rPr>
        <w:t xml:space="preserve">In traditional medicine, the genus </w:t>
      </w:r>
      <w:r w:rsidRPr="00E52B95">
        <w:rPr>
          <w:rFonts w:ascii="Times New Roman" w:eastAsia="Times New Roman" w:hAnsi="Times New Roman" w:cs="Times New Roman"/>
          <w:i/>
          <w:iCs/>
          <w:color w:val="000000"/>
          <w:sz w:val="24"/>
          <w:szCs w:val="24"/>
          <w:lang w:eastAsia="en-IN" w:bidi="ar-SA"/>
        </w:rPr>
        <w:t>Etlingera</w:t>
      </w:r>
      <w:r w:rsidRPr="00E52B95">
        <w:rPr>
          <w:rFonts w:ascii="Times New Roman" w:eastAsia="Times New Roman" w:hAnsi="Times New Roman" w:cs="Times New Roman"/>
          <w:color w:val="000000"/>
          <w:sz w:val="24"/>
          <w:szCs w:val="24"/>
          <w:lang w:eastAsia="en-IN" w:bidi="ar-SA"/>
        </w:rPr>
        <w:t xml:space="preserve"> is highly prized, especially for its several therapeutic applications. For instance, the rhizome of </w:t>
      </w:r>
      <w:r w:rsidRPr="00E52B95">
        <w:rPr>
          <w:rFonts w:ascii="Times New Roman" w:eastAsia="Times New Roman" w:hAnsi="Times New Roman" w:cs="Times New Roman"/>
          <w:i/>
          <w:iCs/>
          <w:color w:val="000000"/>
          <w:sz w:val="24"/>
          <w:szCs w:val="24"/>
          <w:lang w:eastAsia="en-IN" w:bidi="ar-SA"/>
        </w:rPr>
        <w:t>E. flexuosa</w:t>
      </w:r>
      <w:r w:rsidRPr="00E52B95">
        <w:rPr>
          <w:rFonts w:ascii="Times New Roman" w:eastAsia="Times New Roman" w:hAnsi="Times New Roman" w:cs="Times New Roman"/>
          <w:color w:val="000000"/>
          <w:sz w:val="24"/>
          <w:szCs w:val="24"/>
          <w:lang w:eastAsia="en-IN" w:bidi="ar-SA"/>
        </w:rPr>
        <w:t xml:space="preserve"> is used as a traditional treatment for diarrh</w:t>
      </w:r>
      <w:r w:rsidR="004F1ADB">
        <w:rPr>
          <w:rFonts w:ascii="Times New Roman" w:eastAsia="Times New Roman" w:hAnsi="Times New Roman" w:cs="Times New Roman"/>
          <w:color w:val="000000"/>
          <w:sz w:val="24"/>
          <w:szCs w:val="24"/>
          <w:lang w:eastAsia="en-IN" w:bidi="ar-SA"/>
        </w:rPr>
        <w:t>o</w:t>
      </w:r>
      <w:r w:rsidRPr="00E52B95">
        <w:rPr>
          <w:rFonts w:ascii="Times New Roman" w:eastAsia="Times New Roman" w:hAnsi="Times New Roman" w:cs="Times New Roman"/>
          <w:color w:val="000000"/>
          <w:sz w:val="24"/>
          <w:szCs w:val="24"/>
          <w:lang w:eastAsia="en-IN" w:bidi="ar-SA"/>
        </w:rPr>
        <w:t xml:space="preserve">ea by the local Topo Baria people. </w:t>
      </w:r>
      <w:r w:rsidRPr="00E52B95">
        <w:rPr>
          <w:rFonts w:ascii="Times New Roman" w:eastAsia="Times New Roman" w:hAnsi="Times New Roman" w:cs="Times New Roman"/>
          <w:i/>
          <w:iCs/>
          <w:color w:val="000000"/>
          <w:sz w:val="24"/>
          <w:szCs w:val="24"/>
          <w:lang w:eastAsia="en-IN" w:bidi="ar-SA"/>
        </w:rPr>
        <w:t>E. elatior</w:t>
      </w:r>
      <w:r w:rsidRPr="00E52B95">
        <w:rPr>
          <w:rFonts w:ascii="Times New Roman" w:eastAsia="Times New Roman" w:hAnsi="Times New Roman" w:cs="Times New Roman"/>
          <w:color w:val="000000"/>
          <w:sz w:val="24"/>
          <w:szCs w:val="24"/>
          <w:lang w:eastAsia="en-IN" w:bidi="ar-SA"/>
        </w:rPr>
        <w:t xml:space="preserve">, at present, is a popular aromatic plant with important therapeutic uses. In addition to being edible, its inflorescence is also used to make a postpartum bath that eliminates body </w:t>
      </w:r>
      <w:r w:rsidR="004F1ADB" w:rsidRPr="00E52B95">
        <w:rPr>
          <w:rFonts w:ascii="Times New Roman" w:eastAsia="Times New Roman" w:hAnsi="Times New Roman" w:cs="Times New Roman"/>
          <w:color w:val="000000"/>
          <w:sz w:val="24"/>
          <w:szCs w:val="24"/>
          <w:lang w:eastAsia="en-IN" w:bidi="ar-SA"/>
        </w:rPr>
        <w:t>odour</w:t>
      </w:r>
      <w:r w:rsidRPr="00E52B95">
        <w:rPr>
          <w:rFonts w:ascii="Times New Roman" w:eastAsia="Times New Roman" w:hAnsi="Times New Roman" w:cs="Times New Roman"/>
          <w:color w:val="000000"/>
          <w:sz w:val="24"/>
          <w:szCs w:val="24"/>
          <w:lang w:eastAsia="en-IN" w:bidi="ar-SA"/>
        </w:rPr>
        <w:t xml:space="preserve"> by combining it with other herbs. The Porehu people in Southeast Sulawesi also utilize E. elatior as an alternative remedy to treat the symptoms of typhoid fever</w:t>
      </w:r>
      <w:r w:rsidRPr="00E52B95">
        <w:rPr>
          <w:rFonts w:ascii="Times New Roman" w:eastAsia="Times New Roman" w:hAnsi="Times New Roman" w:cs="Times New Roman"/>
          <w:i/>
          <w:iCs/>
          <w:color w:val="000000"/>
          <w:sz w:val="24"/>
          <w:szCs w:val="24"/>
          <w:lang w:eastAsia="en-IN" w:bidi="ar-SA"/>
        </w:rPr>
        <w:t>. E. elatior's</w:t>
      </w:r>
      <w:r w:rsidRPr="00E52B95">
        <w:rPr>
          <w:rFonts w:ascii="Times New Roman" w:eastAsia="Times New Roman" w:hAnsi="Times New Roman" w:cs="Times New Roman"/>
          <w:color w:val="000000"/>
          <w:sz w:val="24"/>
          <w:szCs w:val="24"/>
          <w:lang w:eastAsia="en-IN" w:bidi="ar-SA"/>
        </w:rPr>
        <w:t xml:space="preserve"> fruit and blooms are also a staple of the Batak Karo sub-ethnic group's traditional "cincang" cuisine (</w:t>
      </w:r>
      <w:r w:rsidRPr="00E52B95">
        <w:rPr>
          <w:rFonts w:ascii="Times New Roman" w:hAnsi="Times New Roman" w:cs="Times New Roman"/>
          <w:color w:val="000000"/>
          <w:sz w:val="24"/>
          <w:szCs w:val="24"/>
          <w:shd w:val="clear" w:color="auto" w:fill="FFFFFF"/>
        </w:rPr>
        <w:t xml:space="preserve">Ringgit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2025).</w:t>
      </w:r>
    </w:p>
    <w:p w:rsidR="00E52B95" w:rsidRPr="00E52B95" w:rsidRDefault="00E52B95" w:rsidP="00E52B95">
      <w:pPr>
        <w:spacing w:before="100" w:beforeAutospacing="1" w:after="100" w:afterAutospacing="1" w:line="360" w:lineRule="auto"/>
        <w:jc w:val="both"/>
        <w:rPr>
          <w:rFonts w:ascii="Times New Roman" w:eastAsia="Times New Roman" w:hAnsi="Times New Roman" w:cs="Times New Roman"/>
          <w:b/>
          <w:i/>
          <w:color w:val="000000"/>
          <w:sz w:val="24"/>
          <w:szCs w:val="24"/>
          <w:lang w:eastAsia="en-IN"/>
        </w:rPr>
      </w:pPr>
      <w:r w:rsidRPr="00E52B95">
        <w:rPr>
          <w:rFonts w:ascii="Times New Roman" w:eastAsia="Times New Roman" w:hAnsi="Times New Roman" w:cs="Times New Roman"/>
          <w:b/>
          <w:color w:val="000000"/>
          <w:sz w:val="24"/>
          <w:szCs w:val="24"/>
          <w:lang w:eastAsia="en-IN"/>
        </w:rPr>
        <w:t>5.7</w:t>
      </w:r>
      <w:r w:rsidRPr="00E52B95">
        <w:rPr>
          <w:rFonts w:ascii="Times New Roman" w:eastAsia="Times New Roman" w:hAnsi="Times New Roman" w:cs="Times New Roman"/>
          <w:b/>
          <w:i/>
          <w:color w:val="000000"/>
          <w:sz w:val="24"/>
          <w:szCs w:val="24"/>
          <w:lang w:eastAsia="en-IN"/>
        </w:rPr>
        <w:t xml:space="preserve"> Genus Hedychium </w:t>
      </w:r>
    </w:p>
    <w:p w:rsidR="00E52B95" w:rsidRPr="00E52B95" w:rsidRDefault="00E52B95" w:rsidP="00E52B95">
      <w:pPr>
        <w:spacing w:before="100" w:beforeAutospacing="1" w:after="100" w:afterAutospacing="1" w:line="360" w:lineRule="auto"/>
        <w:jc w:val="both"/>
        <w:rPr>
          <w:rFonts w:ascii="Times New Roman" w:eastAsia="Times New Roman" w:hAnsi="Times New Roman" w:cs="Times New Roman"/>
          <w:color w:val="000000"/>
          <w:sz w:val="24"/>
          <w:szCs w:val="24"/>
          <w:lang w:eastAsia="en-IN"/>
        </w:rPr>
      </w:pPr>
      <w:r w:rsidRPr="00E52B95">
        <w:rPr>
          <w:rFonts w:ascii="Times New Roman" w:eastAsia="Times New Roman" w:hAnsi="Times New Roman" w:cs="Times New Roman"/>
          <w:color w:val="000000"/>
          <w:sz w:val="24"/>
          <w:szCs w:val="24"/>
          <w:lang w:eastAsia="en-IN"/>
        </w:rPr>
        <w:t xml:space="preserve">The rhizomatous plant </w:t>
      </w:r>
      <w:r w:rsidRPr="00E52B95">
        <w:rPr>
          <w:rFonts w:ascii="Times New Roman" w:eastAsia="Times New Roman" w:hAnsi="Times New Roman" w:cs="Times New Roman"/>
          <w:i/>
          <w:color w:val="000000"/>
          <w:sz w:val="24"/>
          <w:szCs w:val="24"/>
          <w:lang w:eastAsia="en-IN"/>
        </w:rPr>
        <w:t>Hedychium spicatum</w:t>
      </w:r>
      <w:r w:rsidRPr="00E52B95">
        <w:rPr>
          <w:rFonts w:ascii="Times New Roman" w:eastAsia="Times New Roman" w:hAnsi="Times New Roman" w:cs="Times New Roman"/>
          <w:color w:val="000000"/>
          <w:sz w:val="24"/>
          <w:szCs w:val="24"/>
          <w:lang w:eastAsia="en-IN"/>
        </w:rPr>
        <w:t xml:space="preserve"> is a rhizomatous plant that used widely in Tibetan, Chinese, and Indian traditional medicine. Therapeutic use has been reported to treat Inflammation, pain, bronchitis, hiccu</w:t>
      </w:r>
      <w:r w:rsidR="004F1ADB">
        <w:rPr>
          <w:rFonts w:ascii="Times New Roman" w:eastAsia="Times New Roman" w:hAnsi="Times New Roman" w:cs="Times New Roman"/>
          <w:color w:val="000000"/>
          <w:sz w:val="24"/>
          <w:szCs w:val="24"/>
          <w:lang w:eastAsia="en-IN"/>
        </w:rPr>
        <w:t>ps, diarrhoea, vomiting, asthma</w:t>
      </w:r>
      <w:r w:rsidRPr="00E52B95">
        <w:rPr>
          <w:rFonts w:ascii="Times New Roman" w:eastAsia="Times New Roman" w:hAnsi="Times New Roman" w:cs="Times New Roman"/>
          <w:color w:val="000000"/>
          <w:sz w:val="24"/>
          <w:szCs w:val="24"/>
          <w:lang w:eastAsia="en-IN"/>
        </w:rPr>
        <w:t xml:space="preserve"> and haematological disorders. In addition, infusion made of the rhizome is used to promote menstrual flow and alleviate flatulence. Ethnobotanical studies also record its application i</w:t>
      </w:r>
      <w:r w:rsidR="004F1ADB">
        <w:rPr>
          <w:rFonts w:ascii="Times New Roman" w:eastAsia="Times New Roman" w:hAnsi="Times New Roman" w:cs="Times New Roman"/>
          <w:color w:val="000000"/>
          <w:sz w:val="24"/>
          <w:szCs w:val="24"/>
          <w:lang w:eastAsia="en-IN"/>
        </w:rPr>
        <w:t>n snake bites, fever, dyspepsia</w:t>
      </w:r>
      <w:r w:rsidRPr="00E52B95">
        <w:rPr>
          <w:rFonts w:ascii="Times New Roman" w:eastAsia="Times New Roman" w:hAnsi="Times New Roman" w:cs="Times New Roman"/>
          <w:color w:val="000000"/>
          <w:sz w:val="24"/>
          <w:szCs w:val="24"/>
          <w:lang w:eastAsia="en-IN"/>
        </w:rPr>
        <w:t xml:space="preserve"> and liver issues. Additionally, the rhizome essential oil has been used traditionally </w:t>
      </w:r>
      <w:r w:rsidRPr="00E52B95">
        <w:rPr>
          <w:rFonts w:ascii="Times New Roman" w:eastAsia="Times New Roman" w:hAnsi="Times New Roman" w:cs="Times New Roman"/>
          <w:color w:val="000000"/>
          <w:sz w:val="24"/>
          <w:szCs w:val="24"/>
          <w:lang w:eastAsia="en-IN"/>
        </w:rPr>
        <w:lastRenderedPageBreak/>
        <w:t>for it</w:t>
      </w:r>
      <w:r w:rsidR="004F1ADB">
        <w:rPr>
          <w:rFonts w:ascii="Times New Roman" w:eastAsia="Times New Roman" w:hAnsi="Times New Roman" w:cs="Times New Roman"/>
          <w:color w:val="000000"/>
          <w:sz w:val="24"/>
          <w:szCs w:val="24"/>
          <w:lang w:eastAsia="en-IN"/>
        </w:rPr>
        <w:t>s antihelminthic, antimicrobial</w:t>
      </w:r>
      <w:r w:rsidRPr="00E52B95">
        <w:rPr>
          <w:rFonts w:ascii="Times New Roman" w:eastAsia="Times New Roman" w:hAnsi="Times New Roman" w:cs="Times New Roman"/>
          <w:color w:val="000000"/>
          <w:sz w:val="24"/>
          <w:szCs w:val="24"/>
          <w:lang w:eastAsia="en-IN"/>
        </w:rPr>
        <w:t xml:space="preserve"> and calming effects</w:t>
      </w:r>
      <w:r w:rsidRPr="00E52B95">
        <w:rPr>
          <w:rFonts w:ascii="Times New Roman" w:eastAsia="Times New Roman" w:hAnsi="Times New Roman" w:cs="Times New Roman"/>
          <w:i/>
          <w:color w:val="000000"/>
          <w:sz w:val="24"/>
          <w:szCs w:val="24"/>
          <w:lang w:eastAsia="en-IN"/>
        </w:rPr>
        <w:t xml:space="preserve"> </w:t>
      </w:r>
      <w:r w:rsidRPr="00E52B95">
        <w:rPr>
          <w:rFonts w:ascii="Times New Roman" w:eastAsia="Times New Roman" w:hAnsi="Times New Roman" w:cs="Times New Roman"/>
          <w:color w:val="000000"/>
          <w:sz w:val="24"/>
          <w:szCs w:val="24"/>
          <w:lang w:eastAsia="en-IN"/>
        </w:rPr>
        <w:t xml:space="preserve">(Singh </w:t>
      </w:r>
      <w:r w:rsidRPr="00E52B95">
        <w:rPr>
          <w:rFonts w:ascii="Times New Roman" w:eastAsia="Times New Roman" w:hAnsi="Times New Roman" w:cs="Times New Roman"/>
          <w:i/>
          <w:color w:val="000000"/>
          <w:sz w:val="24"/>
          <w:szCs w:val="24"/>
          <w:lang w:eastAsia="en-IN"/>
        </w:rPr>
        <w:t>et al</w:t>
      </w:r>
      <w:r w:rsidRPr="00E52B95">
        <w:rPr>
          <w:rFonts w:ascii="Times New Roman" w:eastAsia="Times New Roman" w:hAnsi="Times New Roman" w:cs="Times New Roman"/>
          <w:color w:val="000000"/>
          <w:sz w:val="24"/>
          <w:szCs w:val="24"/>
          <w:lang w:eastAsia="en-IN"/>
        </w:rPr>
        <w:t xml:space="preserve">. 2023).  </w:t>
      </w:r>
      <w:r w:rsidRPr="00E52B95">
        <w:rPr>
          <w:rFonts w:ascii="Times New Roman" w:eastAsia="Times New Roman" w:hAnsi="Times New Roman" w:cs="Times New Roman"/>
          <w:i/>
          <w:iCs/>
          <w:color w:val="000000"/>
          <w:sz w:val="24"/>
          <w:szCs w:val="24"/>
          <w:lang w:eastAsia="en-IN"/>
        </w:rPr>
        <w:t>H. coronarium</w:t>
      </w:r>
      <w:r w:rsidRPr="00E52B95">
        <w:rPr>
          <w:rFonts w:ascii="Times New Roman" w:eastAsia="Times New Roman" w:hAnsi="Times New Roman" w:cs="Times New Roman"/>
          <w:color w:val="000000"/>
          <w:sz w:val="24"/>
          <w:szCs w:val="24"/>
          <w:lang w:eastAsia="en-IN"/>
        </w:rPr>
        <w:t xml:space="preserve">  found in India, Japan, Southeast Asian countries, China and Brazil, is traditionally used as a febrifuge, tonic, anti-rheumatic agent, and for treating asthma, headache, arthritis, bronchiti</w:t>
      </w:r>
      <w:r w:rsidR="004F1ADB">
        <w:rPr>
          <w:rFonts w:ascii="Times New Roman" w:eastAsia="Times New Roman" w:hAnsi="Times New Roman" w:cs="Times New Roman"/>
          <w:color w:val="000000"/>
          <w:sz w:val="24"/>
          <w:szCs w:val="24"/>
          <w:lang w:eastAsia="en-IN"/>
        </w:rPr>
        <w:t>s, blood diseases, eye diseases</w:t>
      </w:r>
      <w:r w:rsidRPr="00E52B95">
        <w:rPr>
          <w:rFonts w:ascii="Times New Roman" w:eastAsia="Times New Roman" w:hAnsi="Times New Roman" w:cs="Times New Roman"/>
          <w:color w:val="000000"/>
          <w:sz w:val="24"/>
          <w:szCs w:val="24"/>
          <w:lang w:eastAsia="en-IN"/>
        </w:rPr>
        <w:t xml:space="preserve"> and gastric issues. In some parts of India, it is used for diabetes, hypertension, and joint pain. </w:t>
      </w:r>
      <w:r w:rsidRPr="00E52B95">
        <w:rPr>
          <w:rFonts w:ascii="Times New Roman" w:eastAsia="Times New Roman" w:hAnsi="Times New Roman" w:cs="Times New Roman"/>
          <w:i/>
          <w:color w:val="000000"/>
          <w:sz w:val="24"/>
          <w:szCs w:val="24"/>
          <w:lang w:eastAsia="en-IN"/>
        </w:rPr>
        <w:t>H. flavescens</w:t>
      </w:r>
      <w:r w:rsidRPr="00E52B95">
        <w:rPr>
          <w:rFonts w:ascii="Times New Roman" w:eastAsia="Times New Roman" w:hAnsi="Times New Roman" w:cs="Times New Roman"/>
          <w:color w:val="000000"/>
          <w:sz w:val="24"/>
          <w:szCs w:val="24"/>
          <w:lang w:eastAsia="en-IN"/>
        </w:rPr>
        <w:t xml:space="preserve"> Recognized for its medicinal potential, though less comprehensively studied than other </w:t>
      </w:r>
      <w:r w:rsidRPr="00E52B95">
        <w:rPr>
          <w:rFonts w:ascii="Times New Roman" w:eastAsia="Times New Roman" w:hAnsi="Times New Roman" w:cs="Times New Roman"/>
          <w:i/>
          <w:iCs/>
          <w:color w:val="000000"/>
          <w:sz w:val="24"/>
          <w:szCs w:val="24"/>
          <w:lang w:eastAsia="en-IN"/>
        </w:rPr>
        <w:t>Hedychium</w:t>
      </w:r>
      <w:r w:rsidRPr="00E52B95">
        <w:rPr>
          <w:rFonts w:ascii="Times New Roman" w:eastAsia="Times New Roman" w:hAnsi="Times New Roman" w:cs="Times New Roman"/>
          <w:color w:val="000000"/>
          <w:sz w:val="24"/>
          <w:szCs w:val="24"/>
          <w:lang w:eastAsia="en-IN"/>
        </w:rPr>
        <w:t xml:space="preserve"> species, it shows traditional uses, including pesticidal applications (Arya </w:t>
      </w:r>
      <w:r w:rsidRPr="00E52B95">
        <w:rPr>
          <w:rFonts w:ascii="Times New Roman" w:eastAsia="Times New Roman" w:hAnsi="Times New Roman" w:cs="Times New Roman"/>
          <w:i/>
          <w:color w:val="000000"/>
          <w:sz w:val="24"/>
          <w:szCs w:val="24"/>
          <w:lang w:eastAsia="en-IN"/>
        </w:rPr>
        <w:t>et al</w:t>
      </w:r>
      <w:r w:rsidRPr="00E52B95">
        <w:rPr>
          <w:rFonts w:ascii="Times New Roman" w:eastAsia="Times New Roman" w:hAnsi="Times New Roman" w:cs="Times New Roman"/>
          <w:color w:val="000000"/>
          <w:sz w:val="24"/>
          <w:szCs w:val="24"/>
          <w:lang w:eastAsia="en-IN"/>
        </w:rPr>
        <w:t>. 2022).</w:t>
      </w:r>
    </w:p>
    <w:p w:rsidR="00E52B95" w:rsidRPr="00E52B95" w:rsidRDefault="00E52B95" w:rsidP="00E52B95">
      <w:pPr>
        <w:spacing w:before="100" w:beforeAutospacing="1" w:after="100" w:afterAutospacing="1" w:line="360" w:lineRule="auto"/>
        <w:jc w:val="both"/>
        <w:rPr>
          <w:rFonts w:ascii="Times New Roman" w:eastAsia="Times New Roman" w:hAnsi="Times New Roman" w:cs="Times New Roman"/>
          <w:b/>
          <w:bCs/>
          <w:i/>
          <w:iCs/>
          <w:color w:val="000000"/>
          <w:sz w:val="24"/>
          <w:szCs w:val="24"/>
          <w:lang w:eastAsia="en-IN"/>
        </w:rPr>
      </w:pPr>
      <w:r w:rsidRPr="00E52B95">
        <w:rPr>
          <w:rFonts w:ascii="Times New Roman" w:eastAsia="Times New Roman" w:hAnsi="Times New Roman" w:cs="Times New Roman"/>
          <w:b/>
          <w:bCs/>
          <w:iCs/>
          <w:color w:val="000000"/>
          <w:sz w:val="24"/>
          <w:szCs w:val="24"/>
          <w:lang w:eastAsia="en-IN"/>
        </w:rPr>
        <w:t>5.8</w:t>
      </w:r>
      <w:r w:rsidRPr="00E52B95">
        <w:rPr>
          <w:rFonts w:ascii="Times New Roman" w:eastAsia="Times New Roman" w:hAnsi="Times New Roman" w:cs="Times New Roman"/>
          <w:b/>
          <w:bCs/>
          <w:i/>
          <w:iCs/>
          <w:color w:val="000000"/>
          <w:sz w:val="24"/>
          <w:szCs w:val="24"/>
          <w:lang w:eastAsia="en-IN"/>
        </w:rPr>
        <w:t xml:space="preserve"> Genus Amomum  </w:t>
      </w:r>
    </w:p>
    <w:p w:rsidR="00E52B95" w:rsidRPr="00E52B95" w:rsidRDefault="00E52B95" w:rsidP="00E52B95">
      <w:pPr>
        <w:spacing w:after="0" w:line="360" w:lineRule="auto"/>
        <w:jc w:val="both"/>
        <w:rPr>
          <w:rFonts w:ascii="Times New Roman" w:eastAsia="Times New Roman" w:hAnsi="Times New Roman" w:cs="Times New Roman"/>
          <w:color w:val="000000"/>
          <w:sz w:val="24"/>
          <w:szCs w:val="24"/>
          <w:lang w:eastAsia="en-IN" w:bidi="ar-SA"/>
        </w:rPr>
      </w:pPr>
      <w:r w:rsidRPr="00E52B95">
        <w:rPr>
          <w:rFonts w:ascii="Times New Roman" w:eastAsia="Times New Roman" w:hAnsi="Times New Roman" w:cs="Times New Roman"/>
          <w:color w:val="000000"/>
          <w:sz w:val="24"/>
          <w:szCs w:val="24"/>
          <w:lang w:eastAsia="en-IN" w:bidi="ar-SA"/>
        </w:rPr>
        <w:t xml:space="preserve">Various medicinal uses of some species of the genus </w:t>
      </w:r>
      <w:r w:rsidRPr="00E52B95">
        <w:rPr>
          <w:rFonts w:ascii="Times New Roman" w:eastAsia="Times New Roman" w:hAnsi="Times New Roman" w:cs="Times New Roman"/>
          <w:i/>
          <w:iCs/>
          <w:color w:val="000000"/>
          <w:sz w:val="24"/>
          <w:szCs w:val="24"/>
          <w:lang w:eastAsia="en-IN" w:bidi="ar-SA"/>
        </w:rPr>
        <w:t>Amomum</w:t>
      </w:r>
      <w:r w:rsidRPr="00E52B95">
        <w:rPr>
          <w:rFonts w:ascii="Times New Roman" w:eastAsia="Times New Roman" w:hAnsi="Times New Roman" w:cs="Times New Roman"/>
          <w:color w:val="000000"/>
          <w:sz w:val="24"/>
          <w:szCs w:val="24"/>
          <w:lang w:eastAsia="en-IN" w:bidi="ar-SA"/>
        </w:rPr>
        <w:t xml:space="preserve"> have helped led in the widespread application of this genus in traditional Asian medicine. In Indonesia, </w:t>
      </w:r>
      <w:r w:rsidRPr="00E52B95">
        <w:rPr>
          <w:rFonts w:ascii="Times New Roman" w:eastAsia="Times New Roman" w:hAnsi="Times New Roman" w:cs="Times New Roman"/>
          <w:i/>
          <w:iCs/>
          <w:color w:val="000000"/>
          <w:sz w:val="24"/>
          <w:szCs w:val="24"/>
          <w:lang w:eastAsia="en-IN" w:bidi="ar-SA"/>
        </w:rPr>
        <w:t>Amomum cardamomum</w:t>
      </w:r>
      <w:r w:rsidRPr="00E52B95">
        <w:rPr>
          <w:rFonts w:ascii="Times New Roman" w:eastAsia="Times New Roman" w:hAnsi="Times New Roman" w:cs="Times New Roman"/>
          <w:color w:val="000000"/>
          <w:sz w:val="24"/>
          <w:szCs w:val="24"/>
          <w:lang w:eastAsia="en-IN" w:bidi="ar-SA"/>
        </w:rPr>
        <w:t xml:space="preserve"> is extensively used as a remedy for conditions like kidney illness, TB, gallstones and infections of the mouth and throat in Indonesia. Similarly, </w:t>
      </w:r>
      <w:r w:rsidRPr="00E52B95">
        <w:rPr>
          <w:rFonts w:ascii="Times New Roman" w:eastAsia="Times New Roman" w:hAnsi="Times New Roman" w:cs="Times New Roman"/>
          <w:i/>
          <w:iCs/>
          <w:color w:val="000000"/>
          <w:sz w:val="24"/>
          <w:szCs w:val="24"/>
          <w:lang w:eastAsia="en-IN" w:bidi="ar-SA"/>
        </w:rPr>
        <w:t>A. compactum</w:t>
      </w:r>
      <w:r w:rsidRPr="00E52B95">
        <w:rPr>
          <w:rFonts w:ascii="Times New Roman" w:eastAsia="Times New Roman" w:hAnsi="Times New Roman" w:cs="Times New Roman"/>
          <w:color w:val="000000"/>
          <w:sz w:val="24"/>
          <w:szCs w:val="24"/>
          <w:lang w:eastAsia="en-IN" w:bidi="ar-SA"/>
        </w:rPr>
        <w:t xml:space="preserve"> is used in aromatherapy, functional beverages and traditional Chinese oncology. The volatile oil extracted from its seeds is also used to cure a number of gastrointestinal, cardiovascular and neurological disorders. </w:t>
      </w:r>
      <w:r w:rsidRPr="00E52B95">
        <w:rPr>
          <w:rFonts w:ascii="Times New Roman" w:eastAsia="Times New Roman" w:hAnsi="Times New Roman" w:cs="Times New Roman"/>
          <w:i/>
          <w:iCs/>
          <w:color w:val="000000"/>
          <w:sz w:val="24"/>
          <w:szCs w:val="24"/>
          <w:lang w:eastAsia="en-IN" w:bidi="ar-SA"/>
        </w:rPr>
        <w:t>A. repoense,</w:t>
      </w:r>
      <w:r w:rsidRPr="00E52B95">
        <w:rPr>
          <w:rFonts w:ascii="Times New Roman" w:eastAsia="Times New Roman" w:hAnsi="Times New Roman" w:cs="Times New Roman"/>
          <w:color w:val="000000"/>
          <w:sz w:val="24"/>
          <w:szCs w:val="24"/>
          <w:lang w:eastAsia="en-IN" w:bidi="ar-SA"/>
        </w:rPr>
        <w:t xml:space="preserve"> a Vietnamese treatment for pain and hunger stimulation and </w:t>
      </w:r>
      <w:r w:rsidRPr="00E52B95">
        <w:rPr>
          <w:rFonts w:ascii="Times New Roman" w:eastAsia="Times New Roman" w:hAnsi="Times New Roman" w:cs="Times New Roman"/>
          <w:i/>
          <w:iCs/>
          <w:color w:val="000000"/>
          <w:sz w:val="24"/>
          <w:szCs w:val="24"/>
          <w:lang w:eastAsia="en-IN" w:bidi="ar-SA"/>
        </w:rPr>
        <w:t xml:space="preserve">A. kravanh, </w:t>
      </w:r>
      <w:r w:rsidRPr="00E52B95">
        <w:rPr>
          <w:rFonts w:ascii="Times New Roman" w:eastAsia="Times New Roman" w:hAnsi="Times New Roman" w:cs="Times New Roman"/>
          <w:color w:val="000000"/>
          <w:sz w:val="24"/>
          <w:szCs w:val="24"/>
          <w:lang w:eastAsia="en-IN" w:bidi="ar-SA"/>
        </w:rPr>
        <w:t xml:space="preserve">a common Southeast Asian remedy for stomach and digestive diseases, are examples of other species. </w:t>
      </w:r>
      <w:r w:rsidRPr="00E52B95">
        <w:rPr>
          <w:rFonts w:ascii="Times New Roman" w:eastAsia="Times New Roman" w:hAnsi="Times New Roman" w:cs="Times New Roman"/>
          <w:i/>
          <w:iCs/>
          <w:color w:val="000000"/>
          <w:sz w:val="24"/>
          <w:szCs w:val="24"/>
          <w:lang w:eastAsia="en-IN" w:bidi="ar-SA"/>
        </w:rPr>
        <w:t>A.</w:t>
      </w:r>
      <w:r w:rsidRPr="00E52B95">
        <w:rPr>
          <w:rFonts w:ascii="Times New Roman" w:eastAsia="Times New Roman" w:hAnsi="Times New Roman" w:cs="Times New Roman"/>
          <w:color w:val="000000"/>
          <w:sz w:val="24"/>
          <w:szCs w:val="24"/>
          <w:lang w:eastAsia="en-IN" w:bidi="ar-SA"/>
        </w:rPr>
        <w:t xml:space="preserve"> </w:t>
      </w:r>
      <w:r w:rsidRPr="00E52B95">
        <w:rPr>
          <w:rFonts w:ascii="Times New Roman" w:eastAsia="Times New Roman" w:hAnsi="Times New Roman" w:cs="Times New Roman"/>
          <w:i/>
          <w:iCs/>
          <w:color w:val="000000"/>
          <w:sz w:val="24"/>
          <w:szCs w:val="24"/>
          <w:lang w:eastAsia="en-IN" w:bidi="ar-SA"/>
        </w:rPr>
        <w:t xml:space="preserve">tsao-ko </w:t>
      </w:r>
      <w:r w:rsidRPr="00E52B95">
        <w:rPr>
          <w:rFonts w:ascii="Times New Roman" w:eastAsia="Times New Roman" w:hAnsi="Times New Roman" w:cs="Times New Roman"/>
          <w:color w:val="000000"/>
          <w:sz w:val="24"/>
          <w:szCs w:val="24"/>
          <w:lang w:eastAsia="en-IN" w:bidi="ar-SA"/>
        </w:rPr>
        <w:t xml:space="preserve">has also long been used in China and Korea to treat diarrhea, malaria, inflammatory diseases and stomachaches (Dinata </w:t>
      </w:r>
      <w:r w:rsidRPr="00E52B95">
        <w:rPr>
          <w:rFonts w:ascii="Times New Roman" w:eastAsia="Times New Roman" w:hAnsi="Times New Roman" w:cs="Times New Roman"/>
          <w:i/>
          <w:color w:val="000000"/>
          <w:sz w:val="24"/>
          <w:szCs w:val="24"/>
          <w:lang w:eastAsia="en-IN" w:bidi="ar-SA"/>
        </w:rPr>
        <w:t>et al</w:t>
      </w:r>
      <w:r w:rsidRPr="00E52B95">
        <w:rPr>
          <w:rFonts w:ascii="Times New Roman" w:eastAsia="Times New Roman" w:hAnsi="Times New Roman" w:cs="Times New Roman"/>
          <w:color w:val="000000"/>
          <w:sz w:val="24"/>
          <w:szCs w:val="24"/>
          <w:lang w:eastAsia="en-IN" w:bidi="ar-SA"/>
        </w:rPr>
        <w:t>., 2024).</w:t>
      </w:r>
    </w:p>
    <w:p w:rsidR="00E52B95" w:rsidRPr="00E52B95" w:rsidRDefault="00E52B95" w:rsidP="00E52B95">
      <w:pPr>
        <w:spacing w:before="100" w:beforeAutospacing="1" w:after="100" w:afterAutospacing="1" w:line="360" w:lineRule="auto"/>
        <w:jc w:val="both"/>
        <w:rPr>
          <w:rFonts w:ascii="Times New Roman" w:eastAsia="Times New Roman" w:hAnsi="Times New Roman" w:cs="Times New Roman"/>
          <w:b/>
          <w:bCs/>
          <w:i/>
          <w:color w:val="000000"/>
          <w:sz w:val="24"/>
          <w:szCs w:val="24"/>
          <w:lang w:eastAsia="en-IN"/>
        </w:rPr>
      </w:pPr>
      <w:r w:rsidRPr="00E52B95">
        <w:rPr>
          <w:rFonts w:ascii="Times New Roman" w:eastAsia="Times New Roman" w:hAnsi="Times New Roman" w:cs="Times New Roman"/>
          <w:b/>
          <w:bCs/>
          <w:color w:val="000000"/>
          <w:sz w:val="24"/>
          <w:szCs w:val="24"/>
          <w:lang w:eastAsia="en-IN"/>
        </w:rPr>
        <w:t xml:space="preserve">6. Pharmacological properties of family </w:t>
      </w:r>
      <w:r w:rsidRPr="00E52B95">
        <w:rPr>
          <w:rFonts w:ascii="Times New Roman" w:eastAsia="Times New Roman" w:hAnsi="Times New Roman" w:cs="Times New Roman"/>
          <w:b/>
          <w:bCs/>
          <w:i/>
          <w:color w:val="000000"/>
          <w:sz w:val="24"/>
          <w:szCs w:val="24"/>
          <w:lang w:eastAsia="en-IN"/>
        </w:rPr>
        <w:t xml:space="preserve">Zingiberaceae </w:t>
      </w:r>
    </w:p>
    <w:p w:rsidR="00E52B95" w:rsidRPr="00E52B95" w:rsidRDefault="00E52B95" w:rsidP="00E52B95">
      <w:pPr>
        <w:pStyle w:val="NormalWeb"/>
        <w:spacing w:line="360" w:lineRule="auto"/>
        <w:jc w:val="both"/>
        <w:rPr>
          <w:b/>
          <w:bCs/>
          <w:i/>
          <w:iCs/>
          <w:color w:val="000000"/>
        </w:rPr>
      </w:pPr>
      <w:r w:rsidRPr="00E52B95">
        <w:rPr>
          <w:b/>
          <w:bCs/>
          <w:i/>
          <w:iCs/>
          <w:color w:val="000000"/>
        </w:rPr>
        <w:t xml:space="preserve">6.1 Anti-inflammatory activity </w:t>
      </w:r>
    </w:p>
    <w:p w:rsidR="00E52B95" w:rsidRPr="00E52B95" w:rsidRDefault="00E52B95" w:rsidP="00E52B95">
      <w:pPr>
        <w:pStyle w:val="NormalWeb"/>
        <w:spacing w:line="360" w:lineRule="auto"/>
        <w:jc w:val="both"/>
        <w:rPr>
          <w:b/>
          <w:bCs/>
          <w:i/>
          <w:iCs/>
          <w:color w:val="000000"/>
        </w:rPr>
      </w:pPr>
      <w:r w:rsidRPr="00E52B95">
        <w:rPr>
          <w:b/>
          <w:bCs/>
          <w:i/>
          <w:iCs/>
          <w:color w:val="000000"/>
        </w:rPr>
        <w:t xml:space="preserve">6.1.1. Genus Zingiber  </w:t>
      </w:r>
    </w:p>
    <w:p w:rsidR="00E52B95" w:rsidRPr="00E52B95" w:rsidRDefault="004F1ADB" w:rsidP="00E52B95">
      <w:pPr>
        <w:pStyle w:val="NormalWeb"/>
        <w:spacing w:line="360" w:lineRule="auto"/>
        <w:jc w:val="both"/>
        <w:rPr>
          <w:color w:val="000000"/>
          <w:shd w:val="clear" w:color="auto" w:fill="FFFFFF"/>
        </w:rPr>
      </w:pPr>
      <w:r>
        <w:rPr>
          <w:bCs/>
          <w:i/>
          <w:iCs/>
          <w:color w:val="000000"/>
        </w:rPr>
        <w:t xml:space="preserve">Zingiber </w:t>
      </w:r>
      <w:r w:rsidR="00E52B95" w:rsidRPr="00E52B95">
        <w:rPr>
          <w:bCs/>
          <w:color w:val="000000"/>
        </w:rPr>
        <w:t>plants</w:t>
      </w:r>
      <w:r w:rsidR="00E52B95" w:rsidRPr="00E52B95">
        <w:rPr>
          <w:color w:val="000000"/>
        </w:rPr>
        <w:t xml:space="preserve"> maintain significant </w:t>
      </w:r>
      <w:r w:rsidR="00E52B95" w:rsidRPr="00E52B95">
        <w:rPr>
          <w:bCs/>
          <w:color w:val="000000"/>
        </w:rPr>
        <w:t>anti-inflammatory properties</w:t>
      </w:r>
      <w:r w:rsidR="00E52B95" w:rsidRPr="00E52B95">
        <w:rPr>
          <w:color w:val="000000"/>
        </w:rPr>
        <w:t xml:space="preserve">, as evidenced by the inhibition of inflammatory pathways (NF-κB, MAPK, and PI3K-Akt) and pro-inflammatory mediators by </w:t>
      </w:r>
      <w:r w:rsidR="00E52B95" w:rsidRPr="00E52B95">
        <w:rPr>
          <w:i/>
          <w:iCs/>
          <w:color w:val="000000"/>
        </w:rPr>
        <w:t>Z. zerumbet</w:t>
      </w:r>
      <w:r w:rsidR="00E52B95" w:rsidRPr="00E52B95">
        <w:rPr>
          <w:color w:val="000000"/>
        </w:rPr>
        <w:t xml:space="preserve"> extracts. </w:t>
      </w:r>
      <w:r w:rsidR="00E52B95" w:rsidRPr="00E52B95">
        <w:rPr>
          <w:bCs/>
          <w:i/>
          <w:iCs/>
          <w:color w:val="000000"/>
        </w:rPr>
        <w:t>Z. officinale</w:t>
      </w:r>
      <w:r w:rsidR="00E52B95" w:rsidRPr="00E52B95">
        <w:rPr>
          <w:color w:val="000000"/>
        </w:rPr>
        <w:t xml:space="preserve"> essential oil and its components, particularly </w:t>
      </w:r>
      <w:r w:rsidR="00E52B95" w:rsidRPr="00E52B95">
        <w:rPr>
          <w:bCs/>
          <w:color w:val="000000"/>
        </w:rPr>
        <w:t>gingerols and shogaols</w:t>
      </w:r>
      <w:r w:rsidR="00E52B95" w:rsidRPr="00E52B95">
        <w:rPr>
          <w:color w:val="000000"/>
        </w:rPr>
        <w:t xml:space="preserve">, effectively prevent chronic joint inflammation. Specific metabolites like </w:t>
      </w:r>
      <w:r w:rsidR="00E52B95" w:rsidRPr="00E52B95">
        <w:rPr>
          <w:bCs/>
          <w:color w:val="000000"/>
        </w:rPr>
        <w:t>zerumbone</w:t>
      </w:r>
      <w:r w:rsidR="00E52B95" w:rsidRPr="00E52B95">
        <w:rPr>
          <w:color w:val="000000"/>
        </w:rPr>
        <w:t xml:space="preserve"> reduce acute lung injury by inhibiting Akt-NFκB activation. Furthermore, </w:t>
      </w:r>
      <w:r w:rsidR="00E52B95" w:rsidRPr="00E52B95">
        <w:rPr>
          <w:bCs/>
          <w:color w:val="000000"/>
        </w:rPr>
        <w:t>6-shogaol, 6-dehydrogingerdione, 10-gingerol and 8-shogaol</w:t>
      </w:r>
      <w:r w:rsidR="00E52B95" w:rsidRPr="00E52B95">
        <w:rPr>
          <w:color w:val="000000"/>
        </w:rPr>
        <w:t xml:space="preserve"> actively inhibit the binding of cell adhesion molecules (sICAM-1) to THP-1 cells, a key step in inflammation.</w:t>
      </w:r>
      <w:r w:rsidR="00E52B95" w:rsidRPr="00E52B95">
        <w:rPr>
          <w:bCs/>
          <w:color w:val="000000"/>
        </w:rPr>
        <w:t>10-gingerol</w:t>
      </w:r>
      <w:r w:rsidR="00E52B95" w:rsidRPr="00E52B95">
        <w:rPr>
          <w:color w:val="000000"/>
        </w:rPr>
        <w:t xml:space="preserve"> from </w:t>
      </w:r>
      <w:r w:rsidR="00E52B95" w:rsidRPr="00E52B95">
        <w:rPr>
          <w:i/>
          <w:iCs/>
          <w:color w:val="000000"/>
        </w:rPr>
        <w:t>Z. officinale</w:t>
      </w:r>
      <w:r w:rsidR="00E52B95" w:rsidRPr="00E52B95">
        <w:rPr>
          <w:color w:val="000000"/>
        </w:rPr>
        <w:t xml:space="preserve"> also demonstrates potent </w:t>
      </w:r>
      <w:r w:rsidR="00E52B95" w:rsidRPr="00E52B95">
        <w:rPr>
          <w:bCs/>
          <w:color w:val="000000"/>
        </w:rPr>
        <w:t>anti-neuroinflammatory effects</w:t>
      </w:r>
      <w:r w:rsidR="00E52B95" w:rsidRPr="00E52B95">
        <w:rPr>
          <w:color w:val="000000"/>
        </w:rPr>
        <w:t xml:space="preserve"> by blocking NF-κB </w:t>
      </w:r>
      <w:r w:rsidR="00E52B95" w:rsidRPr="00E52B95">
        <w:rPr>
          <w:color w:val="000000"/>
        </w:rPr>
        <w:lastRenderedPageBreak/>
        <w:t>activation and consequently reducing levels of NO, IL-1β, IL-6, and TNF-α (</w:t>
      </w:r>
      <w:r w:rsidR="00E52B95" w:rsidRPr="00E52B95">
        <w:rPr>
          <w:color w:val="000000"/>
          <w:shd w:val="clear" w:color="auto" w:fill="FFFFFF"/>
        </w:rPr>
        <w:t xml:space="preserve">Ho </w:t>
      </w:r>
      <w:r w:rsidR="00E52B95" w:rsidRPr="00E52B95">
        <w:rPr>
          <w:i/>
          <w:color w:val="000000"/>
          <w:shd w:val="clear" w:color="auto" w:fill="FFFFFF"/>
        </w:rPr>
        <w:t>et al</w:t>
      </w:r>
      <w:r w:rsidR="00E52B95" w:rsidRPr="00E52B95">
        <w:rPr>
          <w:color w:val="000000"/>
          <w:shd w:val="clear" w:color="auto" w:fill="FFFFFF"/>
        </w:rPr>
        <w:t xml:space="preserve">.,2017; Ho </w:t>
      </w:r>
      <w:r w:rsidR="00E52B95" w:rsidRPr="00E52B95">
        <w:rPr>
          <w:i/>
          <w:color w:val="000000"/>
          <w:shd w:val="clear" w:color="auto" w:fill="FFFFFF"/>
        </w:rPr>
        <w:t>et al</w:t>
      </w:r>
      <w:r w:rsidR="00E52B95" w:rsidRPr="00E52B95">
        <w:rPr>
          <w:color w:val="000000"/>
          <w:shd w:val="clear" w:color="auto" w:fill="FFFFFF"/>
        </w:rPr>
        <w:t>.,2013)</w:t>
      </w:r>
      <w:r>
        <w:rPr>
          <w:color w:val="000000"/>
          <w:shd w:val="clear" w:color="auto" w:fill="FFFFFF"/>
        </w:rPr>
        <w:t>.</w:t>
      </w:r>
    </w:p>
    <w:p w:rsidR="00E52B95" w:rsidRPr="00E52B95" w:rsidRDefault="00E52B95" w:rsidP="00E52B95">
      <w:pPr>
        <w:pStyle w:val="NormalWeb"/>
        <w:spacing w:line="360" w:lineRule="auto"/>
        <w:jc w:val="both"/>
        <w:rPr>
          <w:b/>
          <w:i/>
          <w:color w:val="000000"/>
          <w:shd w:val="clear" w:color="auto" w:fill="FFFFFF"/>
        </w:rPr>
      </w:pPr>
      <w:r w:rsidRPr="00E52B95">
        <w:rPr>
          <w:b/>
          <w:i/>
          <w:color w:val="000000"/>
          <w:shd w:val="clear" w:color="auto" w:fill="FFFFFF"/>
        </w:rPr>
        <w:t xml:space="preserve">6.1.2. Genus Curcuma </w:t>
      </w:r>
    </w:p>
    <w:p w:rsidR="00E52B95" w:rsidRPr="00E52B95" w:rsidRDefault="00E52B95" w:rsidP="00E52B95">
      <w:pPr>
        <w:pStyle w:val="NormalWeb"/>
        <w:spacing w:line="360" w:lineRule="auto"/>
        <w:jc w:val="both"/>
        <w:rPr>
          <w:color w:val="000000"/>
          <w:shd w:val="clear" w:color="auto" w:fill="FFFFFF"/>
        </w:rPr>
      </w:pPr>
      <w:r w:rsidRPr="00E52B95">
        <w:rPr>
          <w:i/>
          <w:color w:val="000000"/>
        </w:rPr>
        <w:t>Curcuma</w:t>
      </w:r>
      <w:r w:rsidRPr="00E52B95">
        <w:rPr>
          <w:color w:val="000000"/>
        </w:rPr>
        <w:t xml:space="preserve"> species, particularly </w:t>
      </w:r>
      <w:r w:rsidRPr="00E52B95">
        <w:rPr>
          <w:i/>
          <w:iCs/>
          <w:color w:val="000000"/>
        </w:rPr>
        <w:t>C. longa</w:t>
      </w:r>
      <w:r w:rsidRPr="00E52B95">
        <w:rPr>
          <w:color w:val="000000"/>
        </w:rPr>
        <w:t xml:space="preserve"> and its major constituent curcumin, are well-documented for their anti-inflammatory activities in preclinical and clinical studies. </w:t>
      </w:r>
      <w:r w:rsidRPr="00E52B95">
        <w:rPr>
          <w:rStyle w:val="citation-29"/>
          <w:color w:val="000000"/>
        </w:rPr>
        <w:t>Curcumin at 50 mg/kg significantly improved colitis symptoms in rats by amending colonic architecture, reducing lipid peroxidation and neutrophil penetration, and suppressing NF-κB activation, NO, and O2 radical levels</w:t>
      </w:r>
      <w:r w:rsidRPr="00E52B95">
        <w:rPr>
          <w:color w:val="000000"/>
        </w:rPr>
        <w:t xml:space="preserve">. </w:t>
      </w:r>
      <w:r w:rsidRPr="00E52B95">
        <w:rPr>
          <w:rStyle w:val="citation-28"/>
          <w:color w:val="000000"/>
        </w:rPr>
        <w:t>Clinically, 400 mg curcumin administered thrice daily for six days significantly reduced spermatic cord edema severity after inguinal hernia or hydrocele operations, performing comparably to phenylbutazone and superiorly in decreasing all four inflammation parameters</w:t>
      </w:r>
      <w:r w:rsidRPr="00E52B95">
        <w:rPr>
          <w:color w:val="000000"/>
        </w:rPr>
        <w:t xml:space="preserve">. </w:t>
      </w:r>
      <w:r w:rsidRPr="00E52B95">
        <w:rPr>
          <w:rStyle w:val="citation-27"/>
          <w:color w:val="000000"/>
        </w:rPr>
        <w:t xml:space="preserve">Xanthorrhizol from </w:t>
      </w:r>
      <w:r w:rsidRPr="00E52B95">
        <w:rPr>
          <w:rStyle w:val="citation-27"/>
          <w:i/>
          <w:iCs/>
          <w:color w:val="000000"/>
        </w:rPr>
        <w:t>C. xanthorrhiza</w:t>
      </w:r>
      <w:r w:rsidRPr="00E52B95">
        <w:rPr>
          <w:rStyle w:val="citation-27"/>
          <w:color w:val="000000"/>
        </w:rPr>
        <w:t xml:space="preserve"> (10-25 mg/kg/day) effectively inhibited inflammatory cytokines like TNF-α, IL-1β, and IL-6 in obese mice</w:t>
      </w:r>
      <w:r w:rsidRPr="00E52B95">
        <w:rPr>
          <w:color w:val="000000"/>
        </w:rPr>
        <w:t xml:space="preserve">. </w:t>
      </w:r>
      <w:r w:rsidRPr="00E52B95">
        <w:rPr>
          <w:rStyle w:val="citation-25"/>
          <w:color w:val="000000"/>
        </w:rPr>
        <w:t>Despite its potent effects, curcumin suffers from poor bioavailability due to poor absorption, rapid metabolism, chemical instability, and quick elimination</w:t>
      </w:r>
      <w:r w:rsidRPr="00E52B95">
        <w:rPr>
          <w:color w:val="000000"/>
        </w:rPr>
        <w:t xml:space="preserve">. </w:t>
      </w:r>
      <w:r w:rsidRPr="00E52B95">
        <w:rPr>
          <w:rStyle w:val="citation-24"/>
          <w:color w:val="000000"/>
        </w:rPr>
        <w:t>However, it is safe in humans even at 12 g/day,</w:t>
      </w:r>
      <w:r w:rsidRPr="00E52B95">
        <w:rPr>
          <w:rStyle w:val="citation-23"/>
          <w:color w:val="000000"/>
        </w:rPr>
        <w:t xml:space="preserve"> and its bioavailability can be enhanced through combinations with other compounds, liposomal technology, nanoparticles, p</w:t>
      </w:r>
      <w:r w:rsidR="004F1ADB">
        <w:rPr>
          <w:rStyle w:val="citation-23"/>
          <w:color w:val="000000"/>
        </w:rPr>
        <w:t>hospholipid complexes, micelles</w:t>
      </w:r>
      <w:r w:rsidRPr="00E52B95">
        <w:rPr>
          <w:rStyle w:val="citation-23"/>
          <w:color w:val="000000"/>
        </w:rPr>
        <w:t xml:space="preserve"> and exosomes (</w:t>
      </w:r>
      <w:r w:rsidR="004F1ADB">
        <w:rPr>
          <w:color w:val="000000"/>
          <w:shd w:val="clear" w:color="auto" w:fill="FFFFFF"/>
        </w:rPr>
        <w:t xml:space="preserve">Lopresti., </w:t>
      </w:r>
      <w:r w:rsidRPr="00E52B95">
        <w:rPr>
          <w:color w:val="000000"/>
          <w:shd w:val="clear" w:color="auto" w:fill="FFFFFF"/>
        </w:rPr>
        <w:t xml:space="preserve">2018; Kunnumakkara </w:t>
      </w:r>
      <w:r w:rsidRPr="00E52B95">
        <w:rPr>
          <w:i/>
          <w:color w:val="000000"/>
          <w:shd w:val="clear" w:color="auto" w:fill="FFFFFF"/>
        </w:rPr>
        <w:t>et al</w:t>
      </w:r>
      <w:r w:rsidRPr="00E52B95">
        <w:rPr>
          <w:color w:val="000000"/>
          <w:shd w:val="clear" w:color="auto" w:fill="FFFFFF"/>
        </w:rPr>
        <w:t>., 2019).</w:t>
      </w:r>
    </w:p>
    <w:p w:rsidR="00E52B95" w:rsidRPr="00E52B95" w:rsidRDefault="00E52B95" w:rsidP="00E52B95">
      <w:pPr>
        <w:pStyle w:val="NormalWeb"/>
        <w:spacing w:line="360" w:lineRule="auto"/>
        <w:jc w:val="both"/>
        <w:rPr>
          <w:b/>
          <w:i/>
          <w:color w:val="000000"/>
          <w:shd w:val="clear" w:color="auto" w:fill="FFFFFF"/>
        </w:rPr>
      </w:pPr>
      <w:r w:rsidRPr="00E52B95">
        <w:rPr>
          <w:b/>
          <w:i/>
          <w:color w:val="000000"/>
          <w:shd w:val="clear" w:color="auto" w:fill="FFFFFF"/>
        </w:rPr>
        <w:t>6.1.3. Genus Alpinia</w:t>
      </w:r>
    </w:p>
    <w:p w:rsidR="00E52B95" w:rsidRPr="00E52B95" w:rsidRDefault="00E52B95" w:rsidP="00E52B95">
      <w:pPr>
        <w:spacing w:line="360" w:lineRule="auto"/>
        <w:jc w:val="both"/>
        <w:rPr>
          <w:rFonts w:ascii="Times New Roman" w:hAnsi="Times New Roman" w:cs="Times New Roman"/>
          <w:color w:val="000000"/>
          <w:sz w:val="24"/>
          <w:szCs w:val="24"/>
          <w:shd w:val="clear" w:color="auto" w:fill="FFFFFF"/>
        </w:rPr>
      </w:pPr>
      <w:r w:rsidRPr="00E52B95">
        <w:rPr>
          <w:rFonts w:ascii="Times New Roman" w:eastAsia="Times New Roman" w:hAnsi="Times New Roman" w:cs="Times New Roman"/>
          <w:color w:val="000000"/>
          <w:sz w:val="24"/>
          <w:szCs w:val="24"/>
          <w:lang w:eastAsia="en-IN"/>
        </w:rPr>
        <w:t xml:space="preserve">The </w:t>
      </w:r>
      <w:r w:rsidRPr="00E52B95">
        <w:rPr>
          <w:rFonts w:ascii="Times New Roman" w:eastAsia="Times New Roman" w:hAnsi="Times New Roman" w:cs="Times New Roman"/>
          <w:i/>
          <w:color w:val="000000"/>
          <w:sz w:val="24"/>
          <w:szCs w:val="24"/>
          <w:lang w:eastAsia="en-IN"/>
        </w:rPr>
        <w:t>genus Alpinia</w:t>
      </w:r>
      <w:r w:rsidR="004F1ADB">
        <w:rPr>
          <w:rFonts w:ascii="Times New Roman" w:eastAsia="Times New Roman" w:hAnsi="Times New Roman" w:cs="Times New Roman"/>
          <w:i/>
          <w:color w:val="000000"/>
          <w:sz w:val="24"/>
          <w:szCs w:val="24"/>
          <w:lang w:eastAsia="en-IN"/>
        </w:rPr>
        <w:t xml:space="preserve"> </w:t>
      </w:r>
      <w:r w:rsidRPr="00E52B95">
        <w:rPr>
          <w:rFonts w:ascii="Times New Roman" w:eastAsia="Times New Roman" w:hAnsi="Times New Roman" w:cs="Times New Roman"/>
          <w:color w:val="000000"/>
          <w:sz w:val="24"/>
          <w:szCs w:val="24"/>
          <w:lang w:eastAsia="en-IN"/>
        </w:rPr>
        <w:t xml:space="preserve">contains about 248 species, but the ones that are most commonly studied for their anti-inflammatory qualities are </w:t>
      </w:r>
      <w:r w:rsidRPr="00E52B95">
        <w:rPr>
          <w:rFonts w:ascii="Times New Roman" w:eastAsia="Times New Roman" w:hAnsi="Times New Roman" w:cs="Times New Roman"/>
          <w:i/>
          <w:color w:val="000000"/>
          <w:sz w:val="24"/>
          <w:szCs w:val="24"/>
          <w:lang w:eastAsia="en-IN"/>
        </w:rPr>
        <w:t>A. galan</w:t>
      </w:r>
      <w:r w:rsidR="004F1ADB">
        <w:rPr>
          <w:rFonts w:ascii="Times New Roman" w:eastAsia="Times New Roman" w:hAnsi="Times New Roman" w:cs="Times New Roman"/>
          <w:i/>
          <w:color w:val="000000"/>
          <w:sz w:val="24"/>
          <w:szCs w:val="24"/>
          <w:lang w:eastAsia="en-IN"/>
        </w:rPr>
        <w:t>ga, A. officinarum, A. zerumbet</w:t>
      </w:r>
      <w:r w:rsidRPr="00E52B95">
        <w:rPr>
          <w:rFonts w:ascii="Times New Roman" w:eastAsia="Times New Roman" w:hAnsi="Times New Roman" w:cs="Times New Roman"/>
          <w:i/>
          <w:color w:val="000000"/>
          <w:sz w:val="24"/>
          <w:szCs w:val="24"/>
          <w:lang w:eastAsia="en-IN"/>
        </w:rPr>
        <w:t xml:space="preserve"> and A. oxyphylla. Only A. galanga, A. officinarum</w:t>
      </w:r>
      <w:r w:rsidRPr="00E52B95">
        <w:rPr>
          <w:rFonts w:ascii="Times New Roman" w:eastAsia="Times New Roman" w:hAnsi="Times New Roman" w:cs="Times New Roman"/>
          <w:color w:val="000000"/>
          <w:sz w:val="24"/>
          <w:szCs w:val="24"/>
          <w:lang w:eastAsia="en-IN"/>
        </w:rPr>
        <w:t xml:space="preserve">, and </w:t>
      </w:r>
      <w:r w:rsidRPr="00E52B95">
        <w:rPr>
          <w:rFonts w:ascii="Times New Roman" w:eastAsia="Times New Roman" w:hAnsi="Times New Roman" w:cs="Times New Roman"/>
          <w:i/>
          <w:color w:val="000000"/>
          <w:sz w:val="24"/>
          <w:szCs w:val="24"/>
          <w:lang w:eastAsia="en-IN"/>
        </w:rPr>
        <w:t>A. zerumbet</w:t>
      </w:r>
      <w:r w:rsidRPr="00E52B95">
        <w:rPr>
          <w:rFonts w:ascii="Times New Roman" w:eastAsia="Times New Roman" w:hAnsi="Times New Roman" w:cs="Times New Roman"/>
          <w:color w:val="000000"/>
          <w:sz w:val="24"/>
          <w:szCs w:val="24"/>
          <w:lang w:eastAsia="en-IN"/>
        </w:rPr>
        <w:t xml:space="preserve"> have been studied in humans. Studies in animal models showed that the plants acted as exogenous antioxidants, boosted stomach acid and gastrointestinal motility, inhibited proinflammatory enzymes, reduced proinflammatory cytokines and promoted ulcer healing. Terpenoids, flavonoids (such as kaempferol, quercetin, and galangin) and diarylheptanoids are found in the rhizomes of these plants, and they may be crucial to their anti-inflammatory qualities. Several normal cell lines (RAW 264.7, IEC-6, HepG2, MT-4, NIH-3T3, Vero cells, human peripheral blood mononuclear cells, and HaCaT) were not affected by these plants, but they were toxic to cancer cell lines (HT29). Researchers investigated   </w:t>
      </w:r>
      <w:r w:rsidRPr="00E52B95">
        <w:rPr>
          <w:rFonts w:ascii="Times New Roman" w:eastAsia="Times New Roman" w:hAnsi="Times New Roman" w:cs="Times New Roman"/>
          <w:i/>
          <w:color w:val="000000"/>
          <w:sz w:val="24"/>
          <w:szCs w:val="24"/>
          <w:lang w:eastAsia="en-IN"/>
        </w:rPr>
        <w:t>A. galanga</w:t>
      </w:r>
      <w:r w:rsidRPr="00E52B95">
        <w:rPr>
          <w:rFonts w:ascii="Times New Roman" w:eastAsia="Times New Roman" w:hAnsi="Times New Roman" w:cs="Times New Roman"/>
          <w:color w:val="000000"/>
          <w:sz w:val="24"/>
          <w:szCs w:val="24"/>
          <w:lang w:eastAsia="en-IN"/>
        </w:rPr>
        <w:t xml:space="preserve">, a psychostimulant, affects sperm motility, erectile dysfunction and mental health in people. Likewise, A. officinarum improved </w:t>
      </w:r>
      <w:r w:rsidRPr="00E52B95">
        <w:rPr>
          <w:rFonts w:ascii="Times New Roman" w:eastAsia="Times New Roman" w:hAnsi="Times New Roman" w:cs="Times New Roman"/>
          <w:color w:val="000000"/>
          <w:sz w:val="24"/>
          <w:szCs w:val="24"/>
          <w:lang w:eastAsia="en-IN"/>
        </w:rPr>
        <w:lastRenderedPageBreak/>
        <w:t xml:space="preserve">sperm morphology and idiopathic infertility, while </w:t>
      </w:r>
      <w:r w:rsidRPr="00E52B95">
        <w:rPr>
          <w:rFonts w:ascii="Times New Roman" w:eastAsia="Times New Roman" w:hAnsi="Times New Roman" w:cs="Times New Roman"/>
          <w:i/>
          <w:color w:val="000000"/>
          <w:sz w:val="24"/>
          <w:szCs w:val="24"/>
          <w:lang w:eastAsia="en-IN"/>
        </w:rPr>
        <w:t>A. zerumbet</w:t>
      </w:r>
      <w:r w:rsidRPr="00E52B95">
        <w:rPr>
          <w:rFonts w:ascii="Times New Roman" w:eastAsia="Times New Roman" w:hAnsi="Times New Roman" w:cs="Times New Roman"/>
          <w:color w:val="000000"/>
          <w:sz w:val="24"/>
          <w:szCs w:val="24"/>
          <w:lang w:eastAsia="en-IN"/>
        </w:rPr>
        <w:t xml:space="preserve"> served as a cardiomyorelaxant in patients with cardiovascular conditions </w:t>
      </w:r>
      <w:r w:rsidRPr="00E52B95">
        <w:rPr>
          <w:rFonts w:ascii="Times New Roman" w:hAnsi="Times New Roman" w:cs="Times New Roman"/>
          <w:color w:val="000000"/>
          <w:sz w:val="24"/>
          <w:szCs w:val="24"/>
        </w:rPr>
        <w:t>(</w:t>
      </w:r>
      <w:r w:rsidRPr="00E52B95">
        <w:rPr>
          <w:rFonts w:ascii="Times New Roman" w:hAnsi="Times New Roman" w:cs="Times New Roman"/>
          <w:color w:val="000000"/>
          <w:sz w:val="24"/>
          <w:szCs w:val="24"/>
          <w:shd w:val="clear" w:color="auto" w:fill="FFFFFF"/>
        </w:rPr>
        <w:t xml:space="preserve">Yuliawati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2025).</w:t>
      </w:r>
    </w:p>
    <w:p w:rsidR="00E52B95" w:rsidRPr="00E52B95" w:rsidRDefault="00E52B95" w:rsidP="00E52B95">
      <w:pPr>
        <w:spacing w:line="360" w:lineRule="auto"/>
        <w:jc w:val="both"/>
        <w:rPr>
          <w:rFonts w:ascii="Times New Roman" w:hAnsi="Times New Roman" w:cs="Times New Roman"/>
          <w:b/>
          <w:i/>
          <w:color w:val="000000"/>
          <w:sz w:val="24"/>
          <w:szCs w:val="24"/>
          <w:shd w:val="clear" w:color="auto" w:fill="FFFFFF"/>
        </w:rPr>
      </w:pPr>
      <w:r w:rsidRPr="00E52B95">
        <w:rPr>
          <w:rFonts w:ascii="Times New Roman" w:hAnsi="Times New Roman" w:cs="Times New Roman"/>
          <w:b/>
          <w:i/>
          <w:color w:val="000000"/>
          <w:sz w:val="24"/>
          <w:szCs w:val="24"/>
          <w:shd w:val="clear" w:color="auto" w:fill="FFFFFF"/>
        </w:rPr>
        <w:t>6.1.4. Genus Elettaria</w:t>
      </w:r>
    </w:p>
    <w:p w:rsidR="00E52B95" w:rsidRPr="00E52B95" w:rsidRDefault="00E52B95" w:rsidP="00E52B95">
      <w:pPr>
        <w:pStyle w:val="NormalWeb"/>
        <w:spacing w:line="360" w:lineRule="auto"/>
        <w:jc w:val="both"/>
        <w:rPr>
          <w:color w:val="000000"/>
          <w:shd w:val="clear" w:color="auto" w:fill="FFFFFF"/>
        </w:rPr>
      </w:pPr>
      <w:r w:rsidRPr="00E52B95">
        <w:rPr>
          <w:color w:val="000000"/>
        </w:rPr>
        <w:t xml:space="preserve">The anti-inflammatory effects of both volatile and non-volatile fractions of </w:t>
      </w:r>
      <w:r w:rsidRPr="00E52B95">
        <w:rPr>
          <w:rStyle w:val="Emphasis"/>
          <w:color w:val="000000"/>
        </w:rPr>
        <w:t>Elettaria cardamomum</w:t>
      </w:r>
      <w:r w:rsidRPr="00E52B95">
        <w:rPr>
          <w:color w:val="000000"/>
        </w:rPr>
        <w:t xml:space="preserve"> (cardamom) seeds were studied in Wistar rats with carrageenan-induced paw edema. Rats were given a single oral dose of cardamom oil, resin, or standard volatile oil compounds, and paw swelling was measured hourly for 6 hours. In a separate experiment, rats were fed diets containing cardamom oil or resin for 10 days before inflammation was induced. Aqueous and acetone extracts of cardamom showed greater inflammation reduction (31% and 30%) than the standard drug ibuprofen (23%). Cardamom oil reduced inflammation by 11% in the first hour, while 1, 8-cineole showed 9.5% reduction in the second hour. In the dietary study, only de-oiled cardamom powder (from acetone extraction) reduced inflammation (9% in the first hour), whereas whole cardamom powder and cardamom oil had no effect. The results show that the anti-inflammatory activity is rather due to non-volatile resin components such as polyphenols, fatty acids, and sterols but not the volatile oil </w:t>
      </w:r>
      <w:r w:rsidRPr="00E52B95">
        <w:rPr>
          <w:color w:val="000000"/>
          <w:shd w:val="clear" w:color="auto" w:fill="FFFFFF"/>
        </w:rPr>
        <w:t xml:space="preserve">(Arpitha </w:t>
      </w:r>
      <w:r w:rsidRPr="00E52B95">
        <w:rPr>
          <w:i/>
          <w:color w:val="000000"/>
          <w:shd w:val="clear" w:color="auto" w:fill="FFFFFF"/>
        </w:rPr>
        <w:t>et al</w:t>
      </w:r>
      <w:r w:rsidRPr="00E52B95">
        <w:rPr>
          <w:color w:val="000000"/>
          <w:shd w:val="clear" w:color="auto" w:fill="FFFFFF"/>
        </w:rPr>
        <w:t>., 2019).</w:t>
      </w:r>
    </w:p>
    <w:p w:rsidR="00E52B95" w:rsidRPr="00E52B95" w:rsidRDefault="00E52B95" w:rsidP="00E52B95">
      <w:pPr>
        <w:pStyle w:val="NormalWeb"/>
        <w:spacing w:line="360" w:lineRule="auto"/>
        <w:jc w:val="both"/>
        <w:rPr>
          <w:rStyle w:val="Emphasis"/>
          <w:b/>
          <w:color w:val="000000"/>
        </w:rPr>
      </w:pPr>
      <w:r w:rsidRPr="00E52B95">
        <w:rPr>
          <w:b/>
          <w:color w:val="000000"/>
          <w:shd w:val="clear" w:color="auto" w:fill="FFFFFF"/>
        </w:rPr>
        <w:t xml:space="preserve">6.1.5. Genus </w:t>
      </w:r>
      <w:r w:rsidRPr="00E52B95">
        <w:rPr>
          <w:rStyle w:val="Emphasis"/>
          <w:b/>
          <w:color w:val="000000"/>
        </w:rPr>
        <w:t>Etlingera</w:t>
      </w:r>
    </w:p>
    <w:p w:rsidR="00E52B95" w:rsidRPr="00E52B95" w:rsidRDefault="00E52B95" w:rsidP="00E52B95">
      <w:pPr>
        <w:pStyle w:val="NormalWeb"/>
        <w:spacing w:line="360" w:lineRule="auto"/>
        <w:jc w:val="both"/>
        <w:rPr>
          <w:color w:val="000000"/>
          <w:shd w:val="clear" w:color="auto" w:fill="FFFFFF"/>
        </w:rPr>
      </w:pPr>
      <w:r w:rsidRPr="00E52B95">
        <w:rPr>
          <w:rStyle w:val="Emphasis"/>
          <w:color w:val="000000"/>
        </w:rPr>
        <w:t>Etlingera elatior</w:t>
      </w:r>
      <w:r w:rsidRPr="00E52B95">
        <w:rPr>
          <w:color w:val="000000"/>
        </w:rPr>
        <w:t xml:space="preserve"> (Jack) R.M. Sm. is a medicinal plant with notable anti-inflammatory potential. It has a highly diverse phytochemical composition with flavonoids, saponins, tannins, terpenoids, phenolics and volatile oils being highly abundant in its leaves, flowers, stems and rhizomes. Research shows that the plant exerts anti-inflammatory effects by inhibiting NF-κB-p65 expression, inhibition of carrageenan-induced edema in rats and stabilization of erythrocyte membranes. These findings support its potential use as a natural anti-inflammatory therapeutic agent </w:t>
      </w:r>
      <w:r w:rsidRPr="00E52B95">
        <w:rPr>
          <w:color w:val="000000"/>
          <w:shd w:val="clear" w:color="auto" w:fill="FFFFFF"/>
        </w:rPr>
        <w:t xml:space="preserve">(Resna </w:t>
      </w:r>
      <w:r w:rsidRPr="00E52B95">
        <w:rPr>
          <w:i/>
          <w:color w:val="000000"/>
          <w:shd w:val="clear" w:color="auto" w:fill="FFFFFF"/>
        </w:rPr>
        <w:t>et al</w:t>
      </w:r>
      <w:r w:rsidRPr="00E52B95">
        <w:rPr>
          <w:color w:val="000000"/>
          <w:shd w:val="clear" w:color="auto" w:fill="FFFFFF"/>
        </w:rPr>
        <w:t>., 2021).</w:t>
      </w:r>
    </w:p>
    <w:p w:rsidR="00E52B95" w:rsidRPr="00E52B95" w:rsidRDefault="00E52B95" w:rsidP="00E52B95">
      <w:pPr>
        <w:pStyle w:val="NormalWeb"/>
        <w:spacing w:line="360" w:lineRule="auto"/>
        <w:jc w:val="both"/>
        <w:rPr>
          <w:b/>
          <w:i/>
          <w:color w:val="000000"/>
          <w:shd w:val="clear" w:color="auto" w:fill="FFFFFF"/>
        </w:rPr>
      </w:pPr>
      <w:r w:rsidRPr="00E52B95">
        <w:rPr>
          <w:b/>
          <w:i/>
          <w:color w:val="000000"/>
          <w:shd w:val="clear" w:color="auto" w:fill="FFFFFF"/>
        </w:rPr>
        <w:t>6.1.6. Genus Kaempferia</w:t>
      </w:r>
    </w:p>
    <w:p w:rsidR="00E52B95" w:rsidRPr="00E52B95" w:rsidRDefault="00E52B95" w:rsidP="00E52B95">
      <w:pPr>
        <w:pStyle w:val="NormalWeb"/>
        <w:spacing w:line="360" w:lineRule="auto"/>
        <w:jc w:val="both"/>
        <w:rPr>
          <w:color w:val="000000"/>
          <w:shd w:val="clear" w:color="auto" w:fill="FFFFFF"/>
        </w:rPr>
      </w:pPr>
      <w:r w:rsidRPr="00E52B95">
        <w:rPr>
          <w:i/>
          <w:iCs/>
          <w:color w:val="000000"/>
        </w:rPr>
        <w:t>Kaempferia</w:t>
      </w:r>
      <w:r w:rsidRPr="00E52B95">
        <w:rPr>
          <w:color w:val="000000"/>
        </w:rPr>
        <w:t xml:space="preserve"> species, particularly </w:t>
      </w:r>
      <w:r w:rsidRPr="00E52B95">
        <w:rPr>
          <w:i/>
          <w:iCs/>
          <w:color w:val="000000"/>
        </w:rPr>
        <w:t xml:space="preserve">K. </w:t>
      </w:r>
      <w:r w:rsidRPr="00E52B95">
        <w:rPr>
          <w:rStyle w:val="citation-9"/>
          <w:i/>
          <w:iCs/>
          <w:color w:val="000000"/>
        </w:rPr>
        <w:t>parviflora</w:t>
      </w:r>
      <w:r w:rsidRPr="00E52B95">
        <w:rPr>
          <w:rStyle w:val="citation-9"/>
          <w:color w:val="000000"/>
        </w:rPr>
        <w:t xml:space="preserve"> and </w:t>
      </w:r>
      <w:r w:rsidRPr="00E52B95">
        <w:rPr>
          <w:rStyle w:val="citation-9"/>
          <w:i/>
          <w:iCs/>
          <w:color w:val="000000"/>
        </w:rPr>
        <w:t>K. pandurata</w:t>
      </w:r>
      <w:r w:rsidRPr="00E52B95">
        <w:rPr>
          <w:rStyle w:val="citation-9"/>
          <w:color w:val="000000"/>
        </w:rPr>
        <w:t xml:space="preserve">, demonstrate significant </w:t>
      </w:r>
      <w:r w:rsidRPr="00E52B95">
        <w:rPr>
          <w:rStyle w:val="citation-9"/>
          <w:bCs/>
          <w:color w:val="000000"/>
        </w:rPr>
        <w:t>anti-inflammatory activities</w:t>
      </w:r>
      <w:r w:rsidRPr="00E52B95">
        <w:rPr>
          <w:rStyle w:val="citation-9"/>
          <w:color w:val="000000"/>
        </w:rPr>
        <w:t xml:space="preserve"> by modulating nitric oxide (NO) production and related pathways, supporting their traditional medicinal use.</w:t>
      </w:r>
      <w:r w:rsidRPr="00E52B95">
        <w:rPr>
          <w:color w:val="000000"/>
        </w:rPr>
        <w:t xml:space="preserve"> The ethanol extract of </w:t>
      </w:r>
      <w:r w:rsidRPr="00E52B95">
        <w:rPr>
          <w:i/>
          <w:iCs/>
          <w:color w:val="000000"/>
        </w:rPr>
        <w:t>K. parviflora</w:t>
      </w:r>
      <w:r w:rsidRPr="00E52B95">
        <w:rPr>
          <w:color w:val="000000"/>
        </w:rPr>
        <w:t xml:space="preserve"> and its constituent, 5-hydroxy-3, 7, 3′, 4′-tetramethoxyflavone, markedly </w:t>
      </w:r>
      <w:r w:rsidRPr="00E52B95">
        <w:rPr>
          <w:bCs/>
          <w:color w:val="000000"/>
        </w:rPr>
        <w:t>inhibit PGE2 release</w:t>
      </w:r>
      <w:r w:rsidRPr="00E52B95">
        <w:rPr>
          <w:color w:val="000000"/>
        </w:rPr>
        <w:t xml:space="preserve"> and </w:t>
      </w:r>
      <w:r w:rsidRPr="00E52B95">
        <w:rPr>
          <w:bCs/>
          <w:color w:val="000000"/>
        </w:rPr>
        <w:t>suppress iNOS mRNA expression</w:t>
      </w:r>
      <w:r w:rsidRPr="00E52B95">
        <w:rPr>
          <w:color w:val="000000"/>
        </w:rPr>
        <w:t xml:space="preserve">, with partial effects on COX-2 mRNA. </w:t>
      </w:r>
      <w:r w:rsidRPr="00E52B95">
        <w:rPr>
          <w:rStyle w:val="citation-8"/>
          <w:color w:val="000000"/>
        </w:rPr>
        <w:t xml:space="preserve">In vivo studies confirm the anti-inflammatory efficacy of chloroform and hexane fractions of </w:t>
      </w:r>
      <w:r w:rsidRPr="00E52B95">
        <w:rPr>
          <w:rStyle w:val="citation-8"/>
          <w:i/>
          <w:iCs/>
          <w:color w:val="000000"/>
        </w:rPr>
        <w:t>K.</w:t>
      </w:r>
      <w:r w:rsidRPr="00E52B95">
        <w:rPr>
          <w:rStyle w:val="citation-7"/>
          <w:i/>
          <w:iCs/>
          <w:color w:val="000000"/>
        </w:rPr>
        <w:t xml:space="preserve"> parviflora</w:t>
      </w:r>
      <w:r w:rsidRPr="00E52B95">
        <w:rPr>
          <w:rStyle w:val="citation-7"/>
          <w:color w:val="000000"/>
        </w:rPr>
        <w:t xml:space="preserve"> in </w:t>
      </w:r>
      <w:r w:rsidRPr="00E52B95">
        <w:rPr>
          <w:rStyle w:val="citation-7"/>
          <w:color w:val="000000"/>
        </w:rPr>
        <w:lastRenderedPageBreak/>
        <w:t xml:space="preserve">reducing rat paw edema </w:t>
      </w:r>
      <w:r w:rsidRPr="00E52B95">
        <w:rPr>
          <w:color w:val="000000"/>
          <w:shd w:val="clear" w:color="auto" w:fill="FFFFFF"/>
        </w:rPr>
        <w:t xml:space="preserve">(Sae-wong </w:t>
      </w:r>
      <w:r w:rsidRPr="00E52B95">
        <w:rPr>
          <w:i/>
          <w:color w:val="000000"/>
          <w:shd w:val="clear" w:color="auto" w:fill="FFFFFF"/>
        </w:rPr>
        <w:t>et al</w:t>
      </w:r>
      <w:r w:rsidRPr="00E52B95">
        <w:rPr>
          <w:color w:val="000000"/>
          <w:shd w:val="clear" w:color="auto" w:fill="FFFFFF"/>
        </w:rPr>
        <w:t>., 2009).</w:t>
      </w:r>
      <w:r w:rsidRPr="00E52B95">
        <w:rPr>
          <w:color w:val="000000"/>
        </w:rPr>
        <w:t xml:space="preserve"> Flavonoids from </w:t>
      </w:r>
      <w:r w:rsidRPr="00E52B95">
        <w:rPr>
          <w:i/>
          <w:iCs/>
          <w:color w:val="000000"/>
        </w:rPr>
        <w:t>K. parviflora</w:t>
      </w:r>
      <w:r w:rsidRPr="00E52B95">
        <w:rPr>
          <w:color w:val="000000"/>
        </w:rPr>
        <w:t xml:space="preserve">, including 5-OH-3, 7, 3’, 4’-tetramethoxyflavone, 5-OH-7, 4’-dimethoxyflavone, and 5-OH-3, 7, 4’-trimethoxyflavone, exhibit moderate to mild NO production inhibitory effects. </w:t>
      </w:r>
      <w:r w:rsidRPr="00E52B95">
        <w:rPr>
          <w:rStyle w:val="citation-6"/>
          <w:color w:val="000000"/>
        </w:rPr>
        <w:t xml:space="preserve">Other flavonoids like 5,7-dimethoxyflavone, trimethylapigenin, and tetramethylluteolin strongly </w:t>
      </w:r>
      <w:r w:rsidRPr="00E52B95">
        <w:rPr>
          <w:rStyle w:val="citation-6"/>
          <w:bCs/>
          <w:color w:val="000000"/>
        </w:rPr>
        <w:t>inhibit iNOS mRNA and protein expression</w:t>
      </w:r>
      <w:r w:rsidRPr="00E52B95">
        <w:rPr>
          <w:rStyle w:val="citation-6"/>
          <w:color w:val="000000"/>
        </w:rPr>
        <w:t xml:space="preserve"> and moderately inhibit </w:t>
      </w:r>
      <w:r w:rsidRPr="00E52B95">
        <w:rPr>
          <w:color w:val="000000"/>
        </w:rPr>
        <w:t xml:space="preserve">TNF-α </w:t>
      </w:r>
      <w:r w:rsidRPr="00E52B95">
        <w:rPr>
          <w:rStyle w:val="citation-6"/>
          <w:color w:val="000000"/>
        </w:rPr>
        <w:t>production in LPS-activated cells, with trimethylapigenin also inhibiting spleen tyrosine kinase (SYK).</w:t>
      </w:r>
      <w:r w:rsidRPr="00E52B95">
        <w:rPr>
          <w:color w:val="000000"/>
          <w:shd w:val="clear" w:color="auto" w:fill="FFFFFF"/>
        </w:rPr>
        <w:t xml:space="preserve"> (Tewtrakul </w:t>
      </w:r>
      <w:r w:rsidRPr="00E52B95">
        <w:rPr>
          <w:i/>
          <w:color w:val="000000"/>
          <w:shd w:val="clear" w:color="auto" w:fill="FFFFFF"/>
        </w:rPr>
        <w:t>et al</w:t>
      </w:r>
      <w:r w:rsidRPr="00E52B95">
        <w:rPr>
          <w:color w:val="000000"/>
          <w:shd w:val="clear" w:color="auto" w:fill="FFFFFF"/>
        </w:rPr>
        <w:t>., 2009).</w:t>
      </w:r>
      <w:r w:rsidRPr="00E52B95">
        <w:rPr>
          <w:rStyle w:val="citation-5"/>
          <w:color w:val="000000"/>
        </w:rPr>
        <w:t xml:space="preserve"> From </w:t>
      </w:r>
      <w:r w:rsidRPr="00E52B95">
        <w:rPr>
          <w:rStyle w:val="citation-5"/>
          <w:i/>
          <w:iCs/>
          <w:color w:val="000000"/>
        </w:rPr>
        <w:t>K. pandurata</w:t>
      </w:r>
      <w:r w:rsidRPr="00E52B95">
        <w:rPr>
          <w:rStyle w:val="citation-5"/>
          <w:color w:val="000000"/>
        </w:rPr>
        <w:t xml:space="preserve">, </w:t>
      </w:r>
      <w:r w:rsidRPr="00E52B95">
        <w:rPr>
          <w:rStyle w:val="citation-5"/>
          <w:bCs/>
          <w:color w:val="000000"/>
        </w:rPr>
        <w:t>panduratin A</w:t>
      </w:r>
      <w:r w:rsidRPr="00E52B95">
        <w:rPr>
          <w:rStyle w:val="citation-5"/>
          <w:color w:val="000000"/>
        </w:rPr>
        <w:t xml:space="preserve"> shows potent NO production inhibition, while 4-hydroxypanduratin A and cardamonin also contribute to this effect.</w:t>
      </w:r>
      <w:r w:rsidRPr="00E52B95">
        <w:rPr>
          <w:color w:val="000000"/>
        </w:rPr>
        <w:t xml:space="preserve"> Diarylheptanoids from </w:t>
      </w:r>
      <w:r w:rsidRPr="00E52B95">
        <w:rPr>
          <w:i/>
          <w:iCs/>
          <w:color w:val="000000"/>
        </w:rPr>
        <w:t>K. galanga</w:t>
      </w:r>
      <w:r w:rsidRPr="00E52B95">
        <w:rPr>
          <w:color w:val="000000"/>
        </w:rPr>
        <w:t xml:space="preserve"> rhizome, particularly (3R,5S)-3,5-di-hydroxy-1-(3,4-dihydroxyphenyl)-7-(4-hydroxyphenyl) heptane, also exhibit pronounced inhibitory activities on LPS-induced NO production, further validating the traditional use of these plants for inflammatory conditions, although the specific active constituents and mechanisms for chronic inflammation from </w:t>
      </w:r>
      <w:r w:rsidRPr="00E52B95">
        <w:rPr>
          <w:i/>
          <w:iCs/>
          <w:color w:val="000000"/>
        </w:rPr>
        <w:t>K. galanga</w:t>
      </w:r>
      <w:r w:rsidRPr="00E52B95">
        <w:rPr>
          <w:color w:val="000000"/>
        </w:rPr>
        <w:t xml:space="preserve"> require further elucidation (</w:t>
      </w:r>
      <w:r w:rsidRPr="00E52B95">
        <w:rPr>
          <w:color w:val="000000"/>
          <w:shd w:val="clear" w:color="auto" w:fill="FFFFFF"/>
        </w:rPr>
        <w:t xml:space="preserve">Pham </w:t>
      </w:r>
      <w:r w:rsidRPr="00E52B95">
        <w:rPr>
          <w:i/>
          <w:color w:val="000000"/>
          <w:shd w:val="clear" w:color="auto" w:fill="FFFFFF"/>
        </w:rPr>
        <w:t>et al</w:t>
      </w:r>
      <w:r w:rsidRPr="00E52B95">
        <w:rPr>
          <w:color w:val="000000"/>
          <w:shd w:val="clear" w:color="auto" w:fill="FFFFFF"/>
        </w:rPr>
        <w:t>.,2021).</w:t>
      </w:r>
    </w:p>
    <w:p w:rsidR="00E52B95" w:rsidRPr="00E52B95" w:rsidRDefault="00E52B95" w:rsidP="00E52B95">
      <w:pPr>
        <w:pStyle w:val="NormalWeb"/>
        <w:spacing w:line="360" w:lineRule="auto"/>
        <w:jc w:val="both"/>
        <w:rPr>
          <w:b/>
          <w:i/>
          <w:color w:val="000000"/>
        </w:rPr>
      </w:pPr>
      <w:r w:rsidRPr="00E52B95">
        <w:rPr>
          <w:b/>
          <w:i/>
          <w:color w:val="000000"/>
        </w:rPr>
        <w:t xml:space="preserve">6.1.7. Genus Hedychium </w:t>
      </w:r>
    </w:p>
    <w:p w:rsidR="00E52B95" w:rsidRPr="00E52B95" w:rsidRDefault="00E52B95" w:rsidP="00E52B95">
      <w:pPr>
        <w:pStyle w:val="NormalWeb"/>
        <w:spacing w:line="360" w:lineRule="auto"/>
        <w:jc w:val="both"/>
        <w:rPr>
          <w:color w:val="000000"/>
          <w:shd w:val="clear" w:color="auto" w:fill="FFFFFF"/>
        </w:rPr>
      </w:pPr>
      <w:r w:rsidRPr="00E52B95">
        <w:rPr>
          <w:i/>
          <w:iCs/>
          <w:color w:val="000000"/>
        </w:rPr>
        <w:t>H. coronarium</w:t>
      </w:r>
      <w:r w:rsidRPr="00E52B95">
        <w:rPr>
          <w:color w:val="000000"/>
        </w:rPr>
        <w:t xml:space="preserve"> and </w:t>
      </w:r>
      <w:r w:rsidRPr="00E52B95">
        <w:rPr>
          <w:i/>
          <w:iCs/>
          <w:color w:val="000000"/>
        </w:rPr>
        <w:t>H. spicatum</w:t>
      </w:r>
      <w:r w:rsidRPr="00E52B95">
        <w:rPr>
          <w:color w:val="000000"/>
        </w:rPr>
        <w:t xml:space="preserve"> show significant promise as anti-inflammatory agents. </w:t>
      </w:r>
      <w:r w:rsidRPr="00E52B95">
        <w:rPr>
          <w:i/>
          <w:iCs/>
          <w:color w:val="000000"/>
        </w:rPr>
        <w:t>H. coronarium</w:t>
      </w:r>
      <w:r w:rsidRPr="00E52B95">
        <w:rPr>
          <w:color w:val="000000"/>
        </w:rPr>
        <w:t xml:space="preserve"> rhizomes, traditionally used for conditions like arthritis and headache, have been scientifically shown to exert anti-inflammatory effects by inhibiting pro-inflammatory cytokines such as IL-6, IL-12, and TNF-</w:t>
      </w:r>
      <w:r w:rsidRPr="00E52B95">
        <w:rPr>
          <w:rStyle w:val="mord"/>
          <w:color w:val="000000"/>
        </w:rPr>
        <w:t>α</w:t>
      </w:r>
      <w:r w:rsidRPr="00E52B95">
        <w:rPr>
          <w:color w:val="000000"/>
        </w:rPr>
        <w:t>. H</w:t>
      </w:r>
      <w:r w:rsidRPr="00E52B95">
        <w:rPr>
          <w:bCs/>
          <w:color w:val="000000"/>
        </w:rPr>
        <w:t>edyforrestin C</w:t>
      </w:r>
      <w:r w:rsidRPr="00E52B95">
        <w:rPr>
          <w:color w:val="000000"/>
        </w:rPr>
        <w:t xml:space="preserve">, </w:t>
      </w:r>
      <w:r w:rsidRPr="00E52B95">
        <w:rPr>
          <w:bCs/>
          <w:color w:val="000000"/>
        </w:rPr>
        <w:t>coronarin G</w:t>
      </w:r>
      <w:r w:rsidRPr="00E52B95">
        <w:rPr>
          <w:color w:val="000000"/>
        </w:rPr>
        <w:t xml:space="preserve">, and </w:t>
      </w:r>
      <w:r w:rsidRPr="00E52B95">
        <w:rPr>
          <w:bCs/>
          <w:color w:val="000000"/>
        </w:rPr>
        <w:t>coronarin H</w:t>
      </w:r>
      <w:r w:rsidRPr="00E52B95">
        <w:rPr>
          <w:color w:val="000000"/>
        </w:rPr>
        <w:t xml:space="preserve"> are key players in the pharmacological activity. Further</w:t>
      </w:r>
      <w:r w:rsidRPr="00E52B95">
        <w:rPr>
          <w:i/>
          <w:color w:val="000000"/>
        </w:rPr>
        <w:t xml:space="preserve">, </w:t>
      </w:r>
      <w:r w:rsidRPr="00E52B95">
        <w:rPr>
          <w:i/>
          <w:iCs/>
          <w:color w:val="000000"/>
        </w:rPr>
        <w:t>H. coronarium</w:t>
      </w:r>
      <w:r w:rsidRPr="00E52B95">
        <w:rPr>
          <w:color w:val="000000"/>
        </w:rPr>
        <w:t xml:space="preserve"> extracts and isolated compounds are superior inhibitors of nitric oxide (NO) production, a crucial mediator of inflammation, by inhibiting iNOS induction. These constituents have been found to have   potent NO inhibitors such as </w:t>
      </w:r>
      <w:r w:rsidRPr="00E52B95">
        <w:rPr>
          <w:bCs/>
          <w:color w:val="000000"/>
        </w:rPr>
        <w:t>hedychenone</w:t>
      </w:r>
      <w:r w:rsidRPr="00E52B95">
        <w:rPr>
          <w:color w:val="000000"/>
        </w:rPr>
        <w:t xml:space="preserve">, </w:t>
      </w:r>
      <w:r w:rsidRPr="00E52B95">
        <w:rPr>
          <w:bCs/>
          <w:color w:val="000000"/>
        </w:rPr>
        <w:t>coronarin D</w:t>
      </w:r>
      <w:r w:rsidRPr="00E52B95">
        <w:rPr>
          <w:color w:val="000000"/>
        </w:rPr>
        <w:t xml:space="preserve">, and </w:t>
      </w:r>
      <w:r w:rsidRPr="00E52B95">
        <w:rPr>
          <w:bCs/>
          <w:color w:val="000000"/>
        </w:rPr>
        <w:t>hedychilactone A</w:t>
      </w:r>
      <w:r w:rsidRPr="00E52B95">
        <w:rPr>
          <w:color w:val="000000"/>
        </w:rPr>
        <w:t xml:space="preserve"> (</w:t>
      </w:r>
      <w:r w:rsidRPr="00E52B95">
        <w:rPr>
          <w:color w:val="000000"/>
          <w:shd w:val="clear" w:color="auto" w:fill="FFFFFF"/>
        </w:rPr>
        <w:t xml:space="preserve">Hartati </w:t>
      </w:r>
      <w:r w:rsidRPr="00E52B95">
        <w:rPr>
          <w:i/>
          <w:color w:val="000000"/>
          <w:shd w:val="clear" w:color="auto" w:fill="FFFFFF"/>
        </w:rPr>
        <w:t>et al</w:t>
      </w:r>
      <w:r w:rsidRPr="00E52B95">
        <w:rPr>
          <w:color w:val="000000"/>
          <w:shd w:val="clear" w:color="auto" w:fill="FFFFFF"/>
        </w:rPr>
        <w:t>., 2014).</w:t>
      </w:r>
      <w:r w:rsidRPr="00E52B95">
        <w:rPr>
          <w:color w:val="000000"/>
        </w:rPr>
        <w:t xml:space="preserve">Although some of the preparations of </w:t>
      </w:r>
      <w:r w:rsidRPr="00E52B95">
        <w:rPr>
          <w:i/>
          <w:iCs/>
          <w:color w:val="000000"/>
        </w:rPr>
        <w:t>H. coronarium</w:t>
      </w:r>
      <w:r w:rsidRPr="00E52B95">
        <w:rPr>
          <w:color w:val="000000"/>
        </w:rPr>
        <w:t xml:space="preserve">, especially the methanolic extract and </w:t>
      </w:r>
      <w:r w:rsidRPr="00E52B95">
        <w:rPr>
          <w:bCs/>
          <w:color w:val="000000"/>
        </w:rPr>
        <w:t>coronarin D</w:t>
      </w:r>
      <w:r w:rsidRPr="00E52B95">
        <w:rPr>
          <w:color w:val="000000"/>
        </w:rPr>
        <w:t xml:space="preserve">, were observed to increase vascular permeability an early inflammatory response this finding needs to be considered in the broader context of their diverse anti-inflammatory mechanisms. Ethanolic extract of </w:t>
      </w:r>
      <w:r w:rsidRPr="00E52B95">
        <w:rPr>
          <w:i/>
          <w:iCs/>
          <w:color w:val="000000"/>
        </w:rPr>
        <w:t>H. spicatum</w:t>
      </w:r>
      <w:r w:rsidRPr="00E52B95">
        <w:rPr>
          <w:color w:val="000000"/>
        </w:rPr>
        <w:t xml:space="preserve"> was shown to have significant   anti-inflammatory activity, significantly reducing carrageenan-induced edema and thus supporting the traditional use of these plants for inflammatory conditions (</w:t>
      </w:r>
      <w:r w:rsidRPr="00E52B95">
        <w:rPr>
          <w:color w:val="000000"/>
          <w:shd w:val="clear" w:color="auto" w:fill="FFFFFF"/>
        </w:rPr>
        <w:t>Chachad&amp;Shimpi., 2008).</w:t>
      </w:r>
    </w:p>
    <w:p w:rsidR="00E52B95" w:rsidRPr="00E52B95" w:rsidRDefault="00E52B95" w:rsidP="00E52B95">
      <w:pPr>
        <w:pStyle w:val="NormalWeb"/>
        <w:spacing w:line="360" w:lineRule="auto"/>
        <w:jc w:val="both"/>
        <w:rPr>
          <w:b/>
          <w:i/>
          <w:iCs/>
          <w:color w:val="000000"/>
        </w:rPr>
      </w:pPr>
      <w:r w:rsidRPr="00E52B95">
        <w:rPr>
          <w:b/>
          <w:i/>
          <w:iCs/>
          <w:color w:val="000000"/>
        </w:rPr>
        <w:t xml:space="preserve"> </w:t>
      </w:r>
    </w:p>
    <w:p w:rsidR="00E52B95" w:rsidRPr="00E52B95" w:rsidRDefault="00E52B95" w:rsidP="00E52B95">
      <w:pPr>
        <w:pStyle w:val="NormalWeb"/>
        <w:spacing w:line="360" w:lineRule="auto"/>
        <w:jc w:val="both"/>
        <w:rPr>
          <w:b/>
          <w:color w:val="000000"/>
          <w:shd w:val="clear" w:color="auto" w:fill="FFFFFF"/>
        </w:rPr>
      </w:pPr>
      <w:r w:rsidRPr="00E52B95">
        <w:rPr>
          <w:b/>
          <w:i/>
          <w:iCs/>
          <w:color w:val="000000"/>
        </w:rPr>
        <w:t>6.1.8. Genus Amomum</w:t>
      </w:r>
    </w:p>
    <w:p w:rsidR="00E52B95" w:rsidRPr="00E52B95" w:rsidRDefault="00E52B95" w:rsidP="00E52B95">
      <w:pPr>
        <w:pStyle w:val="NormalWeb"/>
        <w:spacing w:line="360" w:lineRule="auto"/>
        <w:jc w:val="both"/>
        <w:rPr>
          <w:color w:val="000000"/>
          <w:shd w:val="clear" w:color="auto" w:fill="FFFFFF"/>
        </w:rPr>
      </w:pPr>
      <w:r w:rsidRPr="00E52B95">
        <w:rPr>
          <w:color w:val="000000"/>
        </w:rPr>
        <w:lastRenderedPageBreak/>
        <w:t xml:space="preserve">Several </w:t>
      </w:r>
      <w:r w:rsidRPr="00E52B95">
        <w:rPr>
          <w:i/>
          <w:iCs/>
          <w:color w:val="000000"/>
        </w:rPr>
        <w:t>Amomum</w:t>
      </w:r>
      <w:r w:rsidRPr="00E52B95">
        <w:rPr>
          <w:color w:val="000000"/>
        </w:rPr>
        <w:t xml:space="preserve"> species demonstrate significant anti-inflammatory activities, primarily   by inhibiting nitric oxide (NO) production and modulating various inflammatory pathways. From </w:t>
      </w:r>
      <w:r w:rsidRPr="00E52B95">
        <w:rPr>
          <w:i/>
          <w:iCs/>
          <w:color w:val="000000"/>
        </w:rPr>
        <w:t>Amomum maximum</w:t>
      </w:r>
      <w:r w:rsidRPr="00E52B95">
        <w:rPr>
          <w:color w:val="000000"/>
        </w:rPr>
        <w:t xml:space="preserve"> roots, compounds like </w:t>
      </w:r>
      <w:r w:rsidRPr="00E52B95">
        <w:rPr>
          <w:bCs/>
          <w:color w:val="000000"/>
        </w:rPr>
        <w:t>Amomaksim A and B</w:t>
      </w:r>
      <w:r w:rsidRPr="00E52B95">
        <w:rPr>
          <w:color w:val="000000"/>
        </w:rPr>
        <w:t xml:space="preserve"> have been shown to inhibit NO production in LPS-induced RAW264.7 macrophages. </w:t>
      </w:r>
      <w:r w:rsidRPr="00E52B95">
        <w:rPr>
          <w:i/>
          <w:iCs/>
          <w:color w:val="000000"/>
        </w:rPr>
        <w:t>Amomum kravanh</w:t>
      </w:r>
      <w:r w:rsidRPr="00E52B95">
        <w:rPr>
          <w:color w:val="000000"/>
        </w:rPr>
        <w:t xml:space="preserve"> yielded new diarylheptanoids, specifically </w:t>
      </w:r>
      <w:r w:rsidRPr="00E52B95">
        <w:rPr>
          <w:bCs/>
          <w:color w:val="000000"/>
        </w:rPr>
        <w:t>kravanhol A, kravanhol B</w:t>
      </w:r>
      <w:r w:rsidRPr="00E52B95">
        <w:rPr>
          <w:color w:val="000000"/>
        </w:rPr>
        <w:t xml:space="preserve">, and </w:t>
      </w:r>
      <w:r w:rsidRPr="00E52B95">
        <w:rPr>
          <w:bCs/>
          <w:color w:val="000000"/>
        </w:rPr>
        <w:t>renealtin</w:t>
      </w:r>
      <w:r w:rsidRPr="00E52B95">
        <w:rPr>
          <w:color w:val="000000"/>
        </w:rPr>
        <w:t xml:space="preserve">. All of these exhibit anti-inflammatory effects by inhibiting NO production in LPS-activated RAW264.7 macrophages, with </w:t>
      </w:r>
      <w:r w:rsidRPr="00E52B95">
        <w:rPr>
          <w:bCs/>
          <w:color w:val="000000"/>
        </w:rPr>
        <w:t>kravanhol B</w:t>
      </w:r>
      <w:r w:rsidRPr="00E52B95">
        <w:rPr>
          <w:color w:val="000000"/>
        </w:rPr>
        <w:t xml:space="preserve"> showing an IC</w:t>
      </w:r>
      <w:r w:rsidRPr="00E52B95">
        <w:rPr>
          <w:color w:val="000000"/>
          <w:vertAlign w:val="subscript"/>
        </w:rPr>
        <w:t xml:space="preserve">50 </w:t>
      </w:r>
      <w:r w:rsidRPr="00E52B95">
        <w:rPr>
          <w:i/>
          <w:iCs/>
          <w:color w:val="000000"/>
        </w:rPr>
        <w:t xml:space="preserve">of </w:t>
      </w:r>
      <w:r w:rsidRPr="00E52B95">
        <w:rPr>
          <w:bCs/>
          <w:i/>
          <w:iCs/>
          <w:color w:val="000000"/>
        </w:rPr>
        <w:t xml:space="preserve">38.9 ± </w:t>
      </w:r>
      <w:smartTag w:uri="urn:schemas-microsoft-com:office:smarttags" w:element="metricconverter">
        <w:smartTagPr>
          <w:attr w:name="ProductID" w:val="1.8 mM"/>
        </w:smartTagPr>
        <w:r w:rsidRPr="00E52B95">
          <w:rPr>
            <w:bCs/>
            <w:i/>
            <w:iCs/>
            <w:color w:val="000000"/>
          </w:rPr>
          <w:t>1.8 mM</w:t>
        </w:r>
      </w:smartTag>
      <w:r w:rsidRPr="00E52B95">
        <w:rPr>
          <w:i/>
          <w:iCs/>
          <w:color w:val="000000"/>
        </w:rPr>
        <w:t xml:space="preserve">. </w:t>
      </w:r>
      <w:r w:rsidRPr="00E52B95">
        <w:rPr>
          <w:iCs/>
          <w:color w:val="000000"/>
        </w:rPr>
        <w:t>The ethanol extract of Amomum tsao-ko suppressed HO-1 and NF-</w:t>
      </w:r>
      <w:r w:rsidRPr="00E52B95">
        <w:rPr>
          <w:rStyle w:val="mord"/>
          <w:iCs/>
          <w:color w:val="000000"/>
        </w:rPr>
        <w:t>κ</w:t>
      </w:r>
      <w:r w:rsidRPr="00E52B95">
        <w:rPr>
          <w:iCs/>
          <w:color w:val="000000"/>
        </w:rPr>
        <w:t xml:space="preserve">B signalling in LPS-stimulated macrophages, indicating strong anti-inflammatory effects; certain isolates achieved a </w:t>
      </w:r>
      <w:r w:rsidRPr="00E52B95">
        <w:rPr>
          <w:bCs/>
          <w:iCs/>
          <w:color w:val="000000"/>
        </w:rPr>
        <w:t>63.65% inhibition rate</w:t>
      </w:r>
      <w:r w:rsidRPr="00E52B95">
        <w:rPr>
          <w:iCs/>
          <w:color w:val="000000"/>
        </w:rPr>
        <w:t xml:space="preserve"> on NO generation at </w:t>
      </w:r>
      <w:r w:rsidRPr="00E52B95">
        <w:rPr>
          <w:bCs/>
          <w:iCs/>
          <w:color w:val="000000"/>
        </w:rPr>
        <w:t>100 mg/mL</w:t>
      </w:r>
      <w:r w:rsidRPr="00E52B95">
        <w:rPr>
          <w:iCs/>
          <w:color w:val="000000"/>
        </w:rPr>
        <w:t xml:space="preserve">. Additionally, </w:t>
      </w:r>
      <w:r w:rsidRPr="00E52B95">
        <w:rPr>
          <w:bCs/>
          <w:iCs/>
          <w:color w:val="000000"/>
        </w:rPr>
        <w:t>amotsaokonal A</w:t>
      </w:r>
      <w:r w:rsidRPr="00E52B95">
        <w:rPr>
          <w:iCs/>
          <w:color w:val="000000"/>
        </w:rPr>
        <w:t xml:space="preserve"> (a new benzaldehyde) and cycloterpenals </w:t>
      </w:r>
      <w:r w:rsidRPr="00E52B95">
        <w:rPr>
          <w:bCs/>
          <w:iCs/>
          <w:color w:val="000000"/>
        </w:rPr>
        <w:t>amotsaokonal B</w:t>
      </w:r>
      <w:r w:rsidRPr="00E52B95">
        <w:rPr>
          <w:iCs/>
          <w:color w:val="000000"/>
        </w:rPr>
        <w:t xml:space="preserve"> and </w:t>
      </w:r>
      <w:r w:rsidRPr="00E52B95">
        <w:rPr>
          <w:bCs/>
          <w:iCs/>
          <w:color w:val="000000"/>
        </w:rPr>
        <w:t>amotsaokonal C</w:t>
      </w:r>
      <w:r w:rsidRPr="00E52B95">
        <w:rPr>
          <w:iCs/>
          <w:color w:val="000000"/>
        </w:rPr>
        <w:t xml:space="preserve"> from A. tsao-ko fruits suppressed LPS-induced NO generation in RAW264.7 cells, with </w:t>
      </w:r>
      <w:r w:rsidRPr="00E52B95">
        <w:rPr>
          <w:bCs/>
          <w:iCs/>
          <w:color w:val="000000"/>
        </w:rPr>
        <w:t>amotsaokonal B</w:t>
      </w:r>
      <w:r w:rsidRPr="00E52B95">
        <w:rPr>
          <w:iCs/>
          <w:color w:val="000000"/>
        </w:rPr>
        <w:t xml:space="preserve"> providing the highest anti-inflammatory activity with an </w:t>
      </w:r>
      <w:r w:rsidRPr="00E52B95">
        <w:rPr>
          <w:color w:val="000000"/>
        </w:rPr>
        <w:t>IC</w:t>
      </w:r>
      <w:r w:rsidRPr="00E52B95">
        <w:rPr>
          <w:color w:val="000000"/>
          <w:vertAlign w:val="subscript"/>
        </w:rPr>
        <w:t xml:space="preserve">50 </w:t>
      </w:r>
      <w:r w:rsidRPr="00E52B95">
        <w:rPr>
          <w:color w:val="000000"/>
        </w:rPr>
        <w:t xml:space="preserve">of </w:t>
      </w:r>
      <w:r w:rsidRPr="00E52B95">
        <w:rPr>
          <w:bCs/>
          <w:color w:val="000000"/>
        </w:rPr>
        <w:t>94.8 µM</w:t>
      </w:r>
      <w:r w:rsidRPr="00E52B95">
        <w:rPr>
          <w:color w:val="000000"/>
        </w:rPr>
        <w:t xml:space="preserve">. Methanol extracts from </w:t>
      </w:r>
      <w:r w:rsidRPr="00E52B95">
        <w:rPr>
          <w:i/>
          <w:iCs/>
          <w:color w:val="000000"/>
        </w:rPr>
        <w:t>Amomum paratsao</w:t>
      </w:r>
      <w:r w:rsidRPr="00E52B95">
        <w:rPr>
          <w:color w:val="000000"/>
        </w:rPr>
        <w:t xml:space="preserve"> fruits contained phenylpropanoids that demonstrated anti-inflammatory properties by preventing interleukin-6 (IL-6) expression in activated microglial BV2 cells. Furthermore, </w:t>
      </w:r>
      <w:r w:rsidRPr="00E52B95">
        <w:rPr>
          <w:i/>
          <w:iCs/>
          <w:color w:val="000000"/>
        </w:rPr>
        <w:t>Amomum subulatum</w:t>
      </w:r>
      <w:r w:rsidRPr="00E52B95">
        <w:rPr>
          <w:color w:val="000000"/>
        </w:rPr>
        <w:t xml:space="preserve"> has shown significant anti-inflammatory potential; its </w:t>
      </w:r>
      <w:r w:rsidRPr="00E52B95">
        <w:rPr>
          <w:bCs/>
          <w:color w:val="000000"/>
        </w:rPr>
        <w:t>pyranochalcones</w:t>
      </w:r>
      <w:r w:rsidRPr="00E52B95">
        <w:rPr>
          <w:color w:val="000000"/>
        </w:rPr>
        <w:t xml:space="preserve"> and </w:t>
      </w:r>
      <w:r w:rsidRPr="00E52B95">
        <w:rPr>
          <w:bCs/>
          <w:color w:val="000000"/>
        </w:rPr>
        <w:t>pyranoflavanones</w:t>
      </w:r>
      <w:r w:rsidRPr="00E52B95">
        <w:rPr>
          <w:color w:val="000000"/>
        </w:rPr>
        <w:t xml:space="preserve"> inhibitedNO production in LPS-induced RAW 264.7 macrophages with IC</w:t>
      </w:r>
      <w:r w:rsidRPr="00E52B95">
        <w:rPr>
          <w:color w:val="000000"/>
          <w:vertAlign w:val="subscript"/>
        </w:rPr>
        <w:t>50</w:t>
      </w:r>
      <w:r w:rsidRPr="00E52B95">
        <w:rPr>
          <w:color w:val="000000"/>
        </w:rPr>
        <w:t xml:space="preserve"> values ranging from </w:t>
      </w:r>
      <w:r w:rsidRPr="00E52B95">
        <w:rPr>
          <w:bCs/>
          <w:color w:val="000000"/>
        </w:rPr>
        <w:t>10.6 to 41.5 µM</w:t>
      </w:r>
      <w:r w:rsidRPr="00E52B95">
        <w:rPr>
          <w:color w:val="000000"/>
        </w:rPr>
        <w:t xml:space="preserve">. Essential oils from </w:t>
      </w:r>
      <w:r w:rsidRPr="00E52B95">
        <w:rPr>
          <w:i/>
          <w:iCs/>
          <w:color w:val="000000"/>
        </w:rPr>
        <w:t>A. subulatum</w:t>
      </w:r>
      <w:r w:rsidRPr="00E52B95">
        <w:rPr>
          <w:color w:val="000000"/>
        </w:rPr>
        <w:t xml:space="preserve"> have even been noted to possess anti-inflammatory potential comparable to ibuprofen, alongside immunosuppressive, antioxidant, and cytotoxic activities. Overall, these findings underscore the therapeutic promise of </w:t>
      </w:r>
      <w:r w:rsidRPr="00E52B95">
        <w:rPr>
          <w:i/>
          <w:iCs/>
          <w:color w:val="000000"/>
        </w:rPr>
        <w:t>Amomum</w:t>
      </w:r>
      <w:r w:rsidRPr="00E52B95">
        <w:rPr>
          <w:color w:val="000000"/>
        </w:rPr>
        <w:t xml:space="preserve"> species in managing inflammatory conditions (</w:t>
      </w:r>
      <w:r w:rsidRPr="00E52B95">
        <w:rPr>
          <w:color w:val="000000"/>
          <w:shd w:val="clear" w:color="auto" w:fill="FFFFFF"/>
        </w:rPr>
        <w:t xml:space="preserve">Dinata </w:t>
      </w:r>
      <w:r w:rsidRPr="00E52B95">
        <w:rPr>
          <w:i/>
          <w:color w:val="000000"/>
          <w:shd w:val="clear" w:color="auto" w:fill="FFFFFF"/>
        </w:rPr>
        <w:t>et al</w:t>
      </w:r>
      <w:r w:rsidRPr="00E52B95">
        <w:rPr>
          <w:color w:val="000000"/>
          <w:shd w:val="clear" w:color="auto" w:fill="FFFFFF"/>
        </w:rPr>
        <w:t>., 2024).</w:t>
      </w:r>
      <w:r w:rsidR="00F97818" w:rsidRPr="00F97818">
        <w:rPr>
          <w:noProof/>
          <w:color w:val="000000"/>
          <w:shd w:val="clear" w:color="auto" w:fill="FFFFFF"/>
        </w:rPr>
        <w:t xml:space="preserve"> </w:t>
      </w:r>
      <w:r w:rsidR="00F97818" w:rsidRPr="00E52B95">
        <w:rPr>
          <w:noProof/>
          <w:color w:val="000000"/>
          <w:shd w:val="clear" w:color="auto" w:fill="FFFFFF"/>
        </w:rPr>
        <w:t xml:space="preserve">Anti inflammatory effect of members of different genera of Family </w:t>
      </w:r>
      <w:r w:rsidR="00F97818" w:rsidRPr="00E52B95">
        <w:rPr>
          <w:i/>
          <w:noProof/>
          <w:color w:val="000000"/>
          <w:shd w:val="clear" w:color="auto" w:fill="FFFFFF"/>
        </w:rPr>
        <w:t>Zingiberaceae</w:t>
      </w:r>
      <w:r w:rsidR="00F97818">
        <w:rPr>
          <w:i/>
          <w:noProof/>
          <w:color w:val="000000"/>
          <w:shd w:val="clear" w:color="auto" w:fill="FFFFFF"/>
        </w:rPr>
        <w:t xml:space="preserve"> </w:t>
      </w:r>
      <w:r w:rsidR="00F97818" w:rsidRPr="00F97818">
        <w:rPr>
          <w:noProof/>
          <w:color w:val="000000"/>
          <w:shd w:val="clear" w:color="auto" w:fill="FFFFFF"/>
        </w:rPr>
        <w:t>has been shown in the Figure 3.</w:t>
      </w:r>
    </w:p>
    <w:p w:rsidR="00E52B95" w:rsidRPr="00E52B95" w:rsidRDefault="00E52B95" w:rsidP="00E52B95">
      <w:pPr>
        <w:pStyle w:val="NormalWeb"/>
        <w:spacing w:line="360" w:lineRule="auto"/>
        <w:jc w:val="both"/>
        <w:rPr>
          <w:noProof/>
          <w:color w:val="000000"/>
          <w:shd w:val="clear" w:color="auto" w:fill="FFFFFF"/>
        </w:rPr>
      </w:pPr>
    </w:p>
    <w:p w:rsidR="00E52B95" w:rsidRPr="00E52B95" w:rsidRDefault="00E52B95" w:rsidP="00E52B95">
      <w:pPr>
        <w:pStyle w:val="NormalWeb"/>
        <w:spacing w:line="360" w:lineRule="auto"/>
        <w:jc w:val="both"/>
        <w:rPr>
          <w:b/>
          <w:color w:val="000000"/>
          <w:shd w:val="clear" w:color="auto" w:fill="FFFFFF"/>
        </w:rPr>
      </w:pPr>
      <w:r w:rsidRPr="00E52B95">
        <w:rPr>
          <w:b/>
          <w:color w:val="000000"/>
          <w:shd w:val="clear" w:color="auto" w:fill="FFFFFF"/>
        </w:rPr>
        <w:t xml:space="preserve">6.2. Anti-oxidant activity </w:t>
      </w:r>
    </w:p>
    <w:p w:rsidR="00E52B95" w:rsidRPr="00E52B95" w:rsidRDefault="00E52B95" w:rsidP="00E52B95">
      <w:pPr>
        <w:pStyle w:val="NormalWeb"/>
        <w:spacing w:line="360" w:lineRule="auto"/>
        <w:jc w:val="both"/>
        <w:rPr>
          <w:b/>
          <w:i/>
          <w:color w:val="000000"/>
          <w:shd w:val="clear" w:color="auto" w:fill="FFFFFF"/>
        </w:rPr>
      </w:pPr>
      <w:r w:rsidRPr="00E52B95">
        <w:rPr>
          <w:b/>
          <w:i/>
          <w:color w:val="000000"/>
          <w:shd w:val="clear" w:color="auto" w:fill="FFFFFF"/>
        </w:rPr>
        <w:t xml:space="preserve">6.2.1. Genus Zingiber  </w:t>
      </w:r>
    </w:p>
    <w:p w:rsidR="00E52B95" w:rsidRPr="00F97818" w:rsidRDefault="00E52B95" w:rsidP="00E52B95">
      <w:pPr>
        <w:pStyle w:val="NormalWeb"/>
        <w:spacing w:line="360" w:lineRule="auto"/>
        <w:jc w:val="both"/>
        <w:rPr>
          <w:color w:val="000000"/>
          <w:shd w:val="clear" w:color="auto" w:fill="FFFFFF"/>
        </w:rPr>
      </w:pPr>
      <w:r w:rsidRPr="00E52B95">
        <w:rPr>
          <w:rStyle w:val="citation-15"/>
          <w:bCs/>
          <w:i/>
          <w:iCs/>
          <w:color w:val="000000"/>
        </w:rPr>
        <w:t xml:space="preserve">The Zingiber  </w:t>
      </w:r>
      <w:r w:rsidRPr="00E52B95">
        <w:rPr>
          <w:rStyle w:val="citation-15"/>
          <w:bCs/>
          <w:color w:val="000000"/>
        </w:rPr>
        <w:t xml:space="preserve">species contain high levels of </w:t>
      </w:r>
      <w:r w:rsidRPr="00E52B95">
        <w:rPr>
          <w:rStyle w:val="citation-15"/>
          <w:color w:val="000000"/>
        </w:rPr>
        <w:t xml:space="preserve">  </w:t>
      </w:r>
      <w:r w:rsidRPr="00E52B95">
        <w:rPr>
          <w:rStyle w:val="citation-15"/>
          <w:bCs/>
          <w:color w:val="000000"/>
        </w:rPr>
        <w:t>polyphenols, flavanoids, gingerols and essential oils</w:t>
      </w:r>
      <w:r w:rsidRPr="00E52B95">
        <w:rPr>
          <w:rStyle w:val="citation-15"/>
          <w:color w:val="000000"/>
        </w:rPr>
        <w:t xml:space="preserve"> with cumulatively enhance their effective </w:t>
      </w:r>
      <w:r w:rsidRPr="00E52B95">
        <w:rPr>
          <w:rStyle w:val="citation-15"/>
          <w:bCs/>
          <w:color w:val="000000"/>
        </w:rPr>
        <w:t>antioxidant activity</w:t>
      </w:r>
      <w:r w:rsidRPr="00E52B95">
        <w:rPr>
          <w:rStyle w:val="citation-15"/>
          <w:color w:val="000000"/>
        </w:rPr>
        <w:t>. T</w:t>
      </w:r>
      <w:r w:rsidRPr="00E52B95">
        <w:rPr>
          <w:rStyle w:val="citation-14"/>
          <w:color w:val="000000"/>
        </w:rPr>
        <w:t xml:space="preserve">he ethanolic extract has significantly greater peroxyl radical scavenging than aqueous extracts in </w:t>
      </w:r>
      <w:r w:rsidRPr="00E52B95">
        <w:rPr>
          <w:rStyle w:val="citation-14"/>
          <w:i/>
          <w:color w:val="000000"/>
        </w:rPr>
        <w:t>Z.mioga</w:t>
      </w:r>
      <w:r w:rsidRPr="00E52B95">
        <w:rPr>
          <w:rStyle w:val="citation-14"/>
          <w:color w:val="000000"/>
        </w:rPr>
        <w:t>, which is associated with a high degree of polyphenols and flavanoids (Jo</w:t>
      </w:r>
      <w:r w:rsidRPr="00E52B95">
        <w:rPr>
          <w:color w:val="000000"/>
          <w:shd w:val="clear" w:color="auto" w:fill="FFFFFF"/>
        </w:rPr>
        <w:t xml:space="preserve"> </w:t>
      </w:r>
      <w:r w:rsidRPr="00E52B95">
        <w:rPr>
          <w:i/>
          <w:color w:val="000000"/>
          <w:shd w:val="clear" w:color="auto" w:fill="FFFFFF"/>
        </w:rPr>
        <w:t>et al</w:t>
      </w:r>
      <w:r w:rsidRPr="00E52B95">
        <w:rPr>
          <w:color w:val="000000"/>
          <w:shd w:val="clear" w:color="auto" w:fill="FFFFFF"/>
        </w:rPr>
        <w:t>., 2016).  The e</w:t>
      </w:r>
      <w:r w:rsidRPr="00E52B95">
        <w:rPr>
          <w:rStyle w:val="citation-13"/>
          <w:color w:val="000000"/>
        </w:rPr>
        <w:t xml:space="preserve">thyl-acetate extract of </w:t>
      </w:r>
      <w:r w:rsidRPr="00E52B95">
        <w:rPr>
          <w:rStyle w:val="citation-13"/>
          <w:bCs/>
          <w:i/>
          <w:iCs/>
          <w:color w:val="000000"/>
        </w:rPr>
        <w:t>Z. zerumbet al</w:t>
      </w:r>
      <w:r w:rsidRPr="00E52B95">
        <w:rPr>
          <w:rStyle w:val="citation-13"/>
          <w:color w:val="000000"/>
        </w:rPr>
        <w:t xml:space="preserve">leviates the neurotoxicity caused by its antioxidant properties, whereas </w:t>
      </w:r>
      <w:r w:rsidRPr="00E52B95">
        <w:rPr>
          <w:rStyle w:val="citation-13"/>
          <w:color w:val="000000"/>
        </w:rPr>
        <w:lastRenderedPageBreak/>
        <w:t xml:space="preserve">methanolic extract of </w:t>
      </w:r>
      <w:r w:rsidRPr="00E52B95">
        <w:rPr>
          <w:rStyle w:val="citation-13"/>
          <w:bCs/>
          <w:i/>
          <w:iCs/>
          <w:color w:val="000000"/>
        </w:rPr>
        <w:t>Z. officinale has a</w:t>
      </w:r>
      <w:r w:rsidRPr="00E52B95">
        <w:rPr>
          <w:rStyle w:val="citation-13"/>
          <w:color w:val="000000"/>
        </w:rPr>
        <w:t xml:space="preserve"> strong antioxidant capacity in DPPH, ABTS, and nitric oxide assays (</w:t>
      </w:r>
      <w:r w:rsidRPr="00E52B95">
        <w:rPr>
          <w:color w:val="000000"/>
          <w:shd w:val="clear" w:color="auto" w:fill="FFFFFF"/>
        </w:rPr>
        <w:t xml:space="preserve">Murugesan </w:t>
      </w:r>
      <w:r w:rsidRPr="00E52B95">
        <w:rPr>
          <w:i/>
          <w:color w:val="000000"/>
          <w:shd w:val="clear" w:color="auto" w:fill="FFFFFF"/>
        </w:rPr>
        <w:t>et al</w:t>
      </w:r>
      <w:r w:rsidRPr="00E52B95">
        <w:rPr>
          <w:color w:val="000000"/>
          <w:shd w:val="clear" w:color="auto" w:fill="FFFFFF"/>
        </w:rPr>
        <w:t>., 2020). A major advantage of k</w:t>
      </w:r>
      <w:r w:rsidRPr="00E52B95">
        <w:rPr>
          <w:color w:val="000000"/>
        </w:rPr>
        <w:t xml:space="preserve">ey essential oils, including </w:t>
      </w:r>
      <w:r w:rsidRPr="00E52B95">
        <w:rPr>
          <w:bCs/>
          <w:color w:val="000000"/>
        </w:rPr>
        <w:t>zerumbone,</w:t>
      </w:r>
      <w:r w:rsidRPr="00E52B95">
        <w:rPr>
          <w:color w:val="000000"/>
        </w:rPr>
        <w:t xml:space="preserve"> is their tremendous antioxidant strength, even exceeds ascorbic acid. </w:t>
      </w:r>
      <w:r w:rsidRPr="00E52B95">
        <w:rPr>
          <w:rStyle w:val="citation-12"/>
          <w:color w:val="000000"/>
        </w:rPr>
        <w:t xml:space="preserve">Furthermore, </w:t>
      </w:r>
      <w:r w:rsidRPr="00E52B95">
        <w:rPr>
          <w:rStyle w:val="citation-12"/>
          <w:bCs/>
          <w:color w:val="000000"/>
        </w:rPr>
        <w:t>gingerol and shogaol analogues</w:t>
      </w:r>
      <w:r w:rsidRPr="00E52B95">
        <w:rPr>
          <w:rStyle w:val="citation-12"/>
          <w:color w:val="000000"/>
        </w:rPr>
        <w:t xml:space="preserve"> (e.g., 6-, 8-, 10-gingerol, and 6-shogaol) show potent DPPH radical scavenging activity, with 6-shogaol often exhibiting the highest antioxidant effect due to its unsaturated ketone moieties.</w:t>
      </w:r>
      <w:r w:rsidRPr="00E52B95">
        <w:rPr>
          <w:color w:val="000000"/>
        </w:rPr>
        <w:t xml:space="preserve"> The structure-activity relationship shows that substituent groups and alkyl chain length are very vital factors that determines antioxidant effects </w:t>
      </w:r>
      <w:r w:rsidRPr="00E52B95">
        <w:rPr>
          <w:color w:val="000000"/>
          <w:shd w:val="clear" w:color="auto" w:fill="FFFFFF"/>
        </w:rPr>
        <w:t xml:space="preserve">(Dugasani </w:t>
      </w:r>
      <w:r w:rsidRPr="00E52B95">
        <w:rPr>
          <w:i/>
          <w:color w:val="000000"/>
          <w:shd w:val="clear" w:color="auto" w:fill="FFFFFF"/>
        </w:rPr>
        <w:t>et al</w:t>
      </w:r>
      <w:r w:rsidR="00F97818">
        <w:rPr>
          <w:color w:val="000000"/>
          <w:shd w:val="clear" w:color="auto" w:fill="FFFFFF"/>
        </w:rPr>
        <w:t>., 2010).</w:t>
      </w:r>
    </w:p>
    <w:p w:rsidR="00E52B95" w:rsidRPr="00E52B95" w:rsidRDefault="00E52B95" w:rsidP="00E52B95">
      <w:pPr>
        <w:pStyle w:val="NormalWeb"/>
        <w:spacing w:line="360" w:lineRule="auto"/>
        <w:jc w:val="both"/>
        <w:rPr>
          <w:b/>
          <w:i/>
          <w:color w:val="000000"/>
          <w:shd w:val="clear" w:color="auto" w:fill="FFFFFF"/>
        </w:rPr>
      </w:pPr>
      <w:r w:rsidRPr="00E52B95">
        <w:rPr>
          <w:b/>
          <w:i/>
          <w:color w:val="000000"/>
          <w:shd w:val="clear" w:color="auto" w:fill="FFFFFF"/>
        </w:rPr>
        <w:t>6.2.2. Genus Curcuma</w:t>
      </w:r>
    </w:p>
    <w:p w:rsidR="00E52B95" w:rsidRPr="00E52B95" w:rsidRDefault="00E52B95" w:rsidP="00E52B95">
      <w:pPr>
        <w:pStyle w:val="NormalWeb"/>
        <w:spacing w:line="360" w:lineRule="auto"/>
        <w:jc w:val="both"/>
        <w:rPr>
          <w:b/>
          <w:i/>
          <w:color w:val="000000"/>
          <w:shd w:val="clear" w:color="auto" w:fill="FFFFFF"/>
        </w:rPr>
      </w:pPr>
      <w:r w:rsidRPr="00E52B95">
        <w:rPr>
          <w:rStyle w:val="citation-344"/>
          <w:color w:val="000000"/>
        </w:rPr>
        <w:t>Curcumin has been reported to reduce systemic evidence of oxidative stress</w:t>
      </w:r>
      <w:r w:rsidRPr="00E52B95">
        <w:rPr>
          <w:color w:val="000000"/>
        </w:rPr>
        <w:t xml:space="preserve">. </w:t>
      </w:r>
      <w:r w:rsidRPr="00E52B95">
        <w:rPr>
          <w:rStyle w:val="citation-343"/>
          <w:color w:val="000000"/>
        </w:rPr>
        <w:t>It increases serum antioxidant enzyme activity, like superoxide dismutase (SOD)</w:t>
      </w:r>
      <w:r w:rsidRPr="00E52B95">
        <w:rPr>
          <w:color w:val="000000"/>
        </w:rPr>
        <w:t xml:space="preserve">. Also, </w:t>
      </w:r>
      <w:r w:rsidRPr="00E52B95">
        <w:rPr>
          <w:rStyle w:val="citation-342"/>
          <w:color w:val="000000"/>
        </w:rPr>
        <w:t>Curcumin is capable of scavenging various free radicals, including reactive oxygen species (ROS) and reactive nitrogen species (RNS)</w:t>
      </w:r>
      <w:r w:rsidRPr="00E52B95">
        <w:rPr>
          <w:color w:val="000000"/>
        </w:rPr>
        <w:t xml:space="preserve">. </w:t>
      </w:r>
      <w:r w:rsidRPr="00E52B95">
        <w:rPr>
          <w:rStyle w:val="citation-341"/>
          <w:color w:val="000000"/>
        </w:rPr>
        <w:t>It also inhibits ROS-generating enzymes such as lipoxygenase/cyclooxygenase and xanthine hydrogenase/oxidase</w:t>
      </w:r>
      <w:r w:rsidRPr="00E52B95">
        <w:rPr>
          <w:color w:val="000000"/>
        </w:rPr>
        <w:t xml:space="preserve">. </w:t>
      </w:r>
      <w:r w:rsidRPr="00E52B95">
        <w:rPr>
          <w:rStyle w:val="citation-340"/>
          <w:color w:val="000000"/>
        </w:rPr>
        <w:t>Additionally, curcumin can effectively serve as a peroxyl radical scavenger, similar to vitamin E, making it a chain-breaking antioxidant</w:t>
      </w:r>
      <w:r w:rsidRPr="00E52B95">
        <w:rPr>
          <w:color w:val="000000"/>
        </w:rPr>
        <w:t xml:space="preserve">. </w:t>
      </w:r>
      <w:r w:rsidRPr="00E52B95">
        <w:rPr>
          <w:rStyle w:val="citation-339"/>
          <w:color w:val="000000"/>
        </w:rPr>
        <w:t>The presence of the conjugated architecture which consists of two methoxylated phenolic moieties and an enol form of β-diketone accounts as to the presence of this antioxidant activity (</w:t>
      </w:r>
      <w:r w:rsidRPr="00E52B95">
        <w:rPr>
          <w:color w:val="000000"/>
          <w:shd w:val="clear" w:color="auto" w:fill="FFFFFF"/>
        </w:rPr>
        <w:t xml:space="preserve">Panahi </w:t>
      </w:r>
      <w:r w:rsidRPr="00E52B95">
        <w:rPr>
          <w:i/>
          <w:color w:val="000000"/>
          <w:shd w:val="clear" w:color="auto" w:fill="FFFFFF"/>
        </w:rPr>
        <w:t>et al</w:t>
      </w:r>
      <w:r w:rsidRPr="00E52B95">
        <w:rPr>
          <w:color w:val="000000"/>
          <w:shd w:val="clear" w:color="auto" w:fill="FFFFFF"/>
        </w:rPr>
        <w:t>., 2016).</w:t>
      </w:r>
    </w:p>
    <w:p w:rsidR="00E52B95" w:rsidRPr="00E52B95" w:rsidRDefault="00E52B95" w:rsidP="00E52B95">
      <w:pPr>
        <w:spacing w:before="100" w:beforeAutospacing="1" w:after="100" w:afterAutospacing="1" w:line="360" w:lineRule="auto"/>
        <w:jc w:val="both"/>
        <w:rPr>
          <w:rFonts w:ascii="Times New Roman" w:eastAsia="Times New Roman" w:hAnsi="Times New Roman" w:cs="Times New Roman"/>
          <w:b/>
          <w:i/>
          <w:color w:val="000000"/>
          <w:sz w:val="24"/>
          <w:szCs w:val="24"/>
          <w:lang w:eastAsia="en-IN"/>
        </w:rPr>
      </w:pPr>
      <w:r w:rsidRPr="00E52B95">
        <w:rPr>
          <w:rFonts w:ascii="Times New Roman" w:eastAsia="Times New Roman" w:hAnsi="Times New Roman" w:cs="Times New Roman"/>
          <w:b/>
          <w:i/>
          <w:color w:val="000000"/>
          <w:sz w:val="24"/>
          <w:szCs w:val="24"/>
          <w:lang w:eastAsia="en-IN"/>
        </w:rPr>
        <w:t>6.2.3. Genus Alpinia</w:t>
      </w:r>
    </w:p>
    <w:p w:rsidR="00E52B95" w:rsidRPr="00E52B95" w:rsidRDefault="00E52B95" w:rsidP="00E52B95">
      <w:pPr>
        <w:spacing w:before="100" w:beforeAutospacing="1" w:after="100" w:afterAutospacing="1" w:line="360" w:lineRule="auto"/>
        <w:jc w:val="both"/>
        <w:rPr>
          <w:rFonts w:ascii="Times New Roman" w:hAnsi="Times New Roman" w:cs="Times New Roman"/>
          <w:color w:val="000000"/>
          <w:sz w:val="24"/>
          <w:szCs w:val="24"/>
          <w:shd w:val="clear" w:color="auto" w:fill="FFFFFF"/>
        </w:rPr>
      </w:pPr>
      <w:r w:rsidRPr="00E52B95">
        <w:rPr>
          <w:rFonts w:ascii="Times New Roman" w:eastAsia="Times New Roman" w:hAnsi="Times New Roman" w:cs="Times New Roman"/>
          <w:color w:val="000000"/>
          <w:sz w:val="24"/>
          <w:szCs w:val="24"/>
          <w:lang w:eastAsia="en-IN"/>
        </w:rPr>
        <w:t xml:space="preserve">The antioxidant potential of essential oils from various </w:t>
      </w:r>
      <w:r w:rsidRPr="00E52B95">
        <w:rPr>
          <w:rFonts w:ascii="Times New Roman" w:eastAsia="Times New Roman" w:hAnsi="Times New Roman" w:cs="Times New Roman"/>
          <w:i/>
          <w:iCs/>
          <w:color w:val="000000"/>
          <w:sz w:val="24"/>
          <w:szCs w:val="24"/>
          <w:lang w:eastAsia="en-IN"/>
        </w:rPr>
        <w:t>Alpinia</w:t>
      </w:r>
      <w:r w:rsidR="007413AD">
        <w:rPr>
          <w:rFonts w:ascii="Times New Roman" w:eastAsia="Times New Roman" w:hAnsi="Times New Roman" w:cs="Times New Roman"/>
          <w:i/>
          <w:iCs/>
          <w:color w:val="000000"/>
          <w:sz w:val="24"/>
          <w:szCs w:val="24"/>
          <w:lang w:eastAsia="en-IN"/>
        </w:rPr>
        <w:t xml:space="preserve"> </w:t>
      </w:r>
      <w:r w:rsidRPr="00E52B95">
        <w:rPr>
          <w:rFonts w:ascii="Times New Roman" w:eastAsia="Times New Roman" w:hAnsi="Times New Roman" w:cs="Times New Roman"/>
          <w:color w:val="000000"/>
          <w:sz w:val="24"/>
          <w:szCs w:val="24"/>
          <w:lang w:eastAsia="en-IN"/>
        </w:rPr>
        <w:t xml:space="preserve">species has been widely studied across different regions. The essential oil of </w:t>
      </w:r>
      <w:r w:rsidRPr="00E52B95">
        <w:rPr>
          <w:rFonts w:ascii="Times New Roman" w:eastAsia="Times New Roman" w:hAnsi="Times New Roman" w:cs="Times New Roman"/>
          <w:i/>
          <w:iCs/>
          <w:color w:val="000000"/>
          <w:sz w:val="24"/>
          <w:szCs w:val="24"/>
          <w:lang w:eastAsia="en-IN"/>
        </w:rPr>
        <w:t>A. galanga</w:t>
      </w:r>
      <w:r w:rsidR="007413AD">
        <w:rPr>
          <w:rFonts w:ascii="Times New Roman" w:eastAsia="Times New Roman" w:hAnsi="Times New Roman" w:cs="Times New Roman"/>
          <w:color w:val="000000"/>
          <w:sz w:val="24"/>
          <w:szCs w:val="24"/>
          <w:lang w:eastAsia="en-IN"/>
        </w:rPr>
        <w:t xml:space="preserve"> from</w:t>
      </w:r>
      <w:r w:rsidRPr="00E52B95">
        <w:rPr>
          <w:rFonts w:ascii="Times New Roman" w:eastAsia="Times New Roman" w:hAnsi="Times New Roman" w:cs="Times New Roman"/>
          <w:color w:val="000000"/>
          <w:sz w:val="24"/>
          <w:szCs w:val="24"/>
          <w:lang w:eastAsia="en-IN"/>
        </w:rPr>
        <w:t xml:space="preserve"> Vietnam exhibited 47.15% inhibition in the DPPH assay. Strong radical-scavenging activity was observed in </w:t>
      </w:r>
      <w:r w:rsidRPr="00E52B95">
        <w:rPr>
          <w:rFonts w:ascii="Times New Roman" w:eastAsia="Times New Roman" w:hAnsi="Times New Roman" w:cs="Times New Roman"/>
          <w:i/>
          <w:iCs/>
          <w:color w:val="000000"/>
          <w:sz w:val="24"/>
          <w:szCs w:val="24"/>
          <w:lang w:eastAsia="en-IN"/>
        </w:rPr>
        <w:t>A. malaccensis</w:t>
      </w:r>
      <w:r w:rsidRPr="00E52B95">
        <w:rPr>
          <w:rFonts w:ascii="Times New Roman" w:eastAsia="Times New Roman" w:hAnsi="Times New Roman" w:cs="Times New Roman"/>
          <w:color w:val="000000"/>
          <w:sz w:val="24"/>
          <w:szCs w:val="24"/>
          <w:lang w:eastAsia="en-IN"/>
        </w:rPr>
        <w:t xml:space="preserve"> from Odisha, India with IC₅₀ values of 18.26 and 20 mg/mL in DPPH and ABTS assays, respectively, while its variety </w:t>
      </w:r>
      <w:r w:rsidRPr="00E52B95">
        <w:rPr>
          <w:rFonts w:ascii="Times New Roman" w:eastAsia="Times New Roman" w:hAnsi="Times New Roman" w:cs="Times New Roman"/>
          <w:i/>
          <w:iCs/>
          <w:color w:val="000000"/>
          <w:sz w:val="24"/>
          <w:szCs w:val="24"/>
          <w:lang w:eastAsia="en-IN"/>
        </w:rPr>
        <w:t>nobilis</w:t>
      </w:r>
      <w:r w:rsidRPr="00E52B95">
        <w:rPr>
          <w:rFonts w:ascii="Times New Roman" w:eastAsia="Times New Roman" w:hAnsi="Times New Roman" w:cs="Times New Roman"/>
          <w:color w:val="000000"/>
          <w:sz w:val="24"/>
          <w:szCs w:val="24"/>
          <w:lang w:eastAsia="en-IN"/>
        </w:rPr>
        <w:t xml:space="preserve"> from Malaysia showed IC₅₀ of 32.67 mg/mL (DPPH), 26.59 mg GAE/g (ABTS), and 24.56 µM TE/g (FRAP)</w:t>
      </w:r>
      <w:r w:rsidRPr="00E52B95">
        <w:rPr>
          <w:rFonts w:ascii="Times New Roman" w:hAnsi="Times New Roman" w:cs="Times New Roman"/>
          <w:color w:val="000000"/>
          <w:sz w:val="24"/>
          <w:szCs w:val="24"/>
          <w:shd w:val="clear" w:color="auto" w:fill="FFFFFF"/>
        </w:rPr>
        <w:t xml:space="preserve">(Sahoo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.,2014).</w:t>
      </w:r>
      <w:r w:rsidRPr="00E52B95">
        <w:rPr>
          <w:rFonts w:ascii="Times New Roman" w:eastAsia="Times New Roman" w:hAnsi="Times New Roman" w:cs="Times New Roman"/>
          <w:i/>
          <w:iCs/>
          <w:color w:val="000000"/>
          <w:sz w:val="24"/>
          <w:szCs w:val="24"/>
          <w:lang w:eastAsia="en-IN"/>
        </w:rPr>
        <w:t>A. nigra</w:t>
      </w:r>
      <w:r w:rsidRPr="00E52B95">
        <w:rPr>
          <w:rFonts w:ascii="Times New Roman" w:eastAsia="Times New Roman" w:hAnsi="Times New Roman" w:cs="Times New Roman"/>
          <w:color w:val="000000"/>
          <w:sz w:val="24"/>
          <w:szCs w:val="24"/>
          <w:lang w:eastAsia="en-IN"/>
        </w:rPr>
        <w:t xml:space="preserve"> from Guwahati demonstrated the strongest antioxidant activity in rhizome oil (IC₅₀ = 36.83 mg/mL), followed by seed, leaf, and flower oils, and the same species from West Bengal showed significantly stronger antioxidant values (IC₅₀ = 4.05 mg/mL for DPPH)</w:t>
      </w:r>
      <w:r w:rsidRPr="00E52B95">
        <w:rPr>
          <w:rFonts w:ascii="Times New Roman" w:hAnsi="Times New Roman" w:cs="Times New Roman"/>
          <w:color w:val="000000"/>
          <w:sz w:val="24"/>
          <w:szCs w:val="24"/>
          <w:shd w:val="clear" w:color="auto" w:fill="FFFFFF"/>
        </w:rPr>
        <w:t xml:space="preserve">(Ghosh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2014).</w:t>
      </w:r>
      <w:r w:rsidRPr="00E52B95">
        <w:rPr>
          <w:rFonts w:ascii="Times New Roman" w:eastAsia="Times New Roman" w:hAnsi="Times New Roman" w:cs="Times New Roman"/>
          <w:color w:val="000000"/>
          <w:sz w:val="24"/>
          <w:szCs w:val="24"/>
          <w:lang w:eastAsia="en-IN"/>
        </w:rPr>
        <w:t xml:space="preserve"> Essential oils from </w:t>
      </w:r>
      <w:r w:rsidRPr="00E52B95">
        <w:rPr>
          <w:rFonts w:ascii="Times New Roman" w:eastAsia="Times New Roman" w:hAnsi="Times New Roman" w:cs="Times New Roman"/>
          <w:i/>
          <w:iCs/>
          <w:color w:val="000000"/>
          <w:sz w:val="24"/>
          <w:szCs w:val="24"/>
          <w:lang w:eastAsia="en-IN"/>
        </w:rPr>
        <w:t>A. speciosa</w:t>
      </w:r>
      <w:r w:rsidRPr="00E52B95">
        <w:rPr>
          <w:rFonts w:ascii="Times New Roman" w:eastAsia="Times New Roman" w:hAnsi="Times New Roman" w:cs="Times New Roman"/>
          <w:color w:val="000000"/>
          <w:sz w:val="24"/>
          <w:szCs w:val="24"/>
          <w:lang w:eastAsia="en-IN"/>
        </w:rPr>
        <w:t xml:space="preserve"> displayed increasing inhibition of DPPH radicals at higher concentrations, with seed oil showing up to 63.1% and leaf oil up to 67% inhibition. A comparative study by Kuraya </w:t>
      </w:r>
      <w:r w:rsidRPr="00E52B95">
        <w:rPr>
          <w:rFonts w:ascii="Times New Roman" w:eastAsia="Times New Roman" w:hAnsi="Times New Roman" w:cs="Times New Roman"/>
          <w:i/>
          <w:color w:val="000000"/>
          <w:sz w:val="24"/>
          <w:szCs w:val="24"/>
          <w:lang w:eastAsia="en-IN"/>
        </w:rPr>
        <w:t>et al</w:t>
      </w:r>
      <w:r w:rsidRPr="00E52B95">
        <w:rPr>
          <w:rFonts w:ascii="Times New Roman" w:eastAsia="Times New Roman" w:hAnsi="Times New Roman" w:cs="Times New Roman"/>
          <w:color w:val="000000"/>
          <w:sz w:val="24"/>
          <w:szCs w:val="24"/>
          <w:lang w:eastAsia="en-IN"/>
        </w:rPr>
        <w:t xml:space="preserve">. on </w:t>
      </w:r>
      <w:r w:rsidRPr="00E52B95">
        <w:rPr>
          <w:rFonts w:ascii="Times New Roman" w:eastAsia="Times New Roman" w:hAnsi="Times New Roman" w:cs="Times New Roman"/>
          <w:i/>
          <w:iCs/>
          <w:color w:val="000000"/>
          <w:sz w:val="24"/>
          <w:szCs w:val="24"/>
          <w:lang w:eastAsia="en-IN"/>
        </w:rPr>
        <w:t>A. zerumbet</w:t>
      </w:r>
      <w:r w:rsidRPr="00E52B95">
        <w:rPr>
          <w:rFonts w:ascii="Times New Roman" w:eastAsia="Times New Roman" w:hAnsi="Times New Roman" w:cs="Times New Roman"/>
          <w:color w:val="000000"/>
          <w:sz w:val="24"/>
          <w:szCs w:val="24"/>
          <w:lang w:eastAsia="en-IN"/>
        </w:rPr>
        <w:t xml:space="preserve"> collected from Japan revealed seasonal and </w:t>
      </w:r>
      <w:r w:rsidRPr="00E52B95">
        <w:rPr>
          <w:rFonts w:ascii="Times New Roman" w:eastAsia="Times New Roman" w:hAnsi="Times New Roman" w:cs="Times New Roman"/>
          <w:color w:val="000000"/>
          <w:sz w:val="24"/>
          <w:szCs w:val="24"/>
          <w:lang w:eastAsia="en-IN"/>
        </w:rPr>
        <w:lastRenderedPageBreak/>
        <w:t xml:space="preserve">individual variations in oil yield and antioxidant activity, which were inversely correlated and linked to polar compounds. Additionally, </w:t>
      </w:r>
      <w:r w:rsidRPr="00E52B95">
        <w:rPr>
          <w:rFonts w:ascii="Times New Roman" w:eastAsia="Times New Roman" w:hAnsi="Times New Roman" w:cs="Times New Roman"/>
          <w:i/>
          <w:iCs/>
          <w:color w:val="000000"/>
          <w:sz w:val="24"/>
          <w:szCs w:val="24"/>
          <w:lang w:eastAsia="en-IN"/>
        </w:rPr>
        <w:t>A. zerumbet</w:t>
      </w:r>
      <w:r w:rsidRPr="00E52B95">
        <w:rPr>
          <w:rFonts w:ascii="Times New Roman" w:eastAsia="Times New Roman" w:hAnsi="Times New Roman" w:cs="Times New Roman"/>
          <w:color w:val="000000"/>
          <w:sz w:val="24"/>
          <w:szCs w:val="24"/>
          <w:lang w:eastAsia="en-IN"/>
        </w:rPr>
        <w:t xml:space="preserve"> fruit rind oil exhibited 56.5% inhibition (IC₅₀ = 15.17 mg/mL), outperforming rhizome oil (8.9% inhibition) at 20 mg/mL. Leaf oil of </w:t>
      </w:r>
      <w:r w:rsidRPr="00E52B95">
        <w:rPr>
          <w:rFonts w:ascii="Times New Roman" w:eastAsia="Times New Roman" w:hAnsi="Times New Roman" w:cs="Times New Roman"/>
          <w:i/>
          <w:iCs/>
          <w:color w:val="000000"/>
          <w:sz w:val="24"/>
          <w:szCs w:val="24"/>
          <w:lang w:eastAsia="en-IN"/>
        </w:rPr>
        <w:t>A. latilabris</w:t>
      </w:r>
      <w:r w:rsidRPr="00E52B95">
        <w:rPr>
          <w:rFonts w:ascii="Times New Roman" w:eastAsia="Times New Roman" w:hAnsi="Times New Roman" w:cs="Times New Roman"/>
          <w:color w:val="000000"/>
          <w:sz w:val="24"/>
          <w:szCs w:val="24"/>
          <w:lang w:eastAsia="en-IN"/>
        </w:rPr>
        <w:t xml:space="preserve"> from Malaysia showed moderate antioxidant potential via DPPH (IC₅₀ = 54.33 mg/mL), ABTS (14.47 mg GAE/g), and FRAP (17.51 µM TE/g). The presence of β-caryophyllene, a key bioactive compound, contributes significantly to the antioxidant effect, with IC₅₀ values of 1.25 mM (DPPH) and 3.23 mM (FRAP), although its radical interaction mechanisms remain poorly understood </w:t>
      </w:r>
      <w:r w:rsidRPr="00E52B95">
        <w:rPr>
          <w:rFonts w:ascii="Times New Roman" w:hAnsi="Times New Roman" w:cs="Times New Roman"/>
          <w:color w:val="000000"/>
          <w:sz w:val="24"/>
          <w:szCs w:val="24"/>
          <w:shd w:val="clear" w:color="auto" w:fill="FFFFFF"/>
        </w:rPr>
        <w:t xml:space="preserve">(Van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2021).</w:t>
      </w:r>
    </w:p>
    <w:p w:rsidR="00E52B95" w:rsidRPr="00E52B95" w:rsidRDefault="00E52B95" w:rsidP="00E52B95">
      <w:pPr>
        <w:spacing w:before="100" w:beforeAutospacing="1" w:after="100" w:afterAutospacing="1" w:line="360" w:lineRule="auto"/>
        <w:jc w:val="both"/>
        <w:rPr>
          <w:rFonts w:ascii="Times New Roman" w:hAnsi="Times New Roman" w:cs="Times New Roman"/>
          <w:b/>
          <w:color w:val="000000"/>
          <w:sz w:val="24"/>
          <w:szCs w:val="24"/>
          <w:shd w:val="clear" w:color="auto" w:fill="FFFFFF"/>
        </w:rPr>
      </w:pPr>
      <w:r w:rsidRPr="00E52B95">
        <w:rPr>
          <w:rFonts w:ascii="Times New Roman" w:hAnsi="Times New Roman" w:cs="Times New Roman"/>
          <w:b/>
          <w:color w:val="000000"/>
          <w:sz w:val="24"/>
          <w:szCs w:val="24"/>
          <w:shd w:val="clear" w:color="auto" w:fill="FFFFFF"/>
        </w:rPr>
        <w:t xml:space="preserve">6.2.4. Genus </w:t>
      </w:r>
      <w:r w:rsidRPr="00E52B95">
        <w:rPr>
          <w:rStyle w:val="citation-13"/>
          <w:rFonts w:ascii="Times New Roman" w:hAnsi="Times New Roman" w:cs="Times New Roman"/>
          <w:b/>
          <w:i/>
          <w:iCs/>
          <w:color w:val="000000"/>
          <w:sz w:val="24"/>
          <w:szCs w:val="24"/>
        </w:rPr>
        <w:t>Kaempferia</w:t>
      </w:r>
    </w:p>
    <w:p w:rsidR="00E52B95" w:rsidRPr="00150AB0" w:rsidRDefault="00150AB0" w:rsidP="00E52B95">
      <w:pPr>
        <w:pStyle w:val="NormalWeb"/>
        <w:spacing w:line="360" w:lineRule="auto"/>
        <w:jc w:val="both"/>
        <w:rPr>
          <w:color w:val="000000"/>
        </w:rPr>
      </w:pPr>
      <w:r w:rsidRPr="00150AB0">
        <w:t xml:space="preserve">Research on species in the genus, Kaempferia, has indicated strong antioxidant effects, which are mainly due to extract and flavonoid contents. The metabolic extract of </w:t>
      </w:r>
      <w:r w:rsidRPr="00150AB0">
        <w:rPr>
          <w:i/>
        </w:rPr>
        <w:t>K. galanga</w:t>
      </w:r>
      <w:r w:rsidRPr="00150AB0">
        <w:t xml:space="preserve"> rhizome showed substantial radical-scavenging activity with DPPH, ABTS, and nitric oxide radicals with the IC 50 of 16.58, 8.24, and 38.16 1 </w:t>
      </w:r>
      <w:r w:rsidRPr="00150AB0">
        <w:rPr>
          <w:rStyle w:val="mord"/>
          <w:color w:val="000000"/>
        </w:rPr>
        <w:t>μ</w:t>
      </w:r>
      <w:r w:rsidRPr="00150AB0">
        <w:rPr>
          <w:color w:val="000000"/>
        </w:rPr>
        <w:t>g/ml</w:t>
      </w:r>
      <w:r w:rsidRPr="00150AB0">
        <w:t xml:space="preserve"> respectively, thus highlighting this behaviour as a strong antioxidant. At the same time, two flavanones obtained as products of the rhizomes of </w:t>
      </w:r>
      <w:r w:rsidRPr="00150AB0">
        <w:rPr>
          <w:i/>
        </w:rPr>
        <w:t>K. pandurata,</w:t>
      </w:r>
      <w:r w:rsidRPr="00150AB0">
        <w:t xml:space="preserve"> pinostrobin and pinocembrin, exhibited antioxidant activity against DPPH with IC50 values of 6268 and 5816 </w:t>
      </w:r>
      <w:r w:rsidRPr="00150AB0">
        <w:rPr>
          <w:rStyle w:val="mord"/>
          <w:color w:val="000000"/>
        </w:rPr>
        <w:t>μ</w:t>
      </w:r>
      <w:r w:rsidRPr="00150AB0">
        <w:rPr>
          <w:color w:val="000000"/>
        </w:rPr>
        <w:t>mol/L</w:t>
      </w:r>
      <w:r w:rsidRPr="00150AB0">
        <w:t xml:space="preserve"> respectively. The overall outcomes of these studies support the idea that the species of the genus </w:t>
      </w:r>
      <w:r w:rsidRPr="00150AB0">
        <w:rPr>
          <w:i/>
        </w:rPr>
        <w:t>Kaempferia</w:t>
      </w:r>
      <w:r w:rsidRPr="00150AB0">
        <w:t xml:space="preserve"> can be used as natural sources of antioxidant compounds (Tanjung et al., 2013).</w:t>
      </w:r>
    </w:p>
    <w:p w:rsidR="00E52B95" w:rsidRPr="00E52B95" w:rsidRDefault="00E52B95" w:rsidP="00E52B95">
      <w:pPr>
        <w:pStyle w:val="NormalWeb"/>
        <w:spacing w:line="360" w:lineRule="auto"/>
        <w:jc w:val="both"/>
        <w:rPr>
          <w:b/>
          <w:i/>
          <w:color w:val="000000"/>
        </w:rPr>
      </w:pPr>
      <w:r w:rsidRPr="00E52B95">
        <w:rPr>
          <w:b/>
          <w:i/>
          <w:color w:val="000000"/>
        </w:rPr>
        <w:t xml:space="preserve">6.2.5. Genus Hedychium </w:t>
      </w:r>
    </w:p>
    <w:p w:rsidR="00E52B95" w:rsidRPr="00E52B95" w:rsidRDefault="00E52B95" w:rsidP="00E52B95">
      <w:pPr>
        <w:pStyle w:val="NormalWeb"/>
        <w:spacing w:line="360" w:lineRule="auto"/>
        <w:jc w:val="both"/>
        <w:rPr>
          <w:color w:val="000000"/>
          <w:shd w:val="clear" w:color="auto" w:fill="FFFFFF"/>
        </w:rPr>
      </w:pPr>
      <w:r w:rsidRPr="00E52B95">
        <w:rPr>
          <w:color w:val="000000"/>
        </w:rPr>
        <w:t xml:space="preserve">Studies show that </w:t>
      </w:r>
      <w:r w:rsidRPr="00E52B95">
        <w:rPr>
          <w:i/>
          <w:iCs/>
          <w:color w:val="000000"/>
        </w:rPr>
        <w:t>Hedychium</w:t>
      </w:r>
      <w:r w:rsidRPr="00E52B95">
        <w:rPr>
          <w:color w:val="000000"/>
        </w:rPr>
        <w:t xml:space="preserve"> rhizomes are potent sources of antioxidants. </w:t>
      </w:r>
      <w:r w:rsidRPr="00E52B95">
        <w:rPr>
          <w:i/>
          <w:iCs/>
          <w:color w:val="000000"/>
        </w:rPr>
        <w:t>H. coronarium</w:t>
      </w:r>
      <w:r w:rsidRPr="00E52B95">
        <w:rPr>
          <w:color w:val="000000"/>
        </w:rPr>
        <w:t xml:space="preserve"> Koenig rhizome displayed an impressive 89.6% antioxidant capacity, with its methanolic extract showing over 90% reducing power in DPPH scavenging tests. Various extracts of </w:t>
      </w:r>
      <w:r w:rsidRPr="00E52B95">
        <w:rPr>
          <w:i/>
          <w:iCs/>
          <w:color w:val="000000"/>
        </w:rPr>
        <w:t>H. coronarium</w:t>
      </w:r>
      <w:r w:rsidRPr="00E52B95">
        <w:rPr>
          <w:color w:val="000000"/>
        </w:rPr>
        <w:t xml:space="preserve">, including methanolic and aqueous extracts from leaves and rhizomes, demonstrated strong free radical inhibition, ranging from 92.9% to 98.1%. Similarly, the methanolic extract of </w:t>
      </w:r>
      <w:r w:rsidRPr="00E52B95">
        <w:rPr>
          <w:i/>
          <w:iCs/>
          <w:color w:val="000000"/>
        </w:rPr>
        <w:t>H. spicatum</w:t>
      </w:r>
      <w:r w:rsidRPr="00E52B95">
        <w:rPr>
          <w:color w:val="000000"/>
        </w:rPr>
        <w:t xml:space="preserve"> rhizome from different Indian locations exhibited notable antioxidant activity in DPPH assays, with IC50 values between 0.549-1.059 mM AAE per 100g dry weight. The essential oils of </w:t>
      </w:r>
      <w:r w:rsidRPr="00E52B95">
        <w:rPr>
          <w:i/>
          <w:iCs/>
          <w:color w:val="000000"/>
        </w:rPr>
        <w:t>H. spicatum</w:t>
      </w:r>
      <w:r w:rsidRPr="00E52B95">
        <w:rPr>
          <w:color w:val="000000"/>
        </w:rPr>
        <w:t xml:space="preserve"> also proved to be effective antioxidants, showing an IC50 of 21.67 </w:t>
      </w:r>
      <w:r w:rsidRPr="00E52B95">
        <w:rPr>
          <w:rStyle w:val="mord"/>
          <w:color w:val="000000"/>
        </w:rPr>
        <w:t>μ</w:t>
      </w:r>
      <w:r w:rsidRPr="00E52B95">
        <w:rPr>
          <w:color w:val="000000"/>
        </w:rPr>
        <w:t xml:space="preserve">L/mL in DPPH assays. These findings suggest that both the methanolic rhizome extracts and essential oils of </w:t>
      </w:r>
      <w:r w:rsidRPr="00E52B95">
        <w:rPr>
          <w:i/>
          <w:iCs/>
          <w:color w:val="000000"/>
        </w:rPr>
        <w:t>H. spicatum</w:t>
      </w:r>
      <w:r w:rsidRPr="00E52B95">
        <w:rPr>
          <w:color w:val="000000"/>
        </w:rPr>
        <w:t xml:space="preserve"> are promising antioxidant sources (</w:t>
      </w:r>
      <w:r w:rsidRPr="00E52B95">
        <w:rPr>
          <w:color w:val="000000"/>
          <w:shd w:val="clear" w:color="auto" w:fill="FFFFFF"/>
        </w:rPr>
        <w:t xml:space="preserve">Reddy </w:t>
      </w:r>
      <w:r w:rsidRPr="00E52B95">
        <w:rPr>
          <w:i/>
          <w:color w:val="000000"/>
          <w:shd w:val="clear" w:color="auto" w:fill="FFFFFF"/>
        </w:rPr>
        <w:t>et al</w:t>
      </w:r>
      <w:r w:rsidRPr="00E52B95">
        <w:rPr>
          <w:color w:val="000000"/>
          <w:shd w:val="clear" w:color="auto" w:fill="FFFFFF"/>
        </w:rPr>
        <w:t>., 2010).</w:t>
      </w:r>
    </w:p>
    <w:p w:rsidR="00E52B95" w:rsidRPr="00E52B95" w:rsidRDefault="00E52B95" w:rsidP="00E52B95">
      <w:pPr>
        <w:pStyle w:val="NormalWeb"/>
        <w:spacing w:line="360" w:lineRule="auto"/>
        <w:jc w:val="both"/>
        <w:rPr>
          <w:b/>
          <w:color w:val="000000"/>
        </w:rPr>
      </w:pPr>
      <w:r w:rsidRPr="00E52B95">
        <w:rPr>
          <w:b/>
          <w:color w:val="000000"/>
          <w:shd w:val="clear" w:color="auto" w:fill="FFFFFF"/>
        </w:rPr>
        <w:lastRenderedPageBreak/>
        <w:t xml:space="preserve">6.2.6. Genus </w:t>
      </w:r>
      <w:r w:rsidRPr="00E52B95">
        <w:rPr>
          <w:rStyle w:val="Emphasis"/>
          <w:b/>
          <w:color w:val="000000"/>
        </w:rPr>
        <w:t>Etlingera</w:t>
      </w:r>
    </w:p>
    <w:p w:rsidR="00E52B95" w:rsidRPr="00E52B95" w:rsidRDefault="00E52B95" w:rsidP="00E52B95">
      <w:pPr>
        <w:pStyle w:val="NormalWeb"/>
        <w:spacing w:line="360" w:lineRule="auto"/>
        <w:jc w:val="both"/>
        <w:rPr>
          <w:color w:val="000000"/>
          <w:shd w:val="clear" w:color="auto" w:fill="FFFFFF"/>
        </w:rPr>
      </w:pPr>
      <w:r w:rsidRPr="00E52B95">
        <w:rPr>
          <w:color w:val="000000"/>
        </w:rPr>
        <w:t xml:space="preserve">The antioxidant and lipid peroxidation inhibition (LPI) activities of various </w:t>
      </w:r>
      <w:r w:rsidRPr="00E52B95">
        <w:rPr>
          <w:rStyle w:val="Emphasis"/>
          <w:color w:val="000000"/>
        </w:rPr>
        <w:t>Etlingera</w:t>
      </w:r>
      <w:r w:rsidRPr="00E52B95">
        <w:rPr>
          <w:color w:val="000000"/>
        </w:rPr>
        <w:t xml:space="preserve"> species have been extensively studied using ferric thiocyanate (FTC) and thiobarbituric acid (TBA) assays. Methanol and dichloromethane (DCM) extracts of rhizomes of </w:t>
      </w:r>
      <w:r w:rsidRPr="00E52B95">
        <w:rPr>
          <w:rStyle w:val="Emphasis"/>
          <w:color w:val="000000"/>
        </w:rPr>
        <w:t>E. elatior</w:t>
      </w:r>
      <w:r w:rsidRPr="00E52B95">
        <w:rPr>
          <w:color w:val="000000"/>
        </w:rPr>
        <w:t xml:space="preserve"> and </w:t>
      </w:r>
      <w:r w:rsidRPr="00E52B95">
        <w:rPr>
          <w:rStyle w:val="Emphasis"/>
          <w:color w:val="000000"/>
        </w:rPr>
        <w:t>E. littoralis</w:t>
      </w:r>
      <w:r w:rsidRPr="00E52B95">
        <w:rPr>
          <w:color w:val="000000"/>
        </w:rPr>
        <w:t xml:space="preserve"> showed significantly higher LPI activity than α-tocopherol. Bioactive compounds such as 1, 7-bis (4-hydroxyphenyl)-2, 4, 6-heptatrienone, demethoxycurcumin and others contributed to these effects. The total phenolic content (TPC) and ascorbic acid equivalent antioxidant capacity (AEAC) were highest in leaves of </w:t>
      </w:r>
      <w:r w:rsidRPr="00E52B95">
        <w:rPr>
          <w:rStyle w:val="Emphasis"/>
          <w:color w:val="000000"/>
        </w:rPr>
        <w:t>Etlingera</w:t>
      </w:r>
      <w:r w:rsidRPr="00E52B95">
        <w:rPr>
          <w:color w:val="000000"/>
        </w:rPr>
        <w:t xml:space="preserve"> species, especially </w:t>
      </w:r>
      <w:r w:rsidRPr="00E52B95">
        <w:rPr>
          <w:rStyle w:val="Emphasis"/>
          <w:color w:val="000000"/>
        </w:rPr>
        <w:t>E. elatior</w:t>
      </w:r>
      <w:r w:rsidRPr="00E52B95">
        <w:rPr>
          <w:color w:val="000000"/>
        </w:rPr>
        <w:t xml:space="preserve"> and </w:t>
      </w:r>
      <w:r w:rsidRPr="00E52B95">
        <w:rPr>
          <w:rStyle w:val="Emphasis"/>
          <w:color w:val="000000"/>
        </w:rPr>
        <w:t>E. maingayi</w:t>
      </w:r>
      <w:r w:rsidRPr="00E52B95">
        <w:rPr>
          <w:color w:val="000000"/>
        </w:rPr>
        <w:t xml:space="preserve">, being 7–8 times higher than their rhizomes. Highland populations exhibited greater antioxidant activity than lowland counterparts due to environmental stress like increased UV-B radiation and low temperature, which enhance phenolic synthesis. Among various extract fractions, polymeric tannin (PT) fractions from </w:t>
      </w:r>
      <w:r w:rsidRPr="00E52B95">
        <w:rPr>
          <w:rStyle w:val="Emphasis"/>
          <w:color w:val="000000"/>
        </w:rPr>
        <w:t>E. elatior</w:t>
      </w:r>
      <w:r w:rsidRPr="00E52B95">
        <w:rPr>
          <w:color w:val="000000"/>
        </w:rPr>
        <w:t xml:space="preserve"> leaves and inflorescences exhibited the highest antioxidant activity and phenolic content, showing the importance of tannins in scavenging free radicals, metal chelation, and enzyme inhibition. Drying methods significantly influenced antioxidant properties; thermal drying (microwave, oven, and sun) reduced activity, whereas freeze-drying enhanced it due to better compound retention and extraction efficiency. Cytotoxic and anti-tumor activities were also observed in rhizome extracts of </w:t>
      </w:r>
      <w:r w:rsidRPr="00E52B95">
        <w:rPr>
          <w:rStyle w:val="Emphasis"/>
          <w:color w:val="000000"/>
        </w:rPr>
        <w:t>E. elatior</w:t>
      </w:r>
      <w:r w:rsidRPr="00E52B95">
        <w:rPr>
          <w:color w:val="000000"/>
        </w:rPr>
        <w:t xml:space="preserve">, with ethyl acetate fractions showing strong activity against cancer cell lines (CEM-SS and MCF-7). Antioxidant screening of 26 ginger species revealed </w:t>
      </w:r>
      <w:r w:rsidRPr="00E52B95">
        <w:rPr>
          <w:rStyle w:val="Emphasis"/>
          <w:color w:val="000000"/>
        </w:rPr>
        <w:t>Etlingera</w:t>
      </w:r>
      <w:r w:rsidRPr="00E52B95">
        <w:rPr>
          <w:color w:val="000000"/>
        </w:rPr>
        <w:t xml:space="preserve"> as the most potent genus, followed by </w:t>
      </w:r>
      <w:r w:rsidRPr="00E52B95">
        <w:rPr>
          <w:rStyle w:val="Emphasis"/>
          <w:color w:val="000000"/>
        </w:rPr>
        <w:t>Alpinia</w:t>
      </w:r>
      <w:r w:rsidR="007413AD">
        <w:rPr>
          <w:rStyle w:val="Emphasis"/>
          <w:color w:val="000000"/>
        </w:rPr>
        <w:t xml:space="preserve"> </w:t>
      </w:r>
      <w:r w:rsidRPr="00E52B95">
        <w:rPr>
          <w:color w:val="000000"/>
        </w:rPr>
        <w:t xml:space="preserve">and </w:t>
      </w:r>
      <w:r w:rsidRPr="00E52B95">
        <w:rPr>
          <w:rStyle w:val="Emphasis"/>
          <w:color w:val="000000"/>
        </w:rPr>
        <w:t>Hedychium</w:t>
      </w:r>
      <w:r w:rsidRPr="00E52B95">
        <w:rPr>
          <w:color w:val="000000"/>
        </w:rPr>
        <w:t xml:space="preserve">. In general, leaf extracts exhibited higher antioxidant activities compared to inflorescences and rhizomes, with the order of activity being </w:t>
      </w:r>
      <w:r w:rsidRPr="00E52B95">
        <w:rPr>
          <w:rStyle w:val="Emphasis"/>
          <w:color w:val="000000"/>
        </w:rPr>
        <w:t>E. elatior</w:t>
      </w:r>
      <w:r w:rsidRPr="00E52B95">
        <w:rPr>
          <w:color w:val="000000"/>
        </w:rPr>
        <w:t>&gt;</w:t>
      </w:r>
      <w:r w:rsidRPr="00E52B95">
        <w:rPr>
          <w:rStyle w:val="Emphasis"/>
          <w:color w:val="000000"/>
        </w:rPr>
        <w:t>E. rubrostriata</w:t>
      </w:r>
      <w:r w:rsidR="007413AD">
        <w:rPr>
          <w:rStyle w:val="Emphasis"/>
          <w:color w:val="000000"/>
        </w:rPr>
        <w:t xml:space="preserve"> </w:t>
      </w:r>
      <w:r w:rsidRPr="00E52B95">
        <w:rPr>
          <w:color w:val="000000"/>
        </w:rPr>
        <w:t>&gt;</w:t>
      </w:r>
      <w:r w:rsidRPr="00E52B95">
        <w:rPr>
          <w:rStyle w:val="Emphasis"/>
          <w:color w:val="000000"/>
        </w:rPr>
        <w:t>E. littoralis</w:t>
      </w:r>
      <w:r w:rsidR="007413AD">
        <w:rPr>
          <w:rStyle w:val="Emphasis"/>
          <w:color w:val="000000"/>
        </w:rPr>
        <w:t xml:space="preserve"> </w:t>
      </w:r>
      <w:r w:rsidRPr="00E52B95">
        <w:rPr>
          <w:color w:val="000000"/>
        </w:rPr>
        <w:t>&gt;</w:t>
      </w:r>
      <w:r w:rsidRPr="00E52B95">
        <w:rPr>
          <w:rStyle w:val="Emphasis"/>
          <w:color w:val="000000"/>
        </w:rPr>
        <w:t>E. fulgens</w:t>
      </w:r>
      <w:r w:rsidR="007413AD">
        <w:rPr>
          <w:rStyle w:val="Emphasis"/>
          <w:color w:val="000000"/>
        </w:rPr>
        <w:t xml:space="preserve"> </w:t>
      </w:r>
      <w:r w:rsidRPr="00E52B95">
        <w:rPr>
          <w:color w:val="000000"/>
        </w:rPr>
        <w:t>&gt;</w:t>
      </w:r>
      <w:r w:rsidRPr="00E52B95">
        <w:rPr>
          <w:rStyle w:val="Emphasis"/>
          <w:color w:val="000000"/>
        </w:rPr>
        <w:t>E. maingayi</w:t>
      </w:r>
      <w:r w:rsidRPr="00E52B95">
        <w:rPr>
          <w:color w:val="000000"/>
        </w:rPr>
        <w:t xml:space="preserve">. Notably, high TPC and AEAC were correlated with strong ferric reducing power (FRP) but low ferrous ion chelating (FIC) ability, suggesting that different antioxidant mechanisms are mediated by different phenolic components. Additionally, the large size and exposed forest habitat of </w:t>
      </w:r>
      <w:r w:rsidRPr="00E52B95">
        <w:rPr>
          <w:rStyle w:val="Emphasis"/>
          <w:color w:val="000000"/>
        </w:rPr>
        <w:t>Etlingera</w:t>
      </w:r>
      <w:r w:rsidRPr="00E52B95">
        <w:rPr>
          <w:color w:val="000000"/>
        </w:rPr>
        <w:t xml:space="preserve"> species are believed to contribute to their superior antioxidant potential (</w:t>
      </w:r>
      <w:r w:rsidRPr="00E52B95">
        <w:rPr>
          <w:color w:val="000000"/>
          <w:shd w:val="clear" w:color="auto" w:fill="FFFFFF"/>
        </w:rPr>
        <w:t xml:space="preserve">Chan </w:t>
      </w:r>
      <w:r w:rsidRPr="00E52B95">
        <w:rPr>
          <w:i/>
          <w:color w:val="000000"/>
          <w:shd w:val="clear" w:color="auto" w:fill="FFFFFF"/>
        </w:rPr>
        <w:t>et al</w:t>
      </w:r>
      <w:r w:rsidRPr="00E52B95">
        <w:rPr>
          <w:color w:val="000000"/>
          <w:shd w:val="clear" w:color="auto" w:fill="FFFFFF"/>
        </w:rPr>
        <w:t>., 2013).</w:t>
      </w:r>
      <w:r w:rsidR="007413AD" w:rsidRPr="007413AD">
        <w:rPr>
          <w:noProof/>
          <w:color w:val="000000"/>
          <w:shd w:val="clear" w:color="auto" w:fill="FFFFFF"/>
        </w:rPr>
        <w:t xml:space="preserve"> </w:t>
      </w:r>
      <w:r w:rsidR="007413AD" w:rsidRPr="00E52B95">
        <w:rPr>
          <w:noProof/>
          <w:color w:val="000000"/>
          <w:shd w:val="clear" w:color="auto" w:fill="FFFFFF"/>
        </w:rPr>
        <w:t xml:space="preserve">Anti oxidant  effect of members of different genera of Family </w:t>
      </w:r>
      <w:r w:rsidR="007413AD" w:rsidRPr="00E52B95">
        <w:rPr>
          <w:i/>
          <w:noProof/>
          <w:color w:val="000000"/>
          <w:shd w:val="clear" w:color="auto" w:fill="FFFFFF"/>
        </w:rPr>
        <w:t>Zingiberaceae</w:t>
      </w:r>
      <w:r w:rsidR="007413AD">
        <w:rPr>
          <w:noProof/>
          <w:color w:val="000000"/>
          <w:shd w:val="clear" w:color="auto" w:fill="FFFFFF"/>
        </w:rPr>
        <w:t xml:space="preserve"> has been shown in the Figure 4.</w:t>
      </w:r>
      <w:r w:rsidR="00F97818" w:rsidRPr="00F97818">
        <w:rPr>
          <w:noProof/>
          <w:color w:val="000000"/>
          <w:shd w:val="clear" w:color="auto" w:fill="FFFFFF"/>
        </w:rPr>
        <w:t xml:space="preserve"> </w:t>
      </w:r>
    </w:p>
    <w:p w:rsidR="00E52B95" w:rsidRPr="00E52B95" w:rsidRDefault="00E52B95" w:rsidP="00E52B95">
      <w:pPr>
        <w:pStyle w:val="NormalWeb"/>
        <w:spacing w:line="360" w:lineRule="auto"/>
        <w:jc w:val="both"/>
        <w:rPr>
          <w:b/>
          <w:color w:val="000000"/>
          <w:shd w:val="clear" w:color="auto" w:fill="FFFFFF"/>
        </w:rPr>
      </w:pPr>
      <w:r w:rsidRPr="00E52B95">
        <w:rPr>
          <w:b/>
          <w:color w:val="000000"/>
          <w:shd w:val="clear" w:color="auto" w:fill="FFFFFF"/>
        </w:rPr>
        <w:t xml:space="preserve">6.3. Anti cancerous properties </w:t>
      </w:r>
    </w:p>
    <w:p w:rsidR="00E52B95" w:rsidRPr="00E52B95" w:rsidRDefault="00E52B95" w:rsidP="00E52B95">
      <w:pPr>
        <w:spacing w:line="360" w:lineRule="auto"/>
        <w:jc w:val="both"/>
        <w:rPr>
          <w:rFonts w:ascii="Times New Roman" w:hAnsi="Times New Roman" w:cs="Times New Roman"/>
          <w:b/>
          <w:bCs/>
          <w:i/>
          <w:color w:val="000000"/>
          <w:sz w:val="24"/>
          <w:szCs w:val="24"/>
          <w:shd w:val="clear" w:color="auto" w:fill="FFFFFF"/>
        </w:rPr>
      </w:pPr>
      <w:r w:rsidRPr="00E52B95">
        <w:rPr>
          <w:rFonts w:ascii="Times New Roman" w:hAnsi="Times New Roman" w:cs="Times New Roman"/>
          <w:b/>
          <w:bCs/>
          <w:i/>
          <w:color w:val="000000"/>
          <w:sz w:val="24"/>
          <w:szCs w:val="24"/>
          <w:shd w:val="clear" w:color="auto" w:fill="FFFFFF"/>
        </w:rPr>
        <w:t xml:space="preserve">6.3.1. Genus Zingiber  </w:t>
      </w:r>
    </w:p>
    <w:p w:rsidR="00E52B95" w:rsidRPr="00E52B95" w:rsidRDefault="007413AD" w:rsidP="00E52B95">
      <w:pPr>
        <w:spacing w:line="360" w:lineRule="auto"/>
        <w:jc w:val="both"/>
        <w:rPr>
          <w:rFonts w:ascii="Times New Roman" w:hAnsi="Times New Roman" w:cs="Times New Roman"/>
          <w:color w:val="000000"/>
          <w:sz w:val="24"/>
          <w:szCs w:val="24"/>
          <w:shd w:val="clear" w:color="auto" w:fill="FFFFFF"/>
        </w:rPr>
      </w:pPr>
      <w:r>
        <w:rPr>
          <w:rStyle w:val="citation-106"/>
          <w:rFonts w:ascii="Times New Roman" w:hAnsi="Times New Roman" w:cs="Times New Roman"/>
          <w:i/>
          <w:iCs/>
          <w:color w:val="000000"/>
          <w:sz w:val="24"/>
          <w:szCs w:val="24"/>
        </w:rPr>
        <w:lastRenderedPageBreak/>
        <w:t xml:space="preserve">Zingiber </w:t>
      </w:r>
      <w:r w:rsidR="00E52B95" w:rsidRPr="00E52B95">
        <w:rPr>
          <w:rStyle w:val="citation-106"/>
          <w:rFonts w:ascii="Times New Roman" w:hAnsi="Times New Roman" w:cs="Times New Roman"/>
          <w:color w:val="000000"/>
          <w:sz w:val="24"/>
          <w:szCs w:val="24"/>
        </w:rPr>
        <w:t xml:space="preserve">plants, particularly their essential oils, diarylheptanoids, and gingerols, possess notable anticancer properties. </w:t>
      </w:r>
      <w:r w:rsidR="00E52B95" w:rsidRPr="00E52B95">
        <w:rPr>
          <w:rStyle w:val="citation-105"/>
          <w:rFonts w:ascii="Times New Roman" w:hAnsi="Times New Roman" w:cs="Times New Roman"/>
          <w:color w:val="000000"/>
          <w:sz w:val="24"/>
          <w:szCs w:val="24"/>
        </w:rPr>
        <w:t xml:space="preserve">Essential oils from fresh </w:t>
      </w:r>
      <w:r>
        <w:rPr>
          <w:rStyle w:val="citation-105"/>
          <w:rFonts w:ascii="Times New Roman" w:hAnsi="Times New Roman" w:cs="Times New Roman"/>
          <w:i/>
          <w:iCs/>
          <w:color w:val="000000"/>
          <w:sz w:val="24"/>
          <w:szCs w:val="24"/>
        </w:rPr>
        <w:t xml:space="preserve">Zingiber </w:t>
      </w:r>
      <w:r w:rsidR="00E52B95" w:rsidRPr="00E52B95">
        <w:rPr>
          <w:rStyle w:val="citation-105"/>
          <w:rFonts w:ascii="Times New Roman" w:hAnsi="Times New Roman" w:cs="Times New Roman"/>
          <w:i/>
          <w:iCs/>
          <w:color w:val="000000"/>
          <w:sz w:val="24"/>
          <w:szCs w:val="24"/>
        </w:rPr>
        <w:t>zerumbet</w:t>
      </w:r>
      <w:r w:rsidR="00E52B95" w:rsidRPr="00E52B95">
        <w:rPr>
          <w:rStyle w:val="citation-105"/>
          <w:rFonts w:ascii="Times New Roman" w:hAnsi="Times New Roman" w:cs="Times New Roman"/>
          <w:color w:val="000000"/>
          <w:sz w:val="24"/>
          <w:szCs w:val="24"/>
        </w:rPr>
        <w:t xml:space="preserve"> rhizomes demonstrate potent cytotoxicity against various human cancer cell lines (K562, PC-3, and A549) and human fetal lung fibroblasts (MRC-5), with </w:t>
      </w:r>
      <w:r w:rsidR="00E52B95" w:rsidRPr="00E52B95">
        <w:rPr>
          <w:rFonts w:ascii="Times New Roman" w:hAnsi="Times New Roman" w:cs="Times New Roman"/>
          <w:color w:val="000000"/>
          <w:sz w:val="24"/>
          <w:szCs w:val="24"/>
          <w:shd w:val="clear" w:color="auto" w:fill="FFFFFF"/>
        </w:rPr>
        <w:t>IC</w:t>
      </w:r>
      <w:r w:rsidR="00E52B95" w:rsidRPr="00E52B95">
        <w:rPr>
          <w:rFonts w:ascii="Times New Roman" w:hAnsi="Times New Roman" w:cs="Times New Roman"/>
          <w:color w:val="000000"/>
          <w:sz w:val="24"/>
          <w:szCs w:val="24"/>
          <w:shd w:val="clear" w:color="auto" w:fill="FFFFFF"/>
          <w:vertAlign w:val="subscript"/>
        </w:rPr>
        <w:t>50</w:t>
      </w:r>
      <w:r w:rsidR="00E52B95" w:rsidRPr="00E52B95">
        <w:rPr>
          <w:rFonts w:ascii="Times New Roman" w:hAnsi="Times New Roman" w:cs="Times New Roman"/>
          <w:color w:val="000000"/>
          <w:sz w:val="24"/>
          <w:szCs w:val="24"/>
          <w:shd w:val="clear" w:color="auto" w:fill="FFFFFF"/>
        </w:rPr>
        <w:t> </w:t>
      </w:r>
      <w:r w:rsidR="00E52B95" w:rsidRPr="00E52B95">
        <w:rPr>
          <w:rStyle w:val="citation-105"/>
          <w:rFonts w:ascii="Times New Roman" w:hAnsi="Times New Roman" w:cs="Times New Roman"/>
          <w:iCs/>
          <w:color w:val="000000"/>
          <w:sz w:val="24"/>
          <w:szCs w:val="24"/>
        </w:rPr>
        <w:t>values between 35.73 and 216.99 μM, outperforming those from dry rhizomes.</w:t>
      </w:r>
      <w:r w:rsidR="00E52B95" w:rsidRPr="00E52B95">
        <w:rPr>
          <w:rFonts w:ascii="Times New Roman" w:hAnsi="Times New Roman" w:cs="Times New Roman"/>
          <w:iCs/>
          <w:color w:val="000000"/>
          <w:sz w:val="24"/>
          <w:szCs w:val="24"/>
        </w:rPr>
        <w:t xml:space="preserve"> Zerumbone, a primary essential oil component of Z. zerumbet, significantly inhibits HeLa, H460, and A549 cancer cells, with </w:t>
      </w:r>
      <w:r w:rsidR="00E52B95" w:rsidRPr="00E52B95">
        <w:rPr>
          <w:rFonts w:ascii="Times New Roman" w:hAnsi="Times New Roman" w:cs="Times New Roman"/>
          <w:color w:val="000000"/>
          <w:sz w:val="24"/>
          <w:szCs w:val="24"/>
          <w:shd w:val="clear" w:color="auto" w:fill="FFFFFF"/>
        </w:rPr>
        <w:t>IC</w:t>
      </w:r>
      <w:r w:rsidR="00E52B95" w:rsidRPr="00E52B95">
        <w:rPr>
          <w:rFonts w:ascii="Times New Roman" w:hAnsi="Times New Roman" w:cs="Times New Roman"/>
          <w:color w:val="000000"/>
          <w:sz w:val="24"/>
          <w:szCs w:val="24"/>
          <w:shd w:val="clear" w:color="auto" w:fill="FFFFFF"/>
          <w:vertAlign w:val="subscript"/>
        </w:rPr>
        <w:t>50</w:t>
      </w:r>
      <w:r w:rsidR="00E52B95" w:rsidRPr="00E52B95">
        <w:rPr>
          <w:rFonts w:ascii="Times New Roman" w:hAnsi="Times New Roman" w:cs="Times New Roman"/>
          <w:color w:val="000000"/>
          <w:sz w:val="24"/>
          <w:szCs w:val="24"/>
          <w:shd w:val="clear" w:color="auto" w:fill="FFFFFF"/>
        </w:rPr>
        <w:t> </w:t>
      </w:r>
      <w:r w:rsidR="00E52B95" w:rsidRPr="00E52B95">
        <w:rPr>
          <w:rFonts w:ascii="Times New Roman" w:hAnsi="Times New Roman" w:cs="Times New Roman"/>
          <w:color w:val="000000"/>
          <w:sz w:val="24"/>
          <w:szCs w:val="24"/>
        </w:rPr>
        <w:t>values of 6.4 μg/mL, 15 μM, and 25 μM, respectively. β-</w:t>
      </w:r>
      <w:r>
        <w:rPr>
          <w:rFonts w:ascii="Times New Roman" w:hAnsi="Times New Roman" w:cs="Times New Roman"/>
          <w:color w:val="000000"/>
          <w:sz w:val="24"/>
          <w:szCs w:val="24"/>
        </w:rPr>
        <w:t xml:space="preserve"> </w:t>
      </w:r>
      <w:r w:rsidRPr="00E52B95">
        <w:rPr>
          <w:rFonts w:ascii="Times New Roman" w:hAnsi="Times New Roman" w:cs="Times New Roman"/>
          <w:color w:val="000000"/>
          <w:sz w:val="24"/>
          <w:szCs w:val="24"/>
        </w:rPr>
        <w:t>Myrcene</w:t>
      </w:r>
      <w:r w:rsidR="00E52B95" w:rsidRPr="00E52B95">
        <w:rPr>
          <w:rFonts w:ascii="Times New Roman" w:hAnsi="Times New Roman" w:cs="Times New Roman"/>
          <w:color w:val="000000"/>
          <w:sz w:val="24"/>
          <w:szCs w:val="24"/>
        </w:rPr>
        <w:t xml:space="preserve"> exhibits </w:t>
      </w:r>
      <w:r w:rsidR="00E52B95" w:rsidRPr="00E52B95">
        <w:rPr>
          <w:rFonts w:ascii="Times New Roman" w:hAnsi="Times New Roman" w:cs="Times New Roman"/>
          <w:i/>
          <w:iCs/>
          <w:color w:val="000000"/>
          <w:sz w:val="24"/>
          <w:szCs w:val="24"/>
        </w:rPr>
        <w:t>in vitro</w:t>
      </w:r>
      <w:r w:rsidR="00E52B95" w:rsidRPr="00E52B95">
        <w:rPr>
          <w:rFonts w:ascii="Times New Roman" w:hAnsi="Times New Roman" w:cs="Times New Roman"/>
          <w:color w:val="000000"/>
          <w:sz w:val="24"/>
          <w:szCs w:val="24"/>
        </w:rPr>
        <w:t xml:space="preserve"> cytotoxicity against HepG2, HCT116, and MCF7 cells, with </w:t>
      </w:r>
      <w:r w:rsidR="00E52B95" w:rsidRPr="00E52B95">
        <w:rPr>
          <w:rFonts w:ascii="Times New Roman" w:hAnsi="Times New Roman" w:cs="Times New Roman"/>
          <w:color w:val="000000"/>
          <w:sz w:val="24"/>
          <w:szCs w:val="24"/>
          <w:shd w:val="clear" w:color="auto" w:fill="FFFFFF"/>
        </w:rPr>
        <w:t>IC</w:t>
      </w:r>
      <w:r w:rsidR="00E52B95" w:rsidRPr="00E52B95">
        <w:rPr>
          <w:rFonts w:ascii="Times New Roman" w:hAnsi="Times New Roman" w:cs="Times New Roman"/>
          <w:color w:val="000000"/>
          <w:sz w:val="24"/>
          <w:szCs w:val="24"/>
          <w:shd w:val="clear" w:color="auto" w:fill="FFFFFF"/>
          <w:vertAlign w:val="subscript"/>
        </w:rPr>
        <w:t>50</w:t>
      </w:r>
      <w:r w:rsidR="00E52B95" w:rsidRPr="00E52B95">
        <w:rPr>
          <w:rFonts w:ascii="Times New Roman" w:hAnsi="Times New Roman" w:cs="Times New Roman"/>
          <w:color w:val="000000"/>
          <w:sz w:val="24"/>
          <w:szCs w:val="24"/>
          <w:shd w:val="clear" w:color="auto" w:fill="FFFFFF"/>
        </w:rPr>
        <w:t> </w:t>
      </w:r>
      <w:r w:rsidR="00E52B95" w:rsidRPr="00E52B95">
        <w:rPr>
          <w:rFonts w:ascii="Times New Roman" w:hAnsi="Times New Roman" w:cs="Times New Roman"/>
          <w:color w:val="000000"/>
          <w:sz w:val="24"/>
          <w:szCs w:val="24"/>
        </w:rPr>
        <w:t>values ranging from 2.51 to 3.28 μg/mL. Additionally, α-pinene and β-pinene display strong cytotoxicity against human tumor cell lines like SK-OV-3, HO-8910, and Bel-7402. Galanals are also capable of inducing apoptosis in Jurkat human T-cell leukemia cells, marked by DNA fragmentation and caspase-3 activation.</w:t>
      </w:r>
      <w:r w:rsidR="00E52B95" w:rsidRPr="00E52B95">
        <w:rPr>
          <w:rFonts w:ascii="Times New Roman" w:hAnsi="Times New Roman" w:cs="Times New Roman"/>
          <w:color w:val="000000"/>
          <w:sz w:val="24"/>
          <w:szCs w:val="24"/>
          <w:shd w:val="clear" w:color="auto" w:fill="FFFFFF"/>
        </w:rPr>
        <w:t xml:space="preserve"> (Wang </w:t>
      </w:r>
      <w:r w:rsidR="00E52B95" w:rsidRPr="00E52B95">
        <w:rPr>
          <w:rFonts w:ascii="Times New Roman" w:hAnsi="Times New Roman" w:cs="Times New Roman"/>
          <w:i/>
          <w:color w:val="000000"/>
          <w:sz w:val="24"/>
          <w:szCs w:val="24"/>
          <w:shd w:val="clear" w:color="auto" w:fill="FFFFFF"/>
        </w:rPr>
        <w:t>et al</w:t>
      </w:r>
      <w:r w:rsidR="00E52B95" w:rsidRPr="00E52B95">
        <w:rPr>
          <w:rFonts w:ascii="Times New Roman" w:hAnsi="Times New Roman" w:cs="Times New Roman"/>
          <w:color w:val="000000"/>
          <w:sz w:val="24"/>
          <w:szCs w:val="24"/>
          <w:shd w:val="clear" w:color="auto" w:fill="FFFFFF"/>
        </w:rPr>
        <w:t>., 2012).</w:t>
      </w:r>
      <w:r w:rsidR="00E52B95" w:rsidRPr="00E52B95">
        <w:rPr>
          <w:rFonts w:ascii="Times New Roman" w:hAnsi="Times New Roman" w:cs="Times New Roman"/>
          <w:color w:val="000000"/>
          <w:sz w:val="24"/>
          <w:szCs w:val="24"/>
        </w:rPr>
        <w:t xml:space="preserve"> Gingerols, key active components of </w:t>
      </w:r>
      <w:r>
        <w:rPr>
          <w:rFonts w:ascii="Times New Roman" w:hAnsi="Times New Roman" w:cs="Times New Roman"/>
          <w:i/>
          <w:iCs/>
          <w:color w:val="000000"/>
          <w:sz w:val="24"/>
          <w:szCs w:val="24"/>
        </w:rPr>
        <w:t>Zingiber</w:t>
      </w:r>
      <w:r w:rsidR="00E52B95" w:rsidRPr="00E52B95">
        <w:rPr>
          <w:rFonts w:ascii="Times New Roman" w:hAnsi="Times New Roman" w:cs="Times New Roman"/>
          <w:i/>
          <w:iCs/>
          <w:color w:val="000000"/>
          <w:sz w:val="24"/>
          <w:szCs w:val="24"/>
        </w:rPr>
        <w:t xml:space="preserve"> </w:t>
      </w:r>
      <w:r w:rsidR="00E52B95" w:rsidRPr="00E52B95">
        <w:rPr>
          <w:rFonts w:ascii="Times New Roman" w:hAnsi="Times New Roman" w:cs="Times New Roman"/>
          <w:color w:val="000000"/>
          <w:sz w:val="24"/>
          <w:szCs w:val="24"/>
        </w:rPr>
        <w:t xml:space="preserve">plants, exhibit strong anticancer effects, with 6-gingerol inducing cell death in HepG2 and K562 cell lines via autophagy and caspase-3 mediated apoptosis due to its aliphatic chain and hydroxyl moieties. Furthermore, 10-gingerol, 6-shogaol, and 6-dehydrogingerdione demonstrate cytotoxicity against various cancer cells (BEL7404, HeLa, KB), with 6-shogaol showing the most potent inhibitory activity. Gingerols, key active components of </w:t>
      </w:r>
      <w:r>
        <w:rPr>
          <w:rFonts w:ascii="Times New Roman" w:hAnsi="Times New Roman" w:cs="Times New Roman"/>
          <w:i/>
          <w:iCs/>
          <w:color w:val="000000"/>
          <w:sz w:val="24"/>
          <w:szCs w:val="24"/>
        </w:rPr>
        <w:t xml:space="preserve">Zingiber </w:t>
      </w:r>
      <w:r w:rsidR="00E52B95" w:rsidRPr="00E52B95">
        <w:rPr>
          <w:rFonts w:ascii="Times New Roman" w:hAnsi="Times New Roman" w:cs="Times New Roman"/>
          <w:color w:val="000000"/>
          <w:sz w:val="24"/>
          <w:szCs w:val="24"/>
        </w:rPr>
        <w:t>plants, exhibit strong anticancer effects, with 6-gingerol inducing cell death in HepG2 and K562 cell lines via autophagy and caspase-3 mediated apoptosis due to its aliphatic chain and hydroxyl moieties. Furthermore, 10-gingerol, 6-shogaol, and 6-dehydrogingerdione demonstrate cytotoxicity against various cancer cells (BEL7404, HeLa, KB), with 6-shogaol showing the most potent inhibitory activity.</w:t>
      </w:r>
      <w:r w:rsidR="00E52B95" w:rsidRPr="00E52B95">
        <w:rPr>
          <w:rFonts w:ascii="Times New Roman" w:hAnsi="Times New Roman" w:cs="Times New Roman"/>
          <w:color w:val="000000"/>
          <w:sz w:val="24"/>
          <w:szCs w:val="24"/>
          <w:shd w:val="clear" w:color="auto" w:fill="FFFFFF"/>
        </w:rPr>
        <w:t xml:space="preserve"> (Hwang </w:t>
      </w:r>
      <w:r w:rsidR="00E52B95" w:rsidRPr="00E52B95">
        <w:rPr>
          <w:rFonts w:ascii="Times New Roman" w:hAnsi="Times New Roman" w:cs="Times New Roman"/>
          <w:i/>
          <w:color w:val="000000"/>
          <w:sz w:val="24"/>
          <w:szCs w:val="24"/>
          <w:shd w:val="clear" w:color="auto" w:fill="FFFFFF"/>
        </w:rPr>
        <w:t>et al</w:t>
      </w:r>
      <w:r w:rsidR="00E52B95" w:rsidRPr="00E52B95">
        <w:rPr>
          <w:rFonts w:ascii="Times New Roman" w:hAnsi="Times New Roman" w:cs="Times New Roman"/>
          <w:color w:val="000000"/>
          <w:sz w:val="24"/>
          <w:szCs w:val="24"/>
          <w:shd w:val="clear" w:color="auto" w:fill="FFFFFF"/>
        </w:rPr>
        <w:t xml:space="preserve">., 2019; Jegannathan </w:t>
      </w:r>
      <w:r w:rsidR="00E52B95" w:rsidRPr="00E52B95">
        <w:rPr>
          <w:rFonts w:ascii="Times New Roman" w:hAnsi="Times New Roman" w:cs="Times New Roman"/>
          <w:i/>
          <w:color w:val="000000"/>
          <w:sz w:val="24"/>
          <w:szCs w:val="24"/>
          <w:shd w:val="clear" w:color="auto" w:fill="FFFFFF"/>
        </w:rPr>
        <w:t>et al</w:t>
      </w:r>
      <w:r w:rsidR="00E52B95" w:rsidRPr="00E52B95">
        <w:rPr>
          <w:rFonts w:ascii="Times New Roman" w:hAnsi="Times New Roman" w:cs="Times New Roman"/>
          <w:color w:val="000000"/>
          <w:sz w:val="24"/>
          <w:szCs w:val="24"/>
          <w:shd w:val="clear" w:color="auto" w:fill="FFFFFF"/>
        </w:rPr>
        <w:t>., 2016).</w:t>
      </w:r>
    </w:p>
    <w:p w:rsidR="00E52B95" w:rsidRPr="00E52B95" w:rsidRDefault="00E52B95" w:rsidP="00E52B95">
      <w:pPr>
        <w:spacing w:line="360" w:lineRule="auto"/>
        <w:jc w:val="both"/>
        <w:rPr>
          <w:rFonts w:ascii="Times New Roman" w:hAnsi="Times New Roman" w:cs="Times New Roman"/>
          <w:b/>
          <w:bCs/>
          <w:i/>
          <w:color w:val="000000"/>
          <w:sz w:val="24"/>
          <w:szCs w:val="24"/>
          <w:shd w:val="clear" w:color="auto" w:fill="FFFFFF"/>
        </w:rPr>
      </w:pPr>
      <w:r w:rsidRPr="00E52B95">
        <w:rPr>
          <w:rFonts w:ascii="Times New Roman" w:hAnsi="Times New Roman" w:cs="Times New Roman"/>
          <w:b/>
          <w:bCs/>
          <w:i/>
          <w:color w:val="000000"/>
          <w:sz w:val="24"/>
          <w:szCs w:val="24"/>
          <w:shd w:val="clear" w:color="auto" w:fill="FFFFFF"/>
        </w:rPr>
        <w:t xml:space="preserve">6.3.2. Genus Curcuma </w:t>
      </w:r>
    </w:p>
    <w:p w:rsidR="00E52B95" w:rsidRPr="00E52B95" w:rsidRDefault="00E52B95" w:rsidP="00E52B95">
      <w:pPr>
        <w:spacing w:line="360" w:lineRule="auto"/>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rPr>
        <w:t xml:space="preserve">Curcumin primarily exerts its anticarcinogenic effects by inducing apoptosis, inhibiting cell-cycle progression, and curbing cancerous cell growth. </w:t>
      </w:r>
      <w:r w:rsidRPr="00E52B95">
        <w:rPr>
          <w:rStyle w:val="citation-110"/>
          <w:rFonts w:ascii="Times New Roman" w:hAnsi="Times New Roman" w:cs="Times New Roman"/>
          <w:color w:val="000000"/>
          <w:sz w:val="24"/>
          <w:szCs w:val="24"/>
        </w:rPr>
        <w:t xml:space="preserve">It triggers programmed cell death in human cancer cell lines by causing DNA damage as a topoisomerase II poison and by rapidly reducing mitochondrial membrane potential, leading to cytochrome c release. </w:t>
      </w:r>
      <w:r w:rsidRPr="00E52B95">
        <w:rPr>
          <w:rStyle w:val="citation-109"/>
          <w:rFonts w:ascii="Times New Roman" w:hAnsi="Times New Roman" w:cs="Times New Roman"/>
          <w:color w:val="000000"/>
          <w:sz w:val="24"/>
          <w:szCs w:val="24"/>
        </w:rPr>
        <w:t>Curcumin can also enhance tumor necrosis factor-related apoptosis-inducing ligand to induce apoptosis.</w:t>
      </w:r>
      <w:r w:rsidRPr="00E52B95">
        <w:rPr>
          <w:rFonts w:ascii="Times New Roman" w:hAnsi="Times New Roman" w:cs="Times New Roman"/>
          <w:color w:val="000000"/>
          <w:sz w:val="24"/>
          <w:szCs w:val="24"/>
        </w:rPr>
        <w:t xml:space="preserve"> While it typically promotes apoptosis, it can also delay it alongside G1 phase cell cycle arrest in colorectal carcinoma cells. Furthermore, curcumin broadly inhibits proliferation in various leukemia and non-transformed hematopoietic progenitor cells and suppresses human breast carcinoma through multiple pathways </w:t>
      </w:r>
      <w:r w:rsidRPr="00E52B95">
        <w:rPr>
          <w:rFonts w:ascii="Times New Roman" w:hAnsi="Times New Roman" w:cs="Times New Roman"/>
          <w:color w:val="000000"/>
          <w:sz w:val="24"/>
          <w:szCs w:val="24"/>
          <w:shd w:val="clear" w:color="auto" w:fill="FFFFFF"/>
        </w:rPr>
        <w:t xml:space="preserve">(Jana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2004).</w:t>
      </w:r>
    </w:p>
    <w:p w:rsidR="00E52B95" w:rsidRPr="00E52B95" w:rsidRDefault="00E52B95" w:rsidP="00E52B95">
      <w:pPr>
        <w:spacing w:line="360" w:lineRule="auto"/>
        <w:jc w:val="both"/>
        <w:rPr>
          <w:rFonts w:ascii="Times New Roman" w:hAnsi="Times New Roman" w:cs="Times New Roman"/>
          <w:b/>
          <w:bCs/>
          <w:i/>
          <w:color w:val="000000"/>
          <w:sz w:val="24"/>
          <w:szCs w:val="24"/>
          <w:shd w:val="clear" w:color="auto" w:fill="FFFFFF"/>
        </w:rPr>
      </w:pPr>
      <w:r w:rsidRPr="00E52B95">
        <w:rPr>
          <w:rFonts w:ascii="Times New Roman" w:hAnsi="Times New Roman" w:cs="Times New Roman"/>
          <w:b/>
          <w:bCs/>
          <w:i/>
          <w:color w:val="000000"/>
          <w:sz w:val="24"/>
          <w:szCs w:val="24"/>
          <w:shd w:val="clear" w:color="auto" w:fill="FFFFFF"/>
        </w:rPr>
        <w:lastRenderedPageBreak/>
        <w:t xml:space="preserve"> 6.3.4. Genus Alpinia</w:t>
      </w:r>
    </w:p>
    <w:p w:rsidR="00E52B95" w:rsidRPr="00E52B95" w:rsidRDefault="00E52B95" w:rsidP="00E52B95">
      <w:pPr>
        <w:spacing w:line="360" w:lineRule="auto"/>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rPr>
        <w:t xml:space="preserve">Research on </w:t>
      </w:r>
      <w:r w:rsidRPr="00E52B95">
        <w:rPr>
          <w:rFonts w:ascii="Times New Roman" w:hAnsi="Times New Roman" w:cs="Times New Roman"/>
          <w:i/>
          <w:iCs/>
          <w:color w:val="000000"/>
          <w:sz w:val="24"/>
          <w:szCs w:val="24"/>
        </w:rPr>
        <w:t>Alpinia</w:t>
      </w:r>
      <w:r w:rsidR="00483183">
        <w:rPr>
          <w:rFonts w:ascii="Times New Roman" w:hAnsi="Times New Roman" w:cs="Times New Roman"/>
          <w:i/>
          <w:iCs/>
          <w:color w:val="000000"/>
          <w:sz w:val="24"/>
          <w:szCs w:val="24"/>
        </w:rPr>
        <w:t xml:space="preserve"> </w:t>
      </w:r>
      <w:r w:rsidRPr="00E52B95">
        <w:rPr>
          <w:rFonts w:ascii="Times New Roman" w:hAnsi="Times New Roman" w:cs="Times New Roman"/>
          <w:color w:val="000000"/>
          <w:sz w:val="24"/>
          <w:szCs w:val="24"/>
        </w:rPr>
        <w:t xml:space="preserve">species highlights their anticancer potential. </w:t>
      </w:r>
      <w:r w:rsidRPr="00E52B95">
        <w:rPr>
          <w:rFonts w:ascii="Times New Roman" w:hAnsi="Times New Roman" w:cs="Times New Roman"/>
          <w:i/>
          <w:iCs/>
          <w:color w:val="000000"/>
          <w:sz w:val="24"/>
          <w:szCs w:val="24"/>
        </w:rPr>
        <w:t>A. officinarum</w:t>
      </w:r>
      <w:r w:rsidRPr="00E52B95">
        <w:rPr>
          <w:rFonts w:ascii="Times New Roman" w:hAnsi="Times New Roman" w:cs="Times New Roman"/>
          <w:color w:val="000000"/>
          <w:sz w:val="24"/>
          <w:szCs w:val="24"/>
        </w:rPr>
        <w:t xml:space="preserve"> extracts and its compound galangin inhibit melanogenesis and induce apoptosis in cancer cells via the mitochondrial pathway. Diarylheptanoids from </w:t>
      </w:r>
      <w:r w:rsidRPr="00E52B95">
        <w:rPr>
          <w:rFonts w:ascii="Times New Roman" w:hAnsi="Times New Roman" w:cs="Times New Roman"/>
          <w:i/>
          <w:iCs/>
          <w:color w:val="000000"/>
          <w:sz w:val="24"/>
          <w:szCs w:val="24"/>
        </w:rPr>
        <w:t>A. blepharocalyx</w:t>
      </w:r>
      <w:r w:rsidRPr="00E52B95">
        <w:rPr>
          <w:rFonts w:ascii="Times New Roman" w:hAnsi="Times New Roman" w:cs="Times New Roman"/>
          <w:color w:val="000000"/>
          <w:sz w:val="24"/>
          <w:szCs w:val="24"/>
        </w:rPr>
        <w:t xml:space="preserve"> seeds, particularly those with chalcone or flavanone structures, exhibit strong antiproliferative effects against fibro</w:t>
      </w:r>
      <w:r w:rsidR="007413AD">
        <w:rPr>
          <w:rFonts w:ascii="Times New Roman" w:hAnsi="Times New Roman" w:cs="Times New Roman"/>
          <w:color w:val="000000"/>
          <w:sz w:val="24"/>
          <w:szCs w:val="24"/>
        </w:rPr>
        <w:t xml:space="preserve"> </w:t>
      </w:r>
      <w:r w:rsidRPr="00E52B95">
        <w:rPr>
          <w:rFonts w:ascii="Times New Roman" w:hAnsi="Times New Roman" w:cs="Times New Roman"/>
          <w:color w:val="000000"/>
          <w:sz w:val="24"/>
          <w:szCs w:val="24"/>
        </w:rPr>
        <w:t xml:space="preserve">sarcoma and metastatic colon carcinoma, with chalcone moieties enhancing this activity. Other constituents like alnustone from </w:t>
      </w:r>
      <w:r w:rsidRPr="00E52B95">
        <w:rPr>
          <w:rFonts w:ascii="Times New Roman" w:hAnsi="Times New Roman" w:cs="Times New Roman"/>
          <w:i/>
          <w:iCs/>
          <w:color w:val="000000"/>
          <w:sz w:val="24"/>
          <w:szCs w:val="24"/>
        </w:rPr>
        <w:t>A. katsumadai Hayata</w:t>
      </w:r>
      <w:r w:rsidRPr="00E52B95">
        <w:rPr>
          <w:rFonts w:ascii="Times New Roman" w:hAnsi="Times New Roman" w:cs="Times New Roman"/>
          <w:color w:val="000000"/>
          <w:sz w:val="24"/>
          <w:szCs w:val="24"/>
        </w:rPr>
        <w:t xml:space="preserve"> and diterpenes from </w:t>
      </w:r>
      <w:r w:rsidRPr="00E52B95">
        <w:rPr>
          <w:rFonts w:ascii="Times New Roman" w:hAnsi="Times New Roman" w:cs="Times New Roman"/>
          <w:i/>
          <w:iCs/>
          <w:color w:val="000000"/>
          <w:sz w:val="24"/>
          <w:szCs w:val="24"/>
        </w:rPr>
        <w:t>A. galangal</w:t>
      </w:r>
      <w:r w:rsidRPr="00E52B95">
        <w:rPr>
          <w:rFonts w:ascii="Times New Roman" w:hAnsi="Times New Roman" w:cs="Times New Roman"/>
          <w:color w:val="000000"/>
          <w:sz w:val="24"/>
          <w:szCs w:val="24"/>
        </w:rPr>
        <w:t xml:space="preserve"> also show significant cytotoxicity against cancer cell lines. Furthermore, </w:t>
      </w:r>
      <w:r w:rsidRPr="00E52B95">
        <w:rPr>
          <w:rFonts w:ascii="Times New Roman" w:hAnsi="Times New Roman" w:cs="Times New Roman"/>
          <w:i/>
          <w:iCs/>
          <w:color w:val="000000"/>
          <w:sz w:val="24"/>
          <w:szCs w:val="24"/>
        </w:rPr>
        <w:t>A. oxyphylla</w:t>
      </w:r>
      <w:r w:rsidRPr="00E52B95">
        <w:rPr>
          <w:rFonts w:ascii="Times New Roman" w:hAnsi="Times New Roman" w:cs="Times New Roman"/>
          <w:color w:val="000000"/>
          <w:sz w:val="24"/>
          <w:szCs w:val="24"/>
        </w:rPr>
        <w:t xml:space="preserve"> fruit extract has been shown to reduce skin tumor promotion and ear edema </w:t>
      </w:r>
      <w:r w:rsidRPr="00E52B95">
        <w:rPr>
          <w:rFonts w:ascii="Times New Roman" w:hAnsi="Times New Roman" w:cs="Times New Roman"/>
          <w:i/>
          <w:iCs/>
          <w:color w:val="000000"/>
          <w:sz w:val="24"/>
          <w:szCs w:val="24"/>
        </w:rPr>
        <w:t>in vivo</w:t>
      </w:r>
      <w:r w:rsidRPr="00E52B95">
        <w:rPr>
          <w:rFonts w:ascii="Times New Roman" w:hAnsi="Times New Roman" w:cs="Times New Roman"/>
          <w:color w:val="000000"/>
          <w:sz w:val="24"/>
          <w:szCs w:val="24"/>
        </w:rPr>
        <w:t xml:space="preserve">, and </w:t>
      </w:r>
      <w:r w:rsidRPr="00E52B95">
        <w:rPr>
          <w:rFonts w:ascii="Times New Roman" w:hAnsi="Times New Roman" w:cs="Times New Roman"/>
          <w:i/>
          <w:iCs/>
          <w:color w:val="000000"/>
          <w:sz w:val="24"/>
          <w:szCs w:val="24"/>
        </w:rPr>
        <w:t>A. nigra</w:t>
      </w:r>
      <w:r w:rsidRPr="00E52B95">
        <w:rPr>
          <w:rFonts w:ascii="Times New Roman" w:hAnsi="Times New Roman" w:cs="Times New Roman"/>
          <w:color w:val="000000"/>
          <w:sz w:val="24"/>
          <w:szCs w:val="24"/>
        </w:rPr>
        <w:t xml:space="preserve"> leaf extract demonstrates promising cytotoxic effects (</w:t>
      </w:r>
      <w:r w:rsidRPr="00E52B95">
        <w:rPr>
          <w:rFonts w:ascii="Times New Roman" w:hAnsi="Times New Roman" w:cs="Times New Roman"/>
          <w:color w:val="000000"/>
          <w:sz w:val="24"/>
          <w:szCs w:val="24"/>
          <w:shd w:val="clear" w:color="auto" w:fill="FFFFFF"/>
        </w:rPr>
        <w:t xml:space="preserve">Kakegawa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w:t>
      </w:r>
      <w:r w:rsidR="007413AD" w:rsidRPr="00E52B95">
        <w:rPr>
          <w:rFonts w:ascii="Times New Roman" w:hAnsi="Times New Roman" w:cs="Times New Roman"/>
          <w:color w:val="000000"/>
          <w:sz w:val="24"/>
          <w:szCs w:val="24"/>
          <w:shd w:val="clear" w:color="auto" w:fill="FFFFFF"/>
        </w:rPr>
        <w:t>, 2014</w:t>
      </w:r>
      <w:r w:rsidRPr="00E52B95">
        <w:rPr>
          <w:rFonts w:ascii="Times New Roman" w:hAnsi="Times New Roman" w:cs="Times New Roman"/>
          <w:color w:val="000000"/>
          <w:sz w:val="24"/>
          <w:szCs w:val="24"/>
          <w:shd w:val="clear" w:color="auto" w:fill="FFFFFF"/>
        </w:rPr>
        <w:t xml:space="preserve">; Zhang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xml:space="preserve">.,2016). </w:t>
      </w:r>
    </w:p>
    <w:p w:rsidR="00E52B95" w:rsidRPr="00E52B95" w:rsidRDefault="00E52B95" w:rsidP="00E52B95">
      <w:pPr>
        <w:spacing w:line="360" w:lineRule="auto"/>
        <w:jc w:val="both"/>
        <w:rPr>
          <w:rFonts w:ascii="Times New Roman" w:hAnsi="Times New Roman" w:cs="Times New Roman"/>
          <w:b/>
          <w:bCs/>
          <w:color w:val="000000"/>
          <w:sz w:val="24"/>
          <w:szCs w:val="24"/>
        </w:rPr>
      </w:pPr>
      <w:r w:rsidRPr="00E52B95">
        <w:rPr>
          <w:rFonts w:ascii="Times New Roman" w:hAnsi="Times New Roman" w:cs="Times New Roman"/>
          <w:b/>
          <w:bCs/>
          <w:i/>
          <w:iCs/>
          <w:color w:val="000000"/>
          <w:sz w:val="24"/>
          <w:szCs w:val="24"/>
        </w:rPr>
        <w:t>6.3.5.Genus Kaempferia</w:t>
      </w:r>
    </w:p>
    <w:p w:rsidR="00E52B95" w:rsidRPr="00E52B95" w:rsidRDefault="00E52B95" w:rsidP="00E52B95">
      <w:pPr>
        <w:spacing w:line="360" w:lineRule="auto"/>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rPr>
        <w:t xml:space="preserve">The </w:t>
      </w:r>
      <w:r w:rsidRPr="00E52B95">
        <w:rPr>
          <w:rFonts w:ascii="Times New Roman" w:hAnsi="Times New Roman" w:cs="Times New Roman"/>
          <w:i/>
          <w:iCs/>
          <w:color w:val="000000"/>
          <w:sz w:val="24"/>
          <w:szCs w:val="24"/>
        </w:rPr>
        <w:t>Kaempferia</w:t>
      </w:r>
      <w:r w:rsidRPr="00E52B95">
        <w:rPr>
          <w:rFonts w:ascii="Times New Roman" w:hAnsi="Times New Roman" w:cs="Times New Roman"/>
          <w:color w:val="000000"/>
          <w:sz w:val="24"/>
          <w:szCs w:val="24"/>
        </w:rPr>
        <w:t xml:space="preserve"> genus exhibits significant anticancer properties through diverse mechanisms. </w:t>
      </w:r>
      <w:r w:rsidRPr="00E52B95">
        <w:rPr>
          <w:rFonts w:ascii="Times New Roman" w:hAnsi="Times New Roman" w:cs="Times New Roman"/>
          <w:i/>
          <w:iCs/>
          <w:color w:val="000000"/>
          <w:sz w:val="24"/>
          <w:szCs w:val="24"/>
        </w:rPr>
        <w:t>K. galanga</w:t>
      </w:r>
      <w:r w:rsidRPr="00E52B95">
        <w:rPr>
          <w:rFonts w:ascii="Times New Roman" w:hAnsi="Times New Roman" w:cs="Times New Roman"/>
          <w:color w:val="000000"/>
          <w:sz w:val="24"/>
          <w:szCs w:val="24"/>
        </w:rPr>
        <w:t xml:space="preserve"> extracts and its fatty acid components induce apoptosis and inhibit cancer cell growth, while its ethyl-p-methoxycinnamate shows cytotoxicity against oral squamous carcinoma. </w:t>
      </w:r>
      <w:r w:rsidRPr="00E52B95">
        <w:rPr>
          <w:rFonts w:ascii="Times New Roman" w:hAnsi="Times New Roman" w:cs="Times New Roman"/>
          <w:i/>
          <w:iCs/>
          <w:color w:val="000000"/>
          <w:sz w:val="24"/>
          <w:szCs w:val="24"/>
        </w:rPr>
        <w:t>K. parviflora</w:t>
      </w:r>
      <w:r w:rsidRPr="00E52B95">
        <w:rPr>
          <w:rFonts w:ascii="Times New Roman" w:hAnsi="Times New Roman" w:cs="Times New Roman"/>
          <w:color w:val="000000"/>
          <w:sz w:val="24"/>
          <w:szCs w:val="24"/>
        </w:rPr>
        <w:t xml:space="preserve"> extracts and their polymethoxyflavones suppress benign prostate hyperplasia and inhibit cervical cancer cell growth, migration, and invasion by modulating </w:t>
      </w:r>
      <w:r w:rsidR="00572BCF" w:rsidRPr="00E52B95">
        <w:rPr>
          <w:rFonts w:ascii="Times New Roman" w:hAnsi="Times New Roman" w:cs="Times New Roman"/>
          <w:color w:val="000000"/>
          <w:sz w:val="24"/>
          <w:szCs w:val="24"/>
        </w:rPr>
        <w:t>signalling</w:t>
      </w:r>
      <w:r w:rsidRPr="00E52B95">
        <w:rPr>
          <w:rFonts w:ascii="Times New Roman" w:hAnsi="Times New Roman" w:cs="Times New Roman"/>
          <w:color w:val="000000"/>
          <w:sz w:val="24"/>
          <w:szCs w:val="24"/>
        </w:rPr>
        <w:t xml:space="preserve"> pathways. </w:t>
      </w:r>
      <w:r w:rsidRPr="00E52B95">
        <w:rPr>
          <w:rFonts w:ascii="Times New Roman" w:hAnsi="Times New Roman" w:cs="Times New Roman"/>
          <w:i/>
          <w:iCs/>
          <w:color w:val="000000"/>
          <w:sz w:val="24"/>
          <w:szCs w:val="24"/>
        </w:rPr>
        <w:t>K. rotunda</w:t>
      </w:r>
      <w:r w:rsidRPr="00E52B95">
        <w:rPr>
          <w:rFonts w:ascii="Times New Roman" w:hAnsi="Times New Roman" w:cs="Times New Roman"/>
          <w:color w:val="000000"/>
          <w:sz w:val="24"/>
          <w:szCs w:val="24"/>
        </w:rPr>
        <w:t xml:space="preserve"> flavanones demonstrate potent anti-mutagenic activity </w:t>
      </w:r>
      <w:r w:rsidRPr="00E52B95">
        <w:rPr>
          <w:rFonts w:ascii="Times New Roman" w:hAnsi="Times New Roman" w:cs="Times New Roman"/>
          <w:i/>
          <w:iCs/>
          <w:color w:val="000000"/>
          <w:sz w:val="24"/>
          <w:szCs w:val="24"/>
        </w:rPr>
        <w:t>in vivo</w:t>
      </w:r>
      <w:r w:rsidRPr="00E52B95">
        <w:rPr>
          <w:rFonts w:ascii="Times New Roman" w:hAnsi="Times New Roman" w:cs="Times New Roman"/>
          <w:color w:val="000000"/>
          <w:sz w:val="24"/>
          <w:szCs w:val="24"/>
        </w:rPr>
        <w:t xml:space="preserve">. Finally, diterpenoids from </w:t>
      </w:r>
      <w:r w:rsidRPr="00E52B95">
        <w:rPr>
          <w:rFonts w:ascii="Times New Roman" w:hAnsi="Times New Roman" w:cs="Times New Roman"/>
          <w:i/>
          <w:iCs/>
          <w:color w:val="000000"/>
          <w:sz w:val="24"/>
          <w:szCs w:val="24"/>
        </w:rPr>
        <w:t>K. pulchra</w:t>
      </w:r>
      <w:r w:rsidRPr="00E52B95">
        <w:rPr>
          <w:rFonts w:ascii="Times New Roman" w:hAnsi="Times New Roman" w:cs="Times New Roman"/>
          <w:color w:val="000000"/>
          <w:sz w:val="24"/>
          <w:szCs w:val="24"/>
        </w:rPr>
        <w:t xml:space="preserve"> show broad antiproliferative effects on various cancer cell lines, and compounds from </w:t>
      </w:r>
      <w:r w:rsidRPr="00E52B95">
        <w:rPr>
          <w:rFonts w:ascii="Times New Roman" w:hAnsi="Times New Roman" w:cs="Times New Roman"/>
          <w:i/>
          <w:iCs/>
          <w:color w:val="000000"/>
          <w:sz w:val="24"/>
          <w:szCs w:val="24"/>
        </w:rPr>
        <w:t>K. pandurata</w:t>
      </w:r>
      <w:r w:rsidRPr="00E52B95">
        <w:rPr>
          <w:rFonts w:ascii="Times New Roman" w:hAnsi="Times New Roman" w:cs="Times New Roman"/>
          <w:color w:val="000000"/>
          <w:sz w:val="24"/>
          <w:szCs w:val="24"/>
        </w:rPr>
        <w:t xml:space="preserve"> can overcome TRAIL resistance in gastric adenocarcinoma cells (</w:t>
      </w:r>
      <w:r w:rsidRPr="00E52B95">
        <w:rPr>
          <w:rFonts w:ascii="Times New Roman" w:hAnsi="Times New Roman" w:cs="Times New Roman"/>
          <w:color w:val="000000"/>
          <w:sz w:val="24"/>
          <w:szCs w:val="24"/>
          <w:shd w:val="clear" w:color="auto" w:fill="FFFFFF"/>
        </w:rPr>
        <w:t xml:space="preserve">Pham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2021).</w:t>
      </w:r>
    </w:p>
    <w:p w:rsidR="00E52B95" w:rsidRPr="00E52B95" w:rsidRDefault="00E52B95" w:rsidP="00E52B95">
      <w:pPr>
        <w:spacing w:line="360" w:lineRule="auto"/>
        <w:jc w:val="both"/>
        <w:rPr>
          <w:rFonts w:ascii="Times New Roman" w:hAnsi="Times New Roman" w:cs="Times New Roman"/>
          <w:b/>
          <w:bCs/>
          <w:i/>
          <w:color w:val="000000"/>
          <w:sz w:val="24"/>
          <w:szCs w:val="24"/>
          <w:shd w:val="clear" w:color="auto" w:fill="FFFFFF"/>
        </w:rPr>
      </w:pPr>
      <w:r w:rsidRPr="00E52B95">
        <w:rPr>
          <w:rFonts w:ascii="Times New Roman" w:hAnsi="Times New Roman" w:cs="Times New Roman"/>
          <w:b/>
          <w:bCs/>
          <w:i/>
          <w:color w:val="000000"/>
          <w:sz w:val="24"/>
          <w:szCs w:val="24"/>
          <w:shd w:val="clear" w:color="auto" w:fill="FFFFFF"/>
        </w:rPr>
        <w:t xml:space="preserve"> 6.3.6. Genus Hedychium </w:t>
      </w:r>
    </w:p>
    <w:p w:rsidR="00E52B95" w:rsidRPr="00E52B95" w:rsidRDefault="00E52B95" w:rsidP="00E52B95">
      <w:pPr>
        <w:spacing w:line="360" w:lineRule="auto"/>
        <w:jc w:val="both"/>
        <w:rPr>
          <w:rFonts w:ascii="Times New Roman" w:hAnsi="Times New Roman" w:cs="Times New Roman"/>
          <w:color w:val="000000"/>
          <w:sz w:val="24"/>
          <w:szCs w:val="24"/>
          <w:shd w:val="clear" w:color="auto" w:fill="FFFFFF"/>
        </w:rPr>
      </w:pPr>
      <w:r w:rsidRPr="00E52B95">
        <w:rPr>
          <w:rStyle w:val="citation-114"/>
          <w:rFonts w:ascii="Times New Roman" w:hAnsi="Times New Roman" w:cs="Times New Roman"/>
          <w:color w:val="000000"/>
          <w:sz w:val="24"/>
          <w:szCs w:val="24"/>
        </w:rPr>
        <w:t xml:space="preserve">Various </w:t>
      </w:r>
      <w:r w:rsidRPr="00E52B95">
        <w:rPr>
          <w:rStyle w:val="citation-114"/>
          <w:rFonts w:ascii="Times New Roman" w:hAnsi="Times New Roman" w:cs="Times New Roman"/>
          <w:i/>
          <w:iCs/>
          <w:color w:val="000000"/>
          <w:sz w:val="24"/>
          <w:szCs w:val="24"/>
        </w:rPr>
        <w:t>Hedychium</w:t>
      </w:r>
      <w:r w:rsidRPr="00E52B95">
        <w:rPr>
          <w:rStyle w:val="citation-114"/>
          <w:rFonts w:ascii="Times New Roman" w:hAnsi="Times New Roman" w:cs="Times New Roman"/>
          <w:color w:val="000000"/>
          <w:sz w:val="24"/>
          <w:szCs w:val="24"/>
        </w:rPr>
        <w:t xml:space="preserve"> species demonstrate significant anticancer potential.</w:t>
      </w:r>
      <w:r w:rsidRPr="00E52B95">
        <w:rPr>
          <w:rFonts w:ascii="Times New Roman" w:hAnsi="Times New Roman" w:cs="Times New Roman"/>
          <w:color w:val="000000"/>
          <w:sz w:val="24"/>
          <w:szCs w:val="24"/>
        </w:rPr>
        <w:t xml:space="preserve"> Labdane-type diterpenes from </w:t>
      </w:r>
      <w:r w:rsidRPr="00E52B95">
        <w:rPr>
          <w:rFonts w:ascii="Times New Roman" w:hAnsi="Times New Roman" w:cs="Times New Roman"/>
          <w:i/>
          <w:iCs/>
          <w:color w:val="000000"/>
          <w:sz w:val="24"/>
          <w:szCs w:val="24"/>
        </w:rPr>
        <w:t>H. coronarium</w:t>
      </w:r>
      <w:r w:rsidRPr="00E52B95">
        <w:rPr>
          <w:rFonts w:ascii="Times New Roman" w:hAnsi="Times New Roman" w:cs="Times New Roman"/>
          <w:color w:val="000000"/>
          <w:sz w:val="24"/>
          <w:szCs w:val="24"/>
        </w:rPr>
        <w:t xml:space="preserve">, particularly isocoronarin D, showed strong cytotoxicity against most tested cancer cell lines. </w:t>
      </w:r>
      <w:r w:rsidRPr="00E52B95">
        <w:rPr>
          <w:rStyle w:val="citation-113"/>
          <w:rFonts w:ascii="Times New Roman" w:hAnsi="Times New Roman" w:cs="Times New Roman"/>
          <w:color w:val="000000"/>
          <w:sz w:val="24"/>
          <w:szCs w:val="24"/>
        </w:rPr>
        <w:t xml:space="preserve">Other compounds from </w:t>
      </w:r>
      <w:r w:rsidRPr="00E52B95">
        <w:rPr>
          <w:rStyle w:val="citation-113"/>
          <w:rFonts w:ascii="Times New Roman" w:hAnsi="Times New Roman" w:cs="Times New Roman"/>
          <w:i/>
          <w:iCs/>
          <w:color w:val="000000"/>
          <w:sz w:val="24"/>
          <w:szCs w:val="24"/>
        </w:rPr>
        <w:t>H. coronarium</w:t>
      </w:r>
      <w:r w:rsidRPr="00E52B95">
        <w:rPr>
          <w:rStyle w:val="citation-113"/>
          <w:rFonts w:ascii="Times New Roman" w:hAnsi="Times New Roman" w:cs="Times New Roman"/>
          <w:color w:val="000000"/>
          <w:sz w:val="24"/>
          <w:szCs w:val="24"/>
        </w:rPr>
        <w:t>, like 4-hydroxy-3-methoxy ethyl cinnamate and coronarins C and D, also exhibited potent activity against specific cell lines.</w:t>
      </w:r>
      <w:r w:rsidRPr="00E52B95">
        <w:rPr>
          <w:rFonts w:ascii="Times New Roman" w:hAnsi="Times New Roman" w:cs="Times New Roman"/>
          <w:color w:val="000000"/>
          <w:sz w:val="24"/>
          <w:szCs w:val="24"/>
        </w:rPr>
        <w:t xml:space="preserve"> From </w:t>
      </w:r>
      <w:r w:rsidRPr="00E52B95">
        <w:rPr>
          <w:rFonts w:ascii="Times New Roman" w:hAnsi="Times New Roman" w:cs="Times New Roman"/>
          <w:i/>
          <w:iCs/>
          <w:color w:val="000000"/>
          <w:sz w:val="24"/>
          <w:szCs w:val="24"/>
        </w:rPr>
        <w:t>H. spicatum</w:t>
      </w:r>
      <w:r w:rsidRPr="00E52B95">
        <w:rPr>
          <w:rFonts w:ascii="Times New Roman" w:hAnsi="Times New Roman" w:cs="Times New Roman"/>
          <w:color w:val="000000"/>
          <w:sz w:val="24"/>
          <w:szCs w:val="24"/>
        </w:rPr>
        <w:t>, 7-hydroxy hedichinal and hedychilactone D displayed potent cytotoxicity against several cancer cell lines, while spicatanoic acid and 9-hydroxy-hedychenone showed moderate activity. Furthermore, synthesizing derivatives of hedychenone revealed that epoxidation and dimerization enhanced its cytotoxic effects, particularly against CHO cell lines</w:t>
      </w:r>
      <w:r w:rsidRPr="00E52B95">
        <w:rPr>
          <w:rFonts w:ascii="Times New Roman" w:hAnsi="Times New Roman" w:cs="Times New Roman"/>
          <w:color w:val="000000"/>
          <w:sz w:val="24"/>
          <w:szCs w:val="24"/>
          <w:shd w:val="clear" w:color="auto" w:fill="FFFFFF"/>
        </w:rPr>
        <w:t xml:space="preserve"> (Reddy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xml:space="preserve">., 2010; Hartati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2014).</w:t>
      </w:r>
    </w:p>
    <w:p w:rsidR="00E52B95" w:rsidRPr="00E52B95" w:rsidRDefault="00E52B95" w:rsidP="00E52B95">
      <w:pPr>
        <w:spacing w:line="360" w:lineRule="auto"/>
        <w:jc w:val="both"/>
        <w:rPr>
          <w:rFonts w:ascii="Times New Roman" w:hAnsi="Times New Roman" w:cs="Times New Roman"/>
          <w:b/>
          <w:color w:val="000000"/>
          <w:sz w:val="24"/>
          <w:szCs w:val="24"/>
          <w:shd w:val="clear" w:color="auto" w:fill="FFFFFF"/>
        </w:rPr>
      </w:pPr>
    </w:p>
    <w:p w:rsidR="00E52B95" w:rsidRPr="00E52B95" w:rsidRDefault="00E52B95" w:rsidP="00E52B95">
      <w:pPr>
        <w:spacing w:line="360" w:lineRule="auto"/>
        <w:jc w:val="both"/>
        <w:rPr>
          <w:rFonts w:ascii="Times New Roman" w:hAnsi="Times New Roman" w:cs="Times New Roman"/>
          <w:b/>
          <w:bCs/>
          <w:i/>
          <w:color w:val="000000"/>
          <w:sz w:val="24"/>
          <w:szCs w:val="24"/>
          <w:shd w:val="clear" w:color="auto" w:fill="FFFFFF"/>
        </w:rPr>
      </w:pPr>
      <w:r w:rsidRPr="00E52B95">
        <w:rPr>
          <w:rFonts w:ascii="Times New Roman" w:hAnsi="Times New Roman" w:cs="Times New Roman"/>
          <w:b/>
          <w:bCs/>
          <w:i/>
          <w:color w:val="000000"/>
          <w:sz w:val="24"/>
          <w:szCs w:val="24"/>
          <w:shd w:val="clear" w:color="auto" w:fill="FFFFFF"/>
        </w:rPr>
        <w:lastRenderedPageBreak/>
        <w:t xml:space="preserve">6.3.7. Genus Elettaria </w:t>
      </w:r>
    </w:p>
    <w:p w:rsidR="00E52B95" w:rsidRPr="00E52B95" w:rsidRDefault="00E52B95" w:rsidP="00E52B95">
      <w:pPr>
        <w:spacing w:line="360" w:lineRule="auto"/>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rPr>
        <w:t xml:space="preserve">An aqueous extract from </w:t>
      </w:r>
      <w:r w:rsidRPr="00E52B95">
        <w:rPr>
          <w:rFonts w:ascii="Times New Roman" w:hAnsi="Times New Roman" w:cs="Times New Roman"/>
          <w:i/>
          <w:iCs/>
          <w:color w:val="000000"/>
          <w:sz w:val="24"/>
          <w:szCs w:val="24"/>
        </w:rPr>
        <w:t>Elettaria cardamomum</w:t>
      </w:r>
      <w:r w:rsidRPr="00E52B95">
        <w:rPr>
          <w:rFonts w:ascii="Times New Roman" w:hAnsi="Times New Roman" w:cs="Times New Roman"/>
          <w:color w:val="000000"/>
          <w:sz w:val="24"/>
          <w:szCs w:val="24"/>
        </w:rPr>
        <w:t xml:space="preserve"> seeds demonstrated significant dose-dependent stimulation of NK cells against YAC-1 lymphoma cells, as shown by JAM assay. This extract exhibited a synergistic stimulatory effect on NK cell activity, indicating a more potent immune-boosting action. This extract exhibited a synergistic stimulatory effect on NK cell activity, indicating a more potent immune-boosting action, without directly cytotoxic effects on the tumor cells themselves </w:t>
      </w:r>
      <w:r w:rsidRPr="00E52B95">
        <w:rPr>
          <w:rFonts w:ascii="Times New Roman" w:hAnsi="Times New Roman" w:cs="Times New Roman"/>
          <w:color w:val="000000"/>
          <w:sz w:val="24"/>
          <w:szCs w:val="24"/>
          <w:shd w:val="clear" w:color="auto" w:fill="FFFFFF"/>
        </w:rPr>
        <w:t xml:space="preserve">(Kumar&amp; Kumari., 2021). </w:t>
      </w:r>
    </w:p>
    <w:p w:rsidR="00E52B95" w:rsidRPr="00E52B95" w:rsidRDefault="00E52B95" w:rsidP="00E52B95">
      <w:pPr>
        <w:spacing w:line="360" w:lineRule="auto"/>
        <w:jc w:val="both"/>
        <w:rPr>
          <w:rFonts w:ascii="Times New Roman" w:hAnsi="Times New Roman" w:cs="Times New Roman"/>
          <w:b/>
          <w:bCs/>
          <w:i/>
          <w:color w:val="000000"/>
          <w:sz w:val="24"/>
          <w:szCs w:val="24"/>
          <w:shd w:val="clear" w:color="auto" w:fill="FFFFFF"/>
        </w:rPr>
      </w:pPr>
      <w:r w:rsidRPr="00E52B95">
        <w:rPr>
          <w:rFonts w:ascii="Times New Roman" w:hAnsi="Times New Roman" w:cs="Times New Roman"/>
          <w:b/>
          <w:bCs/>
          <w:i/>
          <w:color w:val="000000"/>
          <w:sz w:val="24"/>
          <w:szCs w:val="24"/>
          <w:shd w:val="clear" w:color="auto" w:fill="FFFFFF"/>
        </w:rPr>
        <w:t>6.3.8. Genus Amomum</w:t>
      </w:r>
    </w:p>
    <w:p w:rsidR="00E52B95" w:rsidRPr="00E52B95" w:rsidRDefault="00E52B95" w:rsidP="00E52B95">
      <w:pPr>
        <w:spacing w:line="360" w:lineRule="auto"/>
        <w:jc w:val="both"/>
        <w:rPr>
          <w:rFonts w:ascii="Times New Roman" w:hAnsi="Times New Roman" w:cs="Times New Roman"/>
          <w:color w:val="000000"/>
          <w:sz w:val="24"/>
          <w:szCs w:val="24"/>
          <w:shd w:val="clear" w:color="auto" w:fill="FFFFFF"/>
        </w:rPr>
      </w:pPr>
      <w:r w:rsidRPr="00E52B95">
        <w:rPr>
          <w:rFonts w:ascii="Times New Roman" w:hAnsi="Times New Roman" w:cs="Times New Roman"/>
          <w:i/>
          <w:iCs/>
          <w:color w:val="000000"/>
          <w:sz w:val="24"/>
          <w:szCs w:val="24"/>
        </w:rPr>
        <w:t>Amomum compactum</w:t>
      </w:r>
      <w:r w:rsidRPr="00E52B95">
        <w:rPr>
          <w:rFonts w:ascii="Times New Roman" w:hAnsi="Times New Roman" w:cs="Times New Roman"/>
          <w:color w:val="000000"/>
          <w:sz w:val="24"/>
          <w:szCs w:val="24"/>
        </w:rPr>
        <w:t xml:space="preserve"> (cardamom) and other </w:t>
      </w:r>
      <w:r w:rsidRPr="00E52B95">
        <w:rPr>
          <w:rFonts w:ascii="Times New Roman" w:hAnsi="Times New Roman" w:cs="Times New Roman"/>
          <w:i/>
          <w:iCs/>
          <w:color w:val="000000"/>
          <w:sz w:val="24"/>
          <w:szCs w:val="24"/>
        </w:rPr>
        <w:t>Amomum</w:t>
      </w:r>
      <w:r w:rsidRPr="00E52B95">
        <w:rPr>
          <w:rFonts w:ascii="Times New Roman" w:hAnsi="Times New Roman" w:cs="Times New Roman"/>
          <w:color w:val="000000"/>
          <w:sz w:val="24"/>
          <w:szCs w:val="24"/>
        </w:rPr>
        <w:t xml:space="preserve"> species demonstrate anticancer potential. Traditional Chinese medicine has long recognized cardamom's use against cancer, with studies showing its oil influences metabolic enzymes to prevent cancer and possesses anti-</w:t>
      </w:r>
      <w:r w:rsidR="00483183">
        <w:rPr>
          <w:rFonts w:ascii="Times New Roman" w:hAnsi="Times New Roman" w:cs="Times New Roman"/>
          <w:color w:val="000000"/>
          <w:sz w:val="24"/>
          <w:szCs w:val="24"/>
        </w:rPr>
        <w:t>inflammatory, antiproliferative</w:t>
      </w:r>
      <w:r w:rsidRPr="00E52B95">
        <w:rPr>
          <w:rFonts w:ascii="Times New Roman" w:hAnsi="Times New Roman" w:cs="Times New Roman"/>
          <w:color w:val="000000"/>
          <w:sz w:val="24"/>
          <w:szCs w:val="24"/>
        </w:rPr>
        <w:t xml:space="preserve"> and proapoptotic properties against colon cancer. </w:t>
      </w:r>
      <w:r w:rsidRPr="00E52B95">
        <w:rPr>
          <w:rFonts w:ascii="Times New Roman" w:hAnsi="Times New Roman" w:cs="Times New Roman"/>
          <w:i/>
          <w:iCs/>
          <w:color w:val="000000"/>
          <w:sz w:val="24"/>
          <w:szCs w:val="24"/>
        </w:rPr>
        <w:t>A. compactum</w:t>
      </w:r>
      <w:r w:rsidR="00483183">
        <w:rPr>
          <w:rFonts w:ascii="Times New Roman" w:hAnsi="Times New Roman" w:cs="Times New Roman"/>
          <w:i/>
          <w:iCs/>
          <w:color w:val="000000"/>
          <w:sz w:val="24"/>
          <w:szCs w:val="24"/>
        </w:rPr>
        <w:t xml:space="preserve"> </w:t>
      </w:r>
      <w:r w:rsidRPr="00E52B95">
        <w:rPr>
          <w:rFonts w:ascii="Times New Roman" w:hAnsi="Times New Roman" w:cs="Times New Roman"/>
          <w:color w:val="000000"/>
          <w:sz w:val="24"/>
          <w:szCs w:val="24"/>
        </w:rPr>
        <w:t>acetone extracts exhibits cytotoxicity against MCF-7 breast cancer cells (</w:t>
      </w:r>
      <w:r w:rsidRPr="00E52B95">
        <w:rPr>
          <w:rFonts w:ascii="Times New Roman" w:hAnsi="Times New Roman" w:cs="Times New Roman"/>
          <w:color w:val="000000"/>
          <w:sz w:val="24"/>
          <w:szCs w:val="24"/>
          <w:shd w:val="clear" w:color="auto" w:fill="FFFFFF"/>
        </w:rPr>
        <w:t>IC</w:t>
      </w:r>
      <w:r w:rsidRPr="00E52B95">
        <w:rPr>
          <w:rFonts w:ascii="Times New Roman" w:hAnsi="Times New Roman" w:cs="Times New Roman"/>
          <w:color w:val="000000"/>
          <w:sz w:val="24"/>
          <w:szCs w:val="24"/>
          <w:shd w:val="clear" w:color="auto" w:fill="FFFFFF"/>
          <w:vertAlign w:val="subscript"/>
        </w:rPr>
        <w:t>50</w:t>
      </w:r>
      <w:r w:rsidR="00483183">
        <w:rPr>
          <w:rFonts w:ascii="Times New Roman" w:hAnsi="Times New Roman" w:cs="Times New Roman"/>
          <w:color w:val="000000"/>
          <w:sz w:val="24"/>
          <w:szCs w:val="24"/>
          <w:shd w:val="clear" w:color="auto" w:fill="FFFFFF"/>
        </w:rPr>
        <w:t>:</w:t>
      </w:r>
      <w:r w:rsidRPr="00E52B95">
        <w:rPr>
          <w:rFonts w:ascii="Times New Roman" w:hAnsi="Times New Roman" w:cs="Times New Roman"/>
          <w:color w:val="000000"/>
          <w:sz w:val="24"/>
          <w:szCs w:val="24"/>
          <w:shd w:val="clear" w:color="auto" w:fill="FFFFFF"/>
          <w:vertAlign w:val="subscript"/>
        </w:rPr>
        <w:t xml:space="preserve"> </w:t>
      </w:r>
      <w:r w:rsidRPr="00483183">
        <w:rPr>
          <w:rFonts w:ascii="Times New Roman" w:hAnsi="Times New Roman" w:cs="Times New Roman"/>
          <w:iCs/>
          <w:color w:val="000000"/>
          <w:sz w:val="24"/>
          <w:szCs w:val="24"/>
        </w:rPr>
        <w:t>44.78 mg/mL</w:t>
      </w:r>
      <w:r w:rsidRPr="00E52B95">
        <w:rPr>
          <w:rFonts w:ascii="Times New Roman" w:hAnsi="Times New Roman" w:cs="Times New Roman"/>
          <w:i/>
          <w:iCs/>
          <w:color w:val="000000"/>
          <w:sz w:val="24"/>
          <w:szCs w:val="24"/>
        </w:rPr>
        <w:t xml:space="preserve">). </w:t>
      </w:r>
      <w:r w:rsidRPr="00E52B95">
        <w:rPr>
          <w:rFonts w:ascii="Times New Roman" w:hAnsi="Times New Roman" w:cs="Times New Roman"/>
          <w:iCs/>
          <w:color w:val="000000"/>
          <w:sz w:val="24"/>
          <w:szCs w:val="24"/>
        </w:rPr>
        <w:t>Amomum species contain anticancer compounds like α-pi</w:t>
      </w:r>
      <w:r w:rsidR="00483183">
        <w:rPr>
          <w:rFonts w:ascii="Times New Roman" w:hAnsi="Times New Roman" w:cs="Times New Roman"/>
          <w:iCs/>
          <w:color w:val="000000"/>
          <w:sz w:val="24"/>
          <w:szCs w:val="24"/>
        </w:rPr>
        <w:t>nene, β-pinene, β-caryophyllene</w:t>
      </w:r>
      <w:r w:rsidRPr="00E52B95">
        <w:rPr>
          <w:rFonts w:ascii="Times New Roman" w:hAnsi="Times New Roman" w:cs="Times New Roman"/>
          <w:iCs/>
          <w:color w:val="000000"/>
          <w:sz w:val="24"/>
          <w:szCs w:val="24"/>
        </w:rPr>
        <w:t xml:space="preserve"> and zerumbone, the latter two known for colon and breast cancer activity. Additionally, compounds from </w:t>
      </w:r>
      <w:r w:rsidRPr="00483183">
        <w:rPr>
          <w:rFonts w:ascii="Times New Roman" w:hAnsi="Times New Roman" w:cs="Times New Roman"/>
          <w:i/>
          <w:iCs/>
          <w:color w:val="000000"/>
          <w:sz w:val="24"/>
          <w:szCs w:val="24"/>
        </w:rPr>
        <w:t xml:space="preserve">A. tsao-ko, </w:t>
      </w:r>
      <w:r w:rsidRPr="00E52B95">
        <w:rPr>
          <w:rFonts w:ascii="Times New Roman" w:hAnsi="Times New Roman" w:cs="Times New Roman"/>
          <w:iCs/>
          <w:color w:val="000000"/>
          <w:sz w:val="24"/>
          <w:szCs w:val="24"/>
        </w:rPr>
        <w:t xml:space="preserve">including tsaokoarylone and specific aldehyde bicyclononane derivatives, show robust antiproliferative efficacy against neuroblastoma cells with </w:t>
      </w:r>
      <w:r w:rsidRPr="00E52B95">
        <w:rPr>
          <w:rFonts w:ascii="Times New Roman" w:hAnsi="Times New Roman" w:cs="Times New Roman"/>
          <w:color w:val="000000"/>
          <w:sz w:val="24"/>
          <w:szCs w:val="24"/>
          <w:shd w:val="clear" w:color="auto" w:fill="FFFFFF"/>
        </w:rPr>
        <w:t>IC</w:t>
      </w:r>
      <w:r w:rsidRPr="00E52B95">
        <w:rPr>
          <w:rFonts w:ascii="Times New Roman" w:hAnsi="Times New Roman" w:cs="Times New Roman"/>
          <w:color w:val="000000"/>
          <w:sz w:val="24"/>
          <w:szCs w:val="24"/>
          <w:shd w:val="clear" w:color="auto" w:fill="FFFFFF"/>
          <w:vertAlign w:val="subscript"/>
        </w:rPr>
        <w:t>50</w:t>
      </w:r>
      <w:r w:rsidRPr="00E52B95">
        <w:rPr>
          <w:rFonts w:ascii="Times New Roman" w:hAnsi="Times New Roman" w:cs="Times New Roman"/>
          <w:color w:val="000000"/>
          <w:sz w:val="24"/>
          <w:szCs w:val="24"/>
        </w:rPr>
        <w:t xml:space="preserve"> values ranging from 46–82 μM (</w:t>
      </w:r>
      <w:r w:rsidRPr="00E52B95">
        <w:rPr>
          <w:rFonts w:ascii="Times New Roman" w:hAnsi="Times New Roman" w:cs="Times New Roman"/>
          <w:color w:val="000000"/>
          <w:sz w:val="24"/>
          <w:szCs w:val="24"/>
          <w:shd w:val="clear" w:color="auto" w:fill="FFFFFF"/>
        </w:rPr>
        <w:t xml:space="preserve">Dinata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2024).</w:t>
      </w:r>
    </w:p>
    <w:p w:rsidR="00E52B95" w:rsidRPr="00E52B95" w:rsidRDefault="00E52B95" w:rsidP="00E52B95">
      <w:pPr>
        <w:spacing w:line="360" w:lineRule="auto"/>
        <w:jc w:val="both"/>
        <w:rPr>
          <w:rFonts w:ascii="Times New Roman" w:hAnsi="Times New Roman" w:cs="Times New Roman"/>
          <w:b/>
          <w:bCs/>
          <w:i/>
          <w:color w:val="000000"/>
          <w:sz w:val="24"/>
          <w:szCs w:val="24"/>
          <w:shd w:val="clear" w:color="auto" w:fill="FFFFFF"/>
        </w:rPr>
      </w:pPr>
      <w:r w:rsidRPr="00E52B95">
        <w:rPr>
          <w:rFonts w:ascii="Times New Roman" w:hAnsi="Times New Roman" w:cs="Times New Roman"/>
          <w:b/>
          <w:bCs/>
          <w:i/>
          <w:color w:val="000000"/>
          <w:sz w:val="24"/>
          <w:szCs w:val="24"/>
          <w:shd w:val="clear" w:color="auto" w:fill="FFFFFF"/>
        </w:rPr>
        <w:t xml:space="preserve">6.3.9. Genus Etlingera </w:t>
      </w:r>
    </w:p>
    <w:p w:rsidR="00E52B95" w:rsidRPr="00E52B95" w:rsidRDefault="00E52B95" w:rsidP="00E52B95">
      <w:pPr>
        <w:pStyle w:val="NormalWeb"/>
        <w:spacing w:line="360" w:lineRule="auto"/>
        <w:jc w:val="both"/>
        <w:rPr>
          <w:color w:val="000000"/>
          <w:shd w:val="clear" w:color="auto" w:fill="FFFFFF"/>
        </w:rPr>
      </w:pPr>
      <w:r w:rsidRPr="00E52B95">
        <w:rPr>
          <w:rStyle w:val="citation-7"/>
          <w:color w:val="000000"/>
        </w:rPr>
        <w:t xml:space="preserve">The </w:t>
      </w:r>
      <w:r w:rsidRPr="00E52B95">
        <w:rPr>
          <w:rStyle w:val="citation-7"/>
          <w:bCs/>
          <w:i/>
          <w:iCs/>
          <w:color w:val="000000"/>
        </w:rPr>
        <w:t>Etlingera</w:t>
      </w:r>
      <w:r w:rsidRPr="00E52B95">
        <w:rPr>
          <w:rStyle w:val="citation-7"/>
          <w:bCs/>
          <w:color w:val="000000"/>
        </w:rPr>
        <w:t xml:space="preserve"> genus</w:t>
      </w:r>
      <w:r w:rsidRPr="00E52B95">
        <w:rPr>
          <w:rStyle w:val="citation-7"/>
          <w:color w:val="000000"/>
        </w:rPr>
        <w:t xml:space="preserve"> exhibits significant </w:t>
      </w:r>
      <w:r w:rsidRPr="00E52B95">
        <w:rPr>
          <w:rStyle w:val="citation-7"/>
          <w:bCs/>
          <w:color w:val="000000"/>
        </w:rPr>
        <w:t>anticancer activity</w:t>
      </w:r>
      <w:r w:rsidRPr="00E52B95">
        <w:rPr>
          <w:rStyle w:val="citation-7"/>
          <w:color w:val="000000"/>
        </w:rPr>
        <w:t>, with various species and their extracts demonstrating cytotoxic effects against a range of cancer cell lines.</w:t>
      </w:r>
      <w:r w:rsidRPr="00E52B95">
        <w:rPr>
          <w:bCs/>
          <w:i/>
          <w:iCs/>
          <w:color w:val="000000"/>
        </w:rPr>
        <w:t>E. elatior</w:t>
      </w:r>
      <w:r w:rsidRPr="00E52B95">
        <w:rPr>
          <w:color w:val="000000"/>
        </w:rPr>
        <w:t xml:space="preserve"> is particularly notable, with extracts from its </w:t>
      </w:r>
      <w:r w:rsidRPr="00E52B95">
        <w:rPr>
          <w:bCs/>
          <w:color w:val="000000"/>
        </w:rPr>
        <w:t>rhizome, flowers, and seeds</w:t>
      </w:r>
      <w:r w:rsidRPr="00E52B95">
        <w:rPr>
          <w:color w:val="000000"/>
        </w:rPr>
        <w:t xml:space="preserve"> showing strong activity against lines like </w:t>
      </w:r>
      <w:r w:rsidR="00483183">
        <w:rPr>
          <w:color w:val="000000"/>
        </w:rPr>
        <w:t>CEM-SS, MCF-7, MDA-MB-231, HeLa</w:t>
      </w:r>
      <w:r w:rsidRPr="00E52B95">
        <w:rPr>
          <w:color w:val="000000"/>
        </w:rPr>
        <w:t xml:space="preserve"> and P-388 leukemia cells, often attributed to compo</w:t>
      </w:r>
      <w:r w:rsidR="00483183">
        <w:rPr>
          <w:color w:val="000000"/>
        </w:rPr>
        <w:t>unds like lapachol and apigenin</w:t>
      </w:r>
      <w:r w:rsidRPr="00E52B95">
        <w:rPr>
          <w:color w:val="000000"/>
        </w:rPr>
        <w:t>.</w:t>
      </w:r>
      <w:r w:rsidR="00483183">
        <w:rPr>
          <w:color w:val="000000"/>
        </w:rPr>
        <w:t xml:space="preserve"> </w:t>
      </w:r>
      <w:r w:rsidRPr="00E52B95">
        <w:rPr>
          <w:color w:val="000000"/>
        </w:rPr>
        <w:t xml:space="preserve">Other species, including </w:t>
      </w:r>
      <w:r w:rsidRPr="00483183">
        <w:rPr>
          <w:bCs/>
          <w:i/>
          <w:iCs/>
          <w:color w:val="000000"/>
        </w:rPr>
        <w:t xml:space="preserve">E. </w:t>
      </w:r>
      <w:r w:rsidRPr="00483183">
        <w:rPr>
          <w:rStyle w:val="citation-4"/>
          <w:i/>
          <w:color w:val="000000"/>
        </w:rPr>
        <w:t xml:space="preserve">pavieana, E. brevilabrum, E. pyramidosphaera, E. megalocheilos, </w:t>
      </w:r>
      <w:r w:rsidRPr="00483183">
        <w:rPr>
          <w:rStyle w:val="citation-4"/>
          <w:color w:val="000000"/>
        </w:rPr>
        <w:t>and</w:t>
      </w:r>
      <w:r w:rsidRPr="00483183">
        <w:rPr>
          <w:rStyle w:val="citation-4"/>
          <w:i/>
          <w:color w:val="000000"/>
        </w:rPr>
        <w:t xml:space="preserve"> E. coccinea,</w:t>
      </w:r>
      <w:r w:rsidRPr="00E52B95">
        <w:rPr>
          <w:rStyle w:val="citation-4"/>
          <w:color w:val="000000"/>
        </w:rPr>
        <w:t xml:space="preserve"> also</w:t>
      </w:r>
      <w:r w:rsidRPr="00E52B95">
        <w:rPr>
          <w:rStyle w:val="citation-6"/>
          <w:color w:val="000000"/>
        </w:rPr>
        <w:t xml:space="preserve"> display antiproliferative or cytotoxic effects.</w:t>
      </w:r>
      <w:r w:rsidR="00483183">
        <w:rPr>
          <w:rStyle w:val="citation-6"/>
          <w:color w:val="000000"/>
        </w:rPr>
        <w:t xml:space="preserve"> </w:t>
      </w:r>
      <w:r w:rsidRPr="00E52B95">
        <w:rPr>
          <w:rStyle w:val="citation-5"/>
          <w:color w:val="000000"/>
        </w:rPr>
        <w:t xml:space="preserve">These activities are linked to various chemical constituents, such as trans-4-methoxycinnamaldehyde in </w:t>
      </w:r>
      <w:r w:rsidRPr="00E52B95">
        <w:rPr>
          <w:rStyle w:val="citation-5"/>
          <w:i/>
          <w:iCs/>
          <w:color w:val="000000"/>
        </w:rPr>
        <w:t>E. pavieana</w:t>
      </w:r>
      <w:r w:rsidRPr="00E52B95">
        <w:rPr>
          <w:rStyle w:val="citation-5"/>
          <w:color w:val="000000"/>
        </w:rPr>
        <w:t xml:space="preserve"> and diverse essential oil components in the other species.</w:t>
      </w:r>
      <w:r w:rsidR="00483183">
        <w:rPr>
          <w:rStyle w:val="citation-5"/>
          <w:color w:val="000000"/>
        </w:rPr>
        <w:t xml:space="preserve"> </w:t>
      </w:r>
      <w:r w:rsidRPr="00E52B95">
        <w:rPr>
          <w:rStyle w:val="citation-4"/>
          <w:color w:val="000000"/>
        </w:rPr>
        <w:t xml:space="preserve">Overall, the </w:t>
      </w:r>
      <w:r w:rsidRPr="00E52B95">
        <w:rPr>
          <w:rStyle w:val="citation-4"/>
          <w:i/>
          <w:iCs/>
          <w:color w:val="000000"/>
        </w:rPr>
        <w:t>Etlingera</w:t>
      </w:r>
      <w:r w:rsidRPr="00E52B95">
        <w:rPr>
          <w:rStyle w:val="citation-4"/>
          <w:color w:val="000000"/>
        </w:rPr>
        <w:t xml:space="preserve"> genus shows promising potential as a source of </w:t>
      </w:r>
      <w:r w:rsidRPr="00E52B95">
        <w:rPr>
          <w:rStyle w:val="citation-4"/>
          <w:bCs/>
          <w:color w:val="000000"/>
        </w:rPr>
        <w:t>natural anticancer agents</w:t>
      </w:r>
      <w:r w:rsidRPr="00E52B95">
        <w:rPr>
          <w:rStyle w:val="citation-4"/>
          <w:color w:val="000000"/>
        </w:rPr>
        <w:t>, with different parts of the plants and their extracts targeting a</w:t>
      </w:r>
      <w:r w:rsidR="00483183">
        <w:rPr>
          <w:rStyle w:val="citation-4"/>
          <w:color w:val="000000"/>
        </w:rPr>
        <w:t xml:space="preserve"> broad spectrum of cancer cells</w:t>
      </w:r>
      <w:r w:rsidRPr="00E52B95">
        <w:rPr>
          <w:rStyle w:val="citation-4"/>
          <w:color w:val="000000"/>
        </w:rPr>
        <w:t>(</w:t>
      </w:r>
      <w:r w:rsidRPr="00E52B95">
        <w:rPr>
          <w:color w:val="000000"/>
          <w:shd w:val="clear" w:color="auto" w:fill="FFFFFF"/>
        </w:rPr>
        <w:t xml:space="preserve"> Krajarng </w:t>
      </w:r>
      <w:r w:rsidRPr="00E52B95">
        <w:rPr>
          <w:i/>
          <w:color w:val="000000"/>
          <w:shd w:val="clear" w:color="auto" w:fill="FFFFFF"/>
        </w:rPr>
        <w:t>et al</w:t>
      </w:r>
      <w:r w:rsidRPr="00E52B95">
        <w:rPr>
          <w:color w:val="000000"/>
          <w:shd w:val="clear" w:color="auto" w:fill="FFFFFF"/>
        </w:rPr>
        <w:t xml:space="preserve">.,2017;Vairappan </w:t>
      </w:r>
      <w:r w:rsidRPr="00E52B95">
        <w:rPr>
          <w:i/>
          <w:color w:val="000000"/>
          <w:shd w:val="clear" w:color="auto" w:fill="FFFFFF"/>
        </w:rPr>
        <w:t>et al</w:t>
      </w:r>
      <w:r w:rsidRPr="00E52B95">
        <w:rPr>
          <w:color w:val="000000"/>
          <w:shd w:val="clear" w:color="auto" w:fill="FFFFFF"/>
        </w:rPr>
        <w:t>.,2012).</w:t>
      </w:r>
      <w:r w:rsidR="00F97818" w:rsidRPr="00F97818">
        <w:rPr>
          <w:noProof/>
          <w:color w:val="000000"/>
          <w:shd w:val="clear" w:color="auto" w:fill="FFFFFF"/>
        </w:rPr>
        <w:t xml:space="preserve"> </w:t>
      </w:r>
      <w:r w:rsidR="00F97818" w:rsidRPr="00E52B95">
        <w:rPr>
          <w:noProof/>
          <w:color w:val="000000"/>
          <w:shd w:val="clear" w:color="auto" w:fill="FFFFFF"/>
        </w:rPr>
        <w:t xml:space="preserve">Anti cancerous  effect of members of different genera of Family </w:t>
      </w:r>
      <w:r w:rsidR="00F97818" w:rsidRPr="00E52B95">
        <w:rPr>
          <w:i/>
          <w:noProof/>
          <w:color w:val="000000"/>
          <w:shd w:val="clear" w:color="auto" w:fill="FFFFFF"/>
        </w:rPr>
        <w:t>Zingiberaceae</w:t>
      </w:r>
      <w:r w:rsidR="00F97818">
        <w:rPr>
          <w:noProof/>
          <w:color w:val="000000"/>
          <w:shd w:val="clear" w:color="auto" w:fill="FFFFFF"/>
        </w:rPr>
        <w:t xml:space="preserve"> has been shown in Figure 5.</w:t>
      </w:r>
    </w:p>
    <w:p w:rsidR="00E52B95" w:rsidRPr="00E52B95" w:rsidRDefault="00E52B95" w:rsidP="00E52B95">
      <w:pPr>
        <w:pStyle w:val="NormalWeb"/>
        <w:spacing w:line="360" w:lineRule="auto"/>
        <w:jc w:val="both"/>
        <w:rPr>
          <w:b/>
          <w:bCs/>
          <w:i/>
          <w:iCs/>
          <w:color w:val="000000"/>
        </w:rPr>
      </w:pPr>
      <w:r w:rsidRPr="00E52B95">
        <w:rPr>
          <w:b/>
          <w:bCs/>
          <w:i/>
          <w:iCs/>
          <w:color w:val="000000"/>
        </w:rPr>
        <w:lastRenderedPageBreak/>
        <w:t xml:space="preserve">6.4. Anti-microbial activity </w:t>
      </w:r>
    </w:p>
    <w:p w:rsidR="00E52B95" w:rsidRPr="00E52B95" w:rsidRDefault="00E52B95" w:rsidP="00E52B95">
      <w:pPr>
        <w:pStyle w:val="NormalWeb"/>
        <w:spacing w:line="360" w:lineRule="auto"/>
        <w:jc w:val="both"/>
        <w:rPr>
          <w:b/>
          <w:bCs/>
          <w:i/>
          <w:iCs/>
          <w:color w:val="000000"/>
        </w:rPr>
      </w:pPr>
      <w:r w:rsidRPr="00E52B95">
        <w:rPr>
          <w:b/>
          <w:bCs/>
          <w:i/>
          <w:iCs/>
          <w:color w:val="000000"/>
        </w:rPr>
        <w:t xml:space="preserve">6.4.1. Genus Zingiber  </w:t>
      </w:r>
    </w:p>
    <w:p w:rsidR="00E52B95" w:rsidRPr="00E52B95" w:rsidRDefault="00483183" w:rsidP="00E52B95">
      <w:pPr>
        <w:pStyle w:val="NormalWeb"/>
        <w:spacing w:line="360" w:lineRule="auto"/>
        <w:jc w:val="both"/>
        <w:rPr>
          <w:color w:val="000000"/>
          <w:shd w:val="clear" w:color="auto" w:fill="FFFFFF"/>
        </w:rPr>
      </w:pPr>
      <w:r w:rsidRPr="00E52B95">
        <w:rPr>
          <w:bCs/>
          <w:i/>
          <w:iCs/>
          <w:color w:val="000000"/>
        </w:rPr>
        <w:t>Zingiber plants</w:t>
      </w:r>
      <w:r w:rsidR="00E52B95" w:rsidRPr="00E52B95">
        <w:rPr>
          <w:color w:val="000000"/>
        </w:rPr>
        <w:t xml:space="preserve"> are notable for their significant antimicrobial properties, primarily due to their </w:t>
      </w:r>
      <w:r w:rsidR="00E52B95" w:rsidRPr="00E52B95">
        <w:rPr>
          <w:bCs/>
          <w:color w:val="000000"/>
        </w:rPr>
        <w:t>essential oils and gingerols</w:t>
      </w:r>
      <w:r w:rsidR="00E52B95" w:rsidRPr="00E52B95">
        <w:rPr>
          <w:color w:val="000000"/>
        </w:rPr>
        <w:t xml:space="preserve">. Extracts from </w:t>
      </w:r>
      <w:r w:rsidRPr="00E52B95">
        <w:rPr>
          <w:bCs/>
          <w:i/>
          <w:iCs/>
          <w:color w:val="000000"/>
        </w:rPr>
        <w:t xml:space="preserve">Zingiber officinale </w:t>
      </w:r>
      <w:r w:rsidRPr="00E52B95">
        <w:rPr>
          <w:bCs/>
          <w:color w:val="000000"/>
        </w:rPr>
        <w:t>rhizome</w:t>
      </w:r>
      <w:r w:rsidR="00E52B95" w:rsidRPr="00E52B95">
        <w:rPr>
          <w:color w:val="000000"/>
        </w:rPr>
        <w:t xml:space="preserve"> inhibit both Gram-negative and Gram-positive bacteria, while </w:t>
      </w:r>
      <w:r w:rsidR="00E52B95" w:rsidRPr="00E52B95">
        <w:rPr>
          <w:bCs/>
          <w:color w:val="000000"/>
        </w:rPr>
        <w:t>zerumbone</w:t>
      </w:r>
      <w:r w:rsidR="00E52B95" w:rsidRPr="00E52B95">
        <w:rPr>
          <w:color w:val="000000"/>
        </w:rPr>
        <w:t xml:space="preserve"> from </w:t>
      </w:r>
      <w:r w:rsidR="00F97818">
        <w:rPr>
          <w:i/>
          <w:iCs/>
          <w:color w:val="000000"/>
        </w:rPr>
        <w:t>Zingiber</w:t>
      </w:r>
      <w:r w:rsidR="00E52B95" w:rsidRPr="00483183">
        <w:rPr>
          <w:i/>
          <w:iCs/>
          <w:color w:val="000000"/>
        </w:rPr>
        <w:t xml:space="preserve"> zerumbet</w:t>
      </w:r>
      <w:r w:rsidR="00E52B95" w:rsidRPr="00E52B95">
        <w:rPr>
          <w:color w:val="000000"/>
        </w:rPr>
        <w:t xml:space="preserve"> demonstrates broad-spectrum activity against various bacteria, including </w:t>
      </w:r>
      <w:r w:rsidR="00E52B95" w:rsidRPr="00F97818">
        <w:rPr>
          <w:i/>
          <w:iCs/>
          <w:color w:val="000000"/>
        </w:rPr>
        <w:t>Staphylococcus aureus</w:t>
      </w:r>
      <w:r w:rsidR="00E52B95" w:rsidRPr="00E52B95">
        <w:rPr>
          <w:color w:val="000000"/>
        </w:rPr>
        <w:t xml:space="preserve"> and </w:t>
      </w:r>
      <w:r w:rsidR="00E52B95" w:rsidRPr="00F97818">
        <w:rPr>
          <w:i/>
          <w:iCs/>
          <w:color w:val="000000"/>
        </w:rPr>
        <w:t>Helicobacter pylori</w:t>
      </w:r>
      <w:r w:rsidR="00F97818">
        <w:rPr>
          <w:color w:val="000000"/>
        </w:rPr>
        <w:t xml:space="preserve"> </w:t>
      </w:r>
      <w:r w:rsidR="00E52B95" w:rsidRPr="00E52B95">
        <w:rPr>
          <w:color w:val="000000"/>
        </w:rPr>
        <w:t xml:space="preserve">and also reduces </w:t>
      </w:r>
      <w:r w:rsidR="00E52B95" w:rsidRPr="00F97818">
        <w:rPr>
          <w:i/>
          <w:iCs/>
          <w:color w:val="000000"/>
        </w:rPr>
        <w:t>Candida albicans</w:t>
      </w:r>
      <w:r w:rsidR="00E52B95" w:rsidRPr="00E52B95">
        <w:rPr>
          <w:color w:val="000000"/>
        </w:rPr>
        <w:t xml:space="preserve"> virulence b</w:t>
      </w:r>
      <w:r>
        <w:rPr>
          <w:color w:val="000000"/>
        </w:rPr>
        <w:t xml:space="preserve">y disrupting biofilm formation </w:t>
      </w:r>
      <w:r w:rsidR="00E52B95" w:rsidRPr="00E52B95">
        <w:rPr>
          <w:color w:val="000000"/>
        </w:rPr>
        <w:t>(</w:t>
      </w:r>
      <w:r w:rsidR="00E52B95" w:rsidRPr="00E52B95">
        <w:rPr>
          <w:color w:val="000000"/>
          <w:shd w:val="clear" w:color="auto" w:fill="FFFFFF"/>
        </w:rPr>
        <w:t xml:space="preserve">Sidahmed </w:t>
      </w:r>
      <w:r w:rsidR="00E52B95" w:rsidRPr="00E52B95">
        <w:rPr>
          <w:i/>
          <w:color w:val="000000"/>
          <w:shd w:val="clear" w:color="auto" w:fill="FFFFFF"/>
        </w:rPr>
        <w:t>et al</w:t>
      </w:r>
      <w:r w:rsidR="00E52B95" w:rsidRPr="00E52B95">
        <w:rPr>
          <w:color w:val="000000"/>
          <w:shd w:val="clear" w:color="auto" w:fill="FFFFFF"/>
        </w:rPr>
        <w:t>., 2015).</w:t>
      </w:r>
      <w:r w:rsidR="00E52B95" w:rsidRPr="00E52B95">
        <w:rPr>
          <w:color w:val="000000"/>
        </w:rPr>
        <w:t xml:space="preserve"> Other compounds like </w:t>
      </w:r>
      <w:r w:rsidR="00E52B95" w:rsidRPr="00E52B95">
        <w:rPr>
          <w:bCs/>
          <w:color w:val="000000"/>
        </w:rPr>
        <w:t>miogadial</w:t>
      </w:r>
      <w:r w:rsidR="00E52B95" w:rsidRPr="00E52B95">
        <w:rPr>
          <w:color w:val="000000"/>
        </w:rPr>
        <w:t xml:space="preserve"> from </w:t>
      </w:r>
      <w:r w:rsidRPr="00E52B95">
        <w:rPr>
          <w:i/>
          <w:iCs/>
          <w:color w:val="000000"/>
        </w:rPr>
        <w:t xml:space="preserve">Zingiber </w:t>
      </w:r>
      <w:r w:rsidRPr="00483183">
        <w:rPr>
          <w:i/>
          <w:iCs/>
          <w:color w:val="000000"/>
        </w:rPr>
        <w:t>mioga</w:t>
      </w:r>
      <w:r w:rsidR="00E52B95" w:rsidRPr="00483183">
        <w:rPr>
          <w:i/>
          <w:color w:val="000000"/>
        </w:rPr>
        <w:t xml:space="preserve"> </w:t>
      </w:r>
      <w:r w:rsidR="00E52B95" w:rsidRPr="00E52B95">
        <w:rPr>
          <w:color w:val="000000"/>
        </w:rPr>
        <w:t xml:space="preserve">show strong activity against Gram-positive bacteria and yeasts, and </w:t>
      </w:r>
      <w:r w:rsidRPr="00E52B95">
        <w:rPr>
          <w:bCs/>
          <w:i/>
          <w:iCs/>
          <w:color w:val="000000"/>
        </w:rPr>
        <w:t>Zingiber corallinum</w:t>
      </w:r>
      <w:r w:rsidR="00E52B95" w:rsidRPr="00483183">
        <w:rPr>
          <w:bCs/>
          <w:i/>
          <w:iCs/>
          <w:color w:val="000000"/>
        </w:rPr>
        <w:t xml:space="preserve"> </w:t>
      </w:r>
      <w:r w:rsidR="00E52B95" w:rsidRPr="00E52B95">
        <w:rPr>
          <w:color w:val="000000"/>
        </w:rPr>
        <w:t xml:space="preserve">essential oil is effective against plant pathogenic fungi. Among the </w:t>
      </w:r>
      <w:r w:rsidR="00E52B95" w:rsidRPr="00E52B95">
        <w:rPr>
          <w:bCs/>
          <w:color w:val="000000"/>
        </w:rPr>
        <w:t>gingerol analogues</w:t>
      </w:r>
      <w:r w:rsidR="00E52B95" w:rsidRPr="00E52B95">
        <w:rPr>
          <w:color w:val="000000"/>
        </w:rPr>
        <w:t xml:space="preserve">, </w:t>
      </w:r>
      <w:r w:rsidR="00E52B95" w:rsidRPr="00E52B95">
        <w:rPr>
          <w:bCs/>
          <w:color w:val="000000"/>
        </w:rPr>
        <w:t>10-gingerol</w:t>
      </w:r>
      <w:r w:rsidR="00E52B95" w:rsidRPr="00E52B95">
        <w:rPr>
          <w:color w:val="000000"/>
        </w:rPr>
        <w:t xml:space="preserve"> stands out for its potent inhibition of periodontal bacteria and </w:t>
      </w:r>
      <w:r w:rsidR="00E52B95" w:rsidRPr="00E52B95">
        <w:rPr>
          <w:iCs/>
          <w:color w:val="000000"/>
        </w:rPr>
        <w:t>Mycobacterium</w:t>
      </w:r>
      <w:r w:rsidR="00E52B95" w:rsidRPr="00E52B95">
        <w:rPr>
          <w:color w:val="000000"/>
        </w:rPr>
        <w:t xml:space="preserve"> species, with </w:t>
      </w:r>
      <w:r w:rsidR="00E52B95" w:rsidRPr="00E52B95">
        <w:rPr>
          <w:bCs/>
          <w:color w:val="000000"/>
        </w:rPr>
        <w:t>6-gingerol</w:t>
      </w:r>
      <w:r w:rsidR="00E52B95" w:rsidRPr="00E52B95">
        <w:rPr>
          <w:color w:val="000000"/>
        </w:rPr>
        <w:t xml:space="preserve"> also showing efficacy against </w:t>
      </w:r>
      <w:r w:rsidR="00E52B95" w:rsidRPr="00F97818">
        <w:rPr>
          <w:i/>
          <w:iCs/>
          <w:color w:val="000000"/>
        </w:rPr>
        <w:t>Helicobacter pylori</w:t>
      </w:r>
      <w:r w:rsidR="00E52B95" w:rsidRPr="00E52B95">
        <w:rPr>
          <w:color w:val="000000"/>
        </w:rPr>
        <w:t xml:space="preserve">. The </w:t>
      </w:r>
      <w:r w:rsidR="00E52B95" w:rsidRPr="00E52B95">
        <w:rPr>
          <w:bCs/>
          <w:color w:val="000000"/>
        </w:rPr>
        <w:t>shorter alkyl side chains of gingerols</w:t>
      </w:r>
      <w:r w:rsidR="00E52B95" w:rsidRPr="00E52B95">
        <w:rPr>
          <w:color w:val="000000"/>
        </w:rPr>
        <w:t xml:space="preserve"> are key to their antimicrobial effects, highlighting a clear structure-activity relationship (</w:t>
      </w:r>
      <w:r w:rsidR="00E52B95" w:rsidRPr="00E52B95">
        <w:rPr>
          <w:color w:val="000000"/>
          <w:shd w:val="clear" w:color="auto" w:fill="FFFFFF"/>
        </w:rPr>
        <w:t xml:space="preserve">Park </w:t>
      </w:r>
      <w:r w:rsidR="00E52B95" w:rsidRPr="00E52B95">
        <w:rPr>
          <w:i/>
          <w:color w:val="000000"/>
          <w:shd w:val="clear" w:color="auto" w:fill="FFFFFF"/>
        </w:rPr>
        <w:t>et al</w:t>
      </w:r>
      <w:r w:rsidR="00E52B95" w:rsidRPr="00E52B95">
        <w:rPr>
          <w:color w:val="000000"/>
          <w:shd w:val="clear" w:color="auto" w:fill="FFFFFF"/>
        </w:rPr>
        <w:t>., 2008).</w:t>
      </w:r>
    </w:p>
    <w:p w:rsidR="00E52B95" w:rsidRPr="00E52B95" w:rsidRDefault="00E52B95" w:rsidP="00E52B95">
      <w:pPr>
        <w:pStyle w:val="NormalWeb"/>
        <w:spacing w:line="360" w:lineRule="auto"/>
        <w:jc w:val="both"/>
        <w:rPr>
          <w:rStyle w:val="citation-358"/>
          <w:b/>
          <w:i/>
          <w:color w:val="000000"/>
          <w:shd w:val="clear" w:color="auto" w:fill="FFFFFF"/>
        </w:rPr>
      </w:pPr>
      <w:r w:rsidRPr="00E52B95">
        <w:rPr>
          <w:b/>
          <w:i/>
          <w:color w:val="000000"/>
          <w:shd w:val="clear" w:color="auto" w:fill="FFFFFF"/>
        </w:rPr>
        <w:t xml:space="preserve">6.4.2. Genus Curcuma </w:t>
      </w:r>
    </w:p>
    <w:p w:rsidR="00E52B95" w:rsidRPr="00E52B95" w:rsidRDefault="00E52B95" w:rsidP="00E52B95">
      <w:pPr>
        <w:pStyle w:val="NormalWeb"/>
        <w:spacing w:line="360" w:lineRule="auto"/>
        <w:jc w:val="both"/>
        <w:rPr>
          <w:color w:val="000000"/>
          <w:shd w:val="clear" w:color="auto" w:fill="FFFFFF"/>
        </w:rPr>
      </w:pPr>
      <w:r w:rsidRPr="00E52B95">
        <w:rPr>
          <w:rStyle w:val="citation-358"/>
          <w:color w:val="000000"/>
        </w:rPr>
        <w:t xml:space="preserve">Curcumin and its oil fractions can suppress the growth of various bacteria, including </w:t>
      </w:r>
      <w:r w:rsidRPr="00E52B95">
        <w:rPr>
          <w:rStyle w:val="citation-358"/>
          <w:i/>
          <w:iCs/>
          <w:color w:val="000000"/>
        </w:rPr>
        <w:t>Streptococcus</w:t>
      </w:r>
      <w:r w:rsidRPr="00E52B95">
        <w:rPr>
          <w:rStyle w:val="citation-358"/>
          <w:color w:val="000000"/>
        </w:rPr>
        <w:t xml:space="preserve">, </w:t>
      </w:r>
      <w:r w:rsidRPr="00E52B95">
        <w:rPr>
          <w:rStyle w:val="citation-358"/>
          <w:i/>
          <w:iCs/>
          <w:color w:val="000000"/>
        </w:rPr>
        <w:t>Staphylococcus</w:t>
      </w:r>
      <w:r w:rsidR="00F97818">
        <w:rPr>
          <w:rStyle w:val="citation-358"/>
          <w:color w:val="000000"/>
        </w:rPr>
        <w:t xml:space="preserve"> </w:t>
      </w:r>
      <w:r w:rsidRPr="00E52B95">
        <w:rPr>
          <w:rStyle w:val="citation-358"/>
          <w:color w:val="000000"/>
        </w:rPr>
        <w:t xml:space="preserve">and </w:t>
      </w:r>
      <w:r w:rsidRPr="00E52B95">
        <w:rPr>
          <w:rStyle w:val="citation-358"/>
          <w:i/>
          <w:iCs/>
          <w:color w:val="000000"/>
        </w:rPr>
        <w:t>Lactobacillus</w:t>
      </w:r>
      <w:r w:rsidRPr="00E52B95">
        <w:rPr>
          <w:color w:val="000000"/>
        </w:rPr>
        <w:t xml:space="preserve">. </w:t>
      </w:r>
      <w:r w:rsidRPr="00E52B95">
        <w:rPr>
          <w:rStyle w:val="citation-357"/>
          <w:color w:val="000000"/>
        </w:rPr>
        <w:t xml:space="preserve">The aqueous extract of </w:t>
      </w:r>
      <w:r w:rsidRPr="00E52B95">
        <w:rPr>
          <w:rStyle w:val="citation-357"/>
          <w:i/>
          <w:iCs/>
          <w:color w:val="000000"/>
        </w:rPr>
        <w:t>Curcuma longa</w:t>
      </w:r>
      <w:r w:rsidRPr="00E52B95">
        <w:rPr>
          <w:rStyle w:val="citation-357"/>
          <w:color w:val="000000"/>
        </w:rPr>
        <w:t xml:space="preserve"> rhizomes also exhibits antibacterial effects</w:t>
      </w:r>
      <w:r w:rsidRPr="00E52B95">
        <w:rPr>
          <w:color w:val="000000"/>
        </w:rPr>
        <w:t xml:space="preserve">. </w:t>
      </w:r>
      <w:r w:rsidRPr="00E52B95">
        <w:rPr>
          <w:rStyle w:val="citation-356"/>
          <w:color w:val="000000"/>
        </w:rPr>
        <w:t xml:space="preserve">Furthermore, curcumin inhibits the growth of </w:t>
      </w:r>
      <w:r w:rsidRPr="00E52B95">
        <w:rPr>
          <w:rStyle w:val="citation-356"/>
          <w:i/>
          <w:iCs/>
          <w:color w:val="000000"/>
        </w:rPr>
        <w:t>Helicobacter pylori</w:t>
      </w:r>
      <w:r w:rsidRPr="00E52B95">
        <w:rPr>
          <w:rStyle w:val="citation-356"/>
          <w:color w:val="000000"/>
        </w:rPr>
        <w:t xml:space="preserve"> CagA+ strains </w:t>
      </w:r>
      <w:r w:rsidRPr="00E52B95">
        <w:rPr>
          <w:rStyle w:val="citation-356"/>
          <w:i/>
          <w:iCs/>
          <w:color w:val="000000"/>
        </w:rPr>
        <w:t>in vitro</w:t>
      </w:r>
      <w:r w:rsidRPr="00E52B95">
        <w:rPr>
          <w:color w:val="000000"/>
        </w:rPr>
        <w:t xml:space="preserve">. </w:t>
      </w:r>
      <w:r w:rsidRPr="00E52B95">
        <w:rPr>
          <w:rStyle w:val="citation-355"/>
          <w:color w:val="000000"/>
        </w:rPr>
        <w:t>Curcumin acts as an inhibitor of the Epstein-Barr virus key activator BZLF1 protein transcription in Raji DR-LUC cells</w:t>
      </w:r>
      <w:r w:rsidRPr="00E52B95">
        <w:rPr>
          <w:color w:val="000000"/>
        </w:rPr>
        <w:t xml:space="preserve">. </w:t>
      </w:r>
      <w:r w:rsidRPr="00E52B95">
        <w:rPr>
          <w:rStyle w:val="citation-354"/>
          <w:color w:val="000000"/>
        </w:rPr>
        <w:t>It functions as a potent antiviral compound by inhibiting the enzyme inosine monophosphate dehydrogenase (IMPDH)</w:t>
      </w:r>
      <w:r w:rsidRPr="00E52B95">
        <w:rPr>
          <w:color w:val="000000"/>
        </w:rPr>
        <w:t xml:space="preserve">. </w:t>
      </w:r>
      <w:r w:rsidRPr="00E52B95">
        <w:rPr>
          <w:rStyle w:val="citation-353"/>
          <w:color w:val="000000"/>
        </w:rPr>
        <w:t>Curcumin effectively inhibits HIV-1 LTR-directed gene expression without significantly impacting cell viability</w:t>
      </w:r>
      <w:r w:rsidRPr="00E52B95">
        <w:rPr>
          <w:color w:val="000000"/>
        </w:rPr>
        <w:t xml:space="preserve">. </w:t>
      </w:r>
      <w:r w:rsidRPr="00E52B95">
        <w:rPr>
          <w:rStyle w:val="citation-352"/>
          <w:color w:val="000000"/>
        </w:rPr>
        <w:t>Additionally, curcumin considerably preserved the acetylation of HIV Tat protein by p300, which is associated with HIV-1 multiplication</w:t>
      </w:r>
      <w:r w:rsidRPr="00E52B95">
        <w:rPr>
          <w:color w:val="000000"/>
          <w:shd w:val="clear" w:color="auto" w:fill="FFFFFF"/>
        </w:rPr>
        <w:t xml:space="preserve"> (Kaliyadasa &amp; Samarasinghe., 2019).</w:t>
      </w:r>
    </w:p>
    <w:p w:rsidR="00E52B95" w:rsidRPr="00E52B95" w:rsidRDefault="00E52B95" w:rsidP="00E52B95">
      <w:pPr>
        <w:pStyle w:val="NormalWeb"/>
        <w:spacing w:line="360" w:lineRule="auto"/>
        <w:jc w:val="both"/>
        <w:rPr>
          <w:color w:val="000000"/>
        </w:rPr>
      </w:pPr>
      <w:r w:rsidRPr="00E52B95">
        <w:rPr>
          <w:b/>
          <w:color w:val="000000"/>
        </w:rPr>
        <w:t>6.4.3. Genus Alpinia</w:t>
      </w:r>
    </w:p>
    <w:p w:rsidR="00E52B95" w:rsidRPr="00E52B95" w:rsidRDefault="00E52B95" w:rsidP="00E52B95">
      <w:pPr>
        <w:pStyle w:val="NormalWeb"/>
        <w:spacing w:line="360" w:lineRule="auto"/>
        <w:jc w:val="both"/>
        <w:rPr>
          <w:color w:val="000000"/>
          <w:shd w:val="clear" w:color="auto" w:fill="FFFFFF"/>
        </w:rPr>
      </w:pPr>
      <w:r w:rsidRPr="00E52B95">
        <w:rPr>
          <w:color w:val="000000"/>
        </w:rPr>
        <w:t xml:space="preserve">Essential oils from various </w:t>
      </w:r>
      <w:r w:rsidRPr="00E52B95">
        <w:rPr>
          <w:rStyle w:val="Emphasis"/>
          <w:color w:val="000000"/>
        </w:rPr>
        <w:t>Alpinia</w:t>
      </w:r>
      <w:r w:rsidR="00483183">
        <w:rPr>
          <w:rStyle w:val="Emphasis"/>
          <w:color w:val="000000"/>
        </w:rPr>
        <w:t xml:space="preserve"> </w:t>
      </w:r>
      <w:r w:rsidRPr="00E52B95">
        <w:rPr>
          <w:color w:val="000000"/>
        </w:rPr>
        <w:t xml:space="preserve">species have demonstrated significant </w:t>
      </w:r>
      <w:r w:rsidRPr="00E52B95">
        <w:rPr>
          <w:rStyle w:val="Strong"/>
          <w:b w:val="0"/>
          <w:color w:val="000000"/>
        </w:rPr>
        <w:t>antimicrobial activity</w:t>
      </w:r>
      <w:r w:rsidRPr="00E52B95">
        <w:rPr>
          <w:color w:val="000000"/>
        </w:rPr>
        <w:t xml:space="preserve"> against a wide range of bacterial and fungal pathogens. Rhizome extracts of </w:t>
      </w:r>
      <w:r w:rsidRPr="00E52B95">
        <w:rPr>
          <w:rStyle w:val="Emphasis"/>
          <w:color w:val="000000"/>
        </w:rPr>
        <w:t>Alpinia</w:t>
      </w:r>
      <w:r w:rsidR="00483183">
        <w:rPr>
          <w:rStyle w:val="Emphasis"/>
          <w:color w:val="000000"/>
        </w:rPr>
        <w:t xml:space="preserve"> </w:t>
      </w:r>
      <w:r w:rsidRPr="00E52B95">
        <w:rPr>
          <w:rStyle w:val="Emphasis"/>
          <w:color w:val="000000"/>
        </w:rPr>
        <w:t>galanga</w:t>
      </w:r>
      <w:r w:rsidRPr="00E52B95">
        <w:rPr>
          <w:color w:val="000000"/>
        </w:rPr>
        <w:t xml:space="preserve">, </w:t>
      </w:r>
      <w:r w:rsidRPr="00E52B95">
        <w:rPr>
          <w:rStyle w:val="Emphasis"/>
          <w:color w:val="000000"/>
        </w:rPr>
        <w:t>A. calcarata</w:t>
      </w:r>
      <w:r w:rsidRPr="00E52B95">
        <w:rPr>
          <w:color w:val="000000"/>
        </w:rPr>
        <w:t xml:space="preserve">, </w:t>
      </w:r>
      <w:r w:rsidRPr="00E52B95">
        <w:rPr>
          <w:rStyle w:val="Emphasis"/>
          <w:color w:val="000000"/>
        </w:rPr>
        <w:t>A. conchigera</w:t>
      </w:r>
      <w:r w:rsidR="00483183">
        <w:rPr>
          <w:color w:val="000000"/>
        </w:rPr>
        <w:t xml:space="preserve"> </w:t>
      </w:r>
      <w:r w:rsidRPr="00E52B95">
        <w:rPr>
          <w:color w:val="000000"/>
        </w:rPr>
        <w:t xml:space="preserve">and </w:t>
      </w:r>
      <w:r w:rsidRPr="00E52B95">
        <w:rPr>
          <w:rStyle w:val="Emphasis"/>
          <w:color w:val="000000"/>
        </w:rPr>
        <w:t>A. zerumbet</w:t>
      </w:r>
      <w:r w:rsidRPr="00E52B95">
        <w:rPr>
          <w:color w:val="000000"/>
        </w:rPr>
        <w:t xml:space="preserve"> have shown potent inhibition against pathogens </w:t>
      </w:r>
      <w:r w:rsidRPr="00E52B95">
        <w:rPr>
          <w:color w:val="000000"/>
        </w:rPr>
        <w:lastRenderedPageBreak/>
        <w:t xml:space="preserve">such as </w:t>
      </w:r>
      <w:r w:rsidRPr="00E52B95">
        <w:rPr>
          <w:rStyle w:val="Emphasis"/>
          <w:color w:val="000000"/>
        </w:rPr>
        <w:t>Staphylococcus aureus</w:t>
      </w:r>
      <w:r w:rsidRPr="00E52B95">
        <w:rPr>
          <w:color w:val="000000"/>
        </w:rPr>
        <w:t xml:space="preserve">, </w:t>
      </w:r>
      <w:r w:rsidRPr="00E52B95">
        <w:rPr>
          <w:rStyle w:val="Emphasis"/>
          <w:color w:val="000000"/>
        </w:rPr>
        <w:t>Escherichia coli</w:t>
      </w:r>
      <w:r w:rsidRPr="00E52B95">
        <w:rPr>
          <w:color w:val="000000"/>
        </w:rPr>
        <w:t xml:space="preserve">, </w:t>
      </w:r>
      <w:r w:rsidRPr="00E52B95">
        <w:rPr>
          <w:rStyle w:val="Emphasis"/>
          <w:color w:val="000000"/>
        </w:rPr>
        <w:t>Salmonella typhimurium</w:t>
      </w:r>
      <w:r w:rsidRPr="00E52B95">
        <w:rPr>
          <w:color w:val="000000"/>
        </w:rPr>
        <w:t xml:space="preserve">, </w:t>
      </w:r>
      <w:r w:rsidRPr="00E52B95">
        <w:rPr>
          <w:rStyle w:val="Emphasis"/>
          <w:color w:val="000000"/>
        </w:rPr>
        <w:t xml:space="preserve">Klebsiella </w:t>
      </w:r>
      <w:r w:rsidR="00483183">
        <w:rPr>
          <w:rStyle w:val="Emphasis"/>
          <w:color w:val="000000"/>
        </w:rPr>
        <w:t>pneumonia</w:t>
      </w:r>
      <w:r w:rsidR="00483183">
        <w:rPr>
          <w:color w:val="000000"/>
        </w:rPr>
        <w:t xml:space="preserve"> </w:t>
      </w:r>
      <w:r w:rsidRPr="00E52B95">
        <w:rPr>
          <w:color w:val="000000"/>
        </w:rPr>
        <w:t xml:space="preserve">and </w:t>
      </w:r>
      <w:r w:rsidRPr="00E52B95">
        <w:rPr>
          <w:rStyle w:val="Emphasis"/>
          <w:color w:val="000000"/>
        </w:rPr>
        <w:t>Candida albicans</w:t>
      </w:r>
      <w:r w:rsidRPr="00E52B95">
        <w:rPr>
          <w:color w:val="000000"/>
        </w:rPr>
        <w:t xml:space="preserve">. The antimicrobial effects vary based on plant part used (rhizome, leaf, flower, or fruit) and extraction method (hydrodistillation, solvent extraction, etc.). Active compounds such as </w:t>
      </w:r>
      <w:r w:rsidRPr="00E52B95">
        <w:rPr>
          <w:rStyle w:val="Strong"/>
          <w:b w:val="0"/>
          <w:color w:val="000000"/>
        </w:rPr>
        <w:t>α-pinene</w:t>
      </w:r>
      <w:r w:rsidRPr="00E52B95">
        <w:rPr>
          <w:b/>
          <w:color w:val="000000"/>
        </w:rPr>
        <w:t xml:space="preserve">, </w:t>
      </w:r>
      <w:r w:rsidRPr="00E52B95">
        <w:rPr>
          <w:rStyle w:val="Strong"/>
          <w:b w:val="0"/>
          <w:color w:val="000000"/>
        </w:rPr>
        <w:t>1, 8-cineole</w:t>
      </w:r>
      <w:r w:rsidRPr="00E52B95">
        <w:rPr>
          <w:b/>
          <w:color w:val="000000"/>
        </w:rPr>
        <w:t xml:space="preserve">, </w:t>
      </w:r>
      <w:r w:rsidRPr="00E52B95">
        <w:rPr>
          <w:rStyle w:val="Strong"/>
          <w:b w:val="0"/>
          <w:color w:val="000000"/>
        </w:rPr>
        <w:t>linalool</w:t>
      </w:r>
      <w:r w:rsidRPr="00E52B95">
        <w:rPr>
          <w:b/>
          <w:color w:val="000000"/>
        </w:rPr>
        <w:t xml:space="preserve">, </w:t>
      </w:r>
      <w:r w:rsidRPr="00E52B95">
        <w:rPr>
          <w:rStyle w:val="Strong"/>
          <w:b w:val="0"/>
          <w:color w:val="000000"/>
        </w:rPr>
        <w:t>terpinen-4-ol</w:t>
      </w:r>
      <w:r w:rsidRPr="00E52B95">
        <w:rPr>
          <w:color w:val="000000"/>
        </w:rPr>
        <w:t xml:space="preserve"> and </w:t>
      </w:r>
      <w:r w:rsidRPr="00E52B95">
        <w:rPr>
          <w:rStyle w:val="Strong"/>
          <w:b w:val="0"/>
          <w:color w:val="000000"/>
        </w:rPr>
        <w:t>eucalyptol</w:t>
      </w:r>
      <w:r w:rsidRPr="00E52B95">
        <w:rPr>
          <w:color w:val="000000"/>
        </w:rPr>
        <w:t xml:space="preserve"> are frequently cited for their broad-spectrum bactericidal and fungicidal properties. Notably, </w:t>
      </w:r>
      <w:r w:rsidRPr="00E52B95">
        <w:rPr>
          <w:rStyle w:val="Emphasis"/>
          <w:color w:val="000000"/>
        </w:rPr>
        <w:t>A. galanga</w:t>
      </w:r>
      <w:r w:rsidRPr="00E52B95">
        <w:rPr>
          <w:color w:val="000000"/>
        </w:rPr>
        <w:t xml:space="preserve"> and </w:t>
      </w:r>
      <w:r w:rsidRPr="00E52B95">
        <w:rPr>
          <w:rStyle w:val="Emphasis"/>
          <w:color w:val="000000"/>
        </w:rPr>
        <w:t>A. zerumbet</w:t>
      </w:r>
      <w:r w:rsidRPr="00E52B95">
        <w:rPr>
          <w:color w:val="000000"/>
        </w:rPr>
        <w:t xml:space="preserve"> show low MIC values, indicating strong efficacy, even against antibiotic-resistant strains. Additionally, some </w:t>
      </w:r>
      <w:r w:rsidRPr="00E52B95">
        <w:rPr>
          <w:rStyle w:val="Emphasis"/>
          <w:color w:val="000000"/>
        </w:rPr>
        <w:t>Alpinia</w:t>
      </w:r>
      <w:r w:rsidR="00483183">
        <w:rPr>
          <w:rStyle w:val="Emphasis"/>
          <w:color w:val="000000"/>
        </w:rPr>
        <w:t xml:space="preserve"> </w:t>
      </w:r>
      <w:r w:rsidRPr="00E52B95">
        <w:rPr>
          <w:color w:val="000000"/>
        </w:rPr>
        <w:t xml:space="preserve">extracts demonstrated specific inhibitory action against </w:t>
      </w:r>
      <w:r w:rsidRPr="00E52B95">
        <w:rPr>
          <w:rStyle w:val="Emphasis"/>
          <w:color w:val="000000"/>
        </w:rPr>
        <w:t>Mycobacterium tuberculosis</w:t>
      </w:r>
      <w:r w:rsidRPr="00E52B95">
        <w:rPr>
          <w:color w:val="000000"/>
        </w:rPr>
        <w:t xml:space="preserve">, </w:t>
      </w:r>
      <w:r w:rsidRPr="00E52B95">
        <w:rPr>
          <w:rStyle w:val="Emphasis"/>
          <w:color w:val="000000"/>
        </w:rPr>
        <w:t>Candida tropicalis</w:t>
      </w:r>
      <w:r w:rsidRPr="00E52B95">
        <w:rPr>
          <w:color w:val="000000"/>
        </w:rPr>
        <w:t xml:space="preserve"> and </w:t>
      </w:r>
      <w:r w:rsidRPr="00E52B95">
        <w:rPr>
          <w:rStyle w:val="Emphasis"/>
          <w:color w:val="000000"/>
        </w:rPr>
        <w:t>Aspergillus niger</w:t>
      </w:r>
      <w:r w:rsidRPr="00E52B95">
        <w:rPr>
          <w:color w:val="000000"/>
        </w:rPr>
        <w:t xml:space="preserve">, suggesting their use in </w:t>
      </w:r>
      <w:r w:rsidRPr="00E52B95">
        <w:rPr>
          <w:rStyle w:val="Strong"/>
          <w:b w:val="0"/>
          <w:color w:val="000000"/>
        </w:rPr>
        <w:t>respiratory and dermal infections</w:t>
      </w:r>
      <w:r w:rsidRPr="00E52B95">
        <w:rPr>
          <w:b/>
          <w:color w:val="000000"/>
        </w:rPr>
        <w:t xml:space="preserve">. </w:t>
      </w:r>
      <w:r w:rsidRPr="00E52B95">
        <w:rPr>
          <w:color w:val="000000"/>
        </w:rPr>
        <w:t xml:space="preserve">These findings highlight the therapeutic potential of </w:t>
      </w:r>
      <w:r w:rsidRPr="00E52B95">
        <w:rPr>
          <w:rStyle w:val="Emphasis"/>
          <w:color w:val="000000"/>
        </w:rPr>
        <w:t>Alpinia</w:t>
      </w:r>
      <w:r w:rsidR="00483183">
        <w:rPr>
          <w:rStyle w:val="Emphasis"/>
          <w:color w:val="000000"/>
        </w:rPr>
        <w:t xml:space="preserve"> </w:t>
      </w:r>
      <w:r w:rsidRPr="00E52B95">
        <w:rPr>
          <w:color w:val="000000"/>
        </w:rPr>
        <w:t xml:space="preserve">species as natural antimicrobial agents in pharmaceutical and clinical applications </w:t>
      </w:r>
      <w:r w:rsidRPr="00E52B95">
        <w:rPr>
          <w:color w:val="000000"/>
          <w:shd w:val="clear" w:color="auto" w:fill="FFFFFF"/>
        </w:rPr>
        <w:t xml:space="preserve">(Van </w:t>
      </w:r>
      <w:r w:rsidRPr="00E52B95">
        <w:rPr>
          <w:i/>
          <w:color w:val="000000"/>
          <w:shd w:val="clear" w:color="auto" w:fill="FFFFFF"/>
        </w:rPr>
        <w:t>et al</w:t>
      </w:r>
      <w:r w:rsidRPr="00E52B95">
        <w:rPr>
          <w:color w:val="000000"/>
          <w:shd w:val="clear" w:color="auto" w:fill="FFFFFF"/>
        </w:rPr>
        <w:t>., 2021).</w:t>
      </w:r>
    </w:p>
    <w:p w:rsidR="00E52B95" w:rsidRPr="00E52B95" w:rsidRDefault="00E52B95" w:rsidP="00E52B95">
      <w:pPr>
        <w:pStyle w:val="NormalWeb"/>
        <w:spacing w:line="360" w:lineRule="auto"/>
        <w:jc w:val="both"/>
        <w:rPr>
          <w:b/>
          <w:i/>
          <w:color w:val="000000"/>
          <w:shd w:val="clear" w:color="auto" w:fill="FFFFFF"/>
        </w:rPr>
      </w:pPr>
      <w:r w:rsidRPr="00E52B95">
        <w:rPr>
          <w:b/>
          <w:i/>
          <w:color w:val="000000"/>
          <w:shd w:val="clear" w:color="auto" w:fill="FFFFFF"/>
        </w:rPr>
        <w:t xml:space="preserve">6.4.4. Genus Elettaria </w:t>
      </w:r>
    </w:p>
    <w:p w:rsidR="00E52B95" w:rsidRPr="00E52B95" w:rsidRDefault="00E52B95" w:rsidP="00E52B95">
      <w:pPr>
        <w:pStyle w:val="NormalWeb"/>
        <w:spacing w:line="360" w:lineRule="auto"/>
        <w:jc w:val="both"/>
        <w:rPr>
          <w:color w:val="000000"/>
        </w:rPr>
      </w:pPr>
      <w:r w:rsidRPr="00E52B95">
        <w:rPr>
          <w:color w:val="000000"/>
        </w:rPr>
        <w:t xml:space="preserve">The chemical analysis of the </w:t>
      </w:r>
      <w:r w:rsidRPr="0096160A">
        <w:rPr>
          <w:i/>
          <w:color w:val="000000"/>
        </w:rPr>
        <w:t>Elettaria cardamomum</w:t>
      </w:r>
      <w:r w:rsidRPr="00E52B95">
        <w:rPr>
          <w:color w:val="000000"/>
        </w:rPr>
        <w:t xml:space="preserve"> ethanolic extract confirmed the presence of various polyphenolic acids (such a</w:t>
      </w:r>
      <w:r w:rsidR="00483183">
        <w:rPr>
          <w:color w:val="000000"/>
        </w:rPr>
        <w:t>s rosmarinic acid, caffeic acid</w:t>
      </w:r>
      <w:r w:rsidRPr="00E52B95">
        <w:rPr>
          <w:color w:val="000000"/>
        </w:rPr>
        <w:t xml:space="preserve"> and ferulic acid) along with several flavonoids (including kaempferol, </w:t>
      </w:r>
      <w:r w:rsidR="00483183">
        <w:rPr>
          <w:color w:val="000000"/>
        </w:rPr>
        <w:t>chrysin, galangin, pinocembrine</w:t>
      </w:r>
      <w:r w:rsidRPr="00E52B95">
        <w:rPr>
          <w:color w:val="000000"/>
        </w:rPr>
        <w:t xml:space="preserve"> and quercetin). The antimicrobial tests demonstrated that the extract was effective against nearly all the microbial strains tested. It exhibited a significant inhibitory effect, with a broad-spectrum antimicrobial activity indicated by inhibition zones ranging from 8 to 33 mm. The antimicrobial action of the EEC extract was dose-dependent. However, its effectiveness varied depending on the strain, with minimum inhibitory concentrations (MICs) between 6.25 and 12.5 mg of dry extract per mL. The strains showing the least sensitivity to the extract were </w:t>
      </w:r>
      <w:r w:rsidRPr="00E52B95">
        <w:rPr>
          <w:rStyle w:val="Emphasis"/>
          <w:color w:val="000000"/>
        </w:rPr>
        <w:t>Bacillus subtilis</w:t>
      </w:r>
      <w:r w:rsidRPr="00E52B95">
        <w:rPr>
          <w:color w:val="000000"/>
        </w:rPr>
        <w:t xml:space="preserve">, </w:t>
      </w:r>
      <w:r w:rsidRPr="00E52B95">
        <w:rPr>
          <w:rStyle w:val="Emphasis"/>
          <w:color w:val="000000"/>
        </w:rPr>
        <w:t>Escherichia coli</w:t>
      </w:r>
      <w:r w:rsidRPr="00E52B95">
        <w:rPr>
          <w:color w:val="000000"/>
        </w:rPr>
        <w:t xml:space="preserve">, </w:t>
      </w:r>
      <w:r w:rsidRPr="00E52B95">
        <w:rPr>
          <w:rStyle w:val="Emphasis"/>
          <w:color w:val="000000"/>
        </w:rPr>
        <w:t>Aspergillus niger</w:t>
      </w:r>
      <w:r w:rsidR="00483183">
        <w:rPr>
          <w:color w:val="000000"/>
        </w:rPr>
        <w:t xml:space="preserve"> </w:t>
      </w:r>
      <w:r w:rsidRPr="00E52B95">
        <w:rPr>
          <w:color w:val="000000"/>
        </w:rPr>
        <w:t xml:space="preserve">and </w:t>
      </w:r>
      <w:r w:rsidRPr="00E52B95">
        <w:rPr>
          <w:rStyle w:val="Emphasis"/>
          <w:color w:val="000000"/>
        </w:rPr>
        <w:t>Candida albicans</w:t>
      </w:r>
      <w:r w:rsidRPr="00E52B95">
        <w:rPr>
          <w:color w:val="000000"/>
        </w:rPr>
        <w:t>. In conclusion, the antimicrobial and antifungal activity of the EEC extract can be attributed to its phenolic constituents, suggesting its potential use in developing plant-based treatments for microbial and fungal infections (</w:t>
      </w:r>
      <w:r w:rsidRPr="00E52B95">
        <w:rPr>
          <w:color w:val="000000"/>
          <w:shd w:val="clear" w:color="auto" w:fill="FFFFFF"/>
        </w:rPr>
        <w:t xml:space="preserve">Moulai-Hacene </w:t>
      </w:r>
      <w:r w:rsidRPr="00E52B95">
        <w:rPr>
          <w:i/>
          <w:color w:val="000000"/>
          <w:shd w:val="clear" w:color="auto" w:fill="FFFFFF"/>
        </w:rPr>
        <w:t>et al</w:t>
      </w:r>
      <w:r w:rsidRPr="00E52B95">
        <w:rPr>
          <w:color w:val="000000"/>
          <w:shd w:val="clear" w:color="auto" w:fill="FFFFFF"/>
        </w:rPr>
        <w:t>., 2020).</w:t>
      </w:r>
    </w:p>
    <w:p w:rsidR="00E52B95" w:rsidRPr="00E52B95" w:rsidRDefault="00E52B95" w:rsidP="00E52B95">
      <w:pPr>
        <w:pStyle w:val="NormalWeb"/>
        <w:spacing w:line="360" w:lineRule="auto"/>
        <w:jc w:val="both"/>
        <w:rPr>
          <w:b/>
          <w:i/>
          <w:color w:val="000000"/>
          <w:shd w:val="clear" w:color="auto" w:fill="FFFFFF"/>
        </w:rPr>
      </w:pPr>
      <w:r w:rsidRPr="00E52B95">
        <w:rPr>
          <w:b/>
          <w:i/>
          <w:color w:val="000000"/>
          <w:shd w:val="clear" w:color="auto" w:fill="FFFFFF"/>
        </w:rPr>
        <w:t xml:space="preserve">6.4.5. Genus kaempferia </w:t>
      </w:r>
    </w:p>
    <w:p w:rsidR="00E52B95" w:rsidRPr="00E52B95" w:rsidRDefault="00E52B95" w:rsidP="00E52B95">
      <w:pPr>
        <w:pStyle w:val="NormalWeb"/>
        <w:spacing w:line="360" w:lineRule="auto"/>
        <w:jc w:val="both"/>
        <w:rPr>
          <w:color w:val="000000"/>
          <w:shd w:val="clear" w:color="auto" w:fill="FFFFFF"/>
        </w:rPr>
      </w:pPr>
      <w:r w:rsidRPr="00E52B95">
        <w:rPr>
          <w:i/>
          <w:iCs/>
          <w:color w:val="000000"/>
        </w:rPr>
        <w:t>Kaempferia</w:t>
      </w:r>
      <w:r w:rsidRPr="00E52B95">
        <w:rPr>
          <w:color w:val="000000"/>
        </w:rPr>
        <w:t xml:space="preserve"> species demonstrate significant </w:t>
      </w:r>
      <w:r w:rsidRPr="00E52B95">
        <w:rPr>
          <w:bCs/>
          <w:color w:val="000000"/>
        </w:rPr>
        <w:t>antimicrobial activity</w:t>
      </w:r>
      <w:r w:rsidRPr="00E52B95">
        <w:rPr>
          <w:color w:val="000000"/>
        </w:rPr>
        <w:t xml:space="preserve">. </w:t>
      </w:r>
      <w:r w:rsidRPr="00E52B95">
        <w:rPr>
          <w:bCs/>
          <w:color w:val="000000"/>
        </w:rPr>
        <w:t>Ar-abietatriene</w:t>
      </w:r>
      <w:r w:rsidRPr="00E52B95">
        <w:rPr>
          <w:color w:val="000000"/>
        </w:rPr>
        <w:t xml:space="preserve"> from </w:t>
      </w:r>
      <w:r w:rsidRPr="00E52B95">
        <w:rPr>
          <w:i/>
          <w:iCs/>
          <w:color w:val="000000"/>
        </w:rPr>
        <w:t>K. roscoeana</w:t>
      </w:r>
      <w:r w:rsidRPr="00E52B95">
        <w:rPr>
          <w:color w:val="000000"/>
        </w:rPr>
        <w:t xml:space="preserve"> exhibits activity against Gram-positive bacteria like </w:t>
      </w:r>
      <w:r w:rsidRPr="00E52B95">
        <w:rPr>
          <w:i/>
          <w:iCs/>
          <w:color w:val="000000"/>
        </w:rPr>
        <w:t>Staphylococcus epidermidis</w:t>
      </w:r>
      <w:r w:rsidRPr="00E52B95">
        <w:rPr>
          <w:color w:val="000000"/>
        </w:rPr>
        <w:t xml:space="preserve"> and </w:t>
      </w:r>
      <w:r w:rsidRPr="00E52B95">
        <w:rPr>
          <w:i/>
          <w:iCs/>
          <w:color w:val="000000"/>
        </w:rPr>
        <w:t>Bacillus cereus</w:t>
      </w:r>
      <w:r w:rsidRPr="00E52B95">
        <w:rPr>
          <w:color w:val="000000"/>
        </w:rPr>
        <w:t xml:space="preserve">. Compounds such as </w:t>
      </w:r>
      <w:r w:rsidRPr="00E52B95">
        <w:rPr>
          <w:bCs/>
          <w:color w:val="000000"/>
        </w:rPr>
        <w:t>anticopalic acid, anticopalol</w:t>
      </w:r>
      <w:r w:rsidR="0096160A">
        <w:rPr>
          <w:color w:val="000000"/>
        </w:rPr>
        <w:t xml:space="preserve"> </w:t>
      </w:r>
      <w:r w:rsidRPr="00E52B95">
        <w:rPr>
          <w:color w:val="000000"/>
        </w:rPr>
        <w:t xml:space="preserve">and </w:t>
      </w:r>
      <w:r w:rsidRPr="00E52B95">
        <w:rPr>
          <w:bCs/>
          <w:color w:val="000000"/>
        </w:rPr>
        <w:t>8(17)-labden-15-ol</w:t>
      </w:r>
      <w:r w:rsidRPr="00E52B95">
        <w:rPr>
          <w:color w:val="000000"/>
        </w:rPr>
        <w:t xml:space="preserve"> from </w:t>
      </w:r>
      <w:r w:rsidRPr="00E52B95">
        <w:rPr>
          <w:i/>
          <w:iCs/>
          <w:color w:val="000000"/>
        </w:rPr>
        <w:t>K. elegans</w:t>
      </w:r>
      <w:r w:rsidRPr="00E52B95">
        <w:rPr>
          <w:color w:val="000000"/>
        </w:rPr>
        <w:t xml:space="preserve"> also show antimicrobial effects against </w:t>
      </w:r>
      <w:r w:rsidRPr="00E52B95">
        <w:rPr>
          <w:i/>
          <w:iCs/>
          <w:color w:val="000000"/>
        </w:rPr>
        <w:t>Bacillus cereus</w:t>
      </w:r>
      <w:r w:rsidRPr="00E52B95">
        <w:rPr>
          <w:color w:val="000000"/>
        </w:rPr>
        <w:t xml:space="preserve">. An </w:t>
      </w:r>
      <w:r w:rsidRPr="00E52B95">
        <w:rPr>
          <w:bCs/>
          <w:color w:val="000000"/>
        </w:rPr>
        <w:t xml:space="preserve">ethanol extract of </w:t>
      </w:r>
      <w:r w:rsidRPr="00E52B95">
        <w:rPr>
          <w:bCs/>
          <w:i/>
          <w:iCs/>
          <w:color w:val="000000"/>
        </w:rPr>
        <w:t>K. pandurata</w:t>
      </w:r>
      <w:r w:rsidRPr="00E52B95">
        <w:rPr>
          <w:color w:val="000000"/>
        </w:rPr>
        <w:t xml:space="preserve"> is a potent antibacterial agent, particularly effective against methicillin-resistant </w:t>
      </w:r>
      <w:r w:rsidRPr="00E52B95">
        <w:rPr>
          <w:color w:val="000000"/>
        </w:rPr>
        <w:lastRenderedPageBreak/>
        <w:t xml:space="preserve">coagulase-negative Staphylococci (MRCNS), </w:t>
      </w:r>
      <w:r w:rsidRPr="00E52B95">
        <w:rPr>
          <w:i/>
          <w:iCs/>
          <w:color w:val="000000"/>
        </w:rPr>
        <w:t>Bacillus subtilis</w:t>
      </w:r>
      <w:r w:rsidRPr="00E52B95">
        <w:rPr>
          <w:color w:val="000000"/>
        </w:rPr>
        <w:t xml:space="preserve">, methicillin-resistant </w:t>
      </w:r>
      <w:r w:rsidRPr="00E52B95">
        <w:rPr>
          <w:i/>
          <w:iCs/>
          <w:color w:val="000000"/>
        </w:rPr>
        <w:t>Staphylococcus aureus</w:t>
      </w:r>
      <w:r w:rsidRPr="00E52B95">
        <w:rPr>
          <w:color w:val="000000"/>
        </w:rPr>
        <w:t xml:space="preserve"> (MRSA), methicillin-sensitive </w:t>
      </w:r>
      <w:r w:rsidRPr="00E52B95">
        <w:rPr>
          <w:i/>
          <w:iCs/>
          <w:color w:val="000000"/>
        </w:rPr>
        <w:t>Staphylococcus aureus</w:t>
      </w:r>
      <w:r w:rsidR="00483183">
        <w:rPr>
          <w:color w:val="000000"/>
        </w:rPr>
        <w:t xml:space="preserve"> (MSSA) </w:t>
      </w:r>
      <w:r w:rsidRPr="00E52B95">
        <w:rPr>
          <w:color w:val="000000"/>
        </w:rPr>
        <w:t xml:space="preserve">and </w:t>
      </w:r>
      <w:r w:rsidRPr="00E52B95">
        <w:rPr>
          <w:i/>
          <w:iCs/>
          <w:color w:val="000000"/>
        </w:rPr>
        <w:t>Salmonella typhi</w:t>
      </w:r>
      <w:r w:rsidRPr="00E52B95">
        <w:rPr>
          <w:color w:val="000000"/>
        </w:rPr>
        <w:t xml:space="preserve"> (</w:t>
      </w:r>
      <w:r w:rsidRPr="00E52B95">
        <w:rPr>
          <w:color w:val="000000"/>
          <w:shd w:val="clear" w:color="auto" w:fill="FFFFFF"/>
        </w:rPr>
        <w:t xml:space="preserve">Chawengrum </w:t>
      </w:r>
      <w:r w:rsidRPr="00E52B95">
        <w:rPr>
          <w:i/>
          <w:color w:val="000000"/>
          <w:shd w:val="clear" w:color="auto" w:fill="FFFFFF"/>
        </w:rPr>
        <w:t>et al</w:t>
      </w:r>
      <w:r w:rsidRPr="00E52B95">
        <w:rPr>
          <w:color w:val="000000"/>
          <w:shd w:val="clear" w:color="auto" w:fill="FFFFFF"/>
        </w:rPr>
        <w:t>., 2018).</w:t>
      </w:r>
      <w:r w:rsidRPr="00E52B95">
        <w:rPr>
          <w:color w:val="000000"/>
        </w:rPr>
        <w:t xml:space="preserve"> Furthermore, </w:t>
      </w:r>
      <w:r w:rsidRPr="00E52B95">
        <w:rPr>
          <w:bCs/>
          <w:color w:val="000000"/>
        </w:rPr>
        <w:t>panduratin A and isopanduratin A</w:t>
      </w:r>
      <w:r w:rsidRPr="00E52B95">
        <w:rPr>
          <w:color w:val="000000"/>
        </w:rPr>
        <w:t xml:space="preserve"> from </w:t>
      </w:r>
      <w:r w:rsidRPr="00E52B95">
        <w:rPr>
          <w:i/>
          <w:iCs/>
          <w:color w:val="000000"/>
        </w:rPr>
        <w:t>K. pandurata</w:t>
      </w:r>
      <w:r w:rsidRPr="00E52B95">
        <w:rPr>
          <w:color w:val="000000"/>
        </w:rPr>
        <w:t xml:space="preserve"> damage bacterial cell walls and impact virulence factors like protease and haemolysin in </w:t>
      </w:r>
      <w:r w:rsidRPr="00E52B95">
        <w:rPr>
          <w:i/>
          <w:iCs/>
          <w:color w:val="000000"/>
        </w:rPr>
        <w:t>Streptococcus pyogenes</w:t>
      </w:r>
      <w:r w:rsidRPr="00E52B95">
        <w:rPr>
          <w:color w:val="000000"/>
        </w:rPr>
        <w:t xml:space="preserve">. The </w:t>
      </w:r>
      <w:r w:rsidRPr="00E52B95">
        <w:rPr>
          <w:bCs/>
          <w:color w:val="000000"/>
        </w:rPr>
        <w:t xml:space="preserve">essential oil of </w:t>
      </w:r>
      <w:r w:rsidRPr="00E52B95">
        <w:rPr>
          <w:bCs/>
          <w:i/>
          <w:iCs/>
          <w:color w:val="000000"/>
        </w:rPr>
        <w:t>K. pandurata</w:t>
      </w:r>
      <w:r w:rsidRPr="00E52B95">
        <w:rPr>
          <w:color w:val="000000"/>
        </w:rPr>
        <w:t xml:space="preserve"> exerts its antibacterial effect by altering cell membrane permeability, leading to the leakage of intracellular components and ultimately cell death in </w:t>
      </w:r>
      <w:r w:rsidRPr="00E52B95">
        <w:rPr>
          <w:i/>
          <w:iCs/>
          <w:color w:val="000000"/>
        </w:rPr>
        <w:t>E. coli K1.1</w:t>
      </w:r>
      <w:r w:rsidRPr="00E52B95">
        <w:rPr>
          <w:color w:val="000000"/>
          <w:shd w:val="clear" w:color="auto" w:fill="FFFFFF"/>
        </w:rPr>
        <w:t xml:space="preserve"> (Sukandar </w:t>
      </w:r>
      <w:r w:rsidRPr="00E52B95">
        <w:rPr>
          <w:i/>
          <w:color w:val="000000"/>
          <w:shd w:val="clear" w:color="auto" w:fill="FFFFFF"/>
        </w:rPr>
        <w:t>et al</w:t>
      </w:r>
      <w:r w:rsidRPr="00E52B95">
        <w:rPr>
          <w:color w:val="000000"/>
          <w:shd w:val="clear" w:color="auto" w:fill="FFFFFF"/>
        </w:rPr>
        <w:t>., 2014).</w:t>
      </w:r>
    </w:p>
    <w:p w:rsidR="00E52B95" w:rsidRPr="00E52B95" w:rsidRDefault="00E52B95" w:rsidP="00E52B95">
      <w:pPr>
        <w:pStyle w:val="NormalWeb"/>
        <w:spacing w:line="360" w:lineRule="auto"/>
        <w:jc w:val="both"/>
        <w:rPr>
          <w:b/>
          <w:i/>
          <w:color w:val="000000"/>
          <w:shd w:val="clear" w:color="auto" w:fill="FFFFFF"/>
        </w:rPr>
      </w:pPr>
      <w:r w:rsidRPr="00E52B95">
        <w:rPr>
          <w:b/>
          <w:i/>
          <w:color w:val="000000"/>
          <w:shd w:val="clear" w:color="auto" w:fill="FFFFFF"/>
        </w:rPr>
        <w:t xml:space="preserve">6.4.6. Genus Amomum </w:t>
      </w:r>
    </w:p>
    <w:p w:rsidR="00E52B95" w:rsidRPr="0096160A" w:rsidRDefault="00E52B95" w:rsidP="00E52B95">
      <w:pPr>
        <w:pStyle w:val="NormalWeb"/>
        <w:spacing w:line="360" w:lineRule="auto"/>
        <w:jc w:val="both"/>
        <w:rPr>
          <w:color w:val="000000"/>
          <w:shd w:val="clear" w:color="auto" w:fill="FFFFFF"/>
        </w:rPr>
      </w:pPr>
      <w:r w:rsidRPr="00E52B95">
        <w:rPr>
          <w:color w:val="000000"/>
        </w:rPr>
        <w:t xml:space="preserve">Essential oils derived from various </w:t>
      </w:r>
      <w:r w:rsidRPr="00E52B95">
        <w:rPr>
          <w:i/>
          <w:iCs/>
          <w:color w:val="000000"/>
        </w:rPr>
        <w:t>Amomum</w:t>
      </w:r>
      <w:r w:rsidRPr="00E52B95">
        <w:rPr>
          <w:color w:val="000000"/>
        </w:rPr>
        <w:t xml:space="preserve"> species exhibit promising antimicrobial properties against a wide array of bacterial and fungal pathogens. Notably, </w:t>
      </w:r>
      <w:r w:rsidRPr="00E52B95">
        <w:rPr>
          <w:i/>
          <w:iCs/>
          <w:color w:val="000000"/>
        </w:rPr>
        <w:t>Amomum biflorum</w:t>
      </w:r>
      <w:r w:rsidRPr="00E52B95">
        <w:rPr>
          <w:color w:val="000000"/>
        </w:rPr>
        <w:t xml:space="preserve"> essential oils from Thailand demonstrated strong inhibition against </w:t>
      </w:r>
      <w:r w:rsidRPr="00E52B95">
        <w:rPr>
          <w:i/>
          <w:iCs/>
          <w:color w:val="000000"/>
        </w:rPr>
        <w:t>Staphylococcus aureus</w:t>
      </w:r>
      <w:r w:rsidRPr="00E52B95">
        <w:rPr>
          <w:color w:val="000000"/>
        </w:rPr>
        <w:t xml:space="preserve"> with an MIC value of </w:t>
      </w:r>
      <w:r w:rsidRPr="00E52B95">
        <w:rPr>
          <w:bCs/>
          <w:color w:val="000000"/>
        </w:rPr>
        <w:t>30 µg/mL</w:t>
      </w:r>
      <w:r w:rsidRPr="00E52B95">
        <w:rPr>
          <w:color w:val="000000"/>
        </w:rPr>
        <w:t xml:space="preserve">. Similarly, </w:t>
      </w:r>
      <w:r w:rsidRPr="00E52B95">
        <w:rPr>
          <w:i/>
          <w:iCs/>
          <w:color w:val="000000"/>
        </w:rPr>
        <w:t>Amomum glabrum</w:t>
      </w:r>
      <w:r w:rsidRPr="00E52B95">
        <w:rPr>
          <w:color w:val="000000"/>
        </w:rPr>
        <w:t xml:space="preserve"> leaf oils from Vietnam were highly effective against </w:t>
      </w:r>
      <w:r w:rsidRPr="00E52B95">
        <w:rPr>
          <w:i/>
          <w:iCs/>
          <w:color w:val="000000"/>
        </w:rPr>
        <w:t>S. aureus</w:t>
      </w:r>
      <w:r w:rsidRPr="00E52B95">
        <w:rPr>
          <w:color w:val="000000"/>
        </w:rPr>
        <w:t xml:space="preserve"> (MIC </w:t>
      </w:r>
      <w:r w:rsidRPr="00E52B95">
        <w:rPr>
          <w:bCs/>
          <w:color w:val="000000"/>
        </w:rPr>
        <w:t>5.67 µg/mL</w:t>
      </w:r>
      <w:r w:rsidRPr="00E52B95">
        <w:rPr>
          <w:color w:val="000000"/>
        </w:rPr>
        <w:t xml:space="preserve">), and also showed activity against </w:t>
      </w:r>
      <w:r w:rsidRPr="00E52B95">
        <w:rPr>
          <w:i/>
          <w:iCs/>
          <w:color w:val="000000"/>
        </w:rPr>
        <w:t>Enterococcus faecalis</w:t>
      </w:r>
      <w:r w:rsidRPr="00E52B95">
        <w:rPr>
          <w:color w:val="000000"/>
        </w:rPr>
        <w:t xml:space="preserve"> (MIC </w:t>
      </w:r>
      <w:r w:rsidRPr="00E52B95">
        <w:rPr>
          <w:bCs/>
          <w:color w:val="000000"/>
        </w:rPr>
        <w:t>4.23 µg/mL</w:t>
      </w:r>
      <w:r w:rsidRPr="00E52B95">
        <w:rPr>
          <w:color w:val="000000"/>
        </w:rPr>
        <w:t xml:space="preserve">), </w:t>
      </w:r>
      <w:r w:rsidRPr="00E52B95">
        <w:rPr>
          <w:i/>
          <w:iCs/>
          <w:color w:val="000000"/>
        </w:rPr>
        <w:t>Bacillus cereus</w:t>
      </w:r>
      <w:r w:rsidRPr="00E52B95">
        <w:rPr>
          <w:color w:val="000000"/>
        </w:rPr>
        <w:t xml:space="preserve"> (MIC </w:t>
      </w:r>
      <w:r w:rsidRPr="00E52B95">
        <w:rPr>
          <w:bCs/>
          <w:color w:val="000000"/>
        </w:rPr>
        <w:t>67.98 µg/mL</w:t>
      </w:r>
      <w:r w:rsidRPr="00E52B95">
        <w:rPr>
          <w:color w:val="000000"/>
        </w:rPr>
        <w:t xml:space="preserve">), and </w:t>
      </w:r>
      <w:r w:rsidRPr="00E52B95">
        <w:rPr>
          <w:i/>
          <w:iCs/>
          <w:color w:val="000000"/>
        </w:rPr>
        <w:t>Candida albicans</w:t>
      </w:r>
      <w:r w:rsidRPr="00E52B95">
        <w:rPr>
          <w:color w:val="000000"/>
        </w:rPr>
        <w:t xml:space="preserve"> (MIC </w:t>
      </w:r>
      <w:r w:rsidRPr="00E52B95">
        <w:rPr>
          <w:bCs/>
          <w:color w:val="000000"/>
        </w:rPr>
        <w:t>1.56 µg/mL</w:t>
      </w:r>
      <w:r w:rsidRPr="00E52B95">
        <w:rPr>
          <w:color w:val="000000"/>
        </w:rPr>
        <w:t xml:space="preserve">). </w:t>
      </w:r>
      <w:r w:rsidRPr="00E52B95">
        <w:rPr>
          <w:i/>
          <w:iCs/>
          <w:color w:val="000000"/>
        </w:rPr>
        <w:t>Amomum kravanh</w:t>
      </w:r>
      <w:r w:rsidRPr="00E52B95">
        <w:rPr>
          <w:color w:val="000000"/>
        </w:rPr>
        <w:t xml:space="preserve"> fruit oils from China offered broad-spectrum activity, tackling both Gram-positive (e.g., </w:t>
      </w:r>
      <w:r w:rsidRPr="00E52B95">
        <w:rPr>
          <w:i/>
          <w:iCs/>
          <w:color w:val="000000"/>
        </w:rPr>
        <w:t>S. aureus</w:t>
      </w:r>
      <w:r w:rsidRPr="00E52B95">
        <w:rPr>
          <w:color w:val="000000"/>
        </w:rPr>
        <w:t xml:space="preserve">, </w:t>
      </w:r>
      <w:r w:rsidRPr="00E52B95">
        <w:rPr>
          <w:i/>
          <w:iCs/>
          <w:color w:val="000000"/>
        </w:rPr>
        <w:t>Bacillus subtilis</w:t>
      </w:r>
      <w:r w:rsidRPr="00E52B95">
        <w:rPr>
          <w:color w:val="000000"/>
        </w:rPr>
        <w:t xml:space="preserve"> with MICs of </w:t>
      </w:r>
      <w:r w:rsidRPr="00E52B95">
        <w:rPr>
          <w:bCs/>
          <w:color w:val="000000"/>
        </w:rPr>
        <w:t>5.0 mg/mL</w:t>
      </w:r>
      <w:r w:rsidRPr="00E52B95">
        <w:rPr>
          <w:color w:val="000000"/>
        </w:rPr>
        <w:t xml:space="preserve"> and </w:t>
      </w:r>
      <w:r w:rsidRPr="00E52B95">
        <w:rPr>
          <w:bCs/>
          <w:color w:val="000000"/>
        </w:rPr>
        <w:t>2.5 mg/mL</w:t>
      </w:r>
      <w:r w:rsidRPr="00E52B95">
        <w:rPr>
          <w:color w:val="000000"/>
        </w:rPr>
        <w:t xml:space="preserve">, respectively) and Gram-negative bacteria (e.g., </w:t>
      </w:r>
      <w:r w:rsidRPr="00E52B95">
        <w:rPr>
          <w:i/>
          <w:iCs/>
          <w:color w:val="000000"/>
        </w:rPr>
        <w:t>Escherichia coli</w:t>
      </w:r>
      <w:r w:rsidRPr="00E52B95">
        <w:rPr>
          <w:color w:val="000000"/>
        </w:rPr>
        <w:t xml:space="preserve"> with MIC </w:t>
      </w:r>
      <w:r w:rsidRPr="00E52B95">
        <w:rPr>
          <w:bCs/>
          <w:color w:val="000000"/>
        </w:rPr>
        <w:t>2.5 mg/mL</w:t>
      </w:r>
      <w:r w:rsidRPr="00E52B95">
        <w:rPr>
          <w:color w:val="000000"/>
        </w:rPr>
        <w:t xml:space="preserve">). </w:t>
      </w:r>
      <w:r w:rsidRPr="00E52B95">
        <w:rPr>
          <w:i/>
          <w:iCs/>
          <w:color w:val="000000"/>
        </w:rPr>
        <w:t>Amomum rubidum</w:t>
      </w:r>
      <w:r w:rsidRPr="00E52B95">
        <w:rPr>
          <w:color w:val="000000"/>
        </w:rPr>
        <w:t xml:space="preserve"> oils from Vietnam showed effectiveness against </w:t>
      </w:r>
      <w:r w:rsidRPr="00E52B95">
        <w:rPr>
          <w:i/>
          <w:iCs/>
          <w:color w:val="000000"/>
        </w:rPr>
        <w:t>Pseudomonas aeruginosa</w:t>
      </w:r>
      <w:r w:rsidRPr="00E52B95">
        <w:rPr>
          <w:color w:val="000000"/>
        </w:rPr>
        <w:t xml:space="preserve"> (MIC </w:t>
      </w:r>
      <w:r w:rsidRPr="00E52B95">
        <w:rPr>
          <w:bCs/>
          <w:color w:val="000000"/>
        </w:rPr>
        <w:t>25-50 µg/mL</w:t>
      </w:r>
      <w:r w:rsidRPr="00E52B95">
        <w:rPr>
          <w:color w:val="000000"/>
        </w:rPr>
        <w:t xml:space="preserve">) and fungi like </w:t>
      </w:r>
      <w:r w:rsidRPr="00E52B95">
        <w:rPr>
          <w:i/>
          <w:iCs/>
          <w:color w:val="000000"/>
        </w:rPr>
        <w:t>Aspergillus niger</w:t>
      </w:r>
      <w:r w:rsidRPr="00E52B95">
        <w:rPr>
          <w:color w:val="000000"/>
        </w:rPr>
        <w:t xml:space="preserve"> and </w:t>
      </w:r>
      <w:r w:rsidRPr="00E52B95">
        <w:rPr>
          <w:i/>
          <w:iCs/>
          <w:color w:val="000000"/>
        </w:rPr>
        <w:t>Fusarium oxysporum</w:t>
      </w:r>
      <w:r w:rsidRPr="00E52B95">
        <w:rPr>
          <w:color w:val="000000"/>
        </w:rPr>
        <w:t xml:space="preserve"> (MIC </w:t>
      </w:r>
      <w:r w:rsidRPr="00E52B95">
        <w:rPr>
          <w:bCs/>
          <w:color w:val="000000"/>
        </w:rPr>
        <w:t>50 µg/mL</w:t>
      </w:r>
      <w:r w:rsidRPr="00E52B95">
        <w:rPr>
          <w:color w:val="000000"/>
        </w:rPr>
        <w:t xml:space="preserve">). A particularly well-studied species, </w:t>
      </w:r>
      <w:r w:rsidRPr="00E52B95">
        <w:rPr>
          <w:i/>
          <w:iCs/>
          <w:color w:val="000000"/>
        </w:rPr>
        <w:t>Amomum subulatum</w:t>
      </w:r>
      <w:r w:rsidRPr="00E52B95">
        <w:rPr>
          <w:color w:val="000000"/>
        </w:rPr>
        <w:t xml:space="preserve">, with various cultivars from India, Saudi Arabia, and Pakistan, yielded essential oils that effectively combat a diverse range of bacterial pathogens (e.g., </w:t>
      </w:r>
      <w:r w:rsidRPr="00E52B95">
        <w:rPr>
          <w:i/>
          <w:iCs/>
          <w:color w:val="000000"/>
        </w:rPr>
        <w:t>S. aureus</w:t>
      </w:r>
      <w:r w:rsidRPr="00E52B95">
        <w:rPr>
          <w:color w:val="000000"/>
        </w:rPr>
        <w:t xml:space="preserve"> MICs </w:t>
      </w:r>
      <w:r w:rsidRPr="00E52B95">
        <w:rPr>
          <w:bCs/>
          <w:color w:val="000000"/>
        </w:rPr>
        <w:t>2.5-5 mg/mL</w:t>
      </w:r>
      <w:r w:rsidRPr="00E52B95">
        <w:rPr>
          <w:color w:val="000000"/>
        </w:rPr>
        <w:t xml:space="preserve">, </w:t>
      </w:r>
      <w:r w:rsidRPr="00E52B95">
        <w:rPr>
          <w:i/>
          <w:iCs/>
          <w:color w:val="000000"/>
        </w:rPr>
        <w:t>E. coli</w:t>
      </w:r>
      <w:r w:rsidRPr="00E52B95">
        <w:rPr>
          <w:color w:val="000000"/>
        </w:rPr>
        <w:t xml:space="preserve"> MICs </w:t>
      </w:r>
      <w:r w:rsidRPr="00E52B95">
        <w:rPr>
          <w:bCs/>
          <w:color w:val="000000"/>
        </w:rPr>
        <w:t>5-625 µg/mL</w:t>
      </w:r>
      <w:r w:rsidRPr="00E52B95">
        <w:rPr>
          <w:color w:val="000000"/>
        </w:rPr>
        <w:t xml:space="preserve">, </w:t>
      </w:r>
      <w:r w:rsidRPr="00E52B95">
        <w:rPr>
          <w:i/>
          <w:iCs/>
          <w:color w:val="000000"/>
        </w:rPr>
        <w:t>P. aeruginosa</w:t>
      </w:r>
      <w:r w:rsidRPr="00E52B95">
        <w:rPr>
          <w:color w:val="000000"/>
        </w:rPr>
        <w:t xml:space="preserve"> MICs </w:t>
      </w:r>
      <w:r w:rsidRPr="00E52B95">
        <w:rPr>
          <w:bCs/>
          <w:color w:val="000000"/>
        </w:rPr>
        <w:t>625-1250 µg/mL</w:t>
      </w:r>
      <w:r w:rsidRPr="00E52B95">
        <w:rPr>
          <w:color w:val="000000"/>
        </w:rPr>
        <w:t xml:space="preserve">) and fungal strains (e.g., </w:t>
      </w:r>
      <w:r w:rsidRPr="00E52B95">
        <w:rPr>
          <w:i/>
          <w:iCs/>
          <w:color w:val="000000"/>
        </w:rPr>
        <w:t>C. albicans</w:t>
      </w:r>
      <w:r w:rsidRPr="00E52B95">
        <w:rPr>
          <w:color w:val="000000"/>
        </w:rPr>
        <w:t xml:space="preserve"> MICs </w:t>
      </w:r>
      <w:r w:rsidRPr="00E52B95">
        <w:rPr>
          <w:bCs/>
          <w:color w:val="000000"/>
        </w:rPr>
        <w:t>1.25-313 µg/mL</w:t>
      </w:r>
      <w:r w:rsidRPr="00E52B95">
        <w:rPr>
          <w:color w:val="000000"/>
        </w:rPr>
        <w:t xml:space="preserve">, </w:t>
      </w:r>
      <w:r w:rsidRPr="00E52B95">
        <w:rPr>
          <w:i/>
          <w:iCs/>
          <w:color w:val="000000"/>
        </w:rPr>
        <w:t>A. niger</w:t>
      </w:r>
      <w:r w:rsidRPr="00E52B95">
        <w:rPr>
          <w:color w:val="000000"/>
        </w:rPr>
        <w:t xml:space="preserve"> MICs </w:t>
      </w:r>
      <w:r w:rsidRPr="00E52B95">
        <w:rPr>
          <w:bCs/>
          <w:color w:val="000000"/>
        </w:rPr>
        <w:t>2.5-5 mg/mL</w:t>
      </w:r>
      <w:r w:rsidRPr="00E52B95">
        <w:rPr>
          <w:color w:val="000000"/>
        </w:rPr>
        <w:t xml:space="preserve">). The efficacy of </w:t>
      </w:r>
      <w:r w:rsidRPr="00E52B95">
        <w:rPr>
          <w:i/>
          <w:iCs/>
          <w:color w:val="000000"/>
        </w:rPr>
        <w:t>A. subulatum</w:t>
      </w:r>
      <w:r w:rsidRPr="00E52B95">
        <w:rPr>
          <w:color w:val="000000"/>
        </w:rPr>
        <w:t xml:space="preserve"> is partly attributed to its major components like </w:t>
      </w:r>
      <w:r w:rsidRPr="00E52B95">
        <w:rPr>
          <w:rStyle w:val="mord"/>
          <w:color w:val="000000"/>
        </w:rPr>
        <w:t>α</w:t>
      </w:r>
      <w:r w:rsidRPr="00E52B95">
        <w:rPr>
          <w:color w:val="000000"/>
        </w:rPr>
        <w:t xml:space="preserve">-pinene, </w:t>
      </w:r>
      <w:r w:rsidRPr="00E52B95">
        <w:rPr>
          <w:rStyle w:val="mord"/>
          <w:color w:val="000000"/>
        </w:rPr>
        <w:t>β</w:t>
      </w:r>
      <w:r w:rsidRPr="00E52B95">
        <w:rPr>
          <w:color w:val="000000"/>
        </w:rPr>
        <w:t xml:space="preserve">-pinene, 1,8-cineole, and </w:t>
      </w:r>
      <w:r w:rsidRPr="00E52B95">
        <w:rPr>
          <w:rStyle w:val="mord"/>
          <w:color w:val="000000"/>
        </w:rPr>
        <w:t>α</w:t>
      </w:r>
      <w:r w:rsidRPr="00E52B95">
        <w:rPr>
          <w:color w:val="000000"/>
        </w:rPr>
        <w:t xml:space="preserve">-terpineol, which also show direct antimicrobial action. Furthermore, </w:t>
      </w:r>
      <w:r w:rsidRPr="00E52B95">
        <w:rPr>
          <w:i/>
          <w:iCs/>
          <w:color w:val="000000"/>
        </w:rPr>
        <w:t>Amomum tsaoko</w:t>
      </w:r>
      <w:r w:rsidRPr="00E52B95">
        <w:rPr>
          <w:color w:val="000000"/>
        </w:rPr>
        <w:t xml:space="preserve"> fruit and whole plant oils from China exhibited strong resistance against multiple bacterial species (e.g., </w:t>
      </w:r>
      <w:r w:rsidRPr="00E52B95">
        <w:rPr>
          <w:i/>
          <w:iCs/>
          <w:color w:val="000000"/>
        </w:rPr>
        <w:t>S. aureus</w:t>
      </w:r>
      <w:r w:rsidRPr="00E52B95">
        <w:rPr>
          <w:color w:val="000000"/>
        </w:rPr>
        <w:t xml:space="preserve"> MIC </w:t>
      </w:r>
      <w:r w:rsidRPr="00E52B95">
        <w:rPr>
          <w:bCs/>
          <w:color w:val="000000"/>
        </w:rPr>
        <w:t>0.2 g/L</w:t>
      </w:r>
      <w:r w:rsidRPr="00E52B95">
        <w:rPr>
          <w:color w:val="000000"/>
        </w:rPr>
        <w:t xml:space="preserve"> to </w:t>
      </w:r>
      <w:r w:rsidRPr="00E52B95">
        <w:rPr>
          <w:bCs/>
          <w:color w:val="000000"/>
        </w:rPr>
        <w:t>5.86 mg/mL</w:t>
      </w:r>
      <w:r w:rsidRPr="00E52B95">
        <w:rPr>
          <w:color w:val="000000"/>
        </w:rPr>
        <w:t xml:space="preserve">, </w:t>
      </w:r>
      <w:r w:rsidRPr="00E52B95">
        <w:rPr>
          <w:i/>
          <w:iCs/>
          <w:color w:val="000000"/>
        </w:rPr>
        <w:t>E. coli</w:t>
      </w:r>
      <w:r w:rsidRPr="00E52B95">
        <w:rPr>
          <w:color w:val="000000"/>
        </w:rPr>
        <w:t xml:space="preserve"> MIC </w:t>
      </w:r>
      <w:r w:rsidRPr="00E52B95">
        <w:rPr>
          <w:bCs/>
          <w:color w:val="000000"/>
        </w:rPr>
        <w:t>1.56 g/L</w:t>
      </w:r>
      <w:r w:rsidRPr="00E52B95">
        <w:rPr>
          <w:color w:val="000000"/>
        </w:rPr>
        <w:t xml:space="preserve"> to </w:t>
      </w:r>
      <w:r w:rsidRPr="00E52B95">
        <w:rPr>
          <w:bCs/>
          <w:color w:val="000000"/>
        </w:rPr>
        <w:t>5.86 mg/mL</w:t>
      </w:r>
      <w:r w:rsidRPr="00E52B95">
        <w:rPr>
          <w:color w:val="000000"/>
        </w:rPr>
        <w:t>) and fungi (</w:t>
      </w:r>
      <w:r w:rsidRPr="00E52B95">
        <w:rPr>
          <w:i/>
          <w:iCs/>
          <w:color w:val="000000"/>
        </w:rPr>
        <w:t>Candida sp.</w:t>
      </w:r>
      <w:r w:rsidRPr="00E52B95">
        <w:rPr>
          <w:color w:val="000000"/>
        </w:rPr>
        <w:t xml:space="preserve"> MIC </w:t>
      </w:r>
      <w:r w:rsidRPr="00E52B95">
        <w:rPr>
          <w:bCs/>
          <w:color w:val="000000"/>
        </w:rPr>
        <w:t>3.13 g/L</w:t>
      </w:r>
      <w:r w:rsidRPr="00E52B95">
        <w:rPr>
          <w:color w:val="000000"/>
        </w:rPr>
        <w:t xml:space="preserve">), with extraction methods influencing their potency. Finally, </w:t>
      </w:r>
      <w:r w:rsidRPr="00E52B95">
        <w:rPr>
          <w:i/>
          <w:iCs/>
          <w:color w:val="000000"/>
        </w:rPr>
        <w:t>Amomum verum</w:t>
      </w:r>
      <w:r w:rsidRPr="00E52B95">
        <w:rPr>
          <w:color w:val="000000"/>
        </w:rPr>
        <w:t xml:space="preserve"> shoots from Thailand yielded oils with significant activity against both Gram-positive and Gram-negative bacteria (e.g., </w:t>
      </w:r>
      <w:r w:rsidRPr="00E52B95">
        <w:rPr>
          <w:i/>
          <w:iCs/>
          <w:color w:val="000000"/>
        </w:rPr>
        <w:t>S. aureus</w:t>
      </w:r>
      <w:r w:rsidRPr="00E52B95">
        <w:rPr>
          <w:color w:val="000000"/>
        </w:rPr>
        <w:t xml:space="preserve"> MIC </w:t>
      </w:r>
      <w:r w:rsidRPr="00E52B95">
        <w:rPr>
          <w:bCs/>
          <w:color w:val="000000"/>
        </w:rPr>
        <w:t>1.25 mg/mL</w:t>
      </w:r>
      <w:r w:rsidRPr="00E52B95">
        <w:rPr>
          <w:color w:val="000000"/>
        </w:rPr>
        <w:t xml:space="preserve">, </w:t>
      </w:r>
      <w:r w:rsidRPr="00E52B95">
        <w:rPr>
          <w:i/>
          <w:iCs/>
          <w:color w:val="000000"/>
        </w:rPr>
        <w:t>E. coli</w:t>
      </w:r>
      <w:r w:rsidRPr="00E52B95">
        <w:rPr>
          <w:color w:val="000000"/>
        </w:rPr>
        <w:t xml:space="preserve"> MIC </w:t>
      </w:r>
      <w:r w:rsidRPr="00E52B95">
        <w:rPr>
          <w:bCs/>
          <w:color w:val="000000"/>
        </w:rPr>
        <w:t>1.25 mg/mL</w:t>
      </w:r>
      <w:r w:rsidRPr="00E52B95">
        <w:rPr>
          <w:color w:val="000000"/>
        </w:rPr>
        <w:t xml:space="preserve">), alongside potent antifungal action against </w:t>
      </w:r>
      <w:r w:rsidRPr="00E52B95">
        <w:rPr>
          <w:i/>
          <w:iCs/>
          <w:color w:val="000000"/>
        </w:rPr>
        <w:t>C. albicans</w:t>
      </w:r>
      <w:r w:rsidRPr="00E52B95">
        <w:rPr>
          <w:color w:val="000000"/>
        </w:rPr>
        <w:t xml:space="preserve"> (MIC </w:t>
      </w:r>
      <w:r w:rsidRPr="00E52B95">
        <w:rPr>
          <w:bCs/>
          <w:color w:val="000000"/>
        </w:rPr>
        <w:t>0.313 mg/mL</w:t>
      </w:r>
      <w:r w:rsidRPr="00E52B95">
        <w:rPr>
          <w:color w:val="000000"/>
        </w:rPr>
        <w:t xml:space="preserve">). Collectively, these studies underscore the substantial </w:t>
      </w:r>
      <w:r w:rsidRPr="00E52B95">
        <w:rPr>
          <w:color w:val="000000"/>
        </w:rPr>
        <w:lastRenderedPageBreak/>
        <w:t xml:space="preserve">antimicrobial potential of </w:t>
      </w:r>
      <w:r w:rsidRPr="00E52B95">
        <w:rPr>
          <w:i/>
          <w:iCs/>
          <w:color w:val="000000"/>
        </w:rPr>
        <w:t>Amomum</w:t>
      </w:r>
      <w:r w:rsidRPr="00E52B95">
        <w:rPr>
          <w:color w:val="000000"/>
        </w:rPr>
        <w:t xml:space="preserve"> essential oils, supporting their traditional uses and suggesting their value in developing new natural antimicrobial agents </w:t>
      </w:r>
      <w:r w:rsidRPr="00E52B95">
        <w:rPr>
          <w:color w:val="000000"/>
          <w:shd w:val="clear" w:color="auto" w:fill="FFFFFF"/>
        </w:rPr>
        <w:t>(Van., 2021).</w:t>
      </w:r>
      <w:r w:rsidR="0096160A" w:rsidRPr="0096160A">
        <w:rPr>
          <w:noProof/>
          <w:color w:val="000000"/>
          <w:shd w:val="clear" w:color="auto" w:fill="FFFFFF"/>
        </w:rPr>
        <w:t xml:space="preserve"> </w:t>
      </w:r>
      <w:r w:rsidR="0096160A" w:rsidRPr="00E52B95">
        <w:rPr>
          <w:noProof/>
          <w:color w:val="000000"/>
          <w:shd w:val="clear" w:color="auto" w:fill="FFFFFF"/>
        </w:rPr>
        <w:t xml:space="preserve">Anti microbial effect of members of different genera of Family </w:t>
      </w:r>
      <w:r w:rsidR="0096160A" w:rsidRPr="00E52B95">
        <w:rPr>
          <w:i/>
          <w:noProof/>
          <w:color w:val="000000"/>
          <w:shd w:val="clear" w:color="auto" w:fill="FFFFFF"/>
        </w:rPr>
        <w:t>Zingiberaceae</w:t>
      </w:r>
      <w:r w:rsidR="0096160A">
        <w:rPr>
          <w:i/>
          <w:noProof/>
          <w:color w:val="000000"/>
          <w:shd w:val="clear" w:color="auto" w:fill="FFFFFF"/>
        </w:rPr>
        <w:t xml:space="preserve"> </w:t>
      </w:r>
      <w:r w:rsidR="0096160A">
        <w:rPr>
          <w:noProof/>
          <w:color w:val="000000"/>
          <w:shd w:val="clear" w:color="auto" w:fill="FFFFFF"/>
        </w:rPr>
        <w:t>has been shown in the Figure 6.</w:t>
      </w:r>
    </w:p>
    <w:p w:rsidR="00E52B95" w:rsidRPr="00E52B95" w:rsidRDefault="00E52B95" w:rsidP="00E52B95">
      <w:pPr>
        <w:pStyle w:val="NormalWeb"/>
        <w:spacing w:line="360" w:lineRule="auto"/>
        <w:jc w:val="both"/>
        <w:rPr>
          <w:i/>
          <w:noProof/>
          <w:color w:val="000000"/>
          <w:shd w:val="clear" w:color="auto" w:fill="FFFFFF"/>
        </w:rPr>
      </w:pPr>
    </w:p>
    <w:p w:rsidR="00E52B95" w:rsidRPr="00E52B95" w:rsidRDefault="00E52B95" w:rsidP="00E52B95">
      <w:pPr>
        <w:pStyle w:val="NormalWeb"/>
        <w:spacing w:line="360" w:lineRule="auto"/>
        <w:jc w:val="both"/>
        <w:rPr>
          <w:b/>
          <w:color w:val="000000"/>
          <w:shd w:val="clear" w:color="auto" w:fill="FFFFFF"/>
        </w:rPr>
      </w:pPr>
      <w:r w:rsidRPr="00E52B95">
        <w:rPr>
          <w:b/>
          <w:color w:val="000000"/>
          <w:shd w:val="clear" w:color="auto" w:fill="FFFFFF"/>
        </w:rPr>
        <w:t xml:space="preserve">7. Economic importance of family </w:t>
      </w:r>
      <w:r w:rsidRPr="00E52B95">
        <w:rPr>
          <w:b/>
          <w:i/>
          <w:color w:val="000000"/>
          <w:shd w:val="clear" w:color="auto" w:fill="FFFFFF"/>
        </w:rPr>
        <w:t xml:space="preserve">Zingiberaceae </w:t>
      </w:r>
    </w:p>
    <w:p w:rsidR="00E52B95" w:rsidRPr="00E52B95" w:rsidRDefault="00E52B95" w:rsidP="00E52B95">
      <w:pPr>
        <w:pStyle w:val="NormalWeb"/>
        <w:spacing w:line="360" w:lineRule="auto"/>
        <w:jc w:val="both"/>
        <w:rPr>
          <w:color w:val="000000"/>
        </w:rPr>
      </w:pPr>
      <w:r w:rsidRPr="00E52B95">
        <w:rPr>
          <w:color w:val="000000"/>
        </w:rPr>
        <w:t xml:space="preserve">The </w:t>
      </w:r>
      <w:r w:rsidRPr="00E52B95">
        <w:rPr>
          <w:i/>
          <w:color w:val="000000"/>
        </w:rPr>
        <w:t xml:space="preserve">Zingiberaceae </w:t>
      </w:r>
      <w:r w:rsidRPr="00E52B95">
        <w:rPr>
          <w:color w:val="000000"/>
        </w:rPr>
        <w:t xml:space="preserve">family, comprising approximately </w:t>
      </w:r>
      <w:r w:rsidRPr="00E52B95">
        <w:rPr>
          <w:bCs/>
          <w:color w:val="000000"/>
        </w:rPr>
        <w:t>50-58 genera and 1300-1960 species</w:t>
      </w:r>
      <w:r w:rsidRPr="00E52B95">
        <w:rPr>
          <w:color w:val="000000"/>
        </w:rPr>
        <w:t xml:space="preserve">, is a powerhouse of economic value, primarily concentrated in tropical and subtropical regions, particularly Southeast Asia. Its significance spans multiple sectors due to the presence of a wide array of </w:t>
      </w:r>
      <w:r w:rsidRPr="00E52B95">
        <w:rPr>
          <w:bCs/>
          <w:color w:val="000000"/>
        </w:rPr>
        <w:t>bioactive compounds, volatile oils, and oleoresins</w:t>
      </w:r>
      <w:r w:rsidRPr="00E52B95">
        <w:rPr>
          <w:color w:val="000000"/>
        </w:rPr>
        <w:t xml:space="preserve"> in their rhizomes, leaves, and flowers. The economic importance of family</w:t>
      </w:r>
      <w:r w:rsidRPr="00E52B95">
        <w:rPr>
          <w:i/>
          <w:color w:val="000000"/>
        </w:rPr>
        <w:t xml:space="preserve"> Zingiberaceae </w:t>
      </w:r>
      <w:r w:rsidRPr="00E52B95">
        <w:rPr>
          <w:color w:val="000000"/>
        </w:rPr>
        <w:t>is m</w:t>
      </w:r>
      <w:r w:rsidR="00F97818">
        <w:rPr>
          <w:color w:val="000000"/>
        </w:rPr>
        <w:t>entioned in Table 5.</w:t>
      </w:r>
    </w:p>
    <w:p w:rsidR="00E52B95" w:rsidRPr="00E52B95" w:rsidRDefault="00E52B95" w:rsidP="00E52B95">
      <w:pPr>
        <w:pStyle w:val="NormalWeb"/>
        <w:spacing w:line="360" w:lineRule="auto"/>
        <w:jc w:val="both"/>
        <w:rPr>
          <w:b/>
          <w:bCs/>
          <w:color w:val="000000"/>
        </w:rPr>
      </w:pPr>
      <w:r w:rsidRPr="00E52B95">
        <w:rPr>
          <w:b/>
          <w:bCs/>
          <w:color w:val="000000"/>
        </w:rPr>
        <w:t xml:space="preserve">Table5: Economic importance of Family </w:t>
      </w:r>
      <w:r w:rsidRPr="00E52B95">
        <w:rPr>
          <w:b/>
          <w:bCs/>
          <w:i/>
          <w:color w:val="000000"/>
        </w:rPr>
        <w:t xml:space="preserve">Zingiberaceae </w:t>
      </w:r>
    </w:p>
    <w:tbl>
      <w:tblPr>
        <w:tblW w:w="11340" w:type="dxa"/>
        <w:jc w:val="center"/>
        <w:tblLayout w:type="fixed"/>
        <w:tblLook w:val="04A0" w:firstRow="1" w:lastRow="0" w:firstColumn="1" w:lastColumn="0" w:noHBand="0" w:noVBand="1"/>
      </w:tblPr>
      <w:tblGrid>
        <w:gridCol w:w="1134"/>
        <w:gridCol w:w="1701"/>
        <w:gridCol w:w="1134"/>
        <w:gridCol w:w="2268"/>
        <w:gridCol w:w="3261"/>
        <w:gridCol w:w="1842"/>
      </w:tblGrid>
      <w:tr w:rsidR="00E52B95" w:rsidRPr="00E52B95" w:rsidTr="00E52B95">
        <w:trPr>
          <w:trHeight w:val="855"/>
          <w:jc w:val="center"/>
        </w:trPr>
        <w:tc>
          <w:tcPr>
            <w:tcW w:w="1134" w:type="dxa"/>
            <w:tcBorders>
              <w:top w:val="single" w:sz="4" w:space="0" w:color="auto"/>
              <w:bottom w:val="single" w:sz="4" w:space="0" w:color="auto"/>
            </w:tcBorders>
          </w:tcPr>
          <w:p w:rsidR="00E52B95" w:rsidRPr="00E52B95" w:rsidRDefault="00E52B95" w:rsidP="00E52B95">
            <w:pPr>
              <w:spacing w:line="360" w:lineRule="auto"/>
              <w:jc w:val="both"/>
              <w:rPr>
                <w:rFonts w:ascii="Times New Roman" w:hAnsi="Times New Roman" w:cs="Times New Roman"/>
                <w:b/>
                <w:color w:val="000000"/>
                <w:sz w:val="24"/>
                <w:szCs w:val="24"/>
              </w:rPr>
            </w:pPr>
            <w:r w:rsidRPr="00E52B95">
              <w:rPr>
                <w:rFonts w:ascii="Times New Roman" w:hAnsi="Times New Roman" w:cs="Times New Roman"/>
                <w:b/>
                <w:i/>
                <w:iCs/>
                <w:color w:val="000000"/>
                <w:sz w:val="24"/>
                <w:szCs w:val="24"/>
              </w:rPr>
              <w:t>Genus</w:t>
            </w:r>
          </w:p>
        </w:tc>
        <w:tc>
          <w:tcPr>
            <w:tcW w:w="1701" w:type="dxa"/>
            <w:tcBorders>
              <w:top w:val="single" w:sz="4" w:space="0" w:color="auto"/>
              <w:bottom w:val="single" w:sz="4" w:space="0" w:color="auto"/>
            </w:tcBorders>
          </w:tcPr>
          <w:p w:rsidR="00E52B95" w:rsidRPr="00E52B95" w:rsidRDefault="00E52B95" w:rsidP="00E52B95">
            <w:pPr>
              <w:spacing w:line="360" w:lineRule="auto"/>
              <w:jc w:val="both"/>
              <w:rPr>
                <w:rFonts w:ascii="Times New Roman" w:hAnsi="Times New Roman" w:cs="Times New Roman"/>
                <w:b/>
                <w:bCs/>
                <w:color w:val="000000"/>
                <w:sz w:val="24"/>
                <w:szCs w:val="24"/>
              </w:rPr>
            </w:pPr>
            <w:r w:rsidRPr="00E52B95">
              <w:rPr>
                <w:rFonts w:ascii="Times New Roman" w:hAnsi="Times New Roman" w:cs="Times New Roman"/>
                <w:b/>
                <w:bCs/>
                <w:color w:val="000000"/>
                <w:sz w:val="24"/>
                <w:szCs w:val="24"/>
              </w:rPr>
              <w:t>Spices/ coloring agent</w:t>
            </w:r>
          </w:p>
        </w:tc>
        <w:tc>
          <w:tcPr>
            <w:tcW w:w="1134" w:type="dxa"/>
            <w:tcBorders>
              <w:top w:val="single" w:sz="4" w:space="0" w:color="auto"/>
              <w:bottom w:val="single" w:sz="4" w:space="0" w:color="auto"/>
            </w:tcBorders>
          </w:tcPr>
          <w:p w:rsidR="00E52B95" w:rsidRPr="00E52B95" w:rsidRDefault="00E52B95" w:rsidP="00E52B95">
            <w:pPr>
              <w:spacing w:line="360" w:lineRule="auto"/>
              <w:jc w:val="both"/>
              <w:rPr>
                <w:rFonts w:ascii="Times New Roman" w:hAnsi="Times New Roman" w:cs="Times New Roman"/>
                <w:b/>
                <w:bCs/>
                <w:color w:val="000000"/>
                <w:sz w:val="24"/>
                <w:szCs w:val="24"/>
              </w:rPr>
            </w:pPr>
            <w:r w:rsidRPr="00E52B95">
              <w:rPr>
                <w:rFonts w:ascii="Times New Roman" w:hAnsi="Times New Roman" w:cs="Times New Roman"/>
                <w:b/>
                <w:bCs/>
                <w:color w:val="000000"/>
                <w:sz w:val="24"/>
                <w:szCs w:val="24"/>
              </w:rPr>
              <w:t>Food Industry / flavouring</w:t>
            </w:r>
          </w:p>
        </w:tc>
        <w:tc>
          <w:tcPr>
            <w:tcW w:w="2268" w:type="dxa"/>
            <w:tcBorders>
              <w:top w:val="single" w:sz="4" w:space="0" w:color="auto"/>
              <w:bottom w:val="single" w:sz="4" w:space="0" w:color="auto"/>
            </w:tcBorders>
          </w:tcPr>
          <w:p w:rsidR="00E52B95" w:rsidRPr="00E52B95" w:rsidRDefault="00E52B95" w:rsidP="00E52B95">
            <w:pPr>
              <w:spacing w:line="360" w:lineRule="auto"/>
              <w:jc w:val="both"/>
              <w:rPr>
                <w:rFonts w:ascii="Times New Roman" w:hAnsi="Times New Roman" w:cs="Times New Roman"/>
                <w:b/>
                <w:bCs/>
                <w:color w:val="000000"/>
                <w:sz w:val="24"/>
                <w:szCs w:val="24"/>
              </w:rPr>
            </w:pPr>
            <w:r w:rsidRPr="00E52B95">
              <w:rPr>
                <w:rFonts w:ascii="Times New Roman" w:hAnsi="Times New Roman" w:cs="Times New Roman"/>
                <w:b/>
                <w:bCs/>
                <w:color w:val="000000"/>
                <w:sz w:val="24"/>
                <w:szCs w:val="24"/>
              </w:rPr>
              <w:t>Perfumery/Cosmetics/ ornamental</w:t>
            </w:r>
          </w:p>
        </w:tc>
        <w:tc>
          <w:tcPr>
            <w:tcW w:w="3261" w:type="dxa"/>
            <w:tcBorders>
              <w:top w:val="single" w:sz="4" w:space="0" w:color="auto"/>
              <w:bottom w:val="single" w:sz="4" w:space="0" w:color="auto"/>
            </w:tcBorders>
          </w:tcPr>
          <w:p w:rsidR="00E52B95" w:rsidRPr="00E52B95" w:rsidRDefault="00E52B95" w:rsidP="00E52B95">
            <w:pPr>
              <w:spacing w:line="360" w:lineRule="auto"/>
              <w:jc w:val="both"/>
              <w:rPr>
                <w:rFonts w:ascii="Times New Roman" w:hAnsi="Times New Roman" w:cs="Times New Roman"/>
                <w:b/>
                <w:bCs/>
                <w:color w:val="000000"/>
                <w:sz w:val="24"/>
                <w:szCs w:val="24"/>
              </w:rPr>
            </w:pPr>
            <w:r w:rsidRPr="00E52B95">
              <w:rPr>
                <w:rFonts w:ascii="Times New Roman" w:hAnsi="Times New Roman" w:cs="Times New Roman"/>
                <w:b/>
                <w:bCs/>
                <w:color w:val="000000"/>
                <w:sz w:val="24"/>
                <w:szCs w:val="24"/>
              </w:rPr>
              <w:t>Market Insight</w:t>
            </w:r>
          </w:p>
        </w:tc>
        <w:tc>
          <w:tcPr>
            <w:tcW w:w="1842" w:type="dxa"/>
            <w:tcBorders>
              <w:top w:val="single" w:sz="4" w:space="0" w:color="auto"/>
              <w:bottom w:val="single" w:sz="4" w:space="0" w:color="auto"/>
            </w:tcBorders>
          </w:tcPr>
          <w:p w:rsidR="00E52B95" w:rsidRPr="00E52B95" w:rsidRDefault="00E52B95" w:rsidP="00E52B95">
            <w:pPr>
              <w:spacing w:line="360" w:lineRule="auto"/>
              <w:jc w:val="both"/>
              <w:rPr>
                <w:rFonts w:ascii="Times New Roman" w:hAnsi="Times New Roman" w:cs="Times New Roman"/>
                <w:b/>
                <w:bCs/>
                <w:color w:val="000000"/>
                <w:sz w:val="24"/>
                <w:szCs w:val="24"/>
              </w:rPr>
            </w:pPr>
            <w:r w:rsidRPr="00E52B95">
              <w:rPr>
                <w:rFonts w:ascii="Times New Roman" w:hAnsi="Times New Roman" w:cs="Times New Roman"/>
                <w:b/>
                <w:bCs/>
                <w:color w:val="000000"/>
                <w:sz w:val="24"/>
                <w:szCs w:val="24"/>
              </w:rPr>
              <w:t>References</w:t>
            </w:r>
          </w:p>
        </w:tc>
      </w:tr>
      <w:tr w:rsidR="00E52B95" w:rsidRPr="00E52B95" w:rsidTr="00E52B95">
        <w:trPr>
          <w:trHeight w:val="1922"/>
          <w:jc w:val="center"/>
        </w:trPr>
        <w:tc>
          <w:tcPr>
            <w:tcW w:w="1134" w:type="dxa"/>
            <w:tcBorders>
              <w:top w:val="single" w:sz="4" w:space="0" w:color="auto"/>
            </w:tcBorders>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Fonts w:ascii="Times New Roman" w:hAnsi="Times New Roman" w:cs="Times New Roman"/>
                <w:i/>
                <w:iCs/>
                <w:color w:val="000000"/>
                <w:sz w:val="24"/>
                <w:szCs w:val="24"/>
              </w:rPr>
              <w:t>Zingiber  (Z. officinale)</w:t>
            </w:r>
          </w:p>
        </w:tc>
        <w:tc>
          <w:tcPr>
            <w:tcW w:w="1701" w:type="dxa"/>
            <w:tcBorders>
              <w:top w:val="single" w:sz="4" w:space="0" w:color="auto"/>
            </w:tcBorders>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Versatile global staple</w:t>
            </w:r>
          </w:p>
        </w:tc>
        <w:tc>
          <w:tcPr>
            <w:tcW w:w="1134" w:type="dxa"/>
            <w:tcBorders>
              <w:top w:val="single" w:sz="4" w:space="0" w:color="auto"/>
            </w:tcBorders>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Used in ginger ale, ginger beer, ginger snaps, gingerbread, and candies</w:t>
            </w:r>
          </w:p>
        </w:tc>
        <w:tc>
          <w:tcPr>
            <w:tcW w:w="2268" w:type="dxa"/>
            <w:tcBorders>
              <w:top w:val="single" w:sz="4" w:space="0" w:color="auto"/>
            </w:tcBorders>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Essential oil (ginger oil) is used in fragrances, soaps, and massage oils for its warm, spicy aroma.</w:t>
            </w:r>
          </w:p>
        </w:tc>
        <w:tc>
          <w:tcPr>
            <w:tcW w:w="3261" w:type="dxa"/>
            <w:tcBorders>
              <w:top w:val="single" w:sz="4" w:space="0" w:color="auto"/>
            </w:tcBorders>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The global ginger market, valued at $3.8 billion in 2022, is projected to reach $6.56 billion by 2029.India, China, and Nigeria are key producers.</w:t>
            </w:r>
          </w:p>
        </w:tc>
        <w:tc>
          <w:tcPr>
            <w:tcW w:w="1842" w:type="dxa"/>
            <w:tcBorders>
              <w:top w:val="single" w:sz="4" w:space="0" w:color="auto"/>
            </w:tcBorders>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(Mao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w:t>
            </w:r>
            <w:r w:rsidR="0096160A" w:rsidRPr="00E52B95">
              <w:rPr>
                <w:rFonts w:ascii="Times New Roman" w:hAnsi="Times New Roman" w:cs="Times New Roman"/>
                <w:color w:val="000000"/>
                <w:sz w:val="24"/>
                <w:szCs w:val="24"/>
                <w:shd w:val="clear" w:color="auto" w:fill="FFFFFF"/>
              </w:rPr>
              <w:t>, 2019</w:t>
            </w:r>
            <w:r w:rsidRPr="00E52B95">
              <w:rPr>
                <w:rFonts w:ascii="Times New Roman" w:hAnsi="Times New Roman" w:cs="Times New Roman"/>
                <w:color w:val="000000"/>
                <w:sz w:val="24"/>
                <w:szCs w:val="24"/>
                <w:shd w:val="clear" w:color="auto" w:fill="FFFFFF"/>
              </w:rPr>
              <w:t>),</w:t>
            </w:r>
            <w:r w:rsidRPr="00E52B95">
              <w:rPr>
                <w:rFonts w:ascii="Times New Roman" w:hAnsi="Times New Roman" w:cs="Times New Roman"/>
                <w:color w:val="000000"/>
                <w:sz w:val="24"/>
                <w:szCs w:val="24"/>
              </w:rPr>
              <w:t xml:space="preserve"> </w:t>
            </w:r>
            <w:bookmarkStart w:id="1" w:name="_Hlk208785420"/>
            <w:r w:rsidRPr="00E52B95">
              <w:rPr>
                <w:rFonts w:ascii="Times New Roman" w:hAnsi="Times New Roman" w:cs="Times New Roman"/>
                <w:color w:val="000000"/>
                <w:sz w:val="24"/>
                <w:szCs w:val="24"/>
              </w:rPr>
              <w:t>https://www.thebusinessresearchcompany.com/report/ginger-global-market-report.</w:t>
            </w:r>
            <w:bookmarkEnd w:id="1"/>
          </w:p>
        </w:tc>
      </w:tr>
      <w:tr w:rsidR="00E52B95" w:rsidRPr="00E52B95" w:rsidTr="00E52B95">
        <w:trPr>
          <w:jc w:val="center"/>
        </w:trPr>
        <w:tc>
          <w:tcPr>
            <w:tcW w:w="1134" w:type="dxa"/>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Fonts w:ascii="Times New Roman" w:hAnsi="Times New Roman" w:cs="Times New Roman"/>
                <w:i/>
                <w:iCs/>
                <w:color w:val="000000"/>
                <w:sz w:val="24"/>
                <w:szCs w:val="24"/>
              </w:rPr>
              <w:lastRenderedPageBreak/>
              <w:t>Curcuma (C. longa)</w:t>
            </w:r>
          </w:p>
        </w:tc>
        <w:tc>
          <w:tcPr>
            <w:tcW w:w="1701" w:type="dxa"/>
          </w:tcPr>
          <w:p w:rsidR="00E52B95" w:rsidRPr="00E52B95" w:rsidRDefault="00E52B95" w:rsidP="00E52B95">
            <w:pPr>
              <w:pStyle w:val="NormalWeb"/>
              <w:spacing w:line="360" w:lineRule="auto"/>
              <w:jc w:val="both"/>
              <w:rPr>
                <w:color w:val="000000"/>
              </w:rPr>
            </w:pPr>
            <w:r w:rsidRPr="00E52B95">
              <w:rPr>
                <w:color w:val="000000"/>
              </w:rPr>
              <w:t>Essential in curries and Asian dishes, providing a vibrant yellow color for food, textiles, and pharmaceuticals.</w:t>
            </w:r>
          </w:p>
        </w:tc>
        <w:tc>
          <w:tcPr>
            <w:tcW w:w="1134" w:type="dxa"/>
          </w:tcPr>
          <w:p w:rsidR="00E52B95" w:rsidRPr="00E52B95" w:rsidRDefault="00E52B95" w:rsidP="00E52B95">
            <w:pPr>
              <w:spacing w:line="360" w:lineRule="auto"/>
              <w:jc w:val="both"/>
              <w:rPr>
                <w:rFonts w:ascii="Times New Roman" w:hAnsi="Times New Roman" w:cs="Times New Roman"/>
                <w:color w:val="000000"/>
                <w:sz w:val="24"/>
                <w:szCs w:val="24"/>
              </w:rPr>
            </w:pPr>
          </w:p>
          <w:p w:rsidR="00E52B95" w:rsidRPr="00E52B95" w:rsidRDefault="00E52B95" w:rsidP="00E52B95">
            <w:pPr>
              <w:spacing w:line="360" w:lineRule="auto"/>
              <w:jc w:val="both"/>
              <w:rPr>
                <w:rFonts w:ascii="Times New Roman" w:hAnsi="Times New Roman" w:cs="Times New Roman"/>
                <w:color w:val="000000"/>
                <w:sz w:val="24"/>
                <w:szCs w:val="24"/>
              </w:rPr>
            </w:pPr>
          </w:p>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        _</w:t>
            </w:r>
          </w:p>
        </w:tc>
        <w:tc>
          <w:tcPr>
            <w:tcW w:w="2268"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Used in traditional beauty remedies (e.g., face masks) and modern skincare products for its anti-inflammatory and skin-brightening effects</w:t>
            </w:r>
          </w:p>
        </w:tc>
        <w:tc>
          <w:tcPr>
            <w:tcW w:w="3261"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The global turmeric market, valued at $3.4 billion in 2025, is projected to reach $4.3 billion by 2030, with Asia-Pacific dominating production.</w:t>
            </w:r>
          </w:p>
        </w:tc>
        <w:tc>
          <w:tcPr>
            <w:tcW w:w="1842"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(Hewlings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.,2017),</w:t>
            </w:r>
          </w:p>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https://www.mordorintelligence.com/industry-reports/turmeric-market</w:t>
            </w:r>
          </w:p>
        </w:tc>
      </w:tr>
      <w:tr w:rsidR="00E52B95" w:rsidRPr="00E52B95" w:rsidTr="00E52B95">
        <w:trPr>
          <w:jc w:val="center"/>
        </w:trPr>
        <w:tc>
          <w:tcPr>
            <w:tcW w:w="1134"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Elettaria (Cardamom)</w:t>
            </w:r>
          </w:p>
        </w:tc>
        <w:tc>
          <w:tcPr>
            <w:tcW w:w="1701"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World's most expensive spices, used in sweet and savory dishes in Indian, Middle Eastern, and Nordic cuisines.</w:t>
            </w:r>
          </w:p>
        </w:tc>
        <w:tc>
          <w:tcPr>
            <w:tcW w:w="1134"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Essential in teas (e.g., masala chai), coffees, baked goods, and desserts</w:t>
            </w:r>
          </w:p>
        </w:tc>
        <w:tc>
          <w:tcPr>
            <w:tcW w:w="2268"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Essential oil (cardamom oil) used in high-end fragrances</w:t>
            </w:r>
          </w:p>
        </w:tc>
        <w:tc>
          <w:tcPr>
            <w:tcW w:w="3261"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The global cardamom market is projected to reach $248.80 million by 2032, with Guatemala and India as major producers.</w:t>
            </w:r>
          </w:p>
        </w:tc>
        <w:tc>
          <w:tcPr>
            <w:tcW w:w="1842"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(Sengupta </w:t>
            </w:r>
            <w:r w:rsidRPr="00E52B95">
              <w:rPr>
                <w:rFonts w:ascii="Times New Roman" w:hAnsi="Times New Roman" w:cs="Times New Roman"/>
                <w:i/>
                <w:color w:val="000000"/>
                <w:sz w:val="24"/>
                <w:szCs w:val="24"/>
              </w:rPr>
              <w:t>et al</w:t>
            </w:r>
            <w:r w:rsidRPr="00E52B95">
              <w:rPr>
                <w:rFonts w:ascii="Times New Roman" w:hAnsi="Times New Roman" w:cs="Times New Roman"/>
                <w:color w:val="000000"/>
                <w:sz w:val="24"/>
                <w:szCs w:val="24"/>
              </w:rPr>
              <w:t>.,2009)</w:t>
            </w:r>
          </w:p>
          <w:p w:rsidR="00E52B95" w:rsidRPr="00E52B95" w:rsidRDefault="002668C1" w:rsidP="00E52B95">
            <w:pPr>
              <w:spacing w:line="360" w:lineRule="auto"/>
              <w:jc w:val="both"/>
              <w:rPr>
                <w:rFonts w:ascii="Times New Roman" w:hAnsi="Times New Roman" w:cs="Times New Roman"/>
                <w:color w:val="000000"/>
                <w:sz w:val="24"/>
                <w:szCs w:val="24"/>
              </w:rPr>
            </w:pPr>
            <w:hyperlink r:id="rId5" w:history="1">
              <w:r w:rsidR="00E52B95" w:rsidRPr="00E52B95">
                <w:rPr>
                  <w:rStyle w:val="Hyperlink"/>
                  <w:rFonts w:ascii="Times New Roman" w:hAnsi="Times New Roman" w:cs="Times New Roman"/>
                  <w:color w:val="000000"/>
                  <w:sz w:val="24"/>
                  <w:szCs w:val="24"/>
                  <w:u w:val="none"/>
                </w:rPr>
                <w:t>https://www.metastatinsight.com/press-details/cardamom-market</w:t>
              </w:r>
            </w:hyperlink>
            <w:r w:rsidR="00E52B95" w:rsidRPr="00E52B95">
              <w:rPr>
                <w:rFonts w:ascii="Times New Roman" w:hAnsi="Times New Roman" w:cs="Times New Roman"/>
                <w:color w:val="000000"/>
                <w:sz w:val="24"/>
                <w:szCs w:val="24"/>
              </w:rPr>
              <w:t xml:space="preserve"> </w:t>
            </w:r>
          </w:p>
        </w:tc>
      </w:tr>
      <w:tr w:rsidR="00E52B95" w:rsidRPr="00E52B95" w:rsidTr="00E52B95">
        <w:trPr>
          <w:jc w:val="center"/>
        </w:trPr>
        <w:tc>
          <w:tcPr>
            <w:tcW w:w="1134" w:type="dxa"/>
          </w:tcPr>
          <w:p w:rsidR="00E52B95" w:rsidRPr="00E52B95" w:rsidRDefault="00E52B95" w:rsidP="00E52B95">
            <w:pPr>
              <w:pStyle w:val="NormalWeb"/>
              <w:spacing w:line="360" w:lineRule="auto"/>
              <w:jc w:val="both"/>
              <w:rPr>
                <w:color w:val="000000"/>
              </w:rPr>
            </w:pPr>
            <w:r w:rsidRPr="00E52B95">
              <w:rPr>
                <w:b/>
                <w:bCs/>
                <w:i/>
                <w:iCs/>
                <w:color w:val="000000"/>
              </w:rPr>
              <w:t>Amomum</w:t>
            </w:r>
            <w:r w:rsidRPr="00E52B95">
              <w:rPr>
                <w:color w:val="000000"/>
              </w:rPr>
              <w:t xml:space="preserve"> (</w:t>
            </w:r>
            <w:r w:rsidRPr="00E52B95">
              <w:rPr>
                <w:i/>
                <w:iCs/>
                <w:color w:val="000000"/>
              </w:rPr>
              <w:t>A. subulatum</w:t>
            </w:r>
            <w:r w:rsidRPr="00E52B95">
              <w:rPr>
                <w:color w:val="000000"/>
              </w:rPr>
              <w:t>)</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1701"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The dried fruits and seeds offer a distinct smoky, camphor-like flavour, popular in savory Indian, Nepali, and Vietnamese dishes.</w:t>
            </w:r>
          </w:p>
        </w:tc>
        <w:tc>
          <w:tcPr>
            <w:tcW w:w="1134" w:type="dxa"/>
          </w:tcPr>
          <w:p w:rsidR="00E52B95" w:rsidRPr="00E52B95" w:rsidRDefault="00E52B95" w:rsidP="00E52B95">
            <w:pPr>
              <w:spacing w:line="360" w:lineRule="auto"/>
              <w:jc w:val="both"/>
              <w:rPr>
                <w:rFonts w:ascii="Times New Roman" w:hAnsi="Times New Roman" w:cs="Times New Roman"/>
                <w:color w:val="000000"/>
                <w:sz w:val="24"/>
                <w:szCs w:val="24"/>
              </w:rPr>
            </w:pPr>
          </w:p>
          <w:p w:rsidR="00E52B95" w:rsidRPr="00E52B95" w:rsidRDefault="00E52B95" w:rsidP="00E52B95">
            <w:pPr>
              <w:spacing w:line="360" w:lineRule="auto"/>
              <w:jc w:val="both"/>
              <w:rPr>
                <w:rFonts w:ascii="Times New Roman" w:hAnsi="Times New Roman" w:cs="Times New Roman"/>
                <w:color w:val="000000"/>
                <w:sz w:val="24"/>
                <w:szCs w:val="24"/>
              </w:rPr>
            </w:pPr>
          </w:p>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      _</w:t>
            </w:r>
          </w:p>
        </w:tc>
        <w:tc>
          <w:tcPr>
            <w:tcW w:w="2268" w:type="dxa"/>
          </w:tcPr>
          <w:p w:rsidR="00E52B95" w:rsidRPr="00E52B95" w:rsidRDefault="00E52B95" w:rsidP="00E52B95">
            <w:pPr>
              <w:spacing w:line="360" w:lineRule="auto"/>
              <w:jc w:val="both"/>
              <w:rPr>
                <w:rFonts w:ascii="Times New Roman" w:hAnsi="Times New Roman" w:cs="Times New Roman"/>
                <w:color w:val="000000"/>
                <w:sz w:val="24"/>
                <w:szCs w:val="24"/>
              </w:rPr>
            </w:pPr>
          </w:p>
          <w:p w:rsidR="00E52B95" w:rsidRPr="00E52B95" w:rsidRDefault="00E52B95" w:rsidP="00E52B95">
            <w:pPr>
              <w:spacing w:line="360" w:lineRule="auto"/>
              <w:jc w:val="both"/>
              <w:rPr>
                <w:rFonts w:ascii="Times New Roman" w:hAnsi="Times New Roman" w:cs="Times New Roman"/>
                <w:color w:val="000000"/>
                <w:sz w:val="24"/>
                <w:szCs w:val="24"/>
              </w:rPr>
            </w:pPr>
          </w:p>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              _</w:t>
            </w:r>
          </w:p>
        </w:tc>
        <w:tc>
          <w:tcPr>
            <w:tcW w:w="3261"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The global </w:t>
            </w:r>
            <w:r w:rsidRPr="00E52B95">
              <w:rPr>
                <w:rFonts w:ascii="Times New Roman" w:hAnsi="Times New Roman" w:cs="Times New Roman"/>
                <w:i/>
                <w:iCs/>
                <w:color w:val="000000"/>
                <w:sz w:val="24"/>
                <w:szCs w:val="24"/>
              </w:rPr>
              <w:t>Amomum</w:t>
            </w:r>
            <w:r w:rsidRPr="00E52B95">
              <w:rPr>
                <w:rFonts w:ascii="Times New Roman" w:hAnsi="Times New Roman" w:cs="Times New Roman"/>
                <w:color w:val="000000"/>
                <w:sz w:val="24"/>
                <w:szCs w:val="24"/>
              </w:rPr>
              <w:t xml:space="preserve"> market is a high-value, regionally-concentrated segment dominated by producers in the Himalayan region, with Nepal as the largest, facing challenges in production and marketing (ICIMOD, 2021).</w:t>
            </w:r>
          </w:p>
        </w:tc>
        <w:tc>
          <w:tcPr>
            <w:tcW w:w="1842"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(Lim.,2012)</w:t>
            </w:r>
            <w:r w:rsidRPr="00E52B95">
              <w:rPr>
                <w:rFonts w:ascii="Times New Roman" w:hAnsi="Times New Roman" w:cs="Times New Roman"/>
                <w:color w:val="000000"/>
                <w:sz w:val="24"/>
                <w:szCs w:val="24"/>
              </w:rPr>
              <w:t xml:space="preserve"> </w:t>
            </w:r>
            <w:hyperlink r:id="rId6" w:tgtFrame="_blank" w:history="1">
              <w:r w:rsidRPr="00E52B95">
                <w:rPr>
                  <w:rStyle w:val="Hyperlink"/>
                  <w:rFonts w:ascii="Times New Roman" w:hAnsi="Times New Roman" w:cs="Times New Roman"/>
                  <w:color w:val="000000"/>
                  <w:sz w:val="24"/>
                  <w:szCs w:val="24"/>
                  <w:u w:val="none"/>
                </w:rPr>
                <w:t>https://www.cultivatornatural.com/project/amomum-subulatum-fruits/</w:t>
              </w:r>
            </w:hyperlink>
          </w:p>
          <w:p w:rsidR="00E52B95" w:rsidRPr="00E52B95" w:rsidRDefault="002668C1" w:rsidP="00E52B95">
            <w:pPr>
              <w:spacing w:line="360" w:lineRule="auto"/>
              <w:jc w:val="both"/>
              <w:rPr>
                <w:rFonts w:ascii="Times New Roman" w:hAnsi="Times New Roman" w:cs="Times New Roman"/>
                <w:color w:val="000000"/>
                <w:sz w:val="24"/>
                <w:szCs w:val="24"/>
              </w:rPr>
            </w:pPr>
            <w:hyperlink r:id="rId7" w:history="1">
              <w:r w:rsidR="00E52B95" w:rsidRPr="00E52B95">
                <w:rPr>
                  <w:rStyle w:val="Hyperlink"/>
                  <w:rFonts w:ascii="Times New Roman" w:hAnsi="Times New Roman" w:cs="Times New Roman"/>
                  <w:color w:val="000000"/>
                  <w:sz w:val="24"/>
                  <w:szCs w:val="24"/>
                  <w:u w:val="none"/>
                </w:rPr>
                <w:t>https://www.dabur.com/ayurveda/ayurvedic-medicinal-plants/badi-elaichi</w:t>
              </w:r>
            </w:hyperlink>
            <w:r w:rsidR="00E52B95" w:rsidRPr="00E52B95">
              <w:rPr>
                <w:rFonts w:ascii="Times New Roman" w:hAnsi="Times New Roman" w:cs="Times New Roman"/>
                <w:color w:val="000000"/>
                <w:sz w:val="24"/>
                <w:szCs w:val="24"/>
              </w:rPr>
              <w:t xml:space="preserve"> </w:t>
            </w:r>
          </w:p>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lastRenderedPageBreak/>
              <w:t xml:space="preserve">(Bist </w:t>
            </w:r>
            <w:r w:rsidRPr="00E52B95">
              <w:rPr>
                <w:rFonts w:ascii="Times New Roman" w:hAnsi="Times New Roman" w:cs="Times New Roman"/>
                <w:i/>
                <w:color w:val="000000"/>
                <w:sz w:val="24"/>
                <w:szCs w:val="24"/>
              </w:rPr>
              <w:t>et al</w:t>
            </w:r>
            <w:r w:rsidRPr="00E52B95">
              <w:rPr>
                <w:rFonts w:ascii="Times New Roman" w:hAnsi="Times New Roman" w:cs="Times New Roman"/>
                <w:color w:val="000000"/>
                <w:sz w:val="24"/>
                <w:szCs w:val="24"/>
              </w:rPr>
              <w:t>.,2021)</w:t>
            </w:r>
          </w:p>
        </w:tc>
      </w:tr>
      <w:tr w:rsidR="00E52B95" w:rsidRPr="00E52B95" w:rsidTr="00E52B95">
        <w:trPr>
          <w:jc w:val="center"/>
        </w:trPr>
        <w:tc>
          <w:tcPr>
            <w:tcW w:w="1134" w:type="dxa"/>
          </w:tcPr>
          <w:p w:rsidR="00E52B95" w:rsidRPr="00E52B95" w:rsidRDefault="00E52B95" w:rsidP="00E52B95">
            <w:pPr>
              <w:pStyle w:val="NormalWeb"/>
              <w:spacing w:line="360" w:lineRule="auto"/>
              <w:jc w:val="both"/>
              <w:rPr>
                <w:color w:val="000000"/>
              </w:rPr>
            </w:pPr>
            <w:r w:rsidRPr="00E52B95">
              <w:rPr>
                <w:b/>
                <w:bCs/>
                <w:i/>
                <w:iCs/>
                <w:color w:val="000000"/>
              </w:rPr>
              <w:lastRenderedPageBreak/>
              <w:t>Alpinia</w:t>
            </w:r>
            <w:r w:rsidRPr="00E52B95">
              <w:rPr>
                <w:color w:val="000000"/>
              </w:rPr>
              <w:t>(A.</w:t>
            </w:r>
            <w:r w:rsidRPr="00E52B95">
              <w:rPr>
                <w:i/>
                <w:iCs/>
                <w:color w:val="000000"/>
              </w:rPr>
              <w:t xml:space="preserve"> galanga</w:t>
            </w:r>
            <w:r w:rsidRPr="00E52B95">
              <w:rPr>
                <w:color w:val="000000"/>
              </w:rPr>
              <w:t xml:space="preserve">, A. </w:t>
            </w:r>
            <w:r w:rsidRPr="00E52B95">
              <w:rPr>
                <w:i/>
                <w:iCs/>
                <w:color w:val="000000"/>
              </w:rPr>
              <w:t>officinarum</w:t>
            </w:r>
            <w:r w:rsidRPr="00E52B95">
              <w:rPr>
                <w:color w:val="000000"/>
              </w:rPr>
              <w:t xml:space="preserve"> - </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1701"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The fresh rhizomes, with their sharp, peppery flavour, are used in Southeast Asian cuisines (Thai, Indonesian, and Malaysian).</w:t>
            </w:r>
          </w:p>
        </w:tc>
        <w:tc>
          <w:tcPr>
            <w:tcW w:w="1134" w:type="dxa"/>
          </w:tcPr>
          <w:p w:rsidR="00E52B95" w:rsidRPr="00E52B95" w:rsidRDefault="00E52B95" w:rsidP="00E52B95">
            <w:pPr>
              <w:spacing w:line="360" w:lineRule="auto"/>
              <w:jc w:val="both"/>
              <w:rPr>
                <w:rFonts w:ascii="Times New Roman" w:hAnsi="Times New Roman" w:cs="Times New Roman"/>
                <w:color w:val="000000"/>
                <w:sz w:val="24"/>
                <w:szCs w:val="24"/>
              </w:rPr>
            </w:pPr>
          </w:p>
          <w:p w:rsidR="00E52B95" w:rsidRPr="00E52B95" w:rsidRDefault="00E52B95" w:rsidP="00E52B95">
            <w:pPr>
              <w:spacing w:line="360" w:lineRule="auto"/>
              <w:jc w:val="both"/>
              <w:rPr>
                <w:rFonts w:ascii="Times New Roman" w:hAnsi="Times New Roman" w:cs="Times New Roman"/>
                <w:color w:val="000000"/>
                <w:sz w:val="24"/>
                <w:szCs w:val="24"/>
              </w:rPr>
            </w:pPr>
          </w:p>
          <w:p w:rsidR="00E52B95" w:rsidRPr="00E52B95" w:rsidRDefault="00E52B95" w:rsidP="00E52B95">
            <w:pPr>
              <w:spacing w:line="360" w:lineRule="auto"/>
              <w:jc w:val="both"/>
              <w:rPr>
                <w:rFonts w:ascii="Times New Roman" w:hAnsi="Times New Roman" w:cs="Times New Roman"/>
                <w:color w:val="000000"/>
                <w:sz w:val="24"/>
                <w:szCs w:val="24"/>
              </w:rPr>
            </w:pPr>
          </w:p>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     _</w:t>
            </w:r>
          </w:p>
        </w:tc>
        <w:tc>
          <w:tcPr>
            <w:tcW w:w="2268"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Several species are cultivated for their attractive flowers (e.g., Red Ginger, Shell Ginger)</w:t>
            </w:r>
          </w:p>
        </w:tc>
        <w:tc>
          <w:tcPr>
            <w:tcW w:w="3261"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the </w:t>
            </w:r>
            <w:r w:rsidRPr="00E52B95">
              <w:rPr>
                <w:rFonts w:ascii="Times New Roman" w:hAnsi="Times New Roman" w:cs="Times New Roman"/>
                <w:i/>
                <w:iCs/>
                <w:color w:val="000000"/>
                <w:sz w:val="24"/>
                <w:szCs w:val="24"/>
              </w:rPr>
              <w:t>Alpinia</w:t>
            </w:r>
            <w:r w:rsidR="002668C1">
              <w:rPr>
                <w:rFonts w:ascii="Times New Roman" w:hAnsi="Times New Roman" w:cs="Times New Roman"/>
                <w:i/>
                <w:iCs/>
                <w:color w:val="000000"/>
                <w:sz w:val="24"/>
                <w:szCs w:val="24"/>
              </w:rPr>
              <w:t xml:space="preserve"> </w:t>
            </w:r>
            <w:bookmarkStart w:id="2" w:name="_GoBack"/>
            <w:bookmarkEnd w:id="2"/>
            <w:r w:rsidRPr="00E52B95">
              <w:rPr>
                <w:rFonts w:ascii="Times New Roman" w:hAnsi="Times New Roman" w:cs="Times New Roman"/>
                <w:i/>
                <w:iCs/>
                <w:color w:val="000000"/>
                <w:sz w:val="24"/>
                <w:szCs w:val="24"/>
              </w:rPr>
              <w:t>galanga</w:t>
            </w:r>
            <w:r w:rsidRPr="00E52B95">
              <w:rPr>
                <w:rFonts w:ascii="Times New Roman" w:hAnsi="Times New Roman" w:cs="Times New Roman"/>
                <w:color w:val="000000"/>
                <w:sz w:val="24"/>
                <w:szCs w:val="24"/>
              </w:rPr>
              <w:t xml:space="preserve"> rhizome extract market is projected to grow at a 9.2% CAGR from 2025-2032 (Reliable Market Insights, 2025).</w:t>
            </w:r>
          </w:p>
        </w:tc>
        <w:tc>
          <w:tcPr>
            <w:tcW w:w="1842"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(Al-Snafi.,2015;</w:t>
            </w:r>
            <w:r w:rsidRPr="00E52B95">
              <w:rPr>
                <w:rFonts w:ascii="Times New Roman" w:hAnsi="Times New Roman" w:cs="Times New Roman"/>
                <w:color w:val="000000"/>
                <w:sz w:val="24"/>
                <w:szCs w:val="24"/>
              </w:rPr>
              <w:t xml:space="preserve"> 9</w:t>
            </w:r>
            <w:r w:rsidRPr="00E52B95">
              <w:rPr>
                <w:rFonts w:ascii="Times New Roman" w:hAnsi="Times New Roman" w:cs="Times New Roman"/>
                <w:color w:val="000000"/>
                <w:sz w:val="24"/>
                <w:szCs w:val="24"/>
                <w:shd w:val="clear" w:color="auto" w:fill="FFFFFF"/>
              </w:rPr>
              <w:t xml:space="preserve">Zhang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.,2016)</w:t>
            </w:r>
          </w:p>
        </w:tc>
      </w:tr>
      <w:tr w:rsidR="00E52B95" w:rsidRPr="00E52B95" w:rsidTr="00E52B95">
        <w:trPr>
          <w:jc w:val="center"/>
        </w:trPr>
        <w:tc>
          <w:tcPr>
            <w:tcW w:w="1134" w:type="dxa"/>
          </w:tcPr>
          <w:p w:rsidR="00E52B95" w:rsidRPr="00E52B95" w:rsidRDefault="00E52B95" w:rsidP="00E52B95">
            <w:pPr>
              <w:spacing w:before="100" w:beforeAutospacing="1" w:after="100" w:afterAutospacing="1" w:line="360" w:lineRule="auto"/>
              <w:jc w:val="both"/>
              <w:rPr>
                <w:rFonts w:ascii="Times New Roman" w:eastAsia="Times New Roman" w:hAnsi="Times New Roman" w:cs="Times New Roman"/>
                <w:b/>
                <w:bCs/>
                <w:i/>
                <w:iCs/>
                <w:color w:val="000000"/>
                <w:sz w:val="24"/>
                <w:szCs w:val="24"/>
                <w:lang w:eastAsia="en-IN" w:bidi="ar-SA"/>
              </w:rPr>
            </w:pPr>
            <w:r w:rsidRPr="00E52B95">
              <w:rPr>
                <w:rFonts w:ascii="Times New Roman" w:eastAsia="Times New Roman" w:hAnsi="Times New Roman" w:cs="Times New Roman"/>
                <w:b/>
                <w:bCs/>
                <w:i/>
                <w:iCs/>
                <w:color w:val="000000"/>
                <w:sz w:val="24"/>
                <w:szCs w:val="24"/>
                <w:lang w:eastAsia="en-IN" w:bidi="ar-SA"/>
              </w:rPr>
              <w:t>Hedychium</w:t>
            </w:r>
          </w:p>
          <w:p w:rsidR="00E52B95" w:rsidRPr="00E52B95" w:rsidRDefault="00E52B95" w:rsidP="00E52B95">
            <w:pPr>
              <w:spacing w:before="100" w:beforeAutospacing="1" w:after="100" w:afterAutospacing="1" w:line="360" w:lineRule="auto"/>
              <w:jc w:val="both"/>
              <w:rPr>
                <w:rFonts w:ascii="Times New Roman" w:eastAsia="Times New Roman" w:hAnsi="Times New Roman" w:cs="Times New Roman"/>
                <w:b/>
                <w:bCs/>
                <w:i/>
                <w:iCs/>
                <w:color w:val="000000"/>
                <w:sz w:val="24"/>
                <w:szCs w:val="24"/>
                <w:lang w:eastAsia="en-IN" w:bidi="ar-SA"/>
              </w:rPr>
            </w:pPr>
            <w:r w:rsidRPr="00E52B95">
              <w:rPr>
                <w:rFonts w:ascii="Times New Roman" w:eastAsia="Times New Roman" w:hAnsi="Times New Roman" w:cs="Times New Roman"/>
                <w:b/>
                <w:bCs/>
                <w:i/>
                <w:iCs/>
                <w:color w:val="000000"/>
                <w:sz w:val="24"/>
                <w:szCs w:val="24"/>
                <w:lang w:eastAsia="en-IN" w:bidi="ar-SA"/>
              </w:rPr>
              <w:t>(</w:t>
            </w:r>
            <w:r w:rsidRPr="00E52B95">
              <w:rPr>
                <w:rFonts w:ascii="Times New Roman" w:eastAsia="Times New Roman" w:hAnsi="Times New Roman" w:cs="Times New Roman"/>
                <w:i/>
                <w:iCs/>
                <w:color w:val="000000"/>
                <w:sz w:val="24"/>
                <w:szCs w:val="24"/>
                <w:lang w:eastAsia="en-IN" w:bidi="ar-SA"/>
              </w:rPr>
              <w:t>H. coronarium</w:t>
            </w:r>
            <w:r w:rsidRPr="00E52B95">
              <w:rPr>
                <w:rFonts w:ascii="Times New Roman" w:eastAsia="Times New Roman" w:hAnsi="Times New Roman" w:cs="Times New Roman"/>
                <w:color w:val="000000"/>
                <w:sz w:val="24"/>
                <w:szCs w:val="24"/>
                <w:lang w:eastAsia="en-IN" w:bidi="ar-SA"/>
              </w:rPr>
              <w:t>)</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1701" w:type="dxa"/>
          </w:tcPr>
          <w:p w:rsidR="00E52B95" w:rsidRPr="00E52B95" w:rsidRDefault="00E52B95" w:rsidP="00E52B95">
            <w:pPr>
              <w:spacing w:line="360" w:lineRule="auto"/>
              <w:jc w:val="both"/>
              <w:rPr>
                <w:rFonts w:ascii="Times New Roman" w:hAnsi="Times New Roman" w:cs="Times New Roman"/>
                <w:color w:val="000000"/>
                <w:sz w:val="24"/>
                <w:szCs w:val="24"/>
              </w:rPr>
            </w:pPr>
          </w:p>
          <w:p w:rsidR="00E52B95" w:rsidRPr="00E52B95" w:rsidRDefault="00E52B95" w:rsidP="00E52B95">
            <w:pPr>
              <w:spacing w:line="360" w:lineRule="auto"/>
              <w:jc w:val="both"/>
              <w:rPr>
                <w:rFonts w:ascii="Times New Roman" w:hAnsi="Times New Roman" w:cs="Times New Roman"/>
                <w:color w:val="000000"/>
                <w:sz w:val="24"/>
                <w:szCs w:val="24"/>
              </w:rPr>
            </w:pPr>
          </w:p>
          <w:p w:rsidR="00E52B95" w:rsidRPr="00E52B95" w:rsidRDefault="00E52B95" w:rsidP="00E52B95">
            <w:pPr>
              <w:spacing w:line="360" w:lineRule="auto"/>
              <w:jc w:val="both"/>
              <w:rPr>
                <w:rFonts w:ascii="Times New Roman" w:hAnsi="Times New Roman" w:cs="Times New Roman"/>
                <w:color w:val="000000"/>
                <w:sz w:val="24"/>
                <w:szCs w:val="24"/>
              </w:rPr>
            </w:pPr>
          </w:p>
          <w:p w:rsidR="00E52B95" w:rsidRPr="00E52B95" w:rsidRDefault="00E52B95" w:rsidP="00E52B95">
            <w:pPr>
              <w:spacing w:line="360" w:lineRule="auto"/>
              <w:jc w:val="both"/>
              <w:rPr>
                <w:rFonts w:ascii="Times New Roman" w:hAnsi="Times New Roman" w:cs="Times New Roman"/>
                <w:color w:val="000000"/>
                <w:sz w:val="24"/>
                <w:szCs w:val="24"/>
              </w:rPr>
            </w:pPr>
          </w:p>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      _</w:t>
            </w:r>
          </w:p>
        </w:tc>
        <w:tc>
          <w:tcPr>
            <w:tcW w:w="1134" w:type="dxa"/>
          </w:tcPr>
          <w:p w:rsidR="00E52B95" w:rsidRPr="00E52B95" w:rsidRDefault="00E52B95" w:rsidP="00E52B95">
            <w:pPr>
              <w:spacing w:line="360" w:lineRule="auto"/>
              <w:jc w:val="both"/>
              <w:rPr>
                <w:rFonts w:ascii="Times New Roman" w:hAnsi="Times New Roman" w:cs="Times New Roman"/>
                <w:color w:val="000000"/>
                <w:sz w:val="24"/>
                <w:szCs w:val="24"/>
              </w:rPr>
            </w:pPr>
          </w:p>
          <w:p w:rsidR="00E52B95" w:rsidRPr="00E52B95" w:rsidRDefault="00E52B95" w:rsidP="00E52B95">
            <w:pPr>
              <w:spacing w:line="360" w:lineRule="auto"/>
              <w:jc w:val="both"/>
              <w:rPr>
                <w:rFonts w:ascii="Times New Roman" w:hAnsi="Times New Roman" w:cs="Times New Roman"/>
                <w:color w:val="000000"/>
                <w:sz w:val="24"/>
                <w:szCs w:val="24"/>
              </w:rPr>
            </w:pPr>
          </w:p>
          <w:p w:rsidR="00E52B95" w:rsidRPr="00E52B95" w:rsidRDefault="00E52B95" w:rsidP="00E52B95">
            <w:pPr>
              <w:spacing w:line="360" w:lineRule="auto"/>
              <w:jc w:val="both"/>
              <w:rPr>
                <w:rFonts w:ascii="Times New Roman" w:hAnsi="Times New Roman" w:cs="Times New Roman"/>
                <w:color w:val="000000"/>
                <w:sz w:val="24"/>
                <w:szCs w:val="24"/>
              </w:rPr>
            </w:pPr>
          </w:p>
          <w:p w:rsidR="00E52B95" w:rsidRPr="00E52B95" w:rsidRDefault="00E52B95" w:rsidP="00E52B95">
            <w:pPr>
              <w:spacing w:line="360" w:lineRule="auto"/>
              <w:jc w:val="both"/>
              <w:rPr>
                <w:rFonts w:ascii="Times New Roman" w:hAnsi="Times New Roman" w:cs="Times New Roman"/>
                <w:color w:val="000000"/>
                <w:sz w:val="24"/>
                <w:szCs w:val="24"/>
              </w:rPr>
            </w:pPr>
          </w:p>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    _</w:t>
            </w:r>
          </w:p>
        </w:tc>
        <w:tc>
          <w:tcPr>
            <w:tcW w:w="2268" w:type="dxa"/>
          </w:tcPr>
          <w:p w:rsidR="00E52B95" w:rsidRPr="00E52B95" w:rsidRDefault="00E52B95" w:rsidP="00E52B95">
            <w:pPr>
              <w:spacing w:line="360" w:lineRule="auto"/>
              <w:jc w:val="both"/>
              <w:rPr>
                <w:rFonts w:ascii="Times New Roman" w:eastAsia="Times New Roman" w:hAnsi="Times New Roman" w:cs="Times New Roman"/>
                <w:color w:val="000000"/>
                <w:sz w:val="24"/>
                <w:szCs w:val="24"/>
                <w:lang w:eastAsia="en-IN" w:bidi="ar-SA"/>
              </w:rPr>
            </w:pPr>
            <w:r w:rsidRPr="00E52B95">
              <w:rPr>
                <w:rFonts w:ascii="Times New Roman" w:eastAsia="Times New Roman" w:hAnsi="Times New Roman" w:cs="Times New Roman"/>
                <w:color w:val="000000"/>
                <w:sz w:val="24"/>
                <w:szCs w:val="24"/>
                <w:lang w:eastAsia="en-IN" w:bidi="ar-SA"/>
              </w:rPr>
              <w:t>Highly prized for its fragrant, showy white flowers, widely grown in gardens and as a cut flower. Often termed 'ginger lily' or 'butterfly ginger'</w:t>
            </w:r>
          </w:p>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eastAsia="Times New Roman" w:hAnsi="Times New Roman" w:cs="Times New Roman"/>
                <w:color w:val="000000"/>
                <w:sz w:val="24"/>
                <w:szCs w:val="24"/>
                <w:lang w:eastAsia="en-IN" w:bidi="ar-SA"/>
              </w:rPr>
              <w:t>The essential oil is a valuable component in high-end floral perfumes due to its sweet fragrance</w:t>
            </w:r>
          </w:p>
        </w:tc>
        <w:tc>
          <w:tcPr>
            <w:tcW w:w="3261"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The global </w:t>
            </w:r>
            <w:r w:rsidRPr="00E52B95">
              <w:rPr>
                <w:rFonts w:ascii="Times New Roman" w:hAnsi="Times New Roman" w:cs="Times New Roman"/>
                <w:i/>
                <w:iCs/>
                <w:color w:val="000000"/>
                <w:sz w:val="24"/>
                <w:szCs w:val="24"/>
              </w:rPr>
              <w:t>Hedychium</w:t>
            </w:r>
            <w:r w:rsidRPr="00E52B95">
              <w:rPr>
                <w:rFonts w:ascii="Times New Roman" w:hAnsi="Times New Roman" w:cs="Times New Roman"/>
                <w:color w:val="000000"/>
                <w:sz w:val="24"/>
                <w:szCs w:val="24"/>
              </w:rPr>
              <w:t xml:space="preserve"> market is primarily driven by its high demand in the ornamental, perfumery, and traditional medicine industries</w:t>
            </w:r>
          </w:p>
        </w:tc>
        <w:tc>
          <w:tcPr>
            <w:tcW w:w="1842"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(Sakhanokho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.,2019)</w:t>
            </w:r>
          </w:p>
        </w:tc>
      </w:tr>
    </w:tbl>
    <w:p w:rsidR="00E52B95" w:rsidRPr="00E52B95" w:rsidRDefault="00E52B95" w:rsidP="00E52B95">
      <w:pPr>
        <w:pStyle w:val="NormalWeb"/>
        <w:spacing w:line="360" w:lineRule="auto"/>
        <w:jc w:val="both"/>
        <w:rPr>
          <w:b/>
          <w:color w:val="000000"/>
          <w:shd w:val="clear" w:color="auto" w:fill="FFFFFF"/>
        </w:rPr>
      </w:pPr>
      <w:r w:rsidRPr="00E52B95">
        <w:rPr>
          <w:b/>
          <w:color w:val="000000"/>
          <w:shd w:val="clear" w:color="auto" w:fill="FFFFFF"/>
        </w:rPr>
        <w:t xml:space="preserve">8. Family </w:t>
      </w:r>
      <w:r w:rsidRPr="00E52B95">
        <w:rPr>
          <w:b/>
          <w:i/>
          <w:color w:val="000000"/>
          <w:shd w:val="clear" w:color="auto" w:fill="FFFFFF"/>
        </w:rPr>
        <w:t xml:space="preserve">Zingiberaceae </w:t>
      </w:r>
      <w:r w:rsidRPr="00E52B95">
        <w:rPr>
          <w:b/>
          <w:color w:val="000000"/>
          <w:shd w:val="clear" w:color="auto" w:fill="FFFFFF"/>
        </w:rPr>
        <w:t xml:space="preserve">in treatment of Covid Scenario </w:t>
      </w:r>
    </w:p>
    <w:p w:rsidR="00E52B95" w:rsidRPr="00E52B95" w:rsidRDefault="00E52B95" w:rsidP="00E52B95">
      <w:pPr>
        <w:spacing w:line="360" w:lineRule="auto"/>
        <w:jc w:val="both"/>
        <w:rPr>
          <w:rFonts w:ascii="Times New Roman" w:eastAsia="Times New Roman" w:hAnsi="Times New Roman" w:cs="Times New Roman"/>
          <w:color w:val="000000"/>
          <w:sz w:val="24"/>
          <w:szCs w:val="24"/>
          <w:lang w:eastAsia="en-IN" w:bidi="ar-SA"/>
        </w:rPr>
      </w:pPr>
      <w:r w:rsidRPr="00E52B95">
        <w:rPr>
          <w:rStyle w:val="citation-109"/>
          <w:rFonts w:ascii="Times New Roman" w:hAnsi="Times New Roman" w:cs="Times New Roman"/>
          <w:color w:val="000000"/>
          <w:sz w:val="24"/>
          <w:szCs w:val="24"/>
        </w:rPr>
        <w:t xml:space="preserve">Human Coronavirus OC43 (HCoV-OC43) is a common, </w:t>
      </w:r>
      <w:r w:rsidRPr="00E52B95">
        <w:rPr>
          <w:rStyle w:val="citation-109"/>
          <w:rFonts w:ascii="Times New Roman" w:hAnsi="Times New Roman" w:cs="Times New Roman"/>
          <w:bCs/>
          <w:color w:val="000000"/>
          <w:sz w:val="24"/>
          <w:szCs w:val="24"/>
        </w:rPr>
        <w:t>endemic Beta coronavirus</w:t>
      </w:r>
      <w:r w:rsidRPr="00E52B95">
        <w:rPr>
          <w:rStyle w:val="citation-109"/>
          <w:rFonts w:ascii="Times New Roman" w:hAnsi="Times New Roman" w:cs="Times New Roman"/>
          <w:color w:val="000000"/>
          <w:sz w:val="24"/>
          <w:szCs w:val="24"/>
        </w:rPr>
        <w:t xml:space="preserve"> that typically causes </w:t>
      </w:r>
      <w:r w:rsidRPr="00E52B95">
        <w:rPr>
          <w:rStyle w:val="citation-109"/>
          <w:rFonts w:ascii="Times New Roman" w:hAnsi="Times New Roman" w:cs="Times New Roman"/>
          <w:bCs/>
          <w:color w:val="000000"/>
          <w:sz w:val="24"/>
          <w:szCs w:val="24"/>
        </w:rPr>
        <w:t>mild, cold-like symptoms</w:t>
      </w:r>
      <w:r w:rsidRPr="00E52B95">
        <w:rPr>
          <w:rStyle w:val="citation-109"/>
          <w:rFonts w:ascii="Times New Roman" w:hAnsi="Times New Roman" w:cs="Times New Roman"/>
          <w:color w:val="000000"/>
          <w:sz w:val="24"/>
          <w:szCs w:val="24"/>
        </w:rPr>
        <w:t>.</w:t>
      </w:r>
      <w:r w:rsidRPr="00E52B95">
        <w:rPr>
          <w:rFonts w:ascii="Times New Roman" w:hAnsi="Times New Roman" w:cs="Times New Roman"/>
          <w:color w:val="000000"/>
          <w:sz w:val="24"/>
          <w:szCs w:val="24"/>
        </w:rPr>
        <w:t xml:space="preserve"> However, it can lead to </w:t>
      </w:r>
      <w:r w:rsidRPr="00E52B95">
        <w:rPr>
          <w:rFonts w:ascii="Times New Roman" w:hAnsi="Times New Roman" w:cs="Times New Roman"/>
          <w:bCs/>
          <w:color w:val="000000"/>
          <w:sz w:val="24"/>
          <w:szCs w:val="24"/>
        </w:rPr>
        <w:t>severe lower respiratory tract infections</w:t>
      </w:r>
      <w:r w:rsidRPr="00E52B95">
        <w:rPr>
          <w:rFonts w:ascii="Times New Roman" w:hAnsi="Times New Roman" w:cs="Times New Roman"/>
          <w:color w:val="000000"/>
          <w:sz w:val="24"/>
          <w:szCs w:val="24"/>
        </w:rPr>
        <w:t xml:space="preserve"> in vulnerable individuals, such as infants and those with weakened immune </w:t>
      </w:r>
      <w:r w:rsidRPr="00E52B95">
        <w:rPr>
          <w:rFonts w:ascii="Times New Roman" w:hAnsi="Times New Roman" w:cs="Times New Roman"/>
          <w:color w:val="000000"/>
          <w:sz w:val="24"/>
          <w:szCs w:val="24"/>
        </w:rPr>
        <w:lastRenderedPageBreak/>
        <w:t xml:space="preserve">systems. </w:t>
      </w:r>
      <w:r w:rsidRPr="00E52B95">
        <w:rPr>
          <w:rStyle w:val="citation-108"/>
          <w:rFonts w:ascii="Times New Roman" w:hAnsi="Times New Roman" w:cs="Times New Roman"/>
          <w:color w:val="000000"/>
          <w:sz w:val="24"/>
          <w:szCs w:val="24"/>
        </w:rPr>
        <w:t xml:space="preserve">Recently, HCoV-OC43 has gained renewed scientific interest due to its </w:t>
      </w:r>
      <w:r w:rsidRPr="00E52B95">
        <w:rPr>
          <w:rStyle w:val="citation-108"/>
          <w:rFonts w:ascii="Times New Roman" w:hAnsi="Times New Roman" w:cs="Times New Roman"/>
          <w:bCs/>
          <w:color w:val="000000"/>
          <w:sz w:val="24"/>
          <w:szCs w:val="24"/>
        </w:rPr>
        <w:t>similarities with SARS-CoV-2</w:t>
      </w:r>
      <w:r w:rsidRPr="00E52B95">
        <w:rPr>
          <w:rStyle w:val="citation-108"/>
          <w:rFonts w:ascii="Times New Roman" w:hAnsi="Times New Roman" w:cs="Times New Roman"/>
          <w:color w:val="000000"/>
          <w:sz w:val="24"/>
          <w:szCs w:val="24"/>
        </w:rPr>
        <w:t xml:space="preserve">, the virus responsible for the COVID-19 pandemic. </w:t>
      </w:r>
      <w:r w:rsidRPr="00E52B95">
        <w:rPr>
          <w:rStyle w:val="citation-107"/>
          <w:rFonts w:ascii="Times New Roman" w:hAnsi="Times New Roman" w:cs="Times New Roman"/>
          <w:color w:val="000000"/>
          <w:sz w:val="24"/>
          <w:szCs w:val="24"/>
        </w:rPr>
        <w:t xml:space="preserve">Because of these resemblances, HCoV-OC43 is now frequently used as an </w:t>
      </w:r>
      <w:r w:rsidRPr="00E52B95">
        <w:rPr>
          <w:rStyle w:val="citation-107"/>
          <w:rFonts w:ascii="Times New Roman" w:hAnsi="Times New Roman" w:cs="Times New Roman"/>
          <w:bCs/>
          <w:iCs/>
          <w:color w:val="000000"/>
          <w:sz w:val="24"/>
          <w:szCs w:val="24"/>
        </w:rPr>
        <w:t>in vitro</w:t>
      </w:r>
      <w:r w:rsidRPr="00E52B95">
        <w:rPr>
          <w:rStyle w:val="citation-107"/>
          <w:rFonts w:ascii="Times New Roman" w:hAnsi="Times New Roman" w:cs="Times New Roman"/>
          <w:bCs/>
          <w:color w:val="000000"/>
          <w:sz w:val="24"/>
          <w:szCs w:val="24"/>
        </w:rPr>
        <w:t xml:space="preserve"> model to test potential antiviral drugs for SARS-CoV-2 </w:t>
      </w:r>
      <w:bookmarkStart w:id="3" w:name="_Hlk207291606"/>
      <w:r w:rsidRPr="00E52B95">
        <w:rPr>
          <w:rStyle w:val="citation-107"/>
          <w:rFonts w:ascii="Times New Roman" w:hAnsi="Times New Roman" w:cs="Times New Roman"/>
          <w:bCs/>
          <w:color w:val="000000"/>
          <w:sz w:val="24"/>
          <w:szCs w:val="24"/>
        </w:rPr>
        <w:t>(</w:t>
      </w:r>
      <w:r w:rsidRPr="00E52B95">
        <w:rPr>
          <w:rFonts w:ascii="Times New Roman" w:hAnsi="Times New Roman" w:cs="Times New Roman"/>
          <w:color w:val="000000"/>
          <w:sz w:val="24"/>
          <w:szCs w:val="24"/>
          <w:shd w:val="clear" w:color="auto" w:fill="FFFFFF"/>
        </w:rPr>
        <w:t xml:space="preserve">Kesheh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2022)</w:t>
      </w:r>
      <w:bookmarkEnd w:id="3"/>
      <w:r w:rsidRPr="00E52B95">
        <w:rPr>
          <w:rStyle w:val="citation-107"/>
          <w:rFonts w:ascii="Times New Roman" w:hAnsi="Times New Roman" w:cs="Times New Roman"/>
          <w:color w:val="000000"/>
          <w:sz w:val="24"/>
          <w:szCs w:val="24"/>
        </w:rPr>
        <w:t>.</w:t>
      </w:r>
      <w:r w:rsidRPr="00E52B95">
        <w:rPr>
          <w:rFonts w:ascii="Times New Roman" w:hAnsi="Times New Roman" w:cs="Times New Roman"/>
          <w:color w:val="000000"/>
          <w:sz w:val="24"/>
          <w:szCs w:val="24"/>
        </w:rPr>
        <w:t xml:space="preserve"> Notably, antiviral medications effective against SARS-CoV-2 have also demonstrated efficacy against HCoV-</w:t>
      </w:r>
      <w:bookmarkStart w:id="4" w:name="_Hlk207560060"/>
      <w:r w:rsidRPr="00E52B95">
        <w:rPr>
          <w:rFonts w:ascii="Times New Roman" w:hAnsi="Times New Roman" w:cs="Times New Roman"/>
          <w:color w:val="000000"/>
          <w:sz w:val="24"/>
          <w:szCs w:val="24"/>
        </w:rPr>
        <w:t>OC43 (</w:t>
      </w:r>
      <w:r w:rsidRPr="00E52B95">
        <w:rPr>
          <w:rFonts w:ascii="Times New Roman" w:hAnsi="Times New Roman" w:cs="Times New Roman"/>
          <w:color w:val="000000"/>
          <w:sz w:val="24"/>
          <w:szCs w:val="24"/>
          <w:shd w:val="clear" w:color="auto" w:fill="FFFFFF"/>
        </w:rPr>
        <w:t xml:space="preserve">Kim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2023; Pichetpongtorn., 2025).</w:t>
      </w:r>
      <w:bookmarkEnd w:id="4"/>
      <w:r w:rsidRPr="00E52B95">
        <w:rPr>
          <w:rFonts w:ascii="Times New Roman" w:hAnsi="Times New Roman" w:cs="Times New Roman"/>
          <w:color w:val="000000"/>
          <w:sz w:val="24"/>
          <w:szCs w:val="24"/>
        </w:rPr>
        <w:t xml:space="preserve"> </w:t>
      </w:r>
      <w:r w:rsidRPr="00E52B95">
        <w:rPr>
          <w:rFonts w:ascii="Times New Roman" w:eastAsia="Times New Roman" w:hAnsi="Times New Roman" w:cs="Times New Roman"/>
          <w:color w:val="000000"/>
          <w:sz w:val="24"/>
          <w:szCs w:val="24"/>
          <w:lang w:eastAsia="en-IN" w:bidi="ar-SA"/>
        </w:rPr>
        <w:t xml:space="preserve">Compounds from ginger and turmeric have the potential to be effective anti-SARS-CoV-2 medicines because they target important viral proteins and host receptors. Some of the compounds that are present in ginger, such as 6-gingerol, 8-gingerol and 10-gingerol, have an affinity to viral proteases such as PLpro and the main protease which blocks viral replication, with 4-gingerol has the lowest binding energy against the main protease. The ginger derived terpene sesquiphellandrene is able to block viral infection of host cells by covalently binding with the spike protein and preventing its interaction with the ACE2 receptor. The main bioactive compound of turmeric is curcumin, which is also able to exert antiviral effects by direct binding to the S glycoprotein. . A multifaceted mode of action against the virus is indicated by the 10 chemicals found in a network pharmacology study on turmeric, </w:t>
      </w:r>
      <w:r w:rsidR="002668C1">
        <w:rPr>
          <w:rFonts w:ascii="Times New Roman" w:eastAsia="Times New Roman" w:hAnsi="Times New Roman" w:cs="Times New Roman"/>
          <w:color w:val="000000"/>
          <w:sz w:val="24"/>
          <w:szCs w:val="24"/>
          <w:lang w:eastAsia="en-IN" w:bidi="ar-SA"/>
        </w:rPr>
        <w:t xml:space="preserve">including curcumin, turmeronol </w:t>
      </w:r>
      <w:r w:rsidRPr="00E52B95">
        <w:rPr>
          <w:rFonts w:ascii="Times New Roman" w:eastAsia="Times New Roman" w:hAnsi="Times New Roman" w:cs="Times New Roman"/>
          <w:color w:val="000000"/>
          <w:sz w:val="24"/>
          <w:szCs w:val="24"/>
          <w:lang w:eastAsia="en-IN" w:bidi="ar-SA"/>
        </w:rPr>
        <w:t>and quercetin, which target important host proteins like EGFR, TLR4, IFNG, and AGTR2 (</w:t>
      </w:r>
      <w:r w:rsidRPr="00E52B95">
        <w:rPr>
          <w:rFonts w:ascii="Times New Roman" w:hAnsi="Times New Roman" w:cs="Times New Roman"/>
          <w:color w:val="000000"/>
          <w:sz w:val="24"/>
          <w:szCs w:val="24"/>
          <w:shd w:val="clear" w:color="auto" w:fill="FFFFFF"/>
        </w:rPr>
        <w:t xml:space="preserve">Sheikh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.,2023).</w:t>
      </w:r>
      <w:r w:rsidRPr="00E52B95">
        <w:rPr>
          <w:rFonts w:ascii="Times New Roman" w:hAnsi="Times New Roman" w:cs="Times New Roman"/>
          <w:color w:val="000000"/>
          <w:sz w:val="24"/>
          <w:szCs w:val="24"/>
        </w:rPr>
        <w:t xml:space="preserve"> </w:t>
      </w:r>
      <w:r w:rsidRPr="00E52B95">
        <w:rPr>
          <w:rFonts w:ascii="Times New Roman" w:eastAsia="Times New Roman" w:hAnsi="Times New Roman" w:cs="Times New Roman"/>
          <w:i/>
          <w:color w:val="000000"/>
          <w:sz w:val="24"/>
          <w:szCs w:val="24"/>
          <w:lang w:eastAsia="en-IN" w:bidi="ar-SA"/>
        </w:rPr>
        <w:t>Alpinia</w:t>
      </w:r>
      <w:r w:rsidR="0096160A">
        <w:rPr>
          <w:rFonts w:ascii="Times New Roman" w:eastAsia="Times New Roman" w:hAnsi="Times New Roman" w:cs="Times New Roman"/>
          <w:i/>
          <w:color w:val="000000"/>
          <w:sz w:val="24"/>
          <w:szCs w:val="24"/>
          <w:lang w:eastAsia="en-IN" w:bidi="ar-SA"/>
        </w:rPr>
        <w:t xml:space="preserve"> </w:t>
      </w:r>
      <w:r w:rsidRPr="00E52B95">
        <w:rPr>
          <w:rFonts w:ascii="Times New Roman" w:eastAsia="Times New Roman" w:hAnsi="Times New Roman" w:cs="Times New Roman"/>
          <w:i/>
          <w:color w:val="000000"/>
          <w:sz w:val="24"/>
          <w:szCs w:val="24"/>
          <w:lang w:eastAsia="en-IN" w:bidi="ar-SA"/>
        </w:rPr>
        <w:t>officinarum</w:t>
      </w:r>
      <w:r w:rsidRPr="00E52B95">
        <w:rPr>
          <w:rFonts w:ascii="Times New Roman" w:eastAsia="Times New Roman" w:hAnsi="Times New Roman" w:cs="Times New Roman"/>
          <w:color w:val="000000"/>
          <w:sz w:val="24"/>
          <w:szCs w:val="24"/>
          <w:lang w:eastAsia="en-IN" w:bidi="ar-SA"/>
        </w:rPr>
        <w:t xml:space="preserve"> is a common herbal remedy that is indigenous to Asia and belongs to the </w:t>
      </w:r>
      <w:r w:rsidRPr="00E52B95">
        <w:rPr>
          <w:rFonts w:ascii="Times New Roman" w:eastAsia="Times New Roman" w:hAnsi="Times New Roman" w:cs="Times New Roman"/>
          <w:i/>
          <w:color w:val="000000"/>
          <w:sz w:val="24"/>
          <w:szCs w:val="24"/>
          <w:lang w:eastAsia="en-IN" w:bidi="ar-SA"/>
        </w:rPr>
        <w:t xml:space="preserve">Zingiberaceae </w:t>
      </w:r>
      <w:r w:rsidRPr="00E52B95">
        <w:rPr>
          <w:rFonts w:ascii="Times New Roman" w:eastAsia="Times New Roman" w:hAnsi="Times New Roman" w:cs="Times New Roman"/>
          <w:color w:val="000000"/>
          <w:sz w:val="24"/>
          <w:szCs w:val="24"/>
          <w:lang w:eastAsia="en-IN" w:bidi="ar-SA"/>
        </w:rPr>
        <w:t>family. Along with flavonoids and volatile oils, its primary constituents, diarylheptanoids, have shown a range of pharmacological characteristics, including antiviral actions. A variety of viruses, including as influenza, measles, and herpes simplex, can be inhibited by the plant's diarylheptanoids, which also have antiviral properties, according to earlier research. These compounds have been shown in more recent studies to be effective in vitro against different influenza virus strains and to have protective benefits in a mouse model of influenza by dose-dependently reducing viral RNA and antigen expression.</w:t>
      </w:r>
      <w:r w:rsidRPr="00E52B95">
        <w:rPr>
          <w:rFonts w:ascii="Times New Roman" w:hAnsi="Times New Roman" w:cs="Times New Roman"/>
          <w:color w:val="000000"/>
          <w:sz w:val="24"/>
          <w:szCs w:val="24"/>
        </w:rPr>
        <w:t xml:space="preserve"> </w:t>
      </w:r>
      <w:r w:rsidRPr="00E52B95">
        <w:rPr>
          <w:rFonts w:ascii="Times New Roman" w:eastAsia="Times New Roman" w:hAnsi="Times New Roman" w:cs="Times New Roman"/>
          <w:color w:val="000000"/>
          <w:sz w:val="24"/>
          <w:szCs w:val="24"/>
          <w:lang w:eastAsia="en-IN" w:bidi="ar-SA"/>
        </w:rPr>
        <w:t xml:space="preserve">Furthermore, by blocking the NF-kB pathway and lowering inflammatory markers such as MCP-1 and VCAM-1 in lung tissue, another important compound, galangin, shows notable anti-inflammatory effects. These characteristics imply that </w:t>
      </w:r>
      <w:r w:rsidRPr="00E52B95">
        <w:rPr>
          <w:rFonts w:ascii="Times New Roman" w:eastAsia="Times New Roman" w:hAnsi="Times New Roman" w:cs="Times New Roman"/>
          <w:i/>
          <w:color w:val="000000"/>
          <w:sz w:val="24"/>
          <w:szCs w:val="24"/>
          <w:lang w:eastAsia="en-IN" w:bidi="ar-SA"/>
        </w:rPr>
        <w:t>Alpinia</w:t>
      </w:r>
      <w:r w:rsidR="0096160A">
        <w:rPr>
          <w:rFonts w:ascii="Times New Roman" w:eastAsia="Times New Roman" w:hAnsi="Times New Roman" w:cs="Times New Roman"/>
          <w:i/>
          <w:color w:val="000000"/>
          <w:sz w:val="24"/>
          <w:szCs w:val="24"/>
          <w:lang w:eastAsia="en-IN" w:bidi="ar-SA"/>
        </w:rPr>
        <w:t xml:space="preserve"> </w:t>
      </w:r>
      <w:r w:rsidRPr="002668C1">
        <w:rPr>
          <w:rFonts w:ascii="Times New Roman" w:eastAsia="Times New Roman" w:hAnsi="Times New Roman" w:cs="Times New Roman"/>
          <w:i/>
          <w:color w:val="000000"/>
          <w:sz w:val="24"/>
          <w:szCs w:val="24"/>
          <w:lang w:eastAsia="en-IN" w:bidi="ar-SA"/>
        </w:rPr>
        <w:t xml:space="preserve">officinarum </w:t>
      </w:r>
      <w:r w:rsidRPr="00E52B95">
        <w:rPr>
          <w:rFonts w:ascii="Times New Roman" w:eastAsia="Times New Roman" w:hAnsi="Times New Roman" w:cs="Times New Roman"/>
          <w:color w:val="000000"/>
          <w:sz w:val="24"/>
          <w:szCs w:val="24"/>
          <w:lang w:eastAsia="en-IN" w:bidi="ar-SA"/>
        </w:rPr>
        <w:t>may have both direct antiviral and protective effects on important organs, which may make it relevant for conditions like SARS-CoV-2 infection</w:t>
      </w:r>
      <w:r w:rsidRPr="00E52B95">
        <w:rPr>
          <w:rFonts w:ascii="Times New Roman" w:hAnsi="Times New Roman" w:cs="Times New Roman"/>
          <w:color w:val="000000"/>
          <w:sz w:val="24"/>
          <w:szCs w:val="24"/>
          <w:shd w:val="clear" w:color="auto" w:fill="FFFFFF"/>
        </w:rPr>
        <w:t xml:space="preserve"> (Widoyo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2023).</w:t>
      </w:r>
      <w:r w:rsidRPr="00E52B95">
        <w:rPr>
          <w:rFonts w:ascii="Times New Roman" w:hAnsi="Times New Roman" w:cs="Times New Roman"/>
          <w:color w:val="000000"/>
          <w:sz w:val="24"/>
          <w:szCs w:val="24"/>
        </w:rPr>
        <w:t xml:space="preserve"> </w:t>
      </w:r>
      <w:r w:rsidRPr="00E52B95">
        <w:rPr>
          <w:rFonts w:ascii="Times New Roman" w:eastAsia="Times New Roman" w:hAnsi="Times New Roman" w:cs="Times New Roman"/>
          <w:color w:val="000000"/>
          <w:sz w:val="24"/>
          <w:szCs w:val="24"/>
          <w:lang w:eastAsia="en-IN" w:bidi="ar-SA"/>
        </w:rPr>
        <w:t>Targeting important viral proteins and host receptors, a number of bioactive compounds from turmeric (</w:t>
      </w:r>
      <w:r w:rsidRPr="00E52B95">
        <w:rPr>
          <w:rFonts w:ascii="Times New Roman" w:eastAsia="Times New Roman" w:hAnsi="Times New Roman" w:cs="Times New Roman"/>
          <w:i/>
          <w:color w:val="000000"/>
          <w:sz w:val="24"/>
          <w:szCs w:val="24"/>
          <w:lang w:eastAsia="en-IN" w:bidi="ar-SA"/>
        </w:rPr>
        <w:t>Curcuma zedoaria</w:t>
      </w:r>
      <w:r w:rsidRPr="00E52B95">
        <w:rPr>
          <w:rFonts w:ascii="Times New Roman" w:eastAsia="Times New Roman" w:hAnsi="Times New Roman" w:cs="Times New Roman"/>
          <w:color w:val="000000"/>
          <w:sz w:val="24"/>
          <w:szCs w:val="24"/>
          <w:lang w:eastAsia="en-IN" w:bidi="ar-SA"/>
        </w:rPr>
        <w:t>), ginger (</w:t>
      </w:r>
      <w:r w:rsidR="0096160A" w:rsidRPr="00E52B95">
        <w:rPr>
          <w:rFonts w:ascii="Times New Roman" w:eastAsia="Times New Roman" w:hAnsi="Times New Roman" w:cs="Times New Roman"/>
          <w:i/>
          <w:color w:val="000000"/>
          <w:sz w:val="24"/>
          <w:szCs w:val="24"/>
          <w:lang w:eastAsia="en-IN" w:bidi="ar-SA"/>
        </w:rPr>
        <w:t>Zingiber officinale)</w:t>
      </w:r>
      <w:r w:rsidR="00F97818">
        <w:rPr>
          <w:rFonts w:ascii="Times New Roman" w:eastAsia="Times New Roman" w:hAnsi="Times New Roman" w:cs="Times New Roman"/>
          <w:color w:val="000000"/>
          <w:sz w:val="24"/>
          <w:szCs w:val="24"/>
          <w:lang w:eastAsia="en-IN" w:bidi="ar-SA"/>
        </w:rPr>
        <w:t xml:space="preserve"> </w:t>
      </w:r>
      <w:r w:rsidRPr="00E52B95">
        <w:rPr>
          <w:rFonts w:ascii="Times New Roman" w:eastAsia="Times New Roman" w:hAnsi="Times New Roman" w:cs="Times New Roman"/>
          <w:color w:val="000000"/>
          <w:sz w:val="24"/>
          <w:szCs w:val="24"/>
          <w:lang w:eastAsia="en-IN" w:bidi="ar-SA"/>
        </w:rPr>
        <w:t xml:space="preserve">and </w:t>
      </w:r>
      <w:r w:rsidRPr="00E52B95">
        <w:rPr>
          <w:rFonts w:ascii="Times New Roman" w:eastAsia="Times New Roman" w:hAnsi="Times New Roman" w:cs="Times New Roman"/>
          <w:i/>
          <w:color w:val="000000"/>
          <w:sz w:val="24"/>
          <w:szCs w:val="24"/>
          <w:lang w:eastAsia="en-IN" w:bidi="ar-SA"/>
        </w:rPr>
        <w:t>Kaempferia rotunda</w:t>
      </w:r>
      <w:r w:rsidRPr="00E52B95">
        <w:rPr>
          <w:rFonts w:ascii="Times New Roman" w:eastAsia="Times New Roman" w:hAnsi="Times New Roman" w:cs="Times New Roman"/>
          <w:color w:val="000000"/>
          <w:sz w:val="24"/>
          <w:szCs w:val="24"/>
          <w:lang w:eastAsia="en-IN" w:bidi="ar-SA"/>
        </w:rPr>
        <w:t xml:space="preserve"> show promise as COVID-19</w:t>
      </w:r>
      <w:r w:rsidR="00F97818">
        <w:rPr>
          <w:rFonts w:ascii="Times New Roman" w:eastAsia="Times New Roman" w:hAnsi="Times New Roman" w:cs="Times New Roman"/>
          <w:color w:val="000000"/>
          <w:sz w:val="24"/>
          <w:szCs w:val="24"/>
          <w:lang w:eastAsia="en-IN" w:bidi="ar-SA"/>
        </w:rPr>
        <w:t xml:space="preserve"> therapies. Shogaol, zingerone </w:t>
      </w:r>
      <w:r w:rsidRPr="00E52B95">
        <w:rPr>
          <w:rFonts w:ascii="Times New Roman" w:eastAsia="Times New Roman" w:hAnsi="Times New Roman" w:cs="Times New Roman"/>
          <w:color w:val="000000"/>
          <w:sz w:val="24"/>
          <w:szCs w:val="24"/>
          <w:lang w:eastAsia="en-IN" w:bidi="ar-SA"/>
        </w:rPr>
        <w:t xml:space="preserve">and chalcone from these plants bind to and block the ACE2 receptor and the RNA-dependent RNA polymerase (RdRP), which are essential for viral entry and replication, according to molecular docking studies. When complex </w:t>
      </w:r>
      <w:r w:rsidRPr="00E52B95">
        <w:rPr>
          <w:rFonts w:ascii="Times New Roman" w:eastAsia="Times New Roman" w:hAnsi="Times New Roman" w:cs="Times New Roman"/>
          <w:color w:val="000000"/>
          <w:sz w:val="24"/>
          <w:szCs w:val="24"/>
          <w:lang w:eastAsia="en-IN" w:bidi="ar-SA"/>
        </w:rPr>
        <w:lastRenderedPageBreak/>
        <w:t>proteins, such as ACE2-shogaol-RdRP complex, were formed, the binding energies were much lower than when the compounds bound to either protein alone. This suggests that there is a strong, stabilizing relationship that may effectively prevent viral activity. Turmeric compounds su</w:t>
      </w:r>
      <w:r w:rsidR="00F97818">
        <w:rPr>
          <w:rFonts w:ascii="Times New Roman" w:eastAsia="Times New Roman" w:hAnsi="Times New Roman" w:cs="Times New Roman"/>
          <w:color w:val="000000"/>
          <w:sz w:val="24"/>
          <w:szCs w:val="24"/>
          <w:lang w:eastAsia="en-IN" w:bidi="ar-SA"/>
        </w:rPr>
        <w:t>ch as ar-turmerone, curcuminoid</w:t>
      </w:r>
      <w:r w:rsidRPr="00E52B95">
        <w:rPr>
          <w:rFonts w:ascii="Times New Roman" w:eastAsia="Times New Roman" w:hAnsi="Times New Roman" w:cs="Times New Roman"/>
          <w:color w:val="000000"/>
          <w:sz w:val="24"/>
          <w:szCs w:val="24"/>
          <w:lang w:eastAsia="en-IN" w:bidi="ar-SA"/>
        </w:rPr>
        <w:t xml:space="preserve"> and bisdemethoxycurcumin also shown this stabilizing action; in particular, curcuminoid and bisdemethoxycurcuminoid demonstrated the capacity to block RdRP. Hydrophobic interactions account for the majority of the strong binding affinity, although hydrogen bonds also play a big part in the chemicals found in turmeric. These results collectively imply that these natural substances may be able to successfully interfere with the ACE2-RdRP complex, providing a viable means of stopping SARS-CoV-2 infection and replication </w:t>
      </w:r>
      <w:r w:rsidRPr="00E52B95">
        <w:rPr>
          <w:rFonts w:ascii="Times New Roman" w:hAnsi="Times New Roman" w:cs="Times New Roman"/>
          <w:color w:val="000000"/>
          <w:sz w:val="24"/>
          <w:szCs w:val="24"/>
          <w:shd w:val="clear" w:color="auto" w:fill="FFFFFF"/>
        </w:rPr>
        <w:t xml:space="preserve">(Afrida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w:t>
      </w:r>
      <w:r w:rsidR="0096160A" w:rsidRPr="00E52B95">
        <w:rPr>
          <w:rFonts w:ascii="Times New Roman" w:hAnsi="Times New Roman" w:cs="Times New Roman"/>
          <w:color w:val="000000"/>
          <w:sz w:val="24"/>
          <w:szCs w:val="24"/>
          <w:shd w:val="clear" w:color="auto" w:fill="FFFFFF"/>
        </w:rPr>
        <w:t>, 2021</w:t>
      </w:r>
      <w:r w:rsidRPr="00E52B95">
        <w:rPr>
          <w:rFonts w:ascii="Times New Roman" w:hAnsi="Times New Roman" w:cs="Times New Roman"/>
          <w:color w:val="000000"/>
          <w:sz w:val="24"/>
          <w:szCs w:val="24"/>
          <w:shd w:val="clear" w:color="auto" w:fill="FFFFFF"/>
        </w:rPr>
        <w:t>).</w:t>
      </w:r>
      <w:r w:rsidR="0096160A">
        <w:rPr>
          <w:rFonts w:ascii="Times New Roman" w:hAnsi="Times New Roman" w:cs="Times New Roman"/>
          <w:noProof/>
          <w:color w:val="000000"/>
          <w:sz w:val="24"/>
          <w:szCs w:val="24"/>
          <w:shd w:val="clear" w:color="auto" w:fill="FFFFFF"/>
          <w:lang w:eastAsia="en-IN" w:bidi="ar-SA"/>
        </w:rPr>
        <w:t>The potiential of different genera of Family Zingiberaceae in Covid treatment has been shown in the Figure 7.</w:t>
      </w:r>
    </w:p>
    <w:p w:rsidR="00E52B95" w:rsidRPr="00E52B95" w:rsidRDefault="00E52B95" w:rsidP="00E52B95">
      <w:pPr>
        <w:spacing w:line="360" w:lineRule="auto"/>
        <w:jc w:val="both"/>
        <w:rPr>
          <w:rFonts w:ascii="Times New Roman" w:eastAsia="Times New Roman" w:hAnsi="Times New Roman" w:cs="Times New Roman"/>
          <w:b/>
          <w:bCs/>
          <w:color w:val="000000"/>
          <w:sz w:val="24"/>
          <w:szCs w:val="24"/>
          <w:lang w:eastAsia="en-IN" w:bidi="ar-SA"/>
        </w:rPr>
      </w:pPr>
      <w:r w:rsidRPr="00E52B95">
        <w:rPr>
          <w:rFonts w:ascii="Times New Roman" w:eastAsia="Times New Roman" w:hAnsi="Times New Roman" w:cs="Times New Roman"/>
          <w:b/>
          <w:bCs/>
          <w:color w:val="000000"/>
          <w:sz w:val="24"/>
          <w:szCs w:val="24"/>
          <w:lang w:eastAsia="en-IN" w:bidi="ar-SA"/>
        </w:rPr>
        <w:t xml:space="preserve">9. SOME IMPORTANT COMPOUNDS OF </w:t>
      </w:r>
      <w:r w:rsidRPr="00E52B95">
        <w:rPr>
          <w:rFonts w:ascii="Times New Roman" w:eastAsia="Times New Roman" w:hAnsi="Times New Roman" w:cs="Times New Roman"/>
          <w:b/>
          <w:bCs/>
          <w:i/>
          <w:color w:val="000000"/>
          <w:sz w:val="24"/>
          <w:szCs w:val="24"/>
          <w:lang w:eastAsia="en-IN" w:bidi="ar-SA"/>
        </w:rPr>
        <w:t xml:space="preserve">ZINGIBERACEAE </w:t>
      </w:r>
      <w:r w:rsidRPr="00E52B95">
        <w:rPr>
          <w:rFonts w:ascii="Times New Roman" w:eastAsia="Times New Roman" w:hAnsi="Times New Roman" w:cs="Times New Roman"/>
          <w:b/>
          <w:bCs/>
          <w:color w:val="000000"/>
          <w:sz w:val="24"/>
          <w:szCs w:val="24"/>
          <w:lang w:eastAsia="en-IN" w:bidi="ar-SA"/>
        </w:rPr>
        <w:t xml:space="preserve">FAMILY AND THEIR MODE OF ACTION </w:t>
      </w:r>
    </w:p>
    <w:p w:rsidR="00E52B95" w:rsidRPr="00E52B95" w:rsidRDefault="00E52B95" w:rsidP="00E52B95">
      <w:pPr>
        <w:spacing w:line="360" w:lineRule="auto"/>
        <w:jc w:val="both"/>
        <w:rPr>
          <w:rFonts w:ascii="Times New Roman" w:hAnsi="Times New Roman" w:cs="Times New Roman"/>
          <w:b/>
          <w:bCs/>
          <w:color w:val="000000"/>
          <w:sz w:val="24"/>
          <w:szCs w:val="24"/>
        </w:rPr>
      </w:pPr>
      <w:r w:rsidRPr="00E52B95">
        <w:rPr>
          <w:rFonts w:ascii="Times New Roman" w:hAnsi="Times New Roman" w:cs="Times New Roman"/>
          <w:b/>
          <w:bCs/>
          <w:color w:val="000000"/>
          <w:sz w:val="24"/>
          <w:szCs w:val="24"/>
        </w:rPr>
        <w:t xml:space="preserve">9.1. Gingerol </w:t>
      </w:r>
    </w:p>
    <w:p w:rsidR="00E52B95" w:rsidRPr="00E52B95" w:rsidRDefault="00E52B95" w:rsidP="00E52B95">
      <w:pPr>
        <w:spacing w:line="360" w:lineRule="auto"/>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rPr>
        <w:t>Gingerol, the primary compound of fresh ginger (23-35%), is responsible for its spicy taste but is susceptible to thermal decomposition. It is known for its strong antioxidant and anti-inflammatory properties, with studies showing it can increase antioxidant enzyme levels and reduce oxidative stress in both humans and animals. Shogaol (18- 25%) is formed from the dehydration of gingerol when ginger is cooked or dried which causes a loss of pungency. It also has antioxidant and anti-inflammatory effects, particularly by activating the Nrf2 pathway to suppress inflammation. Finally, paradol is a derivative of both gingerol and shogaol. It shares similar antioxidant and anti-inflammatory activities, notably by inhibiting key enzymes and cytokines likes COX-2 and TNF-α to prevent cell damage. In essence, while all three contribute to ginger’s health benefits, they differ in their chemical structure and how they are formed, with shogaol being a product of gingerol degradation and paradol being a derivative of both (</w:t>
      </w:r>
      <w:r w:rsidRPr="00E52B95">
        <w:rPr>
          <w:rFonts w:ascii="Times New Roman" w:hAnsi="Times New Roman" w:cs="Times New Roman"/>
          <w:color w:val="000000"/>
          <w:sz w:val="24"/>
          <w:szCs w:val="24"/>
          <w:shd w:val="clear" w:color="auto" w:fill="FFFFFF"/>
        </w:rPr>
        <w:t xml:space="preserve">Ayustaningwarno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2024)</w:t>
      </w:r>
      <w:r w:rsidRPr="00E52B95">
        <w:rPr>
          <w:rFonts w:ascii="Times New Roman" w:hAnsi="Times New Roman" w:cs="Times New Roman"/>
          <w:color w:val="000000"/>
          <w:sz w:val="24"/>
          <w:szCs w:val="24"/>
        </w:rPr>
        <w:t xml:space="preserve">. </w:t>
      </w:r>
      <w:r w:rsidRPr="00E52B95">
        <w:rPr>
          <w:rFonts w:ascii="Times New Roman" w:eastAsia="Times New Roman" w:hAnsi="Times New Roman" w:cs="Times New Roman"/>
          <w:color w:val="000000"/>
          <w:sz w:val="24"/>
          <w:szCs w:val="24"/>
          <w:lang w:eastAsia="en-IN" w:bidi="ar-SA"/>
        </w:rPr>
        <w:t xml:space="preserve">Ginger bioactive such as [6]-, [8]-, [10]-gingerols and [6]-shogaol exhibit antiemetic effects by binding to the 5-HT3 receptor. [6]-Gingerol inhibits proliferation and induces apoptosis in colon cancer cells (SW-480, HCT116) through caspase activation and PARP cleavage (Radhakrishnan </w:t>
      </w:r>
      <w:r w:rsidRPr="00E52B95">
        <w:rPr>
          <w:rFonts w:ascii="Times New Roman" w:eastAsia="Times New Roman" w:hAnsi="Times New Roman" w:cs="Times New Roman"/>
          <w:i/>
          <w:color w:val="000000"/>
          <w:sz w:val="24"/>
          <w:szCs w:val="24"/>
          <w:lang w:eastAsia="en-IN" w:bidi="ar-SA"/>
        </w:rPr>
        <w:t>et al</w:t>
      </w:r>
      <w:r w:rsidRPr="00E52B95">
        <w:rPr>
          <w:rFonts w:ascii="Times New Roman" w:eastAsia="Times New Roman" w:hAnsi="Times New Roman" w:cs="Times New Roman"/>
          <w:color w:val="000000"/>
          <w:sz w:val="24"/>
          <w:szCs w:val="24"/>
          <w:lang w:eastAsia="en-IN" w:bidi="ar-SA"/>
        </w:rPr>
        <w:t xml:space="preserve">. 2014). It also suppresses AP-1 protein activity, preventing malignant transformation, while </w:t>
      </w:r>
      <w:r w:rsidR="00572BCF" w:rsidRPr="00E52B95">
        <w:rPr>
          <w:rFonts w:ascii="Times New Roman" w:eastAsia="Times New Roman" w:hAnsi="Times New Roman" w:cs="Times New Roman"/>
          <w:color w:val="000000"/>
          <w:sz w:val="24"/>
          <w:szCs w:val="24"/>
          <w:lang w:eastAsia="en-IN" w:bidi="ar-SA"/>
        </w:rPr>
        <w:t>parasols</w:t>
      </w:r>
      <w:r w:rsidRPr="00E52B95">
        <w:rPr>
          <w:rFonts w:ascii="Times New Roman" w:eastAsia="Times New Roman" w:hAnsi="Times New Roman" w:cs="Times New Roman"/>
          <w:color w:val="000000"/>
          <w:sz w:val="24"/>
          <w:szCs w:val="24"/>
          <w:lang w:eastAsia="en-IN" w:bidi="ar-SA"/>
        </w:rPr>
        <w:t xml:space="preserve"> induces apoptosis via cytotoxicity. Further, [6]-gingerol causes cell cycle arrest at G1/G2 by blocking cyclin translation (Mao </w:t>
      </w:r>
      <w:r w:rsidRPr="00E52B95">
        <w:rPr>
          <w:rFonts w:ascii="Times New Roman" w:eastAsia="Times New Roman" w:hAnsi="Times New Roman" w:cs="Times New Roman"/>
          <w:i/>
          <w:color w:val="000000"/>
          <w:sz w:val="24"/>
          <w:szCs w:val="24"/>
          <w:lang w:eastAsia="en-IN" w:bidi="ar-SA"/>
        </w:rPr>
        <w:t>et al</w:t>
      </w:r>
      <w:r w:rsidRPr="00E52B95">
        <w:rPr>
          <w:rFonts w:ascii="Times New Roman" w:eastAsia="Times New Roman" w:hAnsi="Times New Roman" w:cs="Times New Roman"/>
          <w:color w:val="000000"/>
          <w:sz w:val="24"/>
          <w:szCs w:val="24"/>
          <w:lang w:eastAsia="en-IN" w:bidi="ar-SA"/>
        </w:rPr>
        <w:t xml:space="preserve">. 2019) and sensitizes A549 cells to TRAIL-induced apoptosis by </w:t>
      </w:r>
      <w:r w:rsidRPr="00E52B95">
        <w:rPr>
          <w:rFonts w:ascii="Times New Roman" w:eastAsia="Times New Roman" w:hAnsi="Times New Roman" w:cs="Times New Roman"/>
          <w:color w:val="000000"/>
          <w:sz w:val="24"/>
          <w:szCs w:val="24"/>
          <w:lang w:eastAsia="en-IN" w:bidi="ar-SA"/>
        </w:rPr>
        <w:lastRenderedPageBreak/>
        <w:t xml:space="preserve">reducing autophagy flux (Nazim </w:t>
      </w:r>
      <w:r w:rsidRPr="00E52B95">
        <w:rPr>
          <w:rFonts w:ascii="Times New Roman" w:eastAsia="Times New Roman" w:hAnsi="Times New Roman" w:cs="Times New Roman"/>
          <w:i/>
          <w:color w:val="000000"/>
          <w:sz w:val="24"/>
          <w:szCs w:val="24"/>
          <w:lang w:eastAsia="en-IN" w:bidi="ar-SA"/>
        </w:rPr>
        <w:t>et al</w:t>
      </w:r>
      <w:r w:rsidRPr="00E52B95">
        <w:rPr>
          <w:rFonts w:ascii="Times New Roman" w:eastAsia="Times New Roman" w:hAnsi="Times New Roman" w:cs="Times New Roman"/>
          <w:color w:val="000000"/>
          <w:sz w:val="24"/>
          <w:szCs w:val="24"/>
          <w:lang w:eastAsia="en-IN" w:bidi="ar-SA"/>
        </w:rPr>
        <w:t>. 2015</w:t>
      </w:r>
      <w:r w:rsidRPr="00E52B95">
        <w:rPr>
          <w:rFonts w:ascii="Times New Roman" w:hAnsi="Times New Roman" w:cs="Times New Roman"/>
          <w:color w:val="000000"/>
          <w:sz w:val="24"/>
          <w:szCs w:val="24"/>
          <w:lang w:bidi="ar-SA"/>
        </w:rPr>
        <w:t xml:space="preserve">; </w:t>
      </w:r>
      <w:r w:rsidRPr="00E52B95">
        <w:rPr>
          <w:rFonts w:ascii="Times New Roman" w:hAnsi="Times New Roman" w:cs="Times New Roman"/>
          <w:color w:val="000000"/>
          <w:sz w:val="24"/>
          <w:szCs w:val="24"/>
          <w:shd w:val="clear" w:color="auto" w:fill="FFFFFF"/>
        </w:rPr>
        <w:t xml:space="preserve">Sharma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.,2023).</w:t>
      </w:r>
      <w:r w:rsidR="0096160A">
        <w:rPr>
          <w:rFonts w:ascii="Times New Roman" w:hAnsi="Times New Roman" w:cs="Times New Roman"/>
          <w:color w:val="000000"/>
          <w:sz w:val="24"/>
          <w:szCs w:val="24"/>
          <w:shd w:val="clear" w:color="auto" w:fill="FFFFFF"/>
        </w:rPr>
        <w:t>The bioactivity mechanism of gingerol has been shown in the Figure 8.</w:t>
      </w:r>
    </w:p>
    <w:p w:rsidR="00E52B95" w:rsidRPr="00E52B95" w:rsidRDefault="00E52B95" w:rsidP="00E52B95">
      <w:pPr>
        <w:spacing w:line="360" w:lineRule="auto"/>
        <w:jc w:val="both"/>
        <w:rPr>
          <w:rFonts w:ascii="Times New Roman" w:hAnsi="Times New Roman" w:cs="Times New Roman"/>
          <w:noProof/>
          <w:color w:val="000000"/>
          <w:sz w:val="24"/>
          <w:szCs w:val="24"/>
          <w:shd w:val="clear" w:color="auto" w:fill="FFFFFF"/>
        </w:rPr>
      </w:pPr>
    </w:p>
    <w:p w:rsidR="00E52B95" w:rsidRPr="00E52B95" w:rsidRDefault="00E52B95" w:rsidP="00E52B95">
      <w:pPr>
        <w:spacing w:line="360" w:lineRule="auto"/>
        <w:jc w:val="both"/>
        <w:rPr>
          <w:rFonts w:ascii="Times New Roman" w:eastAsia="Times New Roman" w:hAnsi="Times New Roman" w:cs="Times New Roman"/>
          <w:b/>
          <w:bCs/>
          <w:color w:val="000000"/>
          <w:sz w:val="24"/>
          <w:szCs w:val="24"/>
        </w:rPr>
      </w:pPr>
      <w:r w:rsidRPr="00E52B95">
        <w:rPr>
          <w:rFonts w:ascii="Times New Roman" w:hAnsi="Times New Roman" w:cs="Times New Roman"/>
          <w:b/>
          <w:bCs/>
          <w:color w:val="000000"/>
          <w:sz w:val="24"/>
          <w:szCs w:val="24"/>
          <w:shd w:val="clear" w:color="auto" w:fill="FFFFFF"/>
        </w:rPr>
        <w:t xml:space="preserve">9.2. Curcumin </w:t>
      </w:r>
    </w:p>
    <w:p w:rsidR="00E52B95" w:rsidRPr="00E52B95" w:rsidRDefault="00E52B95" w:rsidP="00E52B95">
      <w:pPr>
        <w:spacing w:after="0" w:line="360" w:lineRule="auto"/>
        <w:jc w:val="both"/>
        <w:rPr>
          <w:rFonts w:ascii="Times New Roman" w:hAnsi="Times New Roman" w:cs="Times New Roman"/>
          <w:color w:val="000000"/>
          <w:sz w:val="24"/>
          <w:szCs w:val="24"/>
          <w:shd w:val="clear" w:color="auto" w:fill="FFFFFF"/>
        </w:rPr>
      </w:pPr>
      <w:r w:rsidRPr="00E52B95">
        <w:rPr>
          <w:rFonts w:ascii="Times New Roman" w:eastAsia="Times New Roman" w:hAnsi="Times New Roman" w:cs="Times New Roman"/>
          <w:color w:val="000000"/>
          <w:sz w:val="24"/>
          <w:szCs w:val="24"/>
          <w:lang w:eastAsia="en-IN" w:bidi="ar-SA"/>
        </w:rPr>
        <w:t>Curcumin, the main constituent in turmeric, has potential for treating chronic inflammatory lifestyle-related disorders like dementia, diabetes, obesity, and cardiovascular disease. It reduces inflammation by blocking important signalling pathways that produce pro-inflammatory cytokines like TNF-alpha and IL-1 beta, such as NF-kappa B and Toll-like receptor 4. This effect has been demonstrated to lower inflammation indicators, shrink atherosclerotic plaques, prevent cardiac damage, and lessen airway inflammation in diseases like COPD in both animal models and some human trials. Despite curcumin's poor oral bioavailability, scientists are working on drug delivery technologies to increase absorption and make it a mo</w:t>
      </w:r>
      <w:r>
        <w:rPr>
          <w:rFonts w:ascii="Times New Roman" w:eastAsia="Times New Roman" w:hAnsi="Times New Roman" w:cs="Times New Roman"/>
          <w:color w:val="000000"/>
          <w:sz w:val="24"/>
          <w:szCs w:val="24"/>
          <w:lang w:eastAsia="en-IN" w:bidi="ar-SA"/>
        </w:rPr>
        <w:t xml:space="preserve">re practical therapeutic choice </w:t>
      </w:r>
      <w:r w:rsidRPr="00E52B95">
        <w:rPr>
          <w:rFonts w:ascii="Times New Roman" w:hAnsi="Times New Roman" w:cs="Times New Roman"/>
          <w:color w:val="000000"/>
          <w:sz w:val="24"/>
          <w:szCs w:val="24"/>
          <w:shd w:val="clear" w:color="auto" w:fill="FFFFFF"/>
        </w:rPr>
        <w:t xml:space="preserve">(Shimizu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2019).</w:t>
      </w:r>
      <w:r>
        <w:rPr>
          <w:rFonts w:ascii="Times New Roman" w:hAnsi="Times New Roman" w:cs="Times New Roman"/>
          <w:color w:val="000000"/>
          <w:sz w:val="24"/>
          <w:szCs w:val="24"/>
          <w:shd w:val="clear" w:color="auto" w:fill="FFFFFF"/>
        </w:rPr>
        <w:t>the mode of action of curcumin has been shown in the Figure 9.</w:t>
      </w:r>
    </w:p>
    <w:p w:rsidR="00E52B95" w:rsidRPr="00E52B95" w:rsidRDefault="00E52B95" w:rsidP="00E52B95">
      <w:pPr>
        <w:spacing w:line="360" w:lineRule="auto"/>
        <w:jc w:val="both"/>
        <w:rPr>
          <w:rFonts w:ascii="Times New Roman" w:hAnsi="Times New Roman" w:cs="Times New Roman"/>
          <w:color w:val="000000"/>
          <w:sz w:val="24"/>
          <w:szCs w:val="24"/>
          <w:shd w:val="clear" w:color="auto" w:fill="FFFFFF"/>
        </w:rPr>
      </w:pPr>
      <w:r w:rsidRPr="00E52B95">
        <w:rPr>
          <w:rFonts w:ascii="Times New Roman" w:eastAsia="Times New Roman" w:hAnsi="Times New Roman" w:cs="Times New Roman"/>
          <w:color w:val="000000"/>
          <w:sz w:val="24"/>
          <w:szCs w:val="24"/>
          <w:lang w:eastAsia="en-IN" w:bidi="ar-SA"/>
        </w:rPr>
        <w:t>Curcumin has a lot of promise for treating Alzheimer's disease (AD) in a number of ways. Because it is lipophilic, it can directly affect brain disease by passing across the blood-brain barrier. Its capacity to assist macrophages in removing beta-amyloid plaques from the brain is a significant advantage; this effect has been seen in both AD patients and animal models. Curcumin has been described as a strong anti-inflammatory compound that suppresses the production of pro-inflammatory cytokines and the growth of proinflammatory glial cells that such as astrocytes and microglia and inhibits neuroinflammation. It may chelate heavy metals like iron and copper that encourage plaque development and toxicity and it is a potent antioxidant that shields neurons from oxidative stress and free radical damage. Lastly, curcumin tackles the plaques directly, preventing amyloid fibrils from aggregating and even disintegrating existing plaques. Curcumin is a potentially effective treatment for Alzeimer disease because of its combination effects on oxidative stress, infl</w:t>
      </w:r>
      <w:r>
        <w:rPr>
          <w:rFonts w:ascii="Times New Roman" w:eastAsia="Times New Roman" w:hAnsi="Times New Roman" w:cs="Times New Roman"/>
          <w:color w:val="000000"/>
          <w:sz w:val="24"/>
          <w:szCs w:val="24"/>
          <w:lang w:eastAsia="en-IN" w:bidi="ar-SA"/>
        </w:rPr>
        <w:t>ammation, and plaque development</w:t>
      </w:r>
      <w:r w:rsidRPr="00E52B95">
        <w:rPr>
          <w:rFonts w:ascii="Times New Roman" w:eastAsia="Times New Roman" w:hAnsi="Times New Roman" w:cs="Times New Roman"/>
          <w:color w:val="000000"/>
          <w:sz w:val="24"/>
          <w:szCs w:val="24"/>
          <w:lang w:eastAsia="en-IN" w:bidi="ar-SA"/>
        </w:rPr>
        <w:t xml:space="preserve"> (</w:t>
      </w:r>
      <w:r w:rsidRPr="00E52B95">
        <w:rPr>
          <w:rFonts w:ascii="Times New Roman" w:hAnsi="Times New Roman" w:cs="Times New Roman"/>
          <w:color w:val="000000"/>
          <w:sz w:val="24"/>
          <w:szCs w:val="24"/>
          <w:shd w:val="clear" w:color="auto" w:fill="FFFFFF"/>
        </w:rPr>
        <w:t>Tang &amp; Taghibiglou., 2017</w:t>
      </w:r>
      <w:r>
        <w:rPr>
          <w:rFonts w:ascii="Times New Roman" w:hAnsi="Times New Roman" w:cs="Times New Roman"/>
          <w:color w:val="000000"/>
          <w:sz w:val="24"/>
          <w:szCs w:val="24"/>
          <w:shd w:val="clear" w:color="auto" w:fill="FFFFFF"/>
        </w:rPr>
        <w:t>) that has been mentioned in Figure 10.</w:t>
      </w:r>
    </w:p>
    <w:p w:rsidR="00E52B95" w:rsidRPr="00E52B95" w:rsidRDefault="00E52B95" w:rsidP="00E52B95">
      <w:pPr>
        <w:spacing w:line="360" w:lineRule="auto"/>
        <w:jc w:val="both"/>
        <w:rPr>
          <w:rFonts w:ascii="Times New Roman" w:hAnsi="Times New Roman" w:cs="Times New Roman"/>
          <w:noProof/>
          <w:color w:val="000000"/>
          <w:sz w:val="24"/>
          <w:szCs w:val="24"/>
          <w:shd w:val="clear" w:color="auto" w:fill="FFFFFF"/>
        </w:rPr>
      </w:pPr>
    </w:p>
    <w:p w:rsidR="00E52B95" w:rsidRPr="00E52B95" w:rsidRDefault="00E52B95" w:rsidP="00E52B95">
      <w:pPr>
        <w:spacing w:line="360" w:lineRule="auto"/>
        <w:jc w:val="both"/>
        <w:rPr>
          <w:rFonts w:ascii="Times New Roman" w:hAnsi="Times New Roman" w:cs="Times New Roman"/>
          <w:b/>
          <w:bCs/>
          <w:color w:val="000000"/>
          <w:sz w:val="24"/>
          <w:szCs w:val="24"/>
          <w:shd w:val="clear" w:color="auto" w:fill="FFFFFF"/>
        </w:rPr>
      </w:pPr>
      <w:r w:rsidRPr="00E52B95">
        <w:rPr>
          <w:rFonts w:ascii="Times New Roman" w:hAnsi="Times New Roman" w:cs="Times New Roman"/>
          <w:b/>
          <w:bCs/>
          <w:color w:val="000000"/>
          <w:sz w:val="24"/>
          <w:szCs w:val="24"/>
          <w:shd w:val="clear" w:color="auto" w:fill="FFFFFF"/>
        </w:rPr>
        <w:t xml:space="preserve">9.3. Galangin </w:t>
      </w:r>
    </w:p>
    <w:p w:rsidR="00E52B95" w:rsidRPr="00E52B95" w:rsidRDefault="00E52B95" w:rsidP="00E52B95">
      <w:pPr>
        <w:spacing w:line="360" w:lineRule="auto"/>
        <w:jc w:val="both"/>
        <w:rPr>
          <w:rFonts w:ascii="Times New Roman" w:hAnsi="Times New Roman" w:cs="Times New Roman"/>
          <w:color w:val="000000"/>
          <w:sz w:val="24"/>
          <w:szCs w:val="24"/>
          <w:shd w:val="clear" w:color="auto" w:fill="FFFFFF"/>
        </w:rPr>
      </w:pPr>
      <w:r w:rsidRPr="00E52B95">
        <w:rPr>
          <w:rFonts w:ascii="Times New Roman" w:eastAsia="Times New Roman" w:hAnsi="Times New Roman" w:cs="Times New Roman"/>
          <w:color w:val="000000"/>
          <w:sz w:val="24"/>
          <w:szCs w:val="24"/>
          <w:lang w:eastAsia="en-IN" w:bidi="ar-SA"/>
        </w:rPr>
        <w:t xml:space="preserve">Galangin a flavonoid that has been shown to develop significant anticancer effects against various cancer entities with minimal toxicity. Its mechanisms of action are complex and they </w:t>
      </w:r>
      <w:r w:rsidRPr="00E52B95">
        <w:rPr>
          <w:rFonts w:ascii="Times New Roman" w:eastAsia="Times New Roman" w:hAnsi="Times New Roman" w:cs="Times New Roman"/>
          <w:color w:val="000000"/>
          <w:sz w:val="24"/>
          <w:szCs w:val="24"/>
          <w:lang w:eastAsia="en-IN" w:bidi="ar-SA"/>
        </w:rPr>
        <w:lastRenderedPageBreak/>
        <w:t xml:space="preserve">include induction of apoptosis, the inhibition of cell cycle progression and suppression of metastasis. Specifically, galangin induces apoptosis by blocking calcium channels and as a result, by increasing intracellular calcium and endoplasmic reticulum stress as well as by inducing caspases such as caspase-8 and caspases-9. It also cause damage of DNA by mobilization of endogenous copper ions to form a complex that generates hydroxyl radicals. Galangin arrests the cell cycle in the G0/G1 phase by degrading β-catenin and decreasing cyclin D1 and c-myc expression, and it has been shown to induce autophagy, a process that recycles cellular components to maintain homeostasis </w:t>
      </w:r>
      <w:r w:rsidRPr="00E52B95">
        <w:rPr>
          <w:rFonts w:ascii="Times New Roman" w:hAnsi="Times New Roman" w:cs="Times New Roman"/>
          <w:color w:val="000000"/>
          <w:sz w:val="24"/>
          <w:szCs w:val="24"/>
        </w:rPr>
        <w:t>(</w:t>
      </w:r>
      <w:r w:rsidRPr="00E52B95">
        <w:rPr>
          <w:rFonts w:ascii="Times New Roman" w:hAnsi="Times New Roman" w:cs="Times New Roman"/>
          <w:color w:val="000000"/>
          <w:sz w:val="24"/>
          <w:szCs w:val="24"/>
          <w:shd w:val="clear" w:color="auto" w:fill="FFFFFF"/>
        </w:rPr>
        <w:t xml:space="preserve">Fang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xml:space="preserve">., 2019). </w:t>
      </w:r>
      <w:r w:rsidRPr="00E52B95">
        <w:rPr>
          <w:rFonts w:ascii="Times New Roman" w:eastAsia="Times New Roman" w:hAnsi="Times New Roman" w:cs="Times New Roman"/>
          <w:color w:val="000000"/>
          <w:sz w:val="24"/>
          <w:szCs w:val="24"/>
          <w:lang w:eastAsia="en-IN" w:bidi="ar-SA"/>
        </w:rPr>
        <w:t>Further, galangin supresses the activity of matrix metalloproteinases (MMP-2 and MMP-9), activator protein-1 (AP-1), NF-κB, and focal adhesion kinase (FAK) to produce an antimetastatic effect. Future study is necessary to improve its distribution and performance because of its limited bioavailability, which still poses a problem for clinical application despite its encouraging preclinical results against malignancies such as hepatocarci</w:t>
      </w:r>
      <w:r w:rsidR="00572BCF">
        <w:rPr>
          <w:rFonts w:ascii="Times New Roman" w:eastAsia="Times New Roman" w:hAnsi="Times New Roman" w:cs="Times New Roman"/>
          <w:color w:val="000000"/>
          <w:sz w:val="24"/>
          <w:szCs w:val="24"/>
          <w:lang w:eastAsia="en-IN" w:bidi="ar-SA"/>
        </w:rPr>
        <w:t xml:space="preserve">noma, breast, lung, colorectal </w:t>
      </w:r>
      <w:r w:rsidRPr="00E52B95">
        <w:rPr>
          <w:rFonts w:ascii="Times New Roman" w:eastAsia="Times New Roman" w:hAnsi="Times New Roman" w:cs="Times New Roman"/>
          <w:color w:val="000000"/>
          <w:sz w:val="24"/>
          <w:szCs w:val="24"/>
          <w:lang w:eastAsia="en-IN" w:bidi="ar-SA"/>
        </w:rPr>
        <w:t>and others (</w:t>
      </w:r>
      <w:r w:rsidRPr="00E52B95">
        <w:rPr>
          <w:rFonts w:ascii="Times New Roman" w:hAnsi="Times New Roman" w:cs="Times New Roman"/>
          <w:color w:val="000000"/>
          <w:sz w:val="24"/>
          <w:szCs w:val="24"/>
          <w:shd w:val="clear" w:color="auto" w:fill="FFFFFF"/>
        </w:rPr>
        <w:t xml:space="preserve">Singh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2022).</w:t>
      </w:r>
      <w:r>
        <w:rPr>
          <w:rFonts w:ascii="Times New Roman" w:hAnsi="Times New Roman" w:cs="Times New Roman"/>
          <w:color w:val="000000"/>
          <w:sz w:val="24"/>
          <w:szCs w:val="24"/>
          <w:shd w:val="clear" w:color="auto" w:fill="FFFFFF"/>
        </w:rPr>
        <w:t>The mode of action of galangin has been shown in the Figure 11.</w:t>
      </w:r>
    </w:p>
    <w:p w:rsidR="00E52B95" w:rsidRPr="00E52B95" w:rsidRDefault="00E52B95" w:rsidP="00E52B95">
      <w:pPr>
        <w:spacing w:line="360" w:lineRule="auto"/>
        <w:jc w:val="both"/>
        <w:rPr>
          <w:rFonts w:ascii="Times New Roman" w:eastAsia="Times New Roman" w:hAnsi="Times New Roman" w:cs="Times New Roman"/>
          <w:noProof/>
          <w:color w:val="000000"/>
          <w:sz w:val="24"/>
          <w:szCs w:val="24"/>
          <w:lang w:eastAsia="en-IN" w:bidi="ar-SA"/>
        </w:rPr>
      </w:pPr>
    </w:p>
    <w:p w:rsidR="00E52B95" w:rsidRPr="00E52B95" w:rsidRDefault="00E52B95" w:rsidP="00E52B95">
      <w:pPr>
        <w:spacing w:before="100" w:beforeAutospacing="1" w:after="100" w:afterAutospacing="1" w:line="360" w:lineRule="auto"/>
        <w:jc w:val="both"/>
        <w:rPr>
          <w:rFonts w:ascii="Times New Roman" w:eastAsia="Times New Roman" w:hAnsi="Times New Roman" w:cs="Times New Roman"/>
          <w:b/>
          <w:bCs/>
          <w:color w:val="000000"/>
          <w:sz w:val="24"/>
          <w:szCs w:val="24"/>
          <w:lang w:eastAsia="en-IN" w:bidi="ar-SA"/>
        </w:rPr>
      </w:pPr>
      <w:r w:rsidRPr="00E52B95">
        <w:rPr>
          <w:rFonts w:ascii="Times New Roman" w:eastAsia="Times New Roman" w:hAnsi="Times New Roman" w:cs="Times New Roman"/>
          <w:b/>
          <w:bCs/>
          <w:color w:val="000000"/>
          <w:sz w:val="24"/>
          <w:szCs w:val="24"/>
          <w:lang w:eastAsia="en-IN" w:bidi="ar-SA"/>
        </w:rPr>
        <w:t xml:space="preserve">Conclusion </w:t>
      </w:r>
    </w:p>
    <w:p w:rsidR="00E52B95" w:rsidRPr="00E52B95" w:rsidRDefault="00E52B95" w:rsidP="00E52B95">
      <w:pPr>
        <w:spacing w:line="360" w:lineRule="auto"/>
        <w:jc w:val="both"/>
        <w:rPr>
          <w:rFonts w:ascii="Times New Roman" w:eastAsia="Times New Roman" w:hAnsi="Times New Roman" w:cs="Times New Roman"/>
          <w:color w:val="000000"/>
          <w:sz w:val="24"/>
          <w:szCs w:val="24"/>
          <w:lang w:eastAsia="en-IN" w:bidi="ar-SA"/>
        </w:rPr>
      </w:pPr>
      <w:r w:rsidRPr="00E52B95">
        <w:rPr>
          <w:rFonts w:ascii="Times New Roman" w:eastAsia="Times New Roman" w:hAnsi="Times New Roman" w:cs="Times New Roman"/>
          <w:color w:val="000000"/>
          <w:sz w:val="24"/>
          <w:szCs w:val="24"/>
          <w:lang w:eastAsia="en-IN" w:bidi="ar-SA"/>
        </w:rPr>
        <w:t xml:space="preserve">The </w:t>
      </w:r>
      <w:r w:rsidRPr="00E52B95">
        <w:rPr>
          <w:rFonts w:ascii="Times New Roman" w:eastAsia="Times New Roman" w:hAnsi="Times New Roman" w:cs="Times New Roman"/>
          <w:i/>
          <w:color w:val="000000"/>
          <w:sz w:val="24"/>
          <w:szCs w:val="24"/>
          <w:lang w:eastAsia="en-IN" w:bidi="ar-SA"/>
        </w:rPr>
        <w:t xml:space="preserve">Zingiberaceae </w:t>
      </w:r>
      <w:r w:rsidRPr="00E52B95">
        <w:rPr>
          <w:rFonts w:ascii="Times New Roman" w:eastAsia="Times New Roman" w:hAnsi="Times New Roman" w:cs="Times New Roman"/>
          <w:color w:val="000000"/>
          <w:sz w:val="24"/>
          <w:szCs w:val="24"/>
          <w:lang w:eastAsia="en-IN" w:bidi="ar-SA"/>
        </w:rPr>
        <w:t xml:space="preserve">family is one of the most economically and ethnopharmacologically significant taxa of plants in the world. This broad geographic spread in tropical and subtropical environments has resulted in the strong divergences especially in rhizome structure, floral patterns and secondary metabolite composition. These adaptations give the ecological resilence and at the same time form the basis of numerous utilitarian uses of the family, which include culinary, medicinal and industrial. Traditionally, </w:t>
      </w:r>
      <w:r w:rsidRPr="00E52B95">
        <w:rPr>
          <w:rFonts w:ascii="Times New Roman" w:eastAsia="Times New Roman" w:hAnsi="Times New Roman" w:cs="Times New Roman"/>
          <w:i/>
          <w:color w:val="000000"/>
          <w:sz w:val="24"/>
          <w:szCs w:val="24"/>
          <w:lang w:eastAsia="en-IN" w:bidi="ar-SA"/>
        </w:rPr>
        <w:t xml:space="preserve">Zingiberaceae </w:t>
      </w:r>
      <w:r w:rsidRPr="00E52B95">
        <w:rPr>
          <w:rFonts w:ascii="Times New Roman" w:eastAsia="Times New Roman" w:hAnsi="Times New Roman" w:cs="Times New Roman"/>
          <w:color w:val="000000"/>
          <w:sz w:val="24"/>
          <w:szCs w:val="24"/>
          <w:lang w:eastAsia="en-IN" w:bidi="ar-SA"/>
        </w:rPr>
        <w:t xml:space="preserve">have played a significant role in the traditional medicine of Asian, African and South American countries, especially in Ayurveda, Traditional Chinese Medicine and folk systems. Rhizomes and other plant parts have been utilized extensively to treat infectious infections, respiratory conditions, inflammation and digestive issues. Bioactive compounds with broad-spectrum pharmacological qualities, such as terpenes, gingerols, shogaols, curcuminoids, essential oils, and flavonoids, significantly supports these applications. Recent studies support these classical arguments and provide detailed studies on anti-inflammatory, antioxidant, anticancer, antidiabetic, antibacterial, hepatoprotective, and immunomodulatory properties of species including </w:t>
      </w:r>
      <w:r>
        <w:rPr>
          <w:rFonts w:ascii="Times New Roman" w:eastAsia="Times New Roman" w:hAnsi="Times New Roman" w:cs="Times New Roman"/>
          <w:i/>
          <w:color w:val="000000"/>
          <w:sz w:val="24"/>
          <w:szCs w:val="24"/>
          <w:lang w:eastAsia="en-IN" w:bidi="ar-SA"/>
        </w:rPr>
        <w:t xml:space="preserve">Zingiber </w:t>
      </w:r>
      <w:r w:rsidR="0096160A" w:rsidRPr="00E52B95">
        <w:rPr>
          <w:rFonts w:ascii="Times New Roman" w:eastAsia="Times New Roman" w:hAnsi="Times New Roman" w:cs="Times New Roman"/>
          <w:i/>
          <w:color w:val="000000"/>
          <w:sz w:val="24"/>
          <w:szCs w:val="24"/>
          <w:lang w:eastAsia="en-IN" w:bidi="ar-SA"/>
        </w:rPr>
        <w:t xml:space="preserve">officinale </w:t>
      </w:r>
      <w:r w:rsidR="0096160A" w:rsidRPr="00E52B95">
        <w:rPr>
          <w:rFonts w:ascii="Times New Roman" w:eastAsia="Times New Roman" w:hAnsi="Times New Roman" w:cs="Times New Roman"/>
          <w:color w:val="000000"/>
          <w:sz w:val="24"/>
          <w:szCs w:val="24"/>
          <w:lang w:eastAsia="en-IN" w:bidi="ar-SA"/>
        </w:rPr>
        <w:t>and</w:t>
      </w:r>
      <w:r w:rsidRPr="00E52B95">
        <w:rPr>
          <w:rFonts w:ascii="Times New Roman" w:eastAsia="Times New Roman" w:hAnsi="Times New Roman" w:cs="Times New Roman"/>
          <w:color w:val="000000"/>
          <w:sz w:val="24"/>
          <w:szCs w:val="24"/>
          <w:lang w:eastAsia="en-IN" w:bidi="ar-SA"/>
        </w:rPr>
        <w:t xml:space="preserve"> </w:t>
      </w:r>
      <w:r w:rsidRPr="00E52B95">
        <w:rPr>
          <w:rFonts w:ascii="Times New Roman" w:eastAsia="Times New Roman" w:hAnsi="Times New Roman" w:cs="Times New Roman"/>
          <w:i/>
          <w:color w:val="000000"/>
          <w:sz w:val="24"/>
          <w:szCs w:val="24"/>
          <w:lang w:eastAsia="en-IN" w:bidi="ar-SA"/>
        </w:rPr>
        <w:t>Curcuma longa</w:t>
      </w:r>
      <w:r w:rsidRPr="00E52B95">
        <w:rPr>
          <w:rFonts w:ascii="Times New Roman" w:eastAsia="Times New Roman" w:hAnsi="Times New Roman" w:cs="Times New Roman"/>
          <w:color w:val="000000"/>
          <w:sz w:val="24"/>
          <w:szCs w:val="24"/>
          <w:lang w:eastAsia="en-IN" w:bidi="ar-SA"/>
        </w:rPr>
        <w:t xml:space="preserve">. These metabolites have been demonstrated to bring their effect by suppressing NF-κB, MAPK and PI3K/Akt signalling, controlling </w:t>
      </w:r>
      <w:r w:rsidRPr="00E52B95">
        <w:rPr>
          <w:rFonts w:ascii="Times New Roman" w:eastAsia="Times New Roman" w:hAnsi="Times New Roman" w:cs="Times New Roman"/>
          <w:color w:val="000000"/>
          <w:sz w:val="24"/>
          <w:szCs w:val="24"/>
          <w:lang w:eastAsia="en-IN" w:bidi="ar-SA"/>
        </w:rPr>
        <w:lastRenderedPageBreak/>
        <w:t xml:space="preserve">oxidative stress, triggering apoptosis and regulating immune, which can explain the involvement of specific molecular pathways. The above findings form a very strong foundation of the medicinal importance of these plant families. In addition to their therapeutic importance, the species of the </w:t>
      </w:r>
      <w:r w:rsidRPr="00E52B95">
        <w:rPr>
          <w:rFonts w:ascii="Times New Roman" w:eastAsia="Times New Roman" w:hAnsi="Times New Roman" w:cs="Times New Roman"/>
          <w:i/>
          <w:color w:val="000000"/>
          <w:sz w:val="24"/>
          <w:szCs w:val="24"/>
          <w:lang w:eastAsia="en-IN" w:bidi="ar-SA"/>
        </w:rPr>
        <w:t xml:space="preserve">Zingiberaceae </w:t>
      </w:r>
      <w:r w:rsidRPr="00E52B95">
        <w:rPr>
          <w:rFonts w:ascii="Times New Roman" w:eastAsia="Times New Roman" w:hAnsi="Times New Roman" w:cs="Times New Roman"/>
          <w:color w:val="000000"/>
          <w:sz w:val="24"/>
          <w:szCs w:val="24"/>
          <w:lang w:eastAsia="en-IN" w:bidi="ar-SA"/>
        </w:rPr>
        <w:t xml:space="preserve">also are extremely economically useful, as they are commonly traded as spices, flavours, colorants as well as sources of essential oils to aromatherapy and cosmetics. Moreover, other crops like cardamom, ginger, and turmeric are also major contributors to the agricultural economy of the Asian continent because they add nutritional value. COVID-19 pandemic interest in the given family further, with compounds  like curcumin and gingerol showing the potential in immunomodulation, mitigating cytokine storms and  antiviral effects against SARS-CoV-2 due to their ability to inhibit of viral replication and regulation of ACE-2 receptor interactions. This results highlights the importance of </w:t>
      </w:r>
      <w:r w:rsidRPr="00E52B95">
        <w:rPr>
          <w:rFonts w:ascii="Times New Roman" w:eastAsia="Times New Roman" w:hAnsi="Times New Roman" w:cs="Times New Roman"/>
          <w:i/>
          <w:color w:val="000000"/>
          <w:sz w:val="24"/>
          <w:szCs w:val="24"/>
          <w:lang w:eastAsia="en-IN" w:bidi="ar-SA"/>
        </w:rPr>
        <w:t xml:space="preserve">Zingiberaceae </w:t>
      </w:r>
      <w:r w:rsidRPr="00E52B95">
        <w:rPr>
          <w:rFonts w:ascii="Times New Roman" w:eastAsia="Times New Roman" w:hAnsi="Times New Roman" w:cs="Times New Roman"/>
          <w:color w:val="000000"/>
          <w:sz w:val="24"/>
          <w:szCs w:val="24"/>
          <w:lang w:eastAsia="en-IN" w:bidi="ar-SA"/>
        </w:rPr>
        <w:t>in dealing with the emerging health challenges in the world despite the fact that more clinical information is required.</w:t>
      </w:r>
    </w:p>
    <w:p w:rsidR="00E52B95" w:rsidRDefault="00E52B95" w:rsidP="00E52B95">
      <w:pPr>
        <w:spacing w:line="360" w:lineRule="auto"/>
        <w:jc w:val="both"/>
        <w:rPr>
          <w:rFonts w:ascii="Times New Roman" w:eastAsia="Times New Roman" w:hAnsi="Times New Roman" w:cs="Times New Roman"/>
          <w:color w:val="000000"/>
          <w:sz w:val="24"/>
          <w:szCs w:val="24"/>
          <w:lang w:eastAsia="en-IN" w:bidi="ar-SA"/>
        </w:rPr>
      </w:pPr>
      <w:r w:rsidRPr="00E52B95">
        <w:rPr>
          <w:rFonts w:ascii="Times New Roman" w:eastAsia="Times New Roman" w:hAnsi="Times New Roman" w:cs="Times New Roman"/>
          <w:color w:val="000000"/>
          <w:sz w:val="24"/>
          <w:szCs w:val="24"/>
          <w:lang w:eastAsia="en-IN" w:bidi="ar-SA"/>
        </w:rPr>
        <w:t xml:space="preserve"> </w:t>
      </w:r>
      <w:r w:rsidRPr="00E52B95">
        <w:rPr>
          <w:rFonts w:ascii="Times New Roman" w:eastAsia="Times New Roman" w:hAnsi="Times New Roman" w:cs="Times New Roman"/>
          <w:i/>
          <w:color w:val="000000"/>
          <w:sz w:val="24"/>
          <w:szCs w:val="24"/>
          <w:lang w:eastAsia="en-IN" w:bidi="ar-SA"/>
        </w:rPr>
        <w:t xml:space="preserve">Zingiberaceae </w:t>
      </w:r>
      <w:r w:rsidRPr="00E52B95">
        <w:rPr>
          <w:rFonts w:ascii="Times New Roman" w:eastAsia="Times New Roman" w:hAnsi="Times New Roman" w:cs="Times New Roman"/>
          <w:color w:val="000000"/>
          <w:sz w:val="24"/>
          <w:szCs w:val="24"/>
          <w:lang w:eastAsia="en-IN" w:bidi="ar-SA"/>
        </w:rPr>
        <w:t xml:space="preserve">presents a paradigm family of plants, with its unusual combination of tradition, pharmacology and economics, between nature, culture and science to achieve sustainable human well-being. In general, the family </w:t>
      </w:r>
      <w:r w:rsidRPr="00E52B95">
        <w:rPr>
          <w:rFonts w:ascii="Times New Roman" w:eastAsia="Times New Roman" w:hAnsi="Times New Roman" w:cs="Times New Roman"/>
          <w:i/>
          <w:color w:val="000000"/>
          <w:sz w:val="24"/>
          <w:szCs w:val="24"/>
          <w:lang w:eastAsia="en-IN" w:bidi="ar-SA"/>
        </w:rPr>
        <w:t xml:space="preserve">Zingiberaceae </w:t>
      </w:r>
      <w:r w:rsidRPr="00E52B95">
        <w:rPr>
          <w:rFonts w:ascii="Times New Roman" w:eastAsia="Times New Roman" w:hAnsi="Times New Roman" w:cs="Times New Roman"/>
          <w:color w:val="000000"/>
          <w:sz w:val="24"/>
          <w:szCs w:val="24"/>
          <w:lang w:eastAsia="en-IN" w:bidi="ar-SA"/>
        </w:rPr>
        <w:t>is a gold mine of both medicinal and economic resources. Its species richness, rich traditional knowledge base, empirically confirmed pharmacology and applicability to the modern therapeutic practice, such as COVID-19, highlight its worldwide importance. However, additional clinical studies, strict standardization and conservation efforts are required to ensure that its full potential is achieved.</w:t>
      </w:r>
    </w:p>
    <w:p w:rsidR="006B63F0" w:rsidRDefault="006B63F0" w:rsidP="00E52B95">
      <w:pPr>
        <w:spacing w:line="360" w:lineRule="auto"/>
        <w:jc w:val="both"/>
        <w:rPr>
          <w:rFonts w:ascii="Times New Roman" w:eastAsia="Times New Roman" w:hAnsi="Times New Roman" w:cs="Times New Roman"/>
          <w:b/>
          <w:color w:val="000000"/>
          <w:sz w:val="24"/>
          <w:szCs w:val="24"/>
          <w:lang w:eastAsia="en-IN" w:bidi="ar-SA"/>
        </w:rPr>
      </w:pPr>
      <w:r w:rsidRPr="006B63F0">
        <w:rPr>
          <w:rFonts w:ascii="Times New Roman" w:eastAsia="Times New Roman" w:hAnsi="Times New Roman" w:cs="Times New Roman"/>
          <w:b/>
          <w:color w:val="000000"/>
          <w:sz w:val="24"/>
          <w:szCs w:val="24"/>
          <w:lang w:eastAsia="en-IN" w:bidi="ar-SA"/>
        </w:rPr>
        <w:t>Acknowledgement</w:t>
      </w:r>
    </w:p>
    <w:p w:rsidR="00572BCF" w:rsidRPr="00840D53" w:rsidRDefault="00572BCF" w:rsidP="00572BCF">
      <w:pPr>
        <w:autoSpaceDE w:val="0"/>
        <w:autoSpaceDN w:val="0"/>
        <w:adjustRightInd w:val="0"/>
        <w:spacing w:after="0" w:line="360" w:lineRule="auto"/>
        <w:jc w:val="both"/>
        <w:rPr>
          <w:rFonts w:ascii="Times New Roman" w:hAnsi="Times New Roman"/>
          <w:sz w:val="24"/>
          <w:szCs w:val="24"/>
        </w:rPr>
      </w:pPr>
      <w:r w:rsidRPr="00572BCF">
        <w:rPr>
          <w:rFonts w:ascii="Times New Roman" w:eastAsia="Times New Roman" w:hAnsi="Times New Roman" w:cs="Times New Roman"/>
          <w:color w:val="000000"/>
          <w:sz w:val="24"/>
          <w:szCs w:val="24"/>
          <w:lang w:eastAsia="en-IN" w:bidi="ar-SA"/>
        </w:rPr>
        <w:t>The auothors are thankful to Central University of Himachal Pradesh for providing neccessary</w:t>
      </w:r>
      <w:r>
        <w:rPr>
          <w:rFonts w:ascii="Times New Roman" w:eastAsia="Times New Roman" w:hAnsi="Times New Roman" w:cs="Times New Roman"/>
          <w:b/>
          <w:color w:val="000000"/>
          <w:sz w:val="24"/>
          <w:szCs w:val="24"/>
          <w:lang w:eastAsia="en-IN" w:bidi="ar-SA"/>
        </w:rPr>
        <w:t xml:space="preserve"> </w:t>
      </w:r>
      <w:r w:rsidRPr="00572BCF">
        <w:rPr>
          <w:rFonts w:ascii="Times New Roman" w:eastAsia="Times New Roman" w:hAnsi="Times New Roman" w:cs="Times New Roman"/>
          <w:color w:val="000000"/>
          <w:sz w:val="24"/>
          <w:szCs w:val="24"/>
          <w:lang w:eastAsia="en-IN" w:bidi="ar-SA"/>
        </w:rPr>
        <w:t>facilities</w:t>
      </w:r>
      <w:r w:rsidRPr="00572BCF">
        <w:rPr>
          <w:rFonts w:ascii="Times New Roman" w:hAnsi="Times New Roman"/>
          <w:sz w:val="24"/>
          <w:szCs w:val="24"/>
        </w:rPr>
        <w:t xml:space="preserve"> </w:t>
      </w:r>
      <w:r w:rsidRPr="00840D53">
        <w:rPr>
          <w:rFonts w:ascii="Times New Roman" w:hAnsi="Times New Roman"/>
          <w:sz w:val="24"/>
          <w:szCs w:val="24"/>
        </w:rPr>
        <w:t xml:space="preserve">and access to all the scientific journals. </w:t>
      </w:r>
    </w:p>
    <w:p w:rsidR="006B63F0" w:rsidRPr="006B63F0" w:rsidRDefault="006B63F0" w:rsidP="00E52B95">
      <w:pPr>
        <w:spacing w:line="360" w:lineRule="auto"/>
        <w:jc w:val="both"/>
        <w:rPr>
          <w:rFonts w:ascii="Times New Roman" w:eastAsia="Times New Roman" w:hAnsi="Times New Roman" w:cs="Times New Roman"/>
          <w:color w:val="000000"/>
          <w:sz w:val="24"/>
          <w:szCs w:val="24"/>
          <w:u w:val="single"/>
          <w:lang w:eastAsia="en-IN" w:bidi="ar-SA"/>
        </w:rPr>
      </w:pPr>
    </w:p>
    <w:p w:rsidR="00E52B95" w:rsidRPr="00E52B95" w:rsidRDefault="001A40BA" w:rsidP="00E52B95">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Credit</w:t>
      </w:r>
      <w:r w:rsidR="00E52B95" w:rsidRPr="00E52B95">
        <w:rPr>
          <w:rFonts w:ascii="Times New Roman" w:hAnsi="Times New Roman" w:cs="Times New Roman"/>
          <w:b/>
          <w:color w:val="000000"/>
          <w:sz w:val="24"/>
          <w:szCs w:val="24"/>
        </w:rPr>
        <w:t xml:space="preserve"> authorship contribution statement </w:t>
      </w:r>
    </w:p>
    <w:p w:rsidR="00E52B95" w:rsidRDefault="00E52B95" w:rsidP="00E52B95">
      <w:pPr>
        <w:spacing w:line="360" w:lineRule="auto"/>
        <w:jc w:val="both"/>
        <w:rPr>
          <w:rFonts w:ascii="Times New Roman" w:hAnsi="Times New Roman"/>
          <w:sz w:val="24"/>
          <w:szCs w:val="24"/>
        </w:rPr>
      </w:pPr>
      <w:r w:rsidRPr="00E52B95">
        <w:rPr>
          <w:rFonts w:ascii="Times New Roman" w:hAnsi="Times New Roman" w:cs="Times New Roman"/>
          <w:b/>
          <w:color w:val="000000"/>
          <w:sz w:val="24"/>
          <w:szCs w:val="24"/>
        </w:rPr>
        <w:t>Muskan Dhiman</w:t>
      </w:r>
      <w:r w:rsidRPr="00E52B95">
        <w:rPr>
          <w:rFonts w:ascii="Times New Roman" w:hAnsi="Times New Roman" w:cs="Times New Roman"/>
          <w:color w:val="000000"/>
          <w:sz w:val="24"/>
          <w:szCs w:val="24"/>
        </w:rPr>
        <w:t xml:space="preserve">: Writing – review &amp; editing, Writing – original draft, Visualization, conceptualization. </w:t>
      </w:r>
      <w:r w:rsidRPr="00E52B95">
        <w:rPr>
          <w:rFonts w:ascii="Times New Roman" w:hAnsi="Times New Roman" w:cs="Times New Roman"/>
          <w:b/>
          <w:color w:val="000000"/>
          <w:sz w:val="24"/>
          <w:szCs w:val="24"/>
        </w:rPr>
        <w:t>Jaya Thakur:</w:t>
      </w:r>
      <w:r w:rsidRPr="00E52B95">
        <w:rPr>
          <w:rFonts w:ascii="Times New Roman" w:hAnsi="Times New Roman" w:cs="Times New Roman"/>
          <w:color w:val="000000"/>
          <w:sz w:val="24"/>
          <w:szCs w:val="24"/>
        </w:rPr>
        <w:t xml:space="preserve">  Writing – review &amp; editing, Writing – original draft. </w:t>
      </w:r>
      <w:r w:rsidRPr="00E52B95">
        <w:rPr>
          <w:rFonts w:ascii="Times New Roman" w:hAnsi="Times New Roman" w:cs="Times New Roman"/>
          <w:b/>
          <w:color w:val="000000"/>
          <w:sz w:val="24"/>
          <w:szCs w:val="24"/>
        </w:rPr>
        <w:t>Harsharan Singh</w:t>
      </w:r>
      <w:r w:rsidR="006B63F0">
        <w:rPr>
          <w:rFonts w:ascii="Times New Roman" w:hAnsi="Times New Roman" w:cs="Times New Roman"/>
          <w:color w:val="000000"/>
          <w:sz w:val="24"/>
          <w:szCs w:val="24"/>
        </w:rPr>
        <w:t>: Supervision,</w:t>
      </w:r>
      <w:r w:rsidRPr="00E52B95">
        <w:rPr>
          <w:rFonts w:ascii="Times New Roman" w:hAnsi="Times New Roman" w:cs="Times New Roman"/>
          <w:color w:val="000000"/>
          <w:sz w:val="24"/>
          <w:szCs w:val="24"/>
        </w:rPr>
        <w:t xml:space="preserve"> editing. </w:t>
      </w:r>
      <w:r w:rsidRPr="00E52B95">
        <w:rPr>
          <w:rFonts w:ascii="Times New Roman" w:hAnsi="Times New Roman" w:cs="Times New Roman"/>
          <w:b/>
          <w:color w:val="000000"/>
          <w:sz w:val="24"/>
          <w:szCs w:val="24"/>
        </w:rPr>
        <w:t>Ria</w:t>
      </w:r>
      <w:r w:rsidR="00F97818">
        <w:rPr>
          <w:rFonts w:ascii="Times New Roman" w:hAnsi="Times New Roman" w:cs="Times New Roman"/>
          <w:color w:val="000000"/>
          <w:sz w:val="24"/>
          <w:szCs w:val="24"/>
        </w:rPr>
        <w:t xml:space="preserve">: </w:t>
      </w:r>
      <w:r w:rsidRPr="00E52B95">
        <w:rPr>
          <w:rFonts w:ascii="Times New Roman" w:hAnsi="Times New Roman" w:cs="Times New Roman"/>
          <w:color w:val="000000"/>
          <w:sz w:val="24"/>
          <w:szCs w:val="24"/>
        </w:rPr>
        <w:t>Writing – review &amp; e</w:t>
      </w:r>
      <w:r w:rsidR="00F97818">
        <w:rPr>
          <w:rFonts w:ascii="Times New Roman" w:hAnsi="Times New Roman" w:cs="Times New Roman"/>
          <w:color w:val="000000"/>
          <w:sz w:val="24"/>
          <w:szCs w:val="24"/>
        </w:rPr>
        <w:t>diting.</w:t>
      </w:r>
      <w:r w:rsidRPr="00E52B95">
        <w:rPr>
          <w:rFonts w:ascii="Times New Roman" w:hAnsi="Times New Roman" w:cs="Times New Roman"/>
          <w:color w:val="000000"/>
          <w:sz w:val="24"/>
          <w:szCs w:val="24"/>
        </w:rPr>
        <w:t xml:space="preserve"> </w:t>
      </w:r>
      <w:r w:rsidRPr="00E52B95">
        <w:rPr>
          <w:rFonts w:ascii="Times New Roman" w:hAnsi="Times New Roman" w:cs="Times New Roman"/>
          <w:b/>
          <w:color w:val="000000"/>
          <w:sz w:val="24"/>
          <w:szCs w:val="24"/>
        </w:rPr>
        <w:t>Anamika Sharma</w:t>
      </w:r>
      <w:r w:rsidRPr="00E52B95">
        <w:rPr>
          <w:rFonts w:ascii="Times New Roman" w:hAnsi="Times New Roman" w:cs="Times New Roman"/>
          <w:color w:val="000000"/>
          <w:sz w:val="24"/>
          <w:szCs w:val="24"/>
        </w:rPr>
        <w:t>: Writing – r</w:t>
      </w:r>
      <w:r w:rsidR="00F97818">
        <w:rPr>
          <w:rFonts w:ascii="Times New Roman" w:hAnsi="Times New Roman" w:cs="Times New Roman"/>
          <w:color w:val="000000"/>
          <w:sz w:val="24"/>
          <w:szCs w:val="24"/>
        </w:rPr>
        <w:t>eview &amp; editing.</w:t>
      </w:r>
      <w:r w:rsidRPr="00E52B95">
        <w:rPr>
          <w:rFonts w:ascii="Times New Roman" w:hAnsi="Times New Roman" w:cs="Times New Roman"/>
          <w:color w:val="000000"/>
          <w:sz w:val="24"/>
          <w:szCs w:val="24"/>
        </w:rPr>
        <w:t xml:space="preserve"> </w:t>
      </w:r>
      <w:r w:rsidRPr="00E52B95">
        <w:rPr>
          <w:rFonts w:ascii="Times New Roman" w:hAnsi="Times New Roman" w:cs="Times New Roman"/>
          <w:b/>
          <w:color w:val="000000"/>
          <w:sz w:val="24"/>
          <w:szCs w:val="24"/>
        </w:rPr>
        <w:t>Madhvi Negi</w:t>
      </w:r>
      <w:r w:rsidRPr="00E52B95">
        <w:rPr>
          <w:rFonts w:ascii="Times New Roman" w:hAnsi="Times New Roman" w:cs="Times New Roman"/>
          <w:color w:val="000000"/>
          <w:sz w:val="24"/>
          <w:szCs w:val="24"/>
        </w:rPr>
        <w:t>:  Writing – review &amp; ed</w:t>
      </w:r>
      <w:r w:rsidR="00E44EEC">
        <w:rPr>
          <w:rFonts w:ascii="Times New Roman" w:hAnsi="Times New Roman" w:cs="Times New Roman"/>
          <w:color w:val="000000"/>
          <w:sz w:val="24"/>
          <w:szCs w:val="24"/>
        </w:rPr>
        <w:t>iting.</w:t>
      </w:r>
      <w:r w:rsidR="00572BCF" w:rsidRPr="00572BCF">
        <w:rPr>
          <w:rFonts w:ascii="Times New Roman" w:hAnsi="Times New Roman"/>
          <w:sz w:val="24"/>
          <w:szCs w:val="24"/>
        </w:rPr>
        <w:t xml:space="preserve"> </w:t>
      </w:r>
      <w:r w:rsidR="00572BCF" w:rsidRPr="00840D53">
        <w:rPr>
          <w:rFonts w:ascii="Times New Roman" w:hAnsi="Times New Roman"/>
          <w:sz w:val="24"/>
          <w:szCs w:val="24"/>
        </w:rPr>
        <w:t>All the authors approved the final draft for publication.</w:t>
      </w:r>
    </w:p>
    <w:p w:rsidR="00572BCF" w:rsidRDefault="00572BCF" w:rsidP="00572BCF">
      <w:pPr>
        <w:autoSpaceDE w:val="0"/>
        <w:autoSpaceDN w:val="0"/>
        <w:adjustRightInd w:val="0"/>
        <w:spacing w:after="0" w:line="360" w:lineRule="auto"/>
        <w:jc w:val="both"/>
        <w:rPr>
          <w:rFonts w:ascii="Times New Roman" w:hAnsi="Times New Roman"/>
          <w:b/>
          <w:bCs/>
          <w:color w:val="000000"/>
          <w:sz w:val="24"/>
          <w:szCs w:val="24"/>
        </w:rPr>
      </w:pPr>
    </w:p>
    <w:p w:rsidR="00572BCF" w:rsidRPr="00840D53" w:rsidRDefault="00572BCF" w:rsidP="00572BCF">
      <w:pPr>
        <w:autoSpaceDE w:val="0"/>
        <w:autoSpaceDN w:val="0"/>
        <w:adjustRightInd w:val="0"/>
        <w:spacing w:after="0" w:line="360" w:lineRule="auto"/>
        <w:jc w:val="both"/>
        <w:rPr>
          <w:rFonts w:ascii="Times New Roman" w:hAnsi="Times New Roman"/>
          <w:sz w:val="24"/>
          <w:szCs w:val="24"/>
        </w:rPr>
      </w:pPr>
      <w:r w:rsidRPr="00840D53">
        <w:rPr>
          <w:rFonts w:ascii="Times New Roman" w:hAnsi="Times New Roman"/>
          <w:b/>
          <w:bCs/>
          <w:color w:val="000000"/>
          <w:sz w:val="24"/>
          <w:szCs w:val="24"/>
        </w:rPr>
        <w:lastRenderedPageBreak/>
        <w:t>Fundings</w:t>
      </w:r>
    </w:p>
    <w:p w:rsidR="00E52B95" w:rsidRDefault="00572BCF" w:rsidP="001A40BA">
      <w:pPr>
        <w:autoSpaceDE w:val="0"/>
        <w:autoSpaceDN w:val="0"/>
        <w:adjustRightInd w:val="0"/>
        <w:spacing w:after="0" w:line="360" w:lineRule="auto"/>
        <w:jc w:val="both"/>
        <w:rPr>
          <w:rFonts w:ascii="Times New Roman" w:hAnsi="Times New Roman"/>
          <w:color w:val="000000"/>
          <w:sz w:val="24"/>
          <w:szCs w:val="24"/>
        </w:rPr>
      </w:pPr>
      <w:r w:rsidRPr="00840D53">
        <w:rPr>
          <w:rFonts w:ascii="Times New Roman" w:hAnsi="Times New Roman"/>
          <w:color w:val="000000"/>
          <w:sz w:val="24"/>
          <w:szCs w:val="24"/>
        </w:rPr>
        <w:t>No funding</w:t>
      </w:r>
    </w:p>
    <w:p w:rsidR="001A40BA" w:rsidRPr="001A40BA" w:rsidRDefault="001A40BA" w:rsidP="001A40BA">
      <w:pPr>
        <w:autoSpaceDE w:val="0"/>
        <w:autoSpaceDN w:val="0"/>
        <w:adjustRightInd w:val="0"/>
        <w:spacing w:after="0" w:line="360" w:lineRule="auto"/>
        <w:jc w:val="both"/>
        <w:rPr>
          <w:rFonts w:ascii="Times New Roman" w:hAnsi="Times New Roman"/>
          <w:color w:val="000000"/>
          <w:sz w:val="24"/>
          <w:szCs w:val="24"/>
        </w:rPr>
      </w:pPr>
    </w:p>
    <w:p w:rsidR="00E52B95" w:rsidRPr="00E52B95" w:rsidRDefault="00E52B95" w:rsidP="00E52B95">
      <w:pPr>
        <w:spacing w:line="360" w:lineRule="auto"/>
        <w:jc w:val="both"/>
        <w:rPr>
          <w:rFonts w:ascii="Times New Roman" w:hAnsi="Times New Roman" w:cs="Times New Roman"/>
          <w:b/>
          <w:bCs/>
          <w:color w:val="000000"/>
          <w:sz w:val="24"/>
          <w:szCs w:val="24"/>
          <w:shd w:val="clear" w:color="auto" w:fill="FFFFFF"/>
        </w:rPr>
      </w:pPr>
      <w:r w:rsidRPr="00E52B95">
        <w:rPr>
          <w:rFonts w:ascii="Times New Roman" w:hAnsi="Times New Roman" w:cs="Times New Roman"/>
          <w:b/>
          <w:bCs/>
          <w:color w:val="000000"/>
          <w:sz w:val="24"/>
          <w:szCs w:val="24"/>
          <w:shd w:val="clear" w:color="auto" w:fill="FFFFFF"/>
        </w:rPr>
        <w:t>References</w:t>
      </w:r>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Rolnik, A., &amp; Olas, B., 2021. The plants of the Asteraceae family as agents in the protection of human health. </w:t>
      </w:r>
      <w:r w:rsidRPr="00E52B95">
        <w:rPr>
          <w:rStyle w:val="Strong"/>
          <w:rFonts w:ascii="Times New Roman" w:hAnsi="Times New Roman" w:cs="Times New Roman"/>
          <w:b w:val="0"/>
          <w:color w:val="000000"/>
          <w:sz w:val="24"/>
          <w:szCs w:val="24"/>
          <w:shd w:val="clear" w:color="auto" w:fill="FFFFFF"/>
        </w:rPr>
        <w:t>Int. J. Mol. Sci.</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22</w:t>
      </w:r>
      <w:r w:rsidRPr="00E52B95">
        <w:rPr>
          <w:rFonts w:ascii="Times New Roman" w:hAnsi="Times New Roman" w:cs="Times New Roman"/>
          <w:color w:val="000000"/>
          <w:sz w:val="24"/>
          <w:szCs w:val="24"/>
          <w:shd w:val="clear" w:color="auto" w:fill="FFFFFF"/>
        </w:rPr>
        <w:t>, 3009.  </w:t>
      </w:r>
      <w:hyperlink r:id="rId8" w:history="1">
        <w:r w:rsidRPr="00E52B95">
          <w:rPr>
            <w:rStyle w:val="Hyperlink"/>
            <w:rFonts w:ascii="Times New Roman" w:hAnsi="Times New Roman" w:cs="Times New Roman"/>
            <w:color w:val="000000"/>
            <w:sz w:val="24"/>
            <w:szCs w:val="24"/>
            <w:u w:val="none"/>
            <w:shd w:val="clear" w:color="auto" w:fill="FFFFFF"/>
          </w:rPr>
          <w:t>https://doi.org/10.3390/ijms22063009</w:t>
        </w:r>
      </w:hyperlink>
      <w:r w:rsidRPr="00E52B95">
        <w:rPr>
          <w:rFonts w:ascii="Times New Roman" w:hAnsi="Times New Roman" w:cs="Times New Roman"/>
          <w:color w:val="000000"/>
          <w:sz w:val="24"/>
          <w:szCs w:val="24"/>
          <w:shd w:val="clear" w:color="auto" w:fill="FFFFFF"/>
        </w:rPr>
        <w:t xml:space="preserve"> </w:t>
      </w:r>
    </w:p>
    <w:p w:rsidR="00E52B95" w:rsidRPr="006B63F0" w:rsidRDefault="00E52B95" w:rsidP="006B63F0">
      <w:pPr>
        <w:pStyle w:val="ListParagraph"/>
        <w:numPr>
          <w:ilvl w:val="0"/>
          <w:numId w:val="1"/>
        </w:numPr>
        <w:spacing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Pant, P., Pandey, S., &amp; Dall'Acqua, S., 2021. The influence of environmental conditions on secondary metabolites in medicinal plants: A literature review. </w:t>
      </w:r>
      <w:r w:rsidRPr="00E52B95">
        <w:rPr>
          <w:rStyle w:val="Emphasis"/>
          <w:rFonts w:ascii="Times New Roman" w:hAnsi="Times New Roman" w:cs="Times New Roman"/>
          <w:bCs/>
          <w:i w:val="0"/>
          <w:iCs w:val="0"/>
          <w:color w:val="000000"/>
          <w:sz w:val="24"/>
          <w:szCs w:val="24"/>
          <w:shd w:val="clear" w:color="auto" w:fill="FFFFFF"/>
        </w:rPr>
        <w:t>Chem Biodivers</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18</w:t>
      </w:r>
      <w:r w:rsidRPr="00E52B95">
        <w:rPr>
          <w:rFonts w:ascii="Times New Roman" w:hAnsi="Times New Roman" w:cs="Times New Roman"/>
          <w:color w:val="000000"/>
          <w:sz w:val="24"/>
          <w:szCs w:val="24"/>
          <w:shd w:val="clear" w:color="auto" w:fill="FFFFFF"/>
        </w:rPr>
        <w:t>, e2100345.  </w:t>
      </w:r>
      <w:hyperlink r:id="rId9" w:history="1">
        <w:r w:rsidRPr="00E52B95">
          <w:rPr>
            <w:rStyle w:val="Hyperlink"/>
            <w:rFonts w:ascii="Times New Roman" w:hAnsi="Times New Roman" w:cs="Times New Roman"/>
            <w:bCs/>
            <w:color w:val="000000"/>
            <w:sz w:val="24"/>
            <w:szCs w:val="24"/>
            <w:u w:val="none"/>
          </w:rPr>
          <w:t>https://doi.org/10.1002/cbdv.202100345</w:t>
        </w:r>
      </w:hyperlink>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Agidew, M. G., 2022. Phytochemical analysis of some selected traditional medicinal plants in Ethiopia. </w:t>
      </w:r>
      <w:r w:rsidRPr="00E52B95">
        <w:rPr>
          <w:rStyle w:val="Emphasis"/>
          <w:rFonts w:ascii="Times New Roman" w:hAnsi="Times New Roman" w:cs="Times New Roman"/>
          <w:color w:val="000000"/>
          <w:sz w:val="24"/>
          <w:szCs w:val="24"/>
        </w:rPr>
        <w:t>Bull Natl Res Cent</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46</w:t>
      </w:r>
      <w:r w:rsidRPr="00E52B95">
        <w:rPr>
          <w:rFonts w:ascii="Times New Roman" w:hAnsi="Times New Roman" w:cs="Times New Roman"/>
          <w:color w:val="000000"/>
          <w:sz w:val="24"/>
          <w:szCs w:val="24"/>
          <w:shd w:val="clear" w:color="auto" w:fill="FFFFFF"/>
        </w:rPr>
        <w:t>, 87.</w:t>
      </w:r>
      <w:r w:rsidRPr="00E52B95">
        <w:rPr>
          <w:rFonts w:ascii="Times New Roman" w:hAnsi="Times New Roman" w:cs="Times New Roman"/>
          <w:color w:val="000000"/>
          <w:sz w:val="24"/>
          <w:szCs w:val="24"/>
        </w:rPr>
        <w:t xml:space="preserve"> 022).https://doi.org/10.1186/s42269-022-00770-8</w:t>
      </w:r>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Xu, Z., Chang, L., Xu, Z., &amp; Chang, L. 2017. Zingiberaceae. </w:t>
      </w:r>
      <w:r w:rsidRPr="00E52B95">
        <w:rPr>
          <w:rFonts w:ascii="Times New Roman" w:hAnsi="Times New Roman" w:cs="Times New Roman"/>
          <w:i/>
          <w:iCs/>
          <w:color w:val="000000"/>
          <w:sz w:val="24"/>
          <w:szCs w:val="24"/>
          <w:shd w:val="clear" w:color="auto" w:fill="FFFFFF"/>
        </w:rPr>
        <w:t>Identification and Control of Common Weeds: Volume 3</w:t>
      </w:r>
      <w:r w:rsidRPr="00E52B95">
        <w:rPr>
          <w:rFonts w:ascii="Times New Roman" w:hAnsi="Times New Roman" w:cs="Times New Roman"/>
          <w:color w:val="000000"/>
          <w:sz w:val="24"/>
          <w:szCs w:val="24"/>
          <w:shd w:val="clear" w:color="auto" w:fill="FFFFFF"/>
        </w:rPr>
        <w:t>, 909-911. DOI:</w:t>
      </w:r>
      <w:hyperlink r:id="rId10" w:tgtFrame="_blank" w:history="1">
        <w:r w:rsidRPr="00E52B95">
          <w:rPr>
            <w:rStyle w:val="Hyperlink"/>
            <w:rFonts w:ascii="Times New Roman" w:hAnsi="Times New Roman" w:cs="Times New Roman"/>
            <w:color w:val="000000"/>
            <w:sz w:val="24"/>
            <w:szCs w:val="24"/>
            <w:u w:val="none"/>
            <w:bdr w:val="none" w:sz="0" w:space="0" w:color="auto" w:frame="1"/>
            <w:shd w:val="clear" w:color="auto" w:fill="FFFFFF"/>
          </w:rPr>
          <w:t>10.1007/978-981-10-5403-7</w:t>
        </w:r>
      </w:hyperlink>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Windarsih, G., Utami, D. W., &amp; Yuriyah, S., 2021. Morphological characteristics of </w:t>
      </w:r>
      <w:r w:rsidRPr="00E52B95">
        <w:rPr>
          <w:rFonts w:ascii="Times New Roman" w:hAnsi="Times New Roman" w:cs="Times New Roman"/>
          <w:i/>
          <w:color w:val="000000"/>
          <w:sz w:val="24"/>
          <w:szCs w:val="24"/>
          <w:shd w:val="clear" w:color="auto" w:fill="FFFFFF"/>
        </w:rPr>
        <w:t xml:space="preserve">zingiberaceae </w:t>
      </w:r>
      <w:r w:rsidRPr="00E52B95">
        <w:rPr>
          <w:rFonts w:ascii="Times New Roman" w:hAnsi="Times New Roman" w:cs="Times New Roman"/>
          <w:color w:val="000000"/>
          <w:sz w:val="24"/>
          <w:szCs w:val="24"/>
          <w:shd w:val="clear" w:color="auto" w:fill="FFFFFF"/>
        </w:rPr>
        <w:t>in serang district, banten, Indonesia. </w:t>
      </w:r>
      <w:r w:rsidRPr="00E52B95">
        <w:rPr>
          <w:rFonts w:ascii="Times New Roman" w:hAnsi="Times New Roman" w:cs="Times New Roman"/>
          <w:i/>
          <w:iCs/>
          <w:color w:val="000000"/>
          <w:sz w:val="24"/>
          <w:szCs w:val="24"/>
          <w:shd w:val="clear" w:color="auto" w:fill="FFFFFF"/>
        </w:rPr>
        <w:t>Biodiversitas</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22</w:t>
      </w:r>
      <w:r w:rsidRPr="00E52B95">
        <w:rPr>
          <w:rFonts w:ascii="Times New Roman" w:hAnsi="Times New Roman" w:cs="Times New Roman"/>
          <w:color w:val="000000"/>
          <w:sz w:val="24"/>
          <w:szCs w:val="24"/>
          <w:shd w:val="clear" w:color="auto" w:fill="FFFFFF"/>
        </w:rPr>
        <w:t xml:space="preserve">. </w:t>
      </w:r>
      <w:r w:rsidRPr="00E52B95">
        <w:rPr>
          <w:rStyle w:val="Strong"/>
          <w:rFonts w:ascii="Times New Roman" w:hAnsi="Times New Roman" w:cs="Times New Roman"/>
          <w:b w:val="0"/>
          <w:color w:val="000000"/>
          <w:sz w:val="24"/>
          <w:szCs w:val="24"/>
          <w:shd w:val="clear" w:color="auto" w:fill="FFFFFF"/>
        </w:rPr>
        <w:t>https://doi.org/10.13057/biodiv/d221235</w:t>
      </w:r>
    </w:p>
    <w:p w:rsidR="00E52B95" w:rsidRPr="00E52B95" w:rsidRDefault="00E52B95" w:rsidP="00E52B95">
      <w:pPr>
        <w:numPr>
          <w:ilvl w:val="0"/>
          <w:numId w:val="1"/>
        </w:numPr>
        <w:spacing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Saha, K., Sinha, R. K., &amp; Sinha, S., 2020. Distribution, cytology, genetic diversity and molecular phylogeny of selected species of </w:t>
      </w:r>
      <w:r w:rsidRPr="00E52B95">
        <w:rPr>
          <w:rFonts w:ascii="Times New Roman" w:hAnsi="Times New Roman" w:cs="Times New Roman"/>
          <w:i/>
          <w:color w:val="000000"/>
          <w:sz w:val="24"/>
          <w:szCs w:val="24"/>
          <w:shd w:val="clear" w:color="auto" w:fill="FFFFFF"/>
        </w:rPr>
        <w:t>Zingiberaceae–</w:t>
      </w:r>
      <w:r w:rsidRPr="00E52B95">
        <w:rPr>
          <w:rFonts w:ascii="Times New Roman" w:hAnsi="Times New Roman" w:cs="Times New Roman"/>
          <w:color w:val="000000"/>
          <w:sz w:val="24"/>
          <w:szCs w:val="24"/>
          <w:shd w:val="clear" w:color="auto" w:fill="FFFFFF"/>
        </w:rPr>
        <w:t>A review. </w:t>
      </w:r>
      <w:r w:rsidRPr="00E52B95">
        <w:rPr>
          <w:rFonts w:ascii="Times New Roman" w:hAnsi="Times New Roman" w:cs="Times New Roman"/>
          <w:i/>
          <w:iCs/>
          <w:color w:val="000000"/>
          <w:sz w:val="24"/>
          <w:szCs w:val="24"/>
          <w:shd w:val="clear" w:color="auto" w:fill="FFFFFF"/>
        </w:rPr>
        <w:t>Feddes Repert.</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131</w:t>
      </w:r>
      <w:r w:rsidRPr="00E52B95">
        <w:rPr>
          <w:rFonts w:ascii="Times New Roman" w:hAnsi="Times New Roman" w:cs="Times New Roman"/>
          <w:color w:val="000000"/>
          <w:sz w:val="24"/>
          <w:szCs w:val="24"/>
          <w:shd w:val="clear" w:color="auto" w:fill="FFFFFF"/>
        </w:rPr>
        <w:t>, 58-68.</w:t>
      </w:r>
      <w:r w:rsidRPr="00E52B95">
        <w:rPr>
          <w:rFonts w:ascii="Times New Roman" w:hAnsi="Times New Roman" w:cs="Times New Roman"/>
          <w:color w:val="000000"/>
          <w:sz w:val="24"/>
          <w:szCs w:val="24"/>
        </w:rPr>
        <w:t xml:space="preserve"> </w:t>
      </w:r>
      <w:hyperlink r:id="rId11" w:history="1">
        <w:r w:rsidRPr="00E52B95">
          <w:rPr>
            <w:rStyle w:val="Hyperlink"/>
            <w:rFonts w:ascii="Times New Roman" w:hAnsi="Times New Roman" w:cs="Times New Roman"/>
            <w:bCs/>
            <w:color w:val="000000"/>
            <w:sz w:val="24"/>
            <w:szCs w:val="24"/>
            <w:u w:val="none"/>
            <w:shd w:val="clear" w:color="auto" w:fill="FFFFFF"/>
          </w:rPr>
          <w:t>https://doi.org/10.1002/fedr.201900013</w:t>
        </w:r>
      </w:hyperlink>
    </w:p>
    <w:p w:rsidR="00CF355A" w:rsidRPr="00CF355A" w:rsidRDefault="00CF355A" w:rsidP="00E52B95">
      <w:pPr>
        <w:numPr>
          <w:ilvl w:val="0"/>
          <w:numId w:val="1"/>
        </w:numPr>
        <w:spacing w:line="360" w:lineRule="auto"/>
        <w:ind w:left="360"/>
        <w:jc w:val="both"/>
        <w:rPr>
          <w:rStyle w:val="Hyperlink"/>
          <w:rFonts w:ascii="Times New Roman" w:hAnsi="Times New Roman" w:cs="Times New Roman"/>
          <w:color w:val="000000"/>
          <w:sz w:val="24"/>
          <w:szCs w:val="24"/>
          <w:u w:val="none"/>
          <w:shd w:val="clear" w:color="auto" w:fill="FFFFFF"/>
        </w:rPr>
      </w:pPr>
      <w:r w:rsidRPr="00E52B95">
        <w:rPr>
          <w:rFonts w:ascii="Times New Roman" w:hAnsi="Times New Roman" w:cs="Times New Roman"/>
          <w:color w:val="000000"/>
          <w:sz w:val="24"/>
          <w:szCs w:val="24"/>
          <w:shd w:val="clear" w:color="auto" w:fill="FFFFFF"/>
        </w:rPr>
        <w:t xml:space="preserve">Van, H. T., Thang, T. D., Luu, T. N., &amp; Doan, V. D., 2021. An overview of the chemical composition and biological activities of essential oils from </w:t>
      </w:r>
      <w:r w:rsidRPr="00E52B95">
        <w:rPr>
          <w:rFonts w:ascii="Times New Roman" w:hAnsi="Times New Roman" w:cs="Times New Roman"/>
          <w:i/>
          <w:color w:val="000000"/>
          <w:sz w:val="24"/>
          <w:szCs w:val="24"/>
          <w:shd w:val="clear" w:color="auto" w:fill="FFFFFF"/>
        </w:rPr>
        <w:t>Alpinia</w:t>
      </w:r>
      <w:r w:rsidRPr="00E52B95">
        <w:rPr>
          <w:rFonts w:ascii="Times New Roman" w:hAnsi="Times New Roman" w:cs="Times New Roman"/>
          <w:color w:val="000000"/>
          <w:sz w:val="24"/>
          <w:szCs w:val="24"/>
          <w:shd w:val="clear" w:color="auto" w:fill="FFFFFF"/>
        </w:rPr>
        <w:t>genus (</w:t>
      </w:r>
      <w:r w:rsidRPr="00E52B95">
        <w:rPr>
          <w:rFonts w:ascii="Times New Roman" w:hAnsi="Times New Roman" w:cs="Times New Roman"/>
          <w:i/>
          <w:color w:val="000000"/>
          <w:sz w:val="24"/>
          <w:szCs w:val="24"/>
          <w:shd w:val="clear" w:color="auto" w:fill="FFFFFF"/>
        </w:rPr>
        <w:t>Zingiberaceae</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RSC adv.</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11</w:t>
      </w:r>
      <w:r w:rsidRPr="00E52B95">
        <w:rPr>
          <w:rFonts w:ascii="Times New Roman" w:hAnsi="Times New Roman" w:cs="Times New Roman"/>
          <w:color w:val="000000"/>
          <w:sz w:val="24"/>
          <w:szCs w:val="24"/>
          <w:shd w:val="clear" w:color="auto" w:fill="FFFFFF"/>
        </w:rPr>
        <w:t>, 37767-37783.</w:t>
      </w:r>
      <w:hyperlink r:id="rId12" w:tooltip="Link to landing page via DOI" w:history="1">
        <w:r w:rsidRPr="00E52B95">
          <w:rPr>
            <w:rStyle w:val="Hyperlink"/>
            <w:rFonts w:ascii="Times New Roman" w:hAnsi="Times New Roman" w:cs="Times New Roman"/>
            <w:bCs/>
            <w:color w:val="000000"/>
            <w:sz w:val="24"/>
            <w:szCs w:val="24"/>
            <w:u w:val="none"/>
          </w:rPr>
          <w:t>https://doi.org/10.1039/D1RA07370B</w:t>
        </w:r>
      </w:hyperlink>
    </w:p>
    <w:p w:rsidR="00E52B95" w:rsidRPr="00CF355A" w:rsidRDefault="00E52B95" w:rsidP="00E52B95">
      <w:pPr>
        <w:numPr>
          <w:ilvl w:val="0"/>
          <w:numId w:val="1"/>
        </w:numPr>
        <w:spacing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Chen, T. V., Boonma, T., &amp; Thi Thu Hien, N., 2025. An Overview of the Chemical Compositions and Biological Activities of Essential Oils from Selected</w:t>
      </w:r>
      <w:r w:rsidRPr="00E52B95">
        <w:rPr>
          <w:rFonts w:ascii="Times New Roman" w:hAnsi="Times New Roman" w:cs="Times New Roman"/>
          <w:i/>
          <w:color w:val="000000"/>
          <w:sz w:val="24"/>
          <w:szCs w:val="24"/>
          <w:shd w:val="clear" w:color="auto" w:fill="FFFFFF"/>
        </w:rPr>
        <w:t xml:space="preserve"> Zingiber  </w:t>
      </w:r>
      <w:r w:rsidRPr="00E52B95">
        <w:rPr>
          <w:rFonts w:ascii="Times New Roman" w:hAnsi="Times New Roman" w:cs="Times New Roman"/>
          <w:color w:val="000000"/>
          <w:sz w:val="24"/>
          <w:szCs w:val="24"/>
          <w:shd w:val="clear" w:color="auto" w:fill="FFFFFF"/>
        </w:rPr>
        <w:t xml:space="preserve">Species </w:t>
      </w:r>
      <w:r w:rsidRPr="00E52B95">
        <w:rPr>
          <w:rFonts w:ascii="Times New Roman" w:hAnsi="Times New Roman" w:cs="Times New Roman"/>
          <w:i/>
          <w:color w:val="000000"/>
          <w:sz w:val="24"/>
          <w:szCs w:val="24"/>
          <w:shd w:val="clear" w:color="auto" w:fill="FFFFFF"/>
        </w:rPr>
        <w:t>(Zingiberaceae</w:t>
      </w:r>
      <w:r w:rsidRPr="00E52B95">
        <w:rPr>
          <w:rFonts w:ascii="Times New Roman" w:hAnsi="Times New Roman" w:cs="Times New Roman"/>
          <w:color w:val="000000"/>
          <w:sz w:val="24"/>
          <w:szCs w:val="24"/>
          <w:shd w:val="clear" w:color="auto" w:fill="FFFFFF"/>
        </w:rPr>
        <w:t>). </w:t>
      </w:r>
      <w:r w:rsidRPr="00E52B95">
        <w:rPr>
          <w:rStyle w:val="Emphasis"/>
          <w:rFonts w:ascii="Times New Roman" w:hAnsi="Times New Roman" w:cs="Times New Roman"/>
          <w:bCs/>
          <w:i w:val="0"/>
          <w:iCs w:val="0"/>
          <w:color w:val="000000"/>
          <w:sz w:val="24"/>
          <w:szCs w:val="24"/>
          <w:shd w:val="clear" w:color="auto" w:fill="FFFFFF"/>
        </w:rPr>
        <w:t>Nat Prod Commun</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20</w:t>
      </w:r>
      <w:r w:rsidRPr="00E52B95">
        <w:rPr>
          <w:rFonts w:ascii="Times New Roman" w:hAnsi="Times New Roman" w:cs="Times New Roman"/>
          <w:color w:val="000000"/>
          <w:sz w:val="24"/>
          <w:szCs w:val="24"/>
          <w:shd w:val="clear" w:color="auto" w:fill="FFFFFF"/>
        </w:rPr>
        <w:t>,1934578X251329422.</w:t>
      </w:r>
      <w:r w:rsidRPr="00E52B95">
        <w:rPr>
          <w:rFonts w:ascii="Times New Roman" w:hAnsi="Times New Roman" w:cs="Times New Roman"/>
          <w:color w:val="000000"/>
          <w:sz w:val="24"/>
          <w:szCs w:val="24"/>
        </w:rPr>
        <w:t xml:space="preserve"> </w:t>
      </w:r>
      <w:hyperlink r:id="rId13" w:history="1">
        <w:r w:rsidRPr="00E52B95">
          <w:rPr>
            <w:rStyle w:val="Hyperlink"/>
            <w:rFonts w:ascii="Times New Roman" w:hAnsi="Times New Roman" w:cs="Times New Roman"/>
            <w:color w:val="000000"/>
            <w:sz w:val="24"/>
            <w:szCs w:val="24"/>
            <w:u w:val="none"/>
            <w:shd w:val="clear" w:color="auto" w:fill="FFFFFF"/>
          </w:rPr>
          <w:t>https://doi.org/10.1177/1934578X251329422</w:t>
        </w:r>
      </w:hyperlink>
    </w:p>
    <w:p w:rsidR="00E52B95" w:rsidRPr="00E52B95" w:rsidRDefault="00E52B95" w:rsidP="00E52B95">
      <w:pPr>
        <w:numPr>
          <w:ilvl w:val="0"/>
          <w:numId w:val="1"/>
        </w:numPr>
        <w:spacing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YUHENDRI, R., NURAINAS, N., MAIDELIZA, T., MERIKO, L., ALPONSIN, A., &amp; WAHAB, I. R. A., 2025. Anatomy and powder microscopy of </w:t>
      </w:r>
      <w:r w:rsidRPr="00E52B95">
        <w:rPr>
          <w:rFonts w:ascii="Times New Roman" w:hAnsi="Times New Roman" w:cs="Times New Roman"/>
          <w:i/>
          <w:color w:val="000000"/>
          <w:sz w:val="24"/>
          <w:szCs w:val="24"/>
          <w:shd w:val="clear" w:color="auto" w:fill="FFFFFF"/>
        </w:rPr>
        <w:t>Curcuma sumatrana</w:t>
      </w:r>
      <w:r w:rsidRPr="00E52B95">
        <w:rPr>
          <w:rFonts w:ascii="Times New Roman" w:hAnsi="Times New Roman" w:cs="Times New Roman"/>
          <w:color w:val="000000"/>
          <w:sz w:val="24"/>
          <w:szCs w:val="24"/>
          <w:shd w:val="clear" w:color="auto" w:fill="FFFFFF"/>
        </w:rPr>
        <w:t xml:space="preserve"> Miq. (</w:t>
      </w:r>
      <w:r w:rsidRPr="00E52B95">
        <w:rPr>
          <w:rFonts w:ascii="Times New Roman" w:hAnsi="Times New Roman" w:cs="Times New Roman"/>
          <w:i/>
          <w:color w:val="000000"/>
          <w:sz w:val="24"/>
          <w:szCs w:val="24"/>
          <w:shd w:val="clear" w:color="auto" w:fill="FFFFFF"/>
        </w:rPr>
        <w:t>Zingiberaceae</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 xml:space="preserve">Biodiversitas </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26</w:t>
      </w:r>
      <w:r w:rsidRPr="00E52B95">
        <w:rPr>
          <w:rFonts w:ascii="Times New Roman" w:hAnsi="Times New Roman" w:cs="Times New Roman"/>
          <w:color w:val="000000"/>
          <w:sz w:val="24"/>
          <w:szCs w:val="24"/>
          <w:shd w:val="clear" w:color="auto" w:fill="FFFFFF"/>
        </w:rPr>
        <w:t>. DOI:</w:t>
      </w:r>
      <w:hyperlink r:id="rId14" w:tgtFrame="_blank" w:history="1">
        <w:r w:rsidRPr="00E52B95">
          <w:rPr>
            <w:rStyle w:val="Hyperlink"/>
            <w:rFonts w:ascii="Times New Roman" w:hAnsi="Times New Roman" w:cs="Times New Roman"/>
            <w:color w:val="000000"/>
            <w:sz w:val="24"/>
            <w:szCs w:val="24"/>
            <w:u w:val="none"/>
            <w:bdr w:val="none" w:sz="0" w:space="0" w:color="auto" w:frame="1"/>
            <w:shd w:val="clear" w:color="auto" w:fill="FFFFFF"/>
          </w:rPr>
          <w:t>10.13057/biodiv/d260239</w:t>
        </w:r>
      </w:hyperlink>
    </w:p>
    <w:p w:rsidR="00E52B95" w:rsidRPr="00E52B95" w:rsidRDefault="00E52B95" w:rsidP="00E52B95">
      <w:pPr>
        <w:numPr>
          <w:ilvl w:val="0"/>
          <w:numId w:val="1"/>
        </w:numPr>
        <w:spacing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lastRenderedPageBreak/>
        <w:t xml:space="preserve">Cheng, H., Yu, L. M., Yan, W., Shao, C. Y., &amp; Chen, Y. G. (2024). Terpenoids from the Rhizomes of </w:t>
      </w:r>
      <w:r w:rsidRPr="00E52B95">
        <w:rPr>
          <w:rFonts w:ascii="Times New Roman" w:hAnsi="Times New Roman" w:cs="Times New Roman"/>
          <w:i/>
          <w:color w:val="000000"/>
          <w:sz w:val="24"/>
          <w:szCs w:val="24"/>
          <w:shd w:val="clear" w:color="auto" w:fill="FFFFFF"/>
        </w:rPr>
        <w:t>Hedychium convexum</w:t>
      </w:r>
      <w:r w:rsidRPr="00E52B95">
        <w:rPr>
          <w:rFonts w:ascii="Times New Roman" w:hAnsi="Times New Roman" w:cs="Times New Roman"/>
          <w:color w:val="000000"/>
          <w:sz w:val="24"/>
          <w:szCs w:val="24"/>
          <w:shd w:val="clear" w:color="auto" w:fill="FFFFFF"/>
        </w:rPr>
        <w:t>. </w:t>
      </w:r>
      <w:r w:rsidRPr="00E52B95">
        <w:rPr>
          <w:rStyle w:val="Emphasis"/>
          <w:rFonts w:ascii="Times New Roman" w:hAnsi="Times New Roman" w:cs="Times New Roman"/>
          <w:bCs/>
          <w:i w:val="0"/>
          <w:iCs w:val="0"/>
          <w:color w:val="000000"/>
          <w:sz w:val="24"/>
          <w:szCs w:val="24"/>
          <w:shd w:val="clear" w:color="auto" w:fill="FFFFFF"/>
        </w:rPr>
        <w:t>Chem. Nat. Compd</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60</w:t>
      </w:r>
      <w:r w:rsidRPr="00E52B95">
        <w:rPr>
          <w:rFonts w:ascii="Times New Roman" w:hAnsi="Times New Roman" w:cs="Times New Roman"/>
          <w:color w:val="000000"/>
          <w:sz w:val="24"/>
          <w:szCs w:val="24"/>
          <w:shd w:val="clear" w:color="auto" w:fill="FFFFFF"/>
        </w:rPr>
        <w:t>(5), 965-968. DOI:</w:t>
      </w:r>
      <w:hyperlink r:id="rId15" w:tgtFrame="_blank" w:history="1">
        <w:r w:rsidRPr="00E52B95">
          <w:rPr>
            <w:rStyle w:val="Hyperlink"/>
            <w:rFonts w:ascii="Times New Roman" w:hAnsi="Times New Roman" w:cs="Times New Roman"/>
            <w:color w:val="000000"/>
            <w:sz w:val="24"/>
            <w:szCs w:val="24"/>
            <w:u w:val="none"/>
            <w:bdr w:val="none" w:sz="0" w:space="0" w:color="auto" w:frame="1"/>
            <w:shd w:val="clear" w:color="auto" w:fill="FFFFFF"/>
          </w:rPr>
          <w:t>10.13057/biodiv/d260239</w:t>
        </w:r>
      </w:hyperlink>
    </w:p>
    <w:p w:rsidR="00E52B95" w:rsidRPr="00E52B95" w:rsidRDefault="00E52B95" w:rsidP="00E52B95">
      <w:pPr>
        <w:numPr>
          <w:ilvl w:val="0"/>
          <w:numId w:val="1"/>
        </w:numPr>
        <w:spacing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Gangmei, D., Sanabam, R., Singh, N. S., &amp; Devi, H. S. (2024). Phytochemical and medicinal significance of Kaempferia: a review of its origin, distribution, and morpho-taxonomy in India. </w:t>
      </w:r>
      <w:r w:rsidRPr="00E52B95">
        <w:rPr>
          <w:rStyle w:val="Strong"/>
          <w:rFonts w:ascii="Times New Roman" w:hAnsi="Times New Roman" w:cs="Times New Roman"/>
          <w:b w:val="0"/>
          <w:color w:val="000000"/>
          <w:sz w:val="24"/>
          <w:szCs w:val="24"/>
          <w:shd w:val="clear" w:color="auto" w:fill="FFFFFF"/>
        </w:rPr>
        <w:t>Genet. Resourc. Crop Evol.</w:t>
      </w:r>
      <w:r w:rsidRPr="00E52B95">
        <w:rPr>
          <w:rFonts w:ascii="Times New Roman" w:hAnsi="Times New Roman" w:cs="Times New Roman"/>
          <w:color w:val="000000"/>
          <w:sz w:val="24"/>
          <w:szCs w:val="24"/>
          <w:shd w:val="clear" w:color="auto" w:fill="FFFFFF"/>
        </w:rPr>
        <w:t>1-30. DOI:</w:t>
      </w:r>
      <w:hyperlink r:id="rId16" w:tgtFrame="_blank" w:history="1">
        <w:r w:rsidRPr="00E52B95">
          <w:rPr>
            <w:rStyle w:val="Hyperlink"/>
            <w:rFonts w:ascii="Times New Roman" w:hAnsi="Times New Roman" w:cs="Times New Roman"/>
            <w:color w:val="000000"/>
            <w:sz w:val="24"/>
            <w:szCs w:val="24"/>
            <w:u w:val="none"/>
            <w:bdr w:val="none" w:sz="0" w:space="0" w:color="auto" w:frame="1"/>
            <w:shd w:val="clear" w:color="auto" w:fill="FFFFFF"/>
          </w:rPr>
          <w:t>10.1007/s10722-024-02198-7</w:t>
        </w:r>
      </w:hyperlink>
    </w:p>
    <w:p w:rsidR="00E52B95" w:rsidRPr="00E52B95" w:rsidRDefault="00E52B95" w:rsidP="00E52B95">
      <w:pPr>
        <w:numPr>
          <w:ilvl w:val="0"/>
          <w:numId w:val="1"/>
        </w:numPr>
        <w:spacing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Nirmal Babu, K., Jayakumar, V. N., MINOO, D., Venugopal, M. N., Sudarshan, M. R., Radhakrishnan, V. V.,  &amp; Parthasarathy, V. A. 2012. Genetic diversity and phylogenetic relationships among small cardamom (</w:t>
      </w:r>
      <w:r w:rsidRPr="00E52B95">
        <w:rPr>
          <w:rFonts w:ascii="Times New Roman" w:hAnsi="Times New Roman" w:cs="Times New Roman"/>
          <w:i/>
          <w:color w:val="000000"/>
          <w:sz w:val="24"/>
          <w:szCs w:val="24"/>
          <w:shd w:val="clear" w:color="auto" w:fill="FFFFFF"/>
        </w:rPr>
        <w:t>Elettaria cardamomum</w:t>
      </w:r>
      <w:r w:rsidRPr="00E52B95">
        <w:rPr>
          <w:rFonts w:ascii="Times New Roman" w:hAnsi="Times New Roman" w:cs="Times New Roman"/>
          <w:color w:val="000000"/>
          <w:sz w:val="24"/>
          <w:szCs w:val="24"/>
          <w:shd w:val="clear" w:color="auto" w:fill="FFFFFF"/>
        </w:rPr>
        <w:t xml:space="preserve"> Maton.) cultivars and related genera using DNA markers. </w:t>
      </w:r>
      <w:r w:rsidRPr="00E52B95">
        <w:rPr>
          <w:rFonts w:ascii="Times New Roman" w:hAnsi="Times New Roman" w:cs="Times New Roman"/>
          <w:i/>
          <w:iCs/>
          <w:color w:val="000000"/>
          <w:sz w:val="24"/>
          <w:szCs w:val="24"/>
          <w:shd w:val="clear" w:color="auto" w:fill="FFFFFF"/>
        </w:rPr>
        <w:t>International Journal</w:t>
      </w:r>
      <w:r w:rsidRPr="00E52B95">
        <w:rPr>
          <w:rFonts w:ascii="Times New Roman" w:hAnsi="Times New Roman" w:cs="Times New Roman"/>
          <w:color w:val="000000"/>
          <w:sz w:val="24"/>
          <w:szCs w:val="24"/>
          <w:shd w:val="clear" w:color="auto" w:fill="FFFFFF"/>
        </w:rPr>
        <w:t>.</w:t>
      </w:r>
    </w:p>
    <w:p w:rsidR="00E52B95" w:rsidRPr="00E52B95" w:rsidRDefault="00E52B95" w:rsidP="00E52B95">
      <w:pPr>
        <w:numPr>
          <w:ilvl w:val="0"/>
          <w:numId w:val="1"/>
        </w:numPr>
        <w:spacing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Ayustaningwarno, F., Anjani, G., Ayu, A. M., &amp; Fogliano, V., 2024. A critical review of Ginger’s (</w:t>
      </w:r>
      <w:r w:rsidRPr="00E52B95">
        <w:rPr>
          <w:rFonts w:ascii="Times New Roman" w:hAnsi="Times New Roman" w:cs="Times New Roman"/>
          <w:i/>
          <w:color w:val="000000"/>
          <w:sz w:val="24"/>
          <w:szCs w:val="24"/>
          <w:shd w:val="clear" w:color="auto" w:fill="FFFFFF"/>
        </w:rPr>
        <w:t xml:space="preserve">Zingiber  officinale </w:t>
      </w:r>
      <w:r w:rsidRPr="00E52B95">
        <w:rPr>
          <w:rFonts w:ascii="Times New Roman" w:hAnsi="Times New Roman" w:cs="Times New Roman"/>
          <w:color w:val="000000"/>
          <w:sz w:val="24"/>
          <w:szCs w:val="24"/>
          <w:shd w:val="clear" w:color="auto" w:fill="FFFFFF"/>
        </w:rPr>
        <w:t>) antioxidant, anti-inflammatory, and immunomodulatory activities. </w:t>
      </w:r>
      <w:r w:rsidRPr="00E52B95">
        <w:rPr>
          <w:rFonts w:ascii="Times New Roman" w:hAnsi="Times New Roman" w:cs="Times New Roman"/>
          <w:i/>
          <w:iCs/>
          <w:color w:val="000000"/>
          <w:sz w:val="24"/>
          <w:szCs w:val="24"/>
          <w:shd w:val="clear" w:color="auto" w:fill="FFFFFF"/>
        </w:rPr>
        <w:t>Frontiers in nutrition</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11</w:t>
      </w:r>
      <w:r w:rsidRPr="00E52B95">
        <w:rPr>
          <w:rFonts w:ascii="Times New Roman" w:hAnsi="Times New Roman" w:cs="Times New Roman"/>
          <w:color w:val="000000"/>
          <w:sz w:val="24"/>
          <w:szCs w:val="24"/>
          <w:shd w:val="clear" w:color="auto" w:fill="FFFFFF"/>
        </w:rPr>
        <w:t>, 1364836.</w:t>
      </w:r>
      <w:r w:rsidRPr="00E52B95">
        <w:rPr>
          <w:rFonts w:ascii="Times New Roman" w:hAnsi="Times New Roman" w:cs="Times New Roman"/>
          <w:color w:val="000000"/>
          <w:sz w:val="24"/>
          <w:szCs w:val="24"/>
        </w:rPr>
        <w:t xml:space="preserve"> </w:t>
      </w:r>
      <w:hyperlink r:id="rId17" w:history="1">
        <w:r w:rsidRPr="00E52B95">
          <w:rPr>
            <w:rStyle w:val="Hyperlink"/>
            <w:rFonts w:ascii="Times New Roman" w:hAnsi="Times New Roman" w:cs="Times New Roman"/>
            <w:color w:val="000000"/>
            <w:sz w:val="24"/>
            <w:szCs w:val="24"/>
            <w:u w:val="none"/>
            <w:shd w:val="clear" w:color="auto" w:fill="F7F7F7"/>
          </w:rPr>
          <w:t>https://doi.org/10.3389/fnut.2024.1364836</w:t>
        </w:r>
      </w:hyperlink>
    </w:p>
    <w:p w:rsidR="00E52B95" w:rsidRPr="00E52B95" w:rsidRDefault="00E52B95" w:rsidP="00E52B95">
      <w:pPr>
        <w:numPr>
          <w:ilvl w:val="0"/>
          <w:numId w:val="1"/>
        </w:numPr>
        <w:spacing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Schmidt, E., Ryabchenko, B., Wanner, J., Jäger, W., &amp; Jirovetz, L. 2015. Cytotoxic active constituents of essential oils of </w:t>
      </w:r>
      <w:r w:rsidRPr="00E52B95">
        <w:rPr>
          <w:rFonts w:ascii="Times New Roman" w:hAnsi="Times New Roman" w:cs="Times New Roman"/>
          <w:i/>
          <w:color w:val="000000"/>
          <w:sz w:val="24"/>
          <w:szCs w:val="24"/>
          <w:shd w:val="clear" w:color="auto" w:fill="FFFFFF"/>
        </w:rPr>
        <w:t>Curcuma longa</w:t>
      </w:r>
      <w:r w:rsidRPr="00E52B95">
        <w:rPr>
          <w:rFonts w:ascii="Times New Roman" w:hAnsi="Times New Roman" w:cs="Times New Roman"/>
          <w:color w:val="000000"/>
          <w:sz w:val="24"/>
          <w:szCs w:val="24"/>
          <w:shd w:val="clear" w:color="auto" w:fill="FFFFFF"/>
        </w:rPr>
        <w:t xml:space="preserve"> and </w:t>
      </w:r>
      <w:r w:rsidRPr="00E52B95">
        <w:rPr>
          <w:rFonts w:ascii="Times New Roman" w:hAnsi="Times New Roman" w:cs="Times New Roman"/>
          <w:i/>
          <w:color w:val="000000"/>
          <w:sz w:val="24"/>
          <w:szCs w:val="24"/>
          <w:shd w:val="clear" w:color="auto" w:fill="FFFFFF"/>
        </w:rPr>
        <w:t>Curcuma zanthorrhiza</w:t>
      </w:r>
      <w:r w:rsidRPr="00E52B95">
        <w:rPr>
          <w:rFonts w:ascii="Times New Roman" w:hAnsi="Times New Roman" w:cs="Times New Roman"/>
          <w:color w:val="000000"/>
          <w:sz w:val="24"/>
          <w:szCs w:val="24"/>
          <w:shd w:val="clear" w:color="auto" w:fill="FFFFFF"/>
        </w:rPr>
        <w:t>. Nat. Prod. Commun., </w:t>
      </w:r>
      <w:r w:rsidRPr="00E52B95">
        <w:rPr>
          <w:rFonts w:ascii="Times New Roman" w:hAnsi="Times New Roman" w:cs="Times New Roman"/>
          <w:i/>
          <w:iCs/>
          <w:color w:val="000000"/>
          <w:sz w:val="24"/>
          <w:szCs w:val="24"/>
          <w:shd w:val="clear" w:color="auto" w:fill="FFFFFF"/>
        </w:rPr>
        <w:t>10</w:t>
      </w:r>
      <w:r w:rsidRPr="00E52B95">
        <w:rPr>
          <w:rFonts w:ascii="Times New Roman" w:hAnsi="Times New Roman" w:cs="Times New Roman"/>
          <w:color w:val="000000"/>
          <w:sz w:val="24"/>
          <w:szCs w:val="24"/>
          <w:shd w:val="clear" w:color="auto" w:fill="FFFFFF"/>
        </w:rPr>
        <w:t>, 1934578X1501000132.</w:t>
      </w:r>
      <w:r w:rsidRPr="00E52B95">
        <w:rPr>
          <w:rStyle w:val="id-label"/>
          <w:rFonts w:ascii="Times New Roman" w:hAnsi="Times New Roman" w:cs="Times New Roman"/>
          <w:color w:val="000000"/>
          <w:sz w:val="24"/>
          <w:szCs w:val="24"/>
        </w:rPr>
        <w:t xml:space="preserve"> DOI: </w:t>
      </w:r>
      <w:hyperlink r:id="rId18" w:tgtFrame="_blank" w:history="1">
        <w:r w:rsidRPr="00E52B95">
          <w:rPr>
            <w:rStyle w:val="Hyperlink"/>
            <w:rFonts w:ascii="Times New Roman" w:hAnsi="Times New Roman" w:cs="Times New Roman"/>
            <w:color w:val="000000"/>
            <w:sz w:val="24"/>
            <w:szCs w:val="24"/>
            <w:u w:val="none"/>
          </w:rPr>
          <w:t>10.3389/fnut.2024.1364836</w:t>
        </w:r>
      </w:hyperlink>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 Chavan, J. J., &amp; Dey, A., 2023. </w:t>
      </w:r>
      <w:r w:rsidRPr="00E52B95">
        <w:rPr>
          <w:rFonts w:ascii="Times New Roman" w:hAnsi="Times New Roman" w:cs="Times New Roman"/>
          <w:i/>
          <w:color w:val="000000"/>
          <w:sz w:val="24"/>
          <w:szCs w:val="24"/>
          <w:shd w:val="clear" w:color="auto" w:fill="FFFFFF"/>
        </w:rPr>
        <w:t>Zingiber  zerumbet</w:t>
      </w:r>
      <w:r w:rsidRPr="00E52B95">
        <w:rPr>
          <w:rFonts w:ascii="Times New Roman" w:hAnsi="Times New Roman" w:cs="Times New Roman"/>
          <w:color w:val="000000"/>
          <w:sz w:val="24"/>
          <w:szCs w:val="24"/>
          <w:shd w:val="clear" w:color="auto" w:fill="FFFFFF"/>
        </w:rPr>
        <w:t xml:space="preserve"> (L.) Roscoe ex Sm.: biotechnological advancements and perspectives. Appl. Microbiol. Biotechnol., </w:t>
      </w:r>
      <w:r w:rsidRPr="00E52B95">
        <w:rPr>
          <w:rFonts w:ascii="Times New Roman" w:hAnsi="Times New Roman" w:cs="Times New Roman"/>
          <w:i/>
          <w:iCs/>
          <w:color w:val="000000"/>
          <w:sz w:val="24"/>
          <w:szCs w:val="24"/>
          <w:shd w:val="clear" w:color="auto" w:fill="FFFFFF"/>
        </w:rPr>
        <w:t>107</w:t>
      </w:r>
      <w:r w:rsidRPr="00E52B95">
        <w:rPr>
          <w:rFonts w:ascii="Times New Roman" w:hAnsi="Times New Roman" w:cs="Times New Roman"/>
          <w:color w:val="000000"/>
          <w:sz w:val="24"/>
          <w:szCs w:val="24"/>
          <w:shd w:val="clear" w:color="auto" w:fill="FFFFFF"/>
        </w:rPr>
        <w:t>, 5613-5625. DOI: </w:t>
      </w:r>
      <w:hyperlink r:id="rId19" w:tgtFrame="_blank" w:history="1">
        <w:r w:rsidRPr="00E52B95">
          <w:rPr>
            <w:rStyle w:val="Hyperlink"/>
            <w:rFonts w:ascii="Times New Roman" w:hAnsi="Times New Roman" w:cs="Times New Roman"/>
            <w:color w:val="000000"/>
            <w:sz w:val="24"/>
            <w:szCs w:val="24"/>
            <w:u w:val="none"/>
            <w:bdr w:val="single" w:sz="2" w:space="0" w:color="D1D1D2" w:frame="1"/>
            <w:shd w:val="clear" w:color="auto" w:fill="FFFFFF"/>
          </w:rPr>
          <w:t>10.1007/s00253-023-12682-2</w:t>
        </w:r>
      </w:hyperlink>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Lin, Y. C., Chao, C. T., Chang, C. Y., &amp; Tseng, Y. H. 2022. Taxonomic revision of </w:t>
      </w:r>
      <w:r w:rsidRPr="00E52B95">
        <w:rPr>
          <w:rFonts w:ascii="Times New Roman" w:hAnsi="Times New Roman" w:cs="Times New Roman"/>
          <w:i/>
          <w:color w:val="000000"/>
          <w:sz w:val="24"/>
          <w:szCs w:val="24"/>
          <w:shd w:val="clear" w:color="auto" w:fill="FFFFFF"/>
        </w:rPr>
        <w:t xml:space="preserve">Zingiber  </w:t>
      </w:r>
      <w:r w:rsidRPr="00E52B95">
        <w:rPr>
          <w:rFonts w:ascii="Times New Roman" w:hAnsi="Times New Roman" w:cs="Times New Roman"/>
          <w:color w:val="000000"/>
          <w:sz w:val="24"/>
          <w:szCs w:val="24"/>
          <w:shd w:val="clear" w:color="auto" w:fill="FFFFFF"/>
        </w:rPr>
        <w:t>(</w:t>
      </w:r>
      <w:r w:rsidRPr="00E52B95">
        <w:rPr>
          <w:rFonts w:ascii="Times New Roman" w:hAnsi="Times New Roman" w:cs="Times New Roman"/>
          <w:i/>
          <w:color w:val="000000"/>
          <w:sz w:val="24"/>
          <w:szCs w:val="24"/>
          <w:shd w:val="clear" w:color="auto" w:fill="FFFFFF"/>
        </w:rPr>
        <w:t>Zingiberaceae</w:t>
      </w:r>
      <w:r w:rsidRPr="00E52B95">
        <w:rPr>
          <w:rFonts w:ascii="Times New Roman" w:hAnsi="Times New Roman" w:cs="Times New Roman"/>
          <w:color w:val="000000"/>
          <w:sz w:val="24"/>
          <w:szCs w:val="24"/>
          <w:shd w:val="clear" w:color="auto" w:fill="FFFFFF"/>
        </w:rPr>
        <w:t>) of Taiwan. Eur. J. Taxon., </w:t>
      </w:r>
      <w:r w:rsidRPr="00E52B95">
        <w:rPr>
          <w:rFonts w:ascii="Times New Roman" w:hAnsi="Times New Roman" w:cs="Times New Roman"/>
          <w:i/>
          <w:iCs/>
          <w:color w:val="000000"/>
          <w:sz w:val="24"/>
          <w:szCs w:val="24"/>
          <w:shd w:val="clear" w:color="auto" w:fill="FFFFFF"/>
        </w:rPr>
        <w:t>839</w:t>
      </w:r>
      <w:r w:rsidRPr="00E52B95">
        <w:rPr>
          <w:rFonts w:ascii="Times New Roman" w:hAnsi="Times New Roman" w:cs="Times New Roman"/>
          <w:color w:val="000000"/>
          <w:sz w:val="24"/>
          <w:szCs w:val="24"/>
          <w:shd w:val="clear" w:color="auto" w:fill="FFFFFF"/>
        </w:rPr>
        <w:t>, 74-102.</w:t>
      </w:r>
      <w:r w:rsidRPr="00E52B95">
        <w:rPr>
          <w:rFonts w:ascii="Times New Roman" w:hAnsi="Times New Roman" w:cs="Times New Roman"/>
          <w:bCs/>
          <w:color w:val="000000"/>
          <w:sz w:val="24"/>
          <w:szCs w:val="24"/>
          <w:bdr w:val="none" w:sz="0" w:space="0" w:color="auto" w:frame="1"/>
          <w:shd w:val="clear" w:color="auto" w:fill="FFFFFF"/>
        </w:rPr>
        <w:t xml:space="preserve"> </w:t>
      </w:r>
      <w:r w:rsidRPr="00E52B95">
        <w:rPr>
          <w:rStyle w:val="label"/>
          <w:rFonts w:ascii="Times New Roman" w:hAnsi="Times New Roman" w:cs="Times New Roman"/>
          <w:bCs/>
          <w:color w:val="000000"/>
          <w:sz w:val="24"/>
          <w:szCs w:val="24"/>
          <w:bdr w:val="none" w:sz="0" w:space="0" w:color="auto" w:frame="1"/>
          <w:shd w:val="clear" w:color="auto" w:fill="FFFFFF"/>
        </w:rPr>
        <w:t>DOI: </w:t>
      </w:r>
      <w:hyperlink r:id="rId20" w:history="1">
        <w:r w:rsidRPr="00E52B95">
          <w:rPr>
            <w:rStyle w:val="Hyperlink"/>
            <w:rFonts w:ascii="Times New Roman" w:hAnsi="Times New Roman" w:cs="Times New Roman"/>
            <w:color w:val="000000"/>
            <w:sz w:val="24"/>
            <w:szCs w:val="24"/>
            <w:u w:val="none"/>
          </w:rPr>
          <w:t>https://doi.org/10.5852/ejt.2022.839.1933</w:t>
        </w:r>
      </w:hyperlink>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Kasarkar, A., Kulkarni, D., Dhudade, P., &amp; Sabu, M., 2017. New Report on </w:t>
      </w:r>
      <w:r w:rsidRPr="00E52B95">
        <w:rPr>
          <w:rFonts w:ascii="Times New Roman" w:hAnsi="Times New Roman" w:cs="Times New Roman"/>
          <w:i/>
          <w:color w:val="000000"/>
          <w:sz w:val="24"/>
          <w:szCs w:val="24"/>
          <w:shd w:val="clear" w:color="auto" w:fill="FFFFFF"/>
        </w:rPr>
        <w:t>Zingiber  montanum</w:t>
      </w:r>
      <w:r w:rsidRPr="00E52B95">
        <w:rPr>
          <w:rFonts w:ascii="Times New Roman" w:hAnsi="Times New Roman" w:cs="Times New Roman"/>
          <w:color w:val="000000"/>
          <w:sz w:val="24"/>
          <w:szCs w:val="24"/>
          <w:shd w:val="clear" w:color="auto" w:fill="FFFFFF"/>
        </w:rPr>
        <w:t xml:space="preserve"> (KD Koenig) Link. From Kudal, Dist. Sindhudurg, (MS) India. </w:t>
      </w:r>
      <w:r w:rsidRPr="00E52B95">
        <w:rPr>
          <w:rStyle w:val="Strong"/>
          <w:rFonts w:ascii="Times New Roman" w:hAnsi="Times New Roman" w:cs="Times New Roman"/>
          <w:b w:val="0"/>
          <w:color w:val="000000"/>
          <w:sz w:val="24"/>
          <w:szCs w:val="24"/>
          <w:shd w:val="clear" w:color="auto" w:fill="FFFFFF"/>
        </w:rPr>
        <w:t>Biosci. Discov.</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8</w:t>
      </w:r>
      <w:r w:rsidRPr="00E52B95">
        <w:rPr>
          <w:rFonts w:ascii="Times New Roman" w:hAnsi="Times New Roman" w:cs="Times New Roman"/>
          <w:color w:val="000000"/>
          <w:sz w:val="24"/>
          <w:szCs w:val="24"/>
          <w:shd w:val="clear" w:color="auto" w:fill="FFFFFF"/>
        </w:rPr>
        <w:t>, 270-273.</w:t>
      </w:r>
      <w:r w:rsidRPr="00E52B95">
        <w:rPr>
          <w:rFonts w:ascii="Times New Roman" w:hAnsi="Times New Roman" w:cs="Times New Roman"/>
          <w:color w:val="000000"/>
          <w:sz w:val="24"/>
          <w:szCs w:val="24"/>
        </w:rPr>
        <w:t xml:space="preserve"> doi: https://doi.org/10.54905/disssi.v24i74.e71s1577</w:t>
      </w:r>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Ruttanapattanakul, J., Wikan, N., Chinda, K., Jearanaikulvanich, T., Krisanuruks, N., Muangcha, M., ... &amp; Nimlamool, W.,2021. Essential oil from </w:t>
      </w:r>
      <w:r w:rsidRPr="00E52B95">
        <w:rPr>
          <w:rFonts w:ascii="Times New Roman" w:hAnsi="Times New Roman" w:cs="Times New Roman"/>
          <w:i/>
          <w:color w:val="000000"/>
          <w:sz w:val="24"/>
          <w:szCs w:val="24"/>
          <w:shd w:val="clear" w:color="auto" w:fill="FFFFFF"/>
        </w:rPr>
        <w:t>Zingiber  ottensii</w:t>
      </w:r>
      <w:r w:rsidRPr="00E52B95">
        <w:rPr>
          <w:rFonts w:ascii="Times New Roman" w:hAnsi="Times New Roman" w:cs="Times New Roman"/>
          <w:color w:val="000000"/>
          <w:sz w:val="24"/>
          <w:szCs w:val="24"/>
          <w:shd w:val="clear" w:color="auto" w:fill="FFFFFF"/>
        </w:rPr>
        <w:t xml:space="preserve"> induces human cervical cancer cell apoptosis and inhibits MAPK and PI3K/AKT signaling cascades. </w:t>
      </w:r>
      <w:r w:rsidRPr="00E52B95">
        <w:rPr>
          <w:rFonts w:ascii="Times New Roman" w:hAnsi="Times New Roman" w:cs="Times New Roman"/>
          <w:i/>
          <w:iCs/>
          <w:color w:val="000000"/>
          <w:sz w:val="24"/>
          <w:szCs w:val="24"/>
          <w:shd w:val="clear" w:color="auto" w:fill="FFFFFF"/>
        </w:rPr>
        <w:t>Plants</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10</w:t>
      </w:r>
      <w:r w:rsidRPr="00E52B95">
        <w:rPr>
          <w:rFonts w:ascii="Times New Roman" w:hAnsi="Times New Roman" w:cs="Times New Roman"/>
          <w:color w:val="000000"/>
          <w:sz w:val="24"/>
          <w:szCs w:val="24"/>
          <w:shd w:val="clear" w:color="auto" w:fill="FFFFFF"/>
        </w:rPr>
        <w:t>, 1419.  </w:t>
      </w:r>
      <w:hyperlink r:id="rId21" w:history="1">
        <w:r w:rsidRPr="00E52B95">
          <w:rPr>
            <w:rStyle w:val="Hyperlink"/>
            <w:rFonts w:ascii="Times New Roman" w:hAnsi="Times New Roman" w:cs="Times New Roman"/>
            <w:bCs/>
            <w:color w:val="000000"/>
            <w:sz w:val="24"/>
            <w:szCs w:val="24"/>
            <w:u w:val="none"/>
            <w:shd w:val="clear" w:color="auto" w:fill="FFFFFF"/>
          </w:rPr>
          <w:t>https://doi.org/10.3390/plants10071419</w:t>
        </w:r>
      </w:hyperlink>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lastRenderedPageBreak/>
        <w:t xml:space="preserve">Windarsih, G., Utami, D. W., &amp; Yuriyah, S., 2021. Morphological characteristics of </w:t>
      </w:r>
      <w:r w:rsidRPr="00E52B95">
        <w:rPr>
          <w:rFonts w:ascii="Times New Roman" w:hAnsi="Times New Roman" w:cs="Times New Roman"/>
          <w:i/>
          <w:color w:val="000000"/>
          <w:sz w:val="24"/>
          <w:szCs w:val="24"/>
          <w:shd w:val="clear" w:color="auto" w:fill="FFFFFF"/>
        </w:rPr>
        <w:t xml:space="preserve">zingiberaceae </w:t>
      </w:r>
      <w:r w:rsidRPr="00E52B95">
        <w:rPr>
          <w:rFonts w:ascii="Times New Roman" w:hAnsi="Times New Roman" w:cs="Times New Roman"/>
          <w:color w:val="000000"/>
          <w:sz w:val="24"/>
          <w:szCs w:val="24"/>
          <w:shd w:val="clear" w:color="auto" w:fill="FFFFFF"/>
        </w:rPr>
        <w:t>in serang district, banten, Indonesia. </w:t>
      </w:r>
      <w:r w:rsidRPr="00E52B95">
        <w:rPr>
          <w:rFonts w:ascii="Times New Roman" w:hAnsi="Times New Roman" w:cs="Times New Roman"/>
          <w:i/>
          <w:iCs/>
          <w:color w:val="000000"/>
          <w:sz w:val="24"/>
          <w:szCs w:val="24"/>
          <w:shd w:val="clear" w:color="auto" w:fill="FFFFFF"/>
        </w:rPr>
        <w:t>Biodiversitas Journal of Biological Diversity</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22</w:t>
      </w:r>
      <w:r w:rsidRPr="00E52B95">
        <w:rPr>
          <w:rFonts w:ascii="Times New Roman" w:hAnsi="Times New Roman" w:cs="Times New Roman"/>
          <w:color w:val="000000"/>
          <w:sz w:val="24"/>
          <w:szCs w:val="24"/>
          <w:shd w:val="clear" w:color="auto" w:fill="FFFFFF"/>
        </w:rPr>
        <w:t>. DOI: </w:t>
      </w:r>
      <w:hyperlink r:id="rId22" w:tgtFrame="_blank" w:history="1">
        <w:r w:rsidRPr="00E52B95">
          <w:rPr>
            <w:rStyle w:val="Hyperlink"/>
            <w:rFonts w:ascii="Times New Roman" w:hAnsi="Times New Roman" w:cs="Times New Roman"/>
            <w:color w:val="000000"/>
            <w:sz w:val="24"/>
            <w:szCs w:val="24"/>
            <w:u w:val="none"/>
            <w:bdr w:val="single" w:sz="2" w:space="0" w:color="D1D1D2" w:frame="1"/>
            <w:shd w:val="clear" w:color="auto" w:fill="FFFFFF"/>
          </w:rPr>
          <w:t>10.13057/biodiv/d221235</w:t>
        </w:r>
      </w:hyperlink>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Borah, A., Kumar, D., Paw, M., Begum, T., &amp; Lal, M., 2020. A review on ethnobotany and promising pharmacological aspects of an endangered medicinal plant, </w:t>
      </w:r>
      <w:r w:rsidRPr="00E52B95">
        <w:rPr>
          <w:rFonts w:ascii="Times New Roman" w:hAnsi="Times New Roman" w:cs="Times New Roman"/>
          <w:i/>
          <w:color w:val="000000"/>
          <w:sz w:val="24"/>
          <w:szCs w:val="24"/>
          <w:shd w:val="clear" w:color="auto" w:fill="FFFFFF"/>
        </w:rPr>
        <w:t>Curcuma caesia</w:t>
      </w:r>
      <w:r w:rsidRPr="00E52B95">
        <w:rPr>
          <w:rFonts w:ascii="Times New Roman" w:hAnsi="Times New Roman" w:cs="Times New Roman"/>
          <w:color w:val="000000"/>
          <w:sz w:val="24"/>
          <w:szCs w:val="24"/>
          <w:shd w:val="clear" w:color="auto" w:fill="FFFFFF"/>
        </w:rPr>
        <w:t xml:space="preserve"> Roxb. </w:t>
      </w:r>
      <w:r w:rsidRPr="00E52B95">
        <w:rPr>
          <w:rFonts w:ascii="Times New Roman" w:hAnsi="Times New Roman" w:cs="Times New Roman"/>
          <w:i/>
          <w:iCs/>
          <w:color w:val="000000"/>
          <w:sz w:val="24"/>
          <w:szCs w:val="24"/>
          <w:shd w:val="clear" w:color="auto" w:fill="FFFFFF"/>
        </w:rPr>
        <w:t>Turkish Journal of Botany</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44</w:t>
      </w:r>
      <w:r w:rsidRPr="00E52B95">
        <w:rPr>
          <w:rFonts w:ascii="Times New Roman" w:hAnsi="Times New Roman" w:cs="Times New Roman"/>
          <w:color w:val="000000"/>
          <w:sz w:val="24"/>
          <w:szCs w:val="24"/>
          <w:shd w:val="clear" w:color="auto" w:fill="FFFFFF"/>
        </w:rPr>
        <w:t>, 205-213. DOI: </w:t>
      </w:r>
      <w:hyperlink r:id="rId23" w:tgtFrame="_blank" w:history="1">
        <w:r w:rsidRPr="00E52B95">
          <w:rPr>
            <w:rStyle w:val="Hyperlink"/>
            <w:rFonts w:ascii="Times New Roman" w:hAnsi="Times New Roman" w:cs="Times New Roman"/>
            <w:color w:val="000000"/>
            <w:sz w:val="24"/>
            <w:szCs w:val="24"/>
            <w:u w:val="none"/>
            <w:bdr w:val="single" w:sz="2" w:space="0" w:color="D1D1D2" w:frame="1"/>
            <w:shd w:val="clear" w:color="auto" w:fill="FFFFFF"/>
          </w:rPr>
          <w:t>10.3906/bot-1910-33</w:t>
        </w:r>
      </w:hyperlink>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Dhiman, Alisha &amp; Sharma, Munish., 2023. Ethnopharmacological Profile of </w:t>
      </w:r>
      <w:r w:rsidRPr="00E52B95">
        <w:rPr>
          <w:rFonts w:ascii="Times New Roman" w:hAnsi="Times New Roman" w:cs="Times New Roman"/>
          <w:i/>
          <w:color w:val="000000"/>
          <w:sz w:val="24"/>
          <w:szCs w:val="24"/>
          <w:shd w:val="clear" w:color="auto" w:fill="FFFFFF"/>
        </w:rPr>
        <w:t>Curcuma aromatica</w:t>
      </w:r>
      <w:r w:rsidRPr="00E52B95">
        <w:rPr>
          <w:rFonts w:ascii="Times New Roman" w:hAnsi="Times New Roman" w:cs="Times New Roman"/>
          <w:color w:val="000000"/>
          <w:sz w:val="24"/>
          <w:szCs w:val="24"/>
          <w:shd w:val="clear" w:color="auto" w:fill="FFFFFF"/>
        </w:rPr>
        <w:t xml:space="preserve"> Salisb. 18. 267-279. 10.51220/jmr.v18i1.29.</w:t>
      </w:r>
      <w:r w:rsidRPr="00E52B95">
        <w:rPr>
          <w:rFonts w:ascii="Times New Roman" w:hAnsi="Times New Roman" w:cs="Times New Roman"/>
          <w:color w:val="000000"/>
          <w:sz w:val="24"/>
          <w:szCs w:val="24"/>
        </w:rPr>
        <w:t xml:space="preserve"> </w:t>
      </w:r>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Chaveerach, A., Sudmoon, R., Tanee, T., Mokkamul, P., Sattayasai, N., &amp; Sattayasai, J. 2008. Two new species of </w:t>
      </w:r>
      <w:r w:rsidRPr="00E52B95">
        <w:rPr>
          <w:rFonts w:ascii="Times New Roman" w:hAnsi="Times New Roman" w:cs="Times New Roman"/>
          <w:i/>
          <w:color w:val="000000"/>
          <w:sz w:val="24"/>
          <w:szCs w:val="24"/>
          <w:shd w:val="clear" w:color="auto" w:fill="FFFFFF"/>
        </w:rPr>
        <w:t>Curcuma (Zingiberaceae</w:t>
      </w:r>
      <w:r w:rsidRPr="00E52B95">
        <w:rPr>
          <w:rFonts w:ascii="Times New Roman" w:hAnsi="Times New Roman" w:cs="Times New Roman"/>
          <w:color w:val="000000"/>
          <w:sz w:val="24"/>
          <w:szCs w:val="24"/>
          <w:shd w:val="clear" w:color="auto" w:fill="FFFFFF"/>
        </w:rPr>
        <w:t>) used as cobra-bite antidotes. </w:t>
      </w:r>
      <w:r w:rsidRPr="00E52B95">
        <w:rPr>
          <w:rFonts w:ascii="Times New Roman" w:hAnsi="Times New Roman" w:cs="Times New Roman"/>
          <w:color w:val="000000"/>
          <w:sz w:val="24"/>
          <w:szCs w:val="24"/>
        </w:rPr>
        <w:t>J.</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color w:val="000000"/>
          <w:sz w:val="24"/>
          <w:szCs w:val="24"/>
        </w:rPr>
        <w:t>Syst.</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color w:val="000000"/>
          <w:sz w:val="24"/>
          <w:szCs w:val="24"/>
        </w:rPr>
        <w:t>Evol.</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46</w:t>
      </w:r>
      <w:r w:rsidRPr="00E52B95">
        <w:rPr>
          <w:rFonts w:ascii="Times New Roman" w:hAnsi="Times New Roman" w:cs="Times New Roman"/>
          <w:color w:val="000000"/>
          <w:sz w:val="24"/>
          <w:szCs w:val="24"/>
          <w:shd w:val="clear" w:color="auto" w:fill="FFFFFF"/>
        </w:rPr>
        <w:t>, 80. DOI: </w:t>
      </w:r>
      <w:hyperlink r:id="rId24" w:tgtFrame="_blank" w:history="1">
        <w:r w:rsidRPr="00E52B95">
          <w:rPr>
            <w:rStyle w:val="Hyperlink"/>
            <w:rFonts w:ascii="Times New Roman" w:hAnsi="Times New Roman" w:cs="Times New Roman"/>
            <w:color w:val="000000"/>
            <w:sz w:val="24"/>
            <w:szCs w:val="24"/>
            <w:u w:val="none"/>
            <w:shd w:val="clear" w:color="auto" w:fill="FFFFFF"/>
          </w:rPr>
          <w:t>10.3724/SP.J.1002.2008.07003</w:t>
        </w:r>
      </w:hyperlink>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Rahmat, E., Lee, J., &amp; Kang, Y., 2021. Javanese turmeric (</w:t>
      </w:r>
      <w:r w:rsidRPr="00E52B95">
        <w:rPr>
          <w:rFonts w:ascii="Times New Roman" w:hAnsi="Times New Roman" w:cs="Times New Roman"/>
          <w:i/>
          <w:color w:val="000000"/>
          <w:sz w:val="24"/>
          <w:szCs w:val="24"/>
          <w:shd w:val="clear" w:color="auto" w:fill="FFFFFF"/>
        </w:rPr>
        <w:t xml:space="preserve">Curcuma xanthorrhiza </w:t>
      </w:r>
      <w:r w:rsidRPr="00E52B95">
        <w:rPr>
          <w:rFonts w:ascii="Times New Roman" w:hAnsi="Times New Roman" w:cs="Times New Roman"/>
          <w:color w:val="000000"/>
          <w:sz w:val="24"/>
          <w:szCs w:val="24"/>
          <w:shd w:val="clear" w:color="auto" w:fill="FFFFFF"/>
        </w:rPr>
        <w:t>Roxb.): Ethnobotany, phytochemistry, biotechnology, and pharmacological activities. </w:t>
      </w:r>
      <w:r w:rsidRPr="00E52B95">
        <w:rPr>
          <w:rFonts w:ascii="Times New Roman" w:hAnsi="Times New Roman" w:cs="Times New Roman"/>
          <w:color w:val="000000"/>
          <w:sz w:val="24"/>
          <w:szCs w:val="24"/>
        </w:rPr>
        <w:t>J.</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color w:val="000000"/>
          <w:sz w:val="24"/>
          <w:szCs w:val="24"/>
        </w:rPr>
        <w:t>complement.</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color w:val="000000"/>
          <w:sz w:val="24"/>
          <w:szCs w:val="24"/>
        </w:rPr>
        <w:t>altern.</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color w:val="000000"/>
          <w:sz w:val="24"/>
          <w:szCs w:val="24"/>
        </w:rPr>
        <w:t>med</w:t>
      </w:r>
      <w:r w:rsidRPr="00E52B95">
        <w:rPr>
          <w:rFonts w:ascii="Times New Roman" w:hAnsi="Times New Roman" w:cs="Times New Roman"/>
          <w:color w:val="000000"/>
          <w:sz w:val="24"/>
          <w:szCs w:val="24"/>
          <w:shd w:val="clear" w:color="auto" w:fill="FFFFFF"/>
        </w:rPr>
        <w:t>.,9960813.</w:t>
      </w:r>
      <w:hyperlink r:id="rId25" w:history="1">
        <w:r w:rsidRPr="00E52B95">
          <w:rPr>
            <w:rStyle w:val="Hyperlink"/>
            <w:rFonts w:ascii="Times New Roman" w:hAnsi="Times New Roman" w:cs="Times New Roman"/>
            <w:bCs/>
            <w:color w:val="000000"/>
            <w:sz w:val="24"/>
            <w:szCs w:val="24"/>
            <w:u w:val="none"/>
            <w:shd w:val="clear" w:color="auto" w:fill="FFFFFF"/>
          </w:rPr>
          <w:t>https://doi.org/10.1155/2021/9960813</w:t>
        </w:r>
      </w:hyperlink>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Sharma, K., Bhoi, D., Andhale, A., &amp; Beg, S.,2025. Review on Rhizomatous Aromatic Herb–</w:t>
      </w:r>
      <w:r w:rsidRPr="00E52B95">
        <w:rPr>
          <w:rFonts w:ascii="Times New Roman" w:hAnsi="Times New Roman" w:cs="Times New Roman"/>
          <w:i/>
          <w:color w:val="000000"/>
          <w:sz w:val="24"/>
          <w:szCs w:val="24"/>
          <w:shd w:val="clear" w:color="auto" w:fill="FFFFFF"/>
        </w:rPr>
        <w:t>Curcuma Amada</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Int. J. Sci. R. Tech</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2</w:t>
      </w:r>
      <w:r w:rsidRPr="00E52B95">
        <w:rPr>
          <w:rFonts w:ascii="Times New Roman" w:hAnsi="Times New Roman" w:cs="Times New Roman"/>
          <w:color w:val="000000"/>
          <w:sz w:val="24"/>
          <w:szCs w:val="24"/>
          <w:shd w:val="clear" w:color="auto" w:fill="FFFFFF"/>
        </w:rPr>
        <w:t>.</w:t>
      </w:r>
      <w:r w:rsidRPr="00E52B95">
        <w:rPr>
          <w:rFonts w:ascii="Times New Roman" w:hAnsi="Times New Roman" w:cs="Times New Roman"/>
          <w:color w:val="000000"/>
          <w:sz w:val="24"/>
          <w:szCs w:val="24"/>
        </w:rPr>
        <w:t xml:space="preserve"> 10.5281/zenodo.15009808</w:t>
      </w:r>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Azah, M. N., Sam, Y. Y., Mailina, J., &amp; Chua, L. S. L., 2005. (E)-Methyl cinnamate: the major component of essential oils of </w:t>
      </w:r>
      <w:r w:rsidRPr="00E52B95">
        <w:rPr>
          <w:rFonts w:ascii="Times New Roman" w:hAnsi="Times New Roman" w:cs="Times New Roman"/>
          <w:i/>
          <w:color w:val="000000"/>
          <w:sz w:val="24"/>
          <w:szCs w:val="24"/>
          <w:shd w:val="clear" w:color="auto" w:fill="FFFFFF"/>
        </w:rPr>
        <w:t>Alpiniamalaccensis</w:t>
      </w:r>
      <w:r w:rsidRPr="00E52B95">
        <w:rPr>
          <w:rFonts w:ascii="Times New Roman" w:hAnsi="Times New Roman" w:cs="Times New Roman"/>
          <w:color w:val="000000"/>
          <w:sz w:val="24"/>
          <w:szCs w:val="24"/>
          <w:shd w:val="clear" w:color="auto" w:fill="FFFFFF"/>
        </w:rPr>
        <w:t xml:space="preserve"> var. nobilis. J. Trop. For. Sci., </w:t>
      </w:r>
      <w:r w:rsidRPr="00E52B95">
        <w:rPr>
          <w:rFonts w:ascii="Times New Roman" w:hAnsi="Times New Roman" w:cs="Times New Roman"/>
          <w:i/>
          <w:iCs/>
          <w:color w:val="000000"/>
          <w:sz w:val="24"/>
          <w:szCs w:val="24"/>
          <w:shd w:val="clear" w:color="auto" w:fill="FFFFFF"/>
        </w:rPr>
        <w:t>17</w:t>
      </w:r>
      <w:r w:rsidRPr="00E52B95">
        <w:rPr>
          <w:rFonts w:ascii="Times New Roman" w:hAnsi="Times New Roman" w:cs="Times New Roman"/>
          <w:color w:val="000000"/>
          <w:sz w:val="24"/>
          <w:szCs w:val="24"/>
          <w:shd w:val="clear" w:color="auto" w:fill="FFFFFF"/>
        </w:rPr>
        <w:t>, 631-633. DOI: </w:t>
      </w:r>
      <w:hyperlink r:id="rId26" w:tgtFrame="_blank" w:tooltip="Link to landing page via DOI" w:history="1">
        <w:r w:rsidRPr="00E52B95">
          <w:rPr>
            <w:rStyle w:val="Hyperlink"/>
            <w:rFonts w:ascii="Times New Roman" w:hAnsi="Times New Roman" w:cs="Times New Roman"/>
            <w:color w:val="000000"/>
            <w:sz w:val="24"/>
            <w:szCs w:val="24"/>
            <w:u w:val="none"/>
            <w:shd w:val="clear" w:color="auto" w:fill="FFFFFF"/>
          </w:rPr>
          <w:t>10.1039/D1RA07370B</w:t>
        </w:r>
      </w:hyperlink>
      <w:r w:rsidRPr="00E52B95">
        <w:rPr>
          <w:rFonts w:ascii="Times New Roman" w:hAnsi="Times New Roman" w:cs="Times New Roman"/>
          <w:color w:val="000000"/>
          <w:sz w:val="24"/>
          <w:szCs w:val="24"/>
          <w:shd w:val="clear" w:color="auto" w:fill="FFFFFF"/>
        </w:rPr>
        <w:t> </w:t>
      </w:r>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Chouni, A., &amp; Paul, S.,2018. A review on phytochemical and pharmacological potential of </w:t>
      </w:r>
      <w:r w:rsidRPr="00E52B95">
        <w:rPr>
          <w:rFonts w:ascii="Times New Roman" w:hAnsi="Times New Roman" w:cs="Times New Roman"/>
          <w:i/>
          <w:color w:val="000000"/>
          <w:sz w:val="24"/>
          <w:szCs w:val="24"/>
          <w:shd w:val="clear" w:color="auto" w:fill="FFFFFF"/>
        </w:rPr>
        <w:t>Alpiniagalanga</w:t>
      </w:r>
      <w:r w:rsidRPr="00E52B95">
        <w:rPr>
          <w:rFonts w:ascii="Times New Roman" w:hAnsi="Times New Roman" w:cs="Times New Roman"/>
          <w:color w:val="000000"/>
          <w:sz w:val="24"/>
          <w:szCs w:val="24"/>
          <w:shd w:val="clear" w:color="auto" w:fill="FFFFFF"/>
        </w:rPr>
        <w:t>. </w:t>
      </w:r>
      <w:r w:rsidRPr="00E52B95">
        <w:rPr>
          <w:rStyle w:val="Emphasis"/>
          <w:rFonts w:ascii="Times New Roman" w:hAnsi="Times New Roman" w:cs="Times New Roman"/>
          <w:bCs/>
          <w:i w:val="0"/>
          <w:iCs w:val="0"/>
          <w:color w:val="000000"/>
          <w:sz w:val="24"/>
          <w:szCs w:val="24"/>
          <w:shd w:val="clear" w:color="auto" w:fill="FFFFFF"/>
        </w:rPr>
        <w:t>Phcog J</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10</w:t>
      </w:r>
      <w:r w:rsidRPr="00E52B95">
        <w:rPr>
          <w:rFonts w:ascii="Times New Roman" w:hAnsi="Times New Roman" w:cs="Times New Roman"/>
          <w:color w:val="000000"/>
          <w:sz w:val="24"/>
          <w:szCs w:val="24"/>
          <w:shd w:val="clear" w:color="auto" w:fill="FFFFFF"/>
        </w:rPr>
        <w:t>.</w:t>
      </w:r>
      <w:r w:rsidRPr="00E52B95">
        <w:rPr>
          <w:rFonts w:ascii="Times New Roman" w:hAnsi="Times New Roman" w:cs="Times New Roman"/>
          <w:color w:val="000000"/>
          <w:sz w:val="24"/>
          <w:szCs w:val="24"/>
        </w:rPr>
        <w:t xml:space="preserve"> </w:t>
      </w:r>
      <w:hyperlink r:id="rId27" w:history="1">
        <w:r w:rsidRPr="00E52B95">
          <w:rPr>
            <w:rStyle w:val="Hyperlink"/>
            <w:rFonts w:ascii="Times New Roman" w:hAnsi="Times New Roman" w:cs="Times New Roman"/>
            <w:color w:val="000000"/>
            <w:sz w:val="24"/>
            <w:szCs w:val="24"/>
            <w:u w:val="none"/>
            <w:shd w:val="clear" w:color="auto" w:fill="FFFFFF"/>
          </w:rPr>
          <w:t>10.5530/pj.2018.1.2</w:t>
        </w:r>
      </w:hyperlink>
    </w:p>
    <w:p w:rsidR="00E52B95" w:rsidRPr="00E52B95" w:rsidRDefault="00E52B95" w:rsidP="00E52B95">
      <w:pPr>
        <w:pStyle w:val="ListParagraph"/>
        <w:spacing w:line="360" w:lineRule="auto"/>
        <w:jc w:val="both"/>
        <w:rPr>
          <w:rFonts w:ascii="Times New Roman" w:hAnsi="Times New Roman" w:cs="Times New Roman"/>
          <w:color w:val="000000"/>
          <w:sz w:val="24"/>
          <w:szCs w:val="24"/>
          <w:shd w:val="clear" w:color="auto" w:fill="FFFFFF"/>
        </w:rPr>
      </w:pPr>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Roy, Bishnupada &amp; Swargiary, Ananta., 2012. </w:t>
      </w:r>
      <w:r w:rsidRPr="00E52B95">
        <w:rPr>
          <w:rFonts w:ascii="Times New Roman" w:hAnsi="Times New Roman" w:cs="Times New Roman"/>
          <w:i/>
          <w:color w:val="000000"/>
          <w:sz w:val="24"/>
          <w:szCs w:val="24"/>
          <w:shd w:val="clear" w:color="auto" w:fill="FFFFFF"/>
        </w:rPr>
        <w:t>AlpiniaNigra</w:t>
      </w:r>
      <w:r w:rsidRPr="00E52B95">
        <w:rPr>
          <w:rFonts w:ascii="Times New Roman" w:hAnsi="Times New Roman" w:cs="Times New Roman"/>
          <w:color w:val="000000"/>
          <w:sz w:val="24"/>
          <w:szCs w:val="24"/>
          <w:shd w:val="clear" w:color="auto" w:fill="FFFFFF"/>
        </w:rPr>
        <w:t xml:space="preserve"> (Family</w:t>
      </w:r>
      <w:r w:rsidRPr="00E52B95">
        <w:rPr>
          <w:rFonts w:ascii="Times New Roman" w:hAnsi="Times New Roman" w:cs="Times New Roman"/>
          <w:i/>
          <w:color w:val="000000"/>
          <w:sz w:val="24"/>
          <w:szCs w:val="24"/>
          <w:shd w:val="clear" w:color="auto" w:fill="FFFFFF"/>
        </w:rPr>
        <w:t xml:space="preserve"> Zingiberaceae</w:t>
      </w:r>
      <w:r w:rsidRPr="00E52B95">
        <w:rPr>
          <w:rFonts w:ascii="Times New Roman" w:hAnsi="Times New Roman" w:cs="Times New Roman"/>
          <w:color w:val="000000"/>
          <w:sz w:val="24"/>
          <w:szCs w:val="24"/>
          <w:shd w:val="clear" w:color="auto" w:fill="FFFFFF"/>
        </w:rPr>
        <w:t xml:space="preserve">): An Anthelmintic Medicinal Plant of North-East India. </w:t>
      </w:r>
      <w:r w:rsidRPr="00E52B95">
        <w:rPr>
          <w:rStyle w:val="Strong"/>
          <w:rFonts w:ascii="Times New Roman" w:hAnsi="Times New Roman" w:cs="Times New Roman"/>
          <w:b w:val="0"/>
          <w:color w:val="000000"/>
          <w:sz w:val="24"/>
          <w:szCs w:val="24"/>
          <w:shd w:val="clear" w:color="auto" w:fill="FFFFFF"/>
        </w:rPr>
        <w:t>Adv. life sci.</w:t>
      </w:r>
      <w:r w:rsidRPr="00E52B95">
        <w:rPr>
          <w:rFonts w:ascii="Times New Roman" w:hAnsi="Times New Roman" w:cs="Times New Roman"/>
          <w:color w:val="000000"/>
          <w:sz w:val="24"/>
          <w:szCs w:val="24"/>
          <w:shd w:val="clear" w:color="auto" w:fill="FFFFFF"/>
        </w:rPr>
        <w:t>. 10.5923/j.als.20120203.01</w:t>
      </w:r>
    </w:p>
    <w:p w:rsidR="00E52B95" w:rsidRPr="00E52B95" w:rsidRDefault="00E52B95" w:rsidP="00E52B95">
      <w:pPr>
        <w:pStyle w:val="ListParagraph"/>
        <w:spacing w:line="360" w:lineRule="auto"/>
        <w:jc w:val="both"/>
        <w:rPr>
          <w:rFonts w:ascii="Times New Roman" w:hAnsi="Times New Roman" w:cs="Times New Roman"/>
          <w:color w:val="000000"/>
          <w:sz w:val="24"/>
          <w:szCs w:val="24"/>
          <w:shd w:val="clear" w:color="auto" w:fill="FFFFFF"/>
        </w:rPr>
      </w:pPr>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Pachurekar, P., &amp; Dixit, A. K., 2017. A review on pharmacognostical phytochemical and ethnomedicinal properties of </w:t>
      </w:r>
      <w:r w:rsidRPr="00E52B95">
        <w:rPr>
          <w:rFonts w:ascii="Times New Roman" w:hAnsi="Times New Roman" w:cs="Times New Roman"/>
          <w:i/>
          <w:color w:val="000000"/>
          <w:sz w:val="24"/>
          <w:szCs w:val="24"/>
          <w:shd w:val="clear" w:color="auto" w:fill="FFFFFF"/>
        </w:rPr>
        <w:t>Hedychium coronarium</w:t>
      </w:r>
      <w:r w:rsidRPr="00E52B95">
        <w:rPr>
          <w:rFonts w:ascii="Times New Roman" w:hAnsi="Times New Roman" w:cs="Times New Roman"/>
          <w:color w:val="000000"/>
          <w:sz w:val="24"/>
          <w:szCs w:val="24"/>
          <w:shd w:val="clear" w:color="auto" w:fill="FFFFFF"/>
        </w:rPr>
        <w:t xml:space="preserve"> J. Koenig an endangered medicine. </w:t>
      </w:r>
      <w:r w:rsidRPr="00E52B95">
        <w:rPr>
          <w:rFonts w:ascii="Times New Roman" w:eastAsia="Times New Roman" w:hAnsi="Times New Roman" w:cs="Times New Roman"/>
          <w:bCs/>
          <w:color w:val="000000"/>
          <w:sz w:val="24"/>
          <w:szCs w:val="24"/>
          <w:lang w:eastAsia="en-IN" w:bidi="ar-SA"/>
        </w:rPr>
        <w:t>Int. J. Chin. Med.</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1</w:t>
      </w:r>
      <w:r w:rsidRPr="00E52B95">
        <w:rPr>
          <w:rFonts w:ascii="Times New Roman" w:hAnsi="Times New Roman" w:cs="Times New Roman"/>
          <w:color w:val="000000"/>
          <w:sz w:val="24"/>
          <w:szCs w:val="24"/>
          <w:shd w:val="clear" w:color="auto" w:fill="FFFFFF"/>
        </w:rPr>
        <w:t>, 49-61. DOI: </w:t>
      </w:r>
      <w:hyperlink r:id="rId28" w:tgtFrame="_blank" w:history="1">
        <w:r w:rsidRPr="00E52B95">
          <w:rPr>
            <w:rStyle w:val="Hyperlink"/>
            <w:rFonts w:ascii="Times New Roman" w:hAnsi="Times New Roman" w:cs="Times New Roman"/>
            <w:color w:val="000000"/>
            <w:sz w:val="24"/>
            <w:szCs w:val="24"/>
            <w:u w:val="none"/>
            <w:bdr w:val="single" w:sz="2" w:space="0" w:color="D1D1D2" w:frame="1"/>
            <w:shd w:val="clear" w:color="auto" w:fill="FFFFFF"/>
          </w:rPr>
          <w:t>10.11648/j.ijcm.20170102.13</w:t>
        </w:r>
      </w:hyperlink>
    </w:p>
    <w:p w:rsidR="00E52B95" w:rsidRPr="00E52B95" w:rsidRDefault="00E52B95" w:rsidP="00E52B95">
      <w:pPr>
        <w:pStyle w:val="ListParagraph"/>
        <w:spacing w:line="360" w:lineRule="auto"/>
        <w:jc w:val="both"/>
        <w:rPr>
          <w:rFonts w:ascii="Times New Roman" w:hAnsi="Times New Roman" w:cs="Times New Roman"/>
          <w:color w:val="000000"/>
          <w:sz w:val="24"/>
          <w:szCs w:val="24"/>
          <w:shd w:val="clear" w:color="auto" w:fill="FFFFFF"/>
        </w:rPr>
      </w:pPr>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Singh, M., Kumar, R., Sharma, S., Kumar, L., Kumar, S., Gupta, G., &amp; Kumar, D., 2023. </w:t>
      </w:r>
      <w:r w:rsidRPr="00E52B95">
        <w:rPr>
          <w:rFonts w:ascii="Times New Roman" w:hAnsi="Times New Roman" w:cs="Times New Roman"/>
          <w:i/>
          <w:color w:val="000000"/>
          <w:sz w:val="24"/>
          <w:szCs w:val="24"/>
          <w:shd w:val="clear" w:color="auto" w:fill="FFFFFF"/>
        </w:rPr>
        <w:t>Hedychium spicatum</w:t>
      </w:r>
      <w:r w:rsidRPr="00E52B95">
        <w:rPr>
          <w:rFonts w:ascii="Times New Roman" w:hAnsi="Times New Roman" w:cs="Times New Roman"/>
          <w:color w:val="000000"/>
          <w:sz w:val="24"/>
          <w:szCs w:val="24"/>
          <w:shd w:val="clear" w:color="auto" w:fill="FFFFFF"/>
        </w:rPr>
        <w:t xml:space="preserve">: A comprehensive insight into its ethnobotany, phytochemistry, </w:t>
      </w:r>
      <w:r w:rsidRPr="00E52B95">
        <w:rPr>
          <w:rFonts w:ascii="Times New Roman" w:hAnsi="Times New Roman" w:cs="Times New Roman"/>
          <w:color w:val="000000"/>
          <w:sz w:val="24"/>
          <w:szCs w:val="24"/>
          <w:shd w:val="clear" w:color="auto" w:fill="FFFFFF"/>
        </w:rPr>
        <w:lastRenderedPageBreak/>
        <w:t>pharmacological and therapeutic attributes. S. Afr. J. Bot., </w:t>
      </w:r>
      <w:r w:rsidRPr="00E52B95">
        <w:rPr>
          <w:rFonts w:ascii="Times New Roman" w:hAnsi="Times New Roman" w:cs="Times New Roman"/>
          <w:i/>
          <w:iCs/>
          <w:color w:val="000000"/>
          <w:sz w:val="24"/>
          <w:szCs w:val="24"/>
          <w:shd w:val="clear" w:color="auto" w:fill="FFFFFF"/>
        </w:rPr>
        <w:t>161</w:t>
      </w:r>
      <w:r w:rsidRPr="00E52B95">
        <w:rPr>
          <w:rFonts w:ascii="Times New Roman" w:hAnsi="Times New Roman" w:cs="Times New Roman"/>
          <w:color w:val="000000"/>
          <w:sz w:val="24"/>
          <w:szCs w:val="24"/>
          <w:shd w:val="clear" w:color="auto" w:fill="FFFFFF"/>
        </w:rPr>
        <w:t>, 638-647.</w:t>
      </w:r>
      <w:r w:rsidRPr="00E52B95">
        <w:rPr>
          <w:rFonts w:ascii="Times New Roman" w:hAnsi="Times New Roman" w:cs="Times New Roman"/>
          <w:color w:val="000000"/>
          <w:sz w:val="24"/>
          <w:szCs w:val="24"/>
        </w:rPr>
        <w:t xml:space="preserve"> </w:t>
      </w:r>
      <w:hyperlink r:id="rId29" w:tgtFrame="_blank" w:tooltip="Persistent link using digital object identifier" w:history="1">
        <w:r w:rsidRPr="00E52B95">
          <w:rPr>
            <w:rStyle w:val="anchor-text"/>
            <w:rFonts w:ascii="Times New Roman" w:hAnsi="Times New Roman" w:cs="Times New Roman"/>
            <w:color w:val="000000"/>
            <w:sz w:val="24"/>
            <w:szCs w:val="24"/>
          </w:rPr>
          <w:t>https://doi.org/10.1016/j.sajb.2023.08.046</w:t>
        </w:r>
      </w:hyperlink>
    </w:p>
    <w:p w:rsidR="00E52B95" w:rsidRPr="00E52B95" w:rsidRDefault="00E52B95" w:rsidP="00E52B95">
      <w:pPr>
        <w:pStyle w:val="ListParagraph"/>
        <w:spacing w:line="360" w:lineRule="auto"/>
        <w:jc w:val="both"/>
        <w:rPr>
          <w:rFonts w:ascii="Times New Roman" w:hAnsi="Times New Roman" w:cs="Times New Roman"/>
          <w:color w:val="000000"/>
          <w:sz w:val="24"/>
          <w:szCs w:val="24"/>
          <w:shd w:val="clear" w:color="auto" w:fill="FFFFFF"/>
        </w:rPr>
      </w:pPr>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Mendez, N. P., Dargantes, K. S. A. T., &amp; Tobias, A. B., 2023. First Report of </w:t>
      </w:r>
      <w:r w:rsidRPr="00E52B95">
        <w:rPr>
          <w:rFonts w:ascii="Times New Roman" w:hAnsi="Times New Roman" w:cs="Times New Roman"/>
          <w:i/>
          <w:color w:val="000000"/>
          <w:sz w:val="24"/>
          <w:szCs w:val="24"/>
          <w:shd w:val="clear" w:color="auto" w:fill="FFFFFF"/>
        </w:rPr>
        <w:t xml:space="preserve">Hedychium flavescens </w:t>
      </w:r>
      <w:r w:rsidRPr="00E52B95">
        <w:rPr>
          <w:rFonts w:ascii="Times New Roman" w:hAnsi="Times New Roman" w:cs="Times New Roman"/>
          <w:color w:val="000000"/>
          <w:sz w:val="24"/>
          <w:szCs w:val="24"/>
          <w:shd w:val="clear" w:color="auto" w:fill="FFFFFF"/>
        </w:rPr>
        <w:t>Carey ex Roscoe (</w:t>
      </w:r>
      <w:r w:rsidRPr="00E52B95">
        <w:rPr>
          <w:rFonts w:ascii="Times New Roman" w:hAnsi="Times New Roman" w:cs="Times New Roman"/>
          <w:i/>
          <w:color w:val="000000"/>
          <w:sz w:val="24"/>
          <w:szCs w:val="24"/>
          <w:shd w:val="clear" w:color="auto" w:fill="FFFFFF"/>
        </w:rPr>
        <w:t>Zingiberaceae</w:t>
      </w:r>
      <w:r w:rsidRPr="00E52B95">
        <w:rPr>
          <w:rFonts w:ascii="Times New Roman" w:hAnsi="Times New Roman" w:cs="Times New Roman"/>
          <w:color w:val="000000"/>
          <w:sz w:val="24"/>
          <w:szCs w:val="24"/>
          <w:shd w:val="clear" w:color="auto" w:fill="FFFFFF"/>
        </w:rPr>
        <w:t>) in the Philippines. Philipp J. Sci., </w:t>
      </w:r>
      <w:r w:rsidRPr="00E52B95">
        <w:rPr>
          <w:rFonts w:ascii="Times New Roman" w:hAnsi="Times New Roman" w:cs="Times New Roman"/>
          <w:i/>
          <w:iCs/>
          <w:color w:val="000000"/>
          <w:sz w:val="24"/>
          <w:szCs w:val="24"/>
          <w:shd w:val="clear" w:color="auto" w:fill="FFFFFF"/>
        </w:rPr>
        <w:t>152</w:t>
      </w:r>
      <w:r w:rsidRPr="00E52B95">
        <w:rPr>
          <w:rFonts w:ascii="Times New Roman" w:hAnsi="Times New Roman" w:cs="Times New Roman"/>
          <w:color w:val="000000"/>
          <w:sz w:val="24"/>
          <w:szCs w:val="24"/>
          <w:shd w:val="clear" w:color="auto" w:fill="FFFFFF"/>
        </w:rPr>
        <w:t>.</w:t>
      </w:r>
    </w:p>
    <w:p w:rsidR="00E52B95" w:rsidRPr="00E52B95" w:rsidRDefault="00E52B95" w:rsidP="00E52B95">
      <w:pPr>
        <w:pStyle w:val="ListParagraph"/>
        <w:spacing w:line="360" w:lineRule="auto"/>
        <w:jc w:val="both"/>
        <w:rPr>
          <w:rFonts w:ascii="Times New Roman" w:hAnsi="Times New Roman" w:cs="Times New Roman"/>
          <w:color w:val="000000"/>
          <w:sz w:val="24"/>
          <w:szCs w:val="24"/>
          <w:shd w:val="clear" w:color="auto" w:fill="FFFFFF"/>
        </w:rPr>
      </w:pPr>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Pereira, M. J., Eleutério, T., Meirelles, M. G., &amp; Vasconcelos, H. C., 2021. </w:t>
      </w:r>
      <w:r w:rsidRPr="00E52B95">
        <w:rPr>
          <w:rFonts w:ascii="Times New Roman" w:hAnsi="Times New Roman" w:cs="Times New Roman"/>
          <w:i/>
          <w:color w:val="000000"/>
          <w:sz w:val="24"/>
          <w:szCs w:val="24"/>
          <w:shd w:val="clear" w:color="auto" w:fill="FFFFFF"/>
        </w:rPr>
        <w:t xml:space="preserve">Hedychium gardnerianum </w:t>
      </w:r>
      <w:r w:rsidRPr="00E52B95">
        <w:rPr>
          <w:rFonts w:ascii="Times New Roman" w:hAnsi="Times New Roman" w:cs="Times New Roman"/>
          <w:color w:val="000000"/>
          <w:sz w:val="24"/>
          <w:szCs w:val="24"/>
          <w:shd w:val="clear" w:color="auto" w:fill="FFFFFF"/>
        </w:rPr>
        <w:t>Sheph. ex Ker Gawl. from its discovery to its invasive status: a review. </w:t>
      </w:r>
      <w:r w:rsidRPr="00E52B95">
        <w:rPr>
          <w:rStyle w:val="Emphasis"/>
          <w:rFonts w:ascii="Times New Roman" w:hAnsi="Times New Roman" w:cs="Times New Roman"/>
          <w:bCs/>
          <w:i w:val="0"/>
          <w:iCs w:val="0"/>
          <w:color w:val="000000"/>
          <w:sz w:val="24"/>
          <w:szCs w:val="24"/>
          <w:shd w:val="clear" w:color="auto" w:fill="FFFFFF"/>
        </w:rPr>
        <w:t>Bot. Stud</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62</w:t>
      </w:r>
      <w:r w:rsidRPr="00E52B95">
        <w:rPr>
          <w:rFonts w:ascii="Times New Roman" w:hAnsi="Times New Roman" w:cs="Times New Roman"/>
          <w:color w:val="000000"/>
          <w:sz w:val="24"/>
          <w:szCs w:val="24"/>
          <w:shd w:val="clear" w:color="auto" w:fill="FFFFFF"/>
        </w:rPr>
        <w:t>, 11. doi: </w:t>
      </w:r>
      <w:hyperlink r:id="rId30" w:tgtFrame="_blank" w:history="1">
        <w:r w:rsidRPr="00E52B95">
          <w:rPr>
            <w:rStyle w:val="Hyperlink"/>
            <w:rFonts w:ascii="Times New Roman" w:hAnsi="Times New Roman" w:cs="Times New Roman"/>
            <w:color w:val="000000"/>
            <w:sz w:val="24"/>
            <w:szCs w:val="24"/>
            <w:u w:val="none"/>
            <w:shd w:val="clear" w:color="auto" w:fill="FFFFFF"/>
          </w:rPr>
          <w:t>10.1186/s40529-021-00318-5</w:t>
        </w:r>
      </w:hyperlink>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Ismail, N. A., &amp; Ridzuan, R., 2023. Medicinal potential and health ben                                                                                             efits of torch ginger (</w:t>
      </w:r>
      <w:r w:rsidRPr="00E52B95">
        <w:rPr>
          <w:rFonts w:ascii="Times New Roman" w:hAnsi="Times New Roman" w:cs="Times New Roman"/>
          <w:i/>
          <w:color w:val="000000"/>
          <w:sz w:val="24"/>
          <w:szCs w:val="24"/>
          <w:shd w:val="clear" w:color="auto" w:fill="FFFFFF"/>
        </w:rPr>
        <w:t>Etlingera elatior</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color w:val="000000"/>
          <w:sz w:val="24"/>
          <w:szCs w:val="24"/>
        </w:rPr>
        <w:t>Not Sci Biol</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15</w:t>
      </w:r>
      <w:r w:rsidRPr="00E52B95">
        <w:rPr>
          <w:rFonts w:ascii="Times New Roman" w:hAnsi="Times New Roman" w:cs="Times New Roman"/>
          <w:color w:val="000000"/>
          <w:sz w:val="24"/>
          <w:szCs w:val="24"/>
          <w:shd w:val="clear" w:color="auto" w:fill="FFFFFF"/>
        </w:rPr>
        <w:t>, 11489-11489.</w:t>
      </w:r>
      <w:r w:rsidRPr="00E52B95">
        <w:rPr>
          <w:rFonts w:ascii="Times New Roman" w:hAnsi="Times New Roman" w:cs="Times New Roman"/>
          <w:color w:val="000000"/>
          <w:sz w:val="24"/>
          <w:szCs w:val="24"/>
        </w:rPr>
        <w:t xml:space="preserve"> </w:t>
      </w:r>
      <w:hyperlink r:id="rId31" w:history="1">
        <w:r w:rsidRPr="00E52B95">
          <w:rPr>
            <w:rStyle w:val="Hyperlink"/>
            <w:rFonts w:ascii="Times New Roman" w:hAnsi="Times New Roman" w:cs="Times New Roman"/>
            <w:color w:val="000000"/>
            <w:sz w:val="24"/>
            <w:szCs w:val="24"/>
            <w:u w:val="none"/>
            <w:shd w:val="clear" w:color="auto" w:fill="FFFFFF"/>
          </w:rPr>
          <w:t>https://doi.org/10.55779/nsb15411489</w:t>
        </w:r>
      </w:hyperlink>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Khairullah, A. R., Solikhah, T. I., Ansori, A. N. M., Hanisia, R. H., Puspitarani, G. A., Fadholly, A., &amp; Ramandinianto, S. C., 2021. Medicinal importance of </w:t>
      </w:r>
      <w:r w:rsidRPr="00E52B95">
        <w:rPr>
          <w:rFonts w:ascii="Times New Roman" w:hAnsi="Times New Roman" w:cs="Times New Roman"/>
          <w:i/>
          <w:color w:val="000000"/>
          <w:sz w:val="24"/>
          <w:szCs w:val="24"/>
          <w:shd w:val="clear" w:color="auto" w:fill="FFFFFF"/>
        </w:rPr>
        <w:t xml:space="preserve">Kaempferia galanga </w:t>
      </w:r>
      <w:r w:rsidRPr="00E52B95">
        <w:rPr>
          <w:rFonts w:ascii="Times New Roman" w:hAnsi="Times New Roman" w:cs="Times New Roman"/>
          <w:color w:val="000000"/>
          <w:sz w:val="24"/>
          <w:szCs w:val="24"/>
          <w:shd w:val="clear" w:color="auto" w:fill="FFFFFF"/>
        </w:rPr>
        <w:t>L.(</w:t>
      </w:r>
      <w:r w:rsidRPr="00E52B95">
        <w:rPr>
          <w:rFonts w:ascii="Times New Roman" w:hAnsi="Times New Roman" w:cs="Times New Roman"/>
          <w:i/>
          <w:color w:val="000000"/>
          <w:sz w:val="24"/>
          <w:szCs w:val="24"/>
          <w:shd w:val="clear" w:color="auto" w:fill="FFFFFF"/>
        </w:rPr>
        <w:t>Zingiberaceae</w:t>
      </w:r>
      <w:r w:rsidRPr="00E52B95">
        <w:rPr>
          <w:rFonts w:ascii="Times New Roman" w:hAnsi="Times New Roman" w:cs="Times New Roman"/>
          <w:color w:val="000000"/>
          <w:sz w:val="24"/>
          <w:szCs w:val="24"/>
          <w:shd w:val="clear" w:color="auto" w:fill="FFFFFF"/>
        </w:rPr>
        <w:t>): A comprehensive review. </w:t>
      </w:r>
      <w:r w:rsidRPr="00E52B95">
        <w:rPr>
          <w:rStyle w:val="Emphasis"/>
          <w:rFonts w:ascii="Times New Roman" w:hAnsi="Times New Roman" w:cs="Times New Roman"/>
          <w:bCs/>
          <w:i w:val="0"/>
          <w:iCs w:val="0"/>
          <w:color w:val="000000"/>
          <w:sz w:val="24"/>
          <w:szCs w:val="24"/>
          <w:shd w:val="clear" w:color="auto" w:fill="FFFFFF"/>
        </w:rPr>
        <w:t>J. Herbmed Pharmacol</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10</w:t>
      </w:r>
      <w:r w:rsidRPr="00E52B95">
        <w:rPr>
          <w:rFonts w:ascii="Times New Roman" w:hAnsi="Times New Roman" w:cs="Times New Roman"/>
          <w:color w:val="000000"/>
          <w:sz w:val="24"/>
          <w:szCs w:val="24"/>
          <w:shd w:val="clear" w:color="auto" w:fill="FFFFFF"/>
        </w:rPr>
        <w:t>, 281-288.</w:t>
      </w:r>
      <w:r w:rsidRPr="00E52B95">
        <w:rPr>
          <w:rFonts w:ascii="Times New Roman" w:hAnsi="Times New Roman" w:cs="Times New Roman"/>
          <w:bCs/>
          <w:color w:val="000000"/>
          <w:sz w:val="24"/>
          <w:szCs w:val="24"/>
          <w:shd w:val="clear" w:color="auto" w:fill="FFFFFF"/>
        </w:rPr>
        <w:t xml:space="preserve"> doi:</w:t>
      </w:r>
      <w:r w:rsidRPr="00E52B95">
        <w:rPr>
          <w:rFonts w:ascii="Times New Roman" w:hAnsi="Times New Roman" w:cs="Times New Roman"/>
          <w:color w:val="000000"/>
          <w:sz w:val="24"/>
          <w:szCs w:val="24"/>
          <w:shd w:val="clear" w:color="auto" w:fill="FFFFFF"/>
        </w:rPr>
        <w:t> </w:t>
      </w:r>
      <w:hyperlink r:id="rId32" w:tgtFrame="_blank" w:history="1">
        <w:r w:rsidRPr="00E52B95">
          <w:rPr>
            <w:rStyle w:val="Hyperlink"/>
            <w:rFonts w:ascii="Times New Roman" w:hAnsi="Times New Roman" w:cs="Times New Roman"/>
            <w:color w:val="000000"/>
            <w:sz w:val="24"/>
            <w:szCs w:val="24"/>
            <w:u w:val="none"/>
            <w:shd w:val="clear" w:color="auto" w:fill="FFFFFF"/>
          </w:rPr>
          <w:t>10.34172/jhp.2021.32</w:t>
        </w:r>
      </w:hyperlink>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Mao, Q. Q., Xu, X. Y., Cao, S. Y., Gan, R. Y., Corke, H., Beta, T., &amp; Li, H. B.,2019. Bioactive compounds and bioactivities of ginger (</w:t>
      </w:r>
      <w:r w:rsidRPr="00E52B95">
        <w:rPr>
          <w:rFonts w:ascii="Times New Roman" w:hAnsi="Times New Roman" w:cs="Times New Roman"/>
          <w:i/>
          <w:color w:val="000000"/>
          <w:sz w:val="24"/>
          <w:szCs w:val="24"/>
          <w:shd w:val="clear" w:color="auto" w:fill="FFFFFF"/>
        </w:rPr>
        <w:t xml:space="preserve">Zingiber  officinale </w:t>
      </w:r>
      <w:r w:rsidRPr="00E52B95">
        <w:rPr>
          <w:rFonts w:ascii="Times New Roman" w:hAnsi="Times New Roman" w:cs="Times New Roman"/>
          <w:color w:val="000000"/>
          <w:sz w:val="24"/>
          <w:szCs w:val="24"/>
          <w:shd w:val="clear" w:color="auto" w:fill="FFFFFF"/>
        </w:rPr>
        <w:t xml:space="preserve"> Roscoe). </w:t>
      </w:r>
      <w:r w:rsidRPr="00E52B95">
        <w:rPr>
          <w:rFonts w:ascii="Times New Roman" w:hAnsi="Times New Roman" w:cs="Times New Roman"/>
          <w:i/>
          <w:iCs/>
          <w:color w:val="000000"/>
          <w:sz w:val="24"/>
          <w:szCs w:val="24"/>
          <w:shd w:val="clear" w:color="auto" w:fill="FFFFFF"/>
        </w:rPr>
        <w:t>Foods</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8</w:t>
      </w:r>
      <w:r w:rsidRPr="00E52B95">
        <w:rPr>
          <w:rFonts w:ascii="Times New Roman" w:hAnsi="Times New Roman" w:cs="Times New Roman"/>
          <w:color w:val="000000"/>
          <w:sz w:val="24"/>
          <w:szCs w:val="24"/>
          <w:shd w:val="clear" w:color="auto" w:fill="FFFFFF"/>
        </w:rPr>
        <w:t>, 185.</w:t>
      </w:r>
      <w:r w:rsidRPr="00E52B95">
        <w:rPr>
          <w:rStyle w:val="id-label"/>
          <w:rFonts w:ascii="Times New Roman" w:hAnsi="Times New Roman" w:cs="Times New Roman"/>
          <w:color w:val="000000"/>
          <w:sz w:val="24"/>
          <w:szCs w:val="24"/>
        </w:rPr>
        <w:t xml:space="preserve"> DOI: </w:t>
      </w:r>
      <w:hyperlink r:id="rId33" w:tgtFrame="_blank" w:history="1">
        <w:r w:rsidRPr="00E52B95">
          <w:rPr>
            <w:rStyle w:val="Hyperlink"/>
            <w:rFonts w:ascii="Times New Roman" w:hAnsi="Times New Roman" w:cs="Times New Roman"/>
            <w:color w:val="000000"/>
            <w:sz w:val="24"/>
            <w:szCs w:val="24"/>
            <w:u w:val="none"/>
          </w:rPr>
          <w:t>10.3390/foods8060185</w:t>
        </w:r>
      </w:hyperlink>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de Oliveira Filho, J. G., de Almeida, M. J., Sousa, T. L., dos Santos, D. C., &amp; Egea, M. B., 2021. Bioactive compounds of turmeric (</w:t>
      </w:r>
      <w:r w:rsidRPr="00E52B95">
        <w:rPr>
          <w:rFonts w:ascii="Times New Roman" w:hAnsi="Times New Roman" w:cs="Times New Roman"/>
          <w:i/>
          <w:color w:val="000000"/>
          <w:sz w:val="24"/>
          <w:szCs w:val="24"/>
          <w:shd w:val="clear" w:color="auto" w:fill="FFFFFF"/>
        </w:rPr>
        <w:t>Curcuma longa</w:t>
      </w:r>
      <w:r w:rsidRPr="00E52B95">
        <w:rPr>
          <w:rFonts w:ascii="Times New Roman" w:hAnsi="Times New Roman" w:cs="Times New Roman"/>
          <w:color w:val="000000"/>
          <w:sz w:val="24"/>
          <w:szCs w:val="24"/>
          <w:shd w:val="clear" w:color="auto" w:fill="FFFFFF"/>
        </w:rPr>
        <w:t xml:space="preserve"> L.). </w:t>
      </w:r>
      <w:r w:rsidRPr="00E52B95">
        <w:rPr>
          <w:rFonts w:ascii="Times New Roman" w:hAnsi="Times New Roman" w:cs="Times New Roman"/>
          <w:i/>
          <w:iCs/>
          <w:color w:val="000000"/>
          <w:sz w:val="24"/>
          <w:szCs w:val="24"/>
          <w:shd w:val="clear" w:color="auto" w:fill="FFFFFF"/>
        </w:rPr>
        <w:t>Bioactive compounds in underutilized vegetables and legumes</w:t>
      </w:r>
      <w:r w:rsidRPr="00E52B95">
        <w:rPr>
          <w:rFonts w:ascii="Times New Roman" w:hAnsi="Times New Roman" w:cs="Times New Roman"/>
          <w:color w:val="000000"/>
          <w:sz w:val="24"/>
          <w:szCs w:val="24"/>
          <w:shd w:val="clear" w:color="auto" w:fill="FFFFFF"/>
        </w:rPr>
        <w:t>, 297-318. DOI:</w:t>
      </w:r>
      <w:hyperlink r:id="rId34" w:tgtFrame="_blank" w:history="1">
        <w:r w:rsidRPr="00E52B95">
          <w:rPr>
            <w:rStyle w:val="Hyperlink"/>
            <w:rFonts w:ascii="Times New Roman" w:hAnsi="Times New Roman" w:cs="Times New Roman"/>
            <w:color w:val="000000"/>
            <w:sz w:val="24"/>
            <w:szCs w:val="24"/>
            <w:u w:val="none"/>
            <w:bdr w:val="none" w:sz="0" w:space="0" w:color="auto" w:frame="1"/>
            <w:shd w:val="clear" w:color="auto" w:fill="FFFFFF"/>
          </w:rPr>
          <w:t>10.1007/978-3-030-57415-4_37</w:t>
        </w:r>
      </w:hyperlink>
    </w:p>
    <w:p w:rsidR="00E52B95" w:rsidRPr="00E52B95" w:rsidRDefault="00E52B95" w:rsidP="00E52B95">
      <w:pPr>
        <w:pStyle w:val="ListParagraph"/>
        <w:numPr>
          <w:ilvl w:val="0"/>
          <w:numId w:val="1"/>
        </w:numPr>
        <w:spacing w:after="0" w:line="360" w:lineRule="auto"/>
        <w:ind w:left="360"/>
        <w:jc w:val="both"/>
        <w:rPr>
          <w:rStyle w:val="loc-value"/>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Shahi, R., Chavannavar, S. V., Anil, V. S., &amp; Kumar, B.,2025. Bioactive Constituents of </w:t>
      </w:r>
      <w:r w:rsidRPr="00E52B95">
        <w:rPr>
          <w:rFonts w:ascii="Times New Roman" w:hAnsi="Times New Roman" w:cs="Times New Roman"/>
          <w:i/>
          <w:color w:val="000000"/>
          <w:sz w:val="24"/>
          <w:szCs w:val="24"/>
          <w:shd w:val="clear" w:color="auto" w:fill="FFFFFF"/>
        </w:rPr>
        <w:t>Curcuma amada</w:t>
      </w:r>
      <w:r w:rsidRPr="00E52B95">
        <w:rPr>
          <w:rFonts w:ascii="Times New Roman" w:hAnsi="Times New Roman" w:cs="Times New Roman"/>
          <w:color w:val="000000"/>
          <w:sz w:val="24"/>
          <w:szCs w:val="24"/>
          <w:shd w:val="clear" w:color="auto" w:fill="FFFFFF"/>
        </w:rPr>
        <w:t xml:space="preserve"> Roxb. Rhizome and its Antimicrobial Activity against Food Spoilage Microorganisms. </w:t>
      </w:r>
      <w:r w:rsidRPr="00E52B95">
        <w:rPr>
          <w:rStyle w:val="Strong"/>
          <w:rFonts w:ascii="Times New Roman" w:hAnsi="Times New Roman" w:cs="Times New Roman"/>
          <w:b w:val="0"/>
          <w:color w:val="000000"/>
          <w:sz w:val="24"/>
          <w:szCs w:val="24"/>
          <w:shd w:val="clear" w:color="auto" w:fill="FFFFFF"/>
        </w:rPr>
        <w:t>Pharmacogn. Res.</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17</w:t>
      </w:r>
      <w:r w:rsidRPr="00E52B95">
        <w:rPr>
          <w:rFonts w:ascii="Times New Roman" w:hAnsi="Times New Roman" w:cs="Times New Roman"/>
          <w:color w:val="000000"/>
          <w:sz w:val="24"/>
          <w:szCs w:val="24"/>
          <w:shd w:val="clear" w:color="auto" w:fill="FFFFFF"/>
        </w:rPr>
        <w:t>(2).</w:t>
      </w:r>
      <w:r w:rsidRPr="00E52B95">
        <w:rPr>
          <w:rFonts w:ascii="Times New Roman" w:hAnsi="Times New Roman" w:cs="Times New Roman"/>
          <w:bCs/>
          <w:color w:val="000000"/>
          <w:sz w:val="24"/>
          <w:szCs w:val="24"/>
          <w:shd w:val="clear" w:color="auto" w:fill="FFFFFF"/>
        </w:rPr>
        <w:t xml:space="preserve"> </w:t>
      </w:r>
      <w:r w:rsidRPr="00E52B95">
        <w:rPr>
          <w:rStyle w:val="loc-label"/>
          <w:rFonts w:ascii="Times New Roman" w:hAnsi="Times New Roman" w:cs="Times New Roman"/>
          <w:bCs/>
          <w:color w:val="000000"/>
          <w:sz w:val="24"/>
          <w:szCs w:val="24"/>
          <w:shd w:val="clear" w:color="auto" w:fill="FFFFFF"/>
        </w:rPr>
        <w:t>DOI:</w:t>
      </w:r>
      <w:hyperlink r:id="rId35" w:history="1">
        <w:r w:rsidRPr="00E52B95">
          <w:rPr>
            <w:rStyle w:val="Hyperlink"/>
            <w:rFonts w:ascii="Times New Roman" w:hAnsi="Times New Roman" w:cs="Times New Roman"/>
            <w:color w:val="000000"/>
            <w:sz w:val="24"/>
            <w:szCs w:val="24"/>
            <w:u w:val="none"/>
          </w:rPr>
          <w:t>10.5530/pres.20252063</w:t>
        </w:r>
      </w:hyperlink>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Ahmad, A., Riaz, S., Farooq, R., Ahmed, M., &amp; Hussain, N. 2023. </w:t>
      </w:r>
      <w:r w:rsidRPr="00E52B95">
        <w:rPr>
          <w:rFonts w:ascii="Times New Roman" w:hAnsi="Times New Roman" w:cs="Times New Roman"/>
          <w:i/>
          <w:color w:val="000000"/>
          <w:sz w:val="24"/>
          <w:szCs w:val="24"/>
          <w:shd w:val="clear" w:color="auto" w:fill="FFFFFF"/>
        </w:rPr>
        <w:t>Alpiniaofficinarum</w:t>
      </w:r>
      <w:r w:rsidRPr="00E52B95">
        <w:rPr>
          <w:rFonts w:ascii="Times New Roman" w:hAnsi="Times New Roman" w:cs="Times New Roman"/>
          <w:color w:val="000000"/>
          <w:sz w:val="24"/>
          <w:szCs w:val="24"/>
          <w:shd w:val="clear" w:color="auto" w:fill="FFFFFF"/>
        </w:rPr>
        <w:t xml:space="preserve"> (galangal): A beneficial plant. </w:t>
      </w:r>
      <w:r w:rsidRPr="00E52B95">
        <w:rPr>
          <w:rStyle w:val="Emphasis"/>
          <w:rFonts w:ascii="Times New Roman" w:hAnsi="Times New Roman" w:cs="Times New Roman"/>
          <w:bCs/>
          <w:i w:val="0"/>
          <w:iCs w:val="0"/>
          <w:color w:val="000000"/>
          <w:sz w:val="24"/>
          <w:szCs w:val="24"/>
          <w:shd w:val="clear" w:color="auto" w:fill="FFFFFF"/>
        </w:rPr>
        <w:t>J</w:t>
      </w:r>
      <w:r w:rsidRPr="00E52B95">
        <w:rPr>
          <w:rFonts w:ascii="Times New Roman" w:hAnsi="Times New Roman" w:cs="Times New Roman"/>
          <w:color w:val="000000"/>
          <w:sz w:val="24"/>
          <w:szCs w:val="24"/>
          <w:shd w:val="clear" w:color="auto" w:fill="FFFFFF"/>
        </w:rPr>
        <w:t>. </w:t>
      </w:r>
      <w:r w:rsidRPr="00E52B95">
        <w:rPr>
          <w:rStyle w:val="Emphasis"/>
          <w:rFonts w:ascii="Times New Roman" w:hAnsi="Times New Roman" w:cs="Times New Roman"/>
          <w:bCs/>
          <w:i w:val="0"/>
          <w:iCs w:val="0"/>
          <w:color w:val="000000"/>
          <w:sz w:val="24"/>
          <w:szCs w:val="24"/>
          <w:shd w:val="clear" w:color="auto" w:fill="FFFFFF"/>
        </w:rPr>
        <w:t>Public Health Med</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4</w:t>
      </w:r>
      <w:r w:rsidRPr="00E52B95">
        <w:rPr>
          <w:rFonts w:ascii="Times New Roman" w:hAnsi="Times New Roman" w:cs="Times New Roman"/>
          <w:color w:val="000000"/>
          <w:sz w:val="24"/>
          <w:szCs w:val="24"/>
          <w:shd w:val="clear" w:color="auto" w:fill="FFFFFF"/>
        </w:rPr>
        <w:t>, 1057.</w:t>
      </w:r>
      <w:r w:rsidRPr="00E52B95">
        <w:rPr>
          <w:rFonts w:ascii="Times New Roman" w:hAnsi="Times New Roman" w:cs="Times New Roman"/>
          <w:color w:val="000000"/>
          <w:sz w:val="24"/>
          <w:szCs w:val="24"/>
        </w:rPr>
        <w:t xml:space="preserve"> DOI </w:t>
      </w:r>
      <w:hyperlink r:id="rId36" w:tgtFrame="_blank" w:history="1">
        <w:r w:rsidRPr="00E52B95">
          <w:rPr>
            <w:rStyle w:val="Hyperlink"/>
            <w:rFonts w:ascii="Times New Roman" w:hAnsi="Times New Roman" w:cs="Times New Roman"/>
            <w:color w:val="000000"/>
            <w:sz w:val="24"/>
            <w:szCs w:val="24"/>
            <w:u w:val="none"/>
          </w:rPr>
          <w:t>10.1007/978-981-97-1529-9_6</w:t>
        </w:r>
      </w:hyperlink>
      <w:r w:rsidRPr="00E52B95">
        <w:rPr>
          <w:rFonts w:ascii="Times New Roman" w:hAnsi="Times New Roman" w:cs="Times New Roman"/>
          <w:color w:val="000000"/>
          <w:sz w:val="24"/>
          <w:szCs w:val="24"/>
        </w:rPr>
        <w:t>.</w:t>
      </w:r>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Bisht, V. K., Negi, J. S., Bhandari, A. K., &amp; Sundriyal, R. C.,2011. </w:t>
      </w:r>
      <w:r w:rsidRPr="00E52B95">
        <w:rPr>
          <w:rFonts w:ascii="Times New Roman" w:hAnsi="Times New Roman" w:cs="Times New Roman"/>
          <w:i/>
          <w:color w:val="000000"/>
          <w:sz w:val="24"/>
          <w:szCs w:val="24"/>
          <w:shd w:val="clear" w:color="auto" w:fill="FFFFFF"/>
        </w:rPr>
        <w:t xml:space="preserve">Amomum subulatum </w:t>
      </w:r>
      <w:r w:rsidRPr="00E52B95">
        <w:rPr>
          <w:rFonts w:ascii="Times New Roman" w:hAnsi="Times New Roman" w:cs="Times New Roman"/>
          <w:color w:val="000000"/>
          <w:sz w:val="24"/>
          <w:szCs w:val="24"/>
          <w:shd w:val="clear" w:color="auto" w:fill="FFFFFF"/>
        </w:rPr>
        <w:t>Roxb: Traditional, phytochemical and biological activities-An overview. </w:t>
      </w:r>
      <w:r w:rsidRPr="00E52B95">
        <w:rPr>
          <w:rFonts w:ascii="Times New Roman" w:hAnsi="Times New Roman" w:cs="Times New Roman"/>
          <w:i/>
          <w:iCs/>
          <w:color w:val="000000"/>
          <w:sz w:val="24"/>
          <w:szCs w:val="24"/>
          <w:shd w:val="clear" w:color="auto" w:fill="FFFFFF"/>
        </w:rPr>
        <w:t>Afr J Agric Res</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6</w:t>
      </w:r>
      <w:r w:rsidRPr="00E52B95">
        <w:rPr>
          <w:rFonts w:ascii="Times New Roman" w:hAnsi="Times New Roman" w:cs="Times New Roman"/>
          <w:color w:val="000000"/>
          <w:sz w:val="24"/>
          <w:szCs w:val="24"/>
          <w:shd w:val="clear" w:color="auto" w:fill="FFFFFF"/>
        </w:rPr>
        <w:t>, 5386-90. DOI: </w:t>
      </w:r>
      <w:hyperlink r:id="rId37" w:tgtFrame="_blank" w:history="1">
        <w:r w:rsidRPr="00E52B95">
          <w:rPr>
            <w:rStyle w:val="Hyperlink"/>
            <w:rFonts w:ascii="Times New Roman" w:hAnsi="Times New Roman" w:cs="Times New Roman"/>
            <w:color w:val="000000"/>
            <w:sz w:val="24"/>
            <w:szCs w:val="24"/>
            <w:u w:val="none"/>
            <w:bdr w:val="single" w:sz="2" w:space="0" w:color="D1D1D2" w:frame="1"/>
            <w:shd w:val="clear" w:color="auto" w:fill="FFFFFF"/>
          </w:rPr>
          <w:t>10.5897/AJAR11.745</w:t>
        </w:r>
      </w:hyperlink>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Chutiwitoonchai, N., Akkarawongsapat, R., Chantawarin, S., Jiarpinitnun, C., Liwnaree, B., Teeravechyan, S., &amp; Soodvilai, S., 2025. Antiviral effect of pinostrobin, a bioactive </w:t>
      </w:r>
      <w:r w:rsidRPr="00E52B95">
        <w:rPr>
          <w:rFonts w:ascii="Times New Roman" w:hAnsi="Times New Roman" w:cs="Times New Roman"/>
          <w:color w:val="000000"/>
          <w:sz w:val="24"/>
          <w:szCs w:val="24"/>
          <w:shd w:val="clear" w:color="auto" w:fill="FFFFFF"/>
        </w:rPr>
        <w:lastRenderedPageBreak/>
        <w:t xml:space="preserve">constituent of </w:t>
      </w:r>
      <w:r w:rsidRPr="00E52B95">
        <w:rPr>
          <w:rFonts w:ascii="Times New Roman" w:hAnsi="Times New Roman" w:cs="Times New Roman"/>
          <w:i/>
          <w:color w:val="000000"/>
          <w:sz w:val="24"/>
          <w:szCs w:val="24"/>
          <w:shd w:val="clear" w:color="auto" w:fill="FFFFFF"/>
        </w:rPr>
        <w:t>Boesenbergia rotunda</w:t>
      </w:r>
      <w:r w:rsidRPr="00E52B95">
        <w:rPr>
          <w:rFonts w:ascii="Times New Roman" w:hAnsi="Times New Roman" w:cs="Times New Roman"/>
          <w:color w:val="000000"/>
          <w:sz w:val="24"/>
          <w:szCs w:val="24"/>
          <w:shd w:val="clear" w:color="auto" w:fill="FFFFFF"/>
        </w:rPr>
        <w:t>, against porcine epidemic diarrhea virus.  </w:t>
      </w:r>
      <w:r w:rsidRPr="00E52B95">
        <w:rPr>
          <w:rStyle w:val="Emphasis"/>
          <w:rFonts w:ascii="Times New Roman" w:hAnsi="Times New Roman" w:cs="Times New Roman"/>
          <w:bCs/>
          <w:i w:val="0"/>
          <w:iCs w:val="0"/>
          <w:color w:val="000000"/>
          <w:sz w:val="24"/>
          <w:szCs w:val="24"/>
          <w:shd w:val="clear" w:color="auto" w:fill="FFFFFF"/>
        </w:rPr>
        <w:t>Antiviral Res.,</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234</w:t>
      </w:r>
      <w:r w:rsidRPr="00E52B95">
        <w:rPr>
          <w:rFonts w:ascii="Times New Roman" w:hAnsi="Times New Roman" w:cs="Times New Roman"/>
          <w:color w:val="000000"/>
          <w:sz w:val="24"/>
          <w:szCs w:val="24"/>
          <w:shd w:val="clear" w:color="auto" w:fill="FFFFFF"/>
        </w:rPr>
        <w:t>, 106073.</w:t>
      </w:r>
      <w:r w:rsidRPr="00E52B95">
        <w:rPr>
          <w:rFonts w:ascii="Times New Roman" w:hAnsi="Times New Roman" w:cs="Times New Roman"/>
          <w:color w:val="000000"/>
          <w:sz w:val="24"/>
          <w:szCs w:val="24"/>
        </w:rPr>
        <w:t xml:space="preserve"> </w:t>
      </w:r>
      <w:hyperlink r:id="rId38" w:tgtFrame="_blank" w:tooltip="Persistent link using digital object identifier" w:history="1">
        <w:r w:rsidRPr="00E52B95">
          <w:rPr>
            <w:rStyle w:val="anchor-text"/>
            <w:rFonts w:ascii="Times New Roman" w:hAnsi="Times New Roman" w:cs="Times New Roman"/>
            <w:color w:val="000000"/>
            <w:sz w:val="24"/>
            <w:szCs w:val="24"/>
          </w:rPr>
          <w:t>https://doi.org/10.1016/j.antiviral.2024.106073</w:t>
        </w:r>
      </w:hyperlink>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ARYANTINI, D., ASTUTI, P., YUNIARTI, N., &amp; WAHYUONO, S., 2023. Bioassay-guided isolation of the antioxidant constituent from </w:t>
      </w:r>
      <w:r w:rsidRPr="00E52B95">
        <w:rPr>
          <w:rFonts w:ascii="Times New Roman" w:hAnsi="Times New Roman" w:cs="Times New Roman"/>
          <w:i/>
          <w:color w:val="000000"/>
          <w:sz w:val="24"/>
          <w:szCs w:val="24"/>
          <w:shd w:val="clear" w:color="auto" w:fill="FFFFFF"/>
        </w:rPr>
        <w:t>Kaempferia rotunda</w:t>
      </w:r>
      <w:r w:rsidRPr="00E52B95">
        <w:rPr>
          <w:rFonts w:ascii="Times New Roman" w:hAnsi="Times New Roman" w:cs="Times New Roman"/>
          <w:color w:val="000000"/>
          <w:sz w:val="24"/>
          <w:szCs w:val="24"/>
          <w:shd w:val="clear" w:color="auto" w:fill="FFFFFF"/>
        </w:rPr>
        <w:t xml:space="preserve"> L. </w:t>
      </w:r>
      <w:r w:rsidRPr="00E52B95">
        <w:rPr>
          <w:rFonts w:ascii="Times New Roman" w:hAnsi="Times New Roman" w:cs="Times New Roman"/>
          <w:i/>
          <w:iCs/>
          <w:color w:val="000000"/>
          <w:sz w:val="24"/>
          <w:szCs w:val="24"/>
          <w:shd w:val="clear" w:color="auto" w:fill="FFFFFF"/>
        </w:rPr>
        <w:t xml:space="preserve">Biodiversitas </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24</w:t>
      </w:r>
      <w:r w:rsidRPr="00E52B95">
        <w:rPr>
          <w:rFonts w:ascii="Times New Roman" w:hAnsi="Times New Roman" w:cs="Times New Roman"/>
          <w:color w:val="000000"/>
          <w:sz w:val="24"/>
          <w:szCs w:val="24"/>
          <w:shd w:val="clear" w:color="auto" w:fill="FFFFFF"/>
        </w:rPr>
        <w:t>.</w:t>
      </w:r>
      <w:r w:rsidRPr="00E52B95">
        <w:rPr>
          <w:rFonts w:ascii="Times New Roman" w:hAnsi="Times New Roman" w:cs="Times New Roman"/>
          <w:color w:val="000000"/>
          <w:sz w:val="24"/>
          <w:szCs w:val="24"/>
        </w:rPr>
        <w:t xml:space="preserve"> DOI: 10.13057/biodiv/d240665</w:t>
      </w:r>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Mutmainah, M., Mayangsari, Y., Santoso, U., Chansuwan, W., &amp; Sirinupong, N.,2024. Phytochemical profile and antioxidant activity of torch ginger (</w:t>
      </w:r>
      <w:r w:rsidRPr="00E52B95">
        <w:rPr>
          <w:rFonts w:ascii="Times New Roman" w:hAnsi="Times New Roman" w:cs="Times New Roman"/>
          <w:i/>
          <w:color w:val="000000"/>
          <w:sz w:val="24"/>
          <w:szCs w:val="24"/>
          <w:shd w:val="clear" w:color="auto" w:fill="FFFFFF"/>
        </w:rPr>
        <w:t>Etlingera elatior</w:t>
      </w:r>
      <w:r w:rsidRPr="00E52B95">
        <w:rPr>
          <w:rFonts w:ascii="Times New Roman" w:hAnsi="Times New Roman" w:cs="Times New Roman"/>
          <w:color w:val="000000"/>
          <w:sz w:val="24"/>
          <w:szCs w:val="24"/>
          <w:shd w:val="clear" w:color="auto" w:fill="FFFFFF"/>
        </w:rPr>
        <w:t>) inflorescence extract after in vitro simulated digestion. </w:t>
      </w:r>
      <w:r w:rsidRPr="00E52B95">
        <w:rPr>
          <w:rStyle w:val="Emphasis"/>
          <w:rFonts w:ascii="Times New Roman" w:hAnsi="Times New Roman" w:cs="Times New Roman"/>
          <w:bCs/>
          <w:i w:val="0"/>
          <w:iCs w:val="0"/>
          <w:color w:val="000000"/>
          <w:sz w:val="24"/>
          <w:szCs w:val="24"/>
          <w:shd w:val="clear" w:color="auto" w:fill="FFFFFF"/>
        </w:rPr>
        <w:t>Funct. food health dis</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14</w:t>
      </w:r>
      <w:r w:rsidRPr="00E52B95">
        <w:rPr>
          <w:rFonts w:ascii="Times New Roman" w:hAnsi="Times New Roman" w:cs="Times New Roman"/>
          <w:color w:val="000000"/>
          <w:sz w:val="24"/>
          <w:szCs w:val="24"/>
          <w:shd w:val="clear" w:color="auto" w:fill="FFFFFF"/>
        </w:rPr>
        <w:t>, 528-545.</w:t>
      </w:r>
      <w:r w:rsidRPr="00E52B95">
        <w:rPr>
          <w:rFonts w:ascii="Times New Roman" w:hAnsi="Times New Roman" w:cs="Times New Roman"/>
          <w:color w:val="000000"/>
          <w:sz w:val="24"/>
          <w:szCs w:val="24"/>
        </w:rPr>
        <w:t xml:space="preserve"> </w:t>
      </w:r>
      <w:r w:rsidRPr="00E52B95">
        <w:rPr>
          <w:rFonts w:ascii="Times New Roman" w:hAnsi="Times New Roman" w:cs="Times New Roman"/>
          <w:color w:val="000000"/>
          <w:sz w:val="24"/>
          <w:szCs w:val="24"/>
          <w:shd w:val="clear" w:color="auto" w:fill="FFFFFF"/>
        </w:rPr>
        <w:t>DOI: https://doi.org/10.31989/ffhd.v14i7.1382</w:t>
      </w:r>
    </w:p>
    <w:p w:rsidR="00E52B95" w:rsidRPr="00E52B95" w:rsidRDefault="00E52B95" w:rsidP="00E52B95">
      <w:pPr>
        <w:pStyle w:val="ListParagraph"/>
        <w:spacing w:line="360" w:lineRule="auto"/>
        <w:ind w:left="360"/>
        <w:jc w:val="both"/>
        <w:rPr>
          <w:rFonts w:ascii="Times New Roman" w:hAnsi="Times New Roman" w:cs="Times New Roman"/>
          <w:color w:val="000000"/>
          <w:sz w:val="24"/>
          <w:szCs w:val="24"/>
        </w:rPr>
      </w:pPr>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Stirling, K. J., 2004. </w:t>
      </w:r>
      <w:r w:rsidRPr="00E52B95">
        <w:rPr>
          <w:rFonts w:ascii="Times New Roman" w:hAnsi="Times New Roman" w:cs="Times New Roman"/>
          <w:i/>
          <w:iCs/>
          <w:color w:val="000000"/>
          <w:sz w:val="24"/>
          <w:szCs w:val="24"/>
          <w:shd w:val="clear" w:color="auto" w:fill="FFFFFF"/>
        </w:rPr>
        <w:t>Environmental and cultural factors affecting the production of myoga (Zingiber  mioga Roscoe) in Australia</w:t>
      </w:r>
      <w:r w:rsidRPr="00E52B95">
        <w:rPr>
          <w:rFonts w:ascii="Times New Roman" w:hAnsi="Times New Roman" w:cs="Times New Roman"/>
          <w:color w:val="000000"/>
          <w:sz w:val="24"/>
          <w:szCs w:val="24"/>
          <w:shd w:val="clear" w:color="auto" w:fill="FFFFFF"/>
        </w:rPr>
        <w:t> (Doctoral dissertation, University of Tasmania).</w:t>
      </w:r>
      <w:r w:rsidRPr="00E52B95">
        <w:rPr>
          <w:rFonts w:ascii="Times New Roman" w:hAnsi="Times New Roman" w:cs="Times New Roman"/>
          <w:color w:val="000000"/>
          <w:sz w:val="24"/>
          <w:szCs w:val="24"/>
        </w:rPr>
        <w:t xml:space="preserve"> DOI: https://doi.org/10.26656/fr.2017.7,389.</w:t>
      </w:r>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Kaur, N., Kaur, R., Bhardwaj, U., &amp; Sharma, P., 2025. Isolation and derivatization of bioactive compounds from </w:t>
      </w:r>
      <w:r w:rsidRPr="00E52B95">
        <w:rPr>
          <w:rFonts w:ascii="Times New Roman" w:hAnsi="Times New Roman" w:cs="Times New Roman"/>
          <w:i/>
          <w:color w:val="000000"/>
          <w:sz w:val="24"/>
          <w:szCs w:val="24"/>
          <w:shd w:val="clear" w:color="auto" w:fill="FFFFFF"/>
        </w:rPr>
        <w:t>Zingiber  zerumbet</w:t>
      </w:r>
      <w:r w:rsidRPr="00E52B95">
        <w:rPr>
          <w:rFonts w:ascii="Times New Roman" w:hAnsi="Times New Roman" w:cs="Times New Roman"/>
          <w:color w:val="000000"/>
          <w:sz w:val="24"/>
          <w:szCs w:val="24"/>
          <w:shd w:val="clear" w:color="auto" w:fill="FFFFFF"/>
        </w:rPr>
        <w:t xml:space="preserve"> essential oil with antifungal activity against rice pathogens. </w:t>
      </w:r>
      <w:r w:rsidRPr="00E52B95">
        <w:rPr>
          <w:rStyle w:val="Strong"/>
          <w:rFonts w:ascii="Times New Roman" w:hAnsi="Times New Roman" w:cs="Times New Roman"/>
          <w:b w:val="0"/>
          <w:color w:val="000000"/>
          <w:sz w:val="24"/>
          <w:szCs w:val="24"/>
          <w:shd w:val="clear" w:color="auto" w:fill="FFFFFF"/>
        </w:rPr>
        <w:t>Discov. Plants,</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2</w:t>
      </w:r>
      <w:r w:rsidRPr="00E52B95">
        <w:rPr>
          <w:rFonts w:ascii="Times New Roman" w:hAnsi="Times New Roman" w:cs="Times New Roman"/>
          <w:color w:val="000000"/>
          <w:sz w:val="24"/>
          <w:szCs w:val="24"/>
          <w:shd w:val="clear" w:color="auto" w:fill="FFFFFF"/>
        </w:rPr>
        <w:t>, 1-15.</w:t>
      </w:r>
      <w:r w:rsidRPr="00E52B95">
        <w:rPr>
          <w:rFonts w:ascii="Times New Roman" w:hAnsi="Times New Roman" w:cs="Times New Roman"/>
          <w:color w:val="000000"/>
          <w:sz w:val="24"/>
          <w:szCs w:val="24"/>
        </w:rPr>
        <w:t xml:space="preserve"> </w:t>
      </w:r>
      <w:hyperlink r:id="rId39" w:history="1">
        <w:r w:rsidRPr="00E52B95">
          <w:rPr>
            <w:rStyle w:val="Hyperlink"/>
            <w:rFonts w:ascii="Times New Roman" w:hAnsi="Times New Roman" w:cs="Times New Roman"/>
            <w:color w:val="000000"/>
            <w:sz w:val="24"/>
            <w:szCs w:val="24"/>
            <w:u w:val="none"/>
          </w:rPr>
          <w:t>https://doi.org/10.1007/s44372-025-00321-1</w:t>
        </w:r>
      </w:hyperlink>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Panyajai, P., Chueahongthong, F., Viriyaadhammaa, N., Nirachonkul, W., Tima, S., Chiampanichayakul, S., ... &amp; Okonogi, S.,2022. Anticancer activity of </w:t>
      </w:r>
      <w:r w:rsidRPr="00E52B95">
        <w:rPr>
          <w:rFonts w:ascii="Times New Roman" w:hAnsi="Times New Roman" w:cs="Times New Roman"/>
          <w:i/>
          <w:color w:val="000000"/>
          <w:sz w:val="24"/>
          <w:szCs w:val="24"/>
          <w:shd w:val="clear" w:color="auto" w:fill="FFFFFF"/>
        </w:rPr>
        <w:t>Zingiber  ottensii</w:t>
      </w:r>
      <w:r w:rsidRPr="00E52B95">
        <w:rPr>
          <w:rFonts w:ascii="Times New Roman" w:hAnsi="Times New Roman" w:cs="Times New Roman"/>
          <w:color w:val="000000"/>
          <w:sz w:val="24"/>
          <w:szCs w:val="24"/>
          <w:shd w:val="clear" w:color="auto" w:fill="FFFFFF"/>
        </w:rPr>
        <w:t xml:space="preserve"> essential oil and its nanoformulations. </w:t>
      </w:r>
      <w:r w:rsidRPr="00E52B95">
        <w:rPr>
          <w:rFonts w:ascii="Times New Roman" w:hAnsi="Times New Roman" w:cs="Times New Roman"/>
          <w:i/>
          <w:iCs/>
          <w:color w:val="000000"/>
          <w:sz w:val="24"/>
          <w:szCs w:val="24"/>
          <w:shd w:val="clear" w:color="auto" w:fill="FFFFFF"/>
        </w:rPr>
        <w:t>PLoS One</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17</w:t>
      </w:r>
      <w:r w:rsidRPr="00E52B95">
        <w:rPr>
          <w:rFonts w:ascii="Times New Roman" w:hAnsi="Times New Roman" w:cs="Times New Roman"/>
          <w:color w:val="000000"/>
          <w:sz w:val="24"/>
          <w:szCs w:val="24"/>
          <w:shd w:val="clear" w:color="auto" w:fill="FFFFFF"/>
        </w:rPr>
        <w:t>, e0262335.</w:t>
      </w:r>
      <w:r w:rsidRPr="00E52B95">
        <w:rPr>
          <w:rFonts w:ascii="Times New Roman" w:hAnsi="Times New Roman" w:cs="Times New Roman"/>
          <w:color w:val="000000"/>
          <w:sz w:val="24"/>
          <w:szCs w:val="24"/>
        </w:rPr>
        <w:t xml:space="preserve"> </w:t>
      </w:r>
      <w:hyperlink r:id="rId40" w:history="1">
        <w:r w:rsidRPr="00E52B95">
          <w:rPr>
            <w:rStyle w:val="Hyperlink"/>
            <w:rFonts w:ascii="Times New Roman" w:hAnsi="Times New Roman" w:cs="Times New Roman"/>
            <w:color w:val="000000"/>
            <w:sz w:val="24"/>
            <w:szCs w:val="24"/>
            <w:u w:val="none"/>
          </w:rPr>
          <w:t>https://doi.org/10.1371/journal.pone.0262335</w:t>
        </w:r>
      </w:hyperlink>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Devkota, H. P., Paudel, K. R., Hassan, M. M., Dirar, A. I., Das, N., Adhikari-Devkota, A., ... &amp; Dua, K., 2021. Bioactive compounds from </w:t>
      </w:r>
      <w:r w:rsidRPr="00E52B95">
        <w:rPr>
          <w:rFonts w:ascii="Times New Roman" w:hAnsi="Times New Roman" w:cs="Times New Roman"/>
          <w:i/>
          <w:color w:val="000000"/>
          <w:sz w:val="24"/>
          <w:szCs w:val="24"/>
          <w:shd w:val="clear" w:color="auto" w:fill="FFFFFF"/>
        </w:rPr>
        <w:t>Zingiber  montanum</w:t>
      </w:r>
      <w:r w:rsidRPr="00E52B95">
        <w:rPr>
          <w:rFonts w:ascii="Times New Roman" w:hAnsi="Times New Roman" w:cs="Times New Roman"/>
          <w:color w:val="000000"/>
          <w:sz w:val="24"/>
          <w:szCs w:val="24"/>
          <w:shd w:val="clear" w:color="auto" w:fill="FFFFFF"/>
        </w:rPr>
        <w:t xml:space="preserve"> and their pharmacological activities with focus on zerumbone. </w:t>
      </w:r>
      <w:hyperlink r:id="rId41" w:history="1">
        <w:r w:rsidRPr="00E52B95">
          <w:rPr>
            <w:rStyle w:val="Hyperlink"/>
            <w:rFonts w:ascii="Times New Roman" w:hAnsi="Times New Roman" w:cs="Times New Roman"/>
            <w:bCs/>
            <w:color w:val="000000"/>
            <w:sz w:val="24"/>
            <w:szCs w:val="24"/>
            <w:u w:val="none"/>
            <w:shd w:val="clear" w:color="auto" w:fill="FFFFFF"/>
          </w:rPr>
          <w:t>Appl. Sci</w:t>
        </w:r>
      </w:hyperlink>
      <w:r w:rsidRPr="00E52B95">
        <w:rPr>
          <w:rStyle w:val="Strong"/>
          <w:rFonts w:ascii="Times New Roman" w:hAnsi="Times New Roman" w:cs="Times New Roman"/>
          <w:b w:val="0"/>
          <w:color w:val="000000"/>
          <w:sz w:val="24"/>
          <w:szCs w:val="24"/>
          <w:shd w:val="clear" w:color="auto" w:fill="FFFFFF"/>
        </w:rPr>
        <w:t>.</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11</w:t>
      </w:r>
      <w:r w:rsidRPr="00E52B95">
        <w:rPr>
          <w:rFonts w:ascii="Times New Roman" w:hAnsi="Times New Roman" w:cs="Times New Roman"/>
          <w:color w:val="000000"/>
          <w:sz w:val="24"/>
          <w:szCs w:val="24"/>
          <w:shd w:val="clear" w:color="auto" w:fill="FFFFFF"/>
        </w:rPr>
        <w:t>, 10205.  </w:t>
      </w:r>
      <w:hyperlink r:id="rId42" w:history="1">
        <w:r w:rsidRPr="00E52B95">
          <w:rPr>
            <w:rStyle w:val="Hyperlink"/>
            <w:rFonts w:ascii="Times New Roman" w:hAnsi="Times New Roman" w:cs="Times New Roman"/>
            <w:bCs/>
            <w:color w:val="000000"/>
            <w:sz w:val="24"/>
            <w:szCs w:val="24"/>
            <w:u w:val="none"/>
            <w:shd w:val="clear" w:color="auto" w:fill="FFFFFF"/>
          </w:rPr>
          <w:t>https://doi.org/10.3390/app112110205</w:t>
        </w:r>
      </w:hyperlink>
    </w:p>
    <w:p w:rsidR="00E52B95" w:rsidRPr="00E52B95" w:rsidRDefault="00E52B95" w:rsidP="00E52B95">
      <w:pPr>
        <w:spacing w:after="0" w:line="360" w:lineRule="auto"/>
        <w:jc w:val="both"/>
        <w:rPr>
          <w:rFonts w:ascii="Times New Roman" w:hAnsi="Times New Roman" w:cs="Times New Roman"/>
          <w:color w:val="000000"/>
          <w:sz w:val="24"/>
          <w:szCs w:val="24"/>
          <w:shd w:val="clear" w:color="auto" w:fill="FFFFFF"/>
        </w:rPr>
      </w:pPr>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Kanglom, C., Singh, Y. A., &amp; Singh, S. H., 2024. Evaluation of Phytochemical Constituent, Antioxidant Activity and Anti-Bacterial Activity of Black Turmeric (</w:t>
      </w:r>
      <w:r w:rsidRPr="00E52B95">
        <w:rPr>
          <w:rFonts w:ascii="Times New Roman" w:hAnsi="Times New Roman" w:cs="Times New Roman"/>
          <w:i/>
          <w:color w:val="000000"/>
          <w:sz w:val="24"/>
          <w:szCs w:val="24"/>
          <w:shd w:val="clear" w:color="auto" w:fill="FFFFFF"/>
        </w:rPr>
        <w:t>Curcuma caesia</w:t>
      </w:r>
      <w:r w:rsidRPr="00E52B95">
        <w:rPr>
          <w:rFonts w:ascii="Times New Roman" w:hAnsi="Times New Roman" w:cs="Times New Roman"/>
          <w:color w:val="000000"/>
          <w:sz w:val="24"/>
          <w:szCs w:val="24"/>
          <w:shd w:val="clear" w:color="auto" w:fill="FFFFFF"/>
        </w:rPr>
        <w:t xml:space="preserve"> Roxb.). </w:t>
      </w:r>
      <w:r w:rsidRPr="00E52B95">
        <w:rPr>
          <w:rStyle w:val="Strong"/>
          <w:rFonts w:ascii="Times New Roman" w:hAnsi="Times New Roman" w:cs="Times New Roman"/>
          <w:b w:val="0"/>
          <w:color w:val="000000"/>
          <w:sz w:val="24"/>
          <w:szCs w:val="24"/>
          <w:shd w:val="clear" w:color="auto" w:fill="FFFFFF"/>
        </w:rPr>
        <w:t>Ecol. Environ.</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42</w:t>
      </w:r>
      <w:r w:rsidRPr="00E52B95">
        <w:rPr>
          <w:rFonts w:ascii="Times New Roman" w:hAnsi="Times New Roman" w:cs="Times New Roman"/>
          <w:color w:val="000000"/>
          <w:sz w:val="24"/>
          <w:szCs w:val="24"/>
          <w:shd w:val="clear" w:color="auto" w:fill="FFFFFF"/>
        </w:rPr>
        <w:t>, 821-827.</w:t>
      </w:r>
      <w:r w:rsidRPr="00E52B95">
        <w:rPr>
          <w:rFonts w:ascii="Times New Roman" w:hAnsi="Times New Roman" w:cs="Times New Roman"/>
          <w:color w:val="000000"/>
          <w:sz w:val="24"/>
          <w:szCs w:val="24"/>
        </w:rPr>
        <w:t>DOI: https://doi.org/10.60151/envec/CZFU3931</w:t>
      </w:r>
    </w:p>
    <w:p w:rsidR="00E52B95" w:rsidRPr="00E52B95" w:rsidRDefault="00E52B95" w:rsidP="00E52B95">
      <w:pPr>
        <w:pStyle w:val="ListParagraph"/>
        <w:spacing w:line="360" w:lineRule="auto"/>
        <w:jc w:val="both"/>
        <w:rPr>
          <w:rFonts w:ascii="Times New Roman" w:hAnsi="Times New Roman" w:cs="Times New Roman"/>
          <w:color w:val="000000"/>
          <w:sz w:val="24"/>
          <w:szCs w:val="24"/>
          <w:shd w:val="clear" w:color="auto" w:fill="FFFFFF"/>
        </w:rPr>
      </w:pPr>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Gharge, S., Hiremath, S. I., Kagawad, P., Jivaje, K., Palled, M. S., &amp; Suryawanshi, S. S. 2021</w:t>
      </w:r>
      <w:r w:rsidRPr="00E52B95">
        <w:rPr>
          <w:rFonts w:ascii="Times New Roman" w:hAnsi="Times New Roman" w:cs="Times New Roman"/>
          <w:i/>
          <w:color w:val="000000"/>
          <w:sz w:val="24"/>
          <w:szCs w:val="24"/>
          <w:shd w:val="clear" w:color="auto" w:fill="FFFFFF"/>
        </w:rPr>
        <w:t>. Curcuma zedoaria</w:t>
      </w:r>
      <w:r w:rsidRPr="00E52B95">
        <w:rPr>
          <w:rFonts w:ascii="Times New Roman" w:hAnsi="Times New Roman" w:cs="Times New Roman"/>
          <w:color w:val="000000"/>
          <w:sz w:val="24"/>
          <w:szCs w:val="24"/>
          <w:shd w:val="clear" w:color="auto" w:fill="FFFFFF"/>
        </w:rPr>
        <w:t xml:space="preserve"> Rosc (Zingiberaceae): a review on its chemical, pharmacological and biological activities. </w:t>
      </w:r>
      <w:r w:rsidRPr="00E52B95">
        <w:rPr>
          <w:rStyle w:val="Strong"/>
          <w:rFonts w:ascii="Times New Roman" w:hAnsi="Times New Roman" w:cs="Times New Roman"/>
          <w:b w:val="0"/>
          <w:color w:val="000000"/>
          <w:sz w:val="24"/>
          <w:szCs w:val="24"/>
        </w:rPr>
        <w:t>Futur. J. Pharm. Sci</w:t>
      </w:r>
      <w:r w:rsidRPr="00E52B95">
        <w:rPr>
          <w:rStyle w:val="Strong"/>
          <w:rFonts w:ascii="Times New Roman" w:hAnsi="Times New Roman" w:cs="Times New Roman"/>
          <w:b w:val="0"/>
          <w:color w:val="000000"/>
          <w:sz w:val="24"/>
          <w:szCs w:val="24"/>
          <w:shd w:val="clear" w:color="auto" w:fill="FFFFFF"/>
        </w:rPr>
        <w:t>.</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7</w:t>
      </w:r>
      <w:r w:rsidRPr="00E52B95">
        <w:rPr>
          <w:rFonts w:ascii="Times New Roman" w:hAnsi="Times New Roman" w:cs="Times New Roman"/>
          <w:color w:val="000000"/>
          <w:sz w:val="24"/>
          <w:szCs w:val="24"/>
          <w:shd w:val="clear" w:color="auto" w:fill="FFFFFF"/>
        </w:rPr>
        <w:t>, 1-9.</w:t>
      </w:r>
      <w:r w:rsidRPr="00E52B95">
        <w:rPr>
          <w:rFonts w:ascii="Times New Roman" w:hAnsi="Times New Roman" w:cs="Times New Roman"/>
          <w:color w:val="000000"/>
          <w:sz w:val="24"/>
          <w:szCs w:val="24"/>
        </w:rPr>
        <w:t xml:space="preserve">  </w:t>
      </w:r>
      <w:hyperlink r:id="rId43" w:history="1">
        <w:r w:rsidRPr="00E52B95">
          <w:rPr>
            <w:rStyle w:val="Hyperlink"/>
            <w:rFonts w:ascii="Times New Roman" w:hAnsi="Times New Roman" w:cs="Times New Roman"/>
            <w:color w:val="000000"/>
            <w:sz w:val="24"/>
            <w:szCs w:val="24"/>
            <w:u w:val="none"/>
          </w:rPr>
          <w:t>https://doi.org/10.1186/s43094-021-00316-1</w:t>
        </w:r>
      </w:hyperlink>
    </w:p>
    <w:p w:rsidR="00E52B95" w:rsidRPr="00E52B95" w:rsidRDefault="00E52B95" w:rsidP="00E52B95">
      <w:pPr>
        <w:pStyle w:val="ListParagraph"/>
        <w:spacing w:line="360" w:lineRule="auto"/>
        <w:jc w:val="both"/>
        <w:rPr>
          <w:rFonts w:ascii="Times New Roman" w:hAnsi="Times New Roman" w:cs="Times New Roman"/>
          <w:color w:val="000000"/>
          <w:sz w:val="24"/>
          <w:szCs w:val="24"/>
          <w:shd w:val="clear" w:color="auto" w:fill="FFFFFF"/>
        </w:rPr>
      </w:pPr>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Ashokkumar, K., Murugan, M., Dhanya, M. K., &amp; Warkentin, T. D., 2020. Botany, traditional uses, phytochemistry and biological activities of cardamom [</w:t>
      </w:r>
      <w:r w:rsidRPr="00E52B95">
        <w:rPr>
          <w:rFonts w:ascii="Times New Roman" w:hAnsi="Times New Roman" w:cs="Times New Roman"/>
          <w:i/>
          <w:color w:val="000000"/>
          <w:sz w:val="24"/>
          <w:szCs w:val="24"/>
          <w:shd w:val="clear" w:color="auto" w:fill="FFFFFF"/>
        </w:rPr>
        <w:t>Elettaria cardamomum</w:t>
      </w:r>
      <w:r w:rsidRPr="00E52B95">
        <w:rPr>
          <w:rFonts w:ascii="Times New Roman" w:hAnsi="Times New Roman" w:cs="Times New Roman"/>
          <w:color w:val="000000"/>
          <w:sz w:val="24"/>
          <w:szCs w:val="24"/>
          <w:shd w:val="clear" w:color="auto" w:fill="FFFFFF"/>
        </w:rPr>
        <w:t xml:space="preserve"> (L.) Maton]–A critical review. </w:t>
      </w:r>
      <w:r w:rsidRPr="00E52B95">
        <w:rPr>
          <w:rFonts w:ascii="Times New Roman" w:hAnsi="Times New Roman" w:cs="Times New Roman"/>
          <w:color w:val="000000"/>
          <w:sz w:val="24"/>
          <w:szCs w:val="24"/>
        </w:rPr>
        <w:t>J. Ethnopharmacol</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246</w:t>
      </w:r>
      <w:r w:rsidRPr="00E52B95">
        <w:rPr>
          <w:rFonts w:ascii="Times New Roman" w:hAnsi="Times New Roman" w:cs="Times New Roman"/>
          <w:color w:val="000000"/>
          <w:sz w:val="24"/>
          <w:szCs w:val="24"/>
          <w:shd w:val="clear" w:color="auto" w:fill="FFFFFF"/>
        </w:rPr>
        <w:t>, 112244.</w:t>
      </w:r>
      <w:r w:rsidRPr="00E52B95">
        <w:rPr>
          <w:rStyle w:val="id-label"/>
          <w:rFonts w:ascii="Times New Roman" w:hAnsi="Times New Roman" w:cs="Times New Roman"/>
          <w:color w:val="000000"/>
          <w:sz w:val="24"/>
          <w:szCs w:val="24"/>
        </w:rPr>
        <w:t xml:space="preserve"> DOI: </w:t>
      </w:r>
      <w:hyperlink r:id="rId44" w:tgtFrame="_blank" w:history="1">
        <w:r w:rsidRPr="00E52B95">
          <w:rPr>
            <w:rStyle w:val="Hyperlink"/>
            <w:rFonts w:ascii="Times New Roman" w:hAnsi="Times New Roman" w:cs="Times New Roman"/>
            <w:color w:val="000000"/>
            <w:sz w:val="24"/>
            <w:szCs w:val="24"/>
            <w:u w:val="none"/>
          </w:rPr>
          <w:t>10.1016/j.jep.2019.112244</w:t>
        </w:r>
      </w:hyperlink>
    </w:p>
    <w:p w:rsidR="00E52B95" w:rsidRPr="00E52B95" w:rsidRDefault="00E52B95" w:rsidP="00E52B95">
      <w:pPr>
        <w:pStyle w:val="ListParagraph"/>
        <w:spacing w:after="0" w:line="360" w:lineRule="auto"/>
        <w:ind w:left="360"/>
        <w:jc w:val="both"/>
        <w:rPr>
          <w:rFonts w:ascii="Times New Roman" w:hAnsi="Times New Roman" w:cs="Times New Roman"/>
          <w:color w:val="000000"/>
          <w:sz w:val="24"/>
          <w:szCs w:val="24"/>
          <w:shd w:val="clear" w:color="auto" w:fill="FFFFFF"/>
        </w:rPr>
      </w:pPr>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Anuranj, P. R., Visakh, N. U., Pathrose, B., &amp; George, S. B., 2024. Exploring chemical composition and insecticidal activities of </w:t>
      </w:r>
      <w:r w:rsidRPr="00E52B95">
        <w:rPr>
          <w:rFonts w:ascii="Times New Roman" w:hAnsi="Times New Roman" w:cs="Times New Roman"/>
          <w:i/>
          <w:color w:val="000000"/>
          <w:sz w:val="24"/>
          <w:szCs w:val="24"/>
          <w:shd w:val="clear" w:color="auto" w:fill="FFFFFF"/>
        </w:rPr>
        <w:t>Alpiniacalcarata</w:t>
      </w:r>
      <w:r w:rsidRPr="00E52B95">
        <w:rPr>
          <w:rFonts w:ascii="Times New Roman" w:hAnsi="Times New Roman" w:cs="Times New Roman"/>
          <w:color w:val="000000"/>
          <w:sz w:val="24"/>
          <w:szCs w:val="24"/>
          <w:shd w:val="clear" w:color="auto" w:fill="FFFFFF"/>
        </w:rPr>
        <w:t xml:space="preserve"> rhizome essential oil against three major storage insects. </w:t>
      </w:r>
      <w:r w:rsidRPr="00E52B95">
        <w:rPr>
          <w:rStyle w:val="Strong"/>
          <w:rFonts w:ascii="Times New Roman" w:hAnsi="Times New Roman" w:cs="Times New Roman"/>
          <w:b w:val="0"/>
          <w:color w:val="000000"/>
          <w:sz w:val="24"/>
          <w:szCs w:val="24"/>
        </w:rPr>
        <w:t>J. Nat. Pestic. Res</w:t>
      </w:r>
      <w:r w:rsidRPr="00E52B95">
        <w:rPr>
          <w:rStyle w:val="Strong"/>
          <w:rFonts w:ascii="Times New Roman" w:hAnsi="Times New Roman" w:cs="Times New Roman"/>
          <w:b w:val="0"/>
          <w:color w:val="000000"/>
          <w:sz w:val="24"/>
          <w:szCs w:val="24"/>
          <w:shd w:val="clear" w:color="auto" w:fill="FFFFFF"/>
        </w:rPr>
        <w:t>.</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10</w:t>
      </w:r>
      <w:r w:rsidRPr="00E52B95">
        <w:rPr>
          <w:rFonts w:ascii="Times New Roman" w:hAnsi="Times New Roman" w:cs="Times New Roman"/>
          <w:color w:val="000000"/>
          <w:sz w:val="24"/>
          <w:szCs w:val="24"/>
          <w:shd w:val="clear" w:color="auto" w:fill="FFFFFF"/>
        </w:rPr>
        <w:t>, 100088. DOI: </w:t>
      </w:r>
      <w:hyperlink r:id="rId45" w:tgtFrame="_blank" w:history="1">
        <w:r w:rsidRPr="00E52B95">
          <w:rPr>
            <w:rStyle w:val="Hyperlink"/>
            <w:rFonts w:ascii="Times New Roman" w:hAnsi="Times New Roman" w:cs="Times New Roman"/>
            <w:color w:val="000000"/>
            <w:sz w:val="24"/>
            <w:szCs w:val="24"/>
            <w:u w:val="none"/>
            <w:bdr w:val="single" w:sz="2" w:space="0" w:color="D1D1D2" w:frame="1"/>
            <w:shd w:val="clear" w:color="auto" w:fill="FFFFFF"/>
          </w:rPr>
          <w:t>10.1016/j.napere.2024.100088</w:t>
        </w:r>
      </w:hyperlink>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Kar, B., Lenka, J., Sahoo, D., Dash, M., Sahoo, B. C., &amp; Sahoo, S.,2023. Traditional Uses, Phytochemistry, and Pharmacological Properties of </w:t>
      </w:r>
      <w:r w:rsidRPr="00E52B95">
        <w:rPr>
          <w:rFonts w:ascii="Times New Roman" w:hAnsi="Times New Roman" w:cs="Times New Roman"/>
          <w:i/>
          <w:color w:val="000000"/>
          <w:sz w:val="24"/>
          <w:szCs w:val="24"/>
          <w:shd w:val="clear" w:color="auto" w:fill="FFFFFF"/>
        </w:rPr>
        <w:t>Hedychium coronarium</w:t>
      </w:r>
      <w:r w:rsidRPr="00E52B95">
        <w:rPr>
          <w:rFonts w:ascii="Times New Roman" w:hAnsi="Times New Roman" w:cs="Times New Roman"/>
          <w:color w:val="000000"/>
          <w:sz w:val="24"/>
          <w:szCs w:val="24"/>
          <w:shd w:val="clear" w:color="auto" w:fill="FFFFFF"/>
        </w:rPr>
        <w:t>. In </w:t>
      </w:r>
      <w:r w:rsidRPr="00E52B95">
        <w:rPr>
          <w:rFonts w:ascii="Times New Roman" w:hAnsi="Times New Roman" w:cs="Times New Roman"/>
          <w:i/>
          <w:iCs/>
          <w:color w:val="000000"/>
          <w:sz w:val="24"/>
          <w:szCs w:val="24"/>
          <w:shd w:val="clear" w:color="auto" w:fill="FFFFFF"/>
        </w:rPr>
        <w:t>Aquatic Medicinal Plants</w:t>
      </w:r>
      <w:r w:rsidRPr="00E52B95">
        <w:rPr>
          <w:rFonts w:ascii="Times New Roman" w:hAnsi="Times New Roman" w:cs="Times New Roman"/>
          <w:color w:val="000000"/>
          <w:sz w:val="24"/>
          <w:szCs w:val="24"/>
          <w:shd w:val="clear" w:color="auto" w:fill="FFFFFF"/>
        </w:rPr>
        <w:t> (pp. 49-70). CRC Press.</w:t>
      </w:r>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Singh, A. P., Sharma, R. K., Behera, A., Kandpal, J. B., Chitme, H., &amp; Pant, P.,2024. Isolation, characterization and therapeutic potential of a novel furanoid diterpene lactone from </w:t>
      </w:r>
      <w:r w:rsidRPr="00E52B95">
        <w:rPr>
          <w:rFonts w:ascii="Times New Roman" w:hAnsi="Times New Roman" w:cs="Times New Roman"/>
          <w:i/>
          <w:color w:val="000000"/>
          <w:sz w:val="24"/>
          <w:szCs w:val="24"/>
          <w:shd w:val="clear" w:color="auto" w:fill="FFFFFF"/>
        </w:rPr>
        <w:t>Hedychium spicatum</w:t>
      </w:r>
      <w:r w:rsidRPr="00E52B95">
        <w:rPr>
          <w:rFonts w:ascii="Times New Roman" w:hAnsi="Times New Roman" w:cs="Times New Roman"/>
          <w:color w:val="000000"/>
          <w:sz w:val="24"/>
          <w:szCs w:val="24"/>
          <w:shd w:val="clear" w:color="auto" w:fill="FFFFFF"/>
        </w:rPr>
        <w:t xml:space="preserve"> rhizomes: Insights into antioxidant, anxiolytic, and circadian rhythm modulating properties.  </w:t>
      </w:r>
      <w:r w:rsidRPr="00E52B95">
        <w:rPr>
          <w:rStyle w:val="Strong"/>
          <w:rFonts w:ascii="Times New Roman" w:hAnsi="Times New Roman" w:cs="Times New Roman"/>
          <w:b w:val="0"/>
          <w:color w:val="000000"/>
          <w:sz w:val="24"/>
          <w:szCs w:val="24"/>
        </w:rPr>
        <w:t>Phytomed. Plus</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4</w:t>
      </w:r>
      <w:r w:rsidRPr="00E52B95">
        <w:rPr>
          <w:rFonts w:ascii="Times New Roman" w:hAnsi="Times New Roman" w:cs="Times New Roman"/>
          <w:color w:val="000000"/>
          <w:sz w:val="24"/>
          <w:szCs w:val="24"/>
          <w:shd w:val="clear" w:color="auto" w:fill="FFFFFF"/>
        </w:rPr>
        <w:t>, 100597.</w:t>
      </w:r>
      <w:r w:rsidRPr="00E52B95">
        <w:rPr>
          <w:rFonts w:ascii="Times New Roman" w:hAnsi="Times New Roman" w:cs="Times New Roman"/>
          <w:color w:val="000000"/>
          <w:sz w:val="24"/>
          <w:szCs w:val="24"/>
        </w:rPr>
        <w:t xml:space="preserve"> </w:t>
      </w:r>
      <w:hyperlink r:id="rId46" w:tgtFrame="_blank" w:tooltip="Persistent link using digital object identifier" w:history="1">
        <w:r w:rsidRPr="00E52B95">
          <w:rPr>
            <w:rStyle w:val="anchor-text"/>
            <w:rFonts w:ascii="Times New Roman" w:hAnsi="Times New Roman" w:cs="Times New Roman"/>
            <w:color w:val="000000"/>
            <w:sz w:val="24"/>
            <w:szCs w:val="24"/>
          </w:rPr>
          <w:t>https://doi.org/10.1016/j.phyplu.2024.100597</w:t>
        </w:r>
      </w:hyperlink>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Mani, B. I. N. C. E., &amp; Thomas, S. I. N. J. U. M. O. L., 2023. Chemical principles, bioactivity, and pharmacology of two yellow ginger lilys </w:t>
      </w:r>
      <w:r w:rsidRPr="00E52B95">
        <w:rPr>
          <w:rFonts w:ascii="Times New Roman" w:hAnsi="Times New Roman" w:cs="Times New Roman"/>
          <w:i/>
          <w:color w:val="000000"/>
          <w:sz w:val="24"/>
          <w:szCs w:val="24"/>
          <w:shd w:val="clear" w:color="auto" w:fill="FFFFFF"/>
        </w:rPr>
        <w:t>Hedychium flavescens</w:t>
      </w:r>
      <w:r w:rsidRPr="00E52B95">
        <w:rPr>
          <w:rFonts w:ascii="Times New Roman" w:hAnsi="Times New Roman" w:cs="Times New Roman"/>
          <w:color w:val="000000"/>
          <w:sz w:val="24"/>
          <w:szCs w:val="24"/>
          <w:shd w:val="clear" w:color="auto" w:fill="FFFFFF"/>
        </w:rPr>
        <w:t xml:space="preserve"> Carey ex Roscoe and </w:t>
      </w:r>
      <w:r w:rsidRPr="00E52B95">
        <w:rPr>
          <w:rFonts w:ascii="Times New Roman" w:hAnsi="Times New Roman" w:cs="Times New Roman"/>
          <w:i/>
          <w:color w:val="000000"/>
          <w:sz w:val="24"/>
          <w:szCs w:val="24"/>
          <w:shd w:val="clear" w:color="auto" w:fill="FFFFFF"/>
        </w:rPr>
        <w:t>H. flavum</w:t>
      </w:r>
      <w:r w:rsidRPr="00E52B95">
        <w:rPr>
          <w:rFonts w:ascii="Times New Roman" w:hAnsi="Times New Roman" w:cs="Times New Roman"/>
          <w:color w:val="000000"/>
          <w:sz w:val="24"/>
          <w:szCs w:val="24"/>
          <w:shd w:val="clear" w:color="auto" w:fill="FFFFFF"/>
        </w:rPr>
        <w:t xml:space="preserve"> Roxb. (Family: Zingiberaceae). </w:t>
      </w:r>
      <w:r w:rsidRPr="00E52B95">
        <w:rPr>
          <w:rFonts w:ascii="Times New Roman" w:hAnsi="Times New Roman" w:cs="Times New Roman"/>
          <w:i/>
          <w:iCs/>
          <w:color w:val="000000"/>
          <w:sz w:val="24"/>
          <w:szCs w:val="24"/>
          <w:shd w:val="clear" w:color="auto" w:fill="FFFFFF"/>
        </w:rPr>
        <w:t>Biomolecules and pharmacology of medicinal plants</w:t>
      </w:r>
      <w:r w:rsidRPr="00E52B95">
        <w:rPr>
          <w:rFonts w:ascii="Times New Roman" w:hAnsi="Times New Roman" w:cs="Times New Roman"/>
          <w:color w:val="000000"/>
          <w:sz w:val="24"/>
          <w:szCs w:val="24"/>
          <w:shd w:val="clear" w:color="auto" w:fill="FFFFFF"/>
        </w:rPr>
        <w:t>, 49-62. DOI: </w:t>
      </w:r>
      <w:hyperlink r:id="rId47" w:tgtFrame="_blank" w:history="1">
        <w:r w:rsidRPr="00E52B95">
          <w:rPr>
            <w:rStyle w:val="Hyperlink"/>
            <w:rFonts w:ascii="Times New Roman" w:hAnsi="Times New Roman" w:cs="Times New Roman"/>
            <w:color w:val="000000"/>
            <w:sz w:val="24"/>
            <w:szCs w:val="24"/>
            <w:u w:val="none"/>
            <w:bdr w:val="single" w:sz="2" w:space="0" w:color="D1D1D2" w:frame="1"/>
            <w:shd w:val="clear" w:color="auto" w:fill="FFFFFF"/>
          </w:rPr>
          <w:t>10.1201/9781003284444_3</w:t>
        </w:r>
      </w:hyperlink>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Singh, A. P., Chitme, H., Sharma, R. K., Kandpal, J. B., Behera, A., Abdel-Wahab, B. A., ... &amp; Bakir, M. B., 2023. A comprehensive review on pharmacologically active phyto-constituents from </w:t>
      </w:r>
      <w:r w:rsidRPr="00E52B95">
        <w:rPr>
          <w:rFonts w:ascii="Times New Roman" w:hAnsi="Times New Roman" w:cs="Times New Roman"/>
          <w:i/>
          <w:color w:val="000000"/>
          <w:sz w:val="24"/>
          <w:szCs w:val="24"/>
          <w:shd w:val="clear" w:color="auto" w:fill="FFFFFF"/>
        </w:rPr>
        <w:t>Hedychium</w:t>
      </w:r>
      <w:r w:rsidRPr="00E52B95">
        <w:rPr>
          <w:rFonts w:ascii="Times New Roman" w:hAnsi="Times New Roman" w:cs="Times New Roman"/>
          <w:color w:val="000000"/>
          <w:sz w:val="24"/>
          <w:szCs w:val="24"/>
          <w:shd w:val="clear" w:color="auto" w:fill="FFFFFF"/>
        </w:rPr>
        <w:t xml:space="preserve"> species. </w:t>
      </w:r>
      <w:r w:rsidRPr="00E52B95">
        <w:rPr>
          <w:rFonts w:ascii="Times New Roman" w:hAnsi="Times New Roman" w:cs="Times New Roman"/>
          <w:i/>
          <w:iCs/>
          <w:color w:val="000000"/>
          <w:sz w:val="24"/>
          <w:szCs w:val="24"/>
          <w:shd w:val="clear" w:color="auto" w:fill="FFFFFF"/>
        </w:rPr>
        <w:t>Molecules</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28</w:t>
      </w:r>
      <w:r w:rsidRPr="00E52B95">
        <w:rPr>
          <w:rFonts w:ascii="Times New Roman" w:hAnsi="Times New Roman" w:cs="Times New Roman"/>
          <w:color w:val="000000"/>
          <w:sz w:val="24"/>
          <w:szCs w:val="24"/>
          <w:shd w:val="clear" w:color="auto" w:fill="FFFFFF"/>
        </w:rPr>
        <w:t>, 3278.</w:t>
      </w:r>
      <w:r w:rsidRPr="00E52B95">
        <w:rPr>
          <w:rFonts w:ascii="Times New Roman" w:hAnsi="Times New Roman" w:cs="Times New Roman"/>
          <w:color w:val="000000"/>
          <w:sz w:val="24"/>
          <w:szCs w:val="24"/>
        </w:rPr>
        <w:t xml:space="preserve"> </w:t>
      </w:r>
      <w:hyperlink r:id="rId48" w:history="1">
        <w:r w:rsidRPr="00E52B95">
          <w:rPr>
            <w:rStyle w:val="Hyperlink"/>
            <w:rFonts w:ascii="Times New Roman" w:hAnsi="Times New Roman" w:cs="Times New Roman"/>
            <w:bCs/>
            <w:color w:val="000000"/>
            <w:sz w:val="24"/>
            <w:szCs w:val="24"/>
            <w:u w:val="none"/>
            <w:shd w:val="clear" w:color="auto" w:fill="FFFFFF"/>
          </w:rPr>
          <w:t>https://doi.org/10.3390/molecules28073278</w:t>
        </w:r>
      </w:hyperlink>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Feng, L., Wang, Z., Lei, Z., Zhang, X., Zhai, B., Sun, J., ... &amp; Shi, Y., 2024. </w:t>
      </w:r>
      <w:r w:rsidRPr="00E52B95">
        <w:rPr>
          <w:rFonts w:ascii="Times New Roman" w:hAnsi="Times New Roman" w:cs="Times New Roman"/>
          <w:i/>
          <w:color w:val="000000"/>
          <w:sz w:val="24"/>
          <w:szCs w:val="24"/>
          <w:shd w:val="clear" w:color="auto" w:fill="FFFFFF"/>
        </w:rPr>
        <w:t xml:space="preserve">Amomum villosum </w:t>
      </w:r>
      <w:r w:rsidRPr="00E52B95">
        <w:rPr>
          <w:rFonts w:ascii="Times New Roman" w:hAnsi="Times New Roman" w:cs="Times New Roman"/>
          <w:color w:val="000000"/>
          <w:sz w:val="24"/>
          <w:szCs w:val="24"/>
          <w:shd w:val="clear" w:color="auto" w:fill="FFFFFF"/>
        </w:rPr>
        <w:t>Lour.: An insight into ethnopharmacological, phytochemical, and pharmacological overview. </w:t>
      </w:r>
      <w:r w:rsidRPr="00E52B95">
        <w:rPr>
          <w:rFonts w:ascii="Times New Roman" w:hAnsi="Times New Roman" w:cs="Times New Roman"/>
          <w:color w:val="000000"/>
          <w:sz w:val="24"/>
          <w:szCs w:val="24"/>
        </w:rPr>
        <w:t>J. Ethnopharmacol</w:t>
      </w:r>
      <w:r w:rsidRPr="00E52B95">
        <w:rPr>
          <w:rFonts w:ascii="Times New Roman" w:hAnsi="Times New Roman" w:cs="Times New Roman"/>
          <w:color w:val="000000"/>
          <w:sz w:val="24"/>
          <w:szCs w:val="24"/>
          <w:shd w:val="clear" w:color="auto" w:fill="FFFFFF"/>
        </w:rPr>
        <w:t>., 118615.</w:t>
      </w:r>
      <w:r w:rsidRPr="00E52B95">
        <w:rPr>
          <w:rFonts w:ascii="Times New Roman" w:hAnsi="Times New Roman" w:cs="Times New Roman"/>
          <w:color w:val="000000"/>
          <w:sz w:val="24"/>
          <w:szCs w:val="24"/>
        </w:rPr>
        <w:t xml:space="preserve"> </w:t>
      </w:r>
      <w:hyperlink r:id="rId49" w:tgtFrame="_blank" w:tooltip="Persistent link using digital object identifier" w:history="1">
        <w:r w:rsidRPr="00E52B95">
          <w:rPr>
            <w:rStyle w:val="anchor-text"/>
            <w:rFonts w:ascii="Times New Roman" w:hAnsi="Times New Roman" w:cs="Times New Roman"/>
            <w:color w:val="000000"/>
            <w:sz w:val="24"/>
            <w:szCs w:val="24"/>
          </w:rPr>
          <w:t>https://doi.org/10.1016/j.jep.2024.118615</w:t>
        </w:r>
      </w:hyperlink>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Anuoluwa, I. A., Ololade, Z. S., Adebayo, I. J., Anuoluwa, B. S., Abayomi, D. T., &amp; Ovuakporie-Uvo, O. O. 2025. GC-MS Analysis and Antibacterial Efficacy of Selected </w:t>
      </w:r>
      <w:r w:rsidRPr="00E52B95">
        <w:rPr>
          <w:rFonts w:ascii="Times New Roman" w:hAnsi="Times New Roman" w:cs="Times New Roman"/>
          <w:color w:val="000000"/>
          <w:sz w:val="24"/>
          <w:szCs w:val="24"/>
          <w:shd w:val="clear" w:color="auto" w:fill="FFFFFF"/>
        </w:rPr>
        <w:lastRenderedPageBreak/>
        <w:t xml:space="preserve">Parts of </w:t>
      </w:r>
      <w:r w:rsidRPr="00E52B95">
        <w:rPr>
          <w:rFonts w:ascii="Times New Roman" w:hAnsi="Times New Roman" w:cs="Times New Roman"/>
          <w:i/>
          <w:color w:val="000000"/>
          <w:sz w:val="24"/>
          <w:szCs w:val="24"/>
          <w:shd w:val="clear" w:color="auto" w:fill="FFFFFF"/>
        </w:rPr>
        <w:t>Curcuma aromatica</w:t>
      </w:r>
      <w:r w:rsidRPr="00E52B95">
        <w:rPr>
          <w:rFonts w:ascii="Times New Roman" w:hAnsi="Times New Roman" w:cs="Times New Roman"/>
          <w:color w:val="000000"/>
          <w:sz w:val="24"/>
          <w:szCs w:val="24"/>
          <w:shd w:val="clear" w:color="auto" w:fill="FFFFFF"/>
        </w:rPr>
        <w:t xml:space="preserve"> Salisb. </w:t>
      </w:r>
      <w:r w:rsidRPr="00E52B95">
        <w:rPr>
          <w:rFonts w:ascii="Times New Roman" w:hAnsi="Times New Roman" w:cs="Times New Roman"/>
          <w:i/>
          <w:iCs/>
          <w:color w:val="000000"/>
          <w:sz w:val="24"/>
          <w:szCs w:val="24"/>
          <w:shd w:val="clear" w:color="auto" w:fill="FFFFFF"/>
        </w:rPr>
        <w:t>FJPAS,</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10</w:t>
      </w:r>
      <w:r w:rsidRPr="00E52B95">
        <w:rPr>
          <w:rFonts w:ascii="Times New Roman" w:hAnsi="Times New Roman" w:cs="Times New Roman"/>
          <w:color w:val="000000"/>
          <w:sz w:val="24"/>
          <w:szCs w:val="24"/>
          <w:shd w:val="clear" w:color="auto" w:fill="FFFFFF"/>
        </w:rPr>
        <w:t>, 145-165.</w:t>
      </w:r>
      <w:r w:rsidRPr="00E52B95">
        <w:rPr>
          <w:rFonts w:ascii="Times New Roman" w:hAnsi="Times New Roman" w:cs="Times New Roman"/>
          <w:color w:val="000000"/>
          <w:sz w:val="24"/>
          <w:szCs w:val="24"/>
        </w:rPr>
        <w:t xml:space="preserve"> </w:t>
      </w:r>
      <w:hyperlink r:id="rId50" w:tgtFrame="_blank" w:tooltip="Persistent link using digital object identifier" w:history="1">
        <w:r w:rsidRPr="00E52B95">
          <w:rPr>
            <w:rFonts w:ascii="Times New Roman" w:eastAsia="Times New Roman" w:hAnsi="Times New Roman" w:cs="Times New Roman"/>
            <w:color w:val="000000"/>
            <w:sz w:val="24"/>
            <w:szCs w:val="24"/>
            <w:lang w:eastAsia="en-IN" w:bidi="ar-SA"/>
          </w:rPr>
          <w:t>https://doi.org/10.1016/j.jep.2024.118615</w:t>
        </w:r>
      </w:hyperlink>
      <w:r w:rsidRPr="00E52B95">
        <w:rPr>
          <w:rFonts w:ascii="Times New Roman" w:hAnsi="Times New Roman" w:cs="Times New Roman"/>
          <w:color w:val="000000"/>
          <w:sz w:val="24"/>
          <w:szCs w:val="24"/>
        </w:rPr>
        <w:t xml:space="preserve"> </w:t>
      </w:r>
    </w:p>
    <w:p w:rsidR="00E52B95" w:rsidRPr="00E52B95" w:rsidRDefault="00E52B95" w:rsidP="00E52B95">
      <w:pPr>
        <w:pStyle w:val="ListParagraph"/>
        <w:spacing w:after="0" w:line="360" w:lineRule="auto"/>
        <w:ind w:left="360"/>
        <w:jc w:val="both"/>
        <w:rPr>
          <w:rFonts w:ascii="Times New Roman" w:hAnsi="Times New Roman" w:cs="Times New Roman"/>
          <w:color w:val="000000"/>
          <w:sz w:val="24"/>
          <w:szCs w:val="24"/>
          <w:shd w:val="clear" w:color="auto" w:fill="FFFFFF"/>
        </w:rPr>
      </w:pPr>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Dana, P., Taweechaipaisankul, A., Wongngam, Y., Sungsuwan, S., Chonniyom, W., Klibaim, S., ... &amp; Saengkrit, N.,2025. Anti-cancer activity of </w:t>
      </w:r>
      <w:r w:rsidRPr="00E52B95">
        <w:rPr>
          <w:rFonts w:ascii="Times New Roman" w:hAnsi="Times New Roman" w:cs="Times New Roman"/>
          <w:i/>
          <w:color w:val="000000"/>
          <w:sz w:val="24"/>
          <w:szCs w:val="24"/>
          <w:shd w:val="clear" w:color="auto" w:fill="FFFFFF"/>
        </w:rPr>
        <w:t>Kaempferia galanga</w:t>
      </w:r>
      <w:r w:rsidRPr="00E52B95">
        <w:rPr>
          <w:rFonts w:ascii="Times New Roman" w:hAnsi="Times New Roman" w:cs="Times New Roman"/>
          <w:color w:val="000000"/>
          <w:sz w:val="24"/>
          <w:szCs w:val="24"/>
          <w:shd w:val="clear" w:color="auto" w:fill="FFFFFF"/>
        </w:rPr>
        <w:t xml:space="preserve"> L.–loaded polydopamine nanoparticles against colorectal cancer. </w:t>
      </w:r>
      <w:r w:rsidRPr="00E52B95">
        <w:rPr>
          <w:rFonts w:ascii="Times New Roman" w:hAnsi="Times New Roman" w:cs="Times New Roman"/>
          <w:i/>
          <w:iCs/>
          <w:color w:val="000000"/>
          <w:sz w:val="24"/>
          <w:szCs w:val="24"/>
          <w:shd w:val="clear" w:color="auto" w:fill="FFFFFF"/>
        </w:rPr>
        <w:t>OpenNano</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23</w:t>
      </w:r>
      <w:r w:rsidRPr="00E52B95">
        <w:rPr>
          <w:rFonts w:ascii="Times New Roman" w:hAnsi="Times New Roman" w:cs="Times New Roman"/>
          <w:color w:val="000000"/>
          <w:sz w:val="24"/>
          <w:szCs w:val="24"/>
          <w:shd w:val="clear" w:color="auto" w:fill="FFFFFF"/>
        </w:rPr>
        <w:t>, 100242.</w:t>
      </w:r>
      <w:r w:rsidRPr="00E52B95">
        <w:rPr>
          <w:rFonts w:ascii="Times New Roman" w:hAnsi="Times New Roman" w:cs="Times New Roman"/>
          <w:color w:val="000000"/>
          <w:sz w:val="24"/>
          <w:szCs w:val="24"/>
        </w:rPr>
        <w:t xml:space="preserve"> </w:t>
      </w:r>
      <w:hyperlink r:id="rId51" w:tgtFrame="_blank" w:tooltip="Persistent link using digital object identifier" w:history="1">
        <w:r w:rsidRPr="00E52B95">
          <w:rPr>
            <w:rStyle w:val="anchor-text"/>
            <w:rFonts w:ascii="Times New Roman" w:hAnsi="Times New Roman" w:cs="Times New Roman"/>
            <w:color w:val="000000"/>
            <w:sz w:val="24"/>
            <w:szCs w:val="24"/>
          </w:rPr>
          <w:t>https://doi.org/10.1016/j.onano.2025.100242</w:t>
        </w:r>
      </w:hyperlink>
    </w:p>
    <w:p w:rsidR="00E52B95" w:rsidRPr="00E52B95" w:rsidRDefault="00E52B95" w:rsidP="00E52B95">
      <w:pPr>
        <w:numPr>
          <w:ilvl w:val="0"/>
          <w:numId w:val="1"/>
        </w:numPr>
        <w:spacing w:before="100" w:beforeAutospacing="1" w:after="100" w:afterAutospacing="1" w:line="360" w:lineRule="auto"/>
        <w:ind w:left="360"/>
        <w:jc w:val="both"/>
        <w:rPr>
          <w:rFonts w:ascii="Times New Roman" w:eastAsia="Times New Roman" w:hAnsi="Times New Roman" w:cs="Times New Roman"/>
          <w:color w:val="000000"/>
          <w:sz w:val="24"/>
          <w:szCs w:val="24"/>
          <w:lang w:eastAsia="en-IN"/>
        </w:rPr>
      </w:pPr>
      <w:r w:rsidRPr="00E52B95">
        <w:rPr>
          <w:rFonts w:ascii="Times New Roman" w:eastAsia="Times New Roman" w:hAnsi="Times New Roman" w:cs="Times New Roman"/>
          <w:color w:val="000000"/>
          <w:sz w:val="24"/>
          <w:szCs w:val="24"/>
          <w:lang w:eastAsia="en-IN"/>
        </w:rPr>
        <w:t xml:space="preserve">Rahmawatia, S., Nuringtyasa, A. P. N., Haryanti, S., &amp; Sari, N. D.,2024. Ethnobotanical study of </w:t>
      </w:r>
      <w:r w:rsidRPr="00E52B95">
        <w:rPr>
          <w:rFonts w:ascii="Times New Roman" w:eastAsia="Times New Roman" w:hAnsi="Times New Roman" w:cs="Times New Roman"/>
          <w:i/>
          <w:iCs/>
          <w:color w:val="000000"/>
          <w:sz w:val="24"/>
          <w:szCs w:val="24"/>
          <w:lang w:eastAsia="en-IN"/>
        </w:rPr>
        <w:t xml:space="preserve">Zingiber  officinale </w:t>
      </w:r>
      <w:r w:rsidRPr="00E52B95">
        <w:rPr>
          <w:rFonts w:ascii="Times New Roman" w:eastAsia="Times New Roman" w:hAnsi="Times New Roman" w:cs="Times New Roman"/>
          <w:color w:val="000000"/>
          <w:sz w:val="24"/>
          <w:szCs w:val="24"/>
          <w:lang w:eastAsia="en-IN"/>
        </w:rPr>
        <w:t xml:space="preserve"> in Central Java, Indonesia. </w:t>
      </w:r>
      <w:r w:rsidRPr="00E52B95">
        <w:rPr>
          <w:rStyle w:val="Strong"/>
          <w:rFonts w:ascii="Times New Roman" w:hAnsi="Times New Roman" w:cs="Times New Roman"/>
          <w:b w:val="0"/>
          <w:color w:val="000000"/>
          <w:sz w:val="24"/>
          <w:szCs w:val="24"/>
        </w:rPr>
        <w:t>J. biol. tropis</w:t>
      </w:r>
      <w:r w:rsidRPr="00E52B95">
        <w:rPr>
          <w:rFonts w:ascii="Times New Roman" w:hAnsi="Times New Roman" w:cs="Times New Roman"/>
          <w:color w:val="000000"/>
          <w:sz w:val="24"/>
          <w:szCs w:val="24"/>
          <w:shd w:val="clear" w:color="auto" w:fill="FFFFFF"/>
        </w:rPr>
        <w:t>. </w:t>
      </w:r>
      <w:r w:rsidRPr="00E52B95">
        <w:rPr>
          <w:rFonts w:ascii="Times New Roman" w:eastAsia="Times New Roman" w:hAnsi="Times New Roman" w:cs="Times New Roman"/>
          <w:color w:val="000000"/>
          <w:sz w:val="24"/>
          <w:szCs w:val="24"/>
          <w:lang w:eastAsia="en-IN"/>
        </w:rPr>
        <w:t xml:space="preserve">, </w:t>
      </w:r>
      <w:r w:rsidRPr="00E52B95">
        <w:rPr>
          <w:rFonts w:ascii="Times New Roman" w:eastAsia="Times New Roman" w:hAnsi="Times New Roman" w:cs="Times New Roman"/>
          <w:i/>
          <w:iCs/>
          <w:color w:val="000000"/>
          <w:sz w:val="24"/>
          <w:szCs w:val="24"/>
          <w:lang w:eastAsia="en-IN"/>
        </w:rPr>
        <w:t>7</w:t>
      </w:r>
      <w:r w:rsidRPr="00E52B95">
        <w:rPr>
          <w:rFonts w:ascii="Times New Roman" w:eastAsia="Times New Roman" w:hAnsi="Times New Roman" w:cs="Times New Roman"/>
          <w:color w:val="000000"/>
          <w:sz w:val="24"/>
          <w:szCs w:val="24"/>
          <w:lang w:eastAsia="en-IN"/>
        </w:rPr>
        <w:t xml:space="preserve">(1), 17-26. </w:t>
      </w:r>
      <w:hyperlink r:id="rId52" w:tgtFrame="_blank" w:tooltip="Persistent link using digital object identifier" w:history="1">
        <w:r w:rsidRPr="00E52B95">
          <w:rPr>
            <w:rStyle w:val="anchor-text"/>
            <w:rFonts w:ascii="Times New Roman" w:hAnsi="Times New Roman" w:cs="Times New Roman"/>
            <w:color w:val="000000"/>
            <w:sz w:val="24"/>
            <w:szCs w:val="24"/>
          </w:rPr>
          <w:t>https://doi.org/10.1016/j.onano.2025.100242</w:t>
        </w:r>
      </w:hyperlink>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eastAsia="Times New Roman" w:hAnsi="Times New Roman" w:cs="Times New Roman"/>
          <w:color w:val="000000"/>
          <w:sz w:val="24"/>
          <w:szCs w:val="24"/>
          <w:lang w:eastAsia="en-IN"/>
        </w:rPr>
        <w:t xml:space="preserve">Deng, M., Yun, X., Ren, S., Qing, Z., &amp; Luo, F., 2022. Plants of the genus Zingiber: A review of their ethnomedicine, phytochemistry and pharmacology. </w:t>
      </w:r>
      <w:r w:rsidRPr="00E52B95">
        <w:rPr>
          <w:rFonts w:ascii="Times New Roman" w:eastAsia="Times New Roman" w:hAnsi="Times New Roman" w:cs="Times New Roman"/>
          <w:i/>
          <w:iCs/>
          <w:color w:val="000000"/>
          <w:sz w:val="24"/>
          <w:szCs w:val="24"/>
          <w:lang w:eastAsia="en-IN"/>
        </w:rPr>
        <w:t>Molecules</w:t>
      </w:r>
      <w:r w:rsidRPr="00E52B95">
        <w:rPr>
          <w:rFonts w:ascii="Times New Roman" w:eastAsia="Times New Roman" w:hAnsi="Times New Roman" w:cs="Times New Roman"/>
          <w:color w:val="000000"/>
          <w:sz w:val="24"/>
          <w:szCs w:val="24"/>
          <w:lang w:eastAsia="en-IN"/>
        </w:rPr>
        <w:t xml:space="preserve">, </w:t>
      </w:r>
      <w:r w:rsidRPr="00E52B95">
        <w:rPr>
          <w:rFonts w:ascii="Times New Roman" w:eastAsia="Times New Roman" w:hAnsi="Times New Roman" w:cs="Times New Roman"/>
          <w:i/>
          <w:iCs/>
          <w:color w:val="000000"/>
          <w:sz w:val="24"/>
          <w:szCs w:val="24"/>
          <w:lang w:eastAsia="en-IN"/>
        </w:rPr>
        <w:t>27</w:t>
      </w:r>
      <w:r w:rsidRPr="00E52B95">
        <w:rPr>
          <w:rFonts w:ascii="Times New Roman" w:eastAsia="Times New Roman" w:hAnsi="Times New Roman" w:cs="Times New Roman"/>
          <w:color w:val="000000"/>
          <w:sz w:val="24"/>
          <w:szCs w:val="24"/>
          <w:lang w:eastAsia="en-IN"/>
        </w:rPr>
        <w:t>, 2826.</w:t>
      </w:r>
      <w:r w:rsidRPr="00E52B95">
        <w:rPr>
          <w:rFonts w:ascii="Times New Roman" w:hAnsi="Times New Roman" w:cs="Times New Roman"/>
          <w:color w:val="000000"/>
          <w:sz w:val="24"/>
          <w:szCs w:val="24"/>
        </w:rPr>
        <w:t xml:space="preserve"> </w:t>
      </w:r>
      <w:hyperlink r:id="rId53" w:history="1">
        <w:r w:rsidRPr="00E52B95">
          <w:rPr>
            <w:rStyle w:val="Hyperlink"/>
            <w:rFonts w:ascii="Times New Roman" w:hAnsi="Times New Roman" w:cs="Times New Roman"/>
            <w:bCs/>
            <w:color w:val="000000"/>
            <w:sz w:val="24"/>
            <w:szCs w:val="24"/>
            <w:u w:val="none"/>
            <w:shd w:val="clear" w:color="auto" w:fill="FFFFFF"/>
          </w:rPr>
          <w:t>https://doi.org/10.3390/molecules27092826</w:t>
        </w:r>
      </w:hyperlink>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Subositi, D., &amp; Wahyono, S., 2019. Study of the genus </w:t>
      </w:r>
      <w:r w:rsidRPr="00E52B95">
        <w:rPr>
          <w:rFonts w:ascii="Times New Roman" w:hAnsi="Times New Roman" w:cs="Times New Roman"/>
          <w:i/>
          <w:color w:val="000000"/>
          <w:sz w:val="24"/>
          <w:szCs w:val="24"/>
          <w:shd w:val="clear" w:color="auto" w:fill="FFFFFF"/>
        </w:rPr>
        <w:t>Curcuma</w:t>
      </w:r>
      <w:r w:rsidRPr="00E52B95">
        <w:rPr>
          <w:rFonts w:ascii="Times New Roman" w:hAnsi="Times New Roman" w:cs="Times New Roman"/>
          <w:color w:val="000000"/>
          <w:sz w:val="24"/>
          <w:szCs w:val="24"/>
          <w:shd w:val="clear" w:color="auto" w:fill="FFFFFF"/>
        </w:rPr>
        <w:t xml:space="preserve"> in Indonesia used as traditional herbal medicines. </w:t>
      </w:r>
      <w:r w:rsidRPr="00E52B95">
        <w:rPr>
          <w:rFonts w:ascii="Times New Roman" w:hAnsi="Times New Roman" w:cs="Times New Roman"/>
          <w:i/>
          <w:iCs/>
          <w:color w:val="000000"/>
          <w:sz w:val="24"/>
          <w:szCs w:val="24"/>
          <w:shd w:val="clear" w:color="auto" w:fill="FFFFFF"/>
        </w:rPr>
        <w:t>Biodiversitas.</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20</w:t>
      </w:r>
      <w:r w:rsidRPr="00E52B95">
        <w:rPr>
          <w:rFonts w:ascii="Times New Roman" w:hAnsi="Times New Roman" w:cs="Times New Roman"/>
          <w:color w:val="000000"/>
          <w:sz w:val="24"/>
          <w:szCs w:val="24"/>
          <w:shd w:val="clear" w:color="auto" w:fill="FFFFFF"/>
        </w:rPr>
        <w:t>. DOI: </w:t>
      </w:r>
      <w:hyperlink r:id="rId54" w:tgtFrame="_blank" w:history="1">
        <w:r w:rsidRPr="00E52B95">
          <w:rPr>
            <w:rStyle w:val="Hyperlink"/>
            <w:rFonts w:ascii="Times New Roman" w:hAnsi="Times New Roman" w:cs="Times New Roman"/>
            <w:color w:val="000000"/>
            <w:sz w:val="24"/>
            <w:szCs w:val="24"/>
            <w:u w:val="none"/>
            <w:bdr w:val="single" w:sz="2" w:space="0" w:color="D1D1D2" w:frame="1"/>
            <w:shd w:val="clear" w:color="auto" w:fill="FFFFFF"/>
          </w:rPr>
          <w:t>10.13057/biodiv/d200527</w:t>
        </w:r>
      </w:hyperlink>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Zhang, W. J., Luo, J. G., &amp; Kong, L. Y., 2016. The genus Alpinia: a review of its phytochemistry and pharmacology. </w:t>
      </w:r>
      <w:r w:rsidRPr="00E52B95">
        <w:rPr>
          <w:rStyle w:val="Emphasis"/>
          <w:rFonts w:ascii="Times New Roman" w:hAnsi="Times New Roman" w:cs="Times New Roman"/>
          <w:bCs/>
          <w:i w:val="0"/>
          <w:iCs w:val="0"/>
          <w:color w:val="000000"/>
          <w:sz w:val="24"/>
          <w:szCs w:val="24"/>
          <w:shd w:val="clear" w:color="auto" w:fill="FFFFFF"/>
        </w:rPr>
        <w:t>World J Tradit Chin Med</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2</w:t>
      </w:r>
      <w:r w:rsidRPr="00E52B95">
        <w:rPr>
          <w:rFonts w:ascii="Times New Roman" w:hAnsi="Times New Roman" w:cs="Times New Roman"/>
          <w:color w:val="000000"/>
          <w:sz w:val="24"/>
          <w:szCs w:val="24"/>
          <w:shd w:val="clear" w:color="auto" w:fill="FFFFFF"/>
        </w:rPr>
        <w:t>, 26-41. DOI: </w:t>
      </w:r>
      <w:hyperlink r:id="rId55" w:tgtFrame="_blank" w:history="1">
        <w:r w:rsidRPr="00E52B95">
          <w:rPr>
            <w:rStyle w:val="Hyperlink"/>
            <w:rFonts w:ascii="Times New Roman" w:hAnsi="Times New Roman" w:cs="Times New Roman"/>
            <w:color w:val="000000"/>
            <w:sz w:val="24"/>
            <w:szCs w:val="24"/>
            <w:u w:val="none"/>
            <w:bdr w:val="single" w:sz="2" w:space="0" w:color="D1D1D2" w:frame="1"/>
            <w:shd w:val="clear" w:color="auto" w:fill="FFFFFF"/>
          </w:rPr>
          <w:t>10.15806/j.issn.2311-8571.2015.0026</w:t>
        </w:r>
      </w:hyperlink>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Khairullah, A. R., Solikhah, T. I., Ansori, A. N. M., Hanisia, R. H., Puspitarani, G. A., Fadholly, A., &amp; Ramandinianto, S. C., 2021. Medicinal importance of </w:t>
      </w:r>
      <w:r w:rsidRPr="00E52B95">
        <w:rPr>
          <w:rFonts w:ascii="Times New Roman" w:hAnsi="Times New Roman" w:cs="Times New Roman"/>
          <w:i/>
          <w:color w:val="000000"/>
          <w:sz w:val="24"/>
          <w:szCs w:val="24"/>
          <w:shd w:val="clear" w:color="auto" w:fill="FFFFFF"/>
        </w:rPr>
        <w:t>Kaempferia galanga</w:t>
      </w:r>
      <w:r w:rsidRPr="00E52B95">
        <w:rPr>
          <w:rFonts w:ascii="Times New Roman" w:hAnsi="Times New Roman" w:cs="Times New Roman"/>
          <w:color w:val="000000"/>
          <w:sz w:val="24"/>
          <w:szCs w:val="24"/>
          <w:shd w:val="clear" w:color="auto" w:fill="FFFFFF"/>
        </w:rPr>
        <w:t xml:space="preserve"> L.(</w:t>
      </w:r>
      <w:r w:rsidRPr="00E52B95">
        <w:rPr>
          <w:rFonts w:ascii="Times New Roman" w:hAnsi="Times New Roman" w:cs="Times New Roman"/>
          <w:i/>
          <w:color w:val="000000"/>
          <w:sz w:val="24"/>
          <w:szCs w:val="24"/>
          <w:shd w:val="clear" w:color="auto" w:fill="FFFFFF"/>
        </w:rPr>
        <w:t>Zingiberaceae</w:t>
      </w:r>
      <w:r w:rsidRPr="00E52B95">
        <w:rPr>
          <w:rFonts w:ascii="Times New Roman" w:hAnsi="Times New Roman" w:cs="Times New Roman"/>
          <w:color w:val="000000"/>
          <w:sz w:val="24"/>
          <w:szCs w:val="24"/>
          <w:shd w:val="clear" w:color="auto" w:fill="FFFFFF"/>
        </w:rPr>
        <w:t>): A comprehensive review. </w:t>
      </w:r>
      <w:r w:rsidRPr="00E52B95">
        <w:rPr>
          <w:rStyle w:val="Strong"/>
          <w:rFonts w:ascii="Times New Roman" w:hAnsi="Times New Roman" w:cs="Times New Roman"/>
          <w:b w:val="0"/>
          <w:color w:val="000000"/>
          <w:sz w:val="24"/>
          <w:szCs w:val="24"/>
          <w:shd w:val="clear" w:color="auto" w:fill="FFFFFF"/>
        </w:rPr>
        <w:t>J. Herbmed Pharmacol.</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10</w:t>
      </w:r>
      <w:r w:rsidRPr="00E52B95">
        <w:rPr>
          <w:rFonts w:ascii="Times New Roman" w:hAnsi="Times New Roman" w:cs="Times New Roman"/>
          <w:color w:val="000000"/>
          <w:sz w:val="24"/>
          <w:szCs w:val="24"/>
          <w:shd w:val="clear" w:color="auto" w:fill="FFFFFF"/>
        </w:rPr>
        <w:t>, 281-288.</w:t>
      </w:r>
      <w:r w:rsidRPr="00E52B95">
        <w:rPr>
          <w:rFonts w:ascii="Times New Roman" w:hAnsi="Times New Roman" w:cs="Times New Roman"/>
          <w:bCs/>
          <w:color w:val="000000"/>
          <w:sz w:val="24"/>
          <w:szCs w:val="24"/>
          <w:shd w:val="clear" w:color="auto" w:fill="FFFFFF"/>
        </w:rPr>
        <w:t xml:space="preserve"> doi:</w:t>
      </w:r>
      <w:r w:rsidRPr="00E52B95">
        <w:rPr>
          <w:rFonts w:ascii="Times New Roman" w:hAnsi="Times New Roman" w:cs="Times New Roman"/>
          <w:color w:val="000000"/>
          <w:sz w:val="24"/>
          <w:szCs w:val="24"/>
          <w:shd w:val="clear" w:color="auto" w:fill="FFFFFF"/>
        </w:rPr>
        <w:t> </w:t>
      </w:r>
      <w:hyperlink r:id="rId56" w:tgtFrame="_blank" w:history="1">
        <w:r w:rsidRPr="00E52B95">
          <w:rPr>
            <w:rStyle w:val="Hyperlink"/>
            <w:rFonts w:ascii="Times New Roman" w:hAnsi="Times New Roman" w:cs="Times New Roman"/>
            <w:color w:val="000000"/>
            <w:sz w:val="24"/>
            <w:szCs w:val="24"/>
            <w:u w:val="none"/>
            <w:shd w:val="clear" w:color="auto" w:fill="FFFFFF"/>
          </w:rPr>
          <w:t>10.34172/jhp.2021.32</w:t>
        </w:r>
      </w:hyperlink>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Somani, J., Dhanjal, D. S., Singh, R., Satija, S., &amp; Chopra, C., 2021. The ginger family: spicing-up the anticancer research. </w:t>
      </w:r>
      <w:r w:rsidRPr="00E52B95">
        <w:rPr>
          <w:rStyle w:val="Strong"/>
          <w:rFonts w:ascii="Times New Roman" w:hAnsi="Times New Roman" w:cs="Times New Roman"/>
          <w:b w:val="0"/>
          <w:color w:val="000000"/>
          <w:sz w:val="24"/>
          <w:szCs w:val="24"/>
          <w:shd w:val="clear" w:color="auto" w:fill="FFFFFF"/>
        </w:rPr>
        <w:t>Plant Arch</w:t>
      </w:r>
      <w:r w:rsidRPr="00E52B95">
        <w:rPr>
          <w:rFonts w:ascii="Times New Roman" w:hAnsi="Times New Roman" w:cs="Times New Roman"/>
          <w:color w:val="000000"/>
          <w:sz w:val="24"/>
          <w:szCs w:val="24"/>
          <w:shd w:val="clear" w:color="auto" w:fill="FFFFFF"/>
        </w:rPr>
        <w:t>.</w:t>
      </w:r>
      <w:r w:rsidRPr="00E52B95">
        <w:rPr>
          <w:rFonts w:ascii="Times New Roman" w:hAnsi="Times New Roman" w:cs="Times New Roman"/>
          <w:i/>
          <w:iCs/>
          <w:color w:val="000000"/>
          <w:sz w:val="24"/>
          <w:szCs w:val="24"/>
          <w:shd w:val="clear" w:color="auto" w:fill="FFFFFF"/>
        </w:rPr>
        <w:t xml:space="preserve"> (09725210)</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21</w:t>
      </w:r>
      <w:r w:rsidRPr="00E52B95">
        <w:rPr>
          <w:rFonts w:ascii="Times New Roman" w:hAnsi="Times New Roman" w:cs="Times New Roman"/>
          <w:color w:val="000000"/>
          <w:sz w:val="24"/>
          <w:szCs w:val="24"/>
          <w:shd w:val="clear" w:color="auto" w:fill="FFFFFF"/>
        </w:rPr>
        <w:t>.</w:t>
      </w:r>
      <w:r w:rsidRPr="00E52B95">
        <w:rPr>
          <w:rFonts w:ascii="Times New Roman" w:hAnsi="Times New Roman" w:cs="Times New Roman"/>
          <w:bCs/>
          <w:color w:val="000000"/>
          <w:sz w:val="24"/>
          <w:szCs w:val="24"/>
          <w:shd w:val="clear" w:color="auto" w:fill="FFFFFF"/>
        </w:rPr>
        <w:t xml:space="preserve"> </w:t>
      </w:r>
      <w:r w:rsidRPr="00E52B95">
        <w:rPr>
          <w:rStyle w:val="heading"/>
          <w:rFonts w:ascii="Times New Roman" w:hAnsi="Times New Roman" w:cs="Times New Roman"/>
          <w:bCs/>
          <w:color w:val="000000"/>
          <w:sz w:val="24"/>
          <w:szCs w:val="24"/>
          <w:shd w:val="clear" w:color="auto" w:fill="FFFFFF"/>
        </w:rPr>
        <w:t>DOI</w:t>
      </w:r>
      <w:r w:rsidRPr="00E52B95">
        <w:rPr>
          <w:rFonts w:ascii="Times New Roman" w:hAnsi="Times New Roman" w:cs="Times New Roman"/>
          <w:bCs/>
          <w:color w:val="000000"/>
          <w:sz w:val="24"/>
          <w:szCs w:val="24"/>
          <w:shd w:val="clear" w:color="auto" w:fill="FFFFFF"/>
        </w:rPr>
        <w:t>: </w:t>
      </w:r>
      <w:hyperlink r:id="rId57" w:tgtFrame="_blank" w:history="1">
        <w:r w:rsidRPr="00E52B95">
          <w:rPr>
            <w:rStyle w:val="Hyperlink"/>
            <w:rFonts w:ascii="Times New Roman" w:hAnsi="Times New Roman" w:cs="Times New Roman"/>
            <w:bCs/>
            <w:color w:val="000000"/>
            <w:sz w:val="24"/>
            <w:szCs w:val="24"/>
            <w:u w:val="none"/>
            <w:shd w:val="clear" w:color="auto" w:fill="FFFFFF"/>
          </w:rPr>
          <w:t>10.51470/PLANTARCHIVES.2021.v21.no2.080</w:t>
        </w:r>
      </w:hyperlink>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Ashokkumar, K., Murugan, M., Dhanya, M. K., &amp; Warkentin, T. D. 2020. Botany, traditional uses, phytochemistry and biological activities of cardamom [</w:t>
      </w:r>
      <w:r w:rsidRPr="00E52B95">
        <w:rPr>
          <w:rFonts w:ascii="Times New Roman" w:hAnsi="Times New Roman" w:cs="Times New Roman"/>
          <w:i/>
          <w:color w:val="000000"/>
          <w:sz w:val="24"/>
          <w:szCs w:val="24"/>
          <w:shd w:val="clear" w:color="auto" w:fill="FFFFFF"/>
        </w:rPr>
        <w:t xml:space="preserve">Elettaria cardamomum </w:t>
      </w:r>
      <w:r w:rsidRPr="00E52B95">
        <w:rPr>
          <w:rFonts w:ascii="Times New Roman" w:hAnsi="Times New Roman" w:cs="Times New Roman"/>
          <w:color w:val="000000"/>
          <w:sz w:val="24"/>
          <w:szCs w:val="24"/>
          <w:shd w:val="clear" w:color="auto" w:fill="FFFFFF"/>
        </w:rPr>
        <w:t>(L.) Maton]–A critical review.  J. Ethnopharmacol., </w:t>
      </w:r>
      <w:r w:rsidRPr="00E52B95">
        <w:rPr>
          <w:rFonts w:ascii="Times New Roman" w:hAnsi="Times New Roman" w:cs="Times New Roman"/>
          <w:i/>
          <w:iCs/>
          <w:color w:val="000000"/>
          <w:sz w:val="24"/>
          <w:szCs w:val="24"/>
          <w:shd w:val="clear" w:color="auto" w:fill="FFFFFF"/>
        </w:rPr>
        <w:t>246</w:t>
      </w:r>
      <w:r w:rsidRPr="00E52B95">
        <w:rPr>
          <w:rFonts w:ascii="Times New Roman" w:hAnsi="Times New Roman" w:cs="Times New Roman"/>
          <w:color w:val="000000"/>
          <w:sz w:val="24"/>
          <w:szCs w:val="24"/>
          <w:shd w:val="clear" w:color="auto" w:fill="FFFFFF"/>
        </w:rPr>
        <w:t>, 112244 .DOI: 10.1016/j.jep.2019.112244</w:t>
      </w:r>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Ringgit, G., Cheong, B. E., Shah, M. D., &amp; Siddiquee, S., 2025. </w:t>
      </w:r>
      <w:r w:rsidRPr="00E52B95">
        <w:rPr>
          <w:rFonts w:ascii="Times New Roman" w:hAnsi="Times New Roman" w:cs="Times New Roman"/>
          <w:i/>
          <w:color w:val="000000"/>
          <w:sz w:val="24"/>
          <w:szCs w:val="24"/>
          <w:shd w:val="clear" w:color="auto" w:fill="FFFFFF"/>
        </w:rPr>
        <w:t>Etlingera</w:t>
      </w:r>
      <w:r w:rsidRPr="00E52B95">
        <w:rPr>
          <w:rFonts w:ascii="Times New Roman" w:hAnsi="Times New Roman" w:cs="Times New Roman"/>
          <w:color w:val="000000"/>
          <w:sz w:val="24"/>
          <w:szCs w:val="24"/>
          <w:shd w:val="clear" w:color="auto" w:fill="FFFFFF"/>
        </w:rPr>
        <w:t xml:space="preserve"> Species of Borneo's wild gingers: traditional knowledge, phytochemistry, and modern applications. </w:t>
      </w:r>
      <w:hyperlink r:id="rId58" w:history="1">
        <w:r w:rsidRPr="00E52B95">
          <w:rPr>
            <w:rStyle w:val="Hyperlink"/>
            <w:rFonts w:ascii="Times New Roman" w:hAnsi="Times New Roman" w:cs="Times New Roman"/>
            <w:bCs/>
            <w:color w:val="000000"/>
            <w:sz w:val="24"/>
            <w:szCs w:val="24"/>
            <w:u w:val="none"/>
          </w:rPr>
          <w:t>Phytochem. Rev</w:t>
        </w:r>
      </w:hyperlink>
      <w:hyperlink r:id="rId59" w:history="1">
        <w:r w:rsidRPr="00E52B95">
          <w:rPr>
            <w:rStyle w:val="Hyperlink"/>
            <w:rFonts w:ascii="Times New Roman" w:hAnsi="Times New Roman" w:cs="Times New Roman"/>
            <w:bCs/>
            <w:color w:val="000000"/>
            <w:sz w:val="24"/>
            <w:szCs w:val="24"/>
            <w:u w:val="none"/>
            <w:shd w:val="clear" w:color="auto" w:fill="FFFFFF"/>
          </w:rPr>
          <w:t>.</w:t>
        </w:r>
      </w:hyperlink>
      <w:r w:rsidRPr="00E52B95">
        <w:rPr>
          <w:rFonts w:ascii="Times New Roman" w:hAnsi="Times New Roman" w:cs="Times New Roman"/>
          <w:color w:val="000000"/>
          <w:sz w:val="24"/>
          <w:szCs w:val="24"/>
          <w:shd w:val="clear" w:color="auto" w:fill="FFFFFF"/>
        </w:rPr>
        <w:t>, 1-33.</w:t>
      </w:r>
      <w:r w:rsidRPr="00E52B95">
        <w:rPr>
          <w:rFonts w:ascii="Times New Roman" w:hAnsi="Times New Roman" w:cs="Times New Roman"/>
          <w:color w:val="000000"/>
          <w:sz w:val="24"/>
          <w:szCs w:val="24"/>
        </w:rPr>
        <w:t xml:space="preserve"> https://doi.org/10.1007/s11101-025-10166x</w:t>
      </w:r>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lastRenderedPageBreak/>
        <w:t xml:space="preserve">Singh, A. P., Chitme, H., Sharma, R. K., Kandpal, J. B., Behera, A., Abdel-Wahab, B. A., ... &amp; Bakir, M. B. ,2023. A comprehensive review on pharmacologically active phyto-constituents from </w:t>
      </w:r>
      <w:r w:rsidRPr="00E52B95">
        <w:rPr>
          <w:rFonts w:ascii="Times New Roman" w:hAnsi="Times New Roman" w:cs="Times New Roman"/>
          <w:i/>
          <w:color w:val="000000"/>
          <w:sz w:val="24"/>
          <w:szCs w:val="24"/>
          <w:shd w:val="clear" w:color="auto" w:fill="FFFFFF"/>
        </w:rPr>
        <w:t>Hedychium</w:t>
      </w:r>
      <w:r w:rsidRPr="00E52B95">
        <w:rPr>
          <w:rFonts w:ascii="Times New Roman" w:hAnsi="Times New Roman" w:cs="Times New Roman"/>
          <w:color w:val="000000"/>
          <w:sz w:val="24"/>
          <w:szCs w:val="24"/>
          <w:shd w:val="clear" w:color="auto" w:fill="FFFFFF"/>
        </w:rPr>
        <w:t xml:space="preserve"> species. </w:t>
      </w:r>
      <w:r w:rsidRPr="00E52B95">
        <w:rPr>
          <w:rFonts w:ascii="Times New Roman" w:hAnsi="Times New Roman" w:cs="Times New Roman"/>
          <w:i/>
          <w:iCs/>
          <w:color w:val="000000"/>
          <w:sz w:val="24"/>
          <w:szCs w:val="24"/>
          <w:shd w:val="clear" w:color="auto" w:fill="FFFFFF"/>
        </w:rPr>
        <w:t>Molecules</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28</w:t>
      </w:r>
      <w:r w:rsidRPr="00E52B95">
        <w:rPr>
          <w:rFonts w:ascii="Times New Roman" w:hAnsi="Times New Roman" w:cs="Times New Roman"/>
          <w:color w:val="000000"/>
          <w:sz w:val="24"/>
          <w:szCs w:val="24"/>
          <w:shd w:val="clear" w:color="auto" w:fill="FFFFFF"/>
        </w:rPr>
        <w:t>, 3278.  </w:t>
      </w:r>
      <w:hyperlink r:id="rId60" w:history="1">
        <w:r w:rsidRPr="00E52B95">
          <w:rPr>
            <w:rStyle w:val="Hyperlink"/>
            <w:rFonts w:ascii="Times New Roman" w:hAnsi="Times New Roman" w:cs="Times New Roman"/>
            <w:bCs/>
            <w:color w:val="000000"/>
            <w:sz w:val="24"/>
            <w:szCs w:val="24"/>
            <w:u w:val="none"/>
            <w:shd w:val="clear" w:color="auto" w:fill="FFFFFF"/>
          </w:rPr>
          <w:t>https://doi.org/10.3390/molecules28073278</w:t>
        </w:r>
      </w:hyperlink>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Arya, S., Kumar, R., Prakash, O., Latwal, M., Pandey, G., &amp; Srivastava, S. K. R., 2022. Chemical composition, nematicidal, insecticidal and herbicidal activities of </w:t>
      </w:r>
      <w:r w:rsidRPr="00E52B95">
        <w:rPr>
          <w:rFonts w:ascii="Times New Roman" w:hAnsi="Times New Roman" w:cs="Times New Roman"/>
          <w:i/>
          <w:color w:val="000000"/>
          <w:sz w:val="24"/>
          <w:szCs w:val="24"/>
          <w:shd w:val="clear" w:color="auto" w:fill="FFFFFF"/>
        </w:rPr>
        <w:t xml:space="preserve">Hedychium coronarium </w:t>
      </w:r>
      <w:r w:rsidRPr="00E52B95">
        <w:rPr>
          <w:rFonts w:ascii="Times New Roman" w:hAnsi="Times New Roman" w:cs="Times New Roman"/>
          <w:color w:val="000000"/>
          <w:sz w:val="24"/>
          <w:szCs w:val="24"/>
          <w:shd w:val="clear" w:color="auto" w:fill="FFFFFF"/>
        </w:rPr>
        <w:t>J. Koenig rhizome oleoresin. J. Pharm. Innov., </w:t>
      </w:r>
      <w:r w:rsidRPr="00E52B95">
        <w:rPr>
          <w:rFonts w:ascii="Times New Roman" w:hAnsi="Times New Roman" w:cs="Times New Roman"/>
          <w:i/>
          <w:iCs/>
          <w:color w:val="000000"/>
          <w:sz w:val="24"/>
          <w:szCs w:val="24"/>
          <w:shd w:val="clear" w:color="auto" w:fill="FFFFFF"/>
        </w:rPr>
        <w:t>11</w:t>
      </w:r>
      <w:r w:rsidRPr="00E52B95">
        <w:rPr>
          <w:rFonts w:ascii="Times New Roman" w:hAnsi="Times New Roman" w:cs="Times New Roman"/>
          <w:color w:val="000000"/>
          <w:sz w:val="24"/>
          <w:szCs w:val="24"/>
          <w:shd w:val="clear" w:color="auto" w:fill="FFFFFF"/>
        </w:rPr>
        <w:t>, 761-766.</w:t>
      </w:r>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Dinata, D. I., Maharani, R., Muttaqin, F. Z., &amp; Supratman, U.,2024. Phytochemistry and Biological Activities of </w:t>
      </w:r>
      <w:r w:rsidRPr="00E52B95">
        <w:rPr>
          <w:rFonts w:ascii="Times New Roman" w:hAnsi="Times New Roman" w:cs="Times New Roman"/>
          <w:i/>
          <w:color w:val="000000"/>
          <w:sz w:val="24"/>
          <w:szCs w:val="24"/>
          <w:shd w:val="clear" w:color="auto" w:fill="FFFFFF"/>
        </w:rPr>
        <w:t xml:space="preserve">Amomum </w:t>
      </w:r>
      <w:r w:rsidRPr="00E52B95">
        <w:rPr>
          <w:rFonts w:ascii="Times New Roman" w:hAnsi="Times New Roman" w:cs="Times New Roman"/>
          <w:color w:val="000000"/>
          <w:sz w:val="24"/>
          <w:szCs w:val="24"/>
          <w:shd w:val="clear" w:color="auto" w:fill="FFFFFF"/>
        </w:rPr>
        <w:t>Species.  </w:t>
      </w:r>
      <w:r w:rsidRPr="00E52B95">
        <w:rPr>
          <w:rStyle w:val="Strong"/>
          <w:rFonts w:ascii="Times New Roman" w:hAnsi="Times New Roman" w:cs="Times New Roman"/>
          <w:b w:val="0"/>
          <w:color w:val="000000"/>
          <w:sz w:val="24"/>
          <w:szCs w:val="24"/>
        </w:rPr>
        <w:t>Indones. J. Chem</w:t>
      </w:r>
      <w:r w:rsidRPr="00E52B95">
        <w:rPr>
          <w:rStyle w:val="Strong"/>
          <w:rFonts w:ascii="Times New Roman" w:hAnsi="Times New Roman" w:cs="Times New Roman"/>
          <w:b w:val="0"/>
          <w:color w:val="000000"/>
          <w:sz w:val="24"/>
          <w:szCs w:val="24"/>
          <w:shd w:val="clear" w:color="auto" w:fill="FFFFFF"/>
        </w:rPr>
        <w:t>.</w:t>
      </w:r>
      <w:r w:rsidRPr="00E52B95">
        <w:rPr>
          <w:rFonts w:ascii="Times New Roman" w:hAnsi="Times New Roman" w:cs="Times New Roman"/>
          <w:color w:val="000000"/>
          <w:sz w:val="24"/>
          <w:szCs w:val="24"/>
        </w:rPr>
        <w:t xml:space="preserve"> 24, 1883 – 1905.</w:t>
      </w:r>
      <w:r w:rsidRPr="00E52B95">
        <w:rPr>
          <w:rFonts w:ascii="Times New Roman" w:hAnsi="Times New Roman" w:cs="Times New Roman"/>
          <w:color w:val="000000"/>
          <w:sz w:val="24"/>
          <w:szCs w:val="24"/>
          <w:shd w:val="clear" w:color="auto" w:fill="FFFFFF"/>
        </w:rPr>
        <w:t xml:space="preserve"> DOI: </w:t>
      </w:r>
      <w:hyperlink r:id="rId61" w:tgtFrame="_blank" w:history="1">
        <w:r w:rsidRPr="00E52B95">
          <w:rPr>
            <w:rStyle w:val="Hyperlink"/>
            <w:rFonts w:ascii="Times New Roman" w:hAnsi="Times New Roman" w:cs="Times New Roman"/>
            <w:color w:val="000000"/>
            <w:sz w:val="24"/>
            <w:szCs w:val="24"/>
            <w:u w:val="none"/>
            <w:bdr w:val="single" w:sz="2" w:space="0" w:color="D1D1D2" w:frame="1"/>
            <w:shd w:val="clear" w:color="auto" w:fill="FFFFFF"/>
          </w:rPr>
          <w:t>10.22146/ijc.95402</w:t>
        </w:r>
      </w:hyperlink>
    </w:p>
    <w:p w:rsidR="00E52B95" w:rsidRPr="00E52B95" w:rsidRDefault="00E52B95" w:rsidP="00E52B95">
      <w:pPr>
        <w:pStyle w:val="ListParagraph"/>
        <w:numPr>
          <w:ilvl w:val="0"/>
          <w:numId w:val="1"/>
        </w:numPr>
        <w:spacing w:after="0" w:line="360" w:lineRule="auto"/>
        <w:ind w:left="360"/>
        <w:jc w:val="both"/>
        <w:rPr>
          <w:rStyle w:val="identifie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Ho, Y. C., Lee, S. S., Yang, M. L., Huang-Liu, R., Lee, C. Y., Li, Y. C., &amp; Kuan, Y. H. 2017. Zerumbone reduced the inflammatory response of acute lung injury in endotoxin-treated mice via Akt-NFκB pathway. </w:t>
      </w:r>
      <w:r w:rsidRPr="00E52B95">
        <w:rPr>
          <w:rStyle w:val="Strong"/>
          <w:rFonts w:ascii="Times New Roman" w:hAnsi="Times New Roman" w:cs="Times New Roman"/>
          <w:b w:val="0"/>
          <w:color w:val="000000"/>
          <w:sz w:val="24"/>
          <w:szCs w:val="24"/>
          <w:shd w:val="clear" w:color="auto" w:fill="FFFFFF"/>
        </w:rPr>
        <w:t>Chem. Biol. Interact.</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271</w:t>
      </w:r>
      <w:r w:rsidRPr="00E52B95">
        <w:rPr>
          <w:rFonts w:ascii="Times New Roman" w:hAnsi="Times New Roman" w:cs="Times New Roman"/>
          <w:color w:val="000000"/>
          <w:sz w:val="24"/>
          <w:szCs w:val="24"/>
          <w:shd w:val="clear" w:color="auto" w:fill="FFFFFF"/>
        </w:rPr>
        <w:t>, 9-14.</w:t>
      </w:r>
      <w:r w:rsidRPr="00E52B95">
        <w:rPr>
          <w:rStyle w:val="id-label"/>
          <w:rFonts w:ascii="Times New Roman" w:hAnsi="Times New Roman" w:cs="Times New Roman"/>
          <w:color w:val="000000"/>
          <w:sz w:val="24"/>
          <w:szCs w:val="24"/>
        </w:rPr>
        <w:t xml:space="preserve"> DOI: </w:t>
      </w:r>
      <w:hyperlink r:id="rId62" w:tgtFrame="_blank" w:history="1">
        <w:r w:rsidRPr="00E52B95">
          <w:rPr>
            <w:rStyle w:val="Hyperlink"/>
            <w:rFonts w:ascii="Times New Roman" w:hAnsi="Times New Roman" w:cs="Times New Roman"/>
            <w:color w:val="000000"/>
            <w:sz w:val="24"/>
            <w:szCs w:val="24"/>
            <w:u w:val="none"/>
          </w:rPr>
          <w:t>10.1016/j.cbi.2017.04.017</w:t>
        </w:r>
      </w:hyperlink>
    </w:p>
    <w:p w:rsidR="00E52B95" w:rsidRPr="00E52B95" w:rsidRDefault="00E52B95" w:rsidP="00E52B95">
      <w:pPr>
        <w:pStyle w:val="ListParagraph"/>
        <w:numPr>
          <w:ilvl w:val="0"/>
          <w:numId w:val="1"/>
        </w:numPr>
        <w:spacing w:after="0" w:line="360" w:lineRule="auto"/>
        <w:ind w:left="360"/>
        <w:jc w:val="both"/>
        <w:rPr>
          <w:rStyle w:val="identifie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Ho, S. C., Chang, K. S., &amp; Lin, C. C. 2013. Anti-neuroinflammatory capacity of fresh ginger is attributed mainly to 10-gingerol. </w:t>
      </w:r>
      <w:r w:rsidRPr="00E52B95">
        <w:rPr>
          <w:rStyle w:val="Strong"/>
          <w:rFonts w:ascii="Times New Roman" w:hAnsi="Times New Roman" w:cs="Times New Roman"/>
          <w:b w:val="0"/>
          <w:color w:val="000000"/>
          <w:sz w:val="24"/>
          <w:szCs w:val="24"/>
          <w:shd w:val="clear" w:color="auto" w:fill="FFFFFF"/>
        </w:rPr>
        <w:t xml:space="preserve">Food Chem.  </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141</w:t>
      </w:r>
      <w:r w:rsidRPr="00E52B95">
        <w:rPr>
          <w:rFonts w:ascii="Times New Roman" w:hAnsi="Times New Roman" w:cs="Times New Roman"/>
          <w:color w:val="000000"/>
          <w:sz w:val="24"/>
          <w:szCs w:val="24"/>
          <w:shd w:val="clear" w:color="auto" w:fill="FFFFFF"/>
        </w:rPr>
        <w:t>, 3183-3191.</w:t>
      </w:r>
      <w:r w:rsidRPr="00E52B95">
        <w:rPr>
          <w:rStyle w:val="id-label"/>
          <w:rFonts w:ascii="Times New Roman" w:hAnsi="Times New Roman" w:cs="Times New Roman"/>
          <w:color w:val="000000"/>
          <w:sz w:val="24"/>
          <w:szCs w:val="24"/>
        </w:rPr>
        <w:t xml:space="preserve"> DOI: </w:t>
      </w:r>
      <w:hyperlink r:id="rId63" w:tgtFrame="_blank" w:history="1">
        <w:r w:rsidRPr="00E52B95">
          <w:rPr>
            <w:rStyle w:val="Hyperlink"/>
            <w:rFonts w:ascii="Times New Roman" w:hAnsi="Times New Roman" w:cs="Times New Roman"/>
            <w:color w:val="000000"/>
            <w:sz w:val="24"/>
            <w:szCs w:val="24"/>
            <w:u w:val="none"/>
          </w:rPr>
          <w:t>10.1016/j.foodchem.2013.06.010</w:t>
        </w:r>
      </w:hyperlink>
    </w:p>
    <w:p w:rsidR="00E52B95" w:rsidRPr="00E52B95" w:rsidRDefault="00E52B95" w:rsidP="00E52B95">
      <w:pPr>
        <w:pStyle w:val="ListParagraph"/>
        <w:numPr>
          <w:ilvl w:val="0"/>
          <w:numId w:val="1"/>
        </w:numPr>
        <w:spacing w:after="0" w:line="360" w:lineRule="auto"/>
        <w:ind w:left="360"/>
        <w:jc w:val="both"/>
        <w:rPr>
          <w:rStyle w:val="identifie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Lopresti, A. L. 2018. The problem of curcumin and its bioavailability: could its gastrointestinal influence contribute to its overall health-enhancing effects?</w:t>
      </w:r>
      <w:r w:rsidRPr="00E52B95">
        <w:rPr>
          <w:rStyle w:val="Emphasis"/>
          <w:rFonts w:ascii="Times New Roman" w:hAnsi="Times New Roman" w:cs="Times New Roman"/>
          <w:bCs/>
          <w:i w:val="0"/>
          <w:iCs w:val="0"/>
          <w:color w:val="000000"/>
          <w:sz w:val="24"/>
          <w:szCs w:val="24"/>
          <w:shd w:val="clear" w:color="auto" w:fill="FFFFFF"/>
        </w:rPr>
        <w:t>Adv Nutr</w:t>
      </w:r>
      <w:r w:rsidRPr="00E52B95">
        <w:rPr>
          <w:rFonts w:ascii="Times New Roman" w:hAnsi="Times New Roman" w:cs="Times New Roman"/>
          <w:color w:val="000000"/>
          <w:sz w:val="24"/>
          <w:szCs w:val="24"/>
          <w:shd w:val="clear" w:color="auto" w:fill="FFFFFF"/>
        </w:rPr>
        <w:t> , </w:t>
      </w:r>
      <w:r w:rsidRPr="00E52B95">
        <w:rPr>
          <w:rFonts w:ascii="Times New Roman" w:hAnsi="Times New Roman" w:cs="Times New Roman"/>
          <w:i/>
          <w:iCs/>
          <w:color w:val="000000"/>
          <w:sz w:val="24"/>
          <w:szCs w:val="24"/>
          <w:shd w:val="clear" w:color="auto" w:fill="FFFFFF"/>
        </w:rPr>
        <w:t>9</w:t>
      </w:r>
      <w:r w:rsidRPr="00E52B95">
        <w:rPr>
          <w:rFonts w:ascii="Times New Roman" w:hAnsi="Times New Roman" w:cs="Times New Roman"/>
          <w:color w:val="000000"/>
          <w:sz w:val="24"/>
          <w:szCs w:val="24"/>
          <w:shd w:val="clear" w:color="auto" w:fill="FFFFFF"/>
        </w:rPr>
        <w:t>, 41-50.</w:t>
      </w:r>
      <w:r w:rsidRPr="00E52B95">
        <w:rPr>
          <w:rStyle w:val="id-label"/>
          <w:rFonts w:ascii="Times New Roman" w:hAnsi="Times New Roman" w:cs="Times New Roman"/>
          <w:color w:val="000000"/>
          <w:sz w:val="24"/>
          <w:szCs w:val="24"/>
        </w:rPr>
        <w:t xml:space="preserve"> DOI: </w:t>
      </w:r>
      <w:hyperlink r:id="rId64" w:tgtFrame="_blank" w:history="1">
        <w:r w:rsidRPr="00E52B95">
          <w:rPr>
            <w:rStyle w:val="Hyperlink"/>
            <w:rFonts w:ascii="Times New Roman" w:hAnsi="Times New Roman" w:cs="Times New Roman"/>
            <w:color w:val="000000"/>
            <w:sz w:val="24"/>
            <w:szCs w:val="24"/>
            <w:u w:val="none"/>
          </w:rPr>
          <w:t>10.1093/advances/nmx011</w:t>
        </w:r>
      </w:hyperlink>
    </w:p>
    <w:p w:rsidR="00E52B95" w:rsidRPr="00E52B95" w:rsidRDefault="00E52B95" w:rsidP="00E52B95">
      <w:pPr>
        <w:pStyle w:val="ListParagraph"/>
        <w:numPr>
          <w:ilvl w:val="0"/>
          <w:numId w:val="1"/>
        </w:numPr>
        <w:spacing w:after="0" w:line="360" w:lineRule="auto"/>
        <w:ind w:left="360"/>
        <w:jc w:val="both"/>
        <w:rPr>
          <w:rStyle w:val="identifie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Kunnumakkara, A. B., Harsha, C., Banik, K., Vikkurthi, R., Sailo, B. L., Bordoloi, D., ... &amp; Aggarwal, B. B., 2019. Is curcumin bioavailability a problem in humans: Lessons from clinical trials </w:t>
      </w:r>
      <w:r w:rsidRPr="00E52B95">
        <w:rPr>
          <w:rStyle w:val="Strong"/>
          <w:rFonts w:ascii="Times New Roman" w:hAnsi="Times New Roman" w:cs="Times New Roman"/>
          <w:b w:val="0"/>
          <w:color w:val="000000"/>
          <w:sz w:val="24"/>
          <w:szCs w:val="24"/>
          <w:shd w:val="clear" w:color="auto" w:fill="FFFFFF"/>
        </w:rPr>
        <w:t>Expert Opin. Drug Metab. Toxicol.</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15</w:t>
      </w:r>
      <w:r w:rsidRPr="00E52B95">
        <w:rPr>
          <w:rFonts w:ascii="Times New Roman" w:hAnsi="Times New Roman" w:cs="Times New Roman"/>
          <w:color w:val="000000"/>
          <w:sz w:val="24"/>
          <w:szCs w:val="24"/>
          <w:shd w:val="clear" w:color="auto" w:fill="FFFFFF"/>
        </w:rPr>
        <w:t>, 705-733.</w:t>
      </w:r>
      <w:r w:rsidRPr="00E52B95">
        <w:rPr>
          <w:rStyle w:val="id-label"/>
          <w:rFonts w:ascii="Times New Roman" w:hAnsi="Times New Roman" w:cs="Times New Roman"/>
          <w:color w:val="000000"/>
          <w:sz w:val="24"/>
          <w:szCs w:val="24"/>
        </w:rPr>
        <w:t xml:space="preserve"> DOI: </w:t>
      </w:r>
      <w:hyperlink r:id="rId65" w:tgtFrame="_blank" w:history="1">
        <w:r w:rsidRPr="00E52B95">
          <w:rPr>
            <w:rStyle w:val="Hyperlink"/>
            <w:rFonts w:ascii="Times New Roman" w:hAnsi="Times New Roman" w:cs="Times New Roman"/>
            <w:color w:val="000000"/>
            <w:sz w:val="24"/>
            <w:szCs w:val="24"/>
            <w:u w:val="none"/>
          </w:rPr>
          <w:t>10.1080/17425255.2019.1650914</w:t>
        </w:r>
      </w:hyperlink>
    </w:p>
    <w:p w:rsidR="00E52B95" w:rsidRPr="00E52B95" w:rsidRDefault="00E52B95" w:rsidP="00E52B95">
      <w:pPr>
        <w:pStyle w:val="ListParagraph"/>
        <w:numPr>
          <w:ilvl w:val="0"/>
          <w:numId w:val="1"/>
        </w:numPr>
        <w:spacing w:after="0" w:line="360" w:lineRule="auto"/>
        <w:ind w:left="360"/>
        <w:jc w:val="both"/>
        <w:rPr>
          <w:rStyle w:val="identifie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Yuliawati, K. M., Febriyanti, R. M., Sumiwi, S. A., &amp; Levita, J., 2025. Anti-Inflammatory Activities of Some Plants of Genus </w:t>
      </w:r>
      <w:r w:rsidRPr="00E52B95">
        <w:rPr>
          <w:rFonts w:ascii="Times New Roman" w:hAnsi="Times New Roman" w:cs="Times New Roman"/>
          <w:i/>
          <w:color w:val="000000"/>
          <w:sz w:val="24"/>
          <w:szCs w:val="24"/>
          <w:shd w:val="clear" w:color="auto" w:fill="FFFFFF"/>
        </w:rPr>
        <w:t>Alpinia</w:t>
      </w:r>
      <w:r w:rsidRPr="00E52B95">
        <w:rPr>
          <w:rFonts w:ascii="Times New Roman" w:hAnsi="Times New Roman" w:cs="Times New Roman"/>
          <w:color w:val="000000"/>
          <w:sz w:val="24"/>
          <w:szCs w:val="24"/>
          <w:shd w:val="clear" w:color="auto" w:fill="FFFFFF"/>
        </w:rPr>
        <w:t>: Insights from In Vitro, In Vivo, and Human Studies. </w:t>
      </w:r>
      <w:r w:rsidRPr="00E52B95">
        <w:rPr>
          <w:rStyle w:val="Strong"/>
          <w:rFonts w:ascii="Times New Roman" w:hAnsi="Times New Roman" w:cs="Times New Roman"/>
          <w:b w:val="0"/>
          <w:color w:val="000000"/>
          <w:sz w:val="24"/>
          <w:szCs w:val="24"/>
          <w:shd w:val="clear" w:color="auto" w:fill="FFFFFF"/>
        </w:rPr>
        <w:t>J. Exp. Pharmacol.</w:t>
      </w:r>
      <w:r w:rsidRPr="00E52B95">
        <w:rPr>
          <w:rFonts w:ascii="Times New Roman" w:hAnsi="Times New Roman" w:cs="Times New Roman"/>
          <w:color w:val="000000"/>
          <w:sz w:val="24"/>
          <w:szCs w:val="24"/>
          <w:shd w:val="clear" w:color="auto" w:fill="FFFFFF"/>
        </w:rPr>
        <w:t xml:space="preserve">, 51-91. </w:t>
      </w:r>
      <w:r w:rsidRPr="00E52B95">
        <w:rPr>
          <w:rStyle w:val="id-label"/>
          <w:rFonts w:ascii="Times New Roman" w:hAnsi="Times New Roman" w:cs="Times New Roman"/>
          <w:color w:val="000000"/>
          <w:sz w:val="24"/>
          <w:szCs w:val="24"/>
        </w:rPr>
        <w:t>DOI: </w:t>
      </w:r>
      <w:hyperlink r:id="rId66" w:tgtFrame="_blank" w:history="1">
        <w:r w:rsidRPr="00E52B95">
          <w:rPr>
            <w:rStyle w:val="Hyperlink"/>
            <w:rFonts w:ascii="Times New Roman" w:hAnsi="Times New Roman" w:cs="Times New Roman"/>
            <w:color w:val="000000"/>
            <w:sz w:val="24"/>
            <w:szCs w:val="24"/>
            <w:u w:val="none"/>
          </w:rPr>
          <w:t>10.2147/JEP.S499115</w:t>
        </w:r>
      </w:hyperlink>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Arpitha, S., Srinivasan, K., &amp; Sowbhagya, H. B., 2019. Anti-inflammatory effect of resin fraction of cardamom </w:t>
      </w:r>
      <w:r w:rsidRPr="00E52B95">
        <w:rPr>
          <w:rFonts w:ascii="Times New Roman" w:hAnsi="Times New Roman" w:cs="Times New Roman"/>
          <w:i/>
          <w:color w:val="000000"/>
          <w:sz w:val="24"/>
          <w:szCs w:val="24"/>
          <w:shd w:val="clear" w:color="auto" w:fill="FFFFFF"/>
        </w:rPr>
        <w:t>(Elettaria cardamomum</w:t>
      </w:r>
      <w:r w:rsidRPr="00E52B95">
        <w:rPr>
          <w:rFonts w:ascii="Times New Roman" w:hAnsi="Times New Roman" w:cs="Times New Roman"/>
          <w:color w:val="000000"/>
          <w:sz w:val="24"/>
          <w:szCs w:val="24"/>
          <w:shd w:val="clear" w:color="auto" w:fill="FFFFFF"/>
        </w:rPr>
        <w:t>) in carrageenan-induced rat paw edema. </w:t>
      </w:r>
      <w:r w:rsidRPr="00E52B95">
        <w:rPr>
          <w:rFonts w:ascii="Times New Roman" w:hAnsi="Times New Roman" w:cs="Times New Roman"/>
          <w:i/>
          <w:iCs/>
          <w:color w:val="000000"/>
          <w:sz w:val="24"/>
          <w:szCs w:val="24"/>
          <w:shd w:val="clear" w:color="auto" w:fill="FFFFFF"/>
        </w:rPr>
        <w:t>PharmaNutrition</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10</w:t>
      </w:r>
      <w:r w:rsidRPr="00E52B95">
        <w:rPr>
          <w:rFonts w:ascii="Times New Roman" w:hAnsi="Times New Roman" w:cs="Times New Roman"/>
          <w:color w:val="000000"/>
          <w:sz w:val="24"/>
          <w:szCs w:val="24"/>
          <w:shd w:val="clear" w:color="auto" w:fill="FFFFFF"/>
        </w:rPr>
        <w:t>, 100165.</w:t>
      </w:r>
      <w:r w:rsidRPr="00E52B95">
        <w:rPr>
          <w:rFonts w:ascii="Times New Roman" w:hAnsi="Times New Roman" w:cs="Times New Roman"/>
          <w:color w:val="000000"/>
          <w:sz w:val="24"/>
          <w:szCs w:val="24"/>
        </w:rPr>
        <w:t xml:space="preserve">  </w:t>
      </w:r>
      <w:r w:rsidRPr="00E52B95">
        <w:rPr>
          <w:rStyle w:val="id-label"/>
          <w:rFonts w:ascii="Times New Roman" w:hAnsi="Times New Roman" w:cs="Times New Roman"/>
          <w:color w:val="000000"/>
          <w:sz w:val="24"/>
          <w:szCs w:val="24"/>
        </w:rPr>
        <w:t>DOI: </w:t>
      </w:r>
      <w:hyperlink r:id="rId67" w:tgtFrame="_blank" w:history="1">
        <w:r w:rsidRPr="00E52B95">
          <w:rPr>
            <w:rStyle w:val="Hyperlink"/>
            <w:rFonts w:ascii="Times New Roman" w:hAnsi="Times New Roman" w:cs="Times New Roman"/>
            <w:color w:val="000000"/>
            <w:sz w:val="24"/>
            <w:szCs w:val="24"/>
            <w:u w:val="none"/>
          </w:rPr>
          <w:t>10.2147/JEP.S499115</w:t>
        </w:r>
      </w:hyperlink>
    </w:p>
    <w:p w:rsidR="00E52B95" w:rsidRPr="00E52B95" w:rsidRDefault="00E52B95" w:rsidP="00E52B95">
      <w:pPr>
        <w:pStyle w:val="ListParagraph"/>
        <w:spacing w:line="360" w:lineRule="auto"/>
        <w:ind w:left="0"/>
        <w:jc w:val="both"/>
        <w:rPr>
          <w:rFonts w:ascii="Times New Roman" w:hAnsi="Times New Roman" w:cs="Times New Roman"/>
          <w:color w:val="000000"/>
          <w:sz w:val="24"/>
          <w:szCs w:val="24"/>
        </w:rPr>
      </w:pPr>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lastRenderedPageBreak/>
        <w:t xml:space="preserve">Resna, M., Fauziah, F., &amp; Ifora, I., 2021. Phytochemical and antiinflammatory properties of </w:t>
      </w:r>
      <w:r w:rsidRPr="00E52B95">
        <w:rPr>
          <w:rFonts w:ascii="Times New Roman" w:hAnsi="Times New Roman" w:cs="Times New Roman"/>
          <w:i/>
          <w:color w:val="000000"/>
          <w:sz w:val="24"/>
          <w:szCs w:val="24"/>
          <w:shd w:val="clear" w:color="auto" w:fill="FFFFFF"/>
        </w:rPr>
        <w:t>Etlingera elatior (Jack</w:t>
      </w:r>
      <w:r w:rsidRPr="00E52B95">
        <w:rPr>
          <w:rFonts w:ascii="Times New Roman" w:hAnsi="Times New Roman" w:cs="Times New Roman"/>
          <w:color w:val="000000"/>
          <w:sz w:val="24"/>
          <w:szCs w:val="24"/>
          <w:shd w:val="clear" w:color="auto" w:fill="FFFFFF"/>
        </w:rPr>
        <w:t>) RM Sm.: A Review.  Int. J. Pharm. Sci. Med.</w:t>
      </w:r>
      <w:r w:rsidRPr="00E52B95">
        <w:rPr>
          <w:rFonts w:ascii="Times New Roman" w:hAnsi="Times New Roman" w:cs="Times New Roman"/>
          <w:i/>
          <w:iCs/>
          <w:color w:val="000000"/>
          <w:sz w:val="24"/>
          <w:szCs w:val="24"/>
          <w:shd w:val="clear" w:color="auto" w:fill="FFFFFF"/>
        </w:rPr>
        <w:t xml:space="preserve"> (IJPSM)</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6</w:t>
      </w:r>
      <w:r w:rsidRPr="00E52B95">
        <w:rPr>
          <w:rFonts w:ascii="Times New Roman" w:hAnsi="Times New Roman" w:cs="Times New Roman"/>
          <w:color w:val="000000"/>
          <w:sz w:val="24"/>
          <w:szCs w:val="24"/>
          <w:shd w:val="clear" w:color="auto" w:fill="FFFFFF"/>
        </w:rPr>
        <w:t>, 152-160. DOI: </w:t>
      </w:r>
      <w:hyperlink r:id="rId68" w:tgtFrame="_blank" w:history="1">
        <w:r w:rsidRPr="00E52B95">
          <w:rPr>
            <w:rStyle w:val="Hyperlink"/>
            <w:rFonts w:ascii="Times New Roman" w:hAnsi="Times New Roman" w:cs="Times New Roman"/>
            <w:color w:val="000000"/>
            <w:sz w:val="24"/>
            <w:szCs w:val="24"/>
            <w:u w:val="none"/>
            <w:bdr w:val="single" w:sz="2" w:space="0" w:color="D1D1D2" w:frame="1"/>
            <w:shd w:val="clear" w:color="auto" w:fill="FFFFFF"/>
          </w:rPr>
          <w:t>10.47760/ijpsm.2021.v06i08.011</w:t>
        </w:r>
      </w:hyperlink>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Sae-wong, C., 2011. </w:t>
      </w:r>
      <w:r w:rsidRPr="00E52B95">
        <w:rPr>
          <w:rFonts w:ascii="Times New Roman" w:hAnsi="Times New Roman" w:cs="Times New Roman"/>
          <w:i/>
          <w:iCs/>
          <w:color w:val="000000"/>
          <w:sz w:val="24"/>
          <w:szCs w:val="24"/>
          <w:shd w:val="clear" w:color="auto" w:fill="FFFFFF"/>
        </w:rPr>
        <w:t>Anti-inflammatory activity of Kaempferia parviflora Rhizomes</w:t>
      </w:r>
      <w:r w:rsidRPr="00E52B95">
        <w:rPr>
          <w:rFonts w:ascii="Times New Roman" w:hAnsi="Times New Roman" w:cs="Times New Roman"/>
          <w:color w:val="000000"/>
          <w:sz w:val="24"/>
          <w:szCs w:val="24"/>
          <w:shd w:val="clear" w:color="auto" w:fill="FFFFFF"/>
        </w:rPr>
        <w:t> (Doctoral dissertation, PhD thesis (in pharmaceutical sciences). Prince of Songkla University).</w:t>
      </w:r>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Madaka, F., &amp; Tewtrakul, S.,2011. Anti-allergic activity of some selected plants in the genus </w:t>
      </w:r>
      <w:r w:rsidRPr="00E52B95">
        <w:rPr>
          <w:rFonts w:ascii="Times New Roman" w:hAnsi="Times New Roman" w:cs="Times New Roman"/>
          <w:i/>
          <w:color w:val="000000"/>
          <w:sz w:val="24"/>
          <w:szCs w:val="24"/>
          <w:shd w:val="clear" w:color="auto" w:fill="FFFFFF"/>
        </w:rPr>
        <w:t>Boesenbergia and Kaempferia</w:t>
      </w:r>
      <w:r w:rsidRPr="00E52B95">
        <w:rPr>
          <w:rFonts w:ascii="Times New Roman" w:hAnsi="Times New Roman" w:cs="Times New Roman"/>
          <w:color w:val="000000"/>
          <w:sz w:val="24"/>
          <w:szCs w:val="24"/>
          <w:shd w:val="clear" w:color="auto" w:fill="FFFFFF"/>
        </w:rPr>
        <w:t>. </w:t>
      </w:r>
      <w:r w:rsidRPr="00E52B95">
        <w:rPr>
          <w:rStyle w:val="Emphasis"/>
          <w:rFonts w:ascii="Times New Roman" w:hAnsi="Times New Roman" w:cs="Times New Roman"/>
          <w:bCs/>
          <w:i w:val="0"/>
          <w:iCs w:val="0"/>
          <w:color w:val="000000"/>
          <w:sz w:val="24"/>
          <w:szCs w:val="24"/>
          <w:shd w:val="clear" w:color="auto" w:fill="FFFFFF"/>
        </w:rPr>
        <w:t>Songklanakarin J. Sci. Technol</w:t>
      </w:r>
      <w:r w:rsidRPr="00E52B95">
        <w:rPr>
          <w:rFonts w:ascii="Times New Roman" w:hAnsi="Times New Roman" w:cs="Times New Roman"/>
          <w:color w:val="000000"/>
          <w:sz w:val="24"/>
          <w:szCs w:val="24"/>
          <w:shd w:val="clear" w:color="auto" w:fill="FFFFFF"/>
        </w:rPr>
        <w:t>.. , </w:t>
      </w:r>
      <w:r w:rsidRPr="00E52B95">
        <w:rPr>
          <w:rFonts w:ascii="Times New Roman" w:hAnsi="Times New Roman" w:cs="Times New Roman"/>
          <w:i/>
          <w:iCs/>
          <w:color w:val="000000"/>
          <w:sz w:val="24"/>
          <w:szCs w:val="24"/>
          <w:shd w:val="clear" w:color="auto" w:fill="FFFFFF"/>
        </w:rPr>
        <w:t>33</w:t>
      </w:r>
      <w:r w:rsidRPr="00E52B95">
        <w:rPr>
          <w:rFonts w:ascii="Times New Roman" w:hAnsi="Times New Roman" w:cs="Times New Roman"/>
          <w:color w:val="000000"/>
          <w:sz w:val="24"/>
          <w:szCs w:val="24"/>
          <w:shd w:val="clear" w:color="auto" w:fill="FFFFFF"/>
        </w:rPr>
        <w:t>, 301.</w:t>
      </w:r>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Pham, N. K., Nguyen, H. T., &amp; Nguyen, Q. B., 2021. A review on the ethnomedicinal uses, phytochemistry and pharmacology of plant species belonging to </w:t>
      </w:r>
      <w:r w:rsidRPr="00E52B95">
        <w:rPr>
          <w:rFonts w:ascii="Times New Roman" w:hAnsi="Times New Roman" w:cs="Times New Roman"/>
          <w:i/>
          <w:color w:val="000000"/>
          <w:sz w:val="24"/>
          <w:szCs w:val="24"/>
          <w:shd w:val="clear" w:color="auto" w:fill="FFFFFF"/>
        </w:rPr>
        <w:t>Kaempferia</w:t>
      </w:r>
      <w:r w:rsidRPr="00E52B95">
        <w:rPr>
          <w:rFonts w:ascii="Times New Roman" w:hAnsi="Times New Roman" w:cs="Times New Roman"/>
          <w:color w:val="000000"/>
          <w:sz w:val="24"/>
          <w:szCs w:val="24"/>
          <w:shd w:val="clear" w:color="auto" w:fill="FFFFFF"/>
        </w:rPr>
        <w:t xml:space="preserve"> L. genus (</w:t>
      </w:r>
      <w:r w:rsidRPr="00E52B95">
        <w:rPr>
          <w:rFonts w:ascii="Times New Roman" w:hAnsi="Times New Roman" w:cs="Times New Roman"/>
          <w:i/>
          <w:color w:val="000000"/>
          <w:sz w:val="24"/>
          <w:szCs w:val="24"/>
          <w:shd w:val="clear" w:color="auto" w:fill="FFFFFF"/>
        </w:rPr>
        <w:t>Zingiberaceae</w:t>
      </w:r>
      <w:r w:rsidRPr="00E52B95">
        <w:rPr>
          <w:rFonts w:ascii="Times New Roman" w:hAnsi="Times New Roman" w:cs="Times New Roman"/>
          <w:color w:val="000000"/>
          <w:sz w:val="24"/>
          <w:szCs w:val="24"/>
          <w:shd w:val="clear" w:color="auto" w:fill="FFFFFF"/>
        </w:rPr>
        <w:t>). </w:t>
      </w:r>
      <w:r w:rsidRPr="00E52B95">
        <w:rPr>
          <w:rStyle w:val="Strong"/>
          <w:rFonts w:ascii="Times New Roman" w:hAnsi="Times New Roman" w:cs="Times New Roman"/>
          <w:b w:val="0"/>
          <w:color w:val="000000"/>
          <w:sz w:val="24"/>
          <w:szCs w:val="24"/>
        </w:rPr>
        <w:t>Pharm. Sci. Asia</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48</w:t>
      </w:r>
      <w:r w:rsidRPr="00E52B95">
        <w:rPr>
          <w:rFonts w:ascii="Times New Roman" w:hAnsi="Times New Roman" w:cs="Times New Roman"/>
          <w:color w:val="000000"/>
          <w:sz w:val="24"/>
          <w:szCs w:val="24"/>
          <w:shd w:val="clear" w:color="auto" w:fill="FFFFFF"/>
        </w:rPr>
        <w:t>. DOI: </w:t>
      </w:r>
      <w:hyperlink r:id="rId69" w:tgtFrame="_blank" w:history="1">
        <w:r w:rsidRPr="00E52B95">
          <w:rPr>
            <w:rStyle w:val="Hyperlink"/>
            <w:rFonts w:ascii="Times New Roman" w:hAnsi="Times New Roman" w:cs="Times New Roman"/>
            <w:color w:val="000000"/>
            <w:sz w:val="24"/>
            <w:szCs w:val="24"/>
            <w:u w:val="none"/>
            <w:bdr w:val="single" w:sz="2" w:space="0" w:color="D1D1D2" w:frame="1"/>
            <w:shd w:val="clear" w:color="auto" w:fill="FFFFFF"/>
          </w:rPr>
          <w:t>10.29090/psa.2021.01.19.070</w:t>
        </w:r>
      </w:hyperlink>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Singh, A. P., Chitme, H., Sharma, R. K., Kandpal, J. B., Behera, A., Abdel-Wahab, B. A., ... &amp; Bakir, M. B., 2023. A comprehensive review on pharmacologically active phyto-constituents from </w:t>
      </w:r>
      <w:r w:rsidRPr="00E52B95">
        <w:rPr>
          <w:rFonts w:ascii="Times New Roman" w:hAnsi="Times New Roman" w:cs="Times New Roman"/>
          <w:i/>
          <w:color w:val="000000"/>
          <w:sz w:val="24"/>
          <w:szCs w:val="24"/>
          <w:shd w:val="clear" w:color="auto" w:fill="FFFFFF"/>
        </w:rPr>
        <w:t>Hedychium</w:t>
      </w:r>
      <w:r w:rsidRPr="00E52B95">
        <w:rPr>
          <w:rFonts w:ascii="Times New Roman" w:hAnsi="Times New Roman" w:cs="Times New Roman"/>
          <w:color w:val="000000"/>
          <w:sz w:val="24"/>
          <w:szCs w:val="24"/>
          <w:shd w:val="clear" w:color="auto" w:fill="FFFFFF"/>
        </w:rPr>
        <w:t xml:space="preserve"> species. </w:t>
      </w:r>
      <w:r w:rsidRPr="00E52B95">
        <w:rPr>
          <w:rFonts w:ascii="Times New Roman" w:hAnsi="Times New Roman" w:cs="Times New Roman"/>
          <w:i/>
          <w:iCs/>
          <w:color w:val="000000"/>
          <w:sz w:val="24"/>
          <w:szCs w:val="24"/>
          <w:shd w:val="clear" w:color="auto" w:fill="FFFFFF"/>
        </w:rPr>
        <w:t>Molecules</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28</w:t>
      </w:r>
      <w:r w:rsidRPr="00E52B95">
        <w:rPr>
          <w:rFonts w:ascii="Times New Roman" w:hAnsi="Times New Roman" w:cs="Times New Roman"/>
          <w:color w:val="000000"/>
          <w:sz w:val="24"/>
          <w:szCs w:val="24"/>
          <w:shd w:val="clear" w:color="auto" w:fill="FFFFFF"/>
        </w:rPr>
        <w:t>, 3278.  </w:t>
      </w:r>
      <w:hyperlink r:id="rId70" w:history="1">
        <w:r w:rsidRPr="00E52B95">
          <w:rPr>
            <w:rStyle w:val="Hyperlink"/>
            <w:rFonts w:ascii="Times New Roman" w:hAnsi="Times New Roman" w:cs="Times New Roman"/>
            <w:bCs/>
            <w:color w:val="000000"/>
            <w:sz w:val="24"/>
            <w:szCs w:val="24"/>
            <w:u w:val="none"/>
            <w:shd w:val="clear" w:color="auto" w:fill="FFFFFF"/>
          </w:rPr>
          <w:t>https://doi.org/10.3390/molecules28073278</w:t>
        </w:r>
      </w:hyperlink>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Jo, S. H., Cho, C. Y., Lee, J. Y., Ha, K. S., Kwon, Y. I., &amp; Apostolidis, E., 2016. In vitro and in vivo reduction of post-prandial blood glucose levels by ethyl alcohol and water </w:t>
      </w:r>
      <w:r w:rsidRPr="00E52B95">
        <w:rPr>
          <w:rFonts w:ascii="Times New Roman" w:hAnsi="Times New Roman" w:cs="Times New Roman"/>
          <w:i/>
          <w:color w:val="000000"/>
          <w:sz w:val="24"/>
          <w:szCs w:val="24"/>
          <w:shd w:val="clear" w:color="auto" w:fill="FFFFFF"/>
        </w:rPr>
        <w:t xml:space="preserve">Zingiber  </w:t>
      </w:r>
      <w:r w:rsidRPr="00E52B95">
        <w:rPr>
          <w:rFonts w:ascii="Times New Roman" w:hAnsi="Times New Roman" w:cs="Times New Roman"/>
          <w:color w:val="000000"/>
          <w:sz w:val="24"/>
          <w:szCs w:val="24"/>
          <w:shd w:val="clear" w:color="auto" w:fill="FFFFFF"/>
        </w:rPr>
        <w:t>mioga extracts through the inhibition of carbohydrate hydrolyzing enzymes. </w:t>
      </w:r>
      <w:r w:rsidRPr="00E52B95">
        <w:rPr>
          <w:rStyle w:val="Strong"/>
          <w:rFonts w:ascii="Times New Roman" w:hAnsi="Times New Roman" w:cs="Times New Roman"/>
          <w:b w:val="0"/>
          <w:color w:val="000000"/>
          <w:sz w:val="24"/>
          <w:szCs w:val="24"/>
          <w:shd w:val="clear" w:color="auto" w:fill="FFFFFF"/>
        </w:rPr>
        <w:t>BMC Complement. Altern. Med.</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16</w:t>
      </w:r>
      <w:r w:rsidRPr="00E52B95">
        <w:rPr>
          <w:rFonts w:ascii="Times New Roman" w:hAnsi="Times New Roman" w:cs="Times New Roman"/>
          <w:color w:val="000000"/>
          <w:sz w:val="24"/>
          <w:szCs w:val="24"/>
          <w:shd w:val="clear" w:color="auto" w:fill="FFFFFF"/>
        </w:rPr>
        <w:t>, 1-7.</w:t>
      </w:r>
      <w:r w:rsidRPr="00E52B95">
        <w:rPr>
          <w:rStyle w:val="id-label"/>
          <w:rFonts w:ascii="Times New Roman" w:hAnsi="Times New Roman" w:cs="Times New Roman"/>
          <w:color w:val="000000"/>
          <w:sz w:val="24"/>
          <w:szCs w:val="24"/>
        </w:rPr>
        <w:t xml:space="preserve"> DOI: </w:t>
      </w:r>
      <w:hyperlink r:id="rId71" w:tgtFrame="_blank" w:history="1">
        <w:r w:rsidRPr="00E52B95">
          <w:rPr>
            <w:rStyle w:val="Hyperlink"/>
            <w:rFonts w:ascii="Times New Roman" w:hAnsi="Times New Roman" w:cs="Times New Roman"/>
            <w:color w:val="000000"/>
            <w:sz w:val="24"/>
            <w:szCs w:val="24"/>
            <w:u w:val="none"/>
          </w:rPr>
          <w:t>10.1186/s12906-016-1090-4</w:t>
        </w:r>
      </w:hyperlink>
    </w:p>
    <w:p w:rsidR="00E52B95" w:rsidRPr="00E52B95" w:rsidRDefault="00E52B95" w:rsidP="00E52B95">
      <w:pPr>
        <w:pStyle w:val="ListParagraph"/>
        <w:spacing w:line="360" w:lineRule="auto"/>
        <w:ind w:left="0"/>
        <w:jc w:val="both"/>
        <w:rPr>
          <w:rFonts w:ascii="Times New Roman" w:hAnsi="Times New Roman" w:cs="Times New Roman"/>
          <w:color w:val="000000"/>
          <w:sz w:val="24"/>
          <w:szCs w:val="24"/>
        </w:rPr>
      </w:pPr>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Murugesan, S., Venkateswaran, M. R., Jayabal, S., &amp; Periyasamy, S. (2020). Evaluation of the antioxidant and anti-arthritic potential of </w:t>
      </w:r>
      <w:r w:rsidRPr="00E52B95">
        <w:rPr>
          <w:rFonts w:ascii="Times New Roman" w:hAnsi="Times New Roman" w:cs="Times New Roman"/>
          <w:i/>
          <w:color w:val="000000"/>
          <w:sz w:val="24"/>
          <w:szCs w:val="24"/>
          <w:shd w:val="clear" w:color="auto" w:fill="FFFFFF"/>
        </w:rPr>
        <w:t xml:space="preserve">Zingiber  officinale </w:t>
      </w:r>
      <w:r w:rsidRPr="00E52B95">
        <w:rPr>
          <w:rFonts w:ascii="Times New Roman" w:hAnsi="Times New Roman" w:cs="Times New Roman"/>
          <w:color w:val="000000"/>
          <w:sz w:val="24"/>
          <w:szCs w:val="24"/>
          <w:shd w:val="clear" w:color="auto" w:fill="FFFFFF"/>
        </w:rPr>
        <w:t xml:space="preserve"> Rosc. by in vitro and in silico analysis S. Afr. J. Bot., </w:t>
      </w:r>
      <w:r w:rsidRPr="00E52B95">
        <w:rPr>
          <w:rFonts w:ascii="Times New Roman" w:hAnsi="Times New Roman" w:cs="Times New Roman"/>
          <w:i/>
          <w:iCs/>
          <w:color w:val="000000"/>
          <w:sz w:val="24"/>
          <w:szCs w:val="24"/>
          <w:shd w:val="clear" w:color="auto" w:fill="FFFFFF"/>
        </w:rPr>
        <w:t>130</w:t>
      </w:r>
      <w:r w:rsidRPr="00E52B95">
        <w:rPr>
          <w:rFonts w:ascii="Times New Roman" w:hAnsi="Times New Roman" w:cs="Times New Roman"/>
          <w:color w:val="000000"/>
          <w:sz w:val="24"/>
          <w:szCs w:val="24"/>
          <w:shd w:val="clear" w:color="auto" w:fill="FFFFFF"/>
        </w:rPr>
        <w:t>, 45-53.</w:t>
      </w:r>
    </w:p>
    <w:p w:rsidR="00E52B95" w:rsidRPr="00E52B95" w:rsidRDefault="00E52B95" w:rsidP="00E52B95">
      <w:pPr>
        <w:pStyle w:val="ListParagraph"/>
        <w:spacing w:line="360" w:lineRule="auto"/>
        <w:jc w:val="both"/>
        <w:rPr>
          <w:rFonts w:ascii="Times New Roman" w:hAnsi="Times New Roman" w:cs="Times New Roman"/>
          <w:color w:val="000000"/>
          <w:sz w:val="24"/>
          <w:szCs w:val="24"/>
          <w:shd w:val="clear" w:color="auto" w:fill="FFFFFF"/>
        </w:rPr>
      </w:pPr>
    </w:p>
    <w:p w:rsidR="00E52B95" w:rsidRPr="00E52B95" w:rsidRDefault="00E52B95" w:rsidP="00E52B95">
      <w:pPr>
        <w:pStyle w:val="ListParagraph"/>
        <w:numPr>
          <w:ilvl w:val="0"/>
          <w:numId w:val="1"/>
        </w:numPr>
        <w:spacing w:line="360" w:lineRule="auto"/>
        <w:ind w:left="360"/>
        <w:jc w:val="both"/>
        <w:rPr>
          <w:rStyle w:val="identifie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Dugasani, S., Pichika, M. R., Nadarajah, V. D., Balijepalli, M. K., Tandra, S., &amp; Korlakunta, J. N., 2010. Comparative antioxidant and anti-inflammatory effects of [6]-gingerol,[8]-gingerol,[10]-gingerol and [6]-shogaol.  J. Ethnopharmacol.</w:t>
      </w:r>
      <w:r w:rsidRPr="00E52B95">
        <w:rPr>
          <w:rFonts w:ascii="Times New Roman" w:hAnsi="Times New Roman" w:cs="Times New Roman"/>
          <w:i/>
          <w:iCs/>
          <w:color w:val="000000"/>
          <w:sz w:val="24"/>
          <w:szCs w:val="24"/>
          <w:shd w:val="clear" w:color="auto" w:fill="FFFFFF"/>
        </w:rPr>
        <w:t>, 127</w:t>
      </w:r>
      <w:r w:rsidRPr="00E52B95">
        <w:rPr>
          <w:rFonts w:ascii="Times New Roman" w:hAnsi="Times New Roman" w:cs="Times New Roman"/>
          <w:color w:val="000000"/>
          <w:sz w:val="24"/>
          <w:szCs w:val="24"/>
          <w:shd w:val="clear" w:color="auto" w:fill="FFFFFF"/>
        </w:rPr>
        <w:t>, 515-520.</w:t>
      </w:r>
      <w:r w:rsidRPr="00E52B95">
        <w:rPr>
          <w:rStyle w:val="id-label"/>
          <w:rFonts w:ascii="Times New Roman" w:hAnsi="Times New Roman" w:cs="Times New Roman"/>
          <w:color w:val="000000"/>
          <w:sz w:val="24"/>
          <w:szCs w:val="24"/>
        </w:rPr>
        <w:t xml:space="preserve"> DOI: </w:t>
      </w:r>
      <w:hyperlink r:id="rId72" w:tgtFrame="_blank" w:history="1">
        <w:r w:rsidRPr="00E52B95">
          <w:rPr>
            <w:rStyle w:val="Hyperlink"/>
            <w:rFonts w:ascii="Times New Roman" w:hAnsi="Times New Roman" w:cs="Times New Roman"/>
            <w:color w:val="000000"/>
            <w:sz w:val="24"/>
            <w:szCs w:val="24"/>
            <w:u w:val="none"/>
          </w:rPr>
          <w:t>10.1016/j.jep.2009.10.004</w:t>
        </w:r>
      </w:hyperlink>
    </w:p>
    <w:p w:rsidR="00E52B95" w:rsidRPr="00E52B95" w:rsidRDefault="00E52B95" w:rsidP="00E52B95">
      <w:pPr>
        <w:pStyle w:val="ListParagraph"/>
        <w:spacing w:line="360" w:lineRule="auto"/>
        <w:jc w:val="both"/>
        <w:rPr>
          <w:rFonts w:ascii="Times New Roman" w:hAnsi="Times New Roman" w:cs="Times New Roman"/>
          <w:color w:val="000000"/>
          <w:sz w:val="24"/>
          <w:szCs w:val="24"/>
          <w:shd w:val="clear" w:color="auto" w:fill="FFFFFF"/>
        </w:rPr>
      </w:pPr>
    </w:p>
    <w:p w:rsidR="00E52B95" w:rsidRPr="00E52B95" w:rsidRDefault="00E52B95" w:rsidP="00E52B95">
      <w:pPr>
        <w:pStyle w:val="ListParagraph"/>
        <w:numPr>
          <w:ilvl w:val="0"/>
          <w:numId w:val="1"/>
        </w:numPr>
        <w:spacing w:line="360" w:lineRule="auto"/>
        <w:ind w:left="360"/>
        <w:jc w:val="both"/>
        <w:rPr>
          <w:rStyle w:val="identifie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Panahi, Y., Alishiri, G. H., Parvin, S., &amp; Sahebkar, A., 2016. Mitigation of systemic oxidative stress by curcuminoids in osteoarthritis: results of a randomized controlled trial. </w:t>
      </w:r>
      <w:r w:rsidRPr="001A40BA">
        <w:rPr>
          <w:rStyle w:val="Strong"/>
          <w:rFonts w:ascii="Times New Roman" w:hAnsi="Times New Roman" w:cs="Times New Roman"/>
          <w:b w:val="0"/>
          <w:color w:val="000000"/>
          <w:sz w:val="24"/>
          <w:szCs w:val="24"/>
          <w:shd w:val="clear" w:color="auto" w:fill="FFFFFF"/>
        </w:rPr>
        <w:t>J. Diet. Suppl.</w:t>
      </w:r>
      <w:r w:rsidRPr="001A40BA">
        <w:rPr>
          <w:rFonts w:ascii="Times New Roman" w:hAnsi="Times New Roman" w:cs="Times New Roman"/>
          <w:b/>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13</w:t>
      </w:r>
      <w:r w:rsidRPr="00E52B95">
        <w:rPr>
          <w:rFonts w:ascii="Times New Roman" w:hAnsi="Times New Roman" w:cs="Times New Roman"/>
          <w:color w:val="000000"/>
          <w:sz w:val="24"/>
          <w:szCs w:val="24"/>
          <w:shd w:val="clear" w:color="auto" w:fill="FFFFFF"/>
        </w:rPr>
        <w:t>, 209-220.</w:t>
      </w:r>
      <w:r w:rsidRPr="00E52B95">
        <w:rPr>
          <w:rStyle w:val="id-label"/>
          <w:rFonts w:ascii="Times New Roman" w:hAnsi="Times New Roman" w:cs="Times New Roman"/>
          <w:color w:val="000000"/>
          <w:sz w:val="24"/>
          <w:szCs w:val="24"/>
        </w:rPr>
        <w:t xml:space="preserve"> DOI: </w:t>
      </w:r>
      <w:hyperlink r:id="rId73" w:tgtFrame="_blank" w:history="1">
        <w:r w:rsidRPr="00E52B95">
          <w:rPr>
            <w:rStyle w:val="Hyperlink"/>
            <w:rFonts w:ascii="Times New Roman" w:hAnsi="Times New Roman" w:cs="Times New Roman"/>
            <w:color w:val="000000"/>
            <w:sz w:val="24"/>
            <w:szCs w:val="24"/>
            <w:u w:val="none"/>
          </w:rPr>
          <w:t>10.3109/19390211.2015.1008611</w:t>
        </w:r>
      </w:hyperlink>
    </w:p>
    <w:p w:rsidR="00E52B95" w:rsidRPr="00E52B95" w:rsidRDefault="00E52B95" w:rsidP="00E52B95">
      <w:pPr>
        <w:pStyle w:val="ListParagraph"/>
        <w:spacing w:line="360" w:lineRule="auto"/>
        <w:jc w:val="both"/>
        <w:rPr>
          <w:rFonts w:ascii="Times New Roman" w:hAnsi="Times New Roman" w:cs="Times New Roman"/>
          <w:color w:val="000000"/>
          <w:sz w:val="24"/>
          <w:szCs w:val="24"/>
          <w:shd w:val="clear" w:color="auto" w:fill="FFFFFF"/>
        </w:rPr>
      </w:pPr>
    </w:p>
    <w:p w:rsidR="00E52B95" w:rsidRPr="00E52B95" w:rsidRDefault="00E52B95" w:rsidP="00E52B95">
      <w:pPr>
        <w:pStyle w:val="ListParagraph"/>
        <w:numPr>
          <w:ilvl w:val="0"/>
          <w:numId w:val="1"/>
        </w:numPr>
        <w:spacing w:line="360" w:lineRule="auto"/>
        <w:ind w:left="360"/>
        <w:jc w:val="both"/>
        <w:rPr>
          <w:rStyle w:val="identifie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lastRenderedPageBreak/>
        <w:t>Reddy, P. P., Lavekar, A. G., Babu, K. S., Rao, R. R., Shashidhar, J., Shashikiran, G., &amp; Rao, J. M., 2010. Synthesis, cytotoxic activity and structure–activity relationships of hedychenone analogues. </w:t>
      </w:r>
      <w:r w:rsidRPr="001A40BA">
        <w:rPr>
          <w:rStyle w:val="Strong"/>
          <w:rFonts w:ascii="Times New Roman" w:hAnsi="Times New Roman" w:cs="Times New Roman"/>
          <w:b w:val="0"/>
          <w:color w:val="000000"/>
          <w:sz w:val="24"/>
          <w:szCs w:val="24"/>
        </w:rPr>
        <w:t>J. Diet. Suppl</w:t>
      </w:r>
      <w:r w:rsidRPr="001A40BA">
        <w:rPr>
          <w:rStyle w:val="Strong"/>
          <w:rFonts w:ascii="Times New Roman" w:hAnsi="Times New Roman" w:cs="Times New Roman"/>
          <w:b w:val="0"/>
          <w:color w:val="000000"/>
          <w:sz w:val="24"/>
          <w:szCs w:val="24"/>
          <w:shd w:val="clear" w:color="auto" w:fill="FFFFFF"/>
        </w:rPr>
        <w:t>.</w:t>
      </w:r>
      <w:r w:rsidRPr="001A40BA">
        <w:rPr>
          <w:rFonts w:ascii="Times New Roman" w:hAnsi="Times New Roman" w:cs="Times New Roman"/>
          <w:b/>
          <w:color w:val="000000"/>
          <w:sz w:val="24"/>
          <w:szCs w:val="24"/>
          <w:shd w:val="clear" w:color="auto" w:fill="FFFFFF"/>
        </w:rPr>
        <w:t>,</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20</w:t>
      </w:r>
      <w:r w:rsidRPr="00E52B95">
        <w:rPr>
          <w:rFonts w:ascii="Times New Roman" w:hAnsi="Times New Roman" w:cs="Times New Roman"/>
          <w:color w:val="000000"/>
          <w:sz w:val="24"/>
          <w:szCs w:val="24"/>
          <w:shd w:val="clear" w:color="auto" w:fill="FFFFFF"/>
        </w:rPr>
        <w:t>, 2525-2528.</w:t>
      </w:r>
      <w:r w:rsidRPr="00E52B95">
        <w:rPr>
          <w:rStyle w:val="id-label"/>
          <w:rFonts w:ascii="Times New Roman" w:hAnsi="Times New Roman" w:cs="Times New Roman"/>
          <w:color w:val="000000"/>
          <w:sz w:val="24"/>
          <w:szCs w:val="24"/>
        </w:rPr>
        <w:t xml:space="preserve"> DOI: </w:t>
      </w:r>
      <w:hyperlink r:id="rId74" w:tgtFrame="_blank" w:history="1">
        <w:r w:rsidRPr="00E52B95">
          <w:rPr>
            <w:rStyle w:val="Hyperlink"/>
            <w:rFonts w:ascii="Times New Roman" w:hAnsi="Times New Roman" w:cs="Times New Roman"/>
            <w:color w:val="000000"/>
            <w:sz w:val="24"/>
            <w:szCs w:val="24"/>
            <w:u w:val="none"/>
          </w:rPr>
          <w:t>10.1016/j.bmcl.2010.02.101</w:t>
        </w:r>
      </w:hyperlink>
    </w:p>
    <w:p w:rsidR="00E52B95" w:rsidRPr="00E52B95" w:rsidRDefault="00E52B95" w:rsidP="00E52B95">
      <w:pPr>
        <w:pStyle w:val="ListParagraph"/>
        <w:spacing w:line="360" w:lineRule="auto"/>
        <w:jc w:val="both"/>
        <w:rPr>
          <w:rFonts w:ascii="Times New Roman" w:hAnsi="Times New Roman" w:cs="Times New Roman"/>
          <w:color w:val="000000"/>
          <w:sz w:val="24"/>
          <w:szCs w:val="24"/>
          <w:shd w:val="clear" w:color="auto" w:fill="FFFFFF"/>
        </w:rPr>
      </w:pPr>
    </w:p>
    <w:p w:rsidR="00E52B95" w:rsidRPr="00E52B95" w:rsidRDefault="00E52B95" w:rsidP="00E52B95">
      <w:pPr>
        <w:pStyle w:val="ListParagraph"/>
        <w:numPr>
          <w:ilvl w:val="0"/>
          <w:numId w:val="1"/>
        </w:numPr>
        <w:spacing w:line="360" w:lineRule="auto"/>
        <w:ind w:left="360"/>
        <w:jc w:val="both"/>
        <w:rPr>
          <w:rStyle w:val="identifie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Hwang, S., Jo, M., Hong, J. E., Park, C. O., Lee, C. G., Yun, M., &amp; Rhee, K. J. 2019. Zerumbone suppresses enterotoxigenic Bacteroides fragilis infection-induced colonic inflammation through inhibition of NF-κΒ. </w:t>
      </w:r>
      <w:r w:rsidRPr="001A40BA">
        <w:rPr>
          <w:rStyle w:val="Strong"/>
          <w:rFonts w:ascii="Times New Roman" w:hAnsi="Times New Roman" w:cs="Times New Roman"/>
          <w:b w:val="0"/>
          <w:color w:val="000000"/>
          <w:sz w:val="24"/>
          <w:szCs w:val="24"/>
        </w:rPr>
        <w:t>Int. J. Mol. Sci</w:t>
      </w:r>
      <w:r w:rsidRPr="00E52B95">
        <w:rPr>
          <w:rStyle w:val="Strong"/>
          <w:rFonts w:ascii="Times New Roman" w:hAnsi="Times New Roman" w:cs="Times New Roman"/>
          <w:color w:val="000000"/>
          <w:sz w:val="24"/>
          <w:szCs w:val="24"/>
          <w:shd w:val="clear" w:color="auto" w:fill="FFFFFF"/>
        </w:rPr>
        <w:t>.</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20</w:t>
      </w:r>
      <w:r w:rsidRPr="00E52B95">
        <w:rPr>
          <w:rFonts w:ascii="Times New Roman" w:hAnsi="Times New Roman" w:cs="Times New Roman"/>
          <w:color w:val="000000"/>
          <w:sz w:val="24"/>
          <w:szCs w:val="24"/>
          <w:shd w:val="clear" w:color="auto" w:fill="FFFFFF"/>
        </w:rPr>
        <w:t>, 4560.</w:t>
      </w:r>
      <w:r w:rsidRPr="00E52B95">
        <w:rPr>
          <w:rStyle w:val="id-label"/>
          <w:rFonts w:ascii="Times New Roman" w:hAnsi="Times New Roman" w:cs="Times New Roman"/>
          <w:color w:val="000000"/>
          <w:sz w:val="24"/>
          <w:szCs w:val="24"/>
        </w:rPr>
        <w:t xml:space="preserve"> DOI: </w:t>
      </w:r>
      <w:hyperlink r:id="rId75" w:tgtFrame="_blank" w:history="1">
        <w:r w:rsidRPr="00E52B95">
          <w:rPr>
            <w:rStyle w:val="Hyperlink"/>
            <w:rFonts w:ascii="Times New Roman" w:hAnsi="Times New Roman" w:cs="Times New Roman"/>
            <w:color w:val="000000"/>
            <w:sz w:val="24"/>
            <w:szCs w:val="24"/>
            <w:u w:val="none"/>
          </w:rPr>
          <w:t>10.3390/ijms20184560</w:t>
        </w:r>
      </w:hyperlink>
    </w:p>
    <w:p w:rsidR="00E52B95" w:rsidRPr="00E52B95" w:rsidRDefault="00E52B95" w:rsidP="00E52B95">
      <w:pPr>
        <w:pStyle w:val="ListParagraph"/>
        <w:spacing w:line="360" w:lineRule="auto"/>
        <w:jc w:val="both"/>
        <w:rPr>
          <w:rFonts w:ascii="Times New Roman" w:hAnsi="Times New Roman" w:cs="Times New Roman"/>
          <w:color w:val="000000"/>
          <w:sz w:val="24"/>
          <w:szCs w:val="24"/>
          <w:shd w:val="clear" w:color="auto" w:fill="FFFFFF"/>
        </w:rPr>
      </w:pPr>
    </w:p>
    <w:p w:rsidR="00E52B95" w:rsidRPr="00E52B95" w:rsidRDefault="00E52B95" w:rsidP="00E52B95">
      <w:pPr>
        <w:pStyle w:val="ListParagraph"/>
        <w:numPr>
          <w:ilvl w:val="0"/>
          <w:numId w:val="1"/>
        </w:numPr>
        <w:spacing w:line="360" w:lineRule="auto"/>
        <w:ind w:left="360"/>
        <w:jc w:val="both"/>
        <w:rPr>
          <w:rStyle w:val="identifie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Jegannathan, S. D., Arul, S., &amp; Dayalan, H. 2016. Zerumbone, a sesquiterpene, controls proliferation and induces cell cycle arrest in human laryngeal carcinoma cell line Hep-2.</w:t>
      </w:r>
      <w:r w:rsidRPr="001A40BA">
        <w:rPr>
          <w:rFonts w:ascii="Times New Roman" w:hAnsi="Times New Roman" w:cs="Times New Roman"/>
          <w:b/>
          <w:color w:val="000000"/>
          <w:sz w:val="24"/>
          <w:szCs w:val="24"/>
          <w:shd w:val="clear" w:color="auto" w:fill="FFFFFF"/>
        </w:rPr>
        <w:t> </w:t>
      </w:r>
      <w:r w:rsidRPr="001A40BA">
        <w:rPr>
          <w:rStyle w:val="Strong"/>
          <w:rFonts w:ascii="Times New Roman" w:hAnsi="Times New Roman" w:cs="Times New Roman"/>
          <w:b w:val="0"/>
          <w:color w:val="000000"/>
          <w:sz w:val="24"/>
          <w:szCs w:val="24"/>
          <w:shd w:val="clear" w:color="auto" w:fill="FFFFFF"/>
        </w:rPr>
        <w:t>Nutr. Cancer</w:t>
      </w:r>
      <w:r w:rsidRPr="001A40BA">
        <w:rPr>
          <w:rFonts w:ascii="Times New Roman" w:hAnsi="Times New Roman" w:cs="Times New Roman"/>
          <w:b/>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68</w:t>
      </w:r>
      <w:r w:rsidRPr="00E52B95">
        <w:rPr>
          <w:rFonts w:ascii="Times New Roman" w:hAnsi="Times New Roman" w:cs="Times New Roman"/>
          <w:color w:val="000000"/>
          <w:sz w:val="24"/>
          <w:szCs w:val="24"/>
          <w:shd w:val="clear" w:color="auto" w:fill="FFFFFF"/>
        </w:rPr>
        <w:t>, 865-872.</w:t>
      </w:r>
      <w:r w:rsidRPr="00E52B95">
        <w:rPr>
          <w:rFonts w:ascii="Times New Roman" w:hAnsi="Times New Roman" w:cs="Times New Roman"/>
          <w:color w:val="000000"/>
          <w:sz w:val="24"/>
          <w:szCs w:val="24"/>
        </w:rPr>
        <w:t xml:space="preserve">  </w:t>
      </w:r>
      <w:r w:rsidRPr="00E52B95">
        <w:rPr>
          <w:rStyle w:val="id-label"/>
          <w:rFonts w:ascii="Times New Roman" w:hAnsi="Times New Roman" w:cs="Times New Roman"/>
          <w:color w:val="000000"/>
          <w:sz w:val="24"/>
          <w:szCs w:val="24"/>
        </w:rPr>
        <w:t>DOI: </w:t>
      </w:r>
      <w:hyperlink r:id="rId76" w:tgtFrame="_blank" w:history="1">
        <w:r w:rsidRPr="00E52B95">
          <w:rPr>
            <w:rStyle w:val="Hyperlink"/>
            <w:rFonts w:ascii="Times New Roman" w:hAnsi="Times New Roman" w:cs="Times New Roman"/>
            <w:color w:val="000000"/>
            <w:sz w:val="24"/>
            <w:szCs w:val="24"/>
            <w:u w:val="none"/>
          </w:rPr>
          <w:t>10.1080/01635581.2016.1159701</w:t>
        </w:r>
      </w:hyperlink>
    </w:p>
    <w:p w:rsidR="00E52B95" w:rsidRPr="00E52B95" w:rsidRDefault="00E52B95" w:rsidP="00E52B95">
      <w:pPr>
        <w:pStyle w:val="ListParagraph"/>
        <w:spacing w:line="360" w:lineRule="auto"/>
        <w:jc w:val="both"/>
        <w:rPr>
          <w:rFonts w:ascii="Times New Roman" w:hAnsi="Times New Roman" w:cs="Times New Roman"/>
          <w:color w:val="000000"/>
          <w:sz w:val="24"/>
          <w:szCs w:val="24"/>
          <w:shd w:val="clear" w:color="auto" w:fill="FFFFFF"/>
        </w:rPr>
      </w:pPr>
    </w:p>
    <w:p w:rsidR="00E52B95" w:rsidRPr="00E52B95" w:rsidRDefault="00E52B95" w:rsidP="00E52B95">
      <w:pPr>
        <w:pStyle w:val="ListParagraph"/>
        <w:numPr>
          <w:ilvl w:val="0"/>
          <w:numId w:val="1"/>
        </w:numPr>
        <w:spacing w:line="360" w:lineRule="auto"/>
        <w:ind w:left="360"/>
        <w:jc w:val="both"/>
        <w:rPr>
          <w:rStyle w:val="identifie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Jana, N. R., Dikshit, P., Goswami, A., &amp; Nukina, N., 2004. Inhibition of proteasomal function by curcumin induces apoptosis through mitochondrial pathway. J. Biol. Chem., </w:t>
      </w:r>
      <w:r w:rsidRPr="00E52B95">
        <w:rPr>
          <w:rFonts w:ascii="Times New Roman" w:hAnsi="Times New Roman" w:cs="Times New Roman"/>
          <w:i/>
          <w:iCs/>
          <w:color w:val="000000"/>
          <w:sz w:val="24"/>
          <w:szCs w:val="24"/>
          <w:shd w:val="clear" w:color="auto" w:fill="FFFFFF"/>
        </w:rPr>
        <w:t>279</w:t>
      </w:r>
      <w:r w:rsidRPr="00E52B95">
        <w:rPr>
          <w:rFonts w:ascii="Times New Roman" w:hAnsi="Times New Roman" w:cs="Times New Roman"/>
          <w:color w:val="000000"/>
          <w:sz w:val="24"/>
          <w:szCs w:val="24"/>
          <w:shd w:val="clear" w:color="auto" w:fill="FFFFFF"/>
        </w:rPr>
        <w:t>, 11680-11685.</w:t>
      </w:r>
      <w:r w:rsidRPr="00E52B95">
        <w:rPr>
          <w:rFonts w:ascii="Times New Roman" w:hAnsi="Times New Roman" w:cs="Times New Roman"/>
          <w:color w:val="000000"/>
          <w:sz w:val="24"/>
          <w:szCs w:val="24"/>
        </w:rPr>
        <w:t xml:space="preserve">  </w:t>
      </w:r>
      <w:r w:rsidRPr="00E52B95">
        <w:rPr>
          <w:rStyle w:val="id-label"/>
          <w:rFonts w:ascii="Times New Roman" w:hAnsi="Times New Roman" w:cs="Times New Roman"/>
          <w:color w:val="000000"/>
          <w:sz w:val="24"/>
          <w:szCs w:val="24"/>
        </w:rPr>
        <w:t>DOI: </w:t>
      </w:r>
      <w:hyperlink r:id="rId77" w:tgtFrame="_blank" w:history="1">
        <w:r w:rsidRPr="00E52B95">
          <w:rPr>
            <w:rStyle w:val="Hyperlink"/>
            <w:rFonts w:ascii="Times New Roman" w:hAnsi="Times New Roman" w:cs="Times New Roman"/>
            <w:color w:val="000000"/>
            <w:sz w:val="24"/>
            <w:szCs w:val="24"/>
            <w:u w:val="none"/>
          </w:rPr>
          <w:t>10.1074/jbc.M310369200</w:t>
        </w:r>
      </w:hyperlink>
    </w:p>
    <w:p w:rsidR="00E52B95" w:rsidRPr="00E52B95" w:rsidRDefault="00E52B95" w:rsidP="00E52B95">
      <w:pPr>
        <w:pStyle w:val="ListParagraph"/>
        <w:spacing w:line="360" w:lineRule="auto"/>
        <w:jc w:val="both"/>
        <w:rPr>
          <w:rFonts w:ascii="Times New Roman" w:hAnsi="Times New Roman" w:cs="Times New Roman"/>
          <w:color w:val="000000"/>
          <w:sz w:val="24"/>
          <w:szCs w:val="24"/>
          <w:shd w:val="clear" w:color="auto" w:fill="FFFFFF"/>
        </w:rPr>
      </w:pPr>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Kakegawa, T., Takase, S., Masubuchi, E., &amp; Yasukawa, K. ,2014. Diarylheptanoids from </w:t>
      </w:r>
      <w:r w:rsidRPr="00E52B95">
        <w:rPr>
          <w:rFonts w:ascii="Times New Roman" w:hAnsi="Times New Roman" w:cs="Times New Roman"/>
          <w:i/>
          <w:color w:val="000000"/>
          <w:sz w:val="24"/>
          <w:szCs w:val="24"/>
          <w:shd w:val="clear" w:color="auto" w:fill="FFFFFF"/>
        </w:rPr>
        <w:t>Alpiniaofficinarum</w:t>
      </w:r>
      <w:r w:rsidRPr="00E52B95">
        <w:rPr>
          <w:rFonts w:ascii="Times New Roman" w:hAnsi="Times New Roman" w:cs="Times New Roman"/>
          <w:color w:val="000000"/>
          <w:sz w:val="24"/>
          <w:szCs w:val="24"/>
          <w:shd w:val="clear" w:color="auto" w:fill="FFFFFF"/>
        </w:rPr>
        <w:t xml:space="preserve"> cause distinct but overlapping effects on the translatome of B lymphoblastoid cellsEvid. Based Complement. Alternat. Med., 204797.</w:t>
      </w:r>
      <w:r w:rsidRPr="00E52B95">
        <w:rPr>
          <w:rStyle w:val="id-label"/>
          <w:rFonts w:ascii="Times New Roman" w:hAnsi="Times New Roman" w:cs="Times New Roman"/>
          <w:color w:val="000000"/>
          <w:sz w:val="24"/>
          <w:szCs w:val="24"/>
        </w:rPr>
        <w:t xml:space="preserve"> DOI: </w:t>
      </w:r>
      <w:hyperlink r:id="rId78" w:tgtFrame="_blank" w:history="1">
        <w:r w:rsidRPr="00E52B95">
          <w:rPr>
            <w:rStyle w:val="Hyperlink"/>
            <w:rFonts w:ascii="Times New Roman" w:hAnsi="Times New Roman" w:cs="Times New Roman"/>
            <w:color w:val="000000"/>
            <w:sz w:val="24"/>
            <w:szCs w:val="24"/>
            <w:u w:val="none"/>
          </w:rPr>
          <w:t>10.1155/2014/204797</w:t>
        </w:r>
      </w:hyperlink>
    </w:p>
    <w:p w:rsidR="00E52B95" w:rsidRPr="00E52B95" w:rsidRDefault="00E52B95" w:rsidP="00E52B95">
      <w:pPr>
        <w:pStyle w:val="ListParagraph"/>
        <w:spacing w:line="360" w:lineRule="auto"/>
        <w:jc w:val="both"/>
        <w:rPr>
          <w:rFonts w:ascii="Times New Roman" w:hAnsi="Times New Roman" w:cs="Times New Roman"/>
          <w:color w:val="000000"/>
          <w:sz w:val="24"/>
          <w:szCs w:val="24"/>
          <w:shd w:val="clear" w:color="auto" w:fill="FFFFFF"/>
        </w:rPr>
      </w:pPr>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Zhang, W. J., Luo, J. G., &amp; Kong, L. Y., 2016. The genus </w:t>
      </w:r>
      <w:r w:rsidRPr="00E52B95">
        <w:rPr>
          <w:rFonts w:ascii="Times New Roman" w:hAnsi="Times New Roman" w:cs="Times New Roman"/>
          <w:i/>
          <w:color w:val="000000"/>
          <w:sz w:val="24"/>
          <w:szCs w:val="24"/>
          <w:shd w:val="clear" w:color="auto" w:fill="FFFFFF"/>
        </w:rPr>
        <w:t>Alpinia</w:t>
      </w:r>
      <w:r w:rsidRPr="00E52B95">
        <w:rPr>
          <w:rFonts w:ascii="Times New Roman" w:hAnsi="Times New Roman" w:cs="Times New Roman"/>
          <w:color w:val="000000"/>
          <w:sz w:val="24"/>
          <w:szCs w:val="24"/>
          <w:shd w:val="clear" w:color="auto" w:fill="FFFFFF"/>
        </w:rPr>
        <w:t>: a review of its phytochemistry and pharmacology. </w:t>
      </w:r>
      <w:hyperlink r:id="rId79" w:history="1">
        <w:r w:rsidRPr="00E52B95">
          <w:rPr>
            <w:rStyle w:val="Hyperlink"/>
            <w:rFonts w:ascii="Times New Roman" w:hAnsi="Times New Roman" w:cs="Times New Roman"/>
            <w:bCs/>
            <w:color w:val="000000"/>
            <w:sz w:val="24"/>
            <w:szCs w:val="24"/>
            <w:u w:val="none"/>
          </w:rPr>
          <w:t>World J Tradit Chin Med</w:t>
        </w:r>
      </w:hyperlink>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2</w:t>
      </w:r>
      <w:r w:rsidRPr="00E52B95">
        <w:rPr>
          <w:rFonts w:ascii="Times New Roman" w:hAnsi="Times New Roman" w:cs="Times New Roman"/>
          <w:color w:val="000000"/>
          <w:sz w:val="24"/>
          <w:szCs w:val="24"/>
          <w:shd w:val="clear" w:color="auto" w:fill="FFFFFF"/>
        </w:rPr>
        <w:t>, 26-41.</w:t>
      </w:r>
      <w:r w:rsidRPr="00E52B95">
        <w:rPr>
          <w:rFonts w:ascii="Times New Roman" w:hAnsi="Times New Roman" w:cs="Times New Roman"/>
          <w:color w:val="000000"/>
          <w:sz w:val="24"/>
          <w:szCs w:val="24"/>
        </w:rPr>
        <w:t xml:space="preserve"> </w:t>
      </w:r>
      <w:r w:rsidRPr="00E52B95">
        <w:rPr>
          <w:rFonts w:ascii="Times New Roman" w:hAnsi="Times New Roman" w:cs="Times New Roman"/>
          <w:color w:val="000000"/>
          <w:sz w:val="24"/>
          <w:szCs w:val="24"/>
          <w:shd w:val="clear" w:color="auto" w:fill="FFFFFF"/>
        </w:rPr>
        <w:t>DOI: 10.15806/j.issn.2311-8571.2015.0026</w:t>
      </w:r>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Hartati, R., Suganda, A. G., &amp; Fidrianny, I., 2014. Botanical, phytochemical and pharmacological properties of </w:t>
      </w:r>
      <w:r w:rsidRPr="00E52B95">
        <w:rPr>
          <w:rFonts w:ascii="Times New Roman" w:hAnsi="Times New Roman" w:cs="Times New Roman"/>
          <w:i/>
          <w:color w:val="000000"/>
          <w:sz w:val="24"/>
          <w:szCs w:val="24"/>
          <w:shd w:val="clear" w:color="auto" w:fill="FFFFFF"/>
        </w:rPr>
        <w:t>Hedychium (Zingiberaceae</w:t>
      </w:r>
      <w:r w:rsidRPr="00E52B95">
        <w:rPr>
          <w:rFonts w:ascii="Times New Roman" w:hAnsi="Times New Roman" w:cs="Times New Roman"/>
          <w:color w:val="000000"/>
          <w:sz w:val="24"/>
          <w:szCs w:val="24"/>
          <w:shd w:val="clear" w:color="auto" w:fill="FFFFFF"/>
        </w:rPr>
        <w:t>)–A review.  </w:t>
      </w:r>
      <w:r w:rsidRPr="00E52B95">
        <w:rPr>
          <w:rStyle w:val="Strong"/>
          <w:rFonts w:ascii="Times New Roman" w:hAnsi="Times New Roman" w:cs="Times New Roman"/>
          <w:b w:val="0"/>
          <w:color w:val="000000"/>
          <w:sz w:val="24"/>
          <w:szCs w:val="24"/>
          <w:shd w:val="clear" w:color="auto" w:fill="FFFFFF"/>
        </w:rPr>
        <w:t>Procedia Chem.</w:t>
      </w:r>
      <w:r w:rsidRPr="00E52B95">
        <w:rPr>
          <w:rFonts w:ascii="Times New Roman" w:hAnsi="Times New Roman" w:cs="Times New Roman"/>
          <w:b/>
          <w:color w:val="000000"/>
          <w:sz w:val="24"/>
          <w:szCs w:val="24"/>
          <w:shd w:val="clear" w:color="auto" w:fill="FFFFFF"/>
        </w:rPr>
        <w:t>, </w:t>
      </w:r>
      <w:r w:rsidRPr="00E52B95">
        <w:rPr>
          <w:rFonts w:ascii="Times New Roman" w:hAnsi="Times New Roman" w:cs="Times New Roman"/>
          <w:b/>
          <w:i/>
          <w:iCs/>
          <w:color w:val="000000"/>
          <w:sz w:val="24"/>
          <w:szCs w:val="24"/>
          <w:shd w:val="clear" w:color="auto" w:fill="FFFFFF"/>
        </w:rPr>
        <w:t>1</w:t>
      </w:r>
      <w:r w:rsidRPr="00E52B95">
        <w:rPr>
          <w:rFonts w:ascii="Times New Roman" w:hAnsi="Times New Roman" w:cs="Times New Roman"/>
          <w:i/>
          <w:iCs/>
          <w:color w:val="000000"/>
          <w:sz w:val="24"/>
          <w:szCs w:val="24"/>
          <w:shd w:val="clear" w:color="auto" w:fill="FFFFFF"/>
        </w:rPr>
        <w:t>3</w:t>
      </w:r>
      <w:r w:rsidRPr="00E52B95">
        <w:rPr>
          <w:rFonts w:ascii="Times New Roman" w:hAnsi="Times New Roman" w:cs="Times New Roman"/>
          <w:color w:val="000000"/>
          <w:sz w:val="24"/>
          <w:szCs w:val="24"/>
          <w:shd w:val="clear" w:color="auto" w:fill="FFFFFF"/>
        </w:rPr>
        <w:t>, 150-163.</w:t>
      </w:r>
      <w:r w:rsidRPr="00E52B95">
        <w:rPr>
          <w:rFonts w:ascii="Times New Roman" w:hAnsi="Times New Roman" w:cs="Times New Roman"/>
          <w:color w:val="000000"/>
          <w:sz w:val="24"/>
          <w:szCs w:val="24"/>
        </w:rPr>
        <w:t xml:space="preserve"> </w:t>
      </w:r>
      <w:hyperlink r:id="rId80" w:tgtFrame="_blank" w:tooltip="Persistent link using digital object identifier" w:history="1">
        <w:r w:rsidRPr="00E52B95">
          <w:rPr>
            <w:rStyle w:val="anchor-text"/>
            <w:rFonts w:ascii="Times New Roman" w:hAnsi="Times New Roman" w:cs="Times New Roman"/>
            <w:color w:val="000000"/>
            <w:sz w:val="24"/>
            <w:szCs w:val="24"/>
          </w:rPr>
          <w:t>https://doi.org/10.1016/j.proche.2014.12.020</w:t>
        </w:r>
      </w:hyperlink>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Kumar, S., &amp; Kumari, R., 2021. Traditional, Phytochemical and Biological activities of </w:t>
      </w:r>
      <w:r w:rsidRPr="00E52B95">
        <w:rPr>
          <w:rFonts w:ascii="Times New Roman" w:hAnsi="Times New Roman" w:cs="Times New Roman"/>
          <w:i/>
          <w:color w:val="000000"/>
          <w:sz w:val="24"/>
          <w:szCs w:val="24"/>
          <w:shd w:val="clear" w:color="auto" w:fill="FFFFFF"/>
        </w:rPr>
        <w:t>Elettaria cardamomum</w:t>
      </w:r>
      <w:r w:rsidRPr="00E52B95">
        <w:rPr>
          <w:rFonts w:ascii="Times New Roman" w:hAnsi="Times New Roman" w:cs="Times New Roman"/>
          <w:color w:val="000000"/>
          <w:sz w:val="24"/>
          <w:szCs w:val="24"/>
          <w:shd w:val="clear" w:color="auto" w:fill="FFFFFF"/>
        </w:rPr>
        <w:t xml:space="preserve"> (L.) Maton–A review </w:t>
      </w:r>
      <w:r w:rsidRPr="00E52B95">
        <w:rPr>
          <w:rStyle w:val="Strong"/>
          <w:rFonts w:ascii="Times New Roman" w:hAnsi="Times New Roman" w:cs="Times New Roman"/>
          <w:b w:val="0"/>
          <w:color w:val="000000"/>
          <w:sz w:val="24"/>
          <w:szCs w:val="24"/>
        </w:rPr>
        <w:t>Int. J. Pharm. Sci. Res</w:t>
      </w:r>
      <w:r w:rsidRPr="00E52B95">
        <w:rPr>
          <w:rStyle w:val="Strong"/>
          <w:rFonts w:ascii="Times New Roman" w:hAnsi="Times New Roman" w:cs="Times New Roman"/>
          <w:color w:val="000000"/>
          <w:sz w:val="24"/>
          <w:szCs w:val="24"/>
          <w:shd w:val="clear" w:color="auto" w:fill="FFFFFF"/>
        </w:rPr>
        <w:t>.</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12</w:t>
      </w:r>
      <w:r w:rsidRPr="00E52B95">
        <w:rPr>
          <w:rFonts w:ascii="Times New Roman" w:hAnsi="Times New Roman" w:cs="Times New Roman"/>
          <w:color w:val="000000"/>
          <w:sz w:val="24"/>
          <w:szCs w:val="24"/>
          <w:shd w:val="clear" w:color="auto" w:fill="FFFFFF"/>
        </w:rPr>
        <w:t>, 4122.</w:t>
      </w:r>
      <w:r w:rsidRPr="00E52B95">
        <w:rPr>
          <w:rFonts w:ascii="Times New Roman" w:hAnsi="Times New Roman" w:cs="Times New Roman"/>
          <w:color w:val="000000"/>
          <w:sz w:val="24"/>
          <w:szCs w:val="24"/>
        </w:rPr>
        <w:t xml:space="preserve"> DOI:</w:t>
      </w:r>
      <w:r w:rsidRPr="00E52B95">
        <w:rPr>
          <w:rFonts w:ascii="Times New Roman" w:hAnsi="Times New Roman" w:cs="Times New Roman"/>
          <w:color w:val="000000"/>
          <w:sz w:val="24"/>
          <w:szCs w:val="24"/>
          <w:shd w:val="clear" w:color="auto" w:fill="FFFFFF"/>
        </w:rPr>
        <w:t> 10.13040/IJPSR.0975-8232.12(8).4122-31</w:t>
      </w:r>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Krajarng, A., Chulasiri, M., &amp; Watanapokasin, R., 2017. </w:t>
      </w:r>
      <w:r w:rsidRPr="00E52B95">
        <w:rPr>
          <w:rFonts w:ascii="Times New Roman" w:hAnsi="Times New Roman" w:cs="Times New Roman"/>
          <w:i/>
          <w:color w:val="000000"/>
          <w:sz w:val="24"/>
          <w:szCs w:val="24"/>
          <w:shd w:val="clear" w:color="auto" w:fill="FFFFFF"/>
        </w:rPr>
        <w:t>Etlingera elatior</w:t>
      </w:r>
      <w:r w:rsidRPr="00E52B95">
        <w:rPr>
          <w:rFonts w:ascii="Times New Roman" w:hAnsi="Times New Roman" w:cs="Times New Roman"/>
          <w:color w:val="000000"/>
          <w:sz w:val="24"/>
          <w:szCs w:val="24"/>
          <w:shd w:val="clear" w:color="auto" w:fill="FFFFFF"/>
        </w:rPr>
        <w:t xml:space="preserve"> Extract promotes cell death in B16 melanoma cells via down-regulation of ERK and Akt signaling pathways. </w:t>
      </w:r>
      <w:r w:rsidRPr="00E52B95">
        <w:rPr>
          <w:rStyle w:val="Strong"/>
          <w:rFonts w:ascii="Times New Roman" w:hAnsi="Times New Roman" w:cs="Times New Roman"/>
          <w:b w:val="0"/>
          <w:color w:val="000000"/>
          <w:sz w:val="24"/>
          <w:szCs w:val="24"/>
          <w:shd w:val="clear" w:color="auto" w:fill="FFFFFF"/>
        </w:rPr>
        <w:t>BMC Complement. Altern. Med.</w:t>
      </w:r>
      <w:r w:rsidRPr="00E52B95">
        <w:rPr>
          <w:rFonts w:ascii="Times New Roman" w:hAnsi="Times New Roman" w:cs="Times New Roman"/>
          <w:b/>
          <w:color w:val="000000"/>
          <w:sz w:val="24"/>
          <w:szCs w:val="24"/>
          <w:shd w:val="clear" w:color="auto" w:fill="FFFFFF"/>
        </w:rPr>
        <w:t>,</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17</w:t>
      </w:r>
      <w:r w:rsidRPr="00E52B95">
        <w:rPr>
          <w:rFonts w:ascii="Times New Roman" w:hAnsi="Times New Roman" w:cs="Times New Roman"/>
          <w:color w:val="000000"/>
          <w:sz w:val="24"/>
          <w:szCs w:val="24"/>
          <w:shd w:val="clear" w:color="auto" w:fill="FFFFFF"/>
        </w:rPr>
        <w:t>, 1-9.</w:t>
      </w:r>
      <w:r w:rsidRPr="00E52B95">
        <w:rPr>
          <w:rStyle w:val="id-label"/>
          <w:rFonts w:ascii="Times New Roman" w:hAnsi="Times New Roman" w:cs="Times New Roman"/>
          <w:color w:val="000000"/>
          <w:sz w:val="24"/>
          <w:szCs w:val="24"/>
        </w:rPr>
        <w:t xml:space="preserve"> DOI: </w:t>
      </w:r>
      <w:hyperlink r:id="rId81" w:tgtFrame="_blank" w:history="1">
        <w:r w:rsidRPr="00E52B95">
          <w:rPr>
            <w:rStyle w:val="Hyperlink"/>
            <w:rFonts w:ascii="Times New Roman" w:hAnsi="Times New Roman" w:cs="Times New Roman"/>
            <w:color w:val="000000"/>
            <w:sz w:val="24"/>
            <w:szCs w:val="24"/>
            <w:u w:val="none"/>
          </w:rPr>
          <w:t>10.1186/s12906-017-1921-y</w:t>
        </w:r>
      </w:hyperlink>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lastRenderedPageBreak/>
        <w:t xml:space="preserve">Vairappan, C. S., Nagappan, T., &amp; Palaniveloo, K., 2012. Essential oil composition, cytotoxic and antibacterial activities of five </w:t>
      </w:r>
      <w:r w:rsidRPr="00E52B95">
        <w:rPr>
          <w:rFonts w:ascii="Times New Roman" w:hAnsi="Times New Roman" w:cs="Times New Roman"/>
          <w:i/>
          <w:color w:val="000000"/>
          <w:sz w:val="24"/>
          <w:szCs w:val="24"/>
          <w:shd w:val="clear" w:color="auto" w:fill="FFFFFF"/>
        </w:rPr>
        <w:t>Etlingera</w:t>
      </w:r>
      <w:r w:rsidRPr="00E52B95">
        <w:rPr>
          <w:rFonts w:ascii="Times New Roman" w:hAnsi="Times New Roman" w:cs="Times New Roman"/>
          <w:color w:val="000000"/>
          <w:sz w:val="24"/>
          <w:szCs w:val="24"/>
          <w:shd w:val="clear" w:color="auto" w:fill="FFFFFF"/>
        </w:rPr>
        <w:t xml:space="preserve"> species from Borneo</w:t>
      </w:r>
      <w:r w:rsidRPr="00E52B95">
        <w:rPr>
          <w:rFonts w:ascii="Times New Roman" w:hAnsi="Times New Roman" w:cs="Times New Roman"/>
          <w:b/>
          <w:color w:val="000000"/>
          <w:sz w:val="24"/>
          <w:szCs w:val="24"/>
          <w:shd w:val="clear" w:color="auto" w:fill="FFFFFF"/>
        </w:rPr>
        <w:t>. </w:t>
      </w:r>
      <w:r w:rsidRPr="00E52B95">
        <w:rPr>
          <w:rStyle w:val="Strong"/>
          <w:rFonts w:ascii="Times New Roman" w:hAnsi="Times New Roman" w:cs="Times New Roman"/>
          <w:b w:val="0"/>
          <w:color w:val="000000"/>
          <w:sz w:val="24"/>
          <w:szCs w:val="24"/>
        </w:rPr>
        <w:t>Nat. Prod. Commun</w:t>
      </w:r>
      <w:r w:rsidRPr="00E52B95">
        <w:rPr>
          <w:rStyle w:val="Strong"/>
          <w:rFonts w:ascii="Times New Roman" w:hAnsi="Times New Roman" w:cs="Times New Roman"/>
          <w:b w:val="0"/>
          <w:color w:val="000000"/>
          <w:sz w:val="24"/>
          <w:szCs w:val="24"/>
          <w:shd w:val="clear" w:color="auto" w:fill="FFFFFF"/>
        </w:rPr>
        <w:t>.</w:t>
      </w:r>
      <w:r w:rsidRPr="00E52B95">
        <w:rPr>
          <w:rFonts w:ascii="Times New Roman" w:hAnsi="Times New Roman" w:cs="Times New Roman"/>
          <w:b/>
          <w:color w:val="000000"/>
          <w:sz w:val="24"/>
          <w:szCs w:val="24"/>
          <w:shd w:val="clear" w:color="auto" w:fill="FFFFFF"/>
        </w:rPr>
        <w:t>,</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7</w:t>
      </w:r>
      <w:r w:rsidRPr="00E52B95">
        <w:rPr>
          <w:rFonts w:ascii="Times New Roman" w:hAnsi="Times New Roman" w:cs="Times New Roman"/>
          <w:color w:val="000000"/>
          <w:sz w:val="24"/>
          <w:szCs w:val="24"/>
          <w:shd w:val="clear" w:color="auto" w:fill="FFFFFF"/>
        </w:rPr>
        <w:t>, 1934578X1200700233. DOI: </w:t>
      </w:r>
      <w:hyperlink r:id="rId82" w:tgtFrame="_blank" w:history="1">
        <w:r w:rsidRPr="00E52B95">
          <w:rPr>
            <w:rStyle w:val="Hyperlink"/>
            <w:rFonts w:ascii="Times New Roman" w:hAnsi="Times New Roman" w:cs="Times New Roman"/>
            <w:color w:val="000000"/>
            <w:sz w:val="24"/>
            <w:szCs w:val="24"/>
            <w:u w:val="none"/>
            <w:bdr w:val="single" w:sz="2" w:space="0" w:color="D1D1D2" w:frame="1"/>
            <w:shd w:val="clear" w:color="auto" w:fill="FFFFFF"/>
          </w:rPr>
          <w:t>10.1177/1934578X1200700233</w:t>
        </w:r>
      </w:hyperlink>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Sidahmed, H. M. A., Hashim, N. M., Abdulla, M. A., Ali, H. M., Mohan, S., Abdelwahab, S. I., ... &amp; Vadivelu, J., 2015. Antisecretory, gastroprotective, antioxidant and anti-Helicobcter pylori activity of zerumbone from </w:t>
      </w:r>
      <w:r w:rsidRPr="00E52B95">
        <w:rPr>
          <w:rFonts w:ascii="Times New Roman" w:hAnsi="Times New Roman" w:cs="Times New Roman"/>
          <w:i/>
          <w:color w:val="000000"/>
          <w:sz w:val="24"/>
          <w:szCs w:val="24"/>
          <w:shd w:val="clear" w:color="auto" w:fill="FFFFFF"/>
        </w:rPr>
        <w:t>Zingiber  zerumbet</w:t>
      </w:r>
      <w:r w:rsidRPr="00E52B95">
        <w:rPr>
          <w:rFonts w:ascii="Times New Roman" w:hAnsi="Times New Roman" w:cs="Times New Roman"/>
          <w:color w:val="000000"/>
          <w:sz w:val="24"/>
          <w:szCs w:val="24"/>
          <w:shd w:val="clear" w:color="auto" w:fill="FFFFFF"/>
        </w:rPr>
        <w:t xml:space="preserve"> (L.) Smith. </w:t>
      </w:r>
      <w:r w:rsidRPr="00E52B95">
        <w:rPr>
          <w:rFonts w:ascii="Times New Roman" w:hAnsi="Times New Roman" w:cs="Times New Roman"/>
          <w:i/>
          <w:iCs/>
          <w:color w:val="000000"/>
          <w:sz w:val="24"/>
          <w:szCs w:val="24"/>
          <w:shd w:val="clear" w:color="auto" w:fill="FFFFFF"/>
        </w:rPr>
        <w:t>PloS one</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10</w:t>
      </w:r>
      <w:r w:rsidRPr="00E52B95">
        <w:rPr>
          <w:rFonts w:ascii="Times New Roman" w:hAnsi="Times New Roman" w:cs="Times New Roman"/>
          <w:color w:val="000000"/>
          <w:sz w:val="24"/>
          <w:szCs w:val="24"/>
          <w:shd w:val="clear" w:color="auto" w:fill="FFFFFF"/>
        </w:rPr>
        <w:t>, e0121060. doi: 10.1371/journal.pone.0294009</w:t>
      </w:r>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Park, M., Bae, J., &amp; Lee, D. S., 2008. Antibacterial activity of [10]‐gingerol and [12]‐gingerol isolated from ginger rhizome against periodontal bacteria. </w:t>
      </w:r>
      <w:r w:rsidRPr="001A40BA">
        <w:rPr>
          <w:rStyle w:val="Strong"/>
          <w:rFonts w:ascii="Times New Roman" w:hAnsi="Times New Roman" w:cs="Times New Roman"/>
          <w:b w:val="0"/>
          <w:color w:val="000000"/>
          <w:sz w:val="24"/>
          <w:szCs w:val="24"/>
        </w:rPr>
        <w:t>Phytother. Res</w:t>
      </w:r>
      <w:r w:rsidRPr="00E52B95">
        <w:rPr>
          <w:rStyle w:val="Strong"/>
          <w:rFonts w:ascii="Times New Roman" w:hAnsi="Times New Roman" w:cs="Times New Roman"/>
          <w:color w:val="000000"/>
          <w:sz w:val="24"/>
          <w:szCs w:val="24"/>
          <w:shd w:val="clear" w:color="auto" w:fill="FFFFFF"/>
        </w:rPr>
        <w:t>.</w:t>
      </w:r>
      <w:r w:rsidRPr="00E52B95">
        <w:rPr>
          <w:rFonts w:ascii="Times New Roman" w:hAnsi="Times New Roman" w:cs="Times New Roman"/>
          <w:color w:val="000000"/>
          <w:sz w:val="24"/>
          <w:szCs w:val="24"/>
          <w:shd w:val="clear" w:color="auto" w:fill="FFFFFF"/>
        </w:rPr>
        <w:t>.</w:t>
      </w:r>
      <w:r w:rsidRPr="00E52B95">
        <w:rPr>
          <w:rStyle w:val="vkekvd"/>
          <w:rFonts w:ascii="Times New Roman" w:hAnsi="Times New Roman" w:cs="Times New Roman"/>
          <w:color w:val="000000"/>
          <w:sz w:val="24"/>
          <w:szCs w:val="24"/>
          <w:shd w:val="clear" w:color="auto" w:fill="FFFFFF"/>
        </w:rPr>
        <w:t> </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22</w:t>
      </w:r>
      <w:r w:rsidRPr="00E52B95">
        <w:rPr>
          <w:rFonts w:ascii="Times New Roman" w:hAnsi="Times New Roman" w:cs="Times New Roman"/>
          <w:color w:val="000000"/>
          <w:sz w:val="24"/>
          <w:szCs w:val="24"/>
          <w:shd w:val="clear" w:color="auto" w:fill="FFFFFF"/>
        </w:rPr>
        <w:t>, 1446-1449. doi:10.1002/ptr.2473</w:t>
      </w:r>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Kaliyadasa, E., &amp; Samarasinghe, B. A., 2019. A review on golden species of </w:t>
      </w:r>
      <w:r w:rsidRPr="00E52B95">
        <w:rPr>
          <w:rFonts w:ascii="Times New Roman" w:hAnsi="Times New Roman" w:cs="Times New Roman"/>
          <w:i/>
          <w:color w:val="000000"/>
          <w:sz w:val="24"/>
          <w:szCs w:val="24"/>
          <w:shd w:val="clear" w:color="auto" w:fill="FFFFFF"/>
        </w:rPr>
        <w:t xml:space="preserve">Zingiberaceae </w:t>
      </w:r>
      <w:r w:rsidRPr="00E52B95">
        <w:rPr>
          <w:rFonts w:ascii="Times New Roman" w:hAnsi="Times New Roman" w:cs="Times New Roman"/>
          <w:color w:val="000000"/>
          <w:sz w:val="24"/>
          <w:szCs w:val="24"/>
          <w:shd w:val="clear" w:color="auto" w:fill="FFFFFF"/>
        </w:rPr>
        <w:t xml:space="preserve">family around the world: Genus </w:t>
      </w:r>
      <w:r w:rsidRPr="00E52B95">
        <w:rPr>
          <w:rFonts w:ascii="Times New Roman" w:hAnsi="Times New Roman" w:cs="Times New Roman"/>
          <w:i/>
          <w:color w:val="000000"/>
          <w:sz w:val="24"/>
          <w:szCs w:val="24"/>
          <w:shd w:val="clear" w:color="auto" w:fill="FFFFFF"/>
        </w:rPr>
        <w:t>Curcuma</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Afr. J. Agric. Res</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14</w:t>
      </w:r>
      <w:r w:rsidRPr="00E52B95">
        <w:rPr>
          <w:rFonts w:ascii="Times New Roman" w:hAnsi="Times New Roman" w:cs="Times New Roman"/>
          <w:color w:val="000000"/>
          <w:sz w:val="24"/>
          <w:szCs w:val="24"/>
          <w:shd w:val="clear" w:color="auto" w:fill="FFFFFF"/>
        </w:rPr>
        <w:t>, 519-531. DOI: </w:t>
      </w:r>
      <w:hyperlink r:id="rId83" w:tgtFrame="_blank" w:history="1">
        <w:r w:rsidRPr="00E52B95">
          <w:rPr>
            <w:rStyle w:val="Hyperlink"/>
            <w:rFonts w:ascii="Times New Roman" w:hAnsi="Times New Roman" w:cs="Times New Roman"/>
            <w:color w:val="000000"/>
            <w:sz w:val="24"/>
            <w:szCs w:val="24"/>
            <w:u w:val="none"/>
            <w:bdr w:val="single" w:sz="2" w:space="0" w:color="D1D1D2" w:frame="1"/>
            <w:shd w:val="clear" w:color="auto" w:fill="FFFFFF"/>
          </w:rPr>
          <w:t>10.5897/AJAR2018.13755</w:t>
        </w:r>
      </w:hyperlink>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Mao, Q. Q., Xu, X. Y., Cao, S. Y., Gan, R. Y., Corke, H., Beta, T., &amp; Li, H. B., 2019. Bioactive compounds and bioactivities of ginger (</w:t>
      </w:r>
      <w:r w:rsidRPr="00E52B95">
        <w:rPr>
          <w:rFonts w:ascii="Times New Roman" w:hAnsi="Times New Roman" w:cs="Times New Roman"/>
          <w:i/>
          <w:color w:val="000000"/>
          <w:sz w:val="24"/>
          <w:szCs w:val="24"/>
          <w:shd w:val="clear" w:color="auto" w:fill="FFFFFF"/>
        </w:rPr>
        <w:t xml:space="preserve">Zingiber  officinale </w:t>
      </w:r>
      <w:r w:rsidRPr="00E52B95">
        <w:rPr>
          <w:rFonts w:ascii="Times New Roman" w:hAnsi="Times New Roman" w:cs="Times New Roman"/>
          <w:color w:val="000000"/>
          <w:sz w:val="24"/>
          <w:szCs w:val="24"/>
          <w:shd w:val="clear" w:color="auto" w:fill="FFFFFF"/>
        </w:rPr>
        <w:t xml:space="preserve"> Roscoe). </w:t>
      </w:r>
      <w:r w:rsidRPr="00E52B95">
        <w:rPr>
          <w:rFonts w:ascii="Times New Roman" w:hAnsi="Times New Roman" w:cs="Times New Roman"/>
          <w:i/>
          <w:iCs/>
          <w:color w:val="000000"/>
          <w:sz w:val="24"/>
          <w:szCs w:val="24"/>
          <w:shd w:val="clear" w:color="auto" w:fill="FFFFFF"/>
        </w:rPr>
        <w:t>Foods</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8</w:t>
      </w:r>
      <w:r w:rsidRPr="00E52B95">
        <w:rPr>
          <w:rFonts w:ascii="Times New Roman" w:hAnsi="Times New Roman" w:cs="Times New Roman"/>
          <w:color w:val="000000"/>
          <w:sz w:val="24"/>
          <w:szCs w:val="24"/>
          <w:shd w:val="clear" w:color="auto" w:fill="FFFFFF"/>
        </w:rPr>
        <w:t>, 185.</w:t>
      </w:r>
      <w:r w:rsidRPr="00E52B95">
        <w:rPr>
          <w:rStyle w:val="id-label"/>
          <w:rFonts w:ascii="Times New Roman" w:hAnsi="Times New Roman" w:cs="Times New Roman"/>
          <w:color w:val="000000"/>
          <w:sz w:val="24"/>
          <w:szCs w:val="24"/>
        </w:rPr>
        <w:t xml:space="preserve"> DOI: </w:t>
      </w:r>
      <w:hyperlink r:id="rId84" w:tgtFrame="_blank" w:history="1">
        <w:r w:rsidRPr="00E52B95">
          <w:rPr>
            <w:rStyle w:val="Hyperlink"/>
            <w:rFonts w:ascii="Times New Roman" w:hAnsi="Times New Roman" w:cs="Times New Roman"/>
            <w:color w:val="000000"/>
            <w:sz w:val="24"/>
            <w:szCs w:val="24"/>
            <w:u w:val="none"/>
          </w:rPr>
          <w:t>10.3390/foods8060185</w:t>
        </w:r>
      </w:hyperlink>
    </w:p>
    <w:p w:rsidR="00E52B95" w:rsidRPr="00E52B95" w:rsidRDefault="00E52B95" w:rsidP="00E52B95">
      <w:pPr>
        <w:pStyle w:val="ListParagraph"/>
        <w:spacing w:after="160" w:line="360" w:lineRule="auto"/>
        <w:ind w:left="360"/>
        <w:jc w:val="both"/>
        <w:rPr>
          <w:rFonts w:ascii="Times New Roman" w:hAnsi="Times New Roman" w:cs="Times New Roman"/>
          <w:color w:val="000000"/>
          <w:sz w:val="24"/>
          <w:szCs w:val="24"/>
          <w:shd w:val="clear" w:color="auto" w:fill="FFFFFF"/>
        </w:rPr>
      </w:pPr>
    </w:p>
    <w:p w:rsidR="00E52B95" w:rsidRPr="00E52B95" w:rsidRDefault="002668C1" w:rsidP="00E52B95">
      <w:pPr>
        <w:pStyle w:val="ListParagraph"/>
        <w:numPr>
          <w:ilvl w:val="0"/>
          <w:numId w:val="1"/>
        </w:numPr>
        <w:spacing w:after="160" w:line="360" w:lineRule="auto"/>
        <w:ind w:left="360"/>
        <w:jc w:val="both"/>
        <w:rPr>
          <w:rFonts w:ascii="Times New Roman" w:hAnsi="Times New Roman" w:cs="Times New Roman"/>
          <w:color w:val="000000"/>
          <w:sz w:val="24"/>
          <w:szCs w:val="24"/>
          <w:shd w:val="clear" w:color="auto" w:fill="FFFFFF"/>
        </w:rPr>
      </w:pPr>
      <w:hyperlink r:id="rId85" w:history="1">
        <w:r w:rsidR="00E52B95" w:rsidRPr="00E52B95">
          <w:rPr>
            <w:rStyle w:val="Hyperlink"/>
            <w:rFonts w:ascii="Times New Roman" w:hAnsi="Times New Roman" w:cs="Times New Roman"/>
            <w:color w:val="000000"/>
            <w:sz w:val="24"/>
            <w:szCs w:val="24"/>
            <w:u w:val="none"/>
          </w:rPr>
          <w:t>https://www.thebusinessresearchcompany.com/report/ginger-global-market-report</w:t>
        </w:r>
      </w:hyperlink>
      <w:r w:rsidR="00E52B95" w:rsidRPr="00E52B95">
        <w:rPr>
          <w:rFonts w:ascii="Times New Roman" w:hAnsi="Times New Roman" w:cs="Times New Roman"/>
          <w:color w:val="000000"/>
          <w:sz w:val="24"/>
          <w:szCs w:val="24"/>
        </w:rPr>
        <w:t>.</w:t>
      </w:r>
    </w:p>
    <w:p w:rsidR="00E52B95" w:rsidRPr="00E52B95" w:rsidRDefault="00E52B95" w:rsidP="00E52B95">
      <w:pPr>
        <w:pStyle w:val="ListParagraph"/>
        <w:spacing w:line="360" w:lineRule="auto"/>
        <w:jc w:val="both"/>
        <w:rPr>
          <w:rFonts w:ascii="Times New Roman" w:hAnsi="Times New Roman" w:cs="Times New Roman"/>
          <w:color w:val="000000"/>
          <w:sz w:val="24"/>
          <w:szCs w:val="24"/>
          <w:shd w:val="clear" w:color="auto" w:fill="FFFFFF"/>
        </w:rPr>
      </w:pPr>
    </w:p>
    <w:p w:rsidR="00E52B95" w:rsidRPr="00E52B95" w:rsidRDefault="00E52B95" w:rsidP="00E52B95">
      <w:pPr>
        <w:pStyle w:val="ListParagraph"/>
        <w:numPr>
          <w:ilvl w:val="0"/>
          <w:numId w:val="1"/>
        </w:numPr>
        <w:spacing w:after="16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Hewlings, S. J., &amp; Kalman, D. S., 2017. Curcumin: A review of its effects on human health. </w:t>
      </w:r>
      <w:r w:rsidRPr="00E52B95">
        <w:rPr>
          <w:rFonts w:ascii="Times New Roman" w:hAnsi="Times New Roman" w:cs="Times New Roman"/>
          <w:i/>
          <w:iCs/>
          <w:color w:val="000000"/>
          <w:sz w:val="24"/>
          <w:szCs w:val="24"/>
          <w:shd w:val="clear" w:color="auto" w:fill="FFFFFF"/>
        </w:rPr>
        <w:t>Foods</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6</w:t>
      </w:r>
      <w:r w:rsidRPr="00E52B95">
        <w:rPr>
          <w:rFonts w:ascii="Times New Roman" w:hAnsi="Times New Roman" w:cs="Times New Roman"/>
          <w:color w:val="000000"/>
          <w:sz w:val="24"/>
          <w:szCs w:val="24"/>
          <w:shd w:val="clear" w:color="auto" w:fill="FFFFFF"/>
        </w:rPr>
        <w:t>, 92.</w:t>
      </w:r>
      <w:r w:rsidRPr="00E52B95">
        <w:rPr>
          <w:rFonts w:ascii="Times New Roman" w:hAnsi="Times New Roman" w:cs="Times New Roman"/>
          <w:color w:val="000000"/>
          <w:sz w:val="24"/>
          <w:szCs w:val="24"/>
        </w:rPr>
        <w:t xml:space="preserve">  </w:t>
      </w:r>
      <w:r w:rsidRPr="00E52B95">
        <w:rPr>
          <w:rStyle w:val="id-label"/>
          <w:rFonts w:ascii="Times New Roman" w:hAnsi="Times New Roman" w:cs="Times New Roman"/>
          <w:color w:val="000000"/>
          <w:sz w:val="24"/>
          <w:szCs w:val="24"/>
        </w:rPr>
        <w:t>DOI: </w:t>
      </w:r>
      <w:hyperlink r:id="rId86" w:tgtFrame="_blank" w:history="1">
        <w:r w:rsidRPr="00E52B95">
          <w:rPr>
            <w:rStyle w:val="Hyperlink"/>
            <w:rFonts w:ascii="Times New Roman" w:hAnsi="Times New Roman" w:cs="Times New Roman"/>
            <w:color w:val="000000"/>
            <w:sz w:val="24"/>
            <w:szCs w:val="24"/>
            <w:u w:val="none"/>
          </w:rPr>
          <w:t>10.3390/foods6100092</w:t>
        </w:r>
      </w:hyperlink>
    </w:p>
    <w:p w:rsidR="00E52B95" w:rsidRPr="00E52B95" w:rsidRDefault="00E52B95" w:rsidP="00E52B95">
      <w:pPr>
        <w:pStyle w:val="ListParagraph"/>
        <w:spacing w:after="160" w:line="360" w:lineRule="auto"/>
        <w:ind w:left="360"/>
        <w:jc w:val="both"/>
        <w:rPr>
          <w:rFonts w:ascii="Times New Roman" w:hAnsi="Times New Roman" w:cs="Times New Roman"/>
          <w:color w:val="000000"/>
          <w:sz w:val="24"/>
          <w:szCs w:val="24"/>
          <w:shd w:val="clear" w:color="auto" w:fill="FFFFFF"/>
        </w:rPr>
      </w:pPr>
    </w:p>
    <w:p w:rsidR="00E52B95" w:rsidRPr="00E52B95" w:rsidRDefault="002668C1" w:rsidP="00E52B95">
      <w:pPr>
        <w:pStyle w:val="ListParagraph"/>
        <w:numPr>
          <w:ilvl w:val="0"/>
          <w:numId w:val="1"/>
        </w:numPr>
        <w:spacing w:after="160" w:line="360" w:lineRule="auto"/>
        <w:ind w:left="360"/>
        <w:jc w:val="both"/>
        <w:rPr>
          <w:rFonts w:ascii="Times New Roman" w:hAnsi="Times New Roman" w:cs="Times New Roman"/>
          <w:color w:val="000000"/>
          <w:sz w:val="24"/>
          <w:szCs w:val="24"/>
        </w:rPr>
      </w:pPr>
      <w:hyperlink r:id="rId87" w:history="1">
        <w:r w:rsidR="00E52B95" w:rsidRPr="00E52B95">
          <w:rPr>
            <w:rStyle w:val="Hyperlink"/>
            <w:rFonts w:ascii="Times New Roman" w:hAnsi="Times New Roman" w:cs="Times New Roman"/>
            <w:color w:val="000000"/>
            <w:sz w:val="24"/>
            <w:szCs w:val="24"/>
            <w:u w:val="none"/>
          </w:rPr>
          <w:t>https://www.mordorintelligence.com/industry-reports/turmeric-market</w:t>
        </w:r>
      </w:hyperlink>
    </w:p>
    <w:p w:rsidR="00E52B95" w:rsidRPr="00E52B95" w:rsidRDefault="00E52B95" w:rsidP="00E52B95">
      <w:pPr>
        <w:pStyle w:val="ListParagraph"/>
        <w:numPr>
          <w:ilvl w:val="0"/>
          <w:numId w:val="1"/>
        </w:numPr>
        <w:spacing w:after="160" w:line="360" w:lineRule="auto"/>
        <w:ind w:left="360"/>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Sengupta, Archana &amp; Bhattacharjee, Shamee., 2009. Cardamom </w:t>
      </w:r>
      <w:r w:rsidRPr="00E52B95">
        <w:rPr>
          <w:rFonts w:ascii="Times New Roman" w:hAnsi="Times New Roman" w:cs="Times New Roman"/>
          <w:i/>
          <w:iCs/>
          <w:color w:val="000000"/>
          <w:sz w:val="24"/>
          <w:szCs w:val="24"/>
        </w:rPr>
        <w:t>(Elettaria cardamomum</w:t>
      </w:r>
      <w:r w:rsidRPr="00E52B95">
        <w:rPr>
          <w:rFonts w:ascii="Times New Roman" w:hAnsi="Times New Roman" w:cs="Times New Roman"/>
          <w:color w:val="000000"/>
          <w:sz w:val="24"/>
          <w:szCs w:val="24"/>
        </w:rPr>
        <w:t xml:space="preserve"> ) and Its Active Constituent, I,8-cineole. 10.1142/9789812837912_0003. </w:t>
      </w:r>
      <w:hyperlink r:id="rId88" w:history="1">
        <w:r w:rsidRPr="00E52B95">
          <w:rPr>
            <w:rStyle w:val="Hyperlink"/>
            <w:rFonts w:ascii="Times New Roman" w:hAnsi="Times New Roman" w:cs="Times New Roman"/>
            <w:color w:val="000000"/>
            <w:sz w:val="24"/>
            <w:szCs w:val="24"/>
            <w:u w:val="none"/>
            <w:shd w:val="clear" w:color="auto" w:fill="FFFFFF"/>
          </w:rPr>
          <w:t>https://doi.org/10.1142/9789812837912_0003</w:t>
        </w:r>
      </w:hyperlink>
    </w:p>
    <w:p w:rsidR="00E52B95" w:rsidRPr="00E52B95" w:rsidRDefault="002668C1" w:rsidP="00E52B95">
      <w:pPr>
        <w:pStyle w:val="ListParagraph"/>
        <w:numPr>
          <w:ilvl w:val="0"/>
          <w:numId w:val="1"/>
        </w:numPr>
        <w:spacing w:after="160" w:line="360" w:lineRule="auto"/>
        <w:ind w:left="360"/>
        <w:jc w:val="both"/>
        <w:rPr>
          <w:rFonts w:ascii="Times New Roman" w:hAnsi="Times New Roman" w:cs="Times New Roman"/>
          <w:color w:val="000000"/>
          <w:sz w:val="24"/>
          <w:szCs w:val="24"/>
        </w:rPr>
      </w:pPr>
      <w:hyperlink r:id="rId89" w:history="1">
        <w:r w:rsidR="00E52B95" w:rsidRPr="00E52B95">
          <w:rPr>
            <w:rStyle w:val="Hyperlink"/>
            <w:rFonts w:ascii="Times New Roman" w:hAnsi="Times New Roman" w:cs="Times New Roman"/>
            <w:color w:val="000000"/>
            <w:sz w:val="24"/>
            <w:szCs w:val="24"/>
            <w:u w:val="none"/>
          </w:rPr>
          <w:t>https://www.metastatinsight.com/press-details/cardamom-market</w:t>
        </w:r>
      </w:hyperlink>
    </w:p>
    <w:p w:rsidR="00E52B95" w:rsidRPr="00E52B95" w:rsidRDefault="00E52B95" w:rsidP="00E52B95">
      <w:pPr>
        <w:pStyle w:val="ListParagraph"/>
        <w:numPr>
          <w:ilvl w:val="0"/>
          <w:numId w:val="1"/>
        </w:numPr>
        <w:spacing w:after="160" w:line="360" w:lineRule="auto"/>
        <w:ind w:left="360"/>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Lim, T.K., 2012. Edible Medicinal and Non-Medicinal Plants. Springer, the Netherlands, 371-380.http://dx.doi.org/10.1007/978-94-007-4053-2_45</w:t>
      </w:r>
    </w:p>
    <w:p w:rsidR="00E52B95" w:rsidRPr="00E52B95" w:rsidRDefault="002668C1" w:rsidP="00E52B95">
      <w:pPr>
        <w:pStyle w:val="ListParagraph"/>
        <w:numPr>
          <w:ilvl w:val="0"/>
          <w:numId w:val="1"/>
        </w:numPr>
        <w:spacing w:after="160" w:line="360" w:lineRule="auto"/>
        <w:ind w:left="360"/>
        <w:jc w:val="both"/>
        <w:rPr>
          <w:rFonts w:ascii="Times New Roman" w:hAnsi="Times New Roman" w:cs="Times New Roman"/>
          <w:color w:val="000000"/>
          <w:sz w:val="24"/>
          <w:szCs w:val="24"/>
        </w:rPr>
      </w:pPr>
      <w:hyperlink r:id="rId90" w:tgtFrame="_blank" w:history="1">
        <w:r w:rsidR="00E52B95" w:rsidRPr="00E52B95">
          <w:rPr>
            <w:rStyle w:val="Hyperlink"/>
            <w:rFonts w:ascii="Times New Roman" w:hAnsi="Times New Roman" w:cs="Times New Roman"/>
            <w:color w:val="000000"/>
            <w:sz w:val="24"/>
            <w:szCs w:val="24"/>
            <w:u w:val="none"/>
          </w:rPr>
          <w:t>https://www.cultivatornatural.com/project/amomum-subulatum-fruits/</w:t>
        </w:r>
      </w:hyperlink>
    </w:p>
    <w:p w:rsidR="00E52B95" w:rsidRPr="00E52B95" w:rsidRDefault="002668C1" w:rsidP="00E52B95">
      <w:pPr>
        <w:pStyle w:val="ListParagraph"/>
        <w:numPr>
          <w:ilvl w:val="0"/>
          <w:numId w:val="1"/>
        </w:numPr>
        <w:spacing w:after="160" w:line="360" w:lineRule="auto"/>
        <w:ind w:left="360"/>
        <w:jc w:val="both"/>
        <w:rPr>
          <w:rFonts w:ascii="Times New Roman" w:hAnsi="Times New Roman" w:cs="Times New Roman"/>
          <w:color w:val="000000"/>
          <w:sz w:val="24"/>
          <w:szCs w:val="24"/>
        </w:rPr>
      </w:pPr>
      <w:hyperlink r:id="rId91" w:history="1">
        <w:r w:rsidR="00E52B95" w:rsidRPr="00E52B95">
          <w:rPr>
            <w:rStyle w:val="Hyperlink"/>
            <w:rFonts w:ascii="Times New Roman" w:hAnsi="Times New Roman" w:cs="Times New Roman"/>
            <w:color w:val="000000"/>
            <w:sz w:val="24"/>
            <w:szCs w:val="24"/>
            <w:u w:val="none"/>
          </w:rPr>
          <w:t>https://www.dabur.com/ayurveda/ayurvedic-medicinal-plants/badi-elaichi</w:t>
        </w:r>
      </w:hyperlink>
      <w:r w:rsidR="00E52B95" w:rsidRPr="00E52B95">
        <w:rPr>
          <w:rFonts w:ascii="Times New Roman" w:hAnsi="Times New Roman" w:cs="Times New Roman"/>
          <w:color w:val="000000"/>
          <w:sz w:val="24"/>
          <w:szCs w:val="24"/>
        </w:rPr>
        <w:t xml:space="preserve"> </w:t>
      </w:r>
    </w:p>
    <w:p w:rsidR="00E52B95" w:rsidRPr="00E52B95" w:rsidRDefault="00E52B95" w:rsidP="00E52B95">
      <w:pPr>
        <w:pStyle w:val="ListParagraph"/>
        <w:numPr>
          <w:ilvl w:val="0"/>
          <w:numId w:val="1"/>
        </w:numPr>
        <w:spacing w:after="160" w:line="360" w:lineRule="auto"/>
        <w:ind w:left="360"/>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Bist, Pratibha &amp; Bhatt, Prashant., 2021. REVIEW ON STATUS OF LARGE CARDAMOM (</w:t>
      </w:r>
      <w:r w:rsidRPr="00E52B95">
        <w:rPr>
          <w:rFonts w:ascii="Times New Roman" w:hAnsi="Times New Roman" w:cs="Times New Roman"/>
          <w:i/>
          <w:color w:val="000000"/>
          <w:sz w:val="24"/>
          <w:szCs w:val="24"/>
        </w:rPr>
        <w:t>AMOMUM SUBULATUM</w:t>
      </w:r>
      <w:r w:rsidRPr="00E52B95">
        <w:rPr>
          <w:rFonts w:ascii="Times New Roman" w:hAnsi="Times New Roman" w:cs="Times New Roman"/>
          <w:color w:val="000000"/>
          <w:sz w:val="24"/>
          <w:szCs w:val="24"/>
        </w:rPr>
        <w:t xml:space="preserve"> ROXB.) PRODUCTION AND MARKETING </w:t>
      </w:r>
      <w:r w:rsidRPr="00E52B95">
        <w:rPr>
          <w:rFonts w:ascii="Times New Roman" w:hAnsi="Times New Roman" w:cs="Times New Roman"/>
          <w:color w:val="000000"/>
          <w:sz w:val="24"/>
          <w:szCs w:val="24"/>
        </w:rPr>
        <w:lastRenderedPageBreak/>
        <w:t xml:space="preserve">IN NEPAL. </w:t>
      </w:r>
      <w:r w:rsidRPr="00E52B95">
        <w:rPr>
          <w:rStyle w:val="Strong"/>
          <w:rFonts w:ascii="Times New Roman" w:hAnsi="Times New Roman" w:cs="Times New Roman"/>
          <w:b w:val="0"/>
          <w:color w:val="000000"/>
          <w:sz w:val="24"/>
          <w:szCs w:val="24"/>
          <w:shd w:val="clear" w:color="auto" w:fill="FFFFFF"/>
        </w:rPr>
        <w:t>Agric. food econ.</w:t>
      </w:r>
      <w:r w:rsidRPr="00E52B95">
        <w:rPr>
          <w:rFonts w:ascii="Times New Roman" w:hAnsi="Times New Roman" w:cs="Times New Roman"/>
          <w:b/>
          <w:color w:val="000000"/>
          <w:sz w:val="24"/>
          <w:szCs w:val="24"/>
        </w:rPr>
        <w:t xml:space="preserve">. </w:t>
      </w:r>
      <w:r w:rsidRPr="00E52B95">
        <w:rPr>
          <w:rFonts w:ascii="Times New Roman" w:hAnsi="Times New Roman" w:cs="Times New Roman"/>
          <w:color w:val="000000"/>
          <w:sz w:val="24"/>
          <w:szCs w:val="24"/>
        </w:rPr>
        <w:t>1. 121-123. 10.26480/faer.02.2021.121.123.</w:t>
      </w:r>
      <w:r w:rsidRPr="00E52B95">
        <w:rPr>
          <w:rFonts w:ascii="Times New Roman" w:hAnsi="Times New Roman" w:cs="Times New Roman"/>
          <w:color w:val="000000"/>
          <w:sz w:val="24"/>
          <w:szCs w:val="24"/>
          <w:shd w:val="clear" w:color="auto" w:fill="FFFFFF"/>
        </w:rPr>
        <w:t xml:space="preserve"> DOI: </w:t>
      </w:r>
      <w:hyperlink r:id="rId92" w:tgtFrame="_blank" w:history="1">
        <w:r w:rsidRPr="00E52B95">
          <w:rPr>
            <w:rStyle w:val="Hyperlink"/>
            <w:rFonts w:ascii="Times New Roman" w:hAnsi="Times New Roman" w:cs="Times New Roman"/>
            <w:color w:val="000000"/>
            <w:sz w:val="24"/>
            <w:szCs w:val="24"/>
            <w:u w:val="none"/>
            <w:bdr w:val="single" w:sz="2" w:space="0" w:color="D1D1D2" w:frame="1"/>
            <w:shd w:val="clear" w:color="auto" w:fill="FFFFFF"/>
          </w:rPr>
          <w:t>10.26480/faer.02.2021.121.123</w:t>
        </w:r>
      </w:hyperlink>
    </w:p>
    <w:p w:rsidR="00E52B95" w:rsidRPr="00E52B95" w:rsidRDefault="00E52B95" w:rsidP="00E52B95">
      <w:pPr>
        <w:pStyle w:val="ListParagraph"/>
        <w:numPr>
          <w:ilvl w:val="0"/>
          <w:numId w:val="1"/>
        </w:numPr>
        <w:spacing w:after="16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Al-Snafi, A. E. 2015. Therapeutic properties of medicinal plants: a review of their immunological effects (part 1). </w:t>
      </w:r>
      <w:r w:rsidRPr="00E52B95">
        <w:rPr>
          <w:rFonts w:ascii="Times New Roman" w:hAnsi="Times New Roman" w:cs="Times New Roman"/>
          <w:i/>
          <w:iCs/>
          <w:color w:val="000000"/>
          <w:sz w:val="24"/>
          <w:szCs w:val="24"/>
          <w:shd w:val="clear" w:color="auto" w:fill="FFFFFF"/>
        </w:rPr>
        <w:t>Asian Journal of Pharmaceutical Research</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5</w:t>
      </w:r>
      <w:r w:rsidRPr="00E52B95">
        <w:rPr>
          <w:rFonts w:ascii="Times New Roman" w:hAnsi="Times New Roman" w:cs="Times New Roman"/>
          <w:color w:val="000000"/>
          <w:sz w:val="24"/>
          <w:szCs w:val="24"/>
          <w:shd w:val="clear" w:color="auto" w:fill="FFFFFF"/>
        </w:rPr>
        <w:t>, 208-216.</w:t>
      </w:r>
    </w:p>
    <w:p w:rsidR="00E52B95" w:rsidRPr="00E52B95" w:rsidRDefault="00E52B95" w:rsidP="00E52B95">
      <w:pPr>
        <w:pStyle w:val="ListParagraph"/>
        <w:numPr>
          <w:ilvl w:val="0"/>
          <w:numId w:val="1"/>
        </w:numPr>
        <w:spacing w:after="160" w:line="360" w:lineRule="auto"/>
        <w:ind w:left="360"/>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Zhang, Wei-Jie &amp; Luo, Jian-Guang &amp; Kong, Ling-Yi., 2016. The Genus </w:t>
      </w:r>
      <w:r w:rsidRPr="00E52B95">
        <w:rPr>
          <w:rFonts w:ascii="Times New Roman" w:hAnsi="Times New Roman" w:cs="Times New Roman"/>
          <w:i/>
          <w:color w:val="000000"/>
          <w:sz w:val="24"/>
          <w:szCs w:val="24"/>
        </w:rPr>
        <w:t>Alpinia</w:t>
      </w:r>
      <w:r w:rsidRPr="00E52B95">
        <w:rPr>
          <w:rFonts w:ascii="Times New Roman" w:hAnsi="Times New Roman" w:cs="Times New Roman"/>
          <w:color w:val="000000"/>
          <w:sz w:val="24"/>
          <w:szCs w:val="24"/>
        </w:rPr>
        <w:t xml:space="preserve">: A Review of Its Phytochemistry and Pharmacology. </w:t>
      </w:r>
      <w:r w:rsidRPr="001A40BA">
        <w:rPr>
          <w:rStyle w:val="Strong"/>
          <w:rFonts w:ascii="Times New Roman" w:hAnsi="Times New Roman" w:cs="Times New Roman"/>
          <w:b w:val="0"/>
          <w:color w:val="000000"/>
          <w:sz w:val="24"/>
          <w:szCs w:val="24"/>
          <w:shd w:val="clear" w:color="auto" w:fill="FFFFFF"/>
        </w:rPr>
        <w:t>Agric. food econ.</w:t>
      </w:r>
      <w:r w:rsidRPr="001A40BA">
        <w:rPr>
          <w:rFonts w:ascii="Times New Roman" w:hAnsi="Times New Roman" w:cs="Times New Roman"/>
          <w:b/>
          <w:color w:val="000000"/>
          <w:sz w:val="24"/>
          <w:szCs w:val="24"/>
        </w:rPr>
        <w:t>.</w:t>
      </w:r>
      <w:r w:rsidRPr="00E52B95">
        <w:rPr>
          <w:rFonts w:ascii="Times New Roman" w:hAnsi="Times New Roman" w:cs="Times New Roman"/>
          <w:color w:val="000000"/>
          <w:sz w:val="24"/>
          <w:szCs w:val="24"/>
        </w:rPr>
        <w:t xml:space="preserve"> 2. 26-41. 10.15806/j.issn.2311-8571.2015.0026.</w:t>
      </w:r>
      <w:r w:rsidRPr="00E52B95">
        <w:rPr>
          <w:rFonts w:ascii="Times New Roman" w:hAnsi="Times New Roman" w:cs="Times New Roman"/>
          <w:color w:val="000000"/>
          <w:sz w:val="24"/>
          <w:szCs w:val="24"/>
          <w:shd w:val="clear" w:color="auto" w:fill="FFFFFF"/>
        </w:rPr>
        <w:t xml:space="preserve"> DOI: </w:t>
      </w:r>
      <w:hyperlink r:id="rId93" w:tgtFrame="_blank" w:history="1">
        <w:r w:rsidRPr="00E52B95">
          <w:rPr>
            <w:rStyle w:val="Hyperlink"/>
            <w:rFonts w:ascii="Times New Roman" w:hAnsi="Times New Roman" w:cs="Times New Roman"/>
            <w:color w:val="000000"/>
            <w:sz w:val="24"/>
            <w:szCs w:val="24"/>
            <w:u w:val="none"/>
            <w:bdr w:val="single" w:sz="2" w:space="0" w:color="D1D1D2" w:frame="1"/>
            <w:shd w:val="clear" w:color="auto" w:fill="FFFFFF"/>
          </w:rPr>
          <w:t>10.15806/j.issn.2311-8571.2015.0026</w:t>
        </w:r>
      </w:hyperlink>
    </w:p>
    <w:p w:rsidR="00E52B95" w:rsidRPr="00E52B95" w:rsidRDefault="00E52B95" w:rsidP="00E52B95">
      <w:pPr>
        <w:pStyle w:val="ListParagraph"/>
        <w:numPr>
          <w:ilvl w:val="0"/>
          <w:numId w:val="1"/>
        </w:numPr>
        <w:spacing w:after="160" w:line="360" w:lineRule="auto"/>
        <w:ind w:left="360"/>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Sakhanokho, H. F., &amp; Rajasekaran, K., 2019. Hedychium essential oils: Composition and uses. In </w:t>
      </w:r>
      <w:r w:rsidRPr="00E52B95">
        <w:rPr>
          <w:rFonts w:ascii="Times New Roman" w:hAnsi="Times New Roman" w:cs="Times New Roman"/>
          <w:i/>
          <w:iCs/>
          <w:color w:val="000000"/>
          <w:sz w:val="24"/>
          <w:szCs w:val="24"/>
          <w:shd w:val="clear" w:color="auto" w:fill="FFFFFF"/>
        </w:rPr>
        <w:t>Essential Oil Research: Trends in Biosynthesis, Analytics, Industrial Applications and Biotechnological Production</w:t>
      </w:r>
      <w:r w:rsidRPr="00E52B95">
        <w:rPr>
          <w:rFonts w:ascii="Times New Roman" w:hAnsi="Times New Roman" w:cs="Times New Roman"/>
          <w:color w:val="000000"/>
          <w:sz w:val="24"/>
          <w:szCs w:val="24"/>
          <w:shd w:val="clear" w:color="auto" w:fill="FFFFFF"/>
        </w:rPr>
        <w:t> (pp. 49-60). Cham: Springer International Publishing. DOI: </w:t>
      </w:r>
      <w:hyperlink r:id="rId94" w:tgtFrame="_blank" w:history="1">
        <w:r w:rsidRPr="00E52B95">
          <w:rPr>
            <w:rStyle w:val="Hyperlink"/>
            <w:rFonts w:ascii="Times New Roman" w:hAnsi="Times New Roman" w:cs="Times New Roman"/>
            <w:color w:val="000000"/>
            <w:sz w:val="24"/>
            <w:szCs w:val="24"/>
            <w:u w:val="none"/>
            <w:bdr w:val="single" w:sz="2" w:space="0" w:color="D1D1D2" w:frame="1"/>
            <w:shd w:val="clear" w:color="auto" w:fill="FFFFFF"/>
          </w:rPr>
          <w:t>10.1007/978-3-030-16546-8_3</w:t>
        </w:r>
      </w:hyperlink>
    </w:p>
    <w:p w:rsidR="00E52B95" w:rsidRPr="00E52B95" w:rsidRDefault="00E52B95" w:rsidP="00E52B95">
      <w:pPr>
        <w:numPr>
          <w:ilvl w:val="0"/>
          <w:numId w:val="1"/>
        </w:numPr>
        <w:spacing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Kesheh, M. M., Hosseini, P., Soltani, S., &amp;Zandi, M., 2022. An overview on the seven pathogenic human coronaviruses. </w:t>
      </w:r>
      <w:r w:rsidRPr="00E52B95">
        <w:rPr>
          <w:rStyle w:val="Emphasis"/>
          <w:rFonts w:ascii="Times New Roman" w:hAnsi="Times New Roman" w:cs="Times New Roman"/>
          <w:bCs/>
          <w:i w:val="0"/>
          <w:iCs w:val="0"/>
          <w:color w:val="000000"/>
          <w:sz w:val="24"/>
          <w:szCs w:val="24"/>
          <w:shd w:val="clear" w:color="auto" w:fill="FFFFFF"/>
        </w:rPr>
        <w:t>Rev. Med. Virol</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Cs/>
          <w:color w:val="000000"/>
          <w:sz w:val="24"/>
          <w:szCs w:val="24"/>
          <w:shd w:val="clear" w:color="auto" w:fill="FFFFFF"/>
        </w:rPr>
        <w:t>32</w:t>
      </w:r>
      <w:r w:rsidRPr="00E52B95">
        <w:rPr>
          <w:rFonts w:ascii="Times New Roman" w:hAnsi="Times New Roman" w:cs="Times New Roman"/>
          <w:color w:val="000000"/>
          <w:sz w:val="24"/>
          <w:szCs w:val="24"/>
          <w:shd w:val="clear" w:color="auto" w:fill="FFFFFF"/>
        </w:rPr>
        <w:t xml:space="preserve">, e2282. </w:t>
      </w:r>
      <w:hyperlink r:id="rId95" w:history="1">
        <w:r w:rsidRPr="00E52B95">
          <w:rPr>
            <w:rStyle w:val="Hyperlink"/>
            <w:rFonts w:ascii="Times New Roman" w:hAnsi="Times New Roman" w:cs="Times New Roman"/>
            <w:color w:val="000000"/>
            <w:sz w:val="24"/>
            <w:szCs w:val="24"/>
            <w:u w:val="none"/>
            <w:shd w:val="clear" w:color="auto" w:fill="FFFFFF"/>
          </w:rPr>
          <w:t>https://doi.org/10.1002/rmv.2282</w:t>
        </w:r>
      </w:hyperlink>
    </w:p>
    <w:p w:rsidR="00E52B95" w:rsidRPr="00E52B95" w:rsidRDefault="00E52B95" w:rsidP="00E52B95">
      <w:pPr>
        <w:pStyle w:val="NormalWeb"/>
        <w:numPr>
          <w:ilvl w:val="0"/>
          <w:numId w:val="1"/>
        </w:numPr>
        <w:spacing w:line="360" w:lineRule="auto"/>
        <w:ind w:left="360"/>
        <w:jc w:val="both"/>
        <w:rPr>
          <w:color w:val="000000"/>
          <w:shd w:val="clear" w:color="auto" w:fill="FFFFFF"/>
        </w:rPr>
      </w:pPr>
      <w:r w:rsidRPr="00E52B95">
        <w:rPr>
          <w:color w:val="000000"/>
          <w:shd w:val="clear" w:color="auto" w:fill="FFFFFF"/>
        </w:rPr>
        <w:t xml:space="preserve">Sheikh, H. I., Zakaria, N. H., Majid, F. A. A., Zamzuri, F., Fadhlina, A., &amp; Hairani, M. A. S., 2023. Promising roles of </w:t>
      </w:r>
      <w:r w:rsidRPr="00E52B95">
        <w:rPr>
          <w:i/>
          <w:color w:val="000000"/>
          <w:shd w:val="clear" w:color="auto" w:fill="FFFFFF"/>
        </w:rPr>
        <w:t xml:space="preserve">Zingiber  officinale </w:t>
      </w:r>
      <w:r w:rsidRPr="00E52B95">
        <w:rPr>
          <w:color w:val="000000"/>
          <w:shd w:val="clear" w:color="auto" w:fill="FFFFFF"/>
        </w:rPr>
        <w:t xml:space="preserve"> roscoe, </w:t>
      </w:r>
      <w:r w:rsidRPr="00E52B95">
        <w:rPr>
          <w:i/>
          <w:color w:val="000000"/>
          <w:shd w:val="clear" w:color="auto" w:fill="FFFFFF"/>
        </w:rPr>
        <w:t>Curcuma longa</w:t>
      </w:r>
      <w:r w:rsidRPr="00E52B95">
        <w:rPr>
          <w:color w:val="000000"/>
          <w:shd w:val="clear" w:color="auto" w:fill="FFFFFF"/>
        </w:rPr>
        <w:t xml:space="preserve"> L., and </w:t>
      </w:r>
      <w:r w:rsidRPr="00E52B95">
        <w:rPr>
          <w:i/>
          <w:color w:val="000000"/>
          <w:shd w:val="clear" w:color="auto" w:fill="FFFFFF"/>
        </w:rPr>
        <w:t>Momordica charantia</w:t>
      </w:r>
      <w:r w:rsidRPr="00E52B95">
        <w:rPr>
          <w:color w:val="000000"/>
          <w:shd w:val="clear" w:color="auto" w:fill="FFFFFF"/>
        </w:rPr>
        <w:t xml:space="preserve"> L. as immunity modulators against COVID-19: A bibliometric analysis. J. Agric. Food Res.</w:t>
      </w:r>
      <w:r w:rsidRPr="00E52B95">
        <w:rPr>
          <w:i/>
          <w:iCs/>
          <w:color w:val="000000"/>
          <w:shd w:val="clear" w:color="auto" w:fill="FFFFFF"/>
        </w:rPr>
        <w:t>14</w:t>
      </w:r>
      <w:r w:rsidRPr="00E52B95">
        <w:rPr>
          <w:color w:val="000000"/>
          <w:shd w:val="clear" w:color="auto" w:fill="FFFFFF"/>
        </w:rPr>
        <w:t>, 100680. DOI: </w:t>
      </w:r>
      <w:hyperlink r:id="rId96" w:tgtFrame="_blank" w:history="1">
        <w:r w:rsidRPr="00E52B95">
          <w:rPr>
            <w:rStyle w:val="Hyperlink"/>
            <w:color w:val="000000"/>
            <w:u w:val="none"/>
            <w:bdr w:val="single" w:sz="2" w:space="0" w:color="D1D1D2" w:frame="1"/>
            <w:shd w:val="clear" w:color="auto" w:fill="FFFFFF"/>
          </w:rPr>
          <w:t>10.1016/j.jafr.2023.100680</w:t>
        </w:r>
      </w:hyperlink>
    </w:p>
    <w:p w:rsidR="00E52B95" w:rsidRPr="00E52B95" w:rsidRDefault="00E52B95" w:rsidP="00E52B95">
      <w:pPr>
        <w:pStyle w:val="NormalWeb"/>
        <w:numPr>
          <w:ilvl w:val="0"/>
          <w:numId w:val="1"/>
        </w:numPr>
        <w:spacing w:line="360" w:lineRule="auto"/>
        <w:ind w:left="360"/>
        <w:jc w:val="both"/>
        <w:rPr>
          <w:color w:val="000000"/>
          <w:shd w:val="clear" w:color="auto" w:fill="FFFFFF"/>
        </w:rPr>
      </w:pPr>
      <w:r w:rsidRPr="00E52B95">
        <w:rPr>
          <w:color w:val="000000"/>
          <w:shd w:val="clear" w:color="auto" w:fill="FFFFFF"/>
        </w:rPr>
        <w:t>Widoyo, H., Mohammed, Z. Y., Ramírez-Coronel, A. A., Iswanto, A. H., Thattarauthodiyil, U., Alkhayyat, A. S., ... &amp; Eftekhari, Z., 2023. Herbal therapy in Covid-19: A systematic review of medicinal plants effective against Covid-19.</w:t>
      </w:r>
      <w:r w:rsidRPr="00E52B95">
        <w:rPr>
          <w:color w:val="000000"/>
        </w:rPr>
        <w:t xml:space="preserve"> </w:t>
      </w:r>
      <w:r w:rsidRPr="00E52B95">
        <w:rPr>
          <w:rStyle w:val="Strong"/>
          <w:b w:val="0"/>
          <w:color w:val="000000"/>
        </w:rPr>
        <w:t>Casp. J. Environ. Sci</w:t>
      </w:r>
      <w:r w:rsidRPr="00E52B95">
        <w:rPr>
          <w:rStyle w:val="Strong"/>
          <w:b w:val="0"/>
          <w:color w:val="000000"/>
          <w:shd w:val="clear" w:color="auto" w:fill="FFFFFF"/>
        </w:rPr>
        <w:t>.</w:t>
      </w:r>
      <w:r w:rsidRPr="00E52B95">
        <w:rPr>
          <w:b/>
          <w:color w:val="000000"/>
          <w:shd w:val="clear" w:color="auto" w:fill="FFFFFF"/>
        </w:rPr>
        <w:t>, </w:t>
      </w:r>
      <w:r w:rsidRPr="00E52B95">
        <w:rPr>
          <w:i/>
          <w:iCs/>
          <w:color w:val="000000"/>
          <w:shd w:val="clear" w:color="auto" w:fill="FFFFFF"/>
        </w:rPr>
        <w:t>21</w:t>
      </w:r>
      <w:r w:rsidRPr="00E52B95">
        <w:rPr>
          <w:color w:val="000000"/>
          <w:shd w:val="clear" w:color="auto" w:fill="FFFFFF"/>
        </w:rPr>
        <w:t>, 1289-1298.</w:t>
      </w:r>
      <w:r w:rsidRPr="00E52B95">
        <w:rPr>
          <w:color w:val="000000"/>
        </w:rPr>
        <w:t xml:space="preserve"> DOI: 10.22124/CJES.2023.7431</w:t>
      </w:r>
    </w:p>
    <w:p w:rsidR="00E52B95" w:rsidRPr="00E52B95" w:rsidRDefault="00E52B95" w:rsidP="00E52B95">
      <w:pPr>
        <w:pStyle w:val="NormalWeb"/>
        <w:numPr>
          <w:ilvl w:val="0"/>
          <w:numId w:val="1"/>
        </w:numPr>
        <w:spacing w:line="360" w:lineRule="auto"/>
        <w:ind w:left="360"/>
        <w:jc w:val="both"/>
        <w:rPr>
          <w:color w:val="000000"/>
          <w:shd w:val="clear" w:color="auto" w:fill="FFFFFF"/>
        </w:rPr>
      </w:pPr>
      <w:r w:rsidRPr="00E52B95">
        <w:rPr>
          <w:color w:val="000000"/>
          <w:shd w:val="clear" w:color="auto" w:fill="FFFFFF"/>
        </w:rPr>
        <w:t xml:space="preserve">Afrida, I. R., Fatchiyah, F., Widodo, N., Amin, M., &amp; Djati, M. S., 2021. Shogaol, bisdemethoxycurcumin, and curcuminoid: Potential </w:t>
      </w:r>
      <w:r w:rsidRPr="00E52B95">
        <w:rPr>
          <w:i/>
          <w:color w:val="000000"/>
          <w:shd w:val="clear" w:color="auto" w:fill="FFFFFF"/>
        </w:rPr>
        <w:t xml:space="preserve">zingiber  </w:t>
      </w:r>
      <w:r w:rsidRPr="00E52B95">
        <w:rPr>
          <w:color w:val="000000"/>
          <w:shd w:val="clear" w:color="auto" w:fill="FFFFFF"/>
        </w:rPr>
        <w:t>compounds against COVID-19. </w:t>
      </w:r>
      <w:r w:rsidRPr="00E52B95">
        <w:rPr>
          <w:i/>
          <w:iCs/>
          <w:color w:val="000000"/>
          <w:shd w:val="clear" w:color="auto" w:fill="FFFFFF"/>
        </w:rPr>
        <w:t>Biointerface Res. Appl. Chem</w:t>
      </w:r>
      <w:r w:rsidRPr="00E52B95">
        <w:rPr>
          <w:color w:val="000000"/>
          <w:shd w:val="clear" w:color="auto" w:fill="FFFFFF"/>
        </w:rPr>
        <w:t>, </w:t>
      </w:r>
      <w:r w:rsidRPr="00E52B95">
        <w:rPr>
          <w:i/>
          <w:iCs/>
          <w:color w:val="000000"/>
          <w:shd w:val="clear" w:color="auto" w:fill="FFFFFF"/>
        </w:rPr>
        <w:t>11</w:t>
      </w:r>
      <w:r w:rsidRPr="00E52B95">
        <w:rPr>
          <w:color w:val="000000"/>
          <w:shd w:val="clear" w:color="auto" w:fill="FFFFFF"/>
        </w:rPr>
        <w:t>, 12869-12876.</w:t>
      </w:r>
      <w:r w:rsidRPr="00E52B95">
        <w:rPr>
          <w:color w:val="000000"/>
        </w:rPr>
        <w:t xml:space="preserve"> https://doi.org/10.33263/BRIAC115.1286912876</w:t>
      </w:r>
    </w:p>
    <w:p w:rsidR="00E52B95" w:rsidRPr="00E52B95" w:rsidRDefault="00E52B95" w:rsidP="00E52B95">
      <w:pPr>
        <w:numPr>
          <w:ilvl w:val="0"/>
          <w:numId w:val="1"/>
        </w:numPr>
        <w:spacing w:before="100" w:beforeAutospacing="1" w:after="100" w:afterAutospacing="1"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Nazim, U. M., Jeong, J. K., Seol, J. W., Hur, J., Eo, S. K., Lee, J. H., &amp; Park, S. Y. ,2015. Inhibition of the autophagy flux by gingerol enhances TRAIL-induced tumor cell death. </w:t>
      </w:r>
      <w:r w:rsidRPr="00E52B95">
        <w:rPr>
          <w:rStyle w:val="Strong"/>
          <w:rFonts w:ascii="Times New Roman" w:hAnsi="Times New Roman" w:cs="Times New Roman"/>
          <w:b w:val="0"/>
          <w:color w:val="000000"/>
          <w:sz w:val="24"/>
          <w:szCs w:val="24"/>
          <w:shd w:val="clear" w:color="auto" w:fill="FFFFFF"/>
        </w:rPr>
        <w:t>Oncol. Rep</w:t>
      </w:r>
      <w:r w:rsidRPr="00E52B95">
        <w:rPr>
          <w:rStyle w:val="Strong"/>
          <w:rFonts w:ascii="Times New Roman" w:hAnsi="Times New Roman" w:cs="Times New Roman"/>
          <w:color w:val="000000"/>
          <w:sz w:val="24"/>
          <w:szCs w:val="24"/>
          <w:shd w:val="clear" w:color="auto" w:fill="FFFFFF"/>
        </w:rPr>
        <w:t>.</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33</w:t>
      </w:r>
      <w:r w:rsidRPr="00E52B95">
        <w:rPr>
          <w:rFonts w:ascii="Times New Roman" w:hAnsi="Times New Roman" w:cs="Times New Roman"/>
          <w:color w:val="000000"/>
          <w:sz w:val="24"/>
          <w:szCs w:val="24"/>
          <w:shd w:val="clear" w:color="auto" w:fill="FFFFFF"/>
        </w:rPr>
        <w:t>, 2331-2336. DOI: </w:t>
      </w:r>
      <w:hyperlink r:id="rId97" w:tgtFrame="_blank" w:history="1">
        <w:r w:rsidRPr="00E52B95">
          <w:rPr>
            <w:rStyle w:val="Hyperlink"/>
            <w:rFonts w:ascii="Times New Roman" w:hAnsi="Times New Roman" w:cs="Times New Roman"/>
            <w:color w:val="000000"/>
            <w:sz w:val="24"/>
            <w:szCs w:val="24"/>
            <w:u w:val="none"/>
            <w:bdr w:val="single" w:sz="2" w:space="0" w:color="D1D1D2" w:frame="1"/>
            <w:shd w:val="clear" w:color="auto" w:fill="FFFFFF"/>
          </w:rPr>
          <w:t>10.3892/or.2015.3869</w:t>
        </w:r>
      </w:hyperlink>
    </w:p>
    <w:p w:rsidR="00E52B95" w:rsidRPr="00E52B95" w:rsidRDefault="00E52B95" w:rsidP="00E52B95">
      <w:pPr>
        <w:pStyle w:val="NormalWeb"/>
        <w:numPr>
          <w:ilvl w:val="0"/>
          <w:numId w:val="1"/>
        </w:numPr>
        <w:spacing w:line="360" w:lineRule="auto"/>
        <w:ind w:left="360"/>
        <w:jc w:val="both"/>
        <w:rPr>
          <w:color w:val="000000"/>
          <w:shd w:val="clear" w:color="auto" w:fill="FFFFFF"/>
        </w:rPr>
      </w:pPr>
      <w:r w:rsidRPr="00E52B95">
        <w:rPr>
          <w:color w:val="000000"/>
          <w:shd w:val="clear" w:color="auto" w:fill="FFFFFF"/>
        </w:rPr>
        <w:t>Shimizu, K., Funamoto, M., Sunagawa, Y., Shimizu, S., Katanasaka, Y., Miyazaki, Y., ... &amp; Morimoto, T., 2019. Anti-inflammatory action of curcumin and its use in the treatment of lifestyle-related diseases. </w:t>
      </w:r>
      <w:r w:rsidRPr="00E52B95">
        <w:rPr>
          <w:rStyle w:val="Emphasis"/>
          <w:bCs/>
          <w:i w:val="0"/>
          <w:iCs w:val="0"/>
          <w:color w:val="000000"/>
          <w:shd w:val="clear" w:color="auto" w:fill="FFFFFF"/>
        </w:rPr>
        <w:t>Eur Cardiol</w:t>
      </w:r>
      <w:r w:rsidRPr="00E52B95">
        <w:rPr>
          <w:color w:val="000000"/>
          <w:shd w:val="clear" w:color="auto" w:fill="FFFFFF"/>
        </w:rPr>
        <w:t>, </w:t>
      </w:r>
      <w:r w:rsidRPr="00E52B95">
        <w:rPr>
          <w:i/>
          <w:iCs/>
          <w:color w:val="000000"/>
          <w:shd w:val="clear" w:color="auto" w:fill="FFFFFF"/>
        </w:rPr>
        <w:t>14</w:t>
      </w:r>
      <w:r w:rsidRPr="00E52B95">
        <w:rPr>
          <w:color w:val="000000"/>
          <w:shd w:val="clear" w:color="auto" w:fill="FFFFFF"/>
        </w:rPr>
        <w:t>, 117. doi: 10.3892/or.2015.386</w:t>
      </w:r>
    </w:p>
    <w:p w:rsidR="00E52B95" w:rsidRPr="00E52B95" w:rsidRDefault="00E52B95" w:rsidP="00E52B95">
      <w:pPr>
        <w:pStyle w:val="NormalWeb"/>
        <w:numPr>
          <w:ilvl w:val="0"/>
          <w:numId w:val="1"/>
        </w:numPr>
        <w:spacing w:line="360" w:lineRule="auto"/>
        <w:ind w:left="360"/>
        <w:jc w:val="both"/>
        <w:rPr>
          <w:color w:val="000000"/>
          <w:shd w:val="clear" w:color="auto" w:fill="FFFFFF"/>
        </w:rPr>
      </w:pPr>
      <w:r w:rsidRPr="00E52B95">
        <w:rPr>
          <w:color w:val="000000"/>
          <w:shd w:val="clear" w:color="auto" w:fill="FFFFFF"/>
        </w:rPr>
        <w:lastRenderedPageBreak/>
        <w:t>Tang, M., &amp; Taghibiglou, C., 2017. The mechanisms of action of curcumin in Alzheimer’s disease</w:t>
      </w:r>
      <w:r w:rsidRPr="00E52B95">
        <w:rPr>
          <w:b/>
          <w:color w:val="000000"/>
          <w:shd w:val="clear" w:color="auto" w:fill="FFFFFF"/>
        </w:rPr>
        <w:t>. </w:t>
      </w:r>
      <w:r w:rsidRPr="00E52B95">
        <w:rPr>
          <w:rStyle w:val="Strong"/>
          <w:b w:val="0"/>
          <w:color w:val="000000"/>
          <w:shd w:val="clear" w:color="auto" w:fill="FFFFFF"/>
        </w:rPr>
        <w:t>J. Alzheimer's Dis</w:t>
      </w:r>
      <w:r w:rsidRPr="00E52B95">
        <w:rPr>
          <w:rStyle w:val="Strong"/>
          <w:color w:val="000000"/>
          <w:shd w:val="clear" w:color="auto" w:fill="FFFFFF"/>
        </w:rPr>
        <w:t>.</w:t>
      </w:r>
      <w:r w:rsidRPr="00E52B95">
        <w:rPr>
          <w:color w:val="000000"/>
          <w:shd w:val="clear" w:color="auto" w:fill="FFFFFF"/>
        </w:rPr>
        <w:t>, </w:t>
      </w:r>
      <w:r w:rsidRPr="00E52B95">
        <w:rPr>
          <w:i/>
          <w:iCs/>
          <w:color w:val="000000"/>
          <w:shd w:val="clear" w:color="auto" w:fill="FFFFFF"/>
        </w:rPr>
        <w:t>58</w:t>
      </w:r>
      <w:r w:rsidRPr="00E52B95">
        <w:rPr>
          <w:color w:val="000000"/>
          <w:shd w:val="clear" w:color="auto" w:fill="FFFFFF"/>
        </w:rPr>
        <w:t>, 1003-1016.</w:t>
      </w:r>
      <w:r w:rsidRPr="00E52B95">
        <w:rPr>
          <w:rStyle w:val="id-label"/>
          <w:color w:val="000000"/>
        </w:rPr>
        <w:t xml:space="preserve"> DOI: </w:t>
      </w:r>
      <w:r w:rsidRPr="00E52B95">
        <w:rPr>
          <w:rStyle w:val="identifier"/>
          <w:color w:val="000000"/>
        </w:rPr>
        <w:t>10.3233/JAD-170188</w:t>
      </w:r>
    </w:p>
    <w:p w:rsidR="00E52B95" w:rsidRPr="00E52B95" w:rsidRDefault="00E52B95" w:rsidP="00E52B95">
      <w:pPr>
        <w:pStyle w:val="NormalWeb"/>
        <w:numPr>
          <w:ilvl w:val="0"/>
          <w:numId w:val="1"/>
        </w:numPr>
        <w:spacing w:line="360" w:lineRule="auto"/>
        <w:ind w:left="360"/>
        <w:jc w:val="both"/>
        <w:rPr>
          <w:color w:val="000000"/>
          <w:shd w:val="clear" w:color="auto" w:fill="FFFFFF"/>
        </w:rPr>
      </w:pPr>
      <w:r w:rsidRPr="00E52B95">
        <w:rPr>
          <w:color w:val="000000"/>
          <w:shd w:val="clear" w:color="auto" w:fill="FFFFFF"/>
        </w:rPr>
        <w:t>Fang, D., Xiong, Z., Xu, J., Yin, J., &amp; Luo, R., 2019. Chemo preventive mechanisms of galangin against hepatocellular carcinoma: A review. Biomed. Pharmacother. </w:t>
      </w:r>
      <w:r w:rsidRPr="00E52B95">
        <w:rPr>
          <w:i/>
          <w:iCs/>
          <w:color w:val="000000"/>
          <w:shd w:val="clear" w:color="auto" w:fill="FFFFFF"/>
        </w:rPr>
        <w:t>109</w:t>
      </w:r>
      <w:r w:rsidRPr="00E52B95">
        <w:rPr>
          <w:color w:val="000000"/>
          <w:shd w:val="clear" w:color="auto" w:fill="FFFFFF"/>
        </w:rPr>
        <w:t>, 2054-2061.</w:t>
      </w:r>
      <w:r w:rsidRPr="00E52B95">
        <w:rPr>
          <w:color w:val="000000"/>
        </w:rPr>
        <w:t xml:space="preserve"> </w:t>
      </w:r>
      <w:hyperlink r:id="rId98" w:tgtFrame="_blank" w:tooltip="Persistent link using digital object identifier" w:history="1">
        <w:r w:rsidRPr="00E52B95">
          <w:rPr>
            <w:rStyle w:val="anchor-text"/>
            <w:color w:val="000000"/>
          </w:rPr>
          <w:t>https://doi.org/10.1016/j.biopha.2018.09.154</w:t>
        </w:r>
      </w:hyperlink>
    </w:p>
    <w:p w:rsidR="00E52B95" w:rsidRPr="00E52B95" w:rsidRDefault="00E52B95" w:rsidP="00E52B95">
      <w:pPr>
        <w:pStyle w:val="NormalWeb"/>
        <w:numPr>
          <w:ilvl w:val="0"/>
          <w:numId w:val="1"/>
        </w:numPr>
        <w:spacing w:line="360" w:lineRule="auto"/>
        <w:ind w:left="360"/>
        <w:jc w:val="both"/>
        <w:rPr>
          <w:color w:val="000000"/>
        </w:rPr>
      </w:pPr>
      <w:r w:rsidRPr="00E52B95">
        <w:rPr>
          <w:color w:val="000000"/>
          <w:shd w:val="clear" w:color="auto" w:fill="FFFFFF"/>
        </w:rPr>
        <w:t>Singh, D., Saini, A., Singh, R., &amp; Agrawal, R., 2022. Galangin, as a potential anticancer agent. </w:t>
      </w:r>
      <w:r w:rsidRPr="00E52B95">
        <w:rPr>
          <w:rStyle w:val="Strong"/>
          <w:b w:val="0"/>
          <w:color w:val="000000"/>
        </w:rPr>
        <w:t>Rev. bras. farmacogn</w:t>
      </w:r>
      <w:r w:rsidRPr="00E52B95">
        <w:rPr>
          <w:rStyle w:val="Strong"/>
          <w:b w:val="0"/>
          <w:color w:val="000000"/>
          <w:shd w:val="clear" w:color="auto" w:fill="FFFFFF"/>
        </w:rPr>
        <w:t>.</w:t>
      </w:r>
      <w:r w:rsidRPr="00E52B95">
        <w:rPr>
          <w:b/>
          <w:color w:val="000000"/>
          <w:shd w:val="clear" w:color="auto" w:fill="FFFFFF"/>
        </w:rPr>
        <w:t>,</w:t>
      </w:r>
      <w:r w:rsidRPr="00E52B95">
        <w:rPr>
          <w:color w:val="000000"/>
          <w:shd w:val="clear" w:color="auto" w:fill="FFFFFF"/>
        </w:rPr>
        <w:t> </w:t>
      </w:r>
      <w:r w:rsidRPr="00E52B95">
        <w:rPr>
          <w:i/>
          <w:iCs/>
          <w:color w:val="000000"/>
          <w:shd w:val="clear" w:color="auto" w:fill="FFFFFF"/>
        </w:rPr>
        <w:t>32</w:t>
      </w:r>
      <w:r w:rsidRPr="00E52B95">
        <w:rPr>
          <w:color w:val="000000"/>
          <w:shd w:val="clear" w:color="auto" w:fill="FFFFFF"/>
        </w:rPr>
        <w:t>, 331-343. DOI: </w:t>
      </w:r>
      <w:hyperlink r:id="rId99" w:tgtFrame="_blank" w:history="1">
        <w:r w:rsidRPr="00E52B95">
          <w:rPr>
            <w:rStyle w:val="Hyperlink"/>
            <w:color w:val="000000"/>
            <w:u w:val="none"/>
            <w:bdr w:val="single" w:sz="2" w:space="0" w:color="D1D1D2" w:frame="1"/>
            <w:shd w:val="clear" w:color="auto" w:fill="FFFFFF"/>
          </w:rPr>
          <w:t>10.1007/s43450-022-00238-w</w:t>
        </w:r>
      </w:hyperlink>
      <w:r w:rsidRPr="00E52B95">
        <w:rPr>
          <w:color w:val="000000"/>
        </w:rPr>
        <w:t>.</w:t>
      </w:r>
    </w:p>
    <w:p w:rsidR="00E52B95" w:rsidRPr="00E52B95" w:rsidRDefault="00E52B95" w:rsidP="00E52B95">
      <w:pPr>
        <w:spacing w:after="0" w:line="360" w:lineRule="auto"/>
        <w:jc w:val="both"/>
        <w:rPr>
          <w:rFonts w:ascii="Times New Roman" w:hAnsi="Times New Roman" w:cs="Times New Roman"/>
          <w:color w:val="000000"/>
          <w:sz w:val="24"/>
          <w:szCs w:val="24"/>
          <w:shd w:val="clear" w:color="auto" w:fill="FFFFFF"/>
        </w:rPr>
      </w:pPr>
    </w:p>
    <w:p w:rsidR="00E52B95" w:rsidRPr="00E52B95" w:rsidRDefault="00E52B95" w:rsidP="00E52B95">
      <w:pPr>
        <w:spacing w:line="360" w:lineRule="auto"/>
        <w:jc w:val="both"/>
        <w:rPr>
          <w:rFonts w:ascii="Times New Roman" w:hAnsi="Times New Roman" w:cs="Times New Roman"/>
          <w:color w:val="000000"/>
          <w:sz w:val="24"/>
          <w:szCs w:val="24"/>
        </w:rPr>
      </w:pPr>
    </w:p>
    <w:p w:rsidR="00E52B95" w:rsidRPr="00E52B95" w:rsidRDefault="00E52B95" w:rsidP="00E52B95">
      <w:pPr>
        <w:spacing w:before="100" w:beforeAutospacing="1" w:after="100" w:afterAutospacing="1" w:line="360" w:lineRule="auto"/>
        <w:jc w:val="both"/>
        <w:rPr>
          <w:rFonts w:ascii="Times New Roman" w:eastAsia="Times New Roman" w:hAnsi="Times New Roman" w:cs="Times New Roman"/>
          <w:color w:val="000000"/>
          <w:sz w:val="24"/>
          <w:szCs w:val="24"/>
          <w:lang w:eastAsia="en-IN" w:bidi="ar-SA"/>
        </w:rPr>
      </w:pPr>
    </w:p>
    <w:p w:rsidR="00E52B95" w:rsidRPr="00E52B95" w:rsidRDefault="00E52B95" w:rsidP="00E52B95">
      <w:pPr>
        <w:spacing w:before="100" w:beforeAutospacing="1" w:after="100" w:afterAutospacing="1" w:line="360" w:lineRule="auto"/>
        <w:jc w:val="both"/>
        <w:rPr>
          <w:rFonts w:ascii="Times New Roman" w:eastAsia="Times New Roman" w:hAnsi="Times New Roman" w:cs="Times New Roman"/>
          <w:color w:val="000000"/>
          <w:sz w:val="24"/>
          <w:szCs w:val="24"/>
          <w:lang w:eastAsia="en-IN" w:bidi="ar-SA"/>
        </w:rPr>
      </w:pPr>
    </w:p>
    <w:p w:rsidR="00E52B95" w:rsidRPr="00E52B95" w:rsidRDefault="00E52B95" w:rsidP="00E52B95">
      <w:pPr>
        <w:spacing w:before="100" w:beforeAutospacing="1" w:after="100" w:afterAutospacing="1" w:line="360" w:lineRule="auto"/>
        <w:jc w:val="both"/>
        <w:rPr>
          <w:rFonts w:ascii="Times New Roman" w:eastAsia="Times New Roman" w:hAnsi="Times New Roman" w:cs="Times New Roman"/>
          <w:color w:val="000000"/>
          <w:sz w:val="24"/>
          <w:szCs w:val="24"/>
          <w:lang w:eastAsia="en-IN" w:bidi="ar-SA"/>
        </w:rPr>
      </w:pPr>
    </w:p>
    <w:p w:rsidR="00E52B95" w:rsidRPr="00E52B95" w:rsidRDefault="00E52B95" w:rsidP="00E52B95">
      <w:pPr>
        <w:spacing w:before="100" w:beforeAutospacing="1" w:after="100" w:afterAutospacing="1" w:line="360" w:lineRule="auto"/>
        <w:jc w:val="both"/>
        <w:rPr>
          <w:rFonts w:ascii="Times New Roman" w:eastAsia="Times New Roman" w:hAnsi="Times New Roman" w:cs="Times New Roman"/>
          <w:color w:val="000000"/>
          <w:sz w:val="24"/>
          <w:szCs w:val="24"/>
          <w:lang w:eastAsia="en-IN" w:bidi="ar-SA"/>
        </w:rPr>
      </w:pPr>
    </w:p>
    <w:p w:rsidR="00E52B95" w:rsidRPr="00E52B95" w:rsidRDefault="00E52B95" w:rsidP="00E52B95">
      <w:pPr>
        <w:spacing w:before="100" w:beforeAutospacing="1" w:after="100" w:afterAutospacing="1" w:line="360" w:lineRule="auto"/>
        <w:jc w:val="both"/>
        <w:rPr>
          <w:rFonts w:ascii="Times New Roman" w:eastAsia="Times New Roman" w:hAnsi="Times New Roman" w:cs="Times New Roman"/>
          <w:color w:val="000000"/>
          <w:sz w:val="24"/>
          <w:szCs w:val="24"/>
          <w:lang w:eastAsia="en-IN" w:bidi="ar-SA"/>
        </w:rPr>
      </w:pPr>
    </w:p>
    <w:p w:rsidR="00E52B95" w:rsidRPr="00E52B95" w:rsidRDefault="00E52B95" w:rsidP="00E52B95">
      <w:pPr>
        <w:spacing w:line="360" w:lineRule="auto"/>
        <w:jc w:val="both"/>
        <w:rPr>
          <w:rFonts w:ascii="Times New Roman" w:hAnsi="Times New Roman" w:cs="Times New Roman"/>
          <w:b/>
          <w:bCs/>
          <w:color w:val="000000"/>
          <w:sz w:val="24"/>
          <w:szCs w:val="24"/>
          <w:shd w:val="clear" w:color="auto" w:fill="FFFFFF"/>
        </w:rPr>
      </w:pPr>
    </w:p>
    <w:bookmarkEnd w:id="0"/>
    <w:p w:rsidR="00E52B95" w:rsidRPr="00E52B95" w:rsidRDefault="00E52B95" w:rsidP="00E52B95">
      <w:pPr>
        <w:spacing w:line="360" w:lineRule="auto"/>
        <w:jc w:val="both"/>
        <w:rPr>
          <w:rFonts w:ascii="Times New Roman" w:hAnsi="Times New Roman" w:cs="Times New Roman"/>
          <w:color w:val="000000"/>
          <w:sz w:val="24"/>
          <w:szCs w:val="24"/>
        </w:rPr>
      </w:pPr>
    </w:p>
    <w:p w:rsidR="00F028A8" w:rsidRPr="00E52B95" w:rsidRDefault="00F028A8" w:rsidP="00E52B95">
      <w:pPr>
        <w:spacing w:line="360" w:lineRule="auto"/>
        <w:jc w:val="both"/>
        <w:rPr>
          <w:rFonts w:ascii="Times New Roman" w:hAnsi="Times New Roman" w:cs="Times New Roman"/>
          <w:sz w:val="24"/>
          <w:szCs w:val="24"/>
        </w:rPr>
      </w:pPr>
    </w:p>
    <w:sectPr w:rsidR="00F028A8" w:rsidRPr="00E52B95" w:rsidSect="00E52B95">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22FC8"/>
    <w:multiLevelType w:val="multilevel"/>
    <w:tmpl w:val="9300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B63A20"/>
    <w:multiLevelType w:val="hybridMultilevel"/>
    <w:tmpl w:val="5498BC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1BF4DB2"/>
    <w:multiLevelType w:val="hybridMultilevel"/>
    <w:tmpl w:val="F836E99E"/>
    <w:lvl w:ilvl="0" w:tplc="4009000F">
      <w:start w:val="1"/>
      <w:numFmt w:val="decimal"/>
      <w:lvlText w:val="%1."/>
      <w:lvlJc w:val="left"/>
      <w:pPr>
        <w:ind w:left="1069"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B95"/>
    <w:rsid w:val="00073DBE"/>
    <w:rsid w:val="00150AB0"/>
    <w:rsid w:val="001A40BA"/>
    <w:rsid w:val="001C22B2"/>
    <w:rsid w:val="002668C1"/>
    <w:rsid w:val="0029796B"/>
    <w:rsid w:val="00483183"/>
    <w:rsid w:val="004F1ADB"/>
    <w:rsid w:val="00524E5A"/>
    <w:rsid w:val="00571D4C"/>
    <w:rsid w:val="00572BCF"/>
    <w:rsid w:val="006B63F0"/>
    <w:rsid w:val="007413AD"/>
    <w:rsid w:val="0096160A"/>
    <w:rsid w:val="00AF4BF6"/>
    <w:rsid w:val="00CF355A"/>
    <w:rsid w:val="00E44EEC"/>
    <w:rsid w:val="00E52B95"/>
    <w:rsid w:val="00F028A8"/>
    <w:rsid w:val="00F97818"/>
    <w:rsid w:val="00FF04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7D67076-446B-4B4A-84F1-2A8A647E9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B95"/>
    <w:pPr>
      <w:spacing w:after="200" w:line="276" w:lineRule="auto"/>
    </w:pPr>
    <w:rPr>
      <w:rFonts w:ascii="Calibri" w:eastAsia="Calibri" w:hAnsi="Calibri" w:cs="Mangal"/>
      <w:szCs w:val="20"/>
      <w:lang w:bidi="hi-IN"/>
    </w:rPr>
  </w:style>
  <w:style w:type="paragraph" w:styleId="Heading2">
    <w:name w:val="heading 2"/>
    <w:basedOn w:val="Normal"/>
    <w:next w:val="Normal"/>
    <w:link w:val="Heading2Char"/>
    <w:uiPriority w:val="9"/>
    <w:semiHidden/>
    <w:unhideWhenUsed/>
    <w:qFormat/>
    <w:rsid w:val="00E52B95"/>
    <w:pPr>
      <w:keepNext/>
      <w:spacing w:before="240" w:after="60"/>
      <w:outlineLvl w:val="1"/>
    </w:pPr>
    <w:rPr>
      <w:rFonts w:ascii="Cambria" w:eastAsia="Times New Roman" w:hAnsi="Cambria"/>
      <w:b/>
      <w:bCs/>
      <w:i/>
      <w:iCs/>
      <w:sz w:val="28"/>
      <w:szCs w:val="25"/>
    </w:rPr>
  </w:style>
  <w:style w:type="paragraph" w:styleId="Heading3">
    <w:name w:val="heading 3"/>
    <w:basedOn w:val="Normal"/>
    <w:link w:val="Heading3Char"/>
    <w:uiPriority w:val="9"/>
    <w:qFormat/>
    <w:rsid w:val="00E52B95"/>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unhideWhenUsed/>
    <w:qFormat/>
    <w:rsid w:val="00E52B95"/>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52B95"/>
    <w:rPr>
      <w:rFonts w:ascii="Cambria" w:eastAsia="Times New Roman" w:hAnsi="Cambria" w:cs="Mangal"/>
      <w:b/>
      <w:bCs/>
      <w:i/>
      <w:iCs/>
      <w:sz w:val="28"/>
      <w:szCs w:val="25"/>
      <w:lang w:bidi="hi-IN"/>
    </w:rPr>
  </w:style>
  <w:style w:type="character" w:customStyle="1" w:styleId="Heading3Char">
    <w:name w:val="Heading 3 Char"/>
    <w:basedOn w:val="DefaultParagraphFont"/>
    <w:link w:val="Heading3"/>
    <w:uiPriority w:val="9"/>
    <w:rsid w:val="00E52B95"/>
    <w:rPr>
      <w:rFonts w:ascii="Times New Roman" w:eastAsia="Times New Roman" w:hAnsi="Times New Roman" w:cs="Times New Roman"/>
      <w:b/>
      <w:bCs/>
      <w:sz w:val="27"/>
      <w:szCs w:val="27"/>
      <w:lang w:eastAsia="en-IN" w:bidi="hi-IN"/>
    </w:rPr>
  </w:style>
  <w:style w:type="character" w:customStyle="1" w:styleId="Heading4Char">
    <w:name w:val="Heading 4 Char"/>
    <w:basedOn w:val="DefaultParagraphFont"/>
    <w:link w:val="Heading4"/>
    <w:uiPriority w:val="9"/>
    <w:rsid w:val="00E52B95"/>
    <w:rPr>
      <w:rFonts w:ascii="Cambria" w:eastAsia="Times New Roman" w:hAnsi="Cambria" w:cs="Mangal"/>
      <w:b/>
      <w:bCs/>
      <w:i/>
      <w:iCs/>
      <w:color w:val="4F81BD"/>
      <w:szCs w:val="20"/>
      <w:lang w:bidi="hi-IN"/>
    </w:rPr>
  </w:style>
  <w:style w:type="paragraph" w:styleId="NormalWeb">
    <w:name w:val="Normal (Web)"/>
    <w:basedOn w:val="Normal"/>
    <w:uiPriority w:val="99"/>
    <w:unhideWhenUsed/>
    <w:rsid w:val="00E52B9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citation-29">
    <w:name w:val="citation-29"/>
    <w:rsid w:val="00E52B95"/>
  </w:style>
  <w:style w:type="character" w:customStyle="1" w:styleId="citation-28">
    <w:name w:val="citation-28"/>
    <w:rsid w:val="00E52B95"/>
  </w:style>
  <w:style w:type="character" w:customStyle="1" w:styleId="citation-27">
    <w:name w:val="citation-27"/>
    <w:rsid w:val="00E52B95"/>
  </w:style>
  <w:style w:type="character" w:customStyle="1" w:styleId="citation-25">
    <w:name w:val="citation-25"/>
    <w:rsid w:val="00E52B95"/>
  </w:style>
  <w:style w:type="character" w:customStyle="1" w:styleId="citation-24">
    <w:name w:val="citation-24"/>
    <w:rsid w:val="00E52B95"/>
  </w:style>
  <w:style w:type="character" w:customStyle="1" w:styleId="citation-23">
    <w:name w:val="citation-23"/>
    <w:rsid w:val="00E52B95"/>
  </w:style>
  <w:style w:type="character" w:styleId="Emphasis">
    <w:name w:val="Emphasis"/>
    <w:uiPriority w:val="20"/>
    <w:qFormat/>
    <w:rsid w:val="00E52B95"/>
    <w:rPr>
      <w:i/>
      <w:iCs/>
    </w:rPr>
  </w:style>
  <w:style w:type="character" w:customStyle="1" w:styleId="citation-7">
    <w:name w:val="citation-7"/>
    <w:rsid w:val="00E52B95"/>
  </w:style>
  <w:style w:type="character" w:customStyle="1" w:styleId="citation-6">
    <w:name w:val="citation-6"/>
    <w:rsid w:val="00E52B95"/>
  </w:style>
  <w:style w:type="character" w:customStyle="1" w:styleId="citation-5">
    <w:name w:val="citation-5"/>
    <w:rsid w:val="00E52B95"/>
  </w:style>
  <w:style w:type="character" w:customStyle="1" w:styleId="citation-9">
    <w:name w:val="citation-9"/>
    <w:rsid w:val="00E52B95"/>
  </w:style>
  <w:style w:type="character" w:customStyle="1" w:styleId="citation-8">
    <w:name w:val="citation-8"/>
    <w:rsid w:val="00E52B95"/>
  </w:style>
  <w:style w:type="character" w:customStyle="1" w:styleId="mord">
    <w:name w:val="mord"/>
    <w:rsid w:val="00E52B95"/>
  </w:style>
  <w:style w:type="character" w:customStyle="1" w:styleId="citation-15">
    <w:name w:val="citation-15"/>
    <w:rsid w:val="00E52B95"/>
  </w:style>
  <w:style w:type="character" w:customStyle="1" w:styleId="citation-14">
    <w:name w:val="citation-14"/>
    <w:rsid w:val="00E52B95"/>
  </w:style>
  <w:style w:type="character" w:customStyle="1" w:styleId="citation-13">
    <w:name w:val="citation-13"/>
    <w:rsid w:val="00E52B95"/>
  </w:style>
  <w:style w:type="character" w:customStyle="1" w:styleId="citation-12">
    <w:name w:val="citation-12"/>
    <w:rsid w:val="00E52B95"/>
  </w:style>
  <w:style w:type="character" w:customStyle="1" w:styleId="citation-344">
    <w:name w:val="citation-344"/>
    <w:rsid w:val="00E52B95"/>
  </w:style>
  <w:style w:type="character" w:customStyle="1" w:styleId="citation-343">
    <w:name w:val="citation-343"/>
    <w:rsid w:val="00E52B95"/>
  </w:style>
  <w:style w:type="character" w:customStyle="1" w:styleId="citation-342">
    <w:name w:val="citation-342"/>
    <w:rsid w:val="00E52B95"/>
  </w:style>
  <w:style w:type="character" w:customStyle="1" w:styleId="citation-341">
    <w:name w:val="citation-341"/>
    <w:rsid w:val="00E52B95"/>
  </w:style>
  <w:style w:type="character" w:customStyle="1" w:styleId="citation-340">
    <w:name w:val="citation-340"/>
    <w:rsid w:val="00E52B95"/>
  </w:style>
  <w:style w:type="character" w:customStyle="1" w:styleId="citation-339">
    <w:name w:val="citation-339"/>
    <w:rsid w:val="00E52B95"/>
  </w:style>
  <w:style w:type="character" w:styleId="Hyperlink">
    <w:name w:val="Hyperlink"/>
    <w:uiPriority w:val="99"/>
    <w:unhideWhenUsed/>
    <w:rsid w:val="00E52B95"/>
    <w:rPr>
      <w:color w:val="0000FF"/>
      <w:u w:val="single"/>
    </w:rPr>
  </w:style>
  <w:style w:type="character" w:customStyle="1" w:styleId="citation-106">
    <w:name w:val="citation-106"/>
    <w:rsid w:val="00E52B95"/>
  </w:style>
  <w:style w:type="character" w:customStyle="1" w:styleId="citation-105">
    <w:name w:val="citation-105"/>
    <w:rsid w:val="00E52B95"/>
  </w:style>
  <w:style w:type="character" w:customStyle="1" w:styleId="citation-110">
    <w:name w:val="citation-110"/>
    <w:rsid w:val="00E52B95"/>
  </w:style>
  <w:style w:type="character" w:customStyle="1" w:styleId="citation-109">
    <w:name w:val="citation-109"/>
    <w:rsid w:val="00E52B95"/>
  </w:style>
  <w:style w:type="character" w:customStyle="1" w:styleId="citation-114">
    <w:name w:val="citation-114"/>
    <w:rsid w:val="00E52B95"/>
  </w:style>
  <w:style w:type="character" w:customStyle="1" w:styleId="citation-113">
    <w:name w:val="citation-113"/>
    <w:rsid w:val="00E52B95"/>
  </w:style>
  <w:style w:type="character" w:customStyle="1" w:styleId="citation-4">
    <w:name w:val="citation-4"/>
    <w:rsid w:val="00E52B95"/>
  </w:style>
  <w:style w:type="character" w:customStyle="1" w:styleId="citation-358">
    <w:name w:val="citation-358"/>
    <w:rsid w:val="00E52B95"/>
  </w:style>
  <w:style w:type="character" w:customStyle="1" w:styleId="citation-357">
    <w:name w:val="citation-357"/>
    <w:rsid w:val="00E52B95"/>
  </w:style>
  <w:style w:type="character" w:customStyle="1" w:styleId="citation-356">
    <w:name w:val="citation-356"/>
    <w:rsid w:val="00E52B95"/>
  </w:style>
  <w:style w:type="character" w:customStyle="1" w:styleId="citation-355">
    <w:name w:val="citation-355"/>
    <w:rsid w:val="00E52B95"/>
  </w:style>
  <w:style w:type="character" w:customStyle="1" w:styleId="citation-354">
    <w:name w:val="citation-354"/>
    <w:rsid w:val="00E52B95"/>
  </w:style>
  <w:style w:type="character" w:customStyle="1" w:styleId="citation-353">
    <w:name w:val="citation-353"/>
    <w:rsid w:val="00E52B95"/>
  </w:style>
  <w:style w:type="character" w:customStyle="1" w:styleId="citation-352">
    <w:name w:val="citation-352"/>
    <w:rsid w:val="00E52B95"/>
  </w:style>
  <w:style w:type="character" w:styleId="Strong">
    <w:name w:val="Strong"/>
    <w:uiPriority w:val="22"/>
    <w:qFormat/>
    <w:rsid w:val="00E52B95"/>
    <w:rPr>
      <w:b/>
      <w:bCs/>
    </w:rPr>
  </w:style>
  <w:style w:type="character" w:customStyle="1" w:styleId="BalloonTextChar">
    <w:name w:val="Balloon Text Char"/>
    <w:basedOn w:val="DefaultParagraphFont"/>
    <w:link w:val="BalloonText"/>
    <w:uiPriority w:val="99"/>
    <w:semiHidden/>
    <w:rsid w:val="00E52B95"/>
    <w:rPr>
      <w:rFonts w:ascii="Tahoma" w:eastAsia="Calibri" w:hAnsi="Tahoma" w:cs="Mangal"/>
      <w:sz w:val="16"/>
      <w:szCs w:val="14"/>
      <w:lang w:bidi="hi-IN"/>
    </w:rPr>
  </w:style>
  <w:style w:type="paragraph" w:styleId="BalloonText">
    <w:name w:val="Balloon Text"/>
    <w:basedOn w:val="Normal"/>
    <w:link w:val="BalloonTextChar"/>
    <w:uiPriority w:val="99"/>
    <w:semiHidden/>
    <w:unhideWhenUsed/>
    <w:rsid w:val="00E52B95"/>
    <w:pPr>
      <w:spacing w:after="0" w:line="240" w:lineRule="auto"/>
    </w:pPr>
    <w:rPr>
      <w:rFonts w:ascii="Tahoma" w:hAnsi="Tahoma"/>
      <w:sz w:val="16"/>
      <w:szCs w:val="14"/>
    </w:rPr>
  </w:style>
  <w:style w:type="paragraph" w:styleId="ListParagraph">
    <w:name w:val="List Paragraph"/>
    <w:basedOn w:val="Normal"/>
    <w:uiPriority w:val="34"/>
    <w:qFormat/>
    <w:rsid w:val="00E52B95"/>
    <w:pPr>
      <w:ind w:left="720"/>
      <w:contextualSpacing/>
    </w:pPr>
  </w:style>
  <w:style w:type="table" w:styleId="TableGrid">
    <w:name w:val="Table Grid"/>
    <w:basedOn w:val="TableNormal"/>
    <w:uiPriority w:val="59"/>
    <w:rsid w:val="00E52B95"/>
    <w:pPr>
      <w:spacing w:after="0" w:line="240" w:lineRule="auto"/>
    </w:pPr>
    <w:rPr>
      <w:rFonts w:ascii="Calibri" w:eastAsia="Calibri" w:hAnsi="Calibri" w:cs="Mangal"/>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108">
    <w:name w:val="citation-108"/>
    <w:rsid w:val="00E52B95"/>
  </w:style>
  <w:style w:type="character" w:customStyle="1" w:styleId="citation-107">
    <w:name w:val="citation-107"/>
    <w:rsid w:val="00E52B95"/>
  </w:style>
  <w:style w:type="character" w:customStyle="1" w:styleId="citation-131">
    <w:name w:val="citation-131"/>
    <w:rsid w:val="00E52B95"/>
  </w:style>
  <w:style w:type="character" w:customStyle="1" w:styleId="citation-130">
    <w:name w:val="citation-130"/>
    <w:rsid w:val="00E52B95"/>
  </w:style>
  <w:style w:type="character" w:customStyle="1" w:styleId="citation-129">
    <w:name w:val="citation-129"/>
    <w:rsid w:val="00E52B95"/>
  </w:style>
  <w:style w:type="character" w:customStyle="1" w:styleId="citation-128">
    <w:name w:val="citation-128"/>
    <w:rsid w:val="00E52B95"/>
  </w:style>
  <w:style w:type="character" w:customStyle="1" w:styleId="citation-127">
    <w:name w:val="citation-127"/>
    <w:rsid w:val="00E52B95"/>
  </w:style>
  <w:style w:type="character" w:customStyle="1" w:styleId="citation-126">
    <w:name w:val="citation-126"/>
    <w:rsid w:val="00E52B95"/>
  </w:style>
  <w:style w:type="character" w:customStyle="1" w:styleId="citation-125">
    <w:name w:val="citation-125"/>
    <w:rsid w:val="00E52B95"/>
  </w:style>
  <w:style w:type="character" w:customStyle="1" w:styleId="citation-124">
    <w:name w:val="citation-124"/>
    <w:rsid w:val="00E52B95"/>
  </w:style>
  <w:style w:type="character" w:customStyle="1" w:styleId="citation-123">
    <w:name w:val="citation-123"/>
    <w:rsid w:val="00E52B95"/>
  </w:style>
  <w:style w:type="character" w:customStyle="1" w:styleId="citation-122">
    <w:name w:val="citation-122"/>
    <w:rsid w:val="00E52B95"/>
  </w:style>
  <w:style w:type="paragraph" w:styleId="Header">
    <w:name w:val="header"/>
    <w:basedOn w:val="Normal"/>
    <w:link w:val="HeaderChar"/>
    <w:uiPriority w:val="99"/>
    <w:unhideWhenUsed/>
    <w:rsid w:val="00E52B95"/>
    <w:pPr>
      <w:tabs>
        <w:tab w:val="center" w:pos="4513"/>
        <w:tab w:val="right" w:pos="9026"/>
      </w:tabs>
    </w:pPr>
  </w:style>
  <w:style w:type="character" w:customStyle="1" w:styleId="HeaderChar">
    <w:name w:val="Header Char"/>
    <w:basedOn w:val="DefaultParagraphFont"/>
    <w:link w:val="Header"/>
    <w:uiPriority w:val="99"/>
    <w:rsid w:val="00E52B95"/>
    <w:rPr>
      <w:rFonts w:ascii="Calibri" w:eastAsia="Calibri" w:hAnsi="Calibri" w:cs="Mangal"/>
      <w:szCs w:val="20"/>
      <w:lang w:bidi="hi-IN"/>
    </w:rPr>
  </w:style>
  <w:style w:type="paragraph" w:styleId="Footer">
    <w:name w:val="footer"/>
    <w:basedOn w:val="Normal"/>
    <w:link w:val="FooterChar"/>
    <w:uiPriority w:val="99"/>
    <w:unhideWhenUsed/>
    <w:rsid w:val="00E52B95"/>
    <w:pPr>
      <w:tabs>
        <w:tab w:val="center" w:pos="4513"/>
        <w:tab w:val="right" w:pos="9026"/>
      </w:tabs>
    </w:pPr>
  </w:style>
  <w:style w:type="character" w:customStyle="1" w:styleId="FooterChar">
    <w:name w:val="Footer Char"/>
    <w:basedOn w:val="DefaultParagraphFont"/>
    <w:link w:val="Footer"/>
    <w:uiPriority w:val="99"/>
    <w:rsid w:val="00E52B95"/>
    <w:rPr>
      <w:rFonts w:ascii="Calibri" w:eastAsia="Calibri" w:hAnsi="Calibri" w:cs="Mangal"/>
      <w:szCs w:val="20"/>
      <w:lang w:bidi="hi-IN"/>
    </w:rPr>
  </w:style>
  <w:style w:type="character" w:customStyle="1" w:styleId="identifier">
    <w:name w:val="identifier"/>
    <w:rsid w:val="00E52B95"/>
  </w:style>
  <w:style w:type="character" w:customStyle="1" w:styleId="id-label">
    <w:name w:val="id-label"/>
    <w:rsid w:val="00E52B95"/>
  </w:style>
  <w:style w:type="character" w:customStyle="1" w:styleId="label">
    <w:name w:val="label"/>
    <w:rsid w:val="00E52B95"/>
  </w:style>
  <w:style w:type="character" w:customStyle="1" w:styleId="value">
    <w:name w:val="value"/>
    <w:rsid w:val="00E52B95"/>
  </w:style>
  <w:style w:type="paragraph" w:customStyle="1" w:styleId="chakra-text">
    <w:name w:val="chakra-text"/>
    <w:basedOn w:val="Normal"/>
    <w:rsid w:val="00E52B95"/>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character" w:customStyle="1" w:styleId="anchor-text">
    <w:name w:val="anchor-text"/>
    <w:rsid w:val="00E52B95"/>
  </w:style>
  <w:style w:type="character" w:customStyle="1" w:styleId="loc-label">
    <w:name w:val="loc-label"/>
    <w:rsid w:val="00E52B95"/>
  </w:style>
  <w:style w:type="character" w:customStyle="1" w:styleId="loc-value">
    <w:name w:val="loc-value"/>
    <w:rsid w:val="00E52B95"/>
  </w:style>
  <w:style w:type="character" w:customStyle="1" w:styleId="heading">
    <w:name w:val="heading"/>
    <w:rsid w:val="00E52B95"/>
  </w:style>
  <w:style w:type="character" w:customStyle="1" w:styleId="vkekvd">
    <w:name w:val="vkekvd"/>
    <w:rsid w:val="00E52B95"/>
  </w:style>
  <w:style w:type="character" w:styleId="LineNumber">
    <w:name w:val="line number"/>
    <w:uiPriority w:val="99"/>
    <w:semiHidden/>
    <w:unhideWhenUsed/>
    <w:rsid w:val="00E52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39/D1RA07370B" TargetMode="External"/><Relationship Id="rId21" Type="http://schemas.openxmlformats.org/officeDocument/2006/relationships/hyperlink" Target="https://doi.org/10.3390/plants10071419" TargetMode="External"/><Relationship Id="rId42" Type="http://schemas.openxmlformats.org/officeDocument/2006/relationships/hyperlink" Target="https://doi.org/10.3390/app112110205" TargetMode="External"/><Relationship Id="rId47" Type="http://schemas.openxmlformats.org/officeDocument/2006/relationships/hyperlink" Target="https://doi.org/10.1201/9781003284444_3?urlappend=%3Futm_source%3Dresearchgate.net%26medium%3Darticle" TargetMode="External"/><Relationship Id="rId63" Type="http://schemas.openxmlformats.org/officeDocument/2006/relationships/hyperlink" Target="https://doi.org/10.1016/j.foodchem.2013.06.010" TargetMode="External"/><Relationship Id="rId68" Type="http://schemas.openxmlformats.org/officeDocument/2006/relationships/hyperlink" Target="https://doi.org/10.47760/ijpsm.2021.v06i08.011" TargetMode="External"/><Relationship Id="rId84" Type="http://schemas.openxmlformats.org/officeDocument/2006/relationships/hyperlink" Target="https://doi.org/10.3390/foods8060185" TargetMode="External"/><Relationship Id="rId89" Type="http://schemas.openxmlformats.org/officeDocument/2006/relationships/hyperlink" Target="https://www.metastatinsight.com/press-details/cardamom-market" TargetMode="External"/><Relationship Id="rId16" Type="http://schemas.openxmlformats.org/officeDocument/2006/relationships/hyperlink" Target="https://doi.org/10.1007/s10722-024-02198-7" TargetMode="External"/><Relationship Id="rId11" Type="http://schemas.openxmlformats.org/officeDocument/2006/relationships/hyperlink" Target="https://doi.org/10.1002/fedr.201900013" TargetMode="External"/><Relationship Id="rId32" Type="http://schemas.openxmlformats.org/officeDocument/2006/relationships/hyperlink" Target="https://doi.org/10.34172/jhp.2021.32" TargetMode="External"/><Relationship Id="rId37" Type="http://schemas.openxmlformats.org/officeDocument/2006/relationships/hyperlink" Target="https://doi.org/10.5897/AJAR11.745" TargetMode="External"/><Relationship Id="rId53" Type="http://schemas.openxmlformats.org/officeDocument/2006/relationships/hyperlink" Target="https://doi.org/10.3390/molecules27092826" TargetMode="External"/><Relationship Id="rId58" Type="http://schemas.openxmlformats.org/officeDocument/2006/relationships/hyperlink" Target="https://www.google.com/search?q=Phytochem.+Rev&amp;sca_esv=1d3581c3a6bf1444&amp;ei=tUwUaeqZDNTG4-EP0sOY-Ac&amp;ved=2ahUKEwjsspGLoOyQAxXB4zgGHQa4KDkQgK4QegQIARAC&amp;oq=Phytochemistry+Reviews+journal+abbreviation&amp;gs_lp=Egxnd3Mtd2l6LXNlcnAiK1BoeXRvY2hlbWlzdHJ5IFJldmlld3Mgam91cm5hbCBhYmJyZXZpYXRpb24yBBAAGB4yCxAAGIAEGIYDGIoFMgsQABiABBiGAxiKBTILEAAYgAQYhgMYigUyCxAAGIAEGIYDGIoFMggQABiABBiiBDIIEAAYgAQYogRIgxNQAFgAcAB4AZABAJgBqwKgAasCqgEDMi0xuAEMyAEA-AEC-AEBmAIBoAK0ApgDAJIHAzMtMaAH5wSyBwMzLTG4B7QCwgcDMi0xyAcG&amp;sclient=gws-wiz-serp&amp;mstk=AUtExfDqqWwLB1RsBrptwAz1VQObRN9CBpq4xDbeyyxzqBq6eAJMZ8lJhP8aDvfirZiPiGLZNXYKGW7JGh4YFsXAIJE0236kzjnOSJG8wjKOS1GUyGpA3ACWqWTlhMoc8G-0CodaBhRu6laUNq-xQe793z88ejf_As05bMHZNbjUGI4XU2WI4vudUb_SJKb9lfOleBns&amp;csui=3" TargetMode="External"/><Relationship Id="rId74" Type="http://schemas.openxmlformats.org/officeDocument/2006/relationships/hyperlink" Target="https://doi.org/10.1016/j.bmcl.2010.02.101" TargetMode="External"/><Relationship Id="rId79" Type="http://schemas.openxmlformats.org/officeDocument/2006/relationships/hyperlink" Target="https://www.google.com/search?q=World+J+Tradit+Chin+Med&amp;sca_esv=1d3581c3a6bf1444&amp;ei=xVEUaYHKONOO4-EP27bEwQc&amp;ved=2ahUKEwj1hOeDpeyQAxUBh1YBHYGAAEYQgK4QegQIARAC&amp;oq=World+Journal+of+Traditional+Chinese+Medicine+journal+abbreviation&amp;gs_lp=Egxnd3Mtd2l6LXNlcnAiQldvcmxkIEpvdXJuYWwgb2YgVHJhZGl0aW9uYWwgQ2hpbmVzZSBNZWRpY2luZSBqb3VybmFsIGFiYnJldmlhdGlvbkjLGFDIBFjIBHABeAGQAQCYAZUCoAGVAqoBAzItMbgBDMgBAPgBAvgBAZgCAaACCcICChAAGLADGNYEGEeYAwCIBgGQBgiSBwExoAd2sgcAuAcAwgcDMi0xyAcG&amp;sclient=gws-wiz-serp&amp;mstk=AUtExfCg4w-4ULJVabXOKjrfxgqayRyIWSunH38Ohn4x4in5ObuWqw1UeWB77uc2ChnxT9T9GQN35Kl9hx-NPr8CYL3tznFECNSfhBLKZr4I5wwF4qdavEuryUbE07uUbbxIvROgvqxnBPorYDfOQ-gNqKefqE-K6rclo6g-bYAexU4-cYoenn3NrrjqDG8ql_-a9sCj&amp;csui=3" TargetMode="External"/><Relationship Id="rId5" Type="http://schemas.openxmlformats.org/officeDocument/2006/relationships/hyperlink" Target="https://www.metastatinsight.com/press-details/cardamom-market" TargetMode="External"/><Relationship Id="rId90" Type="http://schemas.openxmlformats.org/officeDocument/2006/relationships/hyperlink" Target="https://www.cultivatornatural.com/project/amomum-subulatum-fruits/" TargetMode="External"/><Relationship Id="rId95" Type="http://schemas.openxmlformats.org/officeDocument/2006/relationships/hyperlink" Target="https://doi.org/10.1002/rmv.2282" TargetMode="External"/><Relationship Id="rId22" Type="http://schemas.openxmlformats.org/officeDocument/2006/relationships/hyperlink" Target="https://doi.org/10.13057/biodiv/d221235" TargetMode="External"/><Relationship Id="rId27" Type="http://schemas.openxmlformats.org/officeDocument/2006/relationships/hyperlink" Target="http://dx.doi.org/10.5530/pj.2018.1.2" TargetMode="External"/><Relationship Id="rId43" Type="http://schemas.openxmlformats.org/officeDocument/2006/relationships/hyperlink" Target="https://doi.org/10.1186/s43094-021-00316-1" TargetMode="External"/><Relationship Id="rId48" Type="http://schemas.openxmlformats.org/officeDocument/2006/relationships/hyperlink" Target="https://doi.org/10.3390/molecules28073278" TargetMode="External"/><Relationship Id="rId64" Type="http://schemas.openxmlformats.org/officeDocument/2006/relationships/hyperlink" Target="https://doi.org/10.1093/advances/nmx011" TargetMode="External"/><Relationship Id="rId69" Type="http://schemas.openxmlformats.org/officeDocument/2006/relationships/hyperlink" Target="https://doi.org/10.29090/psa.2021.01.19.070" TargetMode="External"/><Relationship Id="rId80" Type="http://schemas.openxmlformats.org/officeDocument/2006/relationships/hyperlink" Target="https://doi.org/10.1016/j.proche.2014.12.020" TargetMode="External"/><Relationship Id="rId85" Type="http://schemas.openxmlformats.org/officeDocument/2006/relationships/hyperlink" Target="https://www.thebusinessresearchcompany.com/report/ginger-global-market-report" TargetMode="External"/><Relationship Id="rId12" Type="http://schemas.openxmlformats.org/officeDocument/2006/relationships/hyperlink" Target="https://doi.org/10.1039/D1RA07370B" TargetMode="External"/><Relationship Id="rId17" Type="http://schemas.openxmlformats.org/officeDocument/2006/relationships/hyperlink" Target="https://doi.org/10.3389/fnut.2024.1364836" TargetMode="External"/><Relationship Id="rId25" Type="http://schemas.openxmlformats.org/officeDocument/2006/relationships/hyperlink" Target="https://doi.org/10.1155/2021/9960813" TargetMode="External"/><Relationship Id="rId33" Type="http://schemas.openxmlformats.org/officeDocument/2006/relationships/hyperlink" Target="https://doi.org/10.3390/foods8060185" TargetMode="External"/><Relationship Id="rId38" Type="http://schemas.openxmlformats.org/officeDocument/2006/relationships/hyperlink" Target="https://doi.org/10.1016/j.antiviral.2024.106073" TargetMode="External"/><Relationship Id="rId46" Type="http://schemas.openxmlformats.org/officeDocument/2006/relationships/hyperlink" Target="https://doi.org/10.1016/j.phyplu.2024.100597" TargetMode="External"/><Relationship Id="rId59" Type="http://schemas.openxmlformats.org/officeDocument/2006/relationships/hyperlink" Target="https://www.google.com/search?q=.&amp;sca_esv=1d3581c3a6bf1444&amp;ei=tUwUaeqZDNTG4-EP0sOY-Ac&amp;ved=2ahUKEwjsspGLoOyQAxXB4zgGHQa4KDkQgK4QegQIARAD&amp;oq=Phytochemistry+Reviews+journal+abbreviation&amp;gs_lp=Egxnd3Mtd2l6LXNlcnAiK1BoeXRvY2hlbWlzdHJ5IFJldmlld3Mgam91cm5hbCBhYmJyZXZpYXRpb24yBBAAGB4yCxAAGIAEGIYDGIoFMgsQABiABBiGAxiKBTILEAAYgAQYhgMYigUyCxAAGIAEGIYDGIoFMggQABiABBiiBDIIEAAYgAQYogRIgxNQAFgAcAB4AZABAJgBqwKgAasCqgEDMi0xuAEMyAEA-AEC-AEBmAIBoAK0ApgDAJIHAzMtMaAH5wSyBwMzLTG4B7QCwgcDMi0xyAcG&amp;sclient=gws-wiz-serp&amp;mstk=AUtExfDqqWwLB1RsBrptwAz1VQObRN9CBpq4xDbeyyxzqBq6eAJMZ8lJhP8aDvfirZiPiGLZNXYKGW7JGh4YFsXAIJE0236kzjnOSJG8wjKOS1GUyGpA3ACWqWTlhMoc8G-0CodaBhRu6laUNq-xQe793z88ejf_As05bMHZNbjUGI4XU2WI4vudUb_SJKb9lfOleBns&amp;csui=3" TargetMode="External"/><Relationship Id="rId67" Type="http://schemas.openxmlformats.org/officeDocument/2006/relationships/hyperlink" Target="https://doi.org/10.2147/jep.s499115" TargetMode="External"/><Relationship Id="rId20" Type="http://schemas.openxmlformats.org/officeDocument/2006/relationships/hyperlink" Target="https://doi.org/10.5852/ejt.2022.839.1933" TargetMode="External"/><Relationship Id="rId41" Type="http://schemas.openxmlformats.org/officeDocument/2006/relationships/hyperlink" Target="https://www.google.com/search?q=Appl.+Sci&amp;sca_esv=1d3581c3a6bf1444&amp;ei=ekkUabHvAq-P4-EPk_uMsQc&amp;ved=2ahUKEwjWr-yLneyQAxX6RioJHeuoMkgQgK4QegQIAxAC&amp;oq=Applied+Sciences+journal+abbreviation&amp;gs_lp=Egxnd3Mtd2l6LXNlcnAiJUFwcGxpZWQgU2NpZW5jZXMgam91cm5hbCBhYmJyZXZpYXRpb24yBRAAGIAEMgYQABgHGB4yBhAAGAcYHjIGEAAYBRgeMgYQABgFGB4yBhAAGAUYHjIGEAAYBRgeMgYQABgFGB4yCBAAGAUYBxgeMgYQABgIGB5IxkRQAFi6L3ABeAGQAQCYAa8CoAHDBaoBBzAuMS4xLjG4AQzIAQD4AQL4AQGYAgSgAu4FwgIHEAAYgAQYDcICCBAAGAcYCBgewgIIEAAYBRgNGB7CAggQABgIGA0YHsICCxAAGIAEGIYDGIoFmAMAkgcHMS4xLjEuMaAH3RyyBwcwLjEuMS4xuAfkBcIHBTItMi4yyAcf&amp;sclient=gws-wiz-serp&amp;mstk=AUtExfBFN0eupK3eb509Y7AuIzhenE3TsIEhNw5jv63Su6Q_2AJ_21xVvswAGy8D0-EZvt7MbQgXumqKyxlaL9NxJjjt_-iljMaO9hGvaRREkz6p_dLAjfjLvYmCMO9A4PCJyLzr0KUa7h7siRGmvCbeLs36lg9BQKoTtyT-She5xsoyLRVHbZkss6BXyZaefIrWqDU4&amp;csui=3" TargetMode="External"/><Relationship Id="rId54" Type="http://schemas.openxmlformats.org/officeDocument/2006/relationships/hyperlink" Target="https://doi.org/10.13057/biodiv/d200527" TargetMode="External"/><Relationship Id="rId62" Type="http://schemas.openxmlformats.org/officeDocument/2006/relationships/hyperlink" Target="https://doi.org/10.1016/j.cbi.2017.04.017" TargetMode="External"/><Relationship Id="rId70" Type="http://schemas.openxmlformats.org/officeDocument/2006/relationships/hyperlink" Target="https://doi.org/10.3390/molecules28073278" TargetMode="External"/><Relationship Id="rId75" Type="http://schemas.openxmlformats.org/officeDocument/2006/relationships/hyperlink" Target="https://doi.org/10.3390/ijms20184560" TargetMode="External"/><Relationship Id="rId83" Type="http://schemas.openxmlformats.org/officeDocument/2006/relationships/hyperlink" Target="https://doi.org/10.5897/AJAR2018.13755" TargetMode="External"/><Relationship Id="rId88" Type="http://schemas.openxmlformats.org/officeDocument/2006/relationships/hyperlink" Target="https://doi.org/10.1142/9789812837912_0003" TargetMode="External"/><Relationship Id="rId91" Type="http://schemas.openxmlformats.org/officeDocument/2006/relationships/hyperlink" Target="https://www.dabur.com/ayurveda/ayurvedic-medicinal-plants/badi-elaichi" TargetMode="External"/><Relationship Id="rId96" Type="http://schemas.openxmlformats.org/officeDocument/2006/relationships/hyperlink" Target="https://doi.org/10.1016/j.jafr.2023.100680" TargetMode="External"/><Relationship Id="rId1" Type="http://schemas.openxmlformats.org/officeDocument/2006/relationships/numbering" Target="numbering.xml"/><Relationship Id="rId6" Type="http://schemas.openxmlformats.org/officeDocument/2006/relationships/hyperlink" Target="https://www.cultivatornatural.com/project/amomum-subulatum-fruits/" TargetMode="External"/><Relationship Id="rId15" Type="http://schemas.openxmlformats.org/officeDocument/2006/relationships/hyperlink" Target="https://doi.org/10.13057/biodiv/d260239" TargetMode="External"/><Relationship Id="rId23" Type="http://schemas.openxmlformats.org/officeDocument/2006/relationships/hyperlink" Target="https://doi.org/10.3906/bot-1910-33" TargetMode="External"/><Relationship Id="rId28" Type="http://schemas.openxmlformats.org/officeDocument/2006/relationships/hyperlink" Target="https://doi.org/10.11648/j.ijcm.20170102.13" TargetMode="External"/><Relationship Id="rId36" Type="http://schemas.openxmlformats.org/officeDocument/2006/relationships/hyperlink" Target="https://doi.org/10.1007/978-981-97-1529-9_6" TargetMode="External"/><Relationship Id="rId49" Type="http://schemas.openxmlformats.org/officeDocument/2006/relationships/hyperlink" Target="https://doi.org/10.1016/j.jep.2024.118615" TargetMode="External"/><Relationship Id="rId57" Type="http://schemas.openxmlformats.org/officeDocument/2006/relationships/hyperlink" Target="https://doi.org/10.51470/PLANTARCHIVES.2021.v21.no2.080" TargetMode="External"/><Relationship Id="rId10" Type="http://schemas.openxmlformats.org/officeDocument/2006/relationships/hyperlink" Target="https://doi.org/10.1007/978-981-10-5403-7" TargetMode="External"/><Relationship Id="rId31" Type="http://schemas.openxmlformats.org/officeDocument/2006/relationships/hyperlink" Target="https://doi.org/10.55779/nsb15411489" TargetMode="External"/><Relationship Id="rId44" Type="http://schemas.openxmlformats.org/officeDocument/2006/relationships/hyperlink" Target="https://doi.org/10.1016/j.jep.2019.112244" TargetMode="External"/><Relationship Id="rId52" Type="http://schemas.openxmlformats.org/officeDocument/2006/relationships/hyperlink" Target="https://doi.org/10.1016/j.onano.2025.100242" TargetMode="External"/><Relationship Id="rId60" Type="http://schemas.openxmlformats.org/officeDocument/2006/relationships/hyperlink" Target="https://doi.org/10.3390/molecules28073278" TargetMode="External"/><Relationship Id="rId65" Type="http://schemas.openxmlformats.org/officeDocument/2006/relationships/hyperlink" Target="https://doi.org/10.1080/17425255.2019.1650914" TargetMode="External"/><Relationship Id="rId73" Type="http://schemas.openxmlformats.org/officeDocument/2006/relationships/hyperlink" Target="https://doi.org/10.3109/19390211.2015.1008611" TargetMode="External"/><Relationship Id="rId78" Type="http://schemas.openxmlformats.org/officeDocument/2006/relationships/hyperlink" Target="https://doi.org/10.1155/2014/204797" TargetMode="External"/><Relationship Id="rId81" Type="http://schemas.openxmlformats.org/officeDocument/2006/relationships/hyperlink" Target="https://doi.org/10.1186/s12906-017-1921-y" TargetMode="External"/><Relationship Id="rId86" Type="http://schemas.openxmlformats.org/officeDocument/2006/relationships/hyperlink" Target="https://doi.org/10.3390/foods6100092" TargetMode="External"/><Relationship Id="rId94" Type="http://schemas.openxmlformats.org/officeDocument/2006/relationships/hyperlink" Target="https://doi.org/10.1007/978-3-030-16546-8_3" TargetMode="External"/><Relationship Id="rId99" Type="http://schemas.openxmlformats.org/officeDocument/2006/relationships/hyperlink" Target="https://doi.org/10.1007/s43450-022-00238-w" TargetMode="Externa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02/cbdv.202100345" TargetMode="External"/><Relationship Id="rId13" Type="http://schemas.openxmlformats.org/officeDocument/2006/relationships/hyperlink" Target="https://doi.org/10.1177/1934578X251329422" TargetMode="External"/><Relationship Id="rId18" Type="http://schemas.openxmlformats.org/officeDocument/2006/relationships/hyperlink" Target="https://doi.org/10.3389/fnut.2024.1364836" TargetMode="External"/><Relationship Id="rId39" Type="http://schemas.openxmlformats.org/officeDocument/2006/relationships/hyperlink" Target="https://doi.org/10.1007/s44372-025-00321-1" TargetMode="External"/><Relationship Id="rId34" Type="http://schemas.openxmlformats.org/officeDocument/2006/relationships/hyperlink" Target="https://doi.org/10.1007/978-3-030-57415-4_37" TargetMode="External"/><Relationship Id="rId50" Type="http://schemas.openxmlformats.org/officeDocument/2006/relationships/hyperlink" Target="https://doi.org/10.1016/j.jep.2024.118615" TargetMode="External"/><Relationship Id="rId55" Type="http://schemas.openxmlformats.org/officeDocument/2006/relationships/hyperlink" Target="https://doi.org/10.15806/j.issn.2311-8571.2015.0026" TargetMode="External"/><Relationship Id="rId76" Type="http://schemas.openxmlformats.org/officeDocument/2006/relationships/hyperlink" Target="https://doi.org/10.1080/01635581.2016.1159701" TargetMode="External"/><Relationship Id="rId97" Type="http://schemas.openxmlformats.org/officeDocument/2006/relationships/hyperlink" Target="https://doi.org/10.3892/or.2015.3869" TargetMode="External"/><Relationship Id="rId7" Type="http://schemas.openxmlformats.org/officeDocument/2006/relationships/hyperlink" Target="https://www.dabur.com/ayurveda/ayurvedic-medicinal-plants/badi-elaichi" TargetMode="External"/><Relationship Id="rId71" Type="http://schemas.openxmlformats.org/officeDocument/2006/relationships/hyperlink" Target="https://doi.org/10.1186/s12906-016-1090-4" TargetMode="External"/><Relationship Id="rId92" Type="http://schemas.openxmlformats.org/officeDocument/2006/relationships/hyperlink" Target="https://doi.org/10.26480/faer.02.2021.121.123" TargetMode="External"/><Relationship Id="rId2" Type="http://schemas.openxmlformats.org/officeDocument/2006/relationships/styles" Target="styles.xml"/><Relationship Id="rId29" Type="http://schemas.openxmlformats.org/officeDocument/2006/relationships/hyperlink" Target="https://doi.org/10.1016/j.sajb.2023.08.046" TargetMode="External"/><Relationship Id="rId24" Type="http://schemas.openxmlformats.org/officeDocument/2006/relationships/hyperlink" Target="https://doi.org/10.3724/SP.J.1002.2008.07003" TargetMode="External"/><Relationship Id="rId40" Type="http://schemas.openxmlformats.org/officeDocument/2006/relationships/hyperlink" Target="https://doi.org/10.1371/journal.pone.0262335" TargetMode="External"/><Relationship Id="rId45" Type="http://schemas.openxmlformats.org/officeDocument/2006/relationships/hyperlink" Target="https://doi.org/10.1016/j.napere.2024.100088" TargetMode="External"/><Relationship Id="rId66" Type="http://schemas.openxmlformats.org/officeDocument/2006/relationships/hyperlink" Target="https://doi.org/10.2147/jep.s499115" TargetMode="External"/><Relationship Id="rId87" Type="http://schemas.openxmlformats.org/officeDocument/2006/relationships/hyperlink" Target="https://www.mordorintelligence.com/industry-reports/turmeric-market" TargetMode="External"/><Relationship Id="rId61" Type="http://schemas.openxmlformats.org/officeDocument/2006/relationships/hyperlink" Target="https://doi.org/10.22146/ijc.95402" TargetMode="External"/><Relationship Id="rId82" Type="http://schemas.openxmlformats.org/officeDocument/2006/relationships/hyperlink" Target="https://doi.org/10.1177/1934578X1200700233?urlappend=%3Futm_source%3Dresearchgate.net%26medium%3Darticle" TargetMode="External"/><Relationship Id="rId19" Type="http://schemas.openxmlformats.org/officeDocument/2006/relationships/hyperlink" Target="https://doi.org/10.1007/s00253-023-12682-2" TargetMode="External"/><Relationship Id="rId14" Type="http://schemas.openxmlformats.org/officeDocument/2006/relationships/hyperlink" Target="https://doi.org/10.13057/biodiv/d260239" TargetMode="External"/><Relationship Id="rId30" Type="http://schemas.openxmlformats.org/officeDocument/2006/relationships/hyperlink" Target="https://doi.org/10.1186/s40529-021-00318-5" TargetMode="External"/><Relationship Id="rId35" Type="http://schemas.openxmlformats.org/officeDocument/2006/relationships/hyperlink" Target="http://dx.doi.org/10.5530/pres.20252063" TargetMode="External"/><Relationship Id="rId56" Type="http://schemas.openxmlformats.org/officeDocument/2006/relationships/hyperlink" Target="https://doi.org/10.34172/jhp.2021.32" TargetMode="External"/><Relationship Id="rId77" Type="http://schemas.openxmlformats.org/officeDocument/2006/relationships/hyperlink" Target="https://doi.org/10.1074/jbc.m310369200" TargetMode="External"/><Relationship Id="rId100" Type="http://schemas.openxmlformats.org/officeDocument/2006/relationships/fontTable" Target="fontTable.xml"/><Relationship Id="rId8" Type="http://schemas.openxmlformats.org/officeDocument/2006/relationships/hyperlink" Target="https://doi.org/10.3390/ijms22063009" TargetMode="External"/><Relationship Id="rId51" Type="http://schemas.openxmlformats.org/officeDocument/2006/relationships/hyperlink" Target="https://doi.org/10.1016/j.onano.2025.100242" TargetMode="External"/><Relationship Id="rId72" Type="http://schemas.openxmlformats.org/officeDocument/2006/relationships/hyperlink" Target="https://doi.org/10.1016/j.jep.2009.10.004" TargetMode="External"/><Relationship Id="rId93" Type="http://schemas.openxmlformats.org/officeDocument/2006/relationships/hyperlink" Target="https://doi.org/10.15806/j.issn.2311-8571.2015.0026" TargetMode="External"/><Relationship Id="rId98" Type="http://schemas.openxmlformats.org/officeDocument/2006/relationships/hyperlink" Target="https://doi.org/10.1016/j.biopha.2018.09.154"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60</Pages>
  <Words>18131</Words>
  <Characters>103351</Characters>
  <Application>Microsoft Office Word</Application>
  <DocSecurity>0</DocSecurity>
  <Lines>861</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10</cp:revision>
  <dcterms:created xsi:type="dcterms:W3CDTF">2025-12-28T07:27:00Z</dcterms:created>
  <dcterms:modified xsi:type="dcterms:W3CDTF">2026-03-06T13:32:00Z</dcterms:modified>
</cp:coreProperties>
</file>