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64FA" w14:textId="77777777" w:rsidR="00903090" w:rsidRPr="00373401" w:rsidRDefault="00000000">
      <w:pPr>
        <w:pStyle w:val="msonospacing0"/>
        <w:spacing w:line="276" w:lineRule="auto"/>
        <w:jc w:val="center"/>
        <w:rPr>
          <w:rFonts w:ascii="Times New Roman" w:eastAsia="Arial Unicode MS" w:hAnsi="Times New Roman"/>
          <w:b/>
          <w:sz w:val="36"/>
          <w:szCs w:val="36"/>
        </w:rPr>
      </w:pPr>
      <w:bookmarkStart w:id="0" w:name="_Hlk227700061"/>
      <w:r w:rsidRPr="00373401">
        <w:rPr>
          <w:rFonts w:ascii="Times New Roman" w:eastAsia="Arial Unicode MS" w:hAnsi="Times New Roman"/>
          <w:b/>
          <w:sz w:val="36"/>
          <w:szCs w:val="36"/>
        </w:rPr>
        <w:t xml:space="preserve">MANAGING WORKLOAD AMONG PUBLIC ELEMENTARY </w:t>
      </w:r>
    </w:p>
    <w:p w14:paraId="6F28B105" w14:textId="77777777" w:rsidR="00903090" w:rsidRPr="00373401" w:rsidRDefault="00000000">
      <w:pPr>
        <w:pStyle w:val="msonospacing0"/>
        <w:spacing w:line="276" w:lineRule="auto"/>
        <w:jc w:val="center"/>
        <w:rPr>
          <w:rFonts w:ascii="Times New Roman" w:eastAsia="Arial Unicode MS" w:hAnsi="Times New Roman"/>
          <w:b/>
          <w:sz w:val="36"/>
          <w:szCs w:val="36"/>
        </w:rPr>
      </w:pPr>
      <w:r w:rsidRPr="00373401">
        <w:rPr>
          <w:rFonts w:ascii="Times New Roman" w:eastAsia="Arial Unicode MS" w:hAnsi="Times New Roman"/>
          <w:b/>
          <w:sz w:val="36"/>
          <w:szCs w:val="36"/>
        </w:rPr>
        <w:t xml:space="preserve"/>
      </w:r>
    </w:p>
    <w:p w14:paraId="071C03BB" w14:textId="77777777" w:rsidR="00903090" w:rsidRDefault="00000000">
      <w:pPr>
        <w:pStyle w:val="msonospacing0"/>
        <w:spacing w:line="276" w:lineRule="auto"/>
        <w:jc w:val="center"/>
        <w:rPr>
          <w:rFonts w:ascii="Times New Roman" w:eastAsia="Arial Unicode MS" w:hAnsi="Times New Roman"/>
          <w:b/>
          <w:sz w:val="36"/>
          <w:szCs w:val="36"/>
        </w:rPr>
      </w:pPr>
      <w:r w:rsidRPr="00373401">
        <w:rPr>
          <w:rFonts w:ascii="Times New Roman" w:eastAsia="Arial Unicode MS" w:hAnsi="Times New Roman"/>
          <w:b/>
          <w:sz w:val="36"/>
          <w:szCs w:val="36"/>
        </w:rPr>
        <w:t/>
      </w:r>
    </w:p>
    <w:p w14:paraId="54AA2F24" w14:textId="77777777" w:rsidR="00373401" w:rsidRDefault="00373401" w:rsidP="00043B3B">
      <w:pPr>
        <w:pStyle w:val="msonospacing0"/>
        <w:spacing w:line="276" w:lineRule="auto"/>
        <w:jc w:val="center"/>
        <w:rPr>
          <w:rFonts w:ascii="Times New Roman" w:eastAsia="Arial Unicode MS" w:hAnsi="Times New Roman"/>
          <w:b/>
          <w:sz w:val="36"/>
          <w:szCs w:val="36"/>
        </w:rPr>
      </w:pPr>
    </w:p>
    <w:p w14:paraId="17465D08" w14:textId="016BB5E8" w:rsidR="00373401" w:rsidRDefault="00373401" w:rsidP="00043B3B">
      <w:pPr>
        <w:spacing w:after="200" w:line="276" w:lineRule="auto"/>
        <w:ind w:left="1440" w:right="475" w:hanging="1440"/>
        <w:jc w:val="center"/>
        <w:rPr>
          <w:rFonts w:ascii="Times New Roman" w:eastAsia="SimSun" w:hAnsi="Times New Roman" w:cs="Times New Roman"/>
          <w:b/>
          <w:bCs/>
          <w:sz w:val="24"/>
          <w:szCs w:val="24"/>
          <w:lang w:bidi="ar"/>
        </w:rPr>
      </w:pPr>
      <w:r w:rsidRPr="00373401">
        <w:rPr>
          <w:rFonts w:ascii="Times New Roman" w:eastAsia="SimSun" w:hAnsi="Times New Roman" w:cs="Times New Roman"/>
          <w:b/>
          <w:bCs/>
          <w:sz w:val="24"/>
          <w:szCs w:val="24"/>
          <w:lang w:bidi="ar"/>
        </w:rPr>
        <w:t/>
      </w:r>
    </w:p>
    <w:p w14:paraId="4DE84B5E" w14:textId="77777777" w:rsidR="00043B3B" w:rsidRDefault="00043B3B" w:rsidP="00043B3B">
      <w:pPr>
        <w:pStyle w:val="NormalWeb"/>
        <w:jc w:val="center"/>
        <w:rPr>
          <w:rFonts w:ascii="Times New Roman" w:eastAsia="SimSun" w:hAnsi="Times New Roman" w:cs="Times New Roman"/>
          <w:b/>
          <w:bCs/>
          <w:lang w:bidi="ar"/>
        </w:rPr>
      </w:pPr>
      <w:r w:rsidRPr="00043B3B">
        <w:rPr>
          <w:rFonts w:ascii="Times New Roman" w:hAnsi="Times New Roman" w:cs="Times New Roman"/>
          <w:b/>
          <w:bCs/>
        </w:rPr>
        <w:t/>
      </w:r>
      <w:r w:rsidRPr="00373401">
        <w:rPr>
          <w:rFonts w:ascii="Times New Roman" w:eastAsia="SimSun" w:hAnsi="Times New Roman" w:cs="Times New Roman"/>
          <w:b/>
          <w:bCs/>
          <w:lang w:bidi="ar"/>
        </w:rPr>
        <w:t/>
      </w:r>
    </w:p>
    <w:p w14:paraId="72ECCAF2" w14:textId="50982F41" w:rsidR="00043B3B" w:rsidRPr="00043B3B" w:rsidRDefault="00043B3B" w:rsidP="00043B3B">
      <w:pPr>
        <w:pStyle w:val="NormalWeb"/>
        <w:jc w:val="center"/>
        <w:rPr>
          <w:rFonts w:ascii="Times New Roman" w:hAnsi="Times New Roman" w:cs="Times New Roman"/>
          <w:b/>
          <w:bCs/>
        </w:rPr>
      </w:pPr>
      <w:r w:rsidRPr="00043B3B">
        <w:rPr>
          <w:rFonts w:ascii="Times New Roman" w:hAnsi="Times New Roman" w:cs="Times New Roman"/>
          <w:b/>
          <w:bCs/>
        </w:rPr>
        <w:t xml:space="preserve"/>
      </w:r>
      <w:r>
        <w:rPr>
          <w:rFonts w:ascii="Times New Roman" w:hAnsi="Times New Roman" w:cs="Times New Roman"/>
          <w:b/>
          <w:bCs/>
        </w:rPr>
        <w:t/>
      </w:r>
      <w:r w:rsidRPr="00043B3B">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r w:rsidRPr="00043B3B">
        <w:rPr>
          <w:rFonts w:ascii="Times New Roman" w:hAnsi="Times New Roman" w:cs="Times New Roman"/>
          <w:b/>
          <w:bCs/>
        </w:rPr>
        <w:t xml:space="preserve"/>
      </w:r>
      <w:r>
        <w:rPr>
          <w:rFonts w:ascii="Times New Roman" w:hAnsi="Times New Roman" w:cs="Times New Roman"/>
          <w:b/>
          <w:bCs/>
        </w:rPr>
        <w:t/>
      </w:r>
      <w:r w:rsidRPr="00043B3B">
        <w:rPr>
          <w:rFonts w:ascii="Times New Roman" w:hAnsi="Times New Roman" w:cs="Times New Roman"/>
          <w:b/>
          <w:bCs/>
        </w:rPr>
        <w:t xml:space="preserve"/>
      </w:r>
    </w:p>
    <w:p w14:paraId="01329D94" w14:textId="77777777" w:rsidR="00043B3B" w:rsidRPr="00043B3B" w:rsidRDefault="00043B3B" w:rsidP="00043B3B">
      <w:pPr>
        <w:pStyle w:val="NormalWeb"/>
        <w:jc w:val="center"/>
        <w:rPr>
          <w:rFonts w:ascii="Times New Roman" w:hAnsi="Times New Roman" w:cs="Times New Roman"/>
          <w:b/>
          <w:bCs/>
        </w:rPr>
      </w:pPr>
      <w:r w:rsidRPr="00043B3B">
        <w:rPr>
          <w:rFonts w:ascii="Times New Roman" w:hAnsi="Times New Roman" w:cs="Times New Roman"/>
          <w:b/>
          <w:bCs/>
        </w:rPr>
        <w:t/>
      </w:r>
    </w:p>
    <w:p w14:paraId="0F7E36F5" w14:textId="0DD3ED64" w:rsidR="00043B3B" w:rsidRPr="00373401" w:rsidRDefault="00043B3B" w:rsidP="00043B3B">
      <w:pPr>
        <w:pStyle w:val="NormalWeb"/>
        <w:jc w:val="center"/>
        <w:rPr>
          <w:rFonts w:ascii="Times New Roman" w:hAnsi="Times New Roman" w:cs="Times New Roman"/>
          <w:b/>
          <w:bCs/>
        </w:rPr>
      </w:pPr>
      <w:r w:rsidRPr="00043B3B">
        <w:rPr>
          <w:rFonts w:ascii="Times New Roman" w:hAnsi="Times New Roman" w:cs="Times New Roman"/>
          <w:b/>
          <w:bCs/>
        </w:rPr>
        <w:t xml:space="preserve"/>
      </w:r>
      <w:proofErr w:type="spellStart"/>
      <w:r w:rsidRPr="00043B3B">
        <w:rPr>
          <w:rFonts w:ascii="Times New Roman" w:hAnsi="Times New Roman" w:cs="Times New Roman"/>
          <w:b/>
          <w:bCs/>
        </w:rPr>
        <w:t/>
      </w:r>
      <w:proofErr w:type="spellEnd"/>
      <w:r w:rsidRPr="00043B3B">
        <w:rPr>
          <w:rFonts w:ascii="Times New Roman" w:hAnsi="Times New Roman" w:cs="Times New Roman"/>
          <w:b/>
          <w:bCs/>
        </w:rPr>
        <w:t xml:space="preserve"/>
      </w:r>
    </w:p>
    <w:bookmarkEnd w:id="0"/>
    <w:p w14:paraId="061A0C3B" w14:textId="77777777" w:rsidR="00903090" w:rsidRPr="00373401" w:rsidRDefault="00903090">
      <w:pPr>
        <w:rPr>
          <w:rFonts w:ascii="Times New Roman" w:hAnsi="Times New Roman" w:cs="Times New Roman"/>
        </w:rPr>
      </w:pPr>
    </w:p>
    <w:p w14:paraId="3053F572" w14:textId="77777777" w:rsidR="00903090" w:rsidRPr="00373401" w:rsidRDefault="00903090">
      <w:pPr>
        <w:rPr>
          <w:rFonts w:ascii="Times New Roman" w:hAnsi="Times New Roman" w:cs="Times New Roman"/>
        </w:rPr>
      </w:pPr>
    </w:p>
    <w:p w14:paraId="786882F6" w14:textId="2D118C7C" w:rsidR="00903090" w:rsidRPr="00043B3B" w:rsidRDefault="00000000" w:rsidP="00043B3B">
      <w:pPr>
        <w:spacing w:line="480" w:lineRule="auto"/>
        <w:jc w:val="center"/>
        <w:rPr>
          <w:rFonts w:ascii="Times New Roman" w:hAnsi="Times New Roman" w:cs="Times New Roman"/>
          <w:b/>
          <w:bCs/>
          <w:sz w:val="28"/>
          <w:szCs w:val="28"/>
        </w:rPr>
      </w:pPr>
      <w:r w:rsidRPr="00043B3B">
        <w:rPr>
          <w:rFonts w:ascii="Times New Roman" w:eastAsia="SimSun" w:hAnsi="Times New Roman" w:cs="Times New Roman"/>
          <w:b/>
          <w:bCs/>
          <w:sz w:val="28"/>
          <w:szCs w:val="28"/>
          <w:lang w:bidi="ar"/>
        </w:rPr>
        <w:t>ABSTRACT</w:t>
      </w:r>
    </w:p>
    <w:p w14:paraId="5C75109A" w14:textId="77777777" w:rsidR="00903090" w:rsidRPr="00373401" w:rsidRDefault="00000000" w:rsidP="00373401">
      <w:pPr>
        <w:spacing w:before="240" w:after="240"/>
        <w:ind w:firstLine="720"/>
        <w:jc w:val="both"/>
        <w:rPr>
          <w:rFonts w:ascii="Times New Roman" w:eastAsia="Times New Roman" w:hAnsi="Times New Roman" w:cs="Times New Roman"/>
          <w:sz w:val="24"/>
          <w:szCs w:val="24"/>
          <w:lang w:eastAsia="en-US"/>
        </w:rPr>
      </w:pPr>
      <w:r w:rsidRPr="00373401">
        <w:rPr>
          <w:rFonts w:ascii="Times New Roman" w:eastAsia="Times New Roman" w:hAnsi="Times New Roman" w:cs="Times New Roman"/>
          <w:sz w:val="24"/>
          <w:szCs w:val="24"/>
          <w:lang w:eastAsia="en-US" w:bidi="ar"/>
        </w:rPr>
        <w:t xml:space="preserve">This study examined the relationship between teacher workload, academic excellence, and ancillary task management among public elementary school teachers in </w:t>
      </w:r>
      <w:proofErr w:type="spellStart"/>
      <w:r w:rsidRPr="00373401">
        <w:rPr>
          <w:rFonts w:ascii="Times New Roman" w:eastAsia="Times New Roman" w:hAnsi="Times New Roman" w:cs="Times New Roman"/>
          <w:sz w:val="24"/>
          <w:szCs w:val="24"/>
          <w:lang w:eastAsia="en-US" w:bidi="ar"/>
        </w:rPr>
        <w:t>Talacogon</w:t>
      </w:r>
      <w:proofErr w:type="spellEnd"/>
      <w:r w:rsidRPr="00373401">
        <w:rPr>
          <w:rFonts w:ascii="Times New Roman" w:eastAsia="Times New Roman" w:hAnsi="Times New Roman" w:cs="Times New Roman"/>
          <w:sz w:val="24"/>
          <w:szCs w:val="24"/>
          <w:lang w:eastAsia="en-US" w:bidi="ar"/>
        </w:rPr>
        <w:t xml:space="preserve"> West District, Agusan del Sur. Specifically, it aimed to assess teachers' demographic profiles, level of academic excellence, perceived effects of ancillary tasks on core instructional functions, effectiveness in handling teaching-related assignments, understanding of school operations, and the significant relationships among these variables. An explanatory sequential mixed-methods design was employed, with 137 respondents selected through stratified random sampling and 10 purposively selected key informants for the qualitative phase. </w:t>
      </w:r>
    </w:p>
    <w:p w14:paraId="120AB9E4" w14:textId="77777777" w:rsidR="00903090" w:rsidRPr="00373401" w:rsidRDefault="00000000" w:rsidP="00373401">
      <w:pPr>
        <w:spacing w:before="240" w:after="240"/>
        <w:ind w:firstLine="720"/>
        <w:jc w:val="both"/>
        <w:rPr>
          <w:rFonts w:ascii="Times New Roman" w:eastAsia="Times New Roman" w:hAnsi="Times New Roman" w:cs="Times New Roman"/>
          <w:sz w:val="24"/>
          <w:szCs w:val="24"/>
          <w:lang w:eastAsia="en-US"/>
        </w:rPr>
      </w:pPr>
      <w:r w:rsidRPr="00373401">
        <w:rPr>
          <w:rFonts w:ascii="Times New Roman" w:eastAsia="Times New Roman" w:hAnsi="Times New Roman" w:cs="Times New Roman"/>
          <w:sz w:val="24"/>
          <w:szCs w:val="24"/>
          <w:lang w:eastAsia="en-US" w:bidi="ar"/>
        </w:rPr>
        <w:t>Findings revealed an overall academic excellence mean of 4.008 ("Very Excellent"), with student performance highest at 4.076 and instructional effectiveness lowest at 3.946. Ancillary tasks imposed a "Very Heavy" burden across all core functions, with an overall mean of 3.869, most severely affecting curriculum delivery and pedagogy (3.895). Teachers rated "Very Effective" in teaching-related assignments (3.797) and "Good" in school operations (3.882). Educational attainment significantly predicted student performance, while civil status influenced role effectiveness. Qualitatively, three challenge themes emerged: time constraints, teacher stress, and role ambiguity, alongside three coping themes: prioritization, time management, and collaboration. Based on these findings, The Teacher Workload Equilibrium Framework (TWEF) was designed to assist schools in achieving a balanced distribution of teacher responsibilities while ensuring instructional effectiveness and teacher well-being. School administrators are encouraged to adopt the framework as a practical guide for fair workload allocation, the formation of a School Workload Management Committee, and the implementation of initiatives that support teacher wellness and professional development.</w:t>
      </w:r>
    </w:p>
    <w:p w14:paraId="408A206B" w14:textId="77777777" w:rsidR="00903090" w:rsidRPr="00373401" w:rsidRDefault="00000000" w:rsidP="00373401">
      <w:pPr>
        <w:spacing w:before="240" w:after="240"/>
        <w:ind w:firstLine="720"/>
        <w:jc w:val="both"/>
        <w:rPr>
          <w:rFonts w:ascii="Times New Roman" w:eastAsia="Times New Roman" w:hAnsi="Times New Roman" w:cs="Times New Roman"/>
          <w:sz w:val="24"/>
          <w:szCs w:val="24"/>
          <w:lang w:eastAsia="en-US"/>
        </w:rPr>
      </w:pPr>
      <w:r w:rsidRPr="00373401">
        <w:rPr>
          <w:rFonts w:ascii="Times New Roman" w:eastAsia="Times New Roman" w:hAnsi="Times New Roman" w:cs="Times New Roman"/>
          <w:sz w:val="24"/>
          <w:szCs w:val="24"/>
          <w:lang w:eastAsia="en-US" w:bidi="ar"/>
        </w:rPr>
        <w:t>The study recommends the adoption of the Teacher Workload Equilibrium Framework (TWEF) as a practical guide for managing teachers’ ancillary responsibilities while maintaining focus on instructional duties. School administrators may use the framework to support balanced workload distribution and promote teacher well-being, while teachers may apply its strategies to manage their responsibilities effectively. Future researchers are encouraged to further examine, validate, and enhance the framework in different educational contexts to strengthen workload management practices and contribute to improved educational outcomes.</w:t>
      </w:r>
    </w:p>
    <w:p w14:paraId="0E0A7261" w14:textId="77777777" w:rsidR="00903090" w:rsidRDefault="00903090">
      <w:pPr>
        <w:spacing w:line="276" w:lineRule="auto"/>
        <w:jc w:val="both"/>
        <w:rPr>
          <w:rFonts w:ascii="Arial" w:eastAsia="Times New Roman" w:hAnsi="Arial" w:cs="Arial"/>
          <w:sz w:val="24"/>
          <w:szCs w:val="24"/>
          <w:lang w:eastAsia="en-US"/>
        </w:rPr>
      </w:pPr>
    </w:p>
    <w:p w14:paraId="41D2ADFB" w14:textId="77777777" w:rsidR="00903090" w:rsidRDefault="00000000">
      <w:pPr>
        <w:spacing w:line="276" w:lineRule="auto"/>
        <w:jc w:val="both"/>
        <w:rPr>
          <w:rFonts w:ascii="Arial" w:eastAsia="Times New Roman" w:hAnsi="Arial" w:cs="Arial"/>
          <w:i/>
          <w:iCs/>
          <w:sz w:val="24"/>
          <w:szCs w:val="24"/>
          <w:lang w:eastAsia="en-US"/>
        </w:rPr>
      </w:pPr>
      <w:r>
        <w:rPr>
          <w:rFonts w:ascii="Arial" w:eastAsia="Times New Roman" w:hAnsi="Arial" w:cs="Arial"/>
          <w:b/>
          <w:bCs/>
          <w:sz w:val="24"/>
          <w:szCs w:val="24"/>
          <w:lang w:eastAsia="en-US" w:bidi="ar"/>
        </w:rPr>
        <w:t>Keywords:</w:t>
      </w:r>
      <w:r>
        <w:rPr>
          <w:rFonts w:ascii="Arial" w:eastAsia="Times New Roman" w:hAnsi="Arial" w:cs="Arial"/>
          <w:i/>
          <w:iCs/>
          <w:sz w:val="24"/>
          <w:szCs w:val="24"/>
          <w:lang w:eastAsia="en-US" w:bidi="ar"/>
        </w:rPr>
        <w:t xml:space="preserve"> </w:t>
      </w:r>
      <w:r>
        <w:rPr>
          <w:rFonts w:ascii="Arial" w:eastAsia="SimSun" w:hAnsi="Arial" w:cs="Arial"/>
          <w:i/>
          <w:iCs/>
          <w:sz w:val="24"/>
          <w:szCs w:val="24"/>
          <w:lang w:bidi="ar"/>
        </w:rPr>
        <w:t>Ancillary Equilibrium</w:t>
      </w:r>
      <w:r>
        <w:rPr>
          <w:rFonts w:ascii="Arial" w:eastAsia="Times New Roman" w:hAnsi="Arial" w:cs="Arial"/>
          <w:i/>
          <w:iCs/>
          <w:sz w:val="24"/>
          <w:szCs w:val="24"/>
          <w:lang w:eastAsia="en-US" w:bidi="ar"/>
        </w:rPr>
        <w:t xml:space="preserve">, </w:t>
      </w:r>
      <w:r>
        <w:rPr>
          <w:rFonts w:ascii="Arial" w:eastAsia="SimSun" w:hAnsi="Arial" w:cs="Arial"/>
          <w:i/>
          <w:iCs/>
          <w:sz w:val="24"/>
          <w:szCs w:val="24"/>
          <w:lang w:bidi="ar"/>
        </w:rPr>
        <w:t>Teacher Workload</w:t>
      </w:r>
      <w:r>
        <w:rPr>
          <w:rFonts w:ascii="Arial" w:eastAsia="Times New Roman" w:hAnsi="Arial" w:cs="Arial"/>
          <w:i/>
          <w:iCs/>
          <w:sz w:val="24"/>
          <w:szCs w:val="24"/>
          <w:lang w:eastAsia="en-US" w:bidi="ar"/>
        </w:rPr>
        <w:t xml:space="preserve">, </w:t>
      </w:r>
      <w:r>
        <w:rPr>
          <w:rFonts w:ascii="Arial" w:eastAsia="SimSun" w:hAnsi="Arial" w:cs="Arial"/>
          <w:i/>
          <w:iCs/>
          <w:sz w:val="24"/>
          <w:szCs w:val="24"/>
          <w:lang w:bidi="ar"/>
        </w:rPr>
        <w:t>Academic Excellence</w:t>
      </w:r>
      <w:r>
        <w:rPr>
          <w:rFonts w:ascii="Arial" w:eastAsia="Times New Roman" w:hAnsi="Arial" w:cs="Arial"/>
          <w:i/>
          <w:iCs/>
          <w:sz w:val="24"/>
          <w:szCs w:val="24"/>
          <w:lang w:eastAsia="en-US" w:bidi="ar"/>
        </w:rPr>
        <w:t xml:space="preserve">, </w:t>
      </w:r>
      <w:r>
        <w:rPr>
          <w:rFonts w:ascii="Arial" w:eastAsia="SimSun" w:hAnsi="Arial" w:cs="Arial"/>
          <w:i/>
          <w:iCs/>
          <w:sz w:val="24"/>
          <w:szCs w:val="24"/>
          <w:lang w:bidi="ar"/>
        </w:rPr>
        <w:t>Workload Management</w:t>
      </w:r>
      <w:r>
        <w:rPr>
          <w:rFonts w:ascii="Arial" w:eastAsia="Times New Roman" w:hAnsi="Arial" w:cs="Arial"/>
          <w:i/>
          <w:iCs/>
          <w:sz w:val="24"/>
          <w:szCs w:val="24"/>
          <w:lang w:eastAsia="en-US" w:bidi="ar"/>
        </w:rPr>
        <w:t xml:space="preserve">, </w:t>
      </w:r>
      <w:r>
        <w:rPr>
          <w:rFonts w:ascii="Arial" w:eastAsia="SimSun" w:hAnsi="Arial" w:cs="Arial"/>
          <w:i/>
          <w:iCs/>
          <w:sz w:val="24"/>
          <w:szCs w:val="24"/>
          <w:lang w:bidi="ar"/>
        </w:rPr>
        <w:t>Instructional Effectiveness</w:t>
      </w:r>
    </w:p>
    <w:p w14:paraId="4A695F9B" w14:textId="77777777" w:rsidR="00903090" w:rsidRDefault="00903090"/>
    <w:p w14:paraId="4785ACF4" w14:textId="77777777" w:rsidR="00903090" w:rsidRDefault="00903090"/>
    <w:p w14:paraId="6E48D8D7" w14:textId="77777777" w:rsidR="00903090" w:rsidRDefault="00903090"/>
    <w:p w14:paraId="7BB3A5E4" w14:textId="77777777" w:rsidR="00903090" w:rsidRDefault="00903090"/>
    <w:p w14:paraId="35F00A59" w14:textId="77777777" w:rsidR="00903090" w:rsidRDefault="00903090"/>
    <w:p w14:paraId="54C9CF2C" w14:textId="77777777" w:rsidR="00903090" w:rsidRDefault="00903090"/>
    <w:p w14:paraId="5D1DB8D4" w14:textId="77777777" w:rsidR="00903090" w:rsidRDefault="00903090"/>
    <w:p w14:paraId="584881CB" w14:textId="5FA419B1" w:rsidR="00903090" w:rsidRPr="00E259AB" w:rsidRDefault="00000000" w:rsidP="00DA48A8">
      <w:pPr>
        <w:pStyle w:val="NormalWeb"/>
        <w:spacing w:before="240" w:after="240"/>
        <w:rPr>
          <w:rFonts w:ascii="Times New Roman" w:eastAsia="Arial Unicode MS" w:hAnsi="Times New Roman" w:cs="Times New Roman"/>
          <w:b/>
        </w:rPr>
      </w:pPr>
      <w:r w:rsidRPr="00E259AB">
        <w:rPr>
          <w:rFonts w:ascii="Times New Roman" w:eastAsia="Arial Unicode MS" w:hAnsi="Times New Roman" w:cs="Times New Roman"/>
          <w:b/>
          <w:lang w:bidi="ar"/>
        </w:rPr>
        <w:t>I</w:t>
      </w:r>
      <w:r w:rsidR="00043B3B" w:rsidRPr="00E259AB">
        <w:rPr>
          <w:rFonts w:ascii="Times New Roman" w:eastAsia="Arial Unicode MS" w:hAnsi="Times New Roman" w:cs="Times New Roman"/>
          <w:b/>
          <w:lang w:bidi="ar"/>
        </w:rPr>
        <w:t>NTRODUCTION</w:t>
      </w:r>
    </w:p>
    <w:p w14:paraId="70A82E59" w14:textId="77777777" w:rsidR="00903090" w:rsidRPr="00DA48A8" w:rsidRDefault="00000000" w:rsidP="00DA48A8">
      <w:pPr>
        <w:pStyle w:val="NormalWeb"/>
        <w:spacing w:before="240" w:after="240"/>
        <w:ind w:firstLine="720"/>
        <w:jc w:val="both"/>
        <w:rPr>
          <w:rFonts w:ascii="Times New Roman" w:eastAsia="Arial Unicode MS" w:hAnsi="Times New Roman" w:cs="Times New Roman"/>
          <w:bCs/>
        </w:rPr>
      </w:pPr>
      <w:r w:rsidRPr="00DA48A8">
        <w:rPr>
          <w:rFonts w:ascii="Times New Roman" w:eastAsia="Arial Unicode MS" w:hAnsi="Times New Roman" w:cs="Times New Roman"/>
          <w:bCs/>
          <w:lang w:bidi="ar"/>
        </w:rPr>
        <w:t>Education systems have long recognized teachers as important contributors to student achievement and school effectiveness. Aside from classroom instruction, teachers are also assigned ancillary and administrative duties that support school operations and learner development. These responsibilities contribute to the efficient implementation of school programs and services while ensuring that learners receive holistic educational support. As teachers perform both instructional and non-instructional functions, effective workload management becomes essential in maintaining productivity, professional well-being, and instructional quality. Understanding how teaching and ancillary responsibilities are managed may provide valuable insights into promoting a balanced and sustainable working environment for educators.</w:t>
      </w:r>
    </w:p>
    <w:p w14:paraId="7F06F1DB" w14:textId="7CF67258" w:rsidR="00903090" w:rsidRPr="00DA48A8" w:rsidRDefault="00000000" w:rsidP="00DA48A8">
      <w:pPr>
        <w:pStyle w:val="NormalWeb"/>
        <w:spacing w:before="240" w:after="240"/>
        <w:ind w:firstLine="720"/>
        <w:jc w:val="both"/>
        <w:rPr>
          <w:rFonts w:ascii="Times New Roman" w:eastAsia="Arial Unicode MS" w:hAnsi="Times New Roman" w:cs="Times New Roman"/>
          <w:bCs/>
        </w:rPr>
      </w:pPr>
      <w:r w:rsidRPr="00DA48A8">
        <w:rPr>
          <w:rFonts w:ascii="Times New Roman" w:eastAsia="Arial Unicode MS" w:hAnsi="Times New Roman" w:cs="Times New Roman"/>
          <w:bCs/>
        </w:rPr>
        <w:t xml:space="preserve">Several recent studies have emphasized the importance of workload management in sustaining teacher performance and educational quality. Wahab et al. (2024) highlighted that workload conditions significantly influence teachers’ well-being and professional effectiveness. On the other hand, Reyes et al. (2023) noted that workload demands affect teachers’ work-life balance and overall job performance. Furthermore, Lopez et al. (2023) found that teachers’ responsibilities influence their motivation and classroom engagement, while Saro and </w:t>
      </w:r>
      <w:proofErr w:type="spellStart"/>
      <w:r w:rsidRPr="00DA48A8">
        <w:rPr>
          <w:rFonts w:ascii="Times New Roman" w:eastAsia="Arial Unicode MS" w:hAnsi="Times New Roman" w:cs="Times New Roman"/>
          <w:bCs/>
        </w:rPr>
        <w:t>Pelesco</w:t>
      </w:r>
      <w:proofErr w:type="spellEnd"/>
      <w:r w:rsidRPr="00DA48A8">
        <w:rPr>
          <w:rFonts w:ascii="Times New Roman" w:eastAsia="Arial Unicode MS" w:hAnsi="Times New Roman" w:cs="Times New Roman"/>
          <w:bCs/>
        </w:rPr>
        <w:t xml:space="preserve"> (2025) stressed the importance of managing workload to support effective classroom instruction and learner interaction.</w:t>
      </w:r>
    </w:p>
    <w:p w14:paraId="73ED284F" w14:textId="77777777" w:rsidR="00903090" w:rsidRPr="00DA48A8" w:rsidRDefault="00000000" w:rsidP="00DA48A8">
      <w:pPr>
        <w:pStyle w:val="NormalWeb"/>
        <w:spacing w:before="240" w:after="240"/>
        <w:ind w:firstLine="720"/>
        <w:jc w:val="both"/>
        <w:rPr>
          <w:rFonts w:ascii="Times New Roman" w:eastAsia="Arial Unicode MS" w:hAnsi="Times New Roman" w:cs="Times New Roman"/>
          <w:bCs/>
          <w:lang w:bidi="ar"/>
        </w:rPr>
      </w:pPr>
      <w:r w:rsidRPr="00DA48A8">
        <w:rPr>
          <w:rFonts w:ascii="Times New Roman" w:eastAsia="Arial Unicode MS" w:hAnsi="Times New Roman" w:cs="Times New Roman"/>
          <w:bCs/>
          <w:lang w:bidi="ar"/>
        </w:rPr>
        <w:t xml:space="preserve">Given these conditions, the study aimed to develop a localized framework for implementing rules and regulations to strengthen teacher workload management through ancillary equilibrium in </w:t>
      </w:r>
      <w:proofErr w:type="spellStart"/>
      <w:r w:rsidRPr="00DA48A8">
        <w:rPr>
          <w:rFonts w:ascii="Times New Roman" w:eastAsia="Arial Unicode MS" w:hAnsi="Times New Roman" w:cs="Times New Roman"/>
          <w:bCs/>
          <w:lang w:bidi="ar"/>
        </w:rPr>
        <w:t>Talacogon</w:t>
      </w:r>
      <w:proofErr w:type="spellEnd"/>
      <w:r w:rsidRPr="00DA48A8">
        <w:rPr>
          <w:rFonts w:ascii="Times New Roman" w:eastAsia="Arial Unicode MS" w:hAnsi="Times New Roman" w:cs="Times New Roman"/>
          <w:bCs/>
          <w:lang w:bidi="ar"/>
        </w:rPr>
        <w:t xml:space="preserve"> West District. Specifically, it examined the relationship between teachers’ demographic profiles, workload distribution, ancillary functions, and teaching performance. The study also identified the challenges encountered by teachers and the coping mechanisms they used in managing instructional and non-instructional responsibilities. Moreover, the study proposed an evidence-based framework for equitable workload distribution to enhance instructional effectiveness, support teacher well-being, and improve student learning outcomes. Through its findings, the study was expected to provide localized empirical evidence that could guide school leaders and policymakers in creating responsive workload management strategies for public elementary schools.</w:t>
      </w:r>
    </w:p>
    <w:p w14:paraId="12A7E46E" w14:textId="00FE0699" w:rsidR="00903090" w:rsidRPr="00E259AB" w:rsidRDefault="00000000" w:rsidP="00DA48A8">
      <w:pPr>
        <w:spacing w:before="240" w:after="240"/>
        <w:rPr>
          <w:rFonts w:ascii="Times New Roman" w:hAnsi="Times New Roman" w:cs="Times New Roman"/>
          <w:sz w:val="28"/>
          <w:szCs w:val="28"/>
        </w:rPr>
      </w:pPr>
      <w:r w:rsidRPr="00E259AB">
        <w:rPr>
          <w:rFonts w:ascii="Times New Roman" w:eastAsia="TimesNewRomanPS-BoldMT" w:hAnsi="Times New Roman" w:cs="Times New Roman"/>
          <w:b/>
          <w:bCs/>
          <w:color w:val="000000"/>
          <w:sz w:val="28"/>
          <w:szCs w:val="28"/>
          <w:lang w:bidi="ar"/>
        </w:rPr>
        <w:t>METHODOLOGY</w:t>
      </w:r>
    </w:p>
    <w:p w14:paraId="7F9B2890" w14:textId="3B6A844B" w:rsidR="00903090" w:rsidRDefault="00000000" w:rsidP="00E259AB">
      <w:pPr>
        <w:pStyle w:val="NormalWeb"/>
        <w:spacing w:before="240" w:after="240"/>
        <w:ind w:right="-7" w:firstLine="720"/>
        <w:jc w:val="both"/>
        <w:rPr>
          <w:rFonts w:ascii="Times New Roman" w:eastAsia="Arial Unicode MS" w:hAnsi="Times New Roman" w:cs="Times New Roman"/>
          <w:bCs/>
          <w:lang w:bidi="ar"/>
        </w:rPr>
      </w:pPr>
      <w:r w:rsidRPr="00DA48A8">
        <w:rPr>
          <w:rFonts w:ascii="Times New Roman" w:eastAsia="Arial Unicode MS" w:hAnsi="Times New Roman" w:cs="Times New Roman"/>
          <w:bCs/>
          <w:lang w:bidi="ar"/>
        </w:rPr>
        <w:t>This study employed an Explanatory Sequential Mixed-Methods Research Design as described by Creswell and Plano Clark (2018), wherein quantitative data were collected and analyzed first, followed by qualitative data collection and analysis to explain and elaborate on the quantitative findings. During the quantitative phase, survey questionnaires were administered to gather data on teachers’ demographic profiles, academic excellence, effectiveness in handling ancillary tasks and school operations, workload challenges, and coping mechanisms. The qualitative phase subsequently utilized interviews to obtain deeper insights into the results generated from the quantitative analysis. This design was appropriate because it enabled the researchers to identify patterns, levels, and relationships among variables and further explore the experiences and perspectives underlying these findings.</w:t>
      </w:r>
    </w:p>
    <w:p w14:paraId="7C381679" w14:textId="2D21EA96" w:rsidR="00D50FF0" w:rsidRDefault="00D50FF0" w:rsidP="00D50FF0">
      <w:pPr>
        <w:pStyle w:val="NormalWeb"/>
        <w:numPr>
          <w:ilvl w:val="1"/>
          <w:numId w:val="1"/>
        </w:numPr>
        <w:spacing w:before="240" w:after="240"/>
        <w:ind w:right="-7"/>
        <w:jc w:val="both"/>
        <w:rPr>
          <w:rFonts w:ascii="Times New Roman" w:eastAsia="Arial Unicode MS" w:hAnsi="Times New Roman" w:cs="Times New Roman"/>
          <w:b/>
          <w:lang w:bidi="ar"/>
        </w:rPr>
      </w:pPr>
      <w:r w:rsidRPr="00D50FF0">
        <w:rPr>
          <w:rFonts w:ascii="Times New Roman" w:eastAsia="Arial Unicode MS" w:hAnsi="Times New Roman" w:cs="Times New Roman"/>
          <w:b/>
          <w:lang w:bidi="ar"/>
        </w:rPr>
        <w:t>Research Questions</w:t>
      </w:r>
    </w:p>
    <w:p w14:paraId="50C645BF" w14:textId="77777777" w:rsidR="00D50FF0" w:rsidRPr="00D50FF0" w:rsidRDefault="00D50FF0" w:rsidP="00D50FF0">
      <w:pPr>
        <w:spacing w:before="240" w:after="240"/>
        <w:ind w:firstLine="720"/>
        <w:jc w:val="both"/>
        <w:rPr>
          <w:rFonts w:ascii="Times New Roman" w:eastAsia="Arial Unicode MS" w:hAnsi="Times New Roman" w:cs="Times New Roman"/>
          <w:sz w:val="24"/>
          <w:szCs w:val="24"/>
          <w:lang w:val="en-PH"/>
        </w:rPr>
      </w:pPr>
      <w:r w:rsidRPr="00D50FF0">
        <w:rPr>
          <w:rFonts w:ascii="Times New Roman" w:eastAsia="Arial Unicode MS" w:hAnsi="Times New Roman" w:cs="Times New Roman"/>
          <w:sz w:val="24"/>
          <w:szCs w:val="24"/>
          <w:lang w:val="en-PH"/>
        </w:rPr>
        <w:t xml:space="preserve">The study investigated the relationship between teachers’ workload, academic excellence, and their ability to manage ancillary tasks in the public elementary schools of </w:t>
      </w:r>
      <w:proofErr w:type="spellStart"/>
      <w:r w:rsidRPr="00D50FF0">
        <w:rPr>
          <w:rFonts w:ascii="Times New Roman" w:eastAsia="Arial Unicode MS" w:hAnsi="Times New Roman" w:cs="Times New Roman"/>
          <w:sz w:val="24"/>
          <w:szCs w:val="24"/>
          <w:lang w:val="en-PH"/>
        </w:rPr>
        <w:t>Talacogon</w:t>
      </w:r>
      <w:proofErr w:type="spellEnd"/>
      <w:r w:rsidRPr="00D50FF0">
        <w:rPr>
          <w:rFonts w:ascii="Times New Roman" w:eastAsia="Arial Unicode MS" w:hAnsi="Times New Roman" w:cs="Times New Roman"/>
          <w:sz w:val="24"/>
          <w:szCs w:val="24"/>
          <w:lang w:val="en-PH"/>
        </w:rPr>
        <w:t xml:space="preserve"> West District, Division of Agusan del Sur, during School Year 2025–20256 The findings served as the basis for the development of the Teacher Workload Equilibrium Framework (TWEF), intended to support equitable workload distribution and informed decision-making in the </w:t>
      </w:r>
      <w:proofErr w:type="spellStart"/>
      <w:r w:rsidRPr="00D50FF0">
        <w:rPr>
          <w:rFonts w:ascii="Times New Roman" w:eastAsia="Arial Unicode MS" w:hAnsi="Times New Roman" w:cs="Times New Roman"/>
          <w:sz w:val="24"/>
          <w:szCs w:val="24"/>
          <w:lang w:val="en-PH"/>
        </w:rPr>
        <w:t>district.Specifically</w:t>
      </w:r>
      <w:proofErr w:type="spellEnd"/>
      <w:r w:rsidRPr="00D50FF0">
        <w:rPr>
          <w:rFonts w:ascii="Times New Roman" w:eastAsia="Arial Unicode MS" w:hAnsi="Times New Roman" w:cs="Times New Roman"/>
          <w:sz w:val="24"/>
          <w:szCs w:val="24"/>
          <w:lang w:val="en-PH"/>
        </w:rPr>
        <w:t>, this study sought to answer the following research questions:</w:t>
      </w:r>
    </w:p>
    <w:p w14:paraId="616E9371" w14:textId="77777777" w:rsidR="00D50FF0" w:rsidRPr="00D50FF0" w:rsidRDefault="00D50FF0" w:rsidP="00D50FF0">
      <w:pPr>
        <w:spacing w:before="240" w:after="240"/>
        <w:ind w:firstLine="720"/>
        <w:jc w:val="both"/>
        <w:rPr>
          <w:rFonts w:ascii="Times New Roman" w:eastAsia="Arial Unicode MS" w:hAnsi="Times New Roman" w:cs="Times New Roman"/>
          <w:sz w:val="24"/>
          <w:szCs w:val="24"/>
          <w:lang w:val="en-PH"/>
        </w:rPr>
      </w:pPr>
      <w:r w:rsidRPr="00D50FF0">
        <w:rPr>
          <w:rFonts w:ascii="Times New Roman" w:eastAsia="Arial Unicode MS" w:hAnsi="Times New Roman" w:cs="Times New Roman"/>
          <w:sz w:val="24"/>
          <w:szCs w:val="24"/>
          <w:lang w:val="en-PH"/>
        </w:rPr>
        <w:t xml:space="preserve">1. </w:t>
      </w:r>
      <w:r w:rsidRPr="00D50FF0">
        <w:rPr>
          <w:rFonts w:ascii="Times New Roman" w:eastAsia="Arial Unicode MS" w:hAnsi="Times New Roman" w:cs="Times New Roman"/>
          <w:sz w:val="24"/>
          <w:szCs w:val="24"/>
        </w:rPr>
        <w:t>What is the demographic profile of the respondents, in terms of:</w:t>
      </w:r>
    </w:p>
    <w:p w14:paraId="6A1B34D5"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lang w:val="en-PH"/>
        </w:rPr>
        <w:t xml:space="preserve">1.1 </w:t>
      </w:r>
      <w:r w:rsidRPr="00D50FF0">
        <w:rPr>
          <w:rFonts w:ascii="Times New Roman" w:eastAsia="Arial Unicode MS" w:hAnsi="Times New Roman" w:cs="Times New Roman"/>
          <w:sz w:val="24"/>
          <w:szCs w:val="24"/>
        </w:rPr>
        <w:t>age;</w:t>
      </w:r>
    </w:p>
    <w:p w14:paraId="30C6C6F7"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lastRenderedPageBreak/>
        <w:t xml:space="preserve">1.2 civil status; </w:t>
      </w:r>
    </w:p>
    <w:p w14:paraId="54CBC7AC"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t xml:space="preserve">1.3 type of school; </w:t>
      </w:r>
    </w:p>
    <w:p w14:paraId="28B7F870" w14:textId="77777777" w:rsidR="00D50FF0" w:rsidRPr="00D50FF0" w:rsidRDefault="00D50FF0" w:rsidP="00D50FF0">
      <w:pPr>
        <w:pStyle w:val="ListParagraph"/>
        <w:numPr>
          <w:ilvl w:val="1"/>
          <w:numId w:val="2"/>
        </w:numPr>
        <w:spacing w:before="240" w:after="240" w:line="240" w:lineRule="auto"/>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t>years in service; and</w:t>
      </w:r>
    </w:p>
    <w:p w14:paraId="34C2AA31" w14:textId="77777777" w:rsidR="00D50FF0" w:rsidRPr="00D50FF0" w:rsidRDefault="00D50FF0" w:rsidP="00D50FF0">
      <w:pPr>
        <w:pStyle w:val="ListParagraph"/>
        <w:numPr>
          <w:ilvl w:val="1"/>
          <w:numId w:val="2"/>
        </w:numPr>
        <w:spacing w:before="240" w:after="240" w:line="240" w:lineRule="auto"/>
        <w:jc w:val="both"/>
        <w:rPr>
          <w:rFonts w:ascii="Times New Roman" w:eastAsia="Arial Unicode MS" w:hAnsi="Times New Roman" w:cs="Times New Roman"/>
          <w:sz w:val="24"/>
          <w:szCs w:val="24"/>
          <w:lang w:val="en-PH"/>
        </w:rPr>
      </w:pPr>
      <w:r w:rsidRPr="00D50FF0">
        <w:rPr>
          <w:rFonts w:ascii="Times New Roman" w:eastAsia="Arial Unicode MS" w:hAnsi="Times New Roman" w:cs="Times New Roman"/>
          <w:sz w:val="24"/>
          <w:szCs w:val="24"/>
        </w:rPr>
        <w:t>highest educational attainment?</w:t>
      </w:r>
    </w:p>
    <w:p w14:paraId="2B07FAE9" w14:textId="77777777" w:rsidR="00D50FF0" w:rsidRPr="00D50FF0" w:rsidRDefault="00D50FF0" w:rsidP="00D50FF0">
      <w:pPr>
        <w:pStyle w:val="ListParagraph"/>
        <w:numPr>
          <w:ilvl w:val="0"/>
          <w:numId w:val="3"/>
        </w:numPr>
        <w:spacing w:before="240" w:after="240" w:line="240" w:lineRule="auto"/>
        <w:jc w:val="both"/>
        <w:rPr>
          <w:rFonts w:ascii="Times New Roman" w:eastAsia="Arial Unicode MS" w:hAnsi="Times New Roman" w:cs="Times New Roman"/>
          <w:sz w:val="24"/>
          <w:szCs w:val="24"/>
          <w:lang w:val="en-PH"/>
        </w:rPr>
      </w:pPr>
      <w:r w:rsidRPr="00D50FF0">
        <w:rPr>
          <w:rFonts w:ascii="Times New Roman" w:eastAsia="Arial Unicode MS" w:hAnsi="Times New Roman" w:cs="Times New Roman"/>
          <w:sz w:val="24"/>
          <w:szCs w:val="24"/>
        </w:rPr>
        <w:t>What is the level of academic excellence of the teachers, in terms of:</w:t>
      </w:r>
    </w:p>
    <w:p w14:paraId="6C317FB4" w14:textId="77777777" w:rsidR="00D50FF0" w:rsidRPr="00D50FF0" w:rsidRDefault="00D50FF0" w:rsidP="00D50FF0">
      <w:pPr>
        <w:pStyle w:val="ListParagraph"/>
        <w:spacing w:before="240" w:after="240" w:line="240" w:lineRule="auto"/>
        <w:ind w:left="1440"/>
        <w:jc w:val="both"/>
        <w:rPr>
          <w:rFonts w:ascii="Times New Roman" w:eastAsia="Arial Unicode MS" w:hAnsi="Times New Roman" w:cs="Times New Roman"/>
          <w:sz w:val="24"/>
          <w:szCs w:val="24"/>
          <w:lang w:val="en-PH"/>
        </w:rPr>
      </w:pPr>
      <w:r w:rsidRPr="00D50FF0">
        <w:rPr>
          <w:rFonts w:ascii="Times New Roman" w:eastAsia="Arial Unicode MS" w:hAnsi="Times New Roman" w:cs="Times New Roman"/>
          <w:sz w:val="24"/>
          <w:szCs w:val="24"/>
        </w:rPr>
        <w:t xml:space="preserve">2.1 teacher trainings; </w:t>
      </w:r>
    </w:p>
    <w:p w14:paraId="41FD0C09"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t xml:space="preserve">2.2 student performance in local and national assessment; </w:t>
      </w:r>
    </w:p>
    <w:p w14:paraId="23C381A0"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t xml:space="preserve">2.3 instructional effectiveness;  </w:t>
      </w:r>
    </w:p>
    <w:p w14:paraId="1E508E20"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t>2.4 assessment and evaluation; and</w:t>
      </w:r>
    </w:p>
    <w:p w14:paraId="1369218B" w14:textId="77777777" w:rsidR="00D50FF0" w:rsidRPr="00D50FF0" w:rsidRDefault="00D50FF0" w:rsidP="00D50FF0">
      <w:pPr>
        <w:spacing w:before="240" w:after="240"/>
        <w:ind w:left="720" w:firstLine="720"/>
        <w:jc w:val="both"/>
        <w:rPr>
          <w:rFonts w:ascii="Times New Roman" w:eastAsia="Arial Unicode MS" w:hAnsi="Times New Roman" w:cs="Times New Roman"/>
          <w:sz w:val="24"/>
          <w:szCs w:val="24"/>
        </w:rPr>
      </w:pPr>
      <w:r w:rsidRPr="00D50FF0">
        <w:rPr>
          <w:rFonts w:ascii="Times New Roman" w:eastAsia="Arial Unicode MS" w:hAnsi="Times New Roman" w:cs="Times New Roman"/>
          <w:sz w:val="24"/>
          <w:szCs w:val="24"/>
        </w:rPr>
        <w:t>2.5 classroom management?</w:t>
      </w:r>
    </w:p>
    <w:p w14:paraId="7C9CF9A3" w14:textId="4C76FCDB" w:rsidR="00D50FF0" w:rsidRPr="00D50FF0" w:rsidRDefault="00D50FF0" w:rsidP="00D50FF0">
      <w:pPr>
        <w:pStyle w:val="NormalWeb"/>
        <w:spacing w:before="240" w:after="240"/>
        <w:ind w:right="-7"/>
        <w:jc w:val="both"/>
        <w:rPr>
          <w:rFonts w:ascii="Times New Roman" w:eastAsia="Arial Unicode MS" w:hAnsi="Times New Roman" w:cs="Times New Roman"/>
          <w:b/>
          <w:sz w:val="28"/>
          <w:szCs w:val="28"/>
          <w:lang w:bidi="ar"/>
        </w:rPr>
      </w:pPr>
      <w:r w:rsidRPr="00D50FF0">
        <w:rPr>
          <w:rFonts w:ascii="Times New Roman" w:eastAsia="Arial Unicode MS" w:hAnsi="Times New Roman" w:cs="Times New Roman"/>
          <w:b/>
          <w:sz w:val="28"/>
          <w:szCs w:val="28"/>
          <w:lang w:bidi="ar"/>
        </w:rPr>
        <w:t>RESULTS AND DISCUSSION</w:t>
      </w:r>
    </w:p>
    <w:p w14:paraId="7E70105F" w14:textId="77777777" w:rsidR="00903090" w:rsidRPr="00DA48A8" w:rsidRDefault="00000000" w:rsidP="00DA48A8">
      <w:pPr>
        <w:spacing w:before="240" w:after="240"/>
        <w:ind w:right="-7"/>
        <w:jc w:val="both"/>
        <w:rPr>
          <w:rFonts w:ascii="Times New Roman" w:eastAsia="Arial Unicode MS" w:hAnsi="Times New Roman" w:cs="Times New Roman"/>
          <w:b/>
          <w:bCs/>
          <w:sz w:val="24"/>
          <w:szCs w:val="24"/>
        </w:rPr>
      </w:pPr>
      <w:r w:rsidRPr="00DA48A8">
        <w:rPr>
          <w:rFonts w:ascii="Times New Roman" w:eastAsia="Arial Unicode MS" w:hAnsi="Times New Roman" w:cs="Times New Roman"/>
          <w:b/>
          <w:bCs/>
          <w:sz w:val="24"/>
          <w:szCs w:val="24"/>
          <w:lang w:bidi="ar"/>
        </w:rPr>
        <w:t xml:space="preserve">Profile of the Respondents </w:t>
      </w:r>
    </w:p>
    <w:p w14:paraId="2C311AA7" w14:textId="77777777" w:rsidR="00903090" w:rsidRPr="00DA48A8" w:rsidRDefault="00000000" w:rsidP="00DA48A8">
      <w:pPr>
        <w:spacing w:before="240" w:after="240"/>
        <w:ind w:right="-7"/>
        <w:jc w:val="both"/>
        <w:rPr>
          <w:rFonts w:ascii="Times New Roman" w:eastAsia="Arial Unicode MS" w:hAnsi="Times New Roman" w:cs="Times New Roman"/>
          <w:sz w:val="24"/>
          <w:szCs w:val="24"/>
        </w:rPr>
      </w:pPr>
      <w:r w:rsidRPr="00DA48A8">
        <w:rPr>
          <w:rFonts w:ascii="Times New Roman" w:eastAsia="Arial Unicode MS" w:hAnsi="Times New Roman" w:cs="Times New Roman"/>
          <w:sz w:val="24"/>
          <w:szCs w:val="24"/>
          <w:lang w:bidi="ar"/>
        </w:rPr>
        <w:tab/>
        <w:t>Table 2 presents the profile of the respondents in terms of age, civil status, type of school, teaching position, years in service, and educational attainment. The results indicate that the teaching workforce is generally composed of younger educators who are in the early stages of their professional careers. This suggests a relatively new and developing pool of teachers who are still building experience, refining their instructional skills, and adapting to classroom and school demands.</w:t>
      </w:r>
    </w:p>
    <w:p w14:paraId="72D8422B" w14:textId="462CB00C" w:rsidR="00903090" w:rsidRPr="00DA48A8" w:rsidRDefault="00000000" w:rsidP="00E259AB">
      <w:pPr>
        <w:spacing w:before="240" w:after="240"/>
        <w:ind w:right="-7" w:firstLine="720"/>
        <w:jc w:val="both"/>
        <w:rPr>
          <w:rFonts w:ascii="Times New Roman" w:eastAsia="Arial Unicode MS" w:hAnsi="Times New Roman" w:cs="Times New Roman"/>
          <w:sz w:val="24"/>
          <w:szCs w:val="24"/>
          <w:lang w:bidi="ar"/>
        </w:rPr>
      </w:pPr>
      <w:r w:rsidRPr="00DA48A8">
        <w:rPr>
          <w:rFonts w:ascii="Times New Roman" w:eastAsia="Arial Unicode MS" w:hAnsi="Times New Roman" w:cs="Times New Roman"/>
          <w:sz w:val="24"/>
          <w:szCs w:val="24"/>
          <w:lang w:bidi="ar"/>
        </w:rPr>
        <w:t>This demographic pattern implies that many teachers may still be undergoing professional growth and adjustment in handling both instructional and non-instructional responsibilities. As noted by Ingersoll (2021), a younger teaching workforce often reflects active recruitment efforts and ongoing staffing needs within the education system. It also highlights the importance of providing mentoring, training, and continuous professional development to support early-career teachers in strengthening their competence, confidence, and long-term effectiveness in the teaching profession.</w:t>
      </w:r>
      <w:r w:rsidRPr="00DA48A8">
        <w:rPr>
          <w:rFonts w:ascii="Times New Roman" w:eastAsia="SimSun" w:hAnsi="Times New Roman" w:cs="Times New Roman"/>
          <w:noProof/>
          <w:sz w:val="24"/>
          <w:szCs w:val="24"/>
          <w:lang w:bidi="ar"/>
        </w:rPr>
        <mc:AlternateContent>
          <mc:Choice Requires="wps">
            <w:drawing>
              <wp:anchor distT="0" distB="0" distL="114300" distR="114300" simplePos="0" relativeHeight="251659264" behindDoc="0" locked="0" layoutInCell="1" allowOverlap="1" wp14:anchorId="5E1997D7" wp14:editId="16E3011A">
                <wp:simplePos x="0" y="0"/>
                <wp:positionH relativeFrom="column">
                  <wp:posOffset>5039995</wp:posOffset>
                </wp:positionH>
                <wp:positionV relativeFrom="paragraph">
                  <wp:posOffset>381000</wp:posOffset>
                </wp:positionV>
                <wp:extent cx="553720" cy="351155"/>
                <wp:effectExtent l="0" t="0" r="17780" b="10795"/>
                <wp:wrapNone/>
                <wp:docPr id="3" name="Text Box 15"/>
                <wp:cNvGraphicFramePr/>
                <a:graphic xmlns:a="http://schemas.openxmlformats.org/drawingml/2006/main">
                  <a:graphicData uri="http://schemas.microsoft.com/office/word/2010/wordprocessingShape">
                    <wps:wsp>
                      <wps:cNvSpPr txBox="1"/>
                      <wps:spPr>
                        <a:xfrm>
                          <a:off x="0" y="0"/>
                          <a:ext cx="553720" cy="351155"/>
                        </a:xfrm>
                        <a:prstGeom prst="rect">
                          <a:avLst/>
                        </a:prstGeom>
                        <a:solidFill>
                          <a:srgbClr val="FFFFFF"/>
                        </a:solidFill>
                        <a:ln w="6350">
                          <a:noFill/>
                        </a:ln>
                      </wps:spPr>
                      <wps:txbx>
                        <w:txbxContent>
                          <w:p w14:paraId="456356E0" w14:textId="77777777" w:rsidR="00903090" w:rsidRDefault="00903090">
                            <w:pPr>
                              <w:spacing w:after="200" w:line="276" w:lineRule="auto"/>
                            </w:pPr>
                          </w:p>
                        </w:txbxContent>
                      </wps:txbx>
                      <wps:bodyPr wrap="square" upright="1"/>
                    </wps:wsp>
                  </a:graphicData>
                </a:graphic>
              </wp:anchor>
            </w:drawing>
          </mc:Choice>
          <mc:Fallback>
            <w:pict>
              <v:shapetype w14:anchorId="5E1997D7" id="_x0000_t202" coordsize="21600,21600" o:spt="202" path="m,l,21600r21600,l21600,xe">
                <v:stroke joinstyle="miter"/>
                <v:path gradientshapeok="t" o:connecttype="rect"/>
              </v:shapetype>
              <v:shape id="Text Box 15" o:spid="_x0000_s1026" type="#_x0000_t202" style="position:absolute;left:0;text-align:left;margin-left:396.85pt;margin-top:30pt;width:43.6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yylgEAABkDAAAOAAAAZHJzL2Uyb0RvYy54bWysUk2P0zAQvSPxHyzfadJWWVDUdCVYdS8I&#10;kJb9Aa5jJ5b8xYzbpP+esVva3eWGyMGxZ8bP772Zzf3sLDsqQBN8x5eLmjPlZeiNHzr+/HP34RNn&#10;mITvhQ1edfykkN9v37/bTLFVqzAG2ytgBOKxnWLHx5RiW1UoR+UELkJUnpI6gBOJjjBUPYiJ0J2t&#10;VnV9V00B+ghBKkSKPpyTfFvwtVYyfdcaVWK248QtlRXKus9rtd2IdgARRyMvNMQ/sHDCeHr0CvUg&#10;kmAHMH9BOSMhYNBpIYOrgtZGqqKB1CzrN2qeRhFV0ULmYLzahP8PVn47PsUfwNL8OczUwGzIFLFF&#10;CmY9swaX/8SUUZ4sPF1tU3NikoJNs/64ooyk1LpZLpsmo1S3yxEwPargWN50HKgrxSxx/IrpXPqn&#10;JL+FwZp+Z6wtBxj2Xyywo6AO7sp3QX9VZj2bOn63buqC7EO+f4a2nsjcNOVdmvfzReg+9CfSP9EI&#10;dBx/HQQozg4RzDAS1eJHuUz+F02XWckNfnkuT9wmevsbAAD//wMAUEsDBBQABgAIAAAAIQAtSQxV&#10;3QAAAAoBAAAPAAAAZHJzL2Rvd25yZXYueG1sTI9BTwIxEIXvJv6HZky8SbuisCzbJcbEq4mAnMu2&#10;bje0001bYOHXO57kOJkv732vXo3esZOJqQ8ooZgIYAbboHvsJGw3H08lsJQVauUCGgkXk2DV3N/V&#10;qtLhjF/mtM4doxBMlZJgcx4qzlNrjVdpEgaD9PsJ0atMZ+y4jupM4d7xZyFm3KseqcGqwbxb0x7W&#10;Ry9h1/nr7rsYotXeveDn9bLZhl7Kx4fxbQksmzH/w/CnT+rQkNM+HFEn5iTMF9M5oRJmgjYRUJZi&#10;AWxPZPE6Bd7U/HZC8wsAAP//AwBQSwECLQAUAAYACAAAACEAtoM4kv4AAADhAQAAEwAAAAAAAAAA&#10;AAAAAAAAAAAAW0NvbnRlbnRfVHlwZXNdLnhtbFBLAQItABQABgAIAAAAIQA4/SH/1gAAAJQBAAAL&#10;AAAAAAAAAAAAAAAAAC8BAABfcmVscy8ucmVsc1BLAQItABQABgAIAAAAIQBBGmyylgEAABkDAAAO&#10;AAAAAAAAAAAAAAAAAC4CAABkcnMvZTJvRG9jLnhtbFBLAQItABQABgAIAAAAIQAtSQxV3QAAAAoB&#10;AAAPAAAAAAAAAAAAAAAAAPADAABkcnMvZG93bnJldi54bWxQSwUGAAAAAAQABADzAAAA+gQAAAAA&#10;" stroked="f" strokeweight=".5pt">
                <v:textbox>
                  <w:txbxContent>
                    <w:p w14:paraId="456356E0" w14:textId="77777777" w:rsidR="00903090" w:rsidRDefault="00903090">
                      <w:pPr>
                        <w:spacing w:after="200" w:line="276" w:lineRule="auto"/>
                      </w:pPr>
                    </w:p>
                  </w:txbxContent>
                </v:textbox>
              </v:shape>
            </w:pict>
          </mc:Fallback>
        </mc:AlternateContent>
      </w:r>
    </w:p>
    <w:p w14:paraId="6D6F7317" w14:textId="77777777" w:rsidR="00903090" w:rsidRPr="00DA48A8" w:rsidRDefault="00000000" w:rsidP="00DA48A8">
      <w:pPr>
        <w:spacing w:before="240" w:after="240"/>
        <w:ind w:right="-7"/>
        <w:jc w:val="both"/>
        <w:rPr>
          <w:rFonts w:ascii="Times New Roman" w:eastAsia="Arial Unicode MS" w:hAnsi="Times New Roman" w:cs="Times New Roman"/>
          <w:sz w:val="24"/>
          <w:szCs w:val="24"/>
        </w:rPr>
      </w:pPr>
      <w:r w:rsidRPr="00DA48A8">
        <w:rPr>
          <w:rFonts w:ascii="Times New Roman" w:eastAsia="SimSun" w:hAnsi="Times New Roman" w:cs="Times New Roman"/>
          <w:b/>
          <w:bCs/>
          <w:sz w:val="24"/>
          <w:szCs w:val="24"/>
          <w:lang w:bidi="ar"/>
        </w:rPr>
        <w:t xml:space="preserve">Table 2. </w:t>
      </w:r>
      <w:r w:rsidRPr="00DA48A8">
        <w:rPr>
          <w:rFonts w:ascii="Times New Roman" w:eastAsia="SimSun" w:hAnsi="Times New Roman" w:cs="Times New Roman"/>
          <w:i/>
          <w:iCs/>
          <w:sz w:val="24"/>
          <w:szCs w:val="24"/>
          <w:lang w:bidi="ar"/>
        </w:rPr>
        <w:t>Profile of the Respondents</w:t>
      </w:r>
    </w:p>
    <w:tbl>
      <w:tblPr>
        <w:tblStyle w:val="TableGrid3"/>
        <w:tblW w:w="0" w:type="auto"/>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55"/>
        <w:gridCol w:w="2759"/>
        <w:gridCol w:w="2158"/>
        <w:gridCol w:w="2158"/>
      </w:tblGrid>
      <w:tr w:rsidR="00903090" w:rsidRPr="00DA48A8" w14:paraId="4F276579" w14:textId="77777777">
        <w:trPr>
          <w:trHeight w:val="307"/>
        </w:trPr>
        <w:tc>
          <w:tcPr>
            <w:tcW w:w="1555" w:type="dxa"/>
            <w:vMerge w:val="restart"/>
            <w:tcBorders>
              <w:top w:val="single" w:sz="4" w:space="0" w:color="auto"/>
              <w:left w:val="nil"/>
              <w:bottom w:val="single" w:sz="4" w:space="0" w:color="auto"/>
              <w:right w:val="nil"/>
            </w:tcBorders>
            <w:vAlign w:val="center"/>
          </w:tcPr>
          <w:p w14:paraId="679F22C7"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Age</w:t>
            </w:r>
          </w:p>
        </w:tc>
        <w:tc>
          <w:tcPr>
            <w:tcW w:w="2759" w:type="dxa"/>
            <w:tcBorders>
              <w:top w:val="single" w:sz="4" w:space="0" w:color="auto"/>
              <w:left w:val="nil"/>
              <w:bottom w:val="single" w:sz="4" w:space="0" w:color="auto"/>
              <w:right w:val="nil"/>
            </w:tcBorders>
            <w:vAlign w:val="center"/>
          </w:tcPr>
          <w:p w14:paraId="5F061C02"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Age Bracket</w:t>
            </w:r>
          </w:p>
        </w:tc>
        <w:tc>
          <w:tcPr>
            <w:tcW w:w="2158" w:type="dxa"/>
            <w:tcBorders>
              <w:top w:val="single" w:sz="4" w:space="0" w:color="auto"/>
              <w:left w:val="nil"/>
              <w:bottom w:val="single" w:sz="4" w:space="0" w:color="auto"/>
              <w:right w:val="nil"/>
            </w:tcBorders>
            <w:vAlign w:val="center"/>
          </w:tcPr>
          <w:p w14:paraId="086D7244"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Frequency</w:t>
            </w:r>
          </w:p>
        </w:tc>
        <w:tc>
          <w:tcPr>
            <w:tcW w:w="2158" w:type="dxa"/>
            <w:tcBorders>
              <w:top w:val="single" w:sz="4" w:space="0" w:color="auto"/>
              <w:left w:val="nil"/>
              <w:bottom w:val="single" w:sz="4" w:space="0" w:color="auto"/>
              <w:right w:val="nil"/>
            </w:tcBorders>
            <w:vAlign w:val="center"/>
          </w:tcPr>
          <w:p w14:paraId="69C53FA4"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Percentage</w:t>
            </w:r>
          </w:p>
        </w:tc>
      </w:tr>
      <w:tr w:rsidR="00903090" w:rsidRPr="00DA48A8" w14:paraId="4FC96CC6" w14:textId="77777777">
        <w:trPr>
          <w:trHeight w:val="249"/>
        </w:trPr>
        <w:tc>
          <w:tcPr>
            <w:tcW w:w="1555" w:type="dxa"/>
            <w:vMerge/>
            <w:tcBorders>
              <w:top w:val="single" w:sz="4" w:space="0" w:color="auto"/>
              <w:left w:val="nil"/>
              <w:bottom w:val="single" w:sz="4" w:space="0" w:color="auto"/>
              <w:right w:val="nil"/>
            </w:tcBorders>
            <w:vAlign w:val="center"/>
          </w:tcPr>
          <w:p w14:paraId="356CA634"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single" w:sz="4" w:space="0" w:color="auto"/>
              <w:left w:val="nil"/>
              <w:bottom w:val="nil"/>
              <w:right w:val="nil"/>
            </w:tcBorders>
            <w:vAlign w:val="center"/>
          </w:tcPr>
          <w:p w14:paraId="2430EB2A"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20-29 years old</w:t>
            </w:r>
          </w:p>
        </w:tc>
        <w:tc>
          <w:tcPr>
            <w:tcW w:w="2158" w:type="dxa"/>
            <w:tcBorders>
              <w:top w:val="single" w:sz="4" w:space="0" w:color="auto"/>
              <w:left w:val="nil"/>
              <w:bottom w:val="nil"/>
              <w:right w:val="nil"/>
            </w:tcBorders>
            <w:vAlign w:val="center"/>
          </w:tcPr>
          <w:p w14:paraId="03BA6EAC"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80</w:t>
            </w:r>
          </w:p>
        </w:tc>
        <w:tc>
          <w:tcPr>
            <w:tcW w:w="2158" w:type="dxa"/>
            <w:tcBorders>
              <w:top w:val="single" w:sz="4" w:space="0" w:color="auto"/>
              <w:left w:val="nil"/>
              <w:bottom w:val="nil"/>
              <w:right w:val="nil"/>
            </w:tcBorders>
            <w:vAlign w:val="center"/>
          </w:tcPr>
          <w:p w14:paraId="223469BE"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58%</w:t>
            </w:r>
          </w:p>
        </w:tc>
      </w:tr>
      <w:tr w:rsidR="00903090" w:rsidRPr="00DA48A8" w14:paraId="5743F457" w14:textId="77777777">
        <w:trPr>
          <w:trHeight w:val="297"/>
        </w:trPr>
        <w:tc>
          <w:tcPr>
            <w:tcW w:w="1555" w:type="dxa"/>
            <w:vMerge/>
            <w:tcBorders>
              <w:top w:val="single" w:sz="4" w:space="0" w:color="auto"/>
              <w:left w:val="nil"/>
              <w:bottom w:val="single" w:sz="4" w:space="0" w:color="auto"/>
              <w:right w:val="nil"/>
            </w:tcBorders>
            <w:vAlign w:val="center"/>
          </w:tcPr>
          <w:p w14:paraId="7D5EBE18"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36AF9A93"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30-39 years old</w:t>
            </w:r>
          </w:p>
        </w:tc>
        <w:tc>
          <w:tcPr>
            <w:tcW w:w="2158" w:type="dxa"/>
            <w:vAlign w:val="center"/>
          </w:tcPr>
          <w:p w14:paraId="09C9DCFC"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32</w:t>
            </w:r>
          </w:p>
        </w:tc>
        <w:tc>
          <w:tcPr>
            <w:tcW w:w="2158" w:type="dxa"/>
            <w:vAlign w:val="center"/>
          </w:tcPr>
          <w:p w14:paraId="202F7263"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23%</w:t>
            </w:r>
          </w:p>
        </w:tc>
      </w:tr>
      <w:tr w:rsidR="00903090" w:rsidRPr="00DA48A8" w14:paraId="1AA4737F" w14:textId="77777777">
        <w:trPr>
          <w:trHeight w:val="272"/>
        </w:trPr>
        <w:tc>
          <w:tcPr>
            <w:tcW w:w="1555" w:type="dxa"/>
            <w:vMerge/>
            <w:tcBorders>
              <w:top w:val="single" w:sz="4" w:space="0" w:color="auto"/>
              <w:left w:val="nil"/>
              <w:bottom w:val="single" w:sz="4" w:space="0" w:color="auto"/>
              <w:right w:val="nil"/>
            </w:tcBorders>
            <w:vAlign w:val="center"/>
          </w:tcPr>
          <w:p w14:paraId="6501862B"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0685144A"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40-49 years old</w:t>
            </w:r>
          </w:p>
        </w:tc>
        <w:tc>
          <w:tcPr>
            <w:tcW w:w="2158" w:type="dxa"/>
            <w:vAlign w:val="center"/>
          </w:tcPr>
          <w:p w14:paraId="3A68073E"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15</w:t>
            </w:r>
          </w:p>
        </w:tc>
        <w:tc>
          <w:tcPr>
            <w:tcW w:w="2158" w:type="dxa"/>
            <w:vAlign w:val="center"/>
          </w:tcPr>
          <w:p w14:paraId="43EA9D61"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11%</w:t>
            </w:r>
          </w:p>
        </w:tc>
      </w:tr>
      <w:tr w:rsidR="00903090" w:rsidRPr="00DA48A8" w14:paraId="50169342" w14:textId="77777777">
        <w:trPr>
          <w:trHeight w:val="241"/>
        </w:trPr>
        <w:tc>
          <w:tcPr>
            <w:tcW w:w="1555" w:type="dxa"/>
            <w:vMerge/>
            <w:tcBorders>
              <w:top w:val="single" w:sz="4" w:space="0" w:color="auto"/>
              <w:left w:val="nil"/>
              <w:bottom w:val="single" w:sz="4" w:space="0" w:color="auto"/>
              <w:right w:val="nil"/>
            </w:tcBorders>
            <w:vAlign w:val="center"/>
          </w:tcPr>
          <w:p w14:paraId="31EFA023"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nil"/>
              <w:left w:val="nil"/>
              <w:bottom w:val="single" w:sz="4" w:space="0" w:color="auto"/>
              <w:right w:val="nil"/>
            </w:tcBorders>
            <w:vAlign w:val="center"/>
          </w:tcPr>
          <w:p w14:paraId="50DF1FC0"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50 years old and above</w:t>
            </w:r>
          </w:p>
        </w:tc>
        <w:tc>
          <w:tcPr>
            <w:tcW w:w="2158" w:type="dxa"/>
            <w:tcBorders>
              <w:top w:val="nil"/>
              <w:left w:val="nil"/>
              <w:bottom w:val="single" w:sz="4" w:space="0" w:color="auto"/>
              <w:right w:val="nil"/>
            </w:tcBorders>
            <w:vAlign w:val="center"/>
          </w:tcPr>
          <w:p w14:paraId="1AD1FC11"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10</w:t>
            </w:r>
          </w:p>
        </w:tc>
        <w:tc>
          <w:tcPr>
            <w:tcW w:w="2158" w:type="dxa"/>
            <w:tcBorders>
              <w:top w:val="nil"/>
              <w:left w:val="nil"/>
              <w:bottom w:val="single" w:sz="4" w:space="0" w:color="auto"/>
              <w:right w:val="nil"/>
            </w:tcBorders>
            <w:vAlign w:val="center"/>
          </w:tcPr>
          <w:p w14:paraId="04BFE08F"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7%</w:t>
            </w:r>
          </w:p>
        </w:tc>
      </w:tr>
      <w:tr w:rsidR="00903090" w:rsidRPr="00DA48A8" w14:paraId="566F0D82" w14:textId="77777777">
        <w:trPr>
          <w:trHeight w:val="259"/>
        </w:trPr>
        <w:tc>
          <w:tcPr>
            <w:tcW w:w="4314" w:type="dxa"/>
            <w:gridSpan w:val="2"/>
            <w:tcBorders>
              <w:top w:val="single" w:sz="4" w:space="0" w:color="auto"/>
              <w:left w:val="nil"/>
              <w:bottom w:val="single" w:sz="4" w:space="0" w:color="auto"/>
              <w:right w:val="nil"/>
            </w:tcBorders>
            <w:vAlign w:val="center"/>
          </w:tcPr>
          <w:p w14:paraId="0D1C257E"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Total</w:t>
            </w:r>
          </w:p>
        </w:tc>
        <w:tc>
          <w:tcPr>
            <w:tcW w:w="2158" w:type="dxa"/>
            <w:tcBorders>
              <w:top w:val="single" w:sz="4" w:space="0" w:color="auto"/>
              <w:left w:val="nil"/>
              <w:bottom w:val="single" w:sz="4" w:space="0" w:color="auto"/>
              <w:right w:val="nil"/>
            </w:tcBorders>
            <w:vAlign w:val="center"/>
          </w:tcPr>
          <w:p w14:paraId="0BD71670"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137</w:t>
            </w:r>
          </w:p>
        </w:tc>
        <w:tc>
          <w:tcPr>
            <w:tcW w:w="2158" w:type="dxa"/>
            <w:tcBorders>
              <w:top w:val="single" w:sz="4" w:space="0" w:color="auto"/>
              <w:left w:val="nil"/>
              <w:bottom w:val="single" w:sz="4" w:space="0" w:color="auto"/>
              <w:right w:val="nil"/>
            </w:tcBorders>
            <w:vAlign w:val="center"/>
          </w:tcPr>
          <w:p w14:paraId="55847AFD"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100%</w:t>
            </w:r>
          </w:p>
        </w:tc>
      </w:tr>
      <w:tr w:rsidR="00903090" w:rsidRPr="00DA48A8" w14:paraId="5101C1F0" w14:textId="77777777">
        <w:trPr>
          <w:trHeight w:val="291"/>
        </w:trPr>
        <w:tc>
          <w:tcPr>
            <w:tcW w:w="1555" w:type="dxa"/>
            <w:vMerge w:val="restart"/>
            <w:tcBorders>
              <w:top w:val="single" w:sz="4" w:space="0" w:color="auto"/>
              <w:left w:val="nil"/>
              <w:bottom w:val="single" w:sz="4" w:space="0" w:color="auto"/>
              <w:right w:val="nil"/>
            </w:tcBorders>
            <w:vAlign w:val="center"/>
          </w:tcPr>
          <w:p w14:paraId="7D6606A5"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Civil Status</w:t>
            </w:r>
          </w:p>
        </w:tc>
        <w:tc>
          <w:tcPr>
            <w:tcW w:w="2759" w:type="dxa"/>
            <w:tcBorders>
              <w:top w:val="single" w:sz="4" w:space="0" w:color="auto"/>
              <w:left w:val="nil"/>
              <w:bottom w:val="single" w:sz="4" w:space="0" w:color="auto"/>
              <w:right w:val="nil"/>
            </w:tcBorders>
            <w:vAlign w:val="center"/>
          </w:tcPr>
          <w:p w14:paraId="4E19E0A6"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Status</w:t>
            </w:r>
          </w:p>
        </w:tc>
        <w:tc>
          <w:tcPr>
            <w:tcW w:w="2158" w:type="dxa"/>
            <w:tcBorders>
              <w:top w:val="single" w:sz="4" w:space="0" w:color="auto"/>
              <w:left w:val="nil"/>
              <w:bottom w:val="single" w:sz="4" w:space="0" w:color="auto"/>
              <w:right w:val="nil"/>
            </w:tcBorders>
            <w:vAlign w:val="center"/>
          </w:tcPr>
          <w:p w14:paraId="51CC321F"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Frequency</w:t>
            </w:r>
          </w:p>
        </w:tc>
        <w:tc>
          <w:tcPr>
            <w:tcW w:w="2158" w:type="dxa"/>
            <w:tcBorders>
              <w:top w:val="single" w:sz="4" w:space="0" w:color="auto"/>
              <w:left w:val="nil"/>
              <w:bottom w:val="single" w:sz="4" w:space="0" w:color="auto"/>
              <w:right w:val="nil"/>
            </w:tcBorders>
            <w:vAlign w:val="center"/>
          </w:tcPr>
          <w:p w14:paraId="21ABA5BB"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Percentage</w:t>
            </w:r>
          </w:p>
        </w:tc>
      </w:tr>
      <w:tr w:rsidR="00903090" w:rsidRPr="00DA48A8" w14:paraId="5ED7E4D5" w14:textId="77777777">
        <w:trPr>
          <w:trHeight w:val="267"/>
        </w:trPr>
        <w:tc>
          <w:tcPr>
            <w:tcW w:w="1555" w:type="dxa"/>
            <w:vMerge/>
            <w:tcBorders>
              <w:top w:val="single" w:sz="4" w:space="0" w:color="auto"/>
              <w:left w:val="nil"/>
              <w:bottom w:val="single" w:sz="4" w:space="0" w:color="auto"/>
              <w:right w:val="nil"/>
            </w:tcBorders>
            <w:vAlign w:val="center"/>
          </w:tcPr>
          <w:p w14:paraId="4B79E735"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single" w:sz="4" w:space="0" w:color="auto"/>
              <w:left w:val="nil"/>
              <w:bottom w:val="nil"/>
              <w:right w:val="nil"/>
            </w:tcBorders>
            <w:vAlign w:val="center"/>
          </w:tcPr>
          <w:p w14:paraId="1EA7BFFC"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Single</w:t>
            </w:r>
          </w:p>
        </w:tc>
        <w:tc>
          <w:tcPr>
            <w:tcW w:w="2158" w:type="dxa"/>
            <w:tcBorders>
              <w:top w:val="single" w:sz="4" w:space="0" w:color="auto"/>
              <w:left w:val="nil"/>
              <w:bottom w:val="nil"/>
              <w:right w:val="nil"/>
            </w:tcBorders>
            <w:vAlign w:val="center"/>
          </w:tcPr>
          <w:p w14:paraId="247CF752"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83</w:t>
            </w:r>
          </w:p>
        </w:tc>
        <w:tc>
          <w:tcPr>
            <w:tcW w:w="2158" w:type="dxa"/>
            <w:tcBorders>
              <w:top w:val="single" w:sz="4" w:space="0" w:color="auto"/>
              <w:left w:val="nil"/>
              <w:bottom w:val="nil"/>
              <w:right w:val="nil"/>
            </w:tcBorders>
            <w:vAlign w:val="center"/>
          </w:tcPr>
          <w:p w14:paraId="6928D748"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61%</w:t>
            </w:r>
          </w:p>
        </w:tc>
      </w:tr>
      <w:tr w:rsidR="00903090" w:rsidRPr="00DA48A8" w14:paraId="7D6706D4" w14:textId="77777777">
        <w:trPr>
          <w:trHeight w:val="271"/>
        </w:trPr>
        <w:tc>
          <w:tcPr>
            <w:tcW w:w="1555" w:type="dxa"/>
            <w:vMerge/>
            <w:tcBorders>
              <w:top w:val="single" w:sz="4" w:space="0" w:color="auto"/>
              <w:left w:val="nil"/>
              <w:bottom w:val="single" w:sz="4" w:space="0" w:color="auto"/>
              <w:right w:val="nil"/>
            </w:tcBorders>
            <w:vAlign w:val="center"/>
          </w:tcPr>
          <w:p w14:paraId="1B72AD00"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1963A8E0"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Married</w:t>
            </w:r>
          </w:p>
        </w:tc>
        <w:tc>
          <w:tcPr>
            <w:tcW w:w="2158" w:type="dxa"/>
            <w:vAlign w:val="center"/>
          </w:tcPr>
          <w:p w14:paraId="1F5264FB"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49</w:t>
            </w:r>
          </w:p>
        </w:tc>
        <w:tc>
          <w:tcPr>
            <w:tcW w:w="2158" w:type="dxa"/>
            <w:vAlign w:val="center"/>
          </w:tcPr>
          <w:p w14:paraId="36F8AF3A"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36%</w:t>
            </w:r>
          </w:p>
        </w:tc>
      </w:tr>
      <w:tr w:rsidR="00903090" w:rsidRPr="00DA48A8" w14:paraId="06FE4CFA" w14:textId="77777777">
        <w:trPr>
          <w:trHeight w:val="133"/>
        </w:trPr>
        <w:tc>
          <w:tcPr>
            <w:tcW w:w="1555" w:type="dxa"/>
            <w:vMerge/>
            <w:tcBorders>
              <w:top w:val="single" w:sz="4" w:space="0" w:color="auto"/>
              <w:left w:val="nil"/>
              <w:bottom w:val="single" w:sz="4" w:space="0" w:color="auto"/>
              <w:right w:val="nil"/>
            </w:tcBorders>
            <w:vAlign w:val="center"/>
          </w:tcPr>
          <w:p w14:paraId="747DED25"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1DFFA7A5"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Separated</w:t>
            </w:r>
          </w:p>
        </w:tc>
        <w:tc>
          <w:tcPr>
            <w:tcW w:w="2158" w:type="dxa"/>
            <w:vAlign w:val="center"/>
          </w:tcPr>
          <w:p w14:paraId="73CF1A83"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w:t>
            </w:r>
          </w:p>
        </w:tc>
        <w:tc>
          <w:tcPr>
            <w:tcW w:w="2158" w:type="dxa"/>
            <w:vAlign w:val="center"/>
          </w:tcPr>
          <w:p w14:paraId="6B390EEB"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w:t>
            </w:r>
          </w:p>
        </w:tc>
      </w:tr>
      <w:tr w:rsidR="00903090" w:rsidRPr="00DA48A8" w14:paraId="681A7A36" w14:textId="77777777">
        <w:trPr>
          <w:trHeight w:val="165"/>
        </w:trPr>
        <w:tc>
          <w:tcPr>
            <w:tcW w:w="1555" w:type="dxa"/>
            <w:vMerge/>
            <w:tcBorders>
              <w:top w:val="single" w:sz="4" w:space="0" w:color="auto"/>
              <w:left w:val="nil"/>
              <w:bottom w:val="single" w:sz="4" w:space="0" w:color="auto"/>
              <w:right w:val="nil"/>
            </w:tcBorders>
            <w:vAlign w:val="center"/>
          </w:tcPr>
          <w:p w14:paraId="64DBD32F"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nil"/>
              <w:left w:val="nil"/>
              <w:bottom w:val="single" w:sz="4" w:space="0" w:color="auto"/>
              <w:right w:val="nil"/>
            </w:tcBorders>
            <w:vAlign w:val="center"/>
          </w:tcPr>
          <w:p w14:paraId="60418D09"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Widowed</w:t>
            </w:r>
          </w:p>
        </w:tc>
        <w:tc>
          <w:tcPr>
            <w:tcW w:w="2158" w:type="dxa"/>
            <w:tcBorders>
              <w:top w:val="nil"/>
              <w:left w:val="nil"/>
              <w:bottom w:val="single" w:sz="4" w:space="0" w:color="auto"/>
              <w:right w:val="nil"/>
            </w:tcBorders>
            <w:vAlign w:val="center"/>
          </w:tcPr>
          <w:p w14:paraId="4DCC7FBD"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w:t>
            </w:r>
          </w:p>
        </w:tc>
        <w:tc>
          <w:tcPr>
            <w:tcW w:w="2158" w:type="dxa"/>
            <w:tcBorders>
              <w:top w:val="nil"/>
              <w:left w:val="nil"/>
              <w:bottom w:val="single" w:sz="4" w:space="0" w:color="auto"/>
              <w:right w:val="nil"/>
            </w:tcBorders>
            <w:vAlign w:val="center"/>
          </w:tcPr>
          <w:p w14:paraId="394D5DF6"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w:t>
            </w:r>
          </w:p>
        </w:tc>
      </w:tr>
      <w:tr w:rsidR="00903090" w:rsidRPr="00DA48A8" w14:paraId="4E68FF72" w14:textId="77777777">
        <w:trPr>
          <w:trHeight w:val="211"/>
        </w:trPr>
        <w:tc>
          <w:tcPr>
            <w:tcW w:w="4314" w:type="dxa"/>
            <w:gridSpan w:val="2"/>
            <w:tcBorders>
              <w:top w:val="single" w:sz="4" w:space="0" w:color="auto"/>
              <w:left w:val="nil"/>
              <w:bottom w:val="single" w:sz="4" w:space="0" w:color="auto"/>
              <w:right w:val="nil"/>
            </w:tcBorders>
            <w:vAlign w:val="center"/>
          </w:tcPr>
          <w:p w14:paraId="5ACF4D45"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Total</w:t>
            </w:r>
          </w:p>
        </w:tc>
        <w:tc>
          <w:tcPr>
            <w:tcW w:w="2158" w:type="dxa"/>
            <w:tcBorders>
              <w:top w:val="single" w:sz="4" w:space="0" w:color="auto"/>
              <w:left w:val="nil"/>
              <w:bottom w:val="single" w:sz="4" w:space="0" w:color="auto"/>
              <w:right w:val="nil"/>
            </w:tcBorders>
            <w:vAlign w:val="center"/>
          </w:tcPr>
          <w:p w14:paraId="5DD4403C"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137</w:t>
            </w:r>
          </w:p>
        </w:tc>
        <w:tc>
          <w:tcPr>
            <w:tcW w:w="2158" w:type="dxa"/>
            <w:tcBorders>
              <w:top w:val="single" w:sz="4" w:space="0" w:color="auto"/>
              <w:left w:val="nil"/>
              <w:bottom w:val="single" w:sz="4" w:space="0" w:color="auto"/>
              <w:right w:val="nil"/>
            </w:tcBorders>
            <w:vAlign w:val="center"/>
          </w:tcPr>
          <w:p w14:paraId="32B1146A"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100%</w:t>
            </w:r>
          </w:p>
        </w:tc>
      </w:tr>
      <w:tr w:rsidR="00903090" w:rsidRPr="00DA48A8" w14:paraId="01858087" w14:textId="77777777">
        <w:trPr>
          <w:trHeight w:val="217"/>
        </w:trPr>
        <w:tc>
          <w:tcPr>
            <w:tcW w:w="1555" w:type="dxa"/>
            <w:vMerge w:val="restart"/>
            <w:tcBorders>
              <w:top w:val="single" w:sz="4" w:space="0" w:color="auto"/>
              <w:left w:val="nil"/>
              <w:bottom w:val="single" w:sz="4" w:space="0" w:color="auto"/>
              <w:right w:val="nil"/>
            </w:tcBorders>
            <w:vAlign w:val="center"/>
          </w:tcPr>
          <w:p w14:paraId="2D1CA98F"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Type of School</w:t>
            </w:r>
          </w:p>
        </w:tc>
        <w:tc>
          <w:tcPr>
            <w:tcW w:w="2759" w:type="dxa"/>
            <w:tcBorders>
              <w:top w:val="single" w:sz="4" w:space="0" w:color="auto"/>
              <w:left w:val="nil"/>
              <w:bottom w:val="single" w:sz="4" w:space="0" w:color="auto"/>
              <w:right w:val="nil"/>
            </w:tcBorders>
            <w:vAlign w:val="center"/>
          </w:tcPr>
          <w:p w14:paraId="3FA19111"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Type</w:t>
            </w:r>
          </w:p>
        </w:tc>
        <w:tc>
          <w:tcPr>
            <w:tcW w:w="2158" w:type="dxa"/>
            <w:tcBorders>
              <w:top w:val="single" w:sz="4" w:space="0" w:color="auto"/>
              <w:left w:val="nil"/>
              <w:bottom w:val="single" w:sz="4" w:space="0" w:color="auto"/>
              <w:right w:val="nil"/>
            </w:tcBorders>
            <w:vAlign w:val="center"/>
          </w:tcPr>
          <w:p w14:paraId="344702E8"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Frequency</w:t>
            </w:r>
          </w:p>
        </w:tc>
        <w:tc>
          <w:tcPr>
            <w:tcW w:w="2158" w:type="dxa"/>
            <w:tcBorders>
              <w:top w:val="single" w:sz="4" w:space="0" w:color="auto"/>
              <w:left w:val="nil"/>
              <w:bottom w:val="single" w:sz="4" w:space="0" w:color="auto"/>
              <w:right w:val="nil"/>
            </w:tcBorders>
            <w:vAlign w:val="center"/>
          </w:tcPr>
          <w:p w14:paraId="23474DEF"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Percentage</w:t>
            </w:r>
          </w:p>
        </w:tc>
      </w:tr>
      <w:tr w:rsidR="00903090" w:rsidRPr="00DA48A8" w14:paraId="04D4716F" w14:textId="77777777">
        <w:trPr>
          <w:trHeight w:val="207"/>
        </w:trPr>
        <w:tc>
          <w:tcPr>
            <w:tcW w:w="1555" w:type="dxa"/>
            <w:vMerge/>
            <w:tcBorders>
              <w:top w:val="single" w:sz="4" w:space="0" w:color="auto"/>
              <w:left w:val="nil"/>
              <w:bottom w:val="single" w:sz="4" w:space="0" w:color="auto"/>
              <w:right w:val="nil"/>
            </w:tcBorders>
            <w:vAlign w:val="center"/>
          </w:tcPr>
          <w:p w14:paraId="79A05F15"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single" w:sz="4" w:space="0" w:color="auto"/>
              <w:left w:val="nil"/>
              <w:bottom w:val="nil"/>
              <w:right w:val="nil"/>
            </w:tcBorders>
            <w:vAlign w:val="center"/>
          </w:tcPr>
          <w:p w14:paraId="186C90A2"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Small</w:t>
            </w:r>
          </w:p>
        </w:tc>
        <w:tc>
          <w:tcPr>
            <w:tcW w:w="2158" w:type="dxa"/>
            <w:tcBorders>
              <w:top w:val="single" w:sz="4" w:space="0" w:color="auto"/>
              <w:left w:val="nil"/>
              <w:bottom w:val="nil"/>
              <w:right w:val="nil"/>
            </w:tcBorders>
            <w:vAlign w:val="center"/>
          </w:tcPr>
          <w:p w14:paraId="17F55A5D"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27</w:t>
            </w:r>
          </w:p>
        </w:tc>
        <w:tc>
          <w:tcPr>
            <w:tcW w:w="2158" w:type="dxa"/>
            <w:tcBorders>
              <w:top w:val="single" w:sz="4" w:space="0" w:color="auto"/>
              <w:left w:val="nil"/>
              <w:bottom w:val="nil"/>
              <w:right w:val="nil"/>
            </w:tcBorders>
            <w:vAlign w:val="center"/>
          </w:tcPr>
          <w:p w14:paraId="3A986E83"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20%</w:t>
            </w:r>
          </w:p>
        </w:tc>
      </w:tr>
      <w:tr w:rsidR="00903090" w:rsidRPr="00DA48A8" w14:paraId="6019BFD7" w14:textId="77777777">
        <w:trPr>
          <w:trHeight w:val="253"/>
        </w:trPr>
        <w:tc>
          <w:tcPr>
            <w:tcW w:w="1555" w:type="dxa"/>
            <w:vMerge/>
            <w:tcBorders>
              <w:top w:val="single" w:sz="4" w:space="0" w:color="auto"/>
              <w:left w:val="nil"/>
              <w:bottom w:val="single" w:sz="4" w:space="0" w:color="auto"/>
              <w:right w:val="nil"/>
            </w:tcBorders>
            <w:vAlign w:val="center"/>
          </w:tcPr>
          <w:p w14:paraId="65105AA1"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3F71D23E"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Medium</w:t>
            </w:r>
          </w:p>
        </w:tc>
        <w:tc>
          <w:tcPr>
            <w:tcW w:w="2158" w:type="dxa"/>
            <w:vAlign w:val="center"/>
          </w:tcPr>
          <w:p w14:paraId="0C9B62C1"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63</w:t>
            </w:r>
          </w:p>
        </w:tc>
        <w:tc>
          <w:tcPr>
            <w:tcW w:w="2158" w:type="dxa"/>
            <w:vAlign w:val="center"/>
          </w:tcPr>
          <w:p w14:paraId="40282B81"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46%</w:t>
            </w:r>
          </w:p>
        </w:tc>
      </w:tr>
      <w:tr w:rsidR="00903090" w:rsidRPr="00DA48A8" w14:paraId="7AC13B1A" w14:textId="77777777">
        <w:trPr>
          <w:trHeight w:val="285"/>
        </w:trPr>
        <w:tc>
          <w:tcPr>
            <w:tcW w:w="1555" w:type="dxa"/>
            <w:vMerge/>
            <w:tcBorders>
              <w:top w:val="single" w:sz="4" w:space="0" w:color="auto"/>
              <w:left w:val="nil"/>
              <w:bottom w:val="single" w:sz="4" w:space="0" w:color="auto"/>
              <w:right w:val="nil"/>
            </w:tcBorders>
            <w:vAlign w:val="center"/>
          </w:tcPr>
          <w:p w14:paraId="56E17BFD"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235E6D6E"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Large</w:t>
            </w:r>
          </w:p>
        </w:tc>
        <w:tc>
          <w:tcPr>
            <w:tcW w:w="2158" w:type="dxa"/>
            <w:vAlign w:val="center"/>
          </w:tcPr>
          <w:p w14:paraId="7898EA9A"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41</w:t>
            </w:r>
          </w:p>
        </w:tc>
        <w:tc>
          <w:tcPr>
            <w:tcW w:w="2158" w:type="dxa"/>
            <w:vAlign w:val="center"/>
          </w:tcPr>
          <w:p w14:paraId="1D6D0764"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30%</w:t>
            </w:r>
          </w:p>
        </w:tc>
      </w:tr>
      <w:tr w:rsidR="00903090" w:rsidRPr="00DA48A8" w14:paraId="57AA197D" w14:textId="77777777">
        <w:trPr>
          <w:trHeight w:val="261"/>
        </w:trPr>
        <w:tc>
          <w:tcPr>
            <w:tcW w:w="1555" w:type="dxa"/>
            <w:vMerge/>
            <w:tcBorders>
              <w:top w:val="single" w:sz="4" w:space="0" w:color="auto"/>
              <w:left w:val="nil"/>
              <w:bottom w:val="single" w:sz="4" w:space="0" w:color="auto"/>
              <w:right w:val="nil"/>
            </w:tcBorders>
            <w:vAlign w:val="center"/>
          </w:tcPr>
          <w:p w14:paraId="620541FD"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nil"/>
              <w:left w:val="nil"/>
              <w:bottom w:val="single" w:sz="4" w:space="0" w:color="auto"/>
              <w:right w:val="nil"/>
            </w:tcBorders>
            <w:vAlign w:val="center"/>
          </w:tcPr>
          <w:p w14:paraId="7EC17653"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Mega</w:t>
            </w:r>
          </w:p>
        </w:tc>
        <w:tc>
          <w:tcPr>
            <w:tcW w:w="2158" w:type="dxa"/>
            <w:tcBorders>
              <w:top w:val="nil"/>
              <w:left w:val="nil"/>
              <w:bottom w:val="single" w:sz="4" w:space="0" w:color="auto"/>
              <w:right w:val="nil"/>
            </w:tcBorders>
            <w:vAlign w:val="center"/>
          </w:tcPr>
          <w:p w14:paraId="5EE5522D"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6</w:t>
            </w:r>
          </w:p>
        </w:tc>
        <w:tc>
          <w:tcPr>
            <w:tcW w:w="2158" w:type="dxa"/>
            <w:tcBorders>
              <w:top w:val="nil"/>
              <w:left w:val="nil"/>
              <w:bottom w:val="single" w:sz="4" w:space="0" w:color="auto"/>
              <w:right w:val="nil"/>
            </w:tcBorders>
            <w:vAlign w:val="center"/>
          </w:tcPr>
          <w:p w14:paraId="1E8E6449"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w:t>
            </w:r>
          </w:p>
        </w:tc>
      </w:tr>
      <w:tr w:rsidR="00903090" w:rsidRPr="00DA48A8" w14:paraId="0F176CD3" w14:textId="77777777">
        <w:trPr>
          <w:trHeight w:val="151"/>
        </w:trPr>
        <w:tc>
          <w:tcPr>
            <w:tcW w:w="4314" w:type="dxa"/>
            <w:gridSpan w:val="2"/>
            <w:tcBorders>
              <w:top w:val="single" w:sz="4" w:space="0" w:color="auto"/>
              <w:left w:val="nil"/>
              <w:bottom w:val="single" w:sz="4" w:space="0" w:color="auto"/>
              <w:right w:val="nil"/>
            </w:tcBorders>
            <w:vAlign w:val="center"/>
          </w:tcPr>
          <w:p w14:paraId="33A0A980"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Total</w:t>
            </w:r>
          </w:p>
        </w:tc>
        <w:tc>
          <w:tcPr>
            <w:tcW w:w="2158" w:type="dxa"/>
            <w:tcBorders>
              <w:top w:val="single" w:sz="4" w:space="0" w:color="auto"/>
              <w:left w:val="nil"/>
              <w:bottom w:val="single" w:sz="4" w:space="0" w:color="auto"/>
              <w:right w:val="nil"/>
            </w:tcBorders>
            <w:vAlign w:val="center"/>
          </w:tcPr>
          <w:p w14:paraId="35936C37"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137</w:t>
            </w:r>
          </w:p>
        </w:tc>
        <w:tc>
          <w:tcPr>
            <w:tcW w:w="2158" w:type="dxa"/>
            <w:tcBorders>
              <w:top w:val="single" w:sz="4" w:space="0" w:color="auto"/>
              <w:left w:val="nil"/>
              <w:bottom w:val="single" w:sz="4" w:space="0" w:color="auto"/>
              <w:right w:val="nil"/>
            </w:tcBorders>
            <w:vAlign w:val="center"/>
          </w:tcPr>
          <w:p w14:paraId="73AB5637"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100%</w:t>
            </w:r>
          </w:p>
        </w:tc>
      </w:tr>
      <w:tr w:rsidR="00903090" w:rsidRPr="00DA48A8" w14:paraId="7F9C8B6E" w14:textId="77777777">
        <w:trPr>
          <w:trHeight w:val="330"/>
        </w:trPr>
        <w:tc>
          <w:tcPr>
            <w:tcW w:w="1555" w:type="dxa"/>
            <w:vMerge w:val="restart"/>
            <w:tcBorders>
              <w:top w:val="single" w:sz="4" w:space="0" w:color="auto"/>
              <w:left w:val="nil"/>
              <w:bottom w:val="single" w:sz="4" w:space="0" w:color="auto"/>
              <w:right w:val="nil"/>
            </w:tcBorders>
            <w:vAlign w:val="center"/>
          </w:tcPr>
          <w:p w14:paraId="10B6A369"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Years in Service</w:t>
            </w:r>
          </w:p>
        </w:tc>
        <w:tc>
          <w:tcPr>
            <w:tcW w:w="2759" w:type="dxa"/>
            <w:tcBorders>
              <w:top w:val="single" w:sz="4" w:space="0" w:color="auto"/>
              <w:left w:val="nil"/>
              <w:bottom w:val="single" w:sz="4" w:space="0" w:color="auto"/>
              <w:right w:val="nil"/>
            </w:tcBorders>
            <w:vAlign w:val="center"/>
          </w:tcPr>
          <w:p w14:paraId="49A7B4EE"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No. of Years</w:t>
            </w:r>
          </w:p>
        </w:tc>
        <w:tc>
          <w:tcPr>
            <w:tcW w:w="2158" w:type="dxa"/>
            <w:tcBorders>
              <w:top w:val="single" w:sz="4" w:space="0" w:color="auto"/>
              <w:left w:val="nil"/>
              <w:bottom w:val="single" w:sz="4" w:space="0" w:color="auto"/>
              <w:right w:val="nil"/>
            </w:tcBorders>
            <w:vAlign w:val="center"/>
          </w:tcPr>
          <w:p w14:paraId="41D4FABC"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Frequency</w:t>
            </w:r>
          </w:p>
        </w:tc>
        <w:tc>
          <w:tcPr>
            <w:tcW w:w="2158" w:type="dxa"/>
            <w:tcBorders>
              <w:top w:val="single" w:sz="4" w:space="0" w:color="auto"/>
              <w:left w:val="nil"/>
              <w:bottom w:val="single" w:sz="4" w:space="0" w:color="auto"/>
              <w:right w:val="nil"/>
            </w:tcBorders>
            <w:vAlign w:val="center"/>
          </w:tcPr>
          <w:p w14:paraId="22A3C3D5"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Percentage</w:t>
            </w:r>
          </w:p>
        </w:tc>
      </w:tr>
      <w:tr w:rsidR="00903090" w:rsidRPr="00DA48A8" w14:paraId="173FCA37" w14:textId="77777777">
        <w:trPr>
          <w:trHeight w:val="225"/>
        </w:trPr>
        <w:tc>
          <w:tcPr>
            <w:tcW w:w="1555" w:type="dxa"/>
            <w:vMerge/>
            <w:tcBorders>
              <w:top w:val="single" w:sz="4" w:space="0" w:color="auto"/>
              <w:left w:val="nil"/>
              <w:bottom w:val="single" w:sz="4" w:space="0" w:color="auto"/>
              <w:right w:val="nil"/>
            </w:tcBorders>
            <w:vAlign w:val="center"/>
          </w:tcPr>
          <w:p w14:paraId="339DFEFC"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single" w:sz="4" w:space="0" w:color="auto"/>
              <w:left w:val="nil"/>
              <w:bottom w:val="nil"/>
              <w:right w:val="nil"/>
            </w:tcBorders>
            <w:vAlign w:val="center"/>
          </w:tcPr>
          <w:p w14:paraId="4F4BE57C"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1-5 years</w:t>
            </w:r>
          </w:p>
        </w:tc>
        <w:tc>
          <w:tcPr>
            <w:tcW w:w="2158" w:type="dxa"/>
            <w:tcBorders>
              <w:top w:val="single" w:sz="4" w:space="0" w:color="auto"/>
              <w:left w:val="nil"/>
              <w:bottom w:val="nil"/>
              <w:right w:val="nil"/>
            </w:tcBorders>
            <w:vAlign w:val="center"/>
          </w:tcPr>
          <w:p w14:paraId="2DAF9B04"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30</w:t>
            </w:r>
          </w:p>
        </w:tc>
        <w:tc>
          <w:tcPr>
            <w:tcW w:w="2158" w:type="dxa"/>
            <w:tcBorders>
              <w:top w:val="single" w:sz="4" w:space="0" w:color="auto"/>
              <w:left w:val="nil"/>
              <w:bottom w:val="nil"/>
              <w:right w:val="nil"/>
            </w:tcBorders>
            <w:vAlign w:val="center"/>
          </w:tcPr>
          <w:p w14:paraId="44DAC18B"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22%</w:t>
            </w:r>
          </w:p>
        </w:tc>
      </w:tr>
      <w:tr w:rsidR="00903090" w:rsidRPr="00DA48A8" w14:paraId="09347007" w14:textId="77777777">
        <w:trPr>
          <w:trHeight w:val="244"/>
        </w:trPr>
        <w:tc>
          <w:tcPr>
            <w:tcW w:w="1555" w:type="dxa"/>
            <w:vMerge/>
            <w:tcBorders>
              <w:top w:val="single" w:sz="4" w:space="0" w:color="auto"/>
              <w:left w:val="nil"/>
              <w:bottom w:val="single" w:sz="4" w:space="0" w:color="auto"/>
              <w:right w:val="nil"/>
            </w:tcBorders>
            <w:vAlign w:val="center"/>
          </w:tcPr>
          <w:p w14:paraId="053D55DC"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1D137D0A"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6-10 years</w:t>
            </w:r>
          </w:p>
        </w:tc>
        <w:tc>
          <w:tcPr>
            <w:tcW w:w="2158" w:type="dxa"/>
            <w:vAlign w:val="center"/>
          </w:tcPr>
          <w:p w14:paraId="0FB0B13E"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52</w:t>
            </w:r>
          </w:p>
        </w:tc>
        <w:tc>
          <w:tcPr>
            <w:tcW w:w="2158" w:type="dxa"/>
            <w:vAlign w:val="center"/>
          </w:tcPr>
          <w:p w14:paraId="088C4B61"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38%</w:t>
            </w:r>
          </w:p>
        </w:tc>
      </w:tr>
      <w:tr w:rsidR="00903090" w:rsidRPr="00DA48A8" w14:paraId="5CDE1C04" w14:textId="77777777">
        <w:trPr>
          <w:trHeight w:val="303"/>
        </w:trPr>
        <w:tc>
          <w:tcPr>
            <w:tcW w:w="1555" w:type="dxa"/>
            <w:vMerge/>
            <w:tcBorders>
              <w:top w:val="single" w:sz="4" w:space="0" w:color="auto"/>
              <w:left w:val="nil"/>
              <w:bottom w:val="single" w:sz="4" w:space="0" w:color="auto"/>
              <w:right w:val="nil"/>
            </w:tcBorders>
            <w:vAlign w:val="center"/>
          </w:tcPr>
          <w:p w14:paraId="3BBA8154"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7D00439C"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11-15 years</w:t>
            </w:r>
          </w:p>
        </w:tc>
        <w:tc>
          <w:tcPr>
            <w:tcW w:w="2158" w:type="dxa"/>
            <w:vAlign w:val="center"/>
          </w:tcPr>
          <w:p w14:paraId="0E2EBE8C"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33</w:t>
            </w:r>
          </w:p>
        </w:tc>
        <w:tc>
          <w:tcPr>
            <w:tcW w:w="2158" w:type="dxa"/>
            <w:vAlign w:val="center"/>
          </w:tcPr>
          <w:p w14:paraId="3250B28A"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24%</w:t>
            </w:r>
          </w:p>
        </w:tc>
      </w:tr>
      <w:tr w:rsidR="00903090" w:rsidRPr="00DA48A8" w14:paraId="56F680F0" w14:textId="77777777">
        <w:trPr>
          <w:trHeight w:val="265"/>
        </w:trPr>
        <w:tc>
          <w:tcPr>
            <w:tcW w:w="1555" w:type="dxa"/>
            <w:vMerge/>
            <w:tcBorders>
              <w:top w:val="single" w:sz="4" w:space="0" w:color="auto"/>
              <w:left w:val="nil"/>
              <w:bottom w:val="single" w:sz="4" w:space="0" w:color="auto"/>
              <w:right w:val="nil"/>
            </w:tcBorders>
            <w:vAlign w:val="center"/>
          </w:tcPr>
          <w:p w14:paraId="4FE5B505"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3A5E6C6A"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16-20 years</w:t>
            </w:r>
          </w:p>
        </w:tc>
        <w:tc>
          <w:tcPr>
            <w:tcW w:w="2158" w:type="dxa"/>
            <w:vAlign w:val="center"/>
          </w:tcPr>
          <w:p w14:paraId="5371F20D"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11</w:t>
            </w:r>
          </w:p>
        </w:tc>
        <w:tc>
          <w:tcPr>
            <w:tcW w:w="2158" w:type="dxa"/>
            <w:vAlign w:val="center"/>
          </w:tcPr>
          <w:p w14:paraId="555FCADE"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8%</w:t>
            </w:r>
          </w:p>
        </w:tc>
      </w:tr>
      <w:tr w:rsidR="00903090" w:rsidRPr="00DA48A8" w14:paraId="2A4E05FC" w14:textId="77777777">
        <w:trPr>
          <w:trHeight w:val="269"/>
        </w:trPr>
        <w:tc>
          <w:tcPr>
            <w:tcW w:w="1555" w:type="dxa"/>
            <w:vMerge/>
            <w:tcBorders>
              <w:top w:val="single" w:sz="4" w:space="0" w:color="auto"/>
              <w:left w:val="nil"/>
              <w:bottom w:val="single" w:sz="4" w:space="0" w:color="auto"/>
              <w:right w:val="nil"/>
            </w:tcBorders>
            <w:vAlign w:val="center"/>
          </w:tcPr>
          <w:p w14:paraId="49BD4C4E"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nil"/>
              <w:left w:val="nil"/>
              <w:bottom w:val="single" w:sz="4" w:space="0" w:color="auto"/>
              <w:right w:val="nil"/>
            </w:tcBorders>
            <w:vAlign w:val="center"/>
          </w:tcPr>
          <w:p w14:paraId="7E25335C"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21 years and above</w:t>
            </w:r>
          </w:p>
        </w:tc>
        <w:tc>
          <w:tcPr>
            <w:tcW w:w="2158" w:type="dxa"/>
            <w:tcBorders>
              <w:top w:val="nil"/>
              <w:left w:val="nil"/>
              <w:bottom w:val="single" w:sz="4" w:space="0" w:color="auto"/>
              <w:right w:val="nil"/>
            </w:tcBorders>
            <w:vAlign w:val="center"/>
          </w:tcPr>
          <w:p w14:paraId="74304741"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11</w:t>
            </w:r>
          </w:p>
        </w:tc>
        <w:tc>
          <w:tcPr>
            <w:tcW w:w="2158" w:type="dxa"/>
            <w:tcBorders>
              <w:top w:val="nil"/>
              <w:left w:val="nil"/>
              <w:bottom w:val="single" w:sz="4" w:space="0" w:color="auto"/>
              <w:right w:val="nil"/>
            </w:tcBorders>
            <w:vAlign w:val="center"/>
          </w:tcPr>
          <w:p w14:paraId="7B2A8C1C"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8%</w:t>
            </w:r>
          </w:p>
        </w:tc>
      </w:tr>
      <w:tr w:rsidR="00903090" w:rsidRPr="00DA48A8" w14:paraId="2AC4C1F3" w14:textId="77777777">
        <w:trPr>
          <w:trHeight w:val="273"/>
        </w:trPr>
        <w:tc>
          <w:tcPr>
            <w:tcW w:w="4314" w:type="dxa"/>
            <w:gridSpan w:val="2"/>
            <w:tcBorders>
              <w:top w:val="single" w:sz="4" w:space="0" w:color="auto"/>
              <w:left w:val="nil"/>
              <w:bottom w:val="single" w:sz="4" w:space="0" w:color="auto"/>
              <w:right w:val="nil"/>
            </w:tcBorders>
            <w:vAlign w:val="center"/>
          </w:tcPr>
          <w:p w14:paraId="0E48591C"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Total</w:t>
            </w:r>
          </w:p>
        </w:tc>
        <w:tc>
          <w:tcPr>
            <w:tcW w:w="2158" w:type="dxa"/>
            <w:tcBorders>
              <w:top w:val="single" w:sz="4" w:space="0" w:color="auto"/>
              <w:left w:val="nil"/>
              <w:bottom w:val="single" w:sz="4" w:space="0" w:color="auto"/>
              <w:right w:val="nil"/>
            </w:tcBorders>
            <w:vAlign w:val="center"/>
          </w:tcPr>
          <w:p w14:paraId="088F425E"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137</w:t>
            </w:r>
          </w:p>
        </w:tc>
        <w:tc>
          <w:tcPr>
            <w:tcW w:w="2158" w:type="dxa"/>
            <w:tcBorders>
              <w:top w:val="single" w:sz="4" w:space="0" w:color="auto"/>
              <w:left w:val="nil"/>
              <w:bottom w:val="single" w:sz="4" w:space="0" w:color="auto"/>
              <w:right w:val="nil"/>
            </w:tcBorders>
            <w:vAlign w:val="center"/>
          </w:tcPr>
          <w:p w14:paraId="7AF1D6A7"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100%</w:t>
            </w:r>
          </w:p>
        </w:tc>
      </w:tr>
      <w:tr w:rsidR="00903090" w:rsidRPr="00DA48A8" w14:paraId="5D17CA1A" w14:textId="77777777">
        <w:trPr>
          <w:trHeight w:val="277"/>
        </w:trPr>
        <w:tc>
          <w:tcPr>
            <w:tcW w:w="1555" w:type="dxa"/>
            <w:vMerge w:val="restart"/>
            <w:tcBorders>
              <w:top w:val="single" w:sz="4" w:space="0" w:color="auto"/>
              <w:left w:val="nil"/>
              <w:bottom w:val="single" w:sz="4" w:space="0" w:color="auto"/>
              <w:right w:val="nil"/>
            </w:tcBorders>
            <w:vAlign w:val="center"/>
          </w:tcPr>
          <w:p w14:paraId="595155BA"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 xml:space="preserve">Educational </w:t>
            </w:r>
            <w:r w:rsidRPr="00DA48A8">
              <w:rPr>
                <w:rFonts w:ascii="Times New Roman" w:eastAsia="SimSun" w:hAnsi="Times New Roman" w:cs="Times New Roman"/>
                <w:sz w:val="24"/>
                <w:szCs w:val="24"/>
                <w:lang w:eastAsia="en-US" w:bidi="ar"/>
              </w:rPr>
              <w:lastRenderedPageBreak/>
              <w:t>Attainment</w:t>
            </w:r>
          </w:p>
        </w:tc>
        <w:tc>
          <w:tcPr>
            <w:tcW w:w="2759" w:type="dxa"/>
            <w:tcBorders>
              <w:top w:val="single" w:sz="4" w:space="0" w:color="auto"/>
              <w:left w:val="nil"/>
              <w:bottom w:val="single" w:sz="4" w:space="0" w:color="auto"/>
              <w:right w:val="nil"/>
            </w:tcBorders>
            <w:vAlign w:val="center"/>
          </w:tcPr>
          <w:p w14:paraId="2052A13B"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lastRenderedPageBreak/>
              <w:t>Level</w:t>
            </w:r>
          </w:p>
        </w:tc>
        <w:tc>
          <w:tcPr>
            <w:tcW w:w="2158" w:type="dxa"/>
            <w:tcBorders>
              <w:top w:val="single" w:sz="4" w:space="0" w:color="auto"/>
              <w:left w:val="nil"/>
              <w:bottom w:val="single" w:sz="4" w:space="0" w:color="auto"/>
              <w:right w:val="nil"/>
            </w:tcBorders>
            <w:vAlign w:val="center"/>
          </w:tcPr>
          <w:p w14:paraId="1D00140D"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Frequency</w:t>
            </w:r>
          </w:p>
        </w:tc>
        <w:tc>
          <w:tcPr>
            <w:tcW w:w="2158" w:type="dxa"/>
            <w:tcBorders>
              <w:top w:val="single" w:sz="4" w:space="0" w:color="auto"/>
              <w:left w:val="nil"/>
              <w:bottom w:val="single" w:sz="4" w:space="0" w:color="auto"/>
              <w:right w:val="nil"/>
            </w:tcBorders>
            <w:vAlign w:val="center"/>
          </w:tcPr>
          <w:p w14:paraId="270DF25E"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Percentage</w:t>
            </w:r>
          </w:p>
        </w:tc>
      </w:tr>
      <w:tr w:rsidR="00903090" w:rsidRPr="00DA48A8" w14:paraId="711391F3" w14:textId="77777777">
        <w:trPr>
          <w:trHeight w:val="281"/>
        </w:trPr>
        <w:tc>
          <w:tcPr>
            <w:tcW w:w="1555" w:type="dxa"/>
            <w:vMerge/>
            <w:tcBorders>
              <w:top w:val="single" w:sz="4" w:space="0" w:color="auto"/>
              <w:left w:val="nil"/>
              <w:bottom w:val="single" w:sz="4" w:space="0" w:color="auto"/>
              <w:right w:val="nil"/>
            </w:tcBorders>
            <w:vAlign w:val="center"/>
          </w:tcPr>
          <w:p w14:paraId="74B12BFF"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single" w:sz="4" w:space="0" w:color="auto"/>
              <w:left w:val="nil"/>
              <w:bottom w:val="nil"/>
              <w:right w:val="nil"/>
            </w:tcBorders>
            <w:vAlign w:val="center"/>
          </w:tcPr>
          <w:p w14:paraId="4BF1CCB3"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Bachelor’s Degree</w:t>
            </w:r>
          </w:p>
        </w:tc>
        <w:tc>
          <w:tcPr>
            <w:tcW w:w="2158" w:type="dxa"/>
            <w:tcBorders>
              <w:top w:val="single" w:sz="4" w:space="0" w:color="auto"/>
              <w:left w:val="nil"/>
              <w:bottom w:val="nil"/>
              <w:right w:val="nil"/>
            </w:tcBorders>
            <w:vAlign w:val="center"/>
          </w:tcPr>
          <w:p w14:paraId="1646BAA2"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31</w:t>
            </w:r>
          </w:p>
        </w:tc>
        <w:tc>
          <w:tcPr>
            <w:tcW w:w="2158" w:type="dxa"/>
            <w:tcBorders>
              <w:top w:val="single" w:sz="4" w:space="0" w:color="auto"/>
              <w:left w:val="nil"/>
              <w:bottom w:val="nil"/>
              <w:right w:val="nil"/>
            </w:tcBorders>
            <w:vAlign w:val="center"/>
          </w:tcPr>
          <w:p w14:paraId="327296E5"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23%</w:t>
            </w:r>
          </w:p>
        </w:tc>
      </w:tr>
      <w:tr w:rsidR="00903090" w:rsidRPr="00DA48A8" w14:paraId="53B172A2" w14:textId="77777777">
        <w:trPr>
          <w:trHeight w:val="257"/>
        </w:trPr>
        <w:tc>
          <w:tcPr>
            <w:tcW w:w="1555" w:type="dxa"/>
            <w:vMerge/>
            <w:tcBorders>
              <w:top w:val="single" w:sz="4" w:space="0" w:color="auto"/>
              <w:left w:val="nil"/>
              <w:bottom w:val="single" w:sz="4" w:space="0" w:color="auto"/>
              <w:right w:val="nil"/>
            </w:tcBorders>
            <w:vAlign w:val="center"/>
          </w:tcPr>
          <w:p w14:paraId="16D3116A"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3A4FC5FB"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Master’s Degree (Unit)</w:t>
            </w:r>
          </w:p>
        </w:tc>
        <w:tc>
          <w:tcPr>
            <w:tcW w:w="2158" w:type="dxa"/>
            <w:vAlign w:val="center"/>
          </w:tcPr>
          <w:p w14:paraId="216B0A0C"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39</w:t>
            </w:r>
          </w:p>
        </w:tc>
        <w:tc>
          <w:tcPr>
            <w:tcW w:w="2158" w:type="dxa"/>
            <w:vAlign w:val="center"/>
          </w:tcPr>
          <w:p w14:paraId="226D3C5D"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28%</w:t>
            </w:r>
          </w:p>
        </w:tc>
      </w:tr>
      <w:tr w:rsidR="00903090" w:rsidRPr="00DA48A8" w14:paraId="02D8ECD3" w14:textId="77777777">
        <w:trPr>
          <w:trHeight w:val="289"/>
        </w:trPr>
        <w:tc>
          <w:tcPr>
            <w:tcW w:w="1555" w:type="dxa"/>
            <w:vMerge/>
            <w:tcBorders>
              <w:top w:val="single" w:sz="4" w:space="0" w:color="auto"/>
              <w:left w:val="nil"/>
              <w:bottom w:val="single" w:sz="4" w:space="0" w:color="auto"/>
              <w:right w:val="nil"/>
            </w:tcBorders>
            <w:vAlign w:val="center"/>
          </w:tcPr>
          <w:p w14:paraId="59878931"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3FA6FC8F"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Master’s Degree (CAR)</w:t>
            </w:r>
          </w:p>
        </w:tc>
        <w:tc>
          <w:tcPr>
            <w:tcW w:w="2158" w:type="dxa"/>
            <w:vAlign w:val="center"/>
          </w:tcPr>
          <w:p w14:paraId="0433D90A"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30</w:t>
            </w:r>
          </w:p>
        </w:tc>
        <w:tc>
          <w:tcPr>
            <w:tcW w:w="2158" w:type="dxa"/>
            <w:vAlign w:val="center"/>
          </w:tcPr>
          <w:p w14:paraId="5419F500"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22%</w:t>
            </w:r>
          </w:p>
        </w:tc>
      </w:tr>
      <w:tr w:rsidR="00903090" w:rsidRPr="00DA48A8" w14:paraId="34462807" w14:textId="77777777">
        <w:trPr>
          <w:trHeight w:val="265"/>
        </w:trPr>
        <w:tc>
          <w:tcPr>
            <w:tcW w:w="1555" w:type="dxa"/>
            <w:vMerge/>
            <w:tcBorders>
              <w:top w:val="single" w:sz="4" w:space="0" w:color="auto"/>
              <w:left w:val="nil"/>
              <w:bottom w:val="single" w:sz="4" w:space="0" w:color="auto"/>
              <w:right w:val="nil"/>
            </w:tcBorders>
            <w:vAlign w:val="center"/>
          </w:tcPr>
          <w:p w14:paraId="57021CBD"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vAlign w:val="center"/>
          </w:tcPr>
          <w:p w14:paraId="07156073"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Master’s Degree Graduate</w:t>
            </w:r>
          </w:p>
        </w:tc>
        <w:tc>
          <w:tcPr>
            <w:tcW w:w="2158" w:type="dxa"/>
            <w:vAlign w:val="center"/>
          </w:tcPr>
          <w:p w14:paraId="5A21C177"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26</w:t>
            </w:r>
          </w:p>
        </w:tc>
        <w:tc>
          <w:tcPr>
            <w:tcW w:w="2158" w:type="dxa"/>
            <w:vAlign w:val="center"/>
          </w:tcPr>
          <w:p w14:paraId="5C07DA14"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19%</w:t>
            </w:r>
          </w:p>
        </w:tc>
      </w:tr>
      <w:tr w:rsidR="00903090" w:rsidRPr="00DA48A8" w14:paraId="47596B2F" w14:textId="77777777">
        <w:trPr>
          <w:trHeight w:val="268"/>
        </w:trPr>
        <w:tc>
          <w:tcPr>
            <w:tcW w:w="1555" w:type="dxa"/>
            <w:vMerge/>
            <w:tcBorders>
              <w:top w:val="single" w:sz="4" w:space="0" w:color="auto"/>
              <w:left w:val="nil"/>
              <w:bottom w:val="single" w:sz="4" w:space="0" w:color="auto"/>
              <w:right w:val="nil"/>
            </w:tcBorders>
            <w:vAlign w:val="center"/>
          </w:tcPr>
          <w:p w14:paraId="027A6A91" w14:textId="77777777" w:rsidR="00903090" w:rsidRPr="00DA48A8" w:rsidRDefault="00903090" w:rsidP="00DA48A8">
            <w:pPr>
              <w:spacing w:before="240" w:after="240"/>
              <w:rPr>
                <w:rFonts w:ascii="Times New Roman" w:eastAsia="SimSun" w:hAnsi="Times New Roman" w:cs="Times New Roman"/>
                <w:sz w:val="24"/>
                <w:szCs w:val="24"/>
                <w:lang w:eastAsia="en-US"/>
              </w:rPr>
            </w:pPr>
          </w:p>
        </w:tc>
        <w:tc>
          <w:tcPr>
            <w:tcW w:w="2759" w:type="dxa"/>
            <w:tcBorders>
              <w:top w:val="nil"/>
              <w:left w:val="nil"/>
              <w:bottom w:val="single" w:sz="4" w:space="0" w:color="auto"/>
              <w:right w:val="nil"/>
            </w:tcBorders>
            <w:vAlign w:val="center"/>
          </w:tcPr>
          <w:p w14:paraId="2D56DDDF" w14:textId="77777777" w:rsidR="00903090" w:rsidRPr="00DA48A8" w:rsidRDefault="00000000" w:rsidP="00DA48A8">
            <w:pPr>
              <w:spacing w:before="240" w:after="240"/>
              <w:jc w:val="both"/>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Doctor’s Degree (Units)</w:t>
            </w:r>
          </w:p>
        </w:tc>
        <w:tc>
          <w:tcPr>
            <w:tcW w:w="2158" w:type="dxa"/>
            <w:tcBorders>
              <w:top w:val="nil"/>
              <w:left w:val="nil"/>
              <w:bottom w:val="single" w:sz="4" w:space="0" w:color="auto"/>
              <w:right w:val="nil"/>
            </w:tcBorders>
            <w:vAlign w:val="center"/>
          </w:tcPr>
          <w:p w14:paraId="788A7965"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11</w:t>
            </w:r>
          </w:p>
        </w:tc>
        <w:tc>
          <w:tcPr>
            <w:tcW w:w="2158" w:type="dxa"/>
            <w:tcBorders>
              <w:top w:val="nil"/>
              <w:left w:val="nil"/>
              <w:bottom w:val="single" w:sz="4" w:space="0" w:color="auto"/>
              <w:right w:val="nil"/>
            </w:tcBorders>
            <w:vAlign w:val="center"/>
          </w:tcPr>
          <w:p w14:paraId="7360102C"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8%</w:t>
            </w:r>
          </w:p>
        </w:tc>
      </w:tr>
      <w:tr w:rsidR="00903090" w:rsidRPr="00DA48A8" w14:paraId="03ABA4DA" w14:textId="77777777">
        <w:trPr>
          <w:trHeight w:val="330"/>
        </w:trPr>
        <w:tc>
          <w:tcPr>
            <w:tcW w:w="4314" w:type="dxa"/>
            <w:gridSpan w:val="2"/>
            <w:tcBorders>
              <w:top w:val="single" w:sz="4" w:space="0" w:color="auto"/>
              <w:left w:val="nil"/>
              <w:bottom w:val="single" w:sz="4" w:space="0" w:color="auto"/>
              <w:right w:val="nil"/>
            </w:tcBorders>
            <w:vAlign w:val="center"/>
          </w:tcPr>
          <w:p w14:paraId="4C71C603"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Total</w:t>
            </w:r>
          </w:p>
        </w:tc>
        <w:tc>
          <w:tcPr>
            <w:tcW w:w="2158" w:type="dxa"/>
            <w:tcBorders>
              <w:top w:val="single" w:sz="4" w:space="0" w:color="auto"/>
              <w:left w:val="nil"/>
              <w:bottom w:val="single" w:sz="4" w:space="0" w:color="auto"/>
              <w:right w:val="nil"/>
            </w:tcBorders>
            <w:vAlign w:val="center"/>
          </w:tcPr>
          <w:p w14:paraId="43C6360F"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137</w:t>
            </w:r>
          </w:p>
        </w:tc>
        <w:tc>
          <w:tcPr>
            <w:tcW w:w="2158" w:type="dxa"/>
            <w:tcBorders>
              <w:top w:val="single" w:sz="4" w:space="0" w:color="auto"/>
              <w:left w:val="nil"/>
              <w:bottom w:val="single" w:sz="4" w:space="0" w:color="auto"/>
              <w:right w:val="nil"/>
            </w:tcBorders>
            <w:vAlign w:val="center"/>
          </w:tcPr>
          <w:p w14:paraId="2614B68A"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100%</w:t>
            </w:r>
          </w:p>
        </w:tc>
      </w:tr>
    </w:tbl>
    <w:p w14:paraId="6ADFF511" w14:textId="77777777" w:rsidR="00903090" w:rsidRPr="00DA48A8" w:rsidRDefault="00903090" w:rsidP="00D50FF0">
      <w:pPr>
        <w:spacing w:before="240" w:after="240"/>
        <w:ind w:right="-7"/>
        <w:jc w:val="both"/>
        <w:rPr>
          <w:rFonts w:ascii="Times New Roman" w:eastAsia="Arial Unicode MS" w:hAnsi="Times New Roman" w:cs="Times New Roman"/>
          <w:sz w:val="24"/>
          <w:szCs w:val="24"/>
        </w:rPr>
      </w:pPr>
    </w:p>
    <w:p w14:paraId="2CC97E05" w14:textId="77777777" w:rsidR="00903090" w:rsidRPr="00DA48A8" w:rsidRDefault="00000000" w:rsidP="00DA48A8">
      <w:pPr>
        <w:spacing w:before="240" w:after="240"/>
        <w:ind w:right="-7" w:firstLine="720"/>
        <w:jc w:val="both"/>
        <w:rPr>
          <w:rFonts w:ascii="Times New Roman" w:eastAsia="Arial Unicode MS" w:hAnsi="Times New Roman" w:cs="Times New Roman"/>
          <w:sz w:val="24"/>
          <w:szCs w:val="24"/>
        </w:rPr>
      </w:pPr>
      <w:r w:rsidRPr="00DA48A8">
        <w:rPr>
          <w:rFonts w:ascii="Times New Roman" w:eastAsia="Arial Unicode MS" w:hAnsi="Times New Roman" w:cs="Times New Roman"/>
          <w:sz w:val="24"/>
          <w:szCs w:val="24"/>
          <w:lang w:bidi="ar"/>
        </w:rPr>
        <w:t xml:space="preserve">The table presents the demographic profile of the respondents in terms of civil status, type of school, years in service, and educational attainment. The results show that the teachers came from different personal and professional backgrounds, reflecting the diversity of educators in </w:t>
      </w:r>
      <w:proofErr w:type="spellStart"/>
      <w:r w:rsidRPr="00DA48A8">
        <w:rPr>
          <w:rFonts w:ascii="Times New Roman" w:eastAsia="Arial Unicode MS" w:hAnsi="Times New Roman" w:cs="Times New Roman"/>
          <w:sz w:val="24"/>
          <w:szCs w:val="24"/>
          <w:lang w:bidi="ar"/>
        </w:rPr>
        <w:t>Talacogon</w:t>
      </w:r>
      <w:proofErr w:type="spellEnd"/>
      <w:r w:rsidRPr="00DA48A8">
        <w:rPr>
          <w:rFonts w:ascii="Times New Roman" w:eastAsia="Arial Unicode MS" w:hAnsi="Times New Roman" w:cs="Times New Roman"/>
          <w:sz w:val="24"/>
          <w:szCs w:val="24"/>
          <w:lang w:bidi="ar"/>
        </w:rPr>
        <w:t xml:space="preserve"> West District. Understanding these characteristics is important because they provide context on how teachers perform their duties and manage both instructional and ancillary responsibilities in their respective schools.</w:t>
      </w:r>
    </w:p>
    <w:p w14:paraId="48F44E92" w14:textId="77777777" w:rsidR="00903090" w:rsidRPr="00DA48A8" w:rsidRDefault="00000000" w:rsidP="00DA48A8">
      <w:pPr>
        <w:spacing w:before="240" w:after="240"/>
        <w:ind w:right="-7" w:firstLine="720"/>
        <w:jc w:val="both"/>
        <w:rPr>
          <w:rFonts w:ascii="Times New Roman" w:eastAsia="Arial Unicode MS" w:hAnsi="Times New Roman" w:cs="Times New Roman"/>
          <w:sz w:val="24"/>
          <w:szCs w:val="24"/>
        </w:rPr>
      </w:pPr>
      <w:r w:rsidRPr="00DA48A8">
        <w:rPr>
          <w:rFonts w:ascii="Times New Roman" w:eastAsia="Arial Unicode MS" w:hAnsi="Times New Roman" w:cs="Times New Roman"/>
          <w:sz w:val="24"/>
          <w:szCs w:val="24"/>
          <w:lang w:bidi="ar"/>
        </w:rPr>
        <w:t>Table 3 presents the level of academic excellence of teachers across the identified indicators of teacher trainings, student performance, instructional effectiveness, assessment and evaluation, and classroom management. The findings generally indicate that the respondents demonstrated a high degree of competence and professionalism in carrying out their instructional responsibilities, reflecting their commitment to maintaining quality educational practices despite the demands associated with both teaching and ancillary functions.</w:t>
      </w:r>
    </w:p>
    <w:p w14:paraId="5F771F30" w14:textId="77777777" w:rsidR="00903090" w:rsidRPr="00DA48A8" w:rsidRDefault="00000000" w:rsidP="00DA48A8">
      <w:pPr>
        <w:spacing w:before="240" w:after="240"/>
        <w:ind w:right="-7"/>
        <w:jc w:val="both"/>
        <w:rPr>
          <w:rFonts w:ascii="Times New Roman" w:eastAsia="Arial Unicode MS" w:hAnsi="Times New Roman" w:cs="Times New Roman"/>
          <w:i/>
          <w:iCs/>
          <w:sz w:val="24"/>
          <w:szCs w:val="24"/>
        </w:rPr>
      </w:pPr>
      <w:r w:rsidRPr="00DA48A8">
        <w:rPr>
          <w:rFonts w:ascii="Times New Roman" w:eastAsia="SimSun" w:hAnsi="Times New Roman" w:cs="Times New Roman"/>
          <w:b/>
          <w:bCs/>
          <w:sz w:val="24"/>
          <w:szCs w:val="24"/>
          <w:lang w:bidi="ar"/>
        </w:rPr>
        <w:t xml:space="preserve">Table 3. </w:t>
      </w:r>
      <w:r w:rsidRPr="00DA48A8">
        <w:rPr>
          <w:rFonts w:ascii="Times New Roman" w:eastAsia="SimSun" w:hAnsi="Times New Roman" w:cs="Times New Roman"/>
          <w:i/>
          <w:iCs/>
          <w:sz w:val="24"/>
          <w:szCs w:val="24"/>
          <w:lang w:bidi="ar"/>
        </w:rPr>
        <w:t>Level of Academic Excellence of Teachers</w:t>
      </w:r>
    </w:p>
    <w:tbl>
      <w:tblPr>
        <w:tblStyle w:val="TableGrid4"/>
        <w:tblW w:w="0" w:type="auto"/>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64"/>
        <w:gridCol w:w="1789"/>
        <w:gridCol w:w="2877"/>
      </w:tblGrid>
      <w:tr w:rsidR="00903090" w:rsidRPr="00DA48A8" w14:paraId="0EF44CF2" w14:textId="77777777">
        <w:trPr>
          <w:trHeight w:val="297"/>
        </w:trPr>
        <w:tc>
          <w:tcPr>
            <w:tcW w:w="3964" w:type="dxa"/>
            <w:tcBorders>
              <w:top w:val="single" w:sz="4" w:space="0" w:color="auto"/>
              <w:left w:val="nil"/>
              <w:bottom w:val="single" w:sz="4" w:space="0" w:color="auto"/>
              <w:right w:val="nil"/>
            </w:tcBorders>
          </w:tcPr>
          <w:p w14:paraId="77F460B5"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Parameters</w:t>
            </w:r>
          </w:p>
        </w:tc>
        <w:tc>
          <w:tcPr>
            <w:tcW w:w="1789" w:type="dxa"/>
            <w:tcBorders>
              <w:top w:val="single" w:sz="4" w:space="0" w:color="auto"/>
              <w:left w:val="nil"/>
              <w:bottom w:val="single" w:sz="4" w:space="0" w:color="auto"/>
              <w:right w:val="nil"/>
            </w:tcBorders>
          </w:tcPr>
          <w:p w14:paraId="752EEBA6"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Mean</w:t>
            </w:r>
          </w:p>
        </w:tc>
        <w:tc>
          <w:tcPr>
            <w:tcW w:w="2877" w:type="dxa"/>
            <w:tcBorders>
              <w:top w:val="single" w:sz="4" w:space="0" w:color="auto"/>
              <w:left w:val="nil"/>
              <w:bottom w:val="single" w:sz="4" w:space="0" w:color="auto"/>
              <w:right w:val="nil"/>
            </w:tcBorders>
          </w:tcPr>
          <w:p w14:paraId="24132EBA"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Adjectival Rating</w:t>
            </w:r>
          </w:p>
        </w:tc>
      </w:tr>
      <w:tr w:rsidR="00903090" w:rsidRPr="00DA48A8" w14:paraId="3F5384AF" w14:textId="77777777">
        <w:tc>
          <w:tcPr>
            <w:tcW w:w="3964" w:type="dxa"/>
            <w:tcBorders>
              <w:top w:val="single" w:sz="4" w:space="0" w:color="auto"/>
              <w:left w:val="nil"/>
              <w:bottom w:val="nil"/>
              <w:right w:val="nil"/>
            </w:tcBorders>
          </w:tcPr>
          <w:p w14:paraId="4D389C4E" w14:textId="77777777" w:rsidR="00903090" w:rsidRPr="00DA48A8" w:rsidRDefault="00000000" w:rsidP="00DA48A8">
            <w:pPr>
              <w:spacing w:before="240" w:after="240"/>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Teacher Trainings</w:t>
            </w:r>
          </w:p>
        </w:tc>
        <w:tc>
          <w:tcPr>
            <w:tcW w:w="1789" w:type="dxa"/>
            <w:tcBorders>
              <w:top w:val="single" w:sz="4" w:space="0" w:color="auto"/>
              <w:left w:val="nil"/>
              <w:bottom w:val="nil"/>
              <w:right w:val="nil"/>
            </w:tcBorders>
          </w:tcPr>
          <w:p w14:paraId="0FD1459D"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4.045</w:t>
            </w:r>
          </w:p>
        </w:tc>
        <w:tc>
          <w:tcPr>
            <w:tcW w:w="2877" w:type="dxa"/>
            <w:tcBorders>
              <w:top w:val="single" w:sz="4" w:space="0" w:color="auto"/>
              <w:left w:val="nil"/>
              <w:bottom w:val="nil"/>
              <w:right w:val="nil"/>
            </w:tcBorders>
          </w:tcPr>
          <w:p w14:paraId="6A685360"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Very Excellent</w:t>
            </w:r>
          </w:p>
        </w:tc>
      </w:tr>
      <w:tr w:rsidR="00903090" w:rsidRPr="00DA48A8" w14:paraId="3F599976" w14:textId="77777777">
        <w:tc>
          <w:tcPr>
            <w:tcW w:w="3964" w:type="dxa"/>
          </w:tcPr>
          <w:p w14:paraId="0215FC41" w14:textId="77777777" w:rsidR="00903090" w:rsidRPr="00DA48A8" w:rsidRDefault="00000000" w:rsidP="00DA48A8">
            <w:pPr>
              <w:spacing w:before="240" w:after="240"/>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Student Performance in Local and National Assessment</w:t>
            </w:r>
          </w:p>
        </w:tc>
        <w:tc>
          <w:tcPr>
            <w:tcW w:w="1789" w:type="dxa"/>
            <w:vAlign w:val="center"/>
          </w:tcPr>
          <w:p w14:paraId="207AF274"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4.076</w:t>
            </w:r>
          </w:p>
        </w:tc>
        <w:tc>
          <w:tcPr>
            <w:tcW w:w="2877" w:type="dxa"/>
            <w:vAlign w:val="center"/>
          </w:tcPr>
          <w:p w14:paraId="27B3FF65"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Very Excellent</w:t>
            </w:r>
          </w:p>
        </w:tc>
      </w:tr>
      <w:tr w:rsidR="00903090" w:rsidRPr="00DA48A8" w14:paraId="43CB1FD7" w14:textId="77777777">
        <w:trPr>
          <w:trHeight w:val="255"/>
        </w:trPr>
        <w:tc>
          <w:tcPr>
            <w:tcW w:w="3964" w:type="dxa"/>
          </w:tcPr>
          <w:p w14:paraId="6B61208D" w14:textId="77777777" w:rsidR="00903090" w:rsidRPr="00DA48A8" w:rsidRDefault="00000000" w:rsidP="00DA48A8">
            <w:pPr>
              <w:spacing w:before="240" w:after="240"/>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Instructional Effectiveness</w:t>
            </w:r>
          </w:p>
        </w:tc>
        <w:tc>
          <w:tcPr>
            <w:tcW w:w="1789" w:type="dxa"/>
          </w:tcPr>
          <w:p w14:paraId="082AB584"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3.946</w:t>
            </w:r>
          </w:p>
        </w:tc>
        <w:tc>
          <w:tcPr>
            <w:tcW w:w="2877" w:type="dxa"/>
          </w:tcPr>
          <w:p w14:paraId="698238D5"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Very Excellent</w:t>
            </w:r>
          </w:p>
        </w:tc>
      </w:tr>
      <w:tr w:rsidR="00903090" w:rsidRPr="00DA48A8" w14:paraId="1CE62369" w14:textId="77777777">
        <w:tc>
          <w:tcPr>
            <w:tcW w:w="3964" w:type="dxa"/>
          </w:tcPr>
          <w:p w14:paraId="62915A7D" w14:textId="77777777" w:rsidR="00903090" w:rsidRPr="00DA48A8" w:rsidRDefault="00000000" w:rsidP="00DA48A8">
            <w:pPr>
              <w:spacing w:before="240" w:after="240"/>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Assessment and Evaluation</w:t>
            </w:r>
          </w:p>
        </w:tc>
        <w:tc>
          <w:tcPr>
            <w:tcW w:w="1789" w:type="dxa"/>
          </w:tcPr>
          <w:p w14:paraId="7D495003"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3.966</w:t>
            </w:r>
          </w:p>
        </w:tc>
        <w:tc>
          <w:tcPr>
            <w:tcW w:w="2877" w:type="dxa"/>
          </w:tcPr>
          <w:p w14:paraId="008F84CB"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Very Excellent</w:t>
            </w:r>
          </w:p>
        </w:tc>
      </w:tr>
      <w:tr w:rsidR="00903090" w:rsidRPr="00DA48A8" w14:paraId="5C759516" w14:textId="77777777">
        <w:tc>
          <w:tcPr>
            <w:tcW w:w="3964" w:type="dxa"/>
            <w:tcBorders>
              <w:top w:val="nil"/>
              <w:left w:val="nil"/>
              <w:bottom w:val="single" w:sz="4" w:space="0" w:color="auto"/>
              <w:right w:val="nil"/>
            </w:tcBorders>
          </w:tcPr>
          <w:p w14:paraId="43E92772" w14:textId="77777777" w:rsidR="00903090" w:rsidRPr="00DA48A8" w:rsidRDefault="00000000" w:rsidP="00DA48A8">
            <w:pPr>
              <w:spacing w:before="240" w:after="240"/>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Classroom Management</w:t>
            </w:r>
          </w:p>
        </w:tc>
        <w:tc>
          <w:tcPr>
            <w:tcW w:w="1789" w:type="dxa"/>
            <w:tcBorders>
              <w:top w:val="nil"/>
              <w:left w:val="nil"/>
              <w:bottom w:val="single" w:sz="4" w:space="0" w:color="auto"/>
              <w:right w:val="nil"/>
            </w:tcBorders>
          </w:tcPr>
          <w:p w14:paraId="629B1D83"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4.006</w:t>
            </w:r>
          </w:p>
        </w:tc>
        <w:tc>
          <w:tcPr>
            <w:tcW w:w="2877" w:type="dxa"/>
            <w:tcBorders>
              <w:top w:val="nil"/>
              <w:left w:val="nil"/>
              <w:bottom w:val="single" w:sz="4" w:space="0" w:color="auto"/>
              <w:right w:val="nil"/>
            </w:tcBorders>
          </w:tcPr>
          <w:p w14:paraId="73C80BB2" w14:textId="77777777" w:rsidR="00903090" w:rsidRPr="00DA48A8" w:rsidRDefault="00000000" w:rsidP="00DA48A8">
            <w:pPr>
              <w:spacing w:before="240" w:after="240"/>
              <w:jc w:val="center"/>
              <w:rPr>
                <w:rFonts w:ascii="Times New Roman" w:eastAsia="SimSun" w:hAnsi="Times New Roman" w:cs="Times New Roman"/>
                <w:sz w:val="24"/>
                <w:szCs w:val="24"/>
                <w:lang w:eastAsia="en-US"/>
              </w:rPr>
            </w:pPr>
            <w:r w:rsidRPr="00DA48A8">
              <w:rPr>
                <w:rFonts w:ascii="Times New Roman" w:eastAsia="SimSun" w:hAnsi="Times New Roman" w:cs="Times New Roman"/>
                <w:sz w:val="24"/>
                <w:szCs w:val="24"/>
                <w:lang w:eastAsia="en-US" w:bidi="ar"/>
              </w:rPr>
              <w:t>Very Excellent</w:t>
            </w:r>
          </w:p>
        </w:tc>
      </w:tr>
      <w:tr w:rsidR="00903090" w:rsidRPr="00DA48A8" w14:paraId="5398810B" w14:textId="77777777">
        <w:tc>
          <w:tcPr>
            <w:tcW w:w="3964" w:type="dxa"/>
            <w:tcBorders>
              <w:top w:val="single" w:sz="4" w:space="0" w:color="auto"/>
              <w:left w:val="nil"/>
              <w:bottom w:val="single" w:sz="4" w:space="0" w:color="auto"/>
              <w:right w:val="nil"/>
            </w:tcBorders>
          </w:tcPr>
          <w:p w14:paraId="25E55CB6"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Overall Mean</w:t>
            </w:r>
          </w:p>
        </w:tc>
        <w:tc>
          <w:tcPr>
            <w:tcW w:w="1789" w:type="dxa"/>
            <w:tcBorders>
              <w:top w:val="single" w:sz="4" w:space="0" w:color="auto"/>
              <w:left w:val="nil"/>
              <w:bottom w:val="single" w:sz="4" w:space="0" w:color="auto"/>
              <w:right w:val="nil"/>
            </w:tcBorders>
          </w:tcPr>
          <w:p w14:paraId="6B228549"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4.008</w:t>
            </w:r>
          </w:p>
        </w:tc>
        <w:tc>
          <w:tcPr>
            <w:tcW w:w="2877" w:type="dxa"/>
            <w:tcBorders>
              <w:top w:val="single" w:sz="4" w:space="0" w:color="auto"/>
              <w:left w:val="nil"/>
              <w:bottom w:val="single" w:sz="4" w:space="0" w:color="auto"/>
              <w:right w:val="nil"/>
            </w:tcBorders>
          </w:tcPr>
          <w:p w14:paraId="26603330" w14:textId="77777777" w:rsidR="00903090" w:rsidRPr="00DA48A8" w:rsidRDefault="00000000" w:rsidP="00DA48A8">
            <w:pPr>
              <w:spacing w:before="240" w:after="240"/>
              <w:jc w:val="center"/>
              <w:rPr>
                <w:rFonts w:ascii="Times New Roman" w:eastAsia="SimSun" w:hAnsi="Times New Roman" w:cs="Times New Roman"/>
                <w:b/>
                <w:bCs/>
                <w:sz w:val="24"/>
                <w:szCs w:val="24"/>
                <w:lang w:eastAsia="en-US"/>
              </w:rPr>
            </w:pPr>
            <w:r w:rsidRPr="00DA48A8">
              <w:rPr>
                <w:rFonts w:ascii="Times New Roman" w:eastAsia="SimSun" w:hAnsi="Times New Roman" w:cs="Times New Roman"/>
                <w:b/>
                <w:bCs/>
                <w:sz w:val="24"/>
                <w:szCs w:val="24"/>
                <w:lang w:eastAsia="en-US" w:bidi="ar"/>
              </w:rPr>
              <w:t>Very Excellent</w:t>
            </w:r>
          </w:p>
        </w:tc>
      </w:tr>
    </w:tbl>
    <w:p w14:paraId="1C9B5D36" w14:textId="77777777" w:rsidR="00903090" w:rsidRPr="00DA48A8" w:rsidRDefault="00903090" w:rsidP="00DA48A8">
      <w:pPr>
        <w:spacing w:before="240" w:after="240"/>
        <w:ind w:right="-7"/>
        <w:jc w:val="both"/>
        <w:rPr>
          <w:rFonts w:ascii="Times New Roman" w:eastAsia="Arial Unicode MS" w:hAnsi="Times New Roman" w:cs="Times New Roman"/>
          <w:sz w:val="24"/>
          <w:szCs w:val="24"/>
        </w:rPr>
      </w:pPr>
    </w:p>
    <w:p w14:paraId="0F53AEC5" w14:textId="77777777" w:rsidR="00903090" w:rsidRPr="00DA48A8" w:rsidRDefault="00000000" w:rsidP="00DA48A8">
      <w:pPr>
        <w:spacing w:before="240" w:after="240"/>
        <w:ind w:firstLine="720"/>
        <w:jc w:val="both"/>
        <w:rPr>
          <w:rFonts w:ascii="Times New Roman" w:eastAsia="Times New Roman" w:hAnsi="Times New Roman" w:cs="Times New Roman"/>
          <w:sz w:val="24"/>
          <w:szCs w:val="24"/>
          <w:lang w:eastAsia="en-US"/>
        </w:rPr>
      </w:pPr>
      <w:r w:rsidRPr="00DA48A8">
        <w:rPr>
          <w:rFonts w:ascii="Times New Roman" w:eastAsia="Times New Roman" w:hAnsi="Times New Roman" w:cs="Times New Roman"/>
          <w:sz w:val="24"/>
          <w:szCs w:val="24"/>
          <w:lang w:eastAsia="en-US" w:bidi="ar"/>
        </w:rPr>
        <w:t xml:space="preserve">Among the indicators, student performance in local and national assessments emerged as the most emphasized area, reflecting teachers’ strong focus on learner achievement as a central goal of instruction. This suggests that teachers consistently prioritize monitoring student progress and applying appropriate instructional adjustments to support learning outcomes. Even with the presence of multiple </w:t>
      </w:r>
      <w:proofErr w:type="gramStart"/>
      <w:r w:rsidRPr="00DA48A8">
        <w:rPr>
          <w:rFonts w:ascii="Times New Roman" w:eastAsia="Times New Roman" w:hAnsi="Times New Roman" w:cs="Times New Roman"/>
          <w:sz w:val="24"/>
          <w:szCs w:val="24"/>
          <w:lang w:eastAsia="en-US" w:bidi="ar"/>
        </w:rPr>
        <w:t>workload</w:t>
      </w:r>
      <w:proofErr w:type="gramEnd"/>
      <w:r w:rsidRPr="00DA48A8">
        <w:rPr>
          <w:rFonts w:ascii="Times New Roman" w:eastAsia="Times New Roman" w:hAnsi="Times New Roman" w:cs="Times New Roman"/>
          <w:sz w:val="24"/>
          <w:szCs w:val="24"/>
          <w:lang w:eastAsia="en-US" w:bidi="ar"/>
        </w:rPr>
        <w:t xml:space="preserve"> demands, the emphasis on assessment results indicates a sustained commitment to ensuring that learners meet expected competencies.</w:t>
      </w:r>
    </w:p>
    <w:p w14:paraId="1864805A" w14:textId="6A3E6D5C" w:rsidR="00903090" w:rsidRPr="00670672" w:rsidRDefault="00000000" w:rsidP="00DA48A8">
      <w:pPr>
        <w:spacing w:before="240" w:after="240"/>
        <w:ind w:right="-7"/>
        <w:jc w:val="both"/>
        <w:rPr>
          <w:rFonts w:ascii="Times New Roman" w:eastAsia="Arial Unicode MS" w:hAnsi="Times New Roman" w:cs="Times New Roman"/>
          <w:b/>
          <w:bCs/>
          <w:iCs/>
          <w:sz w:val="28"/>
          <w:szCs w:val="28"/>
        </w:rPr>
      </w:pPr>
      <w:r w:rsidRPr="00670672">
        <w:rPr>
          <w:rFonts w:ascii="Times New Roman" w:eastAsia="Arial Unicode MS" w:hAnsi="Times New Roman" w:cs="Times New Roman"/>
          <w:b/>
          <w:bCs/>
          <w:iCs/>
          <w:sz w:val="28"/>
          <w:szCs w:val="28"/>
          <w:lang w:bidi="ar"/>
        </w:rPr>
        <w:t>C</w:t>
      </w:r>
      <w:r w:rsidR="00670672" w:rsidRPr="00670672">
        <w:rPr>
          <w:rFonts w:ascii="Times New Roman" w:eastAsia="Arial Unicode MS" w:hAnsi="Times New Roman" w:cs="Times New Roman"/>
          <w:b/>
          <w:bCs/>
          <w:iCs/>
          <w:sz w:val="28"/>
          <w:szCs w:val="28"/>
          <w:lang w:bidi="ar"/>
        </w:rPr>
        <w:t>ONCLUSION</w:t>
      </w:r>
    </w:p>
    <w:p w14:paraId="629CCCCB" w14:textId="77777777" w:rsidR="00903090" w:rsidRPr="00DA48A8" w:rsidRDefault="00000000" w:rsidP="00DA48A8">
      <w:pPr>
        <w:spacing w:before="240" w:after="240"/>
        <w:ind w:right="-7" w:firstLine="720"/>
        <w:jc w:val="both"/>
        <w:rPr>
          <w:rFonts w:ascii="Times New Roman" w:eastAsia="Arial Unicode MS" w:hAnsi="Times New Roman" w:cs="Times New Roman"/>
          <w:iCs/>
          <w:sz w:val="24"/>
          <w:szCs w:val="24"/>
        </w:rPr>
      </w:pPr>
      <w:r w:rsidRPr="00DA48A8">
        <w:rPr>
          <w:rFonts w:ascii="Times New Roman" w:eastAsia="Arial Unicode MS" w:hAnsi="Times New Roman" w:cs="Times New Roman"/>
          <w:iCs/>
          <w:sz w:val="24"/>
          <w:szCs w:val="24"/>
          <w:lang w:bidi="ar"/>
        </w:rPr>
        <w:t>The study concludes that the teacher-respondents are predominantly young and professionally active educators who continue to pursue academic and career advancement. Their profile reflects a workforce committed to continuous professional growth while managing increasing instructional and non-instructional responsibilities.</w:t>
      </w:r>
    </w:p>
    <w:p w14:paraId="34696841" w14:textId="77777777" w:rsidR="00903090" w:rsidRDefault="00000000" w:rsidP="00DA48A8">
      <w:pPr>
        <w:spacing w:before="240" w:after="240"/>
        <w:ind w:right="-7" w:firstLine="720"/>
        <w:jc w:val="both"/>
        <w:rPr>
          <w:rFonts w:ascii="Times New Roman" w:eastAsia="Arial Unicode MS" w:hAnsi="Times New Roman" w:cs="Times New Roman"/>
          <w:iCs/>
          <w:sz w:val="24"/>
          <w:szCs w:val="24"/>
          <w:lang w:bidi="ar"/>
        </w:rPr>
      </w:pPr>
      <w:r w:rsidRPr="00DA48A8">
        <w:rPr>
          <w:rFonts w:ascii="Times New Roman" w:eastAsia="Arial Unicode MS" w:hAnsi="Times New Roman" w:cs="Times New Roman"/>
          <w:iCs/>
          <w:sz w:val="24"/>
          <w:szCs w:val="24"/>
          <w:lang w:bidi="ar"/>
        </w:rPr>
        <w:t>Teachers demonstrated a high level of academic excellence across all measured domains, indicating strong professional competence and commitment to quality education. Student performance emerged as the strongest indicator of academic excellence, suggesting that teachers remain effective in supporting learner achievement despite workplace demands.</w:t>
      </w:r>
    </w:p>
    <w:p w14:paraId="19652E92" w14:textId="1478E3EC" w:rsidR="00670672" w:rsidRDefault="00670672" w:rsidP="00670672">
      <w:pPr>
        <w:spacing w:before="240" w:after="240"/>
        <w:ind w:right="-7"/>
        <w:jc w:val="both"/>
        <w:rPr>
          <w:rFonts w:ascii="Times New Roman" w:eastAsia="Arial Unicode MS" w:hAnsi="Times New Roman" w:cs="Times New Roman"/>
          <w:b/>
          <w:bCs/>
          <w:iCs/>
          <w:sz w:val="24"/>
          <w:szCs w:val="24"/>
        </w:rPr>
      </w:pPr>
      <w:r w:rsidRPr="00670672">
        <w:rPr>
          <w:rFonts w:ascii="Times New Roman" w:eastAsia="Arial Unicode MS" w:hAnsi="Times New Roman" w:cs="Times New Roman"/>
          <w:b/>
          <w:bCs/>
          <w:iCs/>
          <w:sz w:val="24"/>
          <w:szCs w:val="24"/>
        </w:rPr>
        <w:t>REFERENCE</w:t>
      </w:r>
    </w:p>
    <w:p w14:paraId="27E1B4D1" w14:textId="77777777" w:rsidR="001601EC" w:rsidRPr="001601EC" w:rsidRDefault="00670672" w:rsidP="001601EC">
      <w:pPr>
        <w:spacing w:before="240" w:after="240"/>
        <w:jc w:val="both"/>
        <w:rPr>
          <w:rFonts w:ascii="Times New Roman" w:eastAsia="Arial Unicode MS" w:hAnsi="Times New Roman" w:cs="Times New Roman"/>
          <w:iCs/>
          <w:sz w:val="24"/>
          <w:szCs w:val="24"/>
        </w:rPr>
      </w:pPr>
      <w:r w:rsidRPr="00670672">
        <w:rPr>
          <w:rFonts w:ascii="Times New Roman" w:eastAsia="Arial Unicode MS" w:hAnsi="Times New Roman" w:cs="Times New Roman"/>
          <w:iCs/>
          <w:sz w:val="24"/>
          <w:szCs w:val="24"/>
        </w:rPr>
        <w:t xml:space="preserve">[1] </w:t>
      </w:r>
      <w:r w:rsidR="001601EC" w:rsidRPr="001601EC">
        <w:rPr>
          <w:rFonts w:ascii="Times New Roman" w:eastAsia="Arial Unicode MS" w:hAnsi="Times New Roman" w:cs="Times New Roman"/>
          <w:iCs/>
          <w:sz w:val="24"/>
          <w:szCs w:val="24"/>
        </w:rPr>
        <w:t xml:space="preserve">Creswell, J.W., (2018). Controversies in mixed method research </w:t>
      </w:r>
      <w:proofErr w:type="spellStart"/>
      <w:proofErr w:type="gramStart"/>
      <w:r w:rsidR="001601EC" w:rsidRPr="001601EC">
        <w:rPr>
          <w:rFonts w:ascii="Times New Roman" w:eastAsia="Arial Unicode MS" w:hAnsi="Times New Roman" w:cs="Times New Roman"/>
          <w:iCs/>
          <w:sz w:val="24"/>
          <w:szCs w:val="24"/>
        </w:rPr>
        <w:t>design:A</w:t>
      </w:r>
      <w:proofErr w:type="spellEnd"/>
      <w:proofErr w:type="gramEnd"/>
      <w:r w:rsidR="001601EC" w:rsidRPr="001601EC">
        <w:rPr>
          <w:rFonts w:ascii="Times New Roman" w:eastAsia="Arial Unicode MS" w:hAnsi="Times New Roman" w:cs="Times New Roman"/>
          <w:iCs/>
          <w:sz w:val="24"/>
          <w:szCs w:val="24"/>
        </w:rPr>
        <w:t xml:space="preserve"> practical </w:t>
      </w:r>
      <w:proofErr w:type="spellStart"/>
      <w:proofErr w:type="gramStart"/>
      <w:r w:rsidR="001601EC" w:rsidRPr="001601EC">
        <w:rPr>
          <w:rFonts w:ascii="Times New Roman" w:eastAsia="Arial Unicode MS" w:hAnsi="Times New Roman" w:cs="Times New Roman"/>
          <w:iCs/>
          <w:sz w:val="24"/>
          <w:szCs w:val="24"/>
        </w:rPr>
        <w:t>guide.Sage</w:t>
      </w:r>
      <w:proofErr w:type="spellEnd"/>
      <w:proofErr w:type="gramEnd"/>
      <w:r w:rsidR="001601EC" w:rsidRPr="001601EC">
        <w:rPr>
          <w:rFonts w:ascii="Times New Roman" w:eastAsia="Arial Unicode MS" w:hAnsi="Times New Roman" w:cs="Times New Roman"/>
          <w:iCs/>
          <w:sz w:val="24"/>
          <w:szCs w:val="24"/>
        </w:rPr>
        <w:t xml:space="preserve"> Publications.</w:t>
      </w:r>
    </w:p>
    <w:p w14:paraId="18E28EB8" w14:textId="77777777" w:rsidR="001601EC" w:rsidRPr="001601EC" w:rsidRDefault="001601EC" w:rsidP="001601EC">
      <w:pPr>
        <w:numPr>
          <w:ilvl w:val="0"/>
          <w:numId w:val="4"/>
        </w:numPr>
        <w:spacing w:before="240" w:after="240"/>
        <w:jc w:val="both"/>
        <w:rPr>
          <w:rFonts w:ascii="Times New Roman" w:eastAsia="Arial Unicode MS" w:hAnsi="Times New Roman" w:cs="Times New Roman"/>
          <w:iCs/>
          <w:sz w:val="24"/>
          <w:szCs w:val="24"/>
        </w:rPr>
      </w:pPr>
      <w:r w:rsidRPr="001601EC">
        <w:rPr>
          <w:rFonts w:ascii="Times New Roman" w:eastAsia="Arial Unicode MS" w:hAnsi="Times New Roman" w:cs="Times New Roman"/>
          <w:iCs/>
          <w:sz w:val="24"/>
          <w:szCs w:val="24"/>
        </w:rPr>
        <w:t xml:space="preserve">Ingersoll, A. (2021). The </w:t>
      </w:r>
      <w:proofErr w:type="gramStart"/>
      <w:r w:rsidRPr="001601EC">
        <w:rPr>
          <w:rFonts w:ascii="Times New Roman" w:eastAsia="Arial Unicode MS" w:hAnsi="Times New Roman" w:cs="Times New Roman"/>
          <w:iCs/>
          <w:sz w:val="24"/>
          <w:szCs w:val="24"/>
        </w:rPr>
        <w:t>effects  of</w:t>
      </w:r>
      <w:proofErr w:type="gramEnd"/>
      <w:r w:rsidRPr="001601EC">
        <w:rPr>
          <w:rFonts w:ascii="Times New Roman" w:eastAsia="Arial Unicode MS" w:hAnsi="Times New Roman" w:cs="Times New Roman"/>
          <w:iCs/>
          <w:sz w:val="24"/>
          <w:szCs w:val="24"/>
        </w:rPr>
        <w:t xml:space="preserve"> instructional strategies on student learning </w:t>
      </w:r>
      <w:proofErr w:type="spellStart"/>
      <w:proofErr w:type="gramStart"/>
      <w:r w:rsidRPr="001601EC">
        <w:rPr>
          <w:rFonts w:ascii="Times New Roman" w:eastAsia="Arial Unicode MS" w:hAnsi="Times New Roman" w:cs="Times New Roman"/>
          <w:iCs/>
          <w:sz w:val="24"/>
          <w:szCs w:val="24"/>
        </w:rPr>
        <w:t>outcomes.Journal</w:t>
      </w:r>
      <w:proofErr w:type="spellEnd"/>
      <w:proofErr w:type="gramEnd"/>
      <w:r w:rsidRPr="001601EC">
        <w:rPr>
          <w:rFonts w:ascii="Times New Roman" w:eastAsia="Arial Unicode MS" w:hAnsi="Times New Roman" w:cs="Times New Roman"/>
          <w:iCs/>
          <w:sz w:val="24"/>
          <w:szCs w:val="24"/>
        </w:rPr>
        <w:t xml:space="preserve"> of Educational Research and Practice, 15 (2), 45-60.</w:t>
      </w:r>
    </w:p>
    <w:p w14:paraId="4689E5AF" w14:textId="77777777" w:rsidR="001601EC" w:rsidRPr="001601EC" w:rsidRDefault="001601EC" w:rsidP="001601EC">
      <w:pPr>
        <w:numPr>
          <w:ilvl w:val="0"/>
          <w:numId w:val="4"/>
        </w:numPr>
        <w:spacing w:before="240" w:after="240"/>
        <w:jc w:val="both"/>
        <w:rPr>
          <w:rFonts w:ascii="Times New Roman" w:eastAsia="Arial Unicode MS" w:hAnsi="Times New Roman" w:cs="Times New Roman"/>
          <w:iCs/>
          <w:sz w:val="24"/>
          <w:szCs w:val="24"/>
        </w:rPr>
      </w:pPr>
      <w:r w:rsidRPr="001601EC">
        <w:rPr>
          <w:rFonts w:ascii="Times New Roman" w:eastAsia="Arial Unicode MS" w:hAnsi="Times New Roman" w:cs="Times New Roman"/>
          <w:iCs/>
          <w:sz w:val="24"/>
          <w:szCs w:val="24"/>
        </w:rPr>
        <w:t>Reyes, A.M., Dela Cruz, F. J., &amp; Navarro, L.S. (2023). Student motivation and academic performance in blended learning. Philippine Journal of Education Research, 12(3</w:t>
      </w:r>
      <w:proofErr w:type="gramStart"/>
      <w:r w:rsidRPr="001601EC">
        <w:rPr>
          <w:rFonts w:ascii="Times New Roman" w:eastAsia="Arial Unicode MS" w:hAnsi="Times New Roman" w:cs="Times New Roman"/>
          <w:iCs/>
          <w:sz w:val="24"/>
          <w:szCs w:val="24"/>
        </w:rPr>
        <w:t>),200-2015doi.org/10.0000pjer</w:t>
      </w:r>
      <w:proofErr w:type="gramEnd"/>
      <w:r w:rsidRPr="001601EC">
        <w:rPr>
          <w:rFonts w:ascii="Times New Roman" w:eastAsia="Arial Unicode MS" w:hAnsi="Times New Roman" w:cs="Times New Roman"/>
          <w:iCs/>
          <w:sz w:val="24"/>
          <w:szCs w:val="24"/>
        </w:rPr>
        <w:t>.2023.012</w:t>
      </w:r>
    </w:p>
    <w:p w14:paraId="333D574C" w14:textId="77777777" w:rsidR="001601EC" w:rsidRPr="001601EC" w:rsidRDefault="001601EC" w:rsidP="001601EC">
      <w:pPr>
        <w:numPr>
          <w:ilvl w:val="0"/>
          <w:numId w:val="4"/>
        </w:numPr>
        <w:spacing w:before="240" w:after="240"/>
        <w:jc w:val="both"/>
        <w:rPr>
          <w:rFonts w:ascii="Times New Roman" w:eastAsia="Arial Unicode MS" w:hAnsi="Times New Roman" w:cs="Times New Roman"/>
          <w:iCs/>
          <w:sz w:val="24"/>
          <w:szCs w:val="24"/>
        </w:rPr>
      </w:pPr>
      <w:proofErr w:type="spellStart"/>
      <w:proofErr w:type="gramStart"/>
      <w:r w:rsidRPr="001601EC">
        <w:rPr>
          <w:rFonts w:ascii="Times New Roman" w:eastAsia="Arial Unicode MS" w:hAnsi="Times New Roman" w:cs="Times New Roman"/>
          <w:iCs/>
          <w:sz w:val="24"/>
          <w:szCs w:val="24"/>
        </w:rPr>
        <w:t>Saro,J.M</w:t>
      </w:r>
      <w:proofErr w:type="spellEnd"/>
      <w:r w:rsidRPr="001601EC">
        <w:rPr>
          <w:rFonts w:ascii="Times New Roman" w:eastAsia="Arial Unicode MS" w:hAnsi="Times New Roman" w:cs="Times New Roman"/>
          <w:iCs/>
          <w:sz w:val="24"/>
          <w:szCs w:val="24"/>
        </w:rPr>
        <w:t>.</w:t>
      </w:r>
      <w:proofErr w:type="gramEnd"/>
      <w:r w:rsidRPr="001601EC">
        <w:rPr>
          <w:rFonts w:ascii="Times New Roman" w:eastAsia="Arial Unicode MS" w:hAnsi="Times New Roman" w:cs="Times New Roman"/>
          <w:iCs/>
          <w:sz w:val="24"/>
          <w:szCs w:val="24"/>
        </w:rPr>
        <w:t xml:space="preserve"> and </w:t>
      </w:r>
      <w:proofErr w:type="spellStart"/>
      <w:r w:rsidRPr="001601EC">
        <w:rPr>
          <w:rFonts w:ascii="Times New Roman" w:eastAsia="Arial Unicode MS" w:hAnsi="Times New Roman" w:cs="Times New Roman"/>
          <w:iCs/>
          <w:sz w:val="24"/>
          <w:szCs w:val="24"/>
        </w:rPr>
        <w:t>Pelesco</w:t>
      </w:r>
      <w:proofErr w:type="spellEnd"/>
      <w:r w:rsidRPr="001601EC">
        <w:rPr>
          <w:rFonts w:ascii="Times New Roman" w:eastAsia="Arial Unicode MS" w:hAnsi="Times New Roman" w:cs="Times New Roman"/>
          <w:iCs/>
          <w:sz w:val="24"/>
          <w:szCs w:val="24"/>
        </w:rPr>
        <w:t xml:space="preserve">, E.N. </w:t>
      </w:r>
      <w:proofErr w:type="gramStart"/>
      <w:r w:rsidRPr="001601EC">
        <w:rPr>
          <w:rFonts w:ascii="Times New Roman" w:eastAsia="Arial Unicode MS" w:hAnsi="Times New Roman" w:cs="Times New Roman"/>
          <w:iCs/>
          <w:sz w:val="24"/>
          <w:szCs w:val="24"/>
        </w:rPr>
        <w:t>( 2025</w:t>
      </w:r>
      <w:proofErr w:type="gramEnd"/>
      <w:r w:rsidRPr="001601EC">
        <w:rPr>
          <w:rFonts w:ascii="Times New Roman" w:eastAsia="Arial Unicode MS" w:hAnsi="Times New Roman" w:cs="Times New Roman"/>
          <w:iCs/>
          <w:sz w:val="24"/>
          <w:szCs w:val="24"/>
        </w:rPr>
        <w:t xml:space="preserve">) </w:t>
      </w:r>
      <w:proofErr w:type="gramStart"/>
      <w:r w:rsidRPr="001601EC">
        <w:rPr>
          <w:rFonts w:ascii="Times New Roman" w:eastAsia="Arial Unicode MS" w:hAnsi="Times New Roman" w:cs="Times New Roman"/>
          <w:iCs/>
          <w:sz w:val="24"/>
          <w:szCs w:val="24"/>
        </w:rPr>
        <w:t>‘ Efficacy</w:t>
      </w:r>
      <w:proofErr w:type="gramEnd"/>
      <w:r w:rsidRPr="001601EC">
        <w:rPr>
          <w:rFonts w:ascii="Times New Roman" w:eastAsia="Arial Unicode MS" w:hAnsi="Times New Roman" w:cs="Times New Roman"/>
          <w:iCs/>
          <w:sz w:val="24"/>
          <w:szCs w:val="24"/>
        </w:rPr>
        <w:t xml:space="preserve"> of center- based learning on students’ science performance; Asian Journal of Education and Social Studies 51 (7</w:t>
      </w:r>
      <w:proofErr w:type="gramStart"/>
      <w:r w:rsidRPr="001601EC">
        <w:rPr>
          <w:rFonts w:ascii="Times New Roman" w:eastAsia="Arial Unicode MS" w:hAnsi="Times New Roman" w:cs="Times New Roman"/>
          <w:iCs/>
          <w:sz w:val="24"/>
          <w:szCs w:val="24"/>
        </w:rPr>
        <w:t>),pp</w:t>
      </w:r>
      <w:proofErr w:type="gramEnd"/>
      <w:r w:rsidRPr="001601EC">
        <w:rPr>
          <w:rFonts w:ascii="Times New Roman" w:eastAsia="Arial Unicode MS" w:hAnsi="Times New Roman" w:cs="Times New Roman"/>
          <w:iCs/>
          <w:sz w:val="24"/>
          <w:szCs w:val="24"/>
        </w:rPr>
        <w:t xml:space="preserve"> 557-</w:t>
      </w:r>
      <w:proofErr w:type="gramStart"/>
      <w:r w:rsidRPr="001601EC">
        <w:rPr>
          <w:rFonts w:ascii="Times New Roman" w:eastAsia="Arial Unicode MS" w:hAnsi="Times New Roman" w:cs="Times New Roman"/>
          <w:iCs/>
          <w:sz w:val="24"/>
          <w:szCs w:val="24"/>
        </w:rPr>
        <w:t>563)doi</w:t>
      </w:r>
      <w:proofErr w:type="gramEnd"/>
      <w:r w:rsidRPr="001601EC">
        <w:rPr>
          <w:rFonts w:ascii="Times New Roman" w:eastAsia="Arial Unicode MS" w:hAnsi="Times New Roman" w:cs="Times New Roman"/>
          <w:iCs/>
          <w:sz w:val="24"/>
          <w:szCs w:val="24"/>
        </w:rPr>
        <w:t>:10.9734/</w:t>
      </w:r>
      <w:proofErr w:type="spellStart"/>
      <w:r w:rsidRPr="001601EC">
        <w:rPr>
          <w:rFonts w:ascii="Times New Roman" w:eastAsia="Arial Unicode MS" w:hAnsi="Times New Roman" w:cs="Times New Roman"/>
          <w:iCs/>
          <w:sz w:val="24"/>
          <w:szCs w:val="24"/>
        </w:rPr>
        <w:t>ajess</w:t>
      </w:r>
      <w:proofErr w:type="spellEnd"/>
      <w:r w:rsidRPr="001601EC">
        <w:rPr>
          <w:rFonts w:ascii="Times New Roman" w:eastAsia="Arial Unicode MS" w:hAnsi="Times New Roman" w:cs="Times New Roman"/>
          <w:iCs/>
          <w:sz w:val="24"/>
          <w:szCs w:val="24"/>
        </w:rPr>
        <w:t>/2025/v51i72146.</w:t>
      </w:r>
    </w:p>
    <w:p w14:paraId="534AC797" w14:textId="77777777" w:rsidR="001601EC" w:rsidRPr="001601EC" w:rsidRDefault="001601EC" w:rsidP="001601EC">
      <w:pPr>
        <w:numPr>
          <w:ilvl w:val="0"/>
          <w:numId w:val="4"/>
        </w:numPr>
        <w:spacing w:before="240" w:after="240"/>
        <w:jc w:val="both"/>
        <w:rPr>
          <w:rFonts w:ascii="Times New Roman" w:eastAsia="Arial Unicode MS" w:hAnsi="Times New Roman" w:cs="Times New Roman"/>
          <w:iCs/>
          <w:sz w:val="24"/>
          <w:szCs w:val="24"/>
        </w:rPr>
      </w:pPr>
      <w:proofErr w:type="spellStart"/>
      <w:proofErr w:type="gramStart"/>
      <w:r w:rsidRPr="001601EC">
        <w:rPr>
          <w:rFonts w:ascii="Times New Roman" w:eastAsia="Arial Unicode MS" w:hAnsi="Times New Roman" w:cs="Times New Roman"/>
          <w:iCs/>
          <w:sz w:val="24"/>
          <w:szCs w:val="24"/>
        </w:rPr>
        <w:t>Wahab,N</w:t>
      </w:r>
      <w:proofErr w:type="gramEnd"/>
      <w:r w:rsidRPr="001601EC">
        <w:rPr>
          <w:rFonts w:ascii="Times New Roman" w:eastAsia="Arial Unicode MS" w:hAnsi="Times New Roman" w:cs="Times New Roman"/>
          <w:iCs/>
          <w:sz w:val="24"/>
          <w:szCs w:val="24"/>
        </w:rPr>
        <w:t>.</w:t>
      </w:r>
      <w:proofErr w:type="gramStart"/>
      <w:r w:rsidRPr="001601EC">
        <w:rPr>
          <w:rFonts w:ascii="Times New Roman" w:eastAsia="Arial Unicode MS" w:hAnsi="Times New Roman" w:cs="Times New Roman"/>
          <w:iCs/>
          <w:sz w:val="24"/>
          <w:szCs w:val="24"/>
        </w:rPr>
        <w:t>Y.et.al</w:t>
      </w:r>
      <w:proofErr w:type="spellEnd"/>
      <w:proofErr w:type="gramEnd"/>
      <w:r w:rsidRPr="001601EC">
        <w:rPr>
          <w:rFonts w:ascii="Times New Roman" w:eastAsia="Arial Unicode MS" w:hAnsi="Times New Roman" w:cs="Times New Roman"/>
          <w:iCs/>
          <w:sz w:val="24"/>
          <w:szCs w:val="24"/>
        </w:rPr>
        <w:t xml:space="preserve"> (2024)’ Impact of workload on teachers’ well -being: A systematic literature review, TEM Journal, pp. 2544-2556.doi:10.18421/tem133-80.</w:t>
      </w:r>
    </w:p>
    <w:p w14:paraId="4AD15DA7" w14:textId="76D7C28B" w:rsidR="00903090" w:rsidRPr="00DA48A8" w:rsidRDefault="00903090" w:rsidP="001601EC">
      <w:pPr>
        <w:spacing w:before="240" w:after="240"/>
        <w:jc w:val="both"/>
        <w:rPr>
          <w:rFonts w:ascii="Times New Roman" w:eastAsia="Arial Unicode MS" w:hAnsi="Times New Roman" w:cs="Times New Roman"/>
          <w:bCs/>
          <w:sz w:val="24"/>
          <w:szCs w:val="24"/>
          <w:lang w:bidi="ar"/>
        </w:rPr>
      </w:pPr>
    </w:p>
    <w:p w14:paraId="5D02B9EA" w14:textId="77777777" w:rsidR="00903090" w:rsidRPr="00DA48A8" w:rsidRDefault="00903090" w:rsidP="00DA48A8">
      <w:pPr>
        <w:pStyle w:val="NormalWeb"/>
        <w:spacing w:before="240" w:after="240"/>
        <w:ind w:firstLine="720"/>
        <w:jc w:val="both"/>
        <w:rPr>
          <w:rFonts w:ascii="Times New Roman" w:eastAsia="Arial Unicode MS" w:hAnsi="Times New Roman" w:cs="Times New Roman"/>
          <w:bCs/>
          <w:lang w:bidi="ar"/>
        </w:rPr>
      </w:pPr>
    </w:p>
    <w:p w14:paraId="4CA33593" w14:textId="77777777" w:rsidR="00903090" w:rsidRPr="00DA48A8" w:rsidRDefault="00903090" w:rsidP="00DA48A8">
      <w:pPr>
        <w:spacing w:before="240" w:after="240"/>
        <w:rPr>
          <w:rFonts w:ascii="Times New Roman" w:hAnsi="Times New Roman" w:cs="Times New Roman"/>
          <w:sz w:val="24"/>
          <w:szCs w:val="24"/>
        </w:rPr>
      </w:pPr>
    </w:p>
    <w:sectPr w:rsidR="00903090" w:rsidRPr="00DA48A8" w:rsidSect="00532722">
      <w:headerReference w:type="default" r:id="rId8"/>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6A4C" w14:textId="77777777" w:rsidR="00BD4913" w:rsidRDefault="00BD4913" w:rsidP="00373401">
      <w:r>
        <w:separator/>
      </w:r>
    </w:p>
  </w:endnote>
  <w:endnote w:type="continuationSeparator" w:id="0">
    <w:p w14:paraId="4F6861E8" w14:textId="77777777" w:rsidR="00BD4913" w:rsidRDefault="00BD4913" w:rsidP="0037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E355" w14:textId="77777777" w:rsidR="00BD4913" w:rsidRDefault="00BD4913" w:rsidP="00373401">
      <w:r>
        <w:separator/>
      </w:r>
    </w:p>
  </w:footnote>
  <w:footnote w:type="continuationSeparator" w:id="0">
    <w:p w14:paraId="733D5459" w14:textId="77777777" w:rsidR="00BD4913" w:rsidRDefault="00BD4913" w:rsidP="00373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2DE1" w14:textId="77777777" w:rsidR="00373401" w:rsidRDefault="00373401">
    <w:pPr>
      <w:pStyle w:val="Header"/>
    </w:pPr>
  </w:p>
  <w:p w14:paraId="36977C33" w14:textId="77777777" w:rsidR="00373401" w:rsidRDefault="00373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267"/>
    <w:multiLevelType w:val="multilevel"/>
    <w:tmpl w:val="74D0F0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BE6EC8"/>
    <w:multiLevelType w:val="multilevel"/>
    <w:tmpl w:val="801C4446"/>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B67823"/>
    <w:multiLevelType w:val="hybridMultilevel"/>
    <w:tmpl w:val="87762EA0"/>
    <w:lvl w:ilvl="0" w:tplc="A006B198">
      <w:start w:val="2"/>
      <w:numFmt w:val="decimal"/>
      <w:lvlText w:val="%1."/>
      <w:lvlJc w:val="left"/>
      <w:pPr>
        <w:ind w:left="1080" w:hanging="360"/>
      </w:pPr>
      <w:rPr>
        <w:rFonts w:cs="Times New Roman"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64961938"/>
    <w:multiLevelType w:val="multilevel"/>
    <w:tmpl w:val="17544F74"/>
    <w:lvl w:ilvl="0">
      <w:start w:val="1"/>
      <w:numFmt w:val="decimal"/>
      <w:lvlText w:val="%1"/>
      <w:lvlJc w:val="left"/>
      <w:pPr>
        <w:ind w:left="360" w:hanging="360"/>
      </w:pPr>
      <w:rPr>
        <w:rFonts w:cs="Times New Roman" w:hint="default"/>
      </w:rPr>
    </w:lvl>
    <w:lvl w:ilvl="1">
      <w:start w:val="4"/>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320" w:hanging="1800"/>
      </w:pPr>
      <w:rPr>
        <w:rFonts w:cs="Times New Roman" w:hint="default"/>
      </w:rPr>
    </w:lvl>
  </w:abstractNum>
  <w:num w:numId="1" w16cid:durableId="1799645573">
    <w:abstractNumId w:val="0"/>
  </w:num>
  <w:num w:numId="2" w16cid:durableId="743800093">
    <w:abstractNumId w:val="3"/>
  </w:num>
  <w:num w:numId="3" w16cid:durableId="1032458472">
    <w:abstractNumId w:val="2"/>
  </w:num>
  <w:num w:numId="4" w16cid:durableId="3771693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2B2FAD"/>
    <w:rsid w:val="00043B3B"/>
    <w:rsid w:val="001601EC"/>
    <w:rsid w:val="00373401"/>
    <w:rsid w:val="00532722"/>
    <w:rsid w:val="00670672"/>
    <w:rsid w:val="00903090"/>
    <w:rsid w:val="00BB2AF1"/>
    <w:rsid w:val="00BD4913"/>
    <w:rsid w:val="00D50FF0"/>
    <w:rsid w:val="00DA48A8"/>
    <w:rsid w:val="00E259AB"/>
    <w:rsid w:val="742B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792BB"/>
  <w15:docId w15:val="{404CD400-C023-421F-8475-C3E2EC3C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szCs w:val="24"/>
    </w:rPr>
  </w:style>
  <w:style w:type="character" w:customStyle="1" w:styleId="NoSpacingChar">
    <w:name w:val="No Spacing Char"/>
    <w:link w:val="msonospacing0"/>
    <w:rPr>
      <w:rFonts w:ascii="Calibri" w:eastAsia="SimSun" w:hAnsi="Calibri" w:cs="Times New Roman" w:hint="default"/>
      <w:sz w:val="22"/>
      <w:szCs w:val="22"/>
      <w:lang w:val="en-US" w:eastAsia="en-US"/>
    </w:rPr>
  </w:style>
  <w:style w:type="paragraph" w:customStyle="1" w:styleId="msonospacing0">
    <w:name w:val="msonospacing"/>
    <w:link w:val="NoSpacingChar"/>
    <w:rPr>
      <w:rFonts w:cs="Times New Roman"/>
      <w:sz w:val="22"/>
      <w:szCs w:val="22"/>
      <w:lang w:eastAsia="zh-CN"/>
    </w:rPr>
  </w:style>
  <w:style w:type="table" w:customStyle="1" w:styleId="TableGrid3">
    <w:name w:val="Table Grid3"/>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table" w:customStyle="1" w:styleId="TableGrid4">
    <w:name w:val="Table Grid4"/>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paragraph" w:styleId="Header">
    <w:name w:val="header"/>
    <w:basedOn w:val="Normal"/>
    <w:link w:val="HeaderChar"/>
    <w:rsid w:val="00373401"/>
    <w:pPr>
      <w:tabs>
        <w:tab w:val="center" w:pos="4680"/>
        <w:tab w:val="right" w:pos="9360"/>
      </w:tabs>
    </w:pPr>
  </w:style>
  <w:style w:type="character" w:customStyle="1" w:styleId="HeaderChar">
    <w:name w:val="Header Char"/>
    <w:basedOn w:val="DefaultParagraphFont"/>
    <w:link w:val="Header"/>
    <w:rsid w:val="00373401"/>
    <w:rPr>
      <w:rFonts w:asciiTheme="minorHAnsi" w:eastAsiaTheme="minorEastAsia" w:hAnsiTheme="minorHAnsi" w:cstheme="minorBidi"/>
      <w:lang w:eastAsia="zh-CN"/>
    </w:rPr>
  </w:style>
  <w:style w:type="paragraph" w:styleId="Footer">
    <w:name w:val="footer"/>
    <w:basedOn w:val="Normal"/>
    <w:link w:val="FooterChar"/>
    <w:rsid w:val="00373401"/>
    <w:pPr>
      <w:tabs>
        <w:tab w:val="center" w:pos="4680"/>
        <w:tab w:val="right" w:pos="9360"/>
      </w:tabs>
    </w:pPr>
  </w:style>
  <w:style w:type="character" w:customStyle="1" w:styleId="FooterChar">
    <w:name w:val="Footer Char"/>
    <w:basedOn w:val="DefaultParagraphFont"/>
    <w:link w:val="Footer"/>
    <w:rsid w:val="00373401"/>
    <w:rPr>
      <w:rFonts w:asciiTheme="minorHAnsi" w:eastAsiaTheme="minorEastAsia" w:hAnsiTheme="minorHAnsi" w:cstheme="minorBidi"/>
      <w:lang w:eastAsia="zh-CN"/>
    </w:rPr>
  </w:style>
  <w:style w:type="paragraph" w:styleId="ListParagraph">
    <w:name w:val="List Paragraph"/>
    <w:basedOn w:val="Normal"/>
    <w:uiPriority w:val="99"/>
    <w:qFormat/>
    <w:rsid w:val="00D50FF0"/>
    <w:pPr>
      <w:spacing w:after="200" w:line="27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Irish Cadao</cp:lastModifiedBy>
  <cp:revision>2</cp:revision>
  <dcterms:created xsi:type="dcterms:W3CDTF">2026-06-10T03:25:00Z</dcterms:created>
  <dcterms:modified xsi:type="dcterms:W3CDTF">2026-06-10T05:24:00Z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FEB9434C9AA14996BDE18C3BA25F2342_11</vt:lpwstr>
  </property>
  <property fmtid="{D5CDD505-2E9C-101B-9397-08002B2CF9AE}" pid="4" name="KSOTemplateDocerSaveRecord">
    <vt:lpwstr>eyJoZGlkIjoiMjMzOGJiOWQ1YzVlOTBlZTYzMjYwYjdlMWVmYmY2ZjgifQ==</vt:lpwstr>
  </property>
  <property fmtid="{D5CDD505-2E9C-101B-9397-08002B2CF9AE}" pid="5" name="GrammarlyDocumentId">
    <vt:lpwstr>a497aa08-502d-4eac-b1e1-800baf0f3982</vt:lpwstr>
  </property>
</Properties>
</file>