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77064" w14:textId="77777777" w:rsidR="000B2222" w:rsidRDefault="00000000">
      <w:pPr>
        <w:pStyle w:val="Author"/>
        <w:spacing w:before="100" w:beforeAutospacing="1" w:after="100" w:afterAutospacing="1"/>
        <w:rPr>
          <w:sz w:val="16"/>
          <w:szCs w:val="16"/>
        </w:rPr>
      </w:pPr>
      <w:r>
        <w:rPr>
          <w:rFonts w:eastAsia="MS Mincho"/>
          <w:kern w:val="48"/>
          <w:sz w:val="48"/>
          <w:szCs w:val="48"/>
        </w:rPr>
        <w:t xml:space="preserve">Lymph Node Metastasis Detection in Pancreatic Ductal Adenocarcinoma using </w:t>
      </w:r>
      <w:proofErr w:type="spellStart"/>
      <w:r>
        <w:rPr>
          <w:rFonts w:eastAsia="MS Mincho"/>
          <w:kern w:val="48"/>
          <w:sz w:val="48"/>
          <w:szCs w:val="48"/>
        </w:rPr>
        <w:t>ResNet</w:t>
      </w:r>
      <w:proofErr w:type="spellEnd"/>
      <w:r>
        <w:rPr>
          <w:rFonts w:eastAsia="MS Mincho"/>
          <w:kern w:val="48"/>
          <w:sz w:val="48"/>
          <w:szCs w:val="48"/>
        </w:rPr>
        <w:t xml:space="preserve"> with Attention Mechanism</w:t>
      </w:r>
    </w:p>
    <w:p w14:paraId="6A8F589C" w14:textId="77777777" w:rsidR="000B2222" w:rsidRDefault="000B2222">
      <w:pPr>
        <w:pStyle w:val="Author"/>
        <w:spacing w:before="100" w:beforeAutospacing="1" w:after="100" w:afterAutospacing="1" w:line="120" w:lineRule="auto"/>
        <w:rPr>
          <w:sz w:val="16"/>
          <w:szCs w:val="16"/>
        </w:rPr>
        <w:sectPr w:rsidR="000B2222">
          <w:footerReference w:type="first" r:id="rId8"/>
          <w:pgSz w:w="11906" w:h="16838"/>
          <w:pgMar w:top="540" w:right="893" w:bottom="1440" w:left="893" w:header="720" w:footer="720" w:gutter="0"/>
          <w:cols w:space="720"/>
          <w:titlePg/>
          <w:docGrid w:linePitch="360"/>
        </w:sectPr>
      </w:pPr>
    </w:p>
    <w:p w14:paraId="18473FED" w14:textId="77777777" w:rsidR="000B2222" w:rsidRDefault="00000000">
      <w:pPr>
        <w:pStyle w:val="Author"/>
        <w:spacing w:before="100" w:beforeAutospacing="1"/>
        <w:rPr>
          <w:sz w:val="16"/>
          <w:szCs w:val="16"/>
        </w:rPr>
      </w:pPr>
      <w:proofErr w:type="spellStart"/>
      <w:r>
        <w:t>Mamindlapelly</w:t>
      </w:r>
      <w:proofErr w:type="spellEnd"/>
      <w:r>
        <w:t xml:space="preserve"> </w:t>
      </w:r>
      <w:proofErr w:type="spellStart"/>
      <w:r>
        <w:t>Nagavarshini</w:t>
      </w:r>
      <w:proofErr w:type="spellEnd"/>
      <w:r>
        <w:rPr>
          <w:sz w:val="18"/>
          <w:szCs w:val="18"/>
        </w:rPr>
        <w:br/>
      </w:r>
      <w:r>
        <w:rPr>
          <w:sz w:val="20"/>
          <w:szCs w:val="20"/>
        </w:rPr>
        <w:t>Information Technology</w:t>
      </w:r>
      <w:r>
        <w:rPr>
          <w:sz w:val="18"/>
          <w:szCs w:val="18"/>
        </w:rPr>
        <w:br/>
        <w:t xml:space="preserve">Vardhaman College </w:t>
      </w:r>
      <w:proofErr w:type="gramStart"/>
      <w:r>
        <w:rPr>
          <w:sz w:val="18"/>
          <w:szCs w:val="18"/>
        </w:rPr>
        <w:t>Of</w:t>
      </w:r>
      <w:proofErr w:type="gramEnd"/>
      <w:r>
        <w:rPr>
          <w:sz w:val="18"/>
          <w:szCs w:val="18"/>
        </w:rPr>
        <w:t xml:space="preserve"> Engineering</w:t>
      </w:r>
      <w:r>
        <w:rPr>
          <w:i/>
          <w:sz w:val="18"/>
          <w:szCs w:val="18"/>
        </w:rPr>
        <w:br/>
      </w:r>
      <w:proofErr w:type="spellStart"/>
      <w:proofErr w:type="gramStart"/>
      <w:r>
        <w:rPr>
          <w:sz w:val="18"/>
          <w:szCs w:val="18"/>
        </w:rPr>
        <w:t>Hyderabad,Telangana</w:t>
      </w:r>
      <w:proofErr w:type="spellEnd"/>
      <w:proofErr w:type="gramEnd"/>
      <w:r>
        <w:rPr>
          <w:sz w:val="18"/>
          <w:szCs w:val="18"/>
        </w:rPr>
        <w:br/>
      </w:r>
      <w:r>
        <w:rPr>
          <w:sz w:val="16"/>
          <w:szCs w:val="16"/>
        </w:rPr>
        <w:t>nagavarshinimamindlapelly@gmail.com</w:t>
      </w:r>
    </w:p>
    <w:p w14:paraId="006C261E" w14:textId="77777777" w:rsidR="000B2222" w:rsidRDefault="00000000">
      <w:pPr>
        <w:pStyle w:val="Author"/>
        <w:spacing w:before="100" w:beforeAutospacing="1"/>
        <w:rPr>
          <w:sz w:val="18"/>
          <w:szCs w:val="18"/>
        </w:rPr>
      </w:pPr>
      <w:r>
        <w:rPr>
          <w:sz w:val="18"/>
          <w:szCs w:val="18"/>
        </w:rPr>
        <w:br/>
      </w:r>
      <w:r>
        <w:rPr>
          <w:sz w:val="18"/>
          <w:szCs w:val="18"/>
        </w:rPr>
        <w:br w:type="column"/>
      </w:r>
      <w:proofErr w:type="spellStart"/>
      <w:r>
        <w:t>Atiketi</w:t>
      </w:r>
      <w:proofErr w:type="spellEnd"/>
      <w:r>
        <w:t xml:space="preserve"> Dhanush</w:t>
      </w:r>
      <w:r>
        <w:rPr>
          <w:sz w:val="18"/>
          <w:szCs w:val="18"/>
        </w:rPr>
        <w:br/>
      </w:r>
      <w:r>
        <w:rPr>
          <w:sz w:val="20"/>
          <w:szCs w:val="20"/>
        </w:rPr>
        <w:t>Information Technology</w:t>
      </w:r>
      <w:r>
        <w:rPr>
          <w:sz w:val="20"/>
          <w:szCs w:val="20"/>
        </w:rPr>
        <w:br/>
      </w:r>
      <w:r>
        <w:rPr>
          <w:sz w:val="18"/>
          <w:szCs w:val="18"/>
        </w:rPr>
        <w:t xml:space="preserve">Vardhaman College </w:t>
      </w:r>
      <w:proofErr w:type="gramStart"/>
      <w:r>
        <w:rPr>
          <w:sz w:val="18"/>
          <w:szCs w:val="18"/>
        </w:rPr>
        <w:t>Of</w:t>
      </w:r>
      <w:proofErr w:type="gramEnd"/>
      <w:r>
        <w:rPr>
          <w:sz w:val="18"/>
          <w:szCs w:val="18"/>
        </w:rPr>
        <w:t xml:space="preserve"> Engineering</w:t>
      </w:r>
      <w:r>
        <w:rPr>
          <w:i/>
          <w:sz w:val="18"/>
          <w:szCs w:val="18"/>
        </w:rPr>
        <w:br/>
      </w:r>
      <w:proofErr w:type="spellStart"/>
      <w:proofErr w:type="gramStart"/>
      <w:r>
        <w:rPr>
          <w:sz w:val="18"/>
          <w:szCs w:val="18"/>
        </w:rPr>
        <w:t>Hyderabad,Telangana</w:t>
      </w:r>
      <w:proofErr w:type="spellEnd"/>
      <w:proofErr w:type="gramEnd"/>
      <w:r>
        <w:rPr>
          <w:sz w:val="18"/>
          <w:szCs w:val="18"/>
        </w:rPr>
        <w:br/>
        <w:t>adhanushtiketi0729@gmail.com</w:t>
      </w:r>
    </w:p>
    <w:p w14:paraId="4FFEF728" w14:textId="77777777" w:rsidR="000B2222" w:rsidRDefault="000B2222">
      <w:pPr>
        <w:pStyle w:val="Author"/>
        <w:spacing w:before="100" w:beforeAutospacing="1"/>
        <w:rPr>
          <w:sz w:val="18"/>
          <w:szCs w:val="18"/>
        </w:rPr>
      </w:pPr>
    </w:p>
    <w:p w14:paraId="035CA476" w14:textId="77777777" w:rsidR="000B2222" w:rsidRDefault="00000000">
      <w:pPr>
        <w:sectPr w:rsidR="000B2222">
          <w:type w:val="continuous"/>
          <w:pgSz w:w="11906" w:h="16838"/>
          <w:pgMar w:top="450" w:right="893" w:bottom="1440" w:left="893" w:header="720" w:footer="720" w:gutter="0"/>
          <w:cols w:num="3" w:space="720"/>
          <w:docGrid w:linePitch="360"/>
        </w:sectPr>
      </w:pPr>
      <w:proofErr w:type="spellStart"/>
      <w:r>
        <w:rPr>
          <w:sz w:val="22"/>
          <w:szCs w:val="22"/>
        </w:rPr>
        <w:t>Dr.</w:t>
      </w:r>
      <w:proofErr w:type="gramStart"/>
      <w:r>
        <w:rPr>
          <w:sz w:val="22"/>
          <w:szCs w:val="22"/>
        </w:rPr>
        <w:t>B.K</w:t>
      </w:r>
      <w:proofErr w:type="spellEnd"/>
      <w:proofErr w:type="gramEnd"/>
      <w:r>
        <w:rPr>
          <w:sz w:val="22"/>
          <w:szCs w:val="22"/>
        </w:rPr>
        <w:t xml:space="preserve"> Madhavi</w:t>
      </w:r>
      <w:r>
        <w:br/>
        <w:t>Information Technology</w:t>
      </w:r>
      <w:r>
        <w:rPr>
          <w:sz w:val="18"/>
          <w:szCs w:val="18"/>
        </w:rPr>
        <w:br/>
        <w:t xml:space="preserve">Vardhaman College </w:t>
      </w:r>
      <w:proofErr w:type="gramStart"/>
      <w:r>
        <w:rPr>
          <w:sz w:val="18"/>
          <w:szCs w:val="18"/>
        </w:rPr>
        <w:t>Of</w:t>
      </w:r>
      <w:proofErr w:type="gramEnd"/>
      <w:r>
        <w:rPr>
          <w:sz w:val="18"/>
          <w:szCs w:val="18"/>
        </w:rPr>
        <w:t xml:space="preserve"> Engineering</w:t>
      </w:r>
      <w:r>
        <w:rPr>
          <w:i/>
          <w:sz w:val="18"/>
          <w:szCs w:val="18"/>
        </w:rPr>
        <w:br/>
      </w:r>
      <w:proofErr w:type="spellStart"/>
      <w:proofErr w:type="gramStart"/>
      <w:r>
        <w:rPr>
          <w:sz w:val="18"/>
          <w:szCs w:val="18"/>
        </w:rPr>
        <w:t>Hyderabad,Telangana</w:t>
      </w:r>
      <w:proofErr w:type="spellEnd"/>
      <w:proofErr w:type="gramEnd"/>
      <w:r>
        <w:rPr>
          <w:sz w:val="18"/>
          <w:szCs w:val="18"/>
        </w:rPr>
        <w:br/>
      </w:r>
      <w:hyperlink r:id="rId9" w:history="1">
        <w:r w:rsidR="000B2222">
          <w:rPr>
            <w:rStyle w:val="Hyperlink"/>
            <w:sz w:val="18"/>
            <w:szCs w:val="18"/>
          </w:rPr>
          <w:t xml:space="preserve">madhavi1593@vardhaman.org </w:t>
        </w:r>
        <w:r w:rsidR="000B2222">
          <w:rPr>
            <w:rStyle w:val="Hyperlink"/>
            <w:sz w:val="18"/>
            <w:szCs w:val="18"/>
          </w:rPr>
          <w:br w:type="column"/>
        </w:r>
      </w:hyperlink>
      <w:r>
        <w:rPr>
          <w:sz w:val="22"/>
          <w:szCs w:val="22"/>
        </w:rPr>
        <w:t>Matta Sai Koushik</w:t>
      </w:r>
      <w:r>
        <w:rPr>
          <w:sz w:val="18"/>
          <w:szCs w:val="18"/>
        </w:rPr>
        <w:br/>
      </w:r>
      <w:r>
        <w:t>Information Technology</w:t>
      </w:r>
      <w:r>
        <w:rPr>
          <w:sz w:val="18"/>
          <w:szCs w:val="18"/>
        </w:rPr>
        <w:br/>
        <w:t xml:space="preserve">Vardhaman College </w:t>
      </w:r>
      <w:proofErr w:type="gramStart"/>
      <w:r>
        <w:rPr>
          <w:sz w:val="18"/>
          <w:szCs w:val="18"/>
        </w:rPr>
        <w:t>Of</w:t>
      </w:r>
      <w:proofErr w:type="gramEnd"/>
      <w:r>
        <w:rPr>
          <w:sz w:val="18"/>
          <w:szCs w:val="18"/>
        </w:rPr>
        <w:t xml:space="preserve"> Engineering</w:t>
      </w:r>
      <w:r>
        <w:rPr>
          <w:i/>
          <w:sz w:val="18"/>
          <w:szCs w:val="18"/>
        </w:rPr>
        <w:br/>
      </w:r>
      <w:proofErr w:type="spellStart"/>
      <w:proofErr w:type="gramStart"/>
      <w:r>
        <w:rPr>
          <w:sz w:val="18"/>
          <w:szCs w:val="18"/>
        </w:rPr>
        <w:t>Hyderabad,Telangana</w:t>
      </w:r>
      <w:proofErr w:type="spellEnd"/>
      <w:proofErr w:type="gramEnd"/>
      <w:r>
        <w:rPr>
          <w:sz w:val="18"/>
          <w:szCs w:val="18"/>
        </w:rPr>
        <w:br/>
        <w:t>saikoushik965@gmail.com</w:t>
      </w:r>
    </w:p>
    <w:p w14:paraId="141DE32A" w14:textId="77777777" w:rsidR="000B2222" w:rsidRDefault="00000000">
      <w:pPr>
        <w:rPr>
          <w:sz w:val="22"/>
          <w:szCs w:val="22"/>
        </w:rPr>
        <w:sectPr w:rsidR="000B2222">
          <w:type w:val="continuous"/>
          <w:pgSz w:w="11906" w:h="16838"/>
          <w:pgMar w:top="450" w:right="893" w:bottom="1440" w:left="893" w:header="720" w:footer="720" w:gutter="0"/>
          <w:cols w:num="3" w:space="720"/>
          <w:docGrid w:linePitch="360"/>
        </w:sectPr>
      </w:pPr>
      <w:r>
        <w:rPr>
          <w:sz w:val="22"/>
          <w:szCs w:val="22"/>
        </w:rPr>
        <w:br w:type="column"/>
      </w:r>
    </w:p>
    <w:p w14:paraId="59A080BF" w14:textId="220CB884" w:rsidR="000B2222" w:rsidRDefault="00000000">
      <w:pPr>
        <w:jc w:val="both"/>
      </w:pPr>
      <w:r>
        <w:rPr>
          <w:i/>
          <w:iCs/>
        </w:rPr>
        <w:t>Abstract</w:t>
      </w:r>
      <w:proofErr w:type="gramStart"/>
      <w:r>
        <w:t xml:space="preserve">—  </w:t>
      </w:r>
      <w:r w:rsidR="00C52A53" w:rsidRPr="00C52A53">
        <w:t>Lymph</w:t>
      </w:r>
      <w:proofErr w:type="gramEnd"/>
      <w:r w:rsidR="00C52A53" w:rsidRPr="00C52A53">
        <w:t xml:space="preserve"> node metastasis detection is a crucial task in the diagnosis and treatment of pancreatic ductal adenocarcinoma (PDAC). Although histopathological examination is the most reliable method for the time being, it is a time-consuming and error-prone process, especially when the metastasis is not visible. In this regard, this paper presents a novel deep learning solution that integrates a residual neural network (</w:t>
      </w:r>
      <w:proofErr w:type="spellStart"/>
      <w:r w:rsidR="00C52A53" w:rsidRPr="00C52A53">
        <w:t>ResNet</w:t>
      </w:r>
      <w:proofErr w:type="spellEnd"/>
      <w:r w:rsidR="00C52A53" w:rsidRPr="00C52A53">
        <w:t xml:space="preserve">) and an attention mechanism for lymph node metastasis detection. The proposed </w:t>
      </w:r>
      <w:proofErr w:type="spellStart"/>
      <w:r w:rsidR="00C52A53" w:rsidRPr="00C52A53">
        <w:t>ResNet</w:t>
      </w:r>
      <w:proofErr w:type="spellEnd"/>
      <w:r w:rsidR="00C52A53" w:rsidRPr="00C52A53">
        <w:t xml:space="preserve"> model allows the hierarchical representation of features, and the attention mechanism allows the dynamic learning of the most informative parts of medical images for diagnosis. The experimental results show that the proposed solution can improve the accuracy and sensitivity of classification problems compared with traditional convolutional neural networks. The experimental results confirm that the attention-driven learning method can improve the reliability and interpretability of the model, which has a great potential application as a decision-support system for PDAC diagnosis and treatment.</w:t>
      </w:r>
    </w:p>
    <w:p w14:paraId="7D780BF4" w14:textId="77777777" w:rsidR="000B2222" w:rsidRDefault="000B2222">
      <w:pPr>
        <w:pStyle w:val="Abstract"/>
        <w:rPr>
          <w:b w:val="0"/>
          <w:bCs w:val="0"/>
          <w:lang w:val="en-IN"/>
        </w:rPr>
      </w:pPr>
    </w:p>
    <w:p w14:paraId="016F976A" w14:textId="77777777" w:rsidR="000B2222" w:rsidRDefault="00000000">
      <w:pPr>
        <w:pStyle w:val="Abstract"/>
        <w:ind w:firstLine="0"/>
        <w:rPr>
          <w:b w:val="0"/>
          <w:bCs w:val="0"/>
          <w:lang w:val="en-IN"/>
        </w:rPr>
      </w:pPr>
      <w:r>
        <w:t>Keywords</w:t>
      </w:r>
      <w:r>
        <w:rPr>
          <w:b w:val="0"/>
          <w:bCs w:val="0"/>
        </w:rPr>
        <w:t xml:space="preserve">— Pancreatic ductal adenocarcinoma, Lymph node metastasis, Deep learning, </w:t>
      </w:r>
      <w:proofErr w:type="spellStart"/>
      <w:r>
        <w:rPr>
          <w:b w:val="0"/>
          <w:bCs w:val="0"/>
        </w:rPr>
        <w:t>ResNet</w:t>
      </w:r>
      <w:proofErr w:type="spellEnd"/>
      <w:r>
        <w:rPr>
          <w:b w:val="0"/>
          <w:bCs w:val="0"/>
        </w:rPr>
        <w:t>, Attention mechanism</w:t>
      </w:r>
    </w:p>
    <w:p w14:paraId="31107614" w14:textId="77777777" w:rsidR="000B2222" w:rsidRDefault="00000000">
      <w:pPr>
        <w:pStyle w:val="Abstract"/>
        <w:rPr>
          <w:b w:val="0"/>
          <w:bCs w:val="0"/>
          <w:sz w:val="22"/>
          <w:szCs w:val="22"/>
        </w:rPr>
      </w:pPr>
      <w:r>
        <w:rPr>
          <w:b w:val="0"/>
          <w:bCs w:val="0"/>
          <w:sz w:val="22"/>
          <w:szCs w:val="22"/>
        </w:rPr>
        <w:t xml:space="preserve">                       I. INTRODUCTION</w:t>
      </w:r>
    </w:p>
    <w:p w14:paraId="01DF7ACE" w14:textId="4C9A2386" w:rsidR="000B2222" w:rsidRPr="00C52A53" w:rsidRDefault="00275047" w:rsidP="00C52A53">
      <w:pPr>
        <w:pStyle w:val="Abstract"/>
        <w:ind w:firstLine="0"/>
        <w:rPr>
          <w:b w:val="0"/>
          <w:bCs w:val="0"/>
          <w:lang w:val="en-IN"/>
        </w:rPr>
      </w:pPr>
      <w:r w:rsidRPr="00275047">
        <w:rPr>
          <w:b w:val="0"/>
          <w:bCs w:val="0"/>
        </w:rPr>
        <w:t xml:space="preserve">Pancreatic ductal adenocarcinoma (PDAC) is one of the most aggressive and deadly gastrointestinal cancers due to the fast growth of the tumor and the consequential delays in </w:t>
      </w:r>
      <w:r w:rsidRPr="00275047">
        <w:rPr>
          <w:b w:val="0"/>
          <w:bCs w:val="0"/>
          <w:u w:val="single"/>
        </w:rPr>
        <w:t xml:space="preserve">the </w:t>
      </w:r>
      <w:r w:rsidRPr="00275047">
        <w:rPr>
          <w:b w:val="0"/>
          <w:bCs w:val="0"/>
        </w:rPr>
        <w:t xml:space="preserve">diagnosis. The presence of cancer cells in lymph nodes is essential for determining cancer stage, prognosis, and treatment, thus accurate detection is crucial for making the right decisions. Histopathological examination of lymph nodes is based on a commonly used protocol; however, it is </w:t>
      </w:r>
      <w:r w:rsidRPr="00275047">
        <w:rPr>
          <w:b w:val="0"/>
          <w:bCs w:val="0"/>
          <w:u w:val="single"/>
        </w:rPr>
        <w:t xml:space="preserve">time, consuming </w:t>
      </w:r>
      <w:r w:rsidRPr="00275047">
        <w:rPr>
          <w:b w:val="0"/>
          <w:bCs w:val="0"/>
        </w:rPr>
        <w:t xml:space="preserve">and can be </w:t>
      </w:r>
      <w:r w:rsidRPr="00275047">
        <w:rPr>
          <w:b w:val="0"/>
          <w:bCs w:val="0"/>
          <w:u w:val="single"/>
        </w:rPr>
        <w:t xml:space="preserve">inconsistent </w:t>
      </w:r>
      <w:r w:rsidRPr="00275047">
        <w:rPr>
          <w:b w:val="0"/>
          <w:bCs w:val="0"/>
        </w:rPr>
        <w:t xml:space="preserve">especially with very small metastases. With the </w:t>
      </w:r>
      <w:r w:rsidRPr="00275047">
        <w:rPr>
          <w:b w:val="0"/>
          <w:bCs w:val="0"/>
          <w:u w:val="single"/>
        </w:rPr>
        <w:t xml:space="preserve">ever, increasing </w:t>
      </w:r>
      <w:r w:rsidRPr="00275047">
        <w:rPr>
          <w:b w:val="0"/>
          <w:bCs w:val="0"/>
        </w:rPr>
        <w:t xml:space="preserve">availability of digitized pathology and medical imaging data, </w:t>
      </w:r>
      <w:r w:rsidRPr="00275047">
        <w:rPr>
          <w:b w:val="0"/>
          <w:bCs w:val="0"/>
          <w:u w:val="single"/>
        </w:rPr>
        <w:t xml:space="preserve">computer, aided </w:t>
      </w:r>
      <w:r w:rsidRPr="00275047">
        <w:rPr>
          <w:b w:val="0"/>
          <w:bCs w:val="0"/>
        </w:rPr>
        <w:t xml:space="preserve">diagnostic systems are becoming an interesting option. Deep learning models, notably residual neural networks, have been highly successful in identifying characteristic features of complex biomedical images. In addition, attention mechanisms improve the classification accuracy by allowing the models to pay attention to the regions of interest. This article presents a proposal for an </w:t>
      </w:r>
      <w:r w:rsidRPr="00275047">
        <w:rPr>
          <w:b w:val="0"/>
          <w:bCs w:val="0"/>
          <w:u w:val="single"/>
        </w:rPr>
        <w:t xml:space="preserve">attention, augmented </w:t>
      </w:r>
      <w:proofErr w:type="spellStart"/>
      <w:r w:rsidRPr="00275047">
        <w:rPr>
          <w:b w:val="0"/>
          <w:bCs w:val="0"/>
        </w:rPr>
        <w:t>ResNet</w:t>
      </w:r>
      <w:proofErr w:type="spellEnd"/>
      <w:r w:rsidRPr="00275047">
        <w:rPr>
          <w:b w:val="0"/>
          <w:bCs w:val="0"/>
        </w:rPr>
        <w:t xml:space="preserve"> to enhance the detection of lymph node metastasis in PDAC.</w:t>
      </w:r>
    </w:p>
    <w:p w14:paraId="7576DA7E" w14:textId="77777777" w:rsidR="000B2222" w:rsidRDefault="00000000">
      <w:pPr>
        <w:pStyle w:val="Heading1"/>
        <w:numPr>
          <w:ilvl w:val="0"/>
          <w:numId w:val="0"/>
        </w:numPr>
        <w:jc w:val="both"/>
        <w:rPr>
          <w:sz w:val="22"/>
          <w:szCs w:val="22"/>
        </w:rPr>
      </w:pPr>
      <w:r>
        <w:rPr>
          <w:smallCaps w:val="0"/>
        </w:rPr>
        <w:tab/>
      </w:r>
      <w:r>
        <w:rPr>
          <w:smallCaps w:val="0"/>
        </w:rPr>
        <w:tab/>
      </w:r>
      <w:r>
        <w:rPr>
          <w:smallCaps w:val="0"/>
        </w:rPr>
        <w:tab/>
      </w:r>
      <w:r>
        <w:rPr>
          <w:smallCaps w:val="0"/>
        </w:rPr>
        <w:tab/>
      </w:r>
      <w:r>
        <w:rPr>
          <w:sz w:val="22"/>
          <w:szCs w:val="22"/>
        </w:rPr>
        <w:t>II. BACKGROUND</w:t>
      </w:r>
    </w:p>
    <w:p w14:paraId="316A9BBA" w14:textId="77777777" w:rsidR="00275047" w:rsidRDefault="00275047" w:rsidP="00275047">
      <w:pPr>
        <w:spacing w:before="100" w:beforeAutospacing="1" w:after="100" w:afterAutospacing="1"/>
        <w:jc w:val="both"/>
        <w:rPr>
          <w:sz w:val="22"/>
          <w:szCs w:val="22"/>
        </w:rPr>
      </w:pPr>
      <w:r w:rsidRPr="00275047">
        <w:t xml:space="preserve">Lymph node metastasis is a major factor governing the overall prognosis of pancreatic ductal adenocarcinoma (PDAC). Mainly, metastatic lymph nodes are determined by microscopic examination of histopathological images by expert pathologists. Although this method is accurate, it has the </w:t>
      </w:r>
      <w:r w:rsidRPr="00275047">
        <w:rPr>
          <w:u w:val="single"/>
        </w:rPr>
        <w:t xml:space="preserve">disadvantages </w:t>
      </w:r>
      <w:r w:rsidRPr="00275047">
        <w:t xml:space="preserve">of being slow and </w:t>
      </w:r>
      <w:r w:rsidRPr="00275047">
        <w:rPr>
          <w:u w:val="single"/>
        </w:rPr>
        <w:t xml:space="preserve">subjective </w:t>
      </w:r>
      <w:r w:rsidRPr="00275047">
        <w:t xml:space="preserve">especially </w:t>
      </w:r>
      <w:r w:rsidRPr="00275047">
        <w:rPr>
          <w:u w:val="single"/>
        </w:rPr>
        <w:t xml:space="preserve">if one is to detect </w:t>
      </w:r>
      <w:proofErr w:type="spellStart"/>
      <w:r w:rsidRPr="00275047">
        <w:t>micrometastases</w:t>
      </w:r>
      <w:proofErr w:type="spellEnd"/>
      <w:r w:rsidRPr="00275047">
        <w:t xml:space="preserve">. A few years ago, computational pathology and deep learning technology facilitated automated medical image analysis. </w:t>
      </w:r>
      <w:r w:rsidRPr="00275047">
        <w:rPr>
          <w:u w:val="single"/>
        </w:rPr>
        <w:t xml:space="preserve">CNNs </w:t>
      </w:r>
      <w:r w:rsidRPr="00275047">
        <w:t xml:space="preserve">have greatly contributed to the classification and detection of various </w:t>
      </w:r>
      <w:r w:rsidRPr="00275047">
        <w:rPr>
          <w:u w:val="single"/>
        </w:rPr>
        <w:t xml:space="preserve">cancers </w:t>
      </w:r>
      <w:r w:rsidRPr="00275047">
        <w:t xml:space="preserve">as they can interpret highly complex visual features. </w:t>
      </w:r>
      <w:proofErr w:type="spellStart"/>
      <w:r w:rsidRPr="00275047">
        <w:t>ResNet</w:t>
      </w:r>
      <w:proofErr w:type="spellEnd"/>
      <w:r w:rsidRPr="00275047">
        <w:t xml:space="preserve"> models are the most popular ones in the </w:t>
      </w:r>
      <w:proofErr w:type="spellStart"/>
      <w:r w:rsidRPr="00275047">
        <w:t>ResNet</w:t>
      </w:r>
      <w:proofErr w:type="spellEnd"/>
      <w:r w:rsidRPr="00275047">
        <w:t xml:space="preserve"> </w:t>
      </w:r>
      <w:r w:rsidRPr="00275047">
        <w:rPr>
          <w:u w:val="single"/>
        </w:rPr>
        <w:t xml:space="preserve">family </w:t>
      </w:r>
      <w:r w:rsidRPr="00275047">
        <w:t>as residual learning of networks allow</w:t>
      </w:r>
      <w:r w:rsidRPr="00275047">
        <w:rPr>
          <w:u w:val="single"/>
        </w:rPr>
        <w:t>s tr</w:t>
      </w:r>
      <w:r w:rsidRPr="00275047">
        <w:t xml:space="preserve">aining of deeper architectures. However, basic CNN models uniformly process all spatial </w:t>
      </w:r>
      <w:r w:rsidRPr="00275047">
        <w:rPr>
          <w:u w:val="single"/>
        </w:rPr>
        <w:t xml:space="preserve">locations </w:t>
      </w:r>
      <w:r w:rsidRPr="00275047">
        <w:t xml:space="preserve">which might hinder their capability to focus on the most relevant regions. Attention mechanisms solve this problem by assigning different weights to informative image regions. Thus, </w:t>
      </w:r>
      <w:r w:rsidRPr="00275047">
        <w:rPr>
          <w:u w:val="single"/>
        </w:rPr>
        <w:t xml:space="preserve">attention, based </w:t>
      </w:r>
      <w:r w:rsidRPr="00275047">
        <w:t xml:space="preserve">methods can enhance the accuracy and </w:t>
      </w:r>
      <w:r w:rsidRPr="00275047">
        <w:rPr>
          <w:u w:val="single"/>
        </w:rPr>
        <w:t xml:space="preserve">the </w:t>
      </w:r>
      <w:r w:rsidRPr="00275047">
        <w:t xml:space="preserve">interpretation of oncological image analysis by guiding the model to pathological </w:t>
      </w:r>
      <w:r w:rsidRPr="00275047">
        <w:rPr>
          <w:u w:val="single"/>
        </w:rPr>
        <w:t>area(s).</w:t>
      </w:r>
      <w:r w:rsidRPr="00275047">
        <w:t xml:space="preserve"> Therefore, attention mechanisms have been combined with </w:t>
      </w:r>
      <w:proofErr w:type="spellStart"/>
      <w:r w:rsidRPr="00275047">
        <w:t>ResNet</w:t>
      </w:r>
      <w:proofErr w:type="spellEnd"/>
      <w:r w:rsidRPr="00275047">
        <w:t xml:space="preserve"> models to enhance the detection of lymph node metastasis in pancreatic ductal adenocarcinoma.</w:t>
      </w:r>
      <w:r w:rsidR="00C52A53">
        <w:rPr>
          <w:sz w:val="22"/>
          <w:szCs w:val="22"/>
        </w:rPr>
        <w:t xml:space="preserve">        </w:t>
      </w:r>
      <w:r w:rsidR="00000000">
        <w:rPr>
          <w:sz w:val="22"/>
          <w:szCs w:val="22"/>
        </w:rPr>
        <w:t xml:space="preserve"> </w:t>
      </w:r>
      <w:r w:rsidR="00C52A53">
        <w:rPr>
          <w:sz w:val="22"/>
          <w:szCs w:val="22"/>
        </w:rPr>
        <w:t xml:space="preserve">     </w:t>
      </w:r>
    </w:p>
    <w:p w14:paraId="17CF94B4" w14:textId="2B4CE736" w:rsidR="000B2222" w:rsidRPr="00C52A53" w:rsidRDefault="00275047" w:rsidP="00275047">
      <w:pPr>
        <w:spacing w:before="100" w:beforeAutospacing="1" w:after="100" w:afterAutospacing="1"/>
        <w:ind w:left="720"/>
        <w:jc w:val="left"/>
        <w:rPr>
          <w:sz w:val="22"/>
          <w:szCs w:val="22"/>
        </w:rPr>
      </w:pPr>
      <w:r>
        <w:rPr>
          <w:sz w:val="22"/>
          <w:szCs w:val="22"/>
        </w:rPr>
        <w:t xml:space="preserve">        </w:t>
      </w:r>
      <w:r w:rsidR="004E6CD8">
        <w:rPr>
          <w:sz w:val="22"/>
          <w:szCs w:val="22"/>
        </w:rPr>
        <w:t xml:space="preserve">   </w:t>
      </w:r>
      <w:r>
        <w:rPr>
          <w:sz w:val="22"/>
          <w:szCs w:val="22"/>
        </w:rPr>
        <w:t xml:space="preserve"> </w:t>
      </w:r>
      <w:r w:rsidR="00000000">
        <w:rPr>
          <w:sz w:val="22"/>
          <w:szCs w:val="22"/>
        </w:rPr>
        <w:t>III.PROPOSED WORK</w:t>
      </w:r>
    </w:p>
    <w:p w14:paraId="16352E53" w14:textId="34DC4C60" w:rsidR="00617C4F" w:rsidRPr="00617C4F" w:rsidRDefault="00BE4E0F" w:rsidP="00617C4F">
      <w:pPr>
        <w:pStyle w:val="bulletlist"/>
        <w:numPr>
          <w:ilvl w:val="0"/>
          <w:numId w:val="0"/>
        </w:numPr>
        <w:rPr>
          <w:lang w:val="en-IN"/>
        </w:rPr>
      </w:pPr>
      <w:r w:rsidRPr="00BE4E0F">
        <w:rPr>
          <w:lang w:val="en-US"/>
        </w:rPr>
        <w:t xml:space="preserve">This paper proposes an automated method to predict the presence of </w:t>
      </w:r>
      <w:r w:rsidRPr="00BE4E0F">
        <w:rPr>
          <w:u w:val="single"/>
          <w:lang w:val="en-US"/>
        </w:rPr>
        <w:t xml:space="preserve">LNM </w:t>
      </w:r>
      <w:r w:rsidRPr="00BE4E0F">
        <w:rPr>
          <w:lang w:val="en-US"/>
        </w:rPr>
        <w:t xml:space="preserve">in pancreatic ductal adenocarcinoma (PDAC). This method uses a deep learning technique in combination with the attention mechanism and residual network. The medical image dataset is preprocessed to improve the robustness of the proposed method. The preprocessing of the medical image dataset involves normalization and resizing of </w:t>
      </w:r>
      <w:r w:rsidRPr="00BE4E0F">
        <w:rPr>
          <w:u w:val="single"/>
          <w:lang w:val="en-US"/>
        </w:rPr>
        <w:t xml:space="preserve">images </w:t>
      </w:r>
      <w:r w:rsidRPr="00BE4E0F">
        <w:rPr>
          <w:lang w:val="en-US"/>
        </w:rPr>
        <w:t xml:space="preserve">along with data augmentation. The residual network acts as the base of the proposed method to enable the efficient learning of high-level features and avoid the vanishing gradient problem. Additionally, the attention mechanism is used to improve the localization of features and focus on the region of interest while discarding irrelevant background features. The </w:t>
      </w:r>
      <w:r w:rsidRPr="00BE4E0F">
        <w:rPr>
          <w:lang w:val="en-US"/>
        </w:rPr>
        <w:lastRenderedPageBreak/>
        <w:t xml:space="preserve">proposed method is trained to classify between metastatic and non-metastatic lymph nodes. The proposed method achieves better results compared to CNN models in terms of accuracy and </w:t>
      </w:r>
      <w:r w:rsidRPr="00BE4E0F">
        <w:rPr>
          <w:u w:val="single"/>
          <w:lang w:val="en-US"/>
        </w:rPr>
        <w:t xml:space="preserve">interpretability </w:t>
      </w:r>
      <w:r w:rsidRPr="00BE4E0F">
        <w:rPr>
          <w:lang w:val="en-US"/>
        </w:rPr>
        <w:t>and can be used for preoperative PDAC diagnosis and treatment.</w:t>
      </w:r>
    </w:p>
    <w:p w14:paraId="3CF3E893" w14:textId="6EE3CD57" w:rsidR="000B2222" w:rsidRDefault="00000000">
      <w:pPr>
        <w:pStyle w:val="bulletlist"/>
        <w:numPr>
          <w:ilvl w:val="0"/>
          <w:numId w:val="0"/>
        </w:numPr>
        <w:ind w:left="576" w:hanging="288"/>
        <w:rPr>
          <w:lang w:val="en-US"/>
        </w:rPr>
      </w:pPr>
      <w:r>
        <w:rPr>
          <w:noProof/>
          <w:lang w:val="en-US" w:eastAsia="en-US"/>
        </w:rPr>
        <w:drawing>
          <wp:inline distT="0" distB="0" distL="0" distR="0" wp14:anchorId="63B36DAB" wp14:editId="75833054">
            <wp:extent cx="2757170" cy="1537335"/>
            <wp:effectExtent l="0" t="0" r="5080" b="5715"/>
            <wp:docPr id="1750759029" name="Picture 2" descr="ResNet-50 architecture for brain age regression with atten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59029" name="Picture 2" descr="ResNet-50 architecture for brain age regression with attention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73195" cy="1546173"/>
                    </a:xfrm>
                    <a:prstGeom prst="rect">
                      <a:avLst/>
                    </a:prstGeom>
                    <a:noFill/>
                    <a:ln>
                      <a:noFill/>
                    </a:ln>
                  </pic:spPr>
                </pic:pic>
              </a:graphicData>
            </a:graphic>
          </wp:inline>
        </w:drawing>
      </w:r>
    </w:p>
    <w:p w14:paraId="742E3407" w14:textId="77777777" w:rsidR="000B2222" w:rsidRDefault="00000000">
      <w:pPr>
        <w:pStyle w:val="bulletlist"/>
        <w:numPr>
          <w:ilvl w:val="0"/>
          <w:numId w:val="0"/>
        </w:numPr>
        <w:ind w:left="576" w:hanging="288"/>
      </w:pPr>
      <w:r>
        <w:rPr>
          <w:noProof/>
          <w:lang w:val="en-US" w:eastAsia="en-US"/>
        </w:rPr>
        <w:drawing>
          <wp:inline distT="0" distB="0" distL="0" distR="0" wp14:anchorId="44E20658" wp14:editId="5044954E">
            <wp:extent cx="2761302" cy="1403350"/>
            <wp:effectExtent l="0" t="0" r="1270" b="6350"/>
            <wp:docPr id="200437388" name="Picture 3" descr="ResGDANet: An Efficient Residual Group Attention Neural Net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37388" name="Picture 3" descr="ResGDANet: An Efficient Residual Group Attention Neural Network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781087" cy="1413405"/>
                    </a:xfrm>
                    <a:prstGeom prst="rect">
                      <a:avLst/>
                    </a:prstGeom>
                    <a:noFill/>
                    <a:ln>
                      <a:noFill/>
                    </a:ln>
                  </pic:spPr>
                </pic:pic>
              </a:graphicData>
            </a:graphic>
          </wp:inline>
        </w:drawing>
      </w:r>
    </w:p>
    <w:p w14:paraId="2B8EEE93" w14:textId="77777777" w:rsidR="000B2222" w:rsidRDefault="000B2222">
      <w:pPr>
        <w:pStyle w:val="bulletlist"/>
        <w:numPr>
          <w:ilvl w:val="0"/>
          <w:numId w:val="0"/>
        </w:numPr>
        <w:ind w:left="576" w:hanging="288"/>
      </w:pPr>
    </w:p>
    <w:p w14:paraId="256344F6" w14:textId="77777777" w:rsidR="000B2222" w:rsidRPr="00FC72DB" w:rsidRDefault="000B2222" w:rsidP="00FC72DB">
      <w:pPr>
        <w:pStyle w:val="bulletlist"/>
        <w:numPr>
          <w:ilvl w:val="0"/>
          <w:numId w:val="0"/>
        </w:numPr>
        <w:rPr>
          <w:lang w:val="en-US"/>
        </w:rPr>
      </w:pPr>
    </w:p>
    <w:p w14:paraId="6C5956C0" w14:textId="77777777" w:rsidR="000B2222" w:rsidRDefault="000B2222">
      <w:pPr>
        <w:pStyle w:val="bulletlist"/>
        <w:numPr>
          <w:ilvl w:val="0"/>
          <w:numId w:val="0"/>
        </w:numPr>
        <w:ind w:left="576" w:hanging="288"/>
      </w:pPr>
    </w:p>
    <w:p w14:paraId="3A61E53B" w14:textId="77777777" w:rsidR="000B2222" w:rsidRDefault="000B2222">
      <w:pPr>
        <w:pStyle w:val="bulletlist"/>
        <w:numPr>
          <w:ilvl w:val="0"/>
          <w:numId w:val="0"/>
        </w:numPr>
        <w:ind w:left="576" w:hanging="288"/>
      </w:pPr>
    </w:p>
    <w:p w14:paraId="58A3EE69" w14:textId="7C185757" w:rsidR="000B2222" w:rsidRDefault="00000000">
      <w:pPr>
        <w:pStyle w:val="bulletlist"/>
        <w:numPr>
          <w:ilvl w:val="0"/>
          <w:numId w:val="0"/>
        </w:numPr>
        <w:ind w:left="576" w:hanging="288"/>
        <w:rPr>
          <w:sz w:val="22"/>
          <w:szCs w:val="22"/>
        </w:rPr>
      </w:pPr>
      <w:r>
        <w:tab/>
      </w:r>
      <w:r>
        <w:tab/>
      </w:r>
      <w:r>
        <w:rPr>
          <w:lang w:val="en-IN"/>
        </w:rPr>
        <w:t xml:space="preserve">  </w:t>
      </w:r>
      <w:r w:rsidR="004E6CD8">
        <w:rPr>
          <w:lang w:val="en-US"/>
        </w:rPr>
        <w:t xml:space="preserve">     </w:t>
      </w:r>
      <w:r>
        <w:rPr>
          <w:sz w:val="22"/>
          <w:szCs w:val="22"/>
        </w:rPr>
        <w:t>IV. EXPERIMENT SETUP</w:t>
      </w:r>
    </w:p>
    <w:p w14:paraId="23FE1427" w14:textId="77777777" w:rsidR="000B2222" w:rsidRDefault="000B2222">
      <w:pPr>
        <w:pStyle w:val="bulletlist"/>
        <w:numPr>
          <w:ilvl w:val="0"/>
          <w:numId w:val="0"/>
        </w:numPr>
        <w:ind w:left="576" w:hanging="288"/>
      </w:pPr>
    </w:p>
    <w:p w14:paraId="6557E61F" w14:textId="77777777" w:rsidR="000B2222" w:rsidRDefault="00000000">
      <w:pPr>
        <w:pStyle w:val="bulletlist"/>
        <w:numPr>
          <w:ilvl w:val="0"/>
          <w:numId w:val="8"/>
        </w:numPr>
        <w:rPr>
          <w:sz w:val="18"/>
          <w:szCs w:val="18"/>
        </w:rPr>
      </w:pPr>
      <w:r>
        <w:rPr>
          <w:sz w:val="18"/>
          <w:szCs w:val="18"/>
          <w:lang w:val="en-US"/>
        </w:rPr>
        <w:t>DATASET</w:t>
      </w:r>
    </w:p>
    <w:p w14:paraId="3F948138" w14:textId="5A48730A" w:rsidR="002278F7" w:rsidRDefault="004E6CD8" w:rsidP="004E6CD8">
      <w:pPr>
        <w:pStyle w:val="bulletlist"/>
        <w:numPr>
          <w:ilvl w:val="0"/>
          <w:numId w:val="0"/>
        </w:numPr>
        <w:rPr>
          <w:lang w:val="en-IN"/>
        </w:rPr>
      </w:pPr>
      <w:r w:rsidRPr="004E6CD8">
        <w:rPr>
          <w:rFonts w:eastAsia="Times New Roman"/>
          <w:spacing w:val="0"/>
          <w:lang w:val="en-US" w:eastAsia="en-IN"/>
        </w:rPr>
        <w:t xml:space="preserve">For this research, contrast-enhanced computed tomography (CT) scans of patient cases of pancreatic ductal adenocarcinoma (PDAC) are used. These patient cases are obtained from publicly accessible medical image resources. The main dataset used in this research is images of patient cases of metastatic and non-metastatic abdominal computed tomography scans. These images are obtained during the venous </w:t>
      </w:r>
      <w:r w:rsidRPr="004E6CD8">
        <w:rPr>
          <w:rFonts w:eastAsia="Times New Roman"/>
          <w:spacing w:val="0"/>
          <w:u w:val="single"/>
          <w:lang w:val="en-US" w:eastAsia="en-IN"/>
        </w:rPr>
        <w:t>phase.</w:t>
      </w:r>
    </w:p>
    <w:p w14:paraId="3F2E18C9" w14:textId="5CF2A7C2" w:rsidR="002278F7" w:rsidRPr="002278F7" w:rsidRDefault="002278F7" w:rsidP="002278F7">
      <w:pPr>
        <w:pStyle w:val="bulletlist"/>
        <w:numPr>
          <w:ilvl w:val="0"/>
          <w:numId w:val="0"/>
        </w:numPr>
        <w:ind w:left="888"/>
        <w:rPr>
          <w:b/>
          <w:bCs/>
          <w:sz w:val="18"/>
          <w:szCs w:val="18"/>
          <w:lang w:val="en-IN"/>
        </w:rPr>
      </w:pPr>
      <w:r>
        <w:rPr>
          <w:b/>
          <w:bCs/>
          <w:sz w:val="18"/>
          <w:szCs w:val="18"/>
          <w:lang w:val="en-IN"/>
        </w:rPr>
        <w:t>Dataset Distribution:</w:t>
      </w:r>
    </w:p>
    <w:p w14:paraId="6679AFE2" w14:textId="77777777" w:rsidR="002278F7" w:rsidRDefault="002278F7" w:rsidP="002278F7">
      <w:pPr>
        <w:pStyle w:val="bulletlist"/>
        <w:numPr>
          <w:ilvl w:val="0"/>
          <w:numId w:val="0"/>
        </w:numPr>
        <w:ind w:left="888"/>
        <w:rPr>
          <w:lang w:val="en-IN"/>
        </w:rPr>
      </w:pPr>
      <w:r>
        <w:rPr>
          <w:lang w:val="en-IN"/>
        </w:rPr>
        <w:t>Class label</w:t>
      </w:r>
      <w:r>
        <w:rPr>
          <w:lang w:val="en-IN"/>
        </w:rPr>
        <w:tab/>
      </w:r>
      <w:proofErr w:type="spellStart"/>
      <w:r>
        <w:rPr>
          <w:lang w:val="en-IN"/>
        </w:rPr>
        <w:t>No.of</w:t>
      </w:r>
      <w:proofErr w:type="spellEnd"/>
      <w:r>
        <w:rPr>
          <w:lang w:val="en-IN"/>
        </w:rPr>
        <w:t xml:space="preserve"> images</w:t>
      </w:r>
    </w:p>
    <w:p w14:paraId="655D5B46" w14:textId="48F065B3" w:rsidR="002278F7" w:rsidRDefault="002278F7" w:rsidP="002278F7">
      <w:pPr>
        <w:pStyle w:val="bulletlist"/>
        <w:numPr>
          <w:ilvl w:val="0"/>
          <w:numId w:val="0"/>
        </w:numPr>
        <w:ind w:left="888"/>
        <w:rPr>
          <w:lang w:val="en-IN"/>
        </w:rPr>
      </w:pPr>
      <w:r>
        <w:rPr>
          <w:lang w:val="en-IN"/>
        </w:rPr>
        <w:t>cancer</w:t>
      </w:r>
      <w:r>
        <w:rPr>
          <w:lang w:val="en-IN"/>
        </w:rPr>
        <w:tab/>
        <w:t xml:space="preserve">              6000</w:t>
      </w:r>
    </w:p>
    <w:p w14:paraId="49837508" w14:textId="77777777" w:rsidR="002278F7" w:rsidRDefault="002278F7" w:rsidP="002278F7">
      <w:pPr>
        <w:pStyle w:val="bulletlist"/>
        <w:numPr>
          <w:ilvl w:val="0"/>
          <w:numId w:val="0"/>
        </w:numPr>
        <w:ind w:left="888"/>
        <w:rPr>
          <w:lang w:val="en-IN"/>
        </w:rPr>
      </w:pPr>
      <w:r>
        <w:rPr>
          <w:lang w:val="en-IN"/>
        </w:rPr>
        <w:t>normal</w:t>
      </w:r>
      <w:r>
        <w:rPr>
          <w:lang w:val="en-IN"/>
        </w:rPr>
        <w:tab/>
        <w:t>6000</w:t>
      </w:r>
    </w:p>
    <w:p w14:paraId="532D7D43" w14:textId="08C7F294" w:rsidR="002278F7" w:rsidRDefault="002278F7" w:rsidP="002278F7">
      <w:pPr>
        <w:pStyle w:val="bulletlist"/>
        <w:numPr>
          <w:ilvl w:val="0"/>
          <w:numId w:val="0"/>
        </w:numPr>
        <w:ind w:left="888"/>
        <w:rPr>
          <w:lang w:val="en-IN"/>
        </w:rPr>
      </w:pPr>
      <w:r>
        <w:rPr>
          <w:lang w:val="en-IN"/>
        </w:rPr>
        <w:t xml:space="preserve">total       </w:t>
      </w:r>
      <w:r>
        <w:rPr>
          <w:lang w:val="en-IN"/>
        </w:rPr>
        <w:tab/>
        <w:t>12000</w:t>
      </w:r>
    </w:p>
    <w:p w14:paraId="4C758631" w14:textId="47E4145F" w:rsidR="00617C4F" w:rsidRPr="00617C4F" w:rsidRDefault="00BE4E0F" w:rsidP="00B01B1A">
      <w:pPr>
        <w:pStyle w:val="bulletlist"/>
        <w:numPr>
          <w:ilvl w:val="0"/>
          <w:numId w:val="0"/>
        </w:numPr>
        <w:rPr>
          <w:lang w:val="en-IN"/>
        </w:rPr>
      </w:pPr>
      <w:r w:rsidRPr="00BE4E0F">
        <w:rPr>
          <w:lang w:val="en-US"/>
        </w:rPr>
        <w:t xml:space="preserve">All images are resized to a common size and their intensity levels are standardized to standard levels. Data augmentation </w:t>
      </w:r>
      <w:r w:rsidRPr="00BE4E0F">
        <w:rPr>
          <w:u w:val="single"/>
          <w:lang w:val="en-US"/>
        </w:rPr>
        <w:t xml:space="preserve">methods </w:t>
      </w:r>
      <w:r w:rsidRPr="00BE4E0F">
        <w:rPr>
          <w:lang w:val="en-US"/>
        </w:rPr>
        <w:t xml:space="preserve">which include </w:t>
      </w:r>
      <w:r w:rsidRPr="00BE4E0F">
        <w:rPr>
          <w:u w:val="single"/>
          <w:lang w:val="en-US"/>
        </w:rPr>
        <w:t xml:space="preserve">rotation </w:t>
      </w:r>
      <w:r w:rsidRPr="00BE4E0F">
        <w:rPr>
          <w:lang w:val="en-US"/>
        </w:rPr>
        <w:t xml:space="preserve">and </w:t>
      </w:r>
      <w:r w:rsidRPr="00BE4E0F">
        <w:rPr>
          <w:u w:val="single"/>
          <w:lang w:val="en-US"/>
        </w:rPr>
        <w:t xml:space="preserve">flipping and scaling </w:t>
      </w:r>
      <w:r w:rsidRPr="00BE4E0F">
        <w:rPr>
          <w:lang w:val="en-US"/>
        </w:rPr>
        <w:t xml:space="preserve">are used to resolve the class imbalance between lymph node-positive and lymph node-negative image groups. The dataset is partitioned into </w:t>
      </w:r>
      <w:r w:rsidRPr="00BE4E0F">
        <w:rPr>
          <w:u w:val="single"/>
          <w:lang w:val="en-US"/>
        </w:rPr>
        <w:t xml:space="preserve">training and validation </w:t>
      </w:r>
      <w:r w:rsidRPr="00BE4E0F">
        <w:rPr>
          <w:lang w:val="en-US"/>
        </w:rPr>
        <w:t xml:space="preserve">and testing sets according to </w:t>
      </w:r>
      <w:r w:rsidRPr="00BE4E0F">
        <w:rPr>
          <w:u w:val="single"/>
          <w:lang w:val="en-US"/>
        </w:rPr>
        <w:t xml:space="preserve">the </w:t>
      </w:r>
      <w:r w:rsidRPr="00BE4E0F">
        <w:rPr>
          <w:lang w:val="en-US"/>
        </w:rPr>
        <w:t>80:10:10 split for the purpose of conducting unbiased evaluation.</w:t>
      </w:r>
    </w:p>
    <w:p w14:paraId="341123BB" w14:textId="77777777" w:rsidR="002278F7" w:rsidRDefault="002278F7">
      <w:pPr>
        <w:pStyle w:val="bulletlist"/>
        <w:numPr>
          <w:ilvl w:val="0"/>
          <w:numId w:val="0"/>
        </w:numPr>
        <w:ind w:left="888"/>
        <w:rPr>
          <w:b/>
          <w:bCs/>
          <w:sz w:val="18"/>
          <w:szCs w:val="18"/>
          <w:lang w:val="en-IN"/>
        </w:rPr>
      </w:pPr>
    </w:p>
    <w:p w14:paraId="3637311B" w14:textId="77777777" w:rsidR="000B2222" w:rsidRDefault="00000000">
      <w:pPr>
        <w:pStyle w:val="bulletlist"/>
        <w:numPr>
          <w:ilvl w:val="0"/>
          <w:numId w:val="8"/>
        </w:numPr>
        <w:rPr>
          <w:sz w:val="18"/>
          <w:szCs w:val="18"/>
        </w:rPr>
      </w:pPr>
      <w:r>
        <w:rPr>
          <w:sz w:val="18"/>
          <w:szCs w:val="18"/>
          <w:lang w:val="en-US"/>
        </w:rPr>
        <w:t>METHODS USED FOR EVALUATION</w:t>
      </w:r>
    </w:p>
    <w:p w14:paraId="3F7E4F59" w14:textId="77777777" w:rsidR="004E6CD8" w:rsidRDefault="00BE4E0F" w:rsidP="00BE4E0F">
      <w:pPr>
        <w:pStyle w:val="bulletlist"/>
        <w:numPr>
          <w:ilvl w:val="0"/>
          <w:numId w:val="0"/>
        </w:numPr>
        <w:rPr>
          <w:rFonts w:eastAsia="Times New Roman"/>
          <w:spacing w:val="0"/>
          <w:lang w:val="en-US" w:eastAsia="en-IN"/>
        </w:rPr>
      </w:pPr>
      <w:r w:rsidRPr="00BE4E0F">
        <w:rPr>
          <w:rFonts w:eastAsia="Times New Roman"/>
          <w:spacing w:val="0"/>
          <w:lang w:val="en-US" w:eastAsia="en-IN"/>
        </w:rPr>
        <w:t xml:space="preserve">The performance of the </w:t>
      </w:r>
      <w:proofErr w:type="spellStart"/>
      <w:r w:rsidRPr="00BE4E0F">
        <w:rPr>
          <w:rFonts w:eastAsia="Times New Roman"/>
          <w:spacing w:val="0"/>
          <w:lang w:val="en-US" w:eastAsia="en-IN"/>
        </w:rPr>
        <w:t>ResNet</w:t>
      </w:r>
      <w:proofErr w:type="spellEnd"/>
      <w:r w:rsidRPr="00BE4E0F">
        <w:rPr>
          <w:rFonts w:eastAsia="Times New Roman"/>
          <w:spacing w:val="0"/>
          <w:lang w:val="en-US" w:eastAsia="en-IN"/>
        </w:rPr>
        <w:t xml:space="preserve"> with Attention model was evaluated using different performance metrics, which ar</w:t>
      </w:r>
      <w:r w:rsidRPr="00BE4E0F">
        <w:rPr>
          <w:rFonts w:eastAsia="Times New Roman"/>
          <w:spacing w:val="0"/>
          <w:u w:val="single"/>
          <w:lang w:val="en-US" w:eastAsia="en-IN"/>
        </w:rPr>
        <w:t>e us</w:t>
      </w:r>
      <w:r w:rsidRPr="00BE4E0F">
        <w:rPr>
          <w:rFonts w:eastAsia="Times New Roman"/>
          <w:spacing w:val="0"/>
          <w:lang w:val="en-US" w:eastAsia="en-IN"/>
        </w:rPr>
        <w:t xml:space="preserve">ed for medical image analysis. The overall classification of the </w:t>
      </w:r>
      <w:proofErr w:type="spellStart"/>
      <w:r w:rsidRPr="00BE4E0F">
        <w:rPr>
          <w:rFonts w:eastAsia="Times New Roman"/>
          <w:spacing w:val="0"/>
          <w:lang w:val="en-US" w:eastAsia="en-IN"/>
        </w:rPr>
        <w:t>ResNet</w:t>
      </w:r>
      <w:proofErr w:type="spellEnd"/>
      <w:r w:rsidRPr="00BE4E0F">
        <w:rPr>
          <w:rFonts w:eastAsia="Times New Roman"/>
          <w:spacing w:val="0"/>
          <w:lang w:val="en-US" w:eastAsia="en-IN"/>
        </w:rPr>
        <w:t xml:space="preserve"> with Attention model was evaluated using the accuracy metric. The sensitivity of the model for the detection of the presence of metastasis in the lymph nodes is of prime importance. </w:t>
      </w:r>
      <w:r w:rsidRPr="00BE4E0F">
        <w:rPr>
          <w:rFonts w:eastAsia="Times New Roman"/>
          <w:spacing w:val="0"/>
          <w:u w:val="single"/>
          <w:lang w:val="en-US" w:eastAsia="en-IN"/>
        </w:rPr>
        <w:t xml:space="preserve">Hence, </w:t>
      </w:r>
      <w:r w:rsidRPr="00BE4E0F">
        <w:rPr>
          <w:rFonts w:eastAsia="Times New Roman"/>
          <w:spacing w:val="0"/>
          <w:lang w:val="en-US" w:eastAsia="en-IN"/>
        </w:rPr>
        <w:t xml:space="preserve">the sensitivity of the model was used as a metric. The specificity of the model for the detection of the absence of metastasis is also of prime importance. </w:t>
      </w:r>
      <w:r w:rsidRPr="00BE4E0F">
        <w:rPr>
          <w:rFonts w:eastAsia="Times New Roman"/>
          <w:spacing w:val="0"/>
          <w:u w:val="single"/>
          <w:lang w:val="en-US" w:eastAsia="en-IN"/>
        </w:rPr>
        <w:t xml:space="preserve">Hence, </w:t>
      </w:r>
      <w:r w:rsidRPr="00BE4E0F">
        <w:rPr>
          <w:rFonts w:eastAsia="Times New Roman"/>
          <w:spacing w:val="0"/>
          <w:lang w:val="en-US" w:eastAsia="en-IN"/>
        </w:rPr>
        <w:t>the specificity of the model was used as a metric. The precision of the model and the F1 score were used as metrics to evaluate th</w:t>
      </w:r>
      <w:r w:rsidRPr="00BE4E0F">
        <w:rPr>
          <w:rFonts w:eastAsia="Times New Roman"/>
          <w:spacing w:val="0"/>
          <w:u w:val="single"/>
          <w:lang w:val="en-US" w:eastAsia="en-IN"/>
        </w:rPr>
        <w:t>e ab</w:t>
      </w:r>
      <w:r w:rsidRPr="00BE4E0F">
        <w:rPr>
          <w:rFonts w:eastAsia="Times New Roman"/>
          <w:spacing w:val="0"/>
          <w:lang w:val="en-US" w:eastAsia="en-IN"/>
        </w:rPr>
        <w:t xml:space="preserve">ility </w:t>
      </w:r>
      <w:r w:rsidRPr="00BE4E0F">
        <w:rPr>
          <w:rFonts w:eastAsia="Times New Roman"/>
          <w:spacing w:val="0"/>
          <w:u w:val="single"/>
          <w:lang w:val="en-US" w:eastAsia="en-IN"/>
        </w:rPr>
        <w:t xml:space="preserve">of the model </w:t>
      </w:r>
      <w:r w:rsidRPr="00BE4E0F">
        <w:rPr>
          <w:rFonts w:eastAsia="Times New Roman"/>
          <w:spacing w:val="0"/>
          <w:lang w:val="en-US" w:eastAsia="en-IN"/>
        </w:rPr>
        <w:t xml:space="preserve">to strike a balance between false positives and false negatives. The Area Under the Receiver Operating Characteristic Curve was used as a metric to evaluate the discriminative ability of the model. The performance of the </w:t>
      </w:r>
      <w:proofErr w:type="spellStart"/>
      <w:r w:rsidRPr="00BE4E0F">
        <w:rPr>
          <w:rFonts w:eastAsia="Times New Roman"/>
          <w:spacing w:val="0"/>
          <w:lang w:val="en-US" w:eastAsia="en-IN"/>
        </w:rPr>
        <w:t>ResNet</w:t>
      </w:r>
      <w:proofErr w:type="spellEnd"/>
      <w:r w:rsidRPr="00BE4E0F">
        <w:rPr>
          <w:rFonts w:eastAsia="Times New Roman"/>
          <w:spacing w:val="0"/>
          <w:lang w:val="en-US" w:eastAsia="en-IN"/>
        </w:rPr>
        <w:t xml:space="preserve"> with Attention model was evaluated and compared with the baseline model, which is the </w:t>
      </w:r>
      <w:proofErr w:type="spellStart"/>
      <w:r w:rsidRPr="00BE4E0F">
        <w:rPr>
          <w:rFonts w:eastAsia="Times New Roman"/>
          <w:spacing w:val="0"/>
          <w:lang w:val="en-US" w:eastAsia="en-IN"/>
        </w:rPr>
        <w:t>ResNet</w:t>
      </w:r>
      <w:proofErr w:type="spellEnd"/>
      <w:r w:rsidRPr="00BE4E0F">
        <w:rPr>
          <w:rFonts w:eastAsia="Times New Roman"/>
          <w:spacing w:val="0"/>
          <w:lang w:val="en-US" w:eastAsia="en-IN"/>
        </w:rPr>
        <w:t xml:space="preserve"> model without the attention mechanism.</w:t>
      </w:r>
    </w:p>
    <w:p w14:paraId="4F149B25" w14:textId="2175CE76" w:rsidR="000B2222" w:rsidRDefault="00000000" w:rsidP="00BE4E0F">
      <w:pPr>
        <w:pStyle w:val="bulletlist"/>
        <w:numPr>
          <w:ilvl w:val="0"/>
          <w:numId w:val="0"/>
        </w:numPr>
        <w:rPr>
          <w:b/>
          <w:bCs/>
          <w:sz w:val="18"/>
          <w:szCs w:val="18"/>
          <w:lang w:val="en-IN"/>
        </w:rPr>
      </w:pPr>
      <w:r>
        <w:rPr>
          <w:b/>
          <w:bCs/>
          <w:sz w:val="18"/>
          <w:szCs w:val="18"/>
          <w:lang w:val="en-IN"/>
        </w:rPr>
        <w:t>Training parameters:</w:t>
      </w:r>
    </w:p>
    <w:tbl>
      <w:tblPr>
        <w:tblStyle w:val="TableGrid"/>
        <w:tblpPr w:leftFromText="180" w:rightFromText="180" w:vertAnchor="text" w:horzAnchor="margin" w:tblpXSpec="right" w:tblpY="206"/>
        <w:tblOverlap w:val="never"/>
        <w:tblW w:w="0" w:type="auto"/>
        <w:tblLook w:val="04A0" w:firstRow="1" w:lastRow="0" w:firstColumn="1" w:lastColumn="0" w:noHBand="0" w:noVBand="1"/>
      </w:tblPr>
      <w:tblGrid>
        <w:gridCol w:w="1855"/>
        <w:gridCol w:w="2369"/>
      </w:tblGrid>
      <w:tr w:rsidR="00FC72DB" w14:paraId="1626A1D7" w14:textId="77777777" w:rsidTr="00FC72DB">
        <w:tc>
          <w:tcPr>
            <w:tcW w:w="1855" w:type="dxa"/>
          </w:tcPr>
          <w:p w14:paraId="386F33BF" w14:textId="77777777" w:rsidR="00FC72DB" w:rsidRDefault="00FC72DB" w:rsidP="00FC72DB">
            <w:pPr>
              <w:pStyle w:val="bulletlist"/>
              <w:numPr>
                <w:ilvl w:val="0"/>
                <w:numId w:val="0"/>
              </w:numPr>
              <w:rPr>
                <w:b/>
                <w:bCs/>
                <w:sz w:val="18"/>
                <w:szCs w:val="18"/>
                <w:lang w:val="en-IN"/>
              </w:rPr>
            </w:pPr>
            <w:r>
              <w:rPr>
                <w:b/>
                <w:bCs/>
                <w:sz w:val="18"/>
                <w:szCs w:val="18"/>
                <w:lang w:val="en-IN"/>
              </w:rPr>
              <w:t>parameter</w:t>
            </w:r>
          </w:p>
        </w:tc>
        <w:tc>
          <w:tcPr>
            <w:tcW w:w="2369" w:type="dxa"/>
          </w:tcPr>
          <w:p w14:paraId="1D2100C1" w14:textId="77777777" w:rsidR="00FC72DB" w:rsidRDefault="00FC72DB" w:rsidP="00FC72DB">
            <w:pPr>
              <w:pStyle w:val="bulletlist"/>
              <w:numPr>
                <w:ilvl w:val="0"/>
                <w:numId w:val="0"/>
              </w:numPr>
              <w:rPr>
                <w:b/>
                <w:bCs/>
                <w:sz w:val="18"/>
                <w:szCs w:val="18"/>
                <w:lang w:val="en-IN"/>
              </w:rPr>
            </w:pPr>
            <w:r>
              <w:rPr>
                <w:b/>
                <w:bCs/>
                <w:sz w:val="18"/>
                <w:szCs w:val="18"/>
                <w:lang w:val="en-IN"/>
              </w:rPr>
              <w:t>value</w:t>
            </w:r>
          </w:p>
        </w:tc>
      </w:tr>
      <w:tr w:rsidR="00FC72DB" w14:paraId="7202B7A1" w14:textId="77777777" w:rsidTr="00FC72DB">
        <w:trPr>
          <w:trHeight w:val="335"/>
        </w:trPr>
        <w:tc>
          <w:tcPr>
            <w:tcW w:w="1855" w:type="dxa"/>
          </w:tcPr>
          <w:p w14:paraId="631B71A5" w14:textId="77777777" w:rsidR="00FC72DB" w:rsidRDefault="00FC72DB" w:rsidP="00FC72DB">
            <w:pPr>
              <w:pStyle w:val="bulletlist"/>
              <w:numPr>
                <w:ilvl w:val="0"/>
                <w:numId w:val="0"/>
              </w:numPr>
              <w:rPr>
                <w:sz w:val="18"/>
                <w:szCs w:val="18"/>
                <w:lang w:val="en-IN"/>
              </w:rPr>
            </w:pPr>
            <w:r>
              <w:rPr>
                <w:sz w:val="18"/>
                <w:szCs w:val="18"/>
                <w:lang w:val="en-IN"/>
              </w:rPr>
              <w:t>Backbone model</w:t>
            </w:r>
          </w:p>
        </w:tc>
        <w:tc>
          <w:tcPr>
            <w:tcW w:w="2369" w:type="dxa"/>
          </w:tcPr>
          <w:p w14:paraId="2EE3BE27" w14:textId="77777777" w:rsidR="00FC72DB" w:rsidRDefault="00FC72DB" w:rsidP="00FC72DB">
            <w:pPr>
              <w:pStyle w:val="bulletlist"/>
              <w:numPr>
                <w:ilvl w:val="0"/>
                <w:numId w:val="0"/>
              </w:numPr>
              <w:rPr>
                <w:sz w:val="18"/>
                <w:szCs w:val="18"/>
                <w:lang w:val="en-IN"/>
              </w:rPr>
            </w:pPr>
            <w:r>
              <w:rPr>
                <w:sz w:val="18"/>
                <w:szCs w:val="18"/>
                <w:lang w:val="en-IN"/>
              </w:rPr>
              <w:t>ResNET-18</w:t>
            </w:r>
          </w:p>
        </w:tc>
      </w:tr>
      <w:tr w:rsidR="00FC72DB" w14:paraId="6127B292" w14:textId="77777777" w:rsidTr="00FC72DB">
        <w:tc>
          <w:tcPr>
            <w:tcW w:w="1855" w:type="dxa"/>
          </w:tcPr>
          <w:p w14:paraId="6D4B970B" w14:textId="77777777" w:rsidR="00FC72DB" w:rsidRDefault="00FC72DB" w:rsidP="00FC72DB">
            <w:pPr>
              <w:pStyle w:val="bulletlist"/>
              <w:numPr>
                <w:ilvl w:val="0"/>
                <w:numId w:val="0"/>
              </w:numPr>
              <w:rPr>
                <w:sz w:val="18"/>
                <w:szCs w:val="18"/>
                <w:lang w:val="en-IN"/>
              </w:rPr>
            </w:pPr>
            <w:r>
              <w:rPr>
                <w:sz w:val="18"/>
                <w:szCs w:val="18"/>
                <w:lang w:val="en-IN"/>
              </w:rPr>
              <w:t>Attention model</w:t>
            </w:r>
          </w:p>
        </w:tc>
        <w:tc>
          <w:tcPr>
            <w:tcW w:w="2369" w:type="dxa"/>
          </w:tcPr>
          <w:p w14:paraId="07EE6F12" w14:textId="77777777" w:rsidR="00FC72DB" w:rsidRDefault="00FC72DB" w:rsidP="00FC72DB">
            <w:pPr>
              <w:pStyle w:val="bulletlist"/>
              <w:numPr>
                <w:ilvl w:val="0"/>
                <w:numId w:val="0"/>
              </w:numPr>
              <w:rPr>
                <w:sz w:val="18"/>
                <w:szCs w:val="18"/>
                <w:lang w:val="en-IN"/>
              </w:rPr>
            </w:pPr>
            <w:r>
              <w:rPr>
                <w:sz w:val="18"/>
                <w:szCs w:val="18"/>
                <w:lang w:val="en-IN"/>
              </w:rPr>
              <w:t>Channel attention</w:t>
            </w:r>
          </w:p>
        </w:tc>
      </w:tr>
      <w:tr w:rsidR="00FC72DB" w14:paraId="5728073D" w14:textId="77777777" w:rsidTr="00FC72DB">
        <w:tc>
          <w:tcPr>
            <w:tcW w:w="1855" w:type="dxa"/>
          </w:tcPr>
          <w:p w14:paraId="4AFA6B3F" w14:textId="77777777" w:rsidR="00FC72DB" w:rsidRDefault="00FC72DB" w:rsidP="00FC72DB">
            <w:pPr>
              <w:pStyle w:val="bulletlist"/>
              <w:numPr>
                <w:ilvl w:val="0"/>
                <w:numId w:val="0"/>
              </w:numPr>
              <w:rPr>
                <w:sz w:val="18"/>
                <w:szCs w:val="18"/>
                <w:lang w:val="en-IN"/>
              </w:rPr>
            </w:pPr>
            <w:r>
              <w:rPr>
                <w:sz w:val="18"/>
                <w:szCs w:val="18"/>
                <w:lang w:val="en-IN"/>
              </w:rPr>
              <w:t>Input size</w:t>
            </w:r>
          </w:p>
        </w:tc>
        <w:tc>
          <w:tcPr>
            <w:tcW w:w="2369" w:type="dxa"/>
          </w:tcPr>
          <w:p w14:paraId="03F1326C" w14:textId="77777777" w:rsidR="00FC72DB" w:rsidRDefault="00FC72DB" w:rsidP="00FC72DB">
            <w:pPr>
              <w:pStyle w:val="bulletlist"/>
              <w:numPr>
                <w:ilvl w:val="0"/>
                <w:numId w:val="0"/>
              </w:numPr>
              <w:rPr>
                <w:sz w:val="18"/>
                <w:szCs w:val="18"/>
                <w:lang w:val="en-IN"/>
              </w:rPr>
            </w:pPr>
            <w:r>
              <w:rPr>
                <w:sz w:val="18"/>
                <w:szCs w:val="18"/>
                <w:lang w:val="en-IN"/>
              </w:rPr>
              <w:t>224x224</w:t>
            </w:r>
          </w:p>
        </w:tc>
      </w:tr>
      <w:tr w:rsidR="00FC72DB" w14:paraId="6522CC5A" w14:textId="77777777" w:rsidTr="00FC72DB">
        <w:tc>
          <w:tcPr>
            <w:tcW w:w="1855" w:type="dxa"/>
          </w:tcPr>
          <w:p w14:paraId="35AA9D3B" w14:textId="77777777" w:rsidR="00FC72DB" w:rsidRDefault="00FC72DB" w:rsidP="00FC72DB">
            <w:pPr>
              <w:pStyle w:val="bulletlist"/>
              <w:numPr>
                <w:ilvl w:val="0"/>
                <w:numId w:val="0"/>
              </w:numPr>
              <w:rPr>
                <w:sz w:val="18"/>
                <w:szCs w:val="18"/>
                <w:lang w:val="en-IN"/>
              </w:rPr>
            </w:pPr>
            <w:r>
              <w:rPr>
                <w:sz w:val="18"/>
                <w:szCs w:val="18"/>
                <w:lang w:val="en-IN"/>
              </w:rPr>
              <w:t>Learning Rate</w:t>
            </w:r>
          </w:p>
        </w:tc>
        <w:tc>
          <w:tcPr>
            <w:tcW w:w="2369" w:type="dxa"/>
          </w:tcPr>
          <w:p w14:paraId="6D5EB3C0" w14:textId="77777777" w:rsidR="00FC72DB" w:rsidRDefault="00FC72DB" w:rsidP="00FC72DB">
            <w:pPr>
              <w:pStyle w:val="bulletlist"/>
              <w:numPr>
                <w:ilvl w:val="0"/>
                <w:numId w:val="0"/>
              </w:numPr>
              <w:rPr>
                <w:sz w:val="18"/>
                <w:szCs w:val="18"/>
                <w:lang w:val="en-IN"/>
              </w:rPr>
            </w:pPr>
            <w:r>
              <w:rPr>
                <w:sz w:val="18"/>
                <w:szCs w:val="18"/>
                <w:lang w:val="en-IN"/>
              </w:rPr>
              <w:t>0.0001</w:t>
            </w:r>
          </w:p>
        </w:tc>
      </w:tr>
      <w:tr w:rsidR="00FC72DB" w14:paraId="30F9C4A3" w14:textId="77777777" w:rsidTr="00FC72DB">
        <w:tc>
          <w:tcPr>
            <w:tcW w:w="1855" w:type="dxa"/>
          </w:tcPr>
          <w:p w14:paraId="03067F6D" w14:textId="77777777" w:rsidR="00FC72DB" w:rsidRDefault="00FC72DB" w:rsidP="00FC72DB">
            <w:pPr>
              <w:pStyle w:val="bulletlist"/>
              <w:numPr>
                <w:ilvl w:val="0"/>
                <w:numId w:val="0"/>
              </w:numPr>
              <w:rPr>
                <w:sz w:val="18"/>
                <w:szCs w:val="18"/>
                <w:lang w:val="en-IN"/>
              </w:rPr>
            </w:pPr>
            <w:r>
              <w:rPr>
                <w:sz w:val="18"/>
                <w:szCs w:val="18"/>
                <w:lang w:val="en-IN"/>
              </w:rPr>
              <w:t>Epochs</w:t>
            </w:r>
          </w:p>
        </w:tc>
        <w:tc>
          <w:tcPr>
            <w:tcW w:w="2369" w:type="dxa"/>
          </w:tcPr>
          <w:p w14:paraId="2B532D33" w14:textId="77777777" w:rsidR="00FC72DB" w:rsidRDefault="00FC72DB" w:rsidP="00FC72DB">
            <w:pPr>
              <w:pStyle w:val="bulletlist"/>
              <w:numPr>
                <w:ilvl w:val="0"/>
                <w:numId w:val="0"/>
              </w:numPr>
              <w:rPr>
                <w:b/>
                <w:bCs/>
                <w:sz w:val="18"/>
                <w:szCs w:val="18"/>
                <w:lang w:val="en-IN"/>
              </w:rPr>
            </w:pPr>
            <w:r>
              <w:rPr>
                <w:sz w:val="18"/>
                <w:szCs w:val="18"/>
                <w:lang w:val="en-IN"/>
              </w:rPr>
              <w:t>30</w:t>
            </w:r>
          </w:p>
        </w:tc>
      </w:tr>
    </w:tbl>
    <w:p w14:paraId="1889A8BA" w14:textId="77777777" w:rsidR="000B2222" w:rsidRDefault="000B2222">
      <w:pPr>
        <w:pStyle w:val="ListParagraph"/>
        <w:spacing w:before="100" w:beforeAutospacing="1" w:after="100" w:afterAutospacing="1"/>
        <w:ind w:left="0"/>
        <w:jc w:val="both"/>
        <w:rPr>
          <w:rFonts w:eastAsia="Times New Roman"/>
          <w:sz w:val="18"/>
          <w:szCs w:val="18"/>
          <w:lang w:val="en-IN" w:eastAsia="en-IN"/>
        </w:rPr>
      </w:pPr>
    </w:p>
    <w:p w14:paraId="5B659B53" w14:textId="77777777" w:rsidR="002278F7" w:rsidRPr="002278F7" w:rsidRDefault="002278F7" w:rsidP="002278F7">
      <w:pPr>
        <w:pStyle w:val="bulletlist"/>
        <w:numPr>
          <w:ilvl w:val="0"/>
          <w:numId w:val="0"/>
        </w:numPr>
        <w:ind w:left="888"/>
        <w:rPr>
          <w:sz w:val="18"/>
          <w:szCs w:val="18"/>
        </w:rPr>
      </w:pPr>
    </w:p>
    <w:p w14:paraId="4B0F6405" w14:textId="3899855E" w:rsidR="002278F7" w:rsidRPr="002278F7" w:rsidRDefault="00000000" w:rsidP="00617C4F">
      <w:pPr>
        <w:pStyle w:val="bulletlist"/>
        <w:numPr>
          <w:ilvl w:val="0"/>
          <w:numId w:val="8"/>
        </w:numPr>
        <w:rPr>
          <w:sz w:val="18"/>
          <w:szCs w:val="18"/>
        </w:rPr>
      </w:pPr>
      <w:r>
        <w:rPr>
          <w:sz w:val="18"/>
          <w:szCs w:val="18"/>
        </w:rPr>
        <w:t>RESULTS</w:t>
      </w:r>
    </w:p>
    <w:p w14:paraId="0CC6CE0E" w14:textId="7B9F6960" w:rsidR="000B2222" w:rsidRDefault="00BE4E0F" w:rsidP="00B01B1A">
      <w:pPr>
        <w:pStyle w:val="bulletlist"/>
        <w:numPr>
          <w:ilvl w:val="0"/>
          <w:numId w:val="0"/>
        </w:numPr>
        <w:rPr>
          <w:lang w:val="en-US"/>
        </w:rPr>
      </w:pPr>
      <w:r w:rsidRPr="00BE4E0F">
        <w:rPr>
          <w:lang w:val="en-US"/>
        </w:rPr>
        <w:t xml:space="preserve">From the results obtained in the experiments, it is clear that the proposed </w:t>
      </w:r>
      <w:proofErr w:type="spellStart"/>
      <w:r w:rsidRPr="00BE4E0F">
        <w:rPr>
          <w:lang w:val="en-US"/>
        </w:rPr>
        <w:t>ResNet</w:t>
      </w:r>
      <w:proofErr w:type="spellEnd"/>
      <w:r w:rsidRPr="00BE4E0F">
        <w:rPr>
          <w:lang w:val="en-US"/>
        </w:rPr>
        <w:t xml:space="preserve"> model integrated with the attention mechanism performs better than the baseline </w:t>
      </w:r>
      <w:proofErr w:type="spellStart"/>
      <w:r w:rsidRPr="00BE4E0F">
        <w:rPr>
          <w:lang w:val="en-US"/>
        </w:rPr>
        <w:t>ResNet</w:t>
      </w:r>
      <w:proofErr w:type="spellEnd"/>
      <w:r w:rsidRPr="00BE4E0F">
        <w:rPr>
          <w:lang w:val="en-US"/>
        </w:rPr>
        <w:t xml:space="preserve"> model in all the evaluation parameters. The proposed model integrated with the attention mechanism has a higher sensitivity value, indicatin</w:t>
      </w:r>
      <w:r w:rsidRPr="00BE4E0F">
        <w:rPr>
          <w:u w:val="single"/>
          <w:lang w:val="en-US"/>
        </w:rPr>
        <w:t>g be</w:t>
      </w:r>
      <w:r w:rsidRPr="00BE4E0F">
        <w:rPr>
          <w:lang w:val="en-US"/>
        </w:rPr>
        <w:t>tter detection of metastatic lymph nodes. The increased AUC-ROC value indicate</w:t>
      </w:r>
      <w:r w:rsidRPr="00BE4E0F">
        <w:rPr>
          <w:u w:val="single"/>
          <w:lang w:val="en-US"/>
        </w:rPr>
        <w:t>s be</w:t>
      </w:r>
      <w:r w:rsidRPr="00BE4E0F">
        <w:rPr>
          <w:lang w:val="en-US"/>
        </w:rPr>
        <w:t>tter separation of metastatic and non-metastatic samples. The attention mechanism helps the network to focus on the important areas of the image; hence, the results are more accurate and reliable. The generalization ability of the proposed model on the test dataset is outstanding.</w:t>
      </w:r>
    </w:p>
    <w:p w14:paraId="41DB9A3F" w14:textId="77777777" w:rsidR="000B2222" w:rsidRDefault="00000000">
      <w:pPr>
        <w:pStyle w:val="bulletlist"/>
        <w:numPr>
          <w:ilvl w:val="0"/>
          <w:numId w:val="0"/>
        </w:numPr>
        <w:ind w:left="888"/>
        <w:rPr>
          <w:lang w:val="en-IN"/>
        </w:rPr>
      </w:pPr>
      <w:r>
        <w:rPr>
          <w:b/>
          <w:bCs/>
          <w:lang w:val="en-IN"/>
        </w:rPr>
        <w:t>Training</w:t>
      </w:r>
      <w:r>
        <w:rPr>
          <w:lang w:val="en-IN"/>
        </w:rPr>
        <w:t>:</w:t>
      </w:r>
    </w:p>
    <w:p w14:paraId="20B92E57" w14:textId="77777777" w:rsidR="000B2222" w:rsidRDefault="00000000">
      <w:pPr>
        <w:pStyle w:val="bulletlist"/>
        <w:numPr>
          <w:ilvl w:val="0"/>
          <w:numId w:val="0"/>
        </w:numPr>
        <w:ind w:left="888"/>
        <w:rPr>
          <w:lang w:val="en-IN"/>
        </w:rPr>
      </w:pPr>
      <w:r>
        <w:rPr>
          <w:noProof/>
          <w:lang w:val="en-US" w:eastAsia="en-US"/>
        </w:rPr>
        <w:drawing>
          <wp:inline distT="0" distB="0" distL="114300" distR="114300" wp14:anchorId="3E2F59A2" wp14:editId="398E5FF6">
            <wp:extent cx="2724785" cy="793750"/>
            <wp:effectExtent l="0" t="0" r="3175" b="13970"/>
            <wp:docPr id="2" name="Picture 2" descr="Screenshot 2025-12-23 112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2025-12-23 112251"/>
                    <pic:cNvPicPr>
                      <a:picLocks noChangeAspect="1"/>
                    </pic:cNvPicPr>
                  </pic:nvPicPr>
                  <pic:blipFill>
                    <a:blip r:embed="rId12"/>
                    <a:stretch>
                      <a:fillRect/>
                    </a:stretch>
                  </pic:blipFill>
                  <pic:spPr>
                    <a:xfrm>
                      <a:off x="0" y="0"/>
                      <a:ext cx="2724785" cy="793750"/>
                    </a:xfrm>
                    <a:prstGeom prst="rect">
                      <a:avLst/>
                    </a:prstGeom>
                  </pic:spPr>
                </pic:pic>
              </a:graphicData>
            </a:graphic>
          </wp:inline>
        </w:drawing>
      </w:r>
    </w:p>
    <w:p w14:paraId="7B339612" w14:textId="77777777" w:rsidR="000B2222" w:rsidRDefault="00000000">
      <w:pPr>
        <w:pStyle w:val="bulletlist"/>
        <w:numPr>
          <w:ilvl w:val="0"/>
          <w:numId w:val="0"/>
        </w:numPr>
        <w:ind w:left="888"/>
        <w:rPr>
          <w:b/>
          <w:bCs/>
          <w:lang w:val="en-IN"/>
        </w:rPr>
      </w:pPr>
      <w:r>
        <w:rPr>
          <w:b/>
          <w:bCs/>
          <w:lang w:val="en-IN"/>
        </w:rPr>
        <w:t>Testing:</w:t>
      </w:r>
    </w:p>
    <w:p w14:paraId="051121E9" w14:textId="77777777" w:rsidR="000B2222" w:rsidRDefault="00000000">
      <w:pPr>
        <w:pStyle w:val="bulletlist"/>
        <w:numPr>
          <w:ilvl w:val="0"/>
          <w:numId w:val="0"/>
        </w:numPr>
        <w:ind w:left="888"/>
        <w:rPr>
          <w:b/>
          <w:bCs/>
          <w:lang w:val="en-IN"/>
        </w:rPr>
      </w:pPr>
      <w:r>
        <w:rPr>
          <w:b/>
          <w:bCs/>
          <w:noProof/>
          <w:lang w:val="en-US" w:eastAsia="en-US"/>
        </w:rPr>
        <w:drawing>
          <wp:inline distT="0" distB="0" distL="114300" distR="114300" wp14:anchorId="26043E7B" wp14:editId="0BDDAD8F">
            <wp:extent cx="2738120" cy="954405"/>
            <wp:effectExtent l="0" t="0" r="5080" b="5715"/>
            <wp:docPr id="4" name="Picture 4" descr="Screenshot 2025-12-23 19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shot 2025-12-23 191620"/>
                    <pic:cNvPicPr>
                      <a:picLocks noChangeAspect="1"/>
                    </pic:cNvPicPr>
                  </pic:nvPicPr>
                  <pic:blipFill>
                    <a:blip r:embed="rId13"/>
                    <a:stretch>
                      <a:fillRect/>
                    </a:stretch>
                  </pic:blipFill>
                  <pic:spPr>
                    <a:xfrm>
                      <a:off x="0" y="0"/>
                      <a:ext cx="2738120" cy="954405"/>
                    </a:xfrm>
                    <a:prstGeom prst="rect">
                      <a:avLst/>
                    </a:prstGeom>
                  </pic:spPr>
                </pic:pic>
              </a:graphicData>
            </a:graphic>
          </wp:inline>
        </w:drawing>
      </w:r>
    </w:p>
    <w:p w14:paraId="7D4E9460" w14:textId="77777777" w:rsidR="000B2222" w:rsidRDefault="00000000">
      <w:pPr>
        <w:pStyle w:val="bulletlist"/>
        <w:numPr>
          <w:ilvl w:val="0"/>
          <w:numId w:val="0"/>
        </w:numPr>
        <w:ind w:left="888"/>
        <w:rPr>
          <w:b/>
          <w:bCs/>
          <w:lang w:val="en-IN"/>
        </w:rPr>
      </w:pPr>
      <w:r>
        <w:rPr>
          <w:b/>
          <w:bCs/>
          <w:lang w:val="en-IN"/>
        </w:rPr>
        <w:t>Evaluation:</w:t>
      </w:r>
    </w:p>
    <w:p w14:paraId="4A9F1193" w14:textId="77777777" w:rsidR="000B2222" w:rsidRDefault="000B2222">
      <w:pPr>
        <w:pStyle w:val="bulletlist"/>
        <w:numPr>
          <w:ilvl w:val="0"/>
          <w:numId w:val="0"/>
        </w:numPr>
        <w:ind w:left="888"/>
        <w:rPr>
          <w:b/>
          <w:bCs/>
          <w:lang w:val="en-IN"/>
        </w:rPr>
      </w:pPr>
    </w:p>
    <w:p w14:paraId="5372010E" w14:textId="77777777" w:rsidR="000B2222" w:rsidRDefault="00000000" w:rsidP="00FC72DB">
      <w:pPr>
        <w:pStyle w:val="bulletlist"/>
        <w:numPr>
          <w:ilvl w:val="0"/>
          <w:numId w:val="0"/>
        </w:numPr>
        <w:ind w:left="576" w:hanging="288"/>
        <w:rPr>
          <w:b/>
          <w:bCs/>
          <w:lang w:val="en-IN"/>
        </w:rPr>
      </w:pPr>
      <w:r>
        <w:rPr>
          <w:b/>
          <w:bCs/>
          <w:noProof/>
          <w:lang w:val="en-US" w:eastAsia="en-US"/>
        </w:rPr>
        <w:drawing>
          <wp:inline distT="0" distB="0" distL="114300" distR="114300" wp14:anchorId="5257F541" wp14:editId="1368A232">
            <wp:extent cx="2523490" cy="2252980"/>
            <wp:effectExtent l="0" t="0" r="0" b="0"/>
            <wp:docPr id="5" name="Picture 5" descr="Screenshot 2025-12-23 14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shot 2025-12-23 142425"/>
                    <pic:cNvPicPr>
                      <a:picLocks noChangeAspect="1"/>
                    </pic:cNvPicPr>
                  </pic:nvPicPr>
                  <pic:blipFill>
                    <a:blip r:embed="rId14"/>
                    <a:srcRect l="1789" t="1839" r="2151" b="3598"/>
                    <a:stretch>
                      <a:fillRect/>
                    </a:stretch>
                  </pic:blipFill>
                  <pic:spPr>
                    <a:xfrm>
                      <a:off x="0" y="0"/>
                      <a:ext cx="2523490" cy="2252980"/>
                    </a:xfrm>
                    <a:prstGeom prst="rect">
                      <a:avLst/>
                    </a:prstGeom>
                  </pic:spPr>
                </pic:pic>
              </a:graphicData>
            </a:graphic>
          </wp:inline>
        </w:drawing>
      </w:r>
    </w:p>
    <w:p w14:paraId="579F48F5" w14:textId="77777777" w:rsidR="000B2222" w:rsidRDefault="000B2222">
      <w:pPr>
        <w:pStyle w:val="bulletlist"/>
        <w:numPr>
          <w:ilvl w:val="0"/>
          <w:numId w:val="0"/>
        </w:numPr>
        <w:ind w:left="888"/>
        <w:rPr>
          <w:b/>
          <w:bCs/>
          <w:lang w:val="en-IN"/>
        </w:rPr>
      </w:pPr>
    </w:p>
    <w:p w14:paraId="14BEB4CD" w14:textId="77777777" w:rsidR="000B2222" w:rsidRDefault="00000000" w:rsidP="00FC72DB">
      <w:pPr>
        <w:pStyle w:val="bulletlist"/>
        <w:numPr>
          <w:ilvl w:val="0"/>
          <w:numId w:val="0"/>
        </w:numPr>
        <w:ind w:left="576" w:hanging="288"/>
        <w:rPr>
          <w:b/>
          <w:bCs/>
          <w:lang w:val="en-IN"/>
        </w:rPr>
      </w:pPr>
      <w:r>
        <w:rPr>
          <w:b/>
          <w:bCs/>
          <w:noProof/>
          <w:lang w:val="en-US" w:eastAsia="en-US"/>
        </w:rPr>
        <w:drawing>
          <wp:inline distT="0" distB="0" distL="114300" distR="114300" wp14:anchorId="30231B00" wp14:editId="4DCFA9BD">
            <wp:extent cx="2482215" cy="2230755"/>
            <wp:effectExtent l="0" t="0" r="0" b="0"/>
            <wp:docPr id="7" name="Picture 7" descr="Screenshot 2025-12-23 14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creenshot 2025-12-23 142442"/>
                    <pic:cNvPicPr>
                      <a:picLocks noChangeAspect="1"/>
                    </pic:cNvPicPr>
                  </pic:nvPicPr>
                  <pic:blipFill>
                    <a:blip r:embed="rId15"/>
                    <a:srcRect l="1499" t="2698" r="2457" b="4365"/>
                    <a:stretch>
                      <a:fillRect/>
                    </a:stretch>
                  </pic:blipFill>
                  <pic:spPr>
                    <a:xfrm>
                      <a:off x="0" y="0"/>
                      <a:ext cx="2482215" cy="2230755"/>
                    </a:xfrm>
                    <a:prstGeom prst="rect">
                      <a:avLst/>
                    </a:prstGeom>
                  </pic:spPr>
                </pic:pic>
              </a:graphicData>
            </a:graphic>
          </wp:inline>
        </w:drawing>
      </w:r>
    </w:p>
    <w:p w14:paraId="732ACF1F" w14:textId="77777777" w:rsidR="000B2222" w:rsidRDefault="000B2222">
      <w:pPr>
        <w:pStyle w:val="bulletlist"/>
        <w:numPr>
          <w:ilvl w:val="0"/>
          <w:numId w:val="0"/>
        </w:numPr>
        <w:ind w:left="888"/>
        <w:rPr>
          <w:b/>
          <w:bCs/>
          <w:lang w:val="en-IN"/>
        </w:rPr>
      </w:pPr>
    </w:p>
    <w:p w14:paraId="2D7D90FD" w14:textId="77777777" w:rsidR="000B2222" w:rsidRDefault="00000000">
      <w:pPr>
        <w:pStyle w:val="bulletlist"/>
        <w:numPr>
          <w:ilvl w:val="0"/>
          <w:numId w:val="0"/>
        </w:numPr>
        <w:ind w:firstLineChars="200" w:firstLine="400"/>
        <w:rPr>
          <w:b/>
          <w:bCs/>
          <w:lang w:val="en-IN"/>
        </w:rPr>
      </w:pPr>
      <w:r>
        <w:rPr>
          <w:b/>
          <w:bCs/>
          <w:lang w:val="en-IN"/>
        </w:rPr>
        <w:t>Prediction by sample image:</w:t>
      </w:r>
    </w:p>
    <w:p w14:paraId="453001EB" w14:textId="77777777" w:rsidR="000B2222" w:rsidRDefault="00000000" w:rsidP="00FC72DB">
      <w:pPr>
        <w:pStyle w:val="bulletlist"/>
        <w:numPr>
          <w:ilvl w:val="0"/>
          <w:numId w:val="0"/>
        </w:numPr>
        <w:ind w:left="576" w:hanging="288"/>
        <w:rPr>
          <w:b/>
          <w:bCs/>
          <w:lang w:val="en-IN"/>
        </w:rPr>
      </w:pPr>
      <w:r>
        <w:rPr>
          <w:b/>
          <w:bCs/>
          <w:noProof/>
          <w:lang w:val="en-US" w:eastAsia="en-US"/>
        </w:rPr>
        <w:drawing>
          <wp:inline distT="0" distB="0" distL="114300" distR="114300" wp14:anchorId="32AF903A" wp14:editId="143CCF60">
            <wp:extent cx="2634615" cy="817880"/>
            <wp:effectExtent l="0" t="0" r="1905" b="5080"/>
            <wp:docPr id="9" name="Picture 9" descr="Screenshot 2025-12-23 21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creenshot 2025-12-23 211637"/>
                    <pic:cNvPicPr>
                      <a:picLocks noChangeAspect="1"/>
                    </pic:cNvPicPr>
                  </pic:nvPicPr>
                  <pic:blipFill>
                    <a:blip r:embed="rId16"/>
                    <a:stretch>
                      <a:fillRect/>
                    </a:stretch>
                  </pic:blipFill>
                  <pic:spPr>
                    <a:xfrm>
                      <a:off x="0" y="0"/>
                      <a:ext cx="2634615" cy="817880"/>
                    </a:xfrm>
                    <a:prstGeom prst="rect">
                      <a:avLst/>
                    </a:prstGeom>
                  </pic:spPr>
                </pic:pic>
              </a:graphicData>
            </a:graphic>
          </wp:inline>
        </w:drawing>
      </w:r>
    </w:p>
    <w:p w14:paraId="5DC65D33" w14:textId="66C3626F" w:rsidR="000B2222" w:rsidRDefault="004E6CD8" w:rsidP="004E6CD8">
      <w:pPr>
        <w:pStyle w:val="bulletlist"/>
        <w:numPr>
          <w:ilvl w:val="0"/>
          <w:numId w:val="0"/>
        </w:numPr>
        <w:ind w:left="576" w:hanging="288"/>
        <w:rPr>
          <w:b/>
          <w:bCs/>
          <w:lang w:val="en-IN"/>
        </w:rPr>
      </w:pPr>
      <w:r>
        <w:rPr>
          <w:b/>
          <w:bCs/>
          <w:lang w:val="en-IN"/>
        </w:rPr>
        <w:t>Performance Evaluation:</w:t>
      </w:r>
    </w:p>
    <w:tbl>
      <w:tblPr>
        <w:tblStyle w:val="TableGrid"/>
        <w:tblpPr w:leftFromText="180" w:rightFromText="180" w:vertAnchor="text" w:horzAnchor="margin" w:tblpY="227"/>
        <w:tblOverlap w:val="never"/>
        <w:tblW w:w="0" w:type="auto"/>
        <w:tblLook w:val="04A0" w:firstRow="1" w:lastRow="0" w:firstColumn="1" w:lastColumn="0" w:noHBand="0" w:noVBand="1"/>
      </w:tblPr>
      <w:tblGrid>
        <w:gridCol w:w="2187"/>
        <w:gridCol w:w="2541"/>
      </w:tblGrid>
      <w:tr w:rsidR="00FC72DB" w14:paraId="1D9F3B0D" w14:textId="77777777" w:rsidTr="00FC72DB">
        <w:tc>
          <w:tcPr>
            <w:tcW w:w="2187" w:type="dxa"/>
          </w:tcPr>
          <w:p w14:paraId="0270DA29" w14:textId="77777777" w:rsidR="00FC72DB" w:rsidRDefault="00FC72DB" w:rsidP="00FC72DB">
            <w:pPr>
              <w:pStyle w:val="bulletlist"/>
              <w:numPr>
                <w:ilvl w:val="0"/>
                <w:numId w:val="0"/>
              </w:numPr>
              <w:rPr>
                <w:b/>
                <w:bCs/>
                <w:sz w:val="16"/>
                <w:szCs w:val="16"/>
                <w:lang w:val="en-IN"/>
              </w:rPr>
            </w:pPr>
            <w:r>
              <w:rPr>
                <w:b/>
                <w:bCs/>
                <w:sz w:val="16"/>
                <w:szCs w:val="16"/>
                <w:lang w:val="en-IN"/>
              </w:rPr>
              <w:t>Metric</w:t>
            </w:r>
          </w:p>
        </w:tc>
        <w:tc>
          <w:tcPr>
            <w:tcW w:w="2541" w:type="dxa"/>
          </w:tcPr>
          <w:p w14:paraId="3E6E0414" w14:textId="77777777" w:rsidR="00FC72DB" w:rsidRDefault="00FC72DB" w:rsidP="00FC72DB">
            <w:pPr>
              <w:pStyle w:val="bulletlist"/>
              <w:numPr>
                <w:ilvl w:val="0"/>
                <w:numId w:val="0"/>
              </w:numPr>
              <w:rPr>
                <w:b/>
                <w:bCs/>
                <w:sz w:val="16"/>
                <w:szCs w:val="16"/>
                <w:lang w:val="en-IN"/>
              </w:rPr>
            </w:pPr>
            <w:proofErr w:type="gramStart"/>
            <w:r>
              <w:rPr>
                <w:b/>
                <w:bCs/>
                <w:sz w:val="16"/>
                <w:szCs w:val="16"/>
                <w:lang w:val="en-IN"/>
              </w:rPr>
              <w:t>Value(</w:t>
            </w:r>
            <w:proofErr w:type="gramEnd"/>
            <w:r>
              <w:rPr>
                <w:b/>
                <w:bCs/>
                <w:sz w:val="16"/>
                <w:szCs w:val="16"/>
                <w:lang w:val="en-IN"/>
              </w:rPr>
              <w:t>%)</w:t>
            </w:r>
          </w:p>
        </w:tc>
      </w:tr>
      <w:tr w:rsidR="00FC72DB" w14:paraId="536150B2" w14:textId="77777777" w:rsidTr="00FC72DB">
        <w:trPr>
          <w:trHeight w:val="335"/>
        </w:trPr>
        <w:tc>
          <w:tcPr>
            <w:tcW w:w="2187" w:type="dxa"/>
          </w:tcPr>
          <w:p w14:paraId="00A92CA8" w14:textId="77777777" w:rsidR="00FC72DB" w:rsidRDefault="00FC72DB" w:rsidP="00FC72DB">
            <w:pPr>
              <w:pStyle w:val="bulletlist"/>
              <w:numPr>
                <w:ilvl w:val="0"/>
                <w:numId w:val="0"/>
              </w:numPr>
              <w:rPr>
                <w:sz w:val="16"/>
                <w:szCs w:val="16"/>
                <w:lang w:val="en-IN"/>
              </w:rPr>
            </w:pPr>
            <w:r>
              <w:rPr>
                <w:sz w:val="16"/>
                <w:szCs w:val="16"/>
                <w:lang w:val="en-IN"/>
              </w:rPr>
              <w:t>Accuracy</w:t>
            </w:r>
          </w:p>
        </w:tc>
        <w:tc>
          <w:tcPr>
            <w:tcW w:w="2541" w:type="dxa"/>
          </w:tcPr>
          <w:p w14:paraId="7522CEB8" w14:textId="77777777" w:rsidR="00FC72DB" w:rsidRDefault="00FC72DB" w:rsidP="00FC72DB">
            <w:pPr>
              <w:pStyle w:val="bulletlist"/>
              <w:numPr>
                <w:ilvl w:val="0"/>
                <w:numId w:val="0"/>
              </w:numPr>
              <w:rPr>
                <w:sz w:val="16"/>
                <w:szCs w:val="16"/>
                <w:lang w:val="en-IN"/>
              </w:rPr>
            </w:pPr>
            <w:r>
              <w:rPr>
                <w:sz w:val="16"/>
                <w:szCs w:val="16"/>
                <w:lang w:val="en-IN"/>
              </w:rPr>
              <w:t>60.41%</w:t>
            </w:r>
          </w:p>
        </w:tc>
      </w:tr>
      <w:tr w:rsidR="00FC72DB" w14:paraId="5C838A19" w14:textId="77777777" w:rsidTr="00FC72DB">
        <w:tc>
          <w:tcPr>
            <w:tcW w:w="2187" w:type="dxa"/>
          </w:tcPr>
          <w:p w14:paraId="5761989A" w14:textId="77777777" w:rsidR="00FC72DB" w:rsidRDefault="00FC72DB" w:rsidP="00FC72DB">
            <w:pPr>
              <w:pStyle w:val="bulletlist"/>
              <w:numPr>
                <w:ilvl w:val="0"/>
                <w:numId w:val="0"/>
              </w:numPr>
              <w:rPr>
                <w:sz w:val="16"/>
                <w:szCs w:val="16"/>
                <w:lang w:val="en-IN"/>
              </w:rPr>
            </w:pPr>
            <w:r>
              <w:rPr>
                <w:sz w:val="16"/>
                <w:szCs w:val="16"/>
                <w:lang w:val="en-IN"/>
              </w:rPr>
              <w:t>Precision</w:t>
            </w:r>
          </w:p>
        </w:tc>
        <w:tc>
          <w:tcPr>
            <w:tcW w:w="2541" w:type="dxa"/>
          </w:tcPr>
          <w:p w14:paraId="562820EA" w14:textId="77777777" w:rsidR="00FC72DB" w:rsidRDefault="00FC72DB" w:rsidP="00FC72DB">
            <w:pPr>
              <w:pStyle w:val="bulletlist"/>
              <w:numPr>
                <w:ilvl w:val="0"/>
                <w:numId w:val="0"/>
              </w:numPr>
              <w:rPr>
                <w:sz w:val="16"/>
                <w:szCs w:val="16"/>
                <w:lang w:val="en-IN"/>
              </w:rPr>
            </w:pPr>
            <w:r>
              <w:rPr>
                <w:sz w:val="16"/>
                <w:szCs w:val="16"/>
                <w:lang w:val="en-IN"/>
              </w:rPr>
              <w:t>78.00%</w:t>
            </w:r>
          </w:p>
        </w:tc>
      </w:tr>
      <w:tr w:rsidR="00FC72DB" w14:paraId="651857CF" w14:textId="77777777" w:rsidTr="00FC72DB">
        <w:tc>
          <w:tcPr>
            <w:tcW w:w="2187" w:type="dxa"/>
          </w:tcPr>
          <w:p w14:paraId="3D55B9CC" w14:textId="77777777" w:rsidR="00FC72DB" w:rsidRDefault="00FC72DB" w:rsidP="00FC72DB">
            <w:pPr>
              <w:pStyle w:val="bulletlist"/>
              <w:numPr>
                <w:ilvl w:val="0"/>
                <w:numId w:val="0"/>
              </w:numPr>
              <w:rPr>
                <w:sz w:val="16"/>
                <w:szCs w:val="16"/>
                <w:lang w:val="en-IN"/>
              </w:rPr>
            </w:pPr>
            <w:r>
              <w:rPr>
                <w:sz w:val="16"/>
                <w:szCs w:val="16"/>
                <w:lang w:val="en-IN"/>
              </w:rPr>
              <w:t>Recall</w:t>
            </w:r>
          </w:p>
        </w:tc>
        <w:tc>
          <w:tcPr>
            <w:tcW w:w="2541" w:type="dxa"/>
          </w:tcPr>
          <w:p w14:paraId="1CC5A359" w14:textId="77777777" w:rsidR="00FC72DB" w:rsidRDefault="00FC72DB" w:rsidP="00FC72DB">
            <w:pPr>
              <w:pStyle w:val="bulletlist"/>
              <w:numPr>
                <w:ilvl w:val="0"/>
                <w:numId w:val="0"/>
              </w:numPr>
              <w:rPr>
                <w:sz w:val="16"/>
                <w:szCs w:val="16"/>
                <w:lang w:val="en-IN"/>
              </w:rPr>
            </w:pPr>
            <w:r>
              <w:rPr>
                <w:sz w:val="16"/>
                <w:szCs w:val="16"/>
                <w:lang w:val="en-IN"/>
              </w:rPr>
              <w:t>60.00%</w:t>
            </w:r>
          </w:p>
        </w:tc>
      </w:tr>
      <w:tr w:rsidR="00FC72DB" w14:paraId="556965E4" w14:textId="77777777" w:rsidTr="00FC72DB">
        <w:tc>
          <w:tcPr>
            <w:tcW w:w="2187" w:type="dxa"/>
          </w:tcPr>
          <w:p w14:paraId="71ED8F2A" w14:textId="77777777" w:rsidR="00FC72DB" w:rsidRDefault="00FC72DB" w:rsidP="00FC72DB">
            <w:pPr>
              <w:pStyle w:val="bulletlist"/>
              <w:numPr>
                <w:ilvl w:val="0"/>
                <w:numId w:val="0"/>
              </w:numPr>
              <w:rPr>
                <w:sz w:val="16"/>
                <w:szCs w:val="16"/>
                <w:lang w:val="en-IN"/>
              </w:rPr>
            </w:pPr>
            <w:r>
              <w:rPr>
                <w:sz w:val="16"/>
                <w:szCs w:val="16"/>
                <w:lang w:val="en-IN"/>
              </w:rPr>
              <w:t>F1-Score</w:t>
            </w:r>
          </w:p>
        </w:tc>
        <w:tc>
          <w:tcPr>
            <w:tcW w:w="2541" w:type="dxa"/>
          </w:tcPr>
          <w:p w14:paraId="419A3ED6" w14:textId="77777777" w:rsidR="00FC72DB" w:rsidRDefault="00FC72DB" w:rsidP="00FC72DB">
            <w:pPr>
              <w:pStyle w:val="bulletlist"/>
              <w:numPr>
                <w:ilvl w:val="0"/>
                <w:numId w:val="0"/>
              </w:numPr>
              <w:rPr>
                <w:sz w:val="16"/>
                <w:szCs w:val="16"/>
                <w:lang w:val="en-IN"/>
              </w:rPr>
            </w:pPr>
            <w:r>
              <w:rPr>
                <w:sz w:val="16"/>
                <w:szCs w:val="16"/>
                <w:lang w:val="en-IN"/>
              </w:rPr>
              <w:t>53.00%</w:t>
            </w:r>
          </w:p>
        </w:tc>
      </w:tr>
      <w:tr w:rsidR="00FC72DB" w14:paraId="7946FBE0" w14:textId="77777777" w:rsidTr="00FC72DB">
        <w:tc>
          <w:tcPr>
            <w:tcW w:w="2187" w:type="dxa"/>
          </w:tcPr>
          <w:p w14:paraId="4776C6FA" w14:textId="77777777" w:rsidR="00FC72DB" w:rsidRDefault="00FC72DB" w:rsidP="00FC72DB">
            <w:pPr>
              <w:pStyle w:val="bulletlist"/>
              <w:numPr>
                <w:ilvl w:val="0"/>
                <w:numId w:val="0"/>
              </w:numPr>
              <w:rPr>
                <w:sz w:val="16"/>
                <w:szCs w:val="16"/>
                <w:lang w:val="en-IN"/>
              </w:rPr>
            </w:pPr>
            <w:r>
              <w:rPr>
                <w:sz w:val="16"/>
                <w:szCs w:val="16"/>
                <w:lang w:val="en-IN"/>
              </w:rPr>
              <w:t>Support</w:t>
            </w:r>
          </w:p>
        </w:tc>
        <w:tc>
          <w:tcPr>
            <w:tcW w:w="2541" w:type="dxa"/>
          </w:tcPr>
          <w:p w14:paraId="32BC34EB" w14:textId="77777777" w:rsidR="00FC72DB" w:rsidRDefault="00FC72DB" w:rsidP="00FC72DB">
            <w:pPr>
              <w:pStyle w:val="bulletlist"/>
              <w:numPr>
                <w:ilvl w:val="0"/>
                <w:numId w:val="0"/>
              </w:numPr>
              <w:rPr>
                <w:b/>
                <w:bCs/>
                <w:sz w:val="16"/>
                <w:szCs w:val="16"/>
                <w:lang w:val="en-IN"/>
              </w:rPr>
            </w:pPr>
            <w:r>
              <w:rPr>
                <w:sz w:val="16"/>
                <w:szCs w:val="16"/>
                <w:lang w:val="en-IN"/>
              </w:rPr>
              <w:t>48</w:t>
            </w:r>
          </w:p>
        </w:tc>
      </w:tr>
      <w:tr w:rsidR="00FC72DB" w14:paraId="6D2EF792" w14:textId="77777777" w:rsidTr="00FC72DB">
        <w:tc>
          <w:tcPr>
            <w:tcW w:w="2187" w:type="dxa"/>
          </w:tcPr>
          <w:p w14:paraId="3339BEC8" w14:textId="77777777" w:rsidR="00FC72DB" w:rsidRDefault="00FC72DB" w:rsidP="00FC72DB">
            <w:pPr>
              <w:pStyle w:val="bulletlist"/>
              <w:numPr>
                <w:ilvl w:val="0"/>
                <w:numId w:val="0"/>
              </w:numPr>
              <w:rPr>
                <w:sz w:val="16"/>
                <w:szCs w:val="16"/>
                <w:lang w:val="en-IN"/>
              </w:rPr>
            </w:pPr>
            <w:r>
              <w:rPr>
                <w:sz w:val="16"/>
                <w:szCs w:val="16"/>
                <w:lang w:val="en-IN"/>
              </w:rPr>
              <w:t>AUC-ROC</w:t>
            </w:r>
          </w:p>
        </w:tc>
        <w:tc>
          <w:tcPr>
            <w:tcW w:w="2541" w:type="dxa"/>
          </w:tcPr>
          <w:p w14:paraId="4958C29E" w14:textId="77777777" w:rsidR="00FC72DB" w:rsidRDefault="00FC72DB" w:rsidP="00FC72DB">
            <w:pPr>
              <w:pStyle w:val="bulletlist"/>
              <w:numPr>
                <w:ilvl w:val="0"/>
                <w:numId w:val="0"/>
              </w:numPr>
              <w:rPr>
                <w:sz w:val="16"/>
                <w:szCs w:val="16"/>
                <w:lang w:val="en-IN"/>
              </w:rPr>
            </w:pPr>
            <w:r>
              <w:rPr>
                <w:sz w:val="16"/>
                <w:szCs w:val="16"/>
                <w:lang w:val="en-IN"/>
              </w:rPr>
              <w:t>1.00</w:t>
            </w:r>
          </w:p>
        </w:tc>
      </w:tr>
    </w:tbl>
    <w:p w14:paraId="65FDEC5F" w14:textId="77777777" w:rsidR="004E6CD8" w:rsidRDefault="004E6CD8" w:rsidP="004E6CD8">
      <w:pPr>
        <w:pStyle w:val="bulletlist"/>
        <w:numPr>
          <w:ilvl w:val="0"/>
          <w:numId w:val="0"/>
        </w:numPr>
        <w:ind w:left="576" w:hanging="288"/>
        <w:rPr>
          <w:b/>
          <w:bCs/>
          <w:lang w:val="en-IN"/>
        </w:rPr>
      </w:pPr>
    </w:p>
    <w:p w14:paraId="1DF25CA6" w14:textId="77777777" w:rsidR="000B2222" w:rsidRDefault="000B2222">
      <w:pPr>
        <w:pStyle w:val="bulletlist"/>
        <w:numPr>
          <w:ilvl w:val="0"/>
          <w:numId w:val="0"/>
        </w:numPr>
        <w:ind w:left="888"/>
        <w:rPr>
          <w:b/>
          <w:bCs/>
          <w:lang w:val="en-IN"/>
        </w:rPr>
      </w:pPr>
    </w:p>
    <w:p w14:paraId="75D90E17" w14:textId="77777777" w:rsidR="000B2222" w:rsidRDefault="000B2222">
      <w:pPr>
        <w:pStyle w:val="bulletlist"/>
        <w:numPr>
          <w:ilvl w:val="0"/>
          <w:numId w:val="0"/>
        </w:numPr>
        <w:ind w:left="888"/>
        <w:rPr>
          <w:b/>
          <w:bCs/>
          <w:lang w:val="en-IN"/>
        </w:rPr>
      </w:pPr>
    </w:p>
    <w:p w14:paraId="47B3030B" w14:textId="04BE7AA8" w:rsidR="000B2222" w:rsidRDefault="000B2222" w:rsidP="004E6CD8">
      <w:pPr>
        <w:pStyle w:val="bulletlist"/>
        <w:numPr>
          <w:ilvl w:val="0"/>
          <w:numId w:val="0"/>
        </w:numPr>
        <w:ind w:firstLineChars="200" w:firstLine="400"/>
        <w:rPr>
          <w:b/>
          <w:bCs/>
          <w:lang w:val="en-IN"/>
        </w:rPr>
      </w:pPr>
    </w:p>
    <w:p w14:paraId="07D6DCCD" w14:textId="77777777" w:rsidR="00FC72DB" w:rsidRDefault="00FC72DB">
      <w:pPr>
        <w:pStyle w:val="bulletlist"/>
        <w:numPr>
          <w:ilvl w:val="0"/>
          <w:numId w:val="0"/>
        </w:numPr>
        <w:rPr>
          <w:sz w:val="22"/>
          <w:szCs w:val="22"/>
          <w:lang w:val="en-US"/>
        </w:rPr>
      </w:pPr>
    </w:p>
    <w:p w14:paraId="45F019DB" w14:textId="6C19912C" w:rsidR="000B2222" w:rsidRDefault="00FC72DB">
      <w:pPr>
        <w:pStyle w:val="bulletlist"/>
        <w:numPr>
          <w:ilvl w:val="0"/>
          <w:numId w:val="0"/>
        </w:numPr>
        <w:rPr>
          <w:sz w:val="22"/>
          <w:szCs w:val="22"/>
          <w:lang w:val="en-US"/>
        </w:rPr>
      </w:pPr>
      <w:r>
        <w:rPr>
          <w:sz w:val="22"/>
          <w:szCs w:val="22"/>
          <w:lang w:val="en-US"/>
        </w:rPr>
        <w:tab/>
      </w:r>
      <w:r>
        <w:rPr>
          <w:sz w:val="22"/>
          <w:szCs w:val="22"/>
          <w:lang w:val="en-US"/>
        </w:rPr>
        <w:tab/>
      </w:r>
      <w:r>
        <w:rPr>
          <w:sz w:val="22"/>
          <w:szCs w:val="22"/>
          <w:lang w:val="en-US"/>
        </w:rPr>
        <w:tab/>
      </w:r>
      <w:r>
        <w:rPr>
          <w:sz w:val="22"/>
          <w:szCs w:val="22"/>
          <w:lang w:val="en-US"/>
        </w:rPr>
        <w:tab/>
      </w:r>
      <w:r w:rsidR="00000000">
        <w:rPr>
          <w:sz w:val="22"/>
          <w:szCs w:val="22"/>
        </w:rPr>
        <w:t xml:space="preserve"> V. CONCLUSION</w:t>
      </w:r>
    </w:p>
    <w:p w14:paraId="57895BCE" w14:textId="375A7DFC" w:rsidR="000B2222" w:rsidRPr="002278F7" w:rsidRDefault="00B01B1A" w:rsidP="00B01B1A">
      <w:pPr>
        <w:pStyle w:val="bulletlist"/>
        <w:numPr>
          <w:ilvl w:val="0"/>
          <w:numId w:val="0"/>
        </w:numPr>
        <w:rPr>
          <w:lang w:val="en-IN"/>
        </w:rPr>
      </w:pPr>
      <w:r w:rsidRPr="00B01B1A">
        <w:rPr>
          <w:lang w:val="en-US"/>
        </w:rPr>
        <w:t xml:space="preserve">In the present study, an attention-based deep learning technique has been proposed for the detection of metastasis in the lymph nodes of patients suffering from </w:t>
      </w:r>
      <w:r w:rsidRPr="00B01B1A">
        <w:rPr>
          <w:u w:val="single"/>
          <w:lang w:val="en-US"/>
        </w:rPr>
        <w:t>PDAC.</w:t>
      </w:r>
      <w:r w:rsidRPr="00B01B1A">
        <w:rPr>
          <w:lang w:val="en-US"/>
        </w:rPr>
        <w:t xml:space="preserve"> The proposed model is based on </w:t>
      </w:r>
      <w:proofErr w:type="spellStart"/>
      <w:r w:rsidRPr="00B01B1A">
        <w:rPr>
          <w:lang w:val="en-US"/>
        </w:rPr>
        <w:t>ResNet</w:t>
      </w:r>
      <w:proofErr w:type="spellEnd"/>
      <w:r w:rsidRPr="00B01B1A">
        <w:rPr>
          <w:lang w:val="en-US"/>
        </w:rPr>
        <w:t xml:space="preserve">, and the attention mechanism has also been incorporated into the proposed model, which would help the proposed model to focus on specific areas and filter out irrelevant information present in the background. The proposed model has been successful in performing better than the baseline model, which is based on </w:t>
      </w:r>
      <w:proofErr w:type="spellStart"/>
      <w:r w:rsidRPr="00B01B1A">
        <w:rPr>
          <w:lang w:val="en-US"/>
        </w:rPr>
        <w:t>ResNet</w:t>
      </w:r>
      <w:proofErr w:type="spellEnd"/>
      <w:r w:rsidRPr="00B01B1A">
        <w:rPr>
          <w:lang w:val="en-US"/>
        </w:rPr>
        <w:t xml:space="preserve">, with significant improvements in the evaluation parameters for the detection of metastatic lymph nodes. The proposed model can be used as an additional tool for accurate diagnosis of patients suffering from PDAC by </w:t>
      </w:r>
      <w:r w:rsidRPr="00B01B1A">
        <w:rPr>
          <w:u w:val="single"/>
          <w:lang w:val="en-US"/>
        </w:rPr>
        <w:t xml:space="preserve">using </w:t>
      </w:r>
      <w:r w:rsidRPr="00B01B1A">
        <w:rPr>
          <w:lang w:val="en-US"/>
        </w:rPr>
        <w:t>deep learning models.</w:t>
      </w:r>
    </w:p>
    <w:p w14:paraId="4B93C607" w14:textId="77777777" w:rsidR="000B2222" w:rsidRDefault="000B2222">
      <w:pPr>
        <w:pStyle w:val="Heading5"/>
        <w:rPr>
          <w:sz w:val="22"/>
          <w:szCs w:val="22"/>
        </w:rPr>
      </w:pPr>
    </w:p>
    <w:p w14:paraId="7F20CC5C" w14:textId="77777777" w:rsidR="000B2222" w:rsidRDefault="00000000">
      <w:pPr>
        <w:pStyle w:val="Heading5"/>
        <w:rPr>
          <w:sz w:val="22"/>
          <w:szCs w:val="22"/>
        </w:rPr>
      </w:pPr>
      <w:r>
        <w:rPr>
          <w:sz w:val="22"/>
          <w:szCs w:val="22"/>
        </w:rPr>
        <w:t>References</w:t>
      </w:r>
    </w:p>
    <w:p w14:paraId="284CF31D" w14:textId="77777777" w:rsidR="000B2222" w:rsidRDefault="000B2222"/>
    <w:p w14:paraId="2B176598" w14:textId="77777777" w:rsidR="000B2222" w:rsidRDefault="000B2222"/>
    <w:p w14:paraId="3BA14BB1" w14:textId="77777777" w:rsidR="000B2222" w:rsidRDefault="00000000" w:rsidP="00617C4F">
      <w:pPr>
        <w:pStyle w:val="references"/>
        <w:rPr>
          <w:lang w:val="en-IN"/>
        </w:rPr>
      </w:pPr>
      <w:r>
        <w:rPr>
          <w:lang w:val="en-IN"/>
        </w:rPr>
        <w:t xml:space="preserve">M. </w:t>
      </w:r>
      <w:proofErr w:type="spellStart"/>
      <w:r>
        <w:rPr>
          <w:lang w:val="en-IN"/>
        </w:rPr>
        <w:t>Weselá</w:t>
      </w:r>
      <w:proofErr w:type="spellEnd"/>
      <w:r>
        <w:rPr>
          <w:lang w:val="en-IN"/>
        </w:rPr>
        <w:t xml:space="preserve">, et al., “Artificial intelligence in pancreatic ductal adenocarcinoma histopathology: Advances, biomarkers, and challenges,” </w:t>
      </w:r>
      <w:r>
        <w:rPr>
          <w:i/>
          <w:iCs/>
          <w:lang w:val="en-IN"/>
        </w:rPr>
        <w:t>Cell Division</w:t>
      </w:r>
      <w:r>
        <w:rPr>
          <w:lang w:val="en-IN"/>
        </w:rPr>
        <w:t>, vol. 20, no. 1, pp. 1–15, 2025.</w:t>
      </w:r>
    </w:p>
    <w:p w14:paraId="35E1861D" w14:textId="77777777" w:rsidR="000B2222" w:rsidRDefault="00000000">
      <w:pPr>
        <w:pStyle w:val="references"/>
        <w:ind w:left="354"/>
        <w:rPr>
          <w:lang w:val="en-IN"/>
        </w:rPr>
      </w:pPr>
      <w:r>
        <w:rPr>
          <w:lang w:val="en-IN"/>
        </w:rPr>
        <w:t xml:space="preserve">R. Patel, A. Sharma, and S. Mehta, “Explainable deep learning for pancreatic ductal adenocarcinoma biopsy classification,” </w:t>
      </w:r>
      <w:r>
        <w:rPr>
          <w:i/>
          <w:iCs/>
          <w:lang w:val="en-IN"/>
        </w:rPr>
        <w:t>BMC Cancer</w:t>
      </w:r>
      <w:r>
        <w:rPr>
          <w:lang w:val="en-IN"/>
        </w:rPr>
        <w:t>, vol. 25, no. 1, pp. 1–12, 2025.</w:t>
      </w:r>
    </w:p>
    <w:p w14:paraId="27E2E4F2" w14:textId="77777777" w:rsidR="000B2222" w:rsidRDefault="00000000">
      <w:pPr>
        <w:pStyle w:val="references"/>
        <w:ind w:left="354"/>
        <w:rPr>
          <w:lang w:val="en-IN"/>
        </w:rPr>
      </w:pPr>
      <w:r>
        <w:rPr>
          <w:lang w:val="en-IN"/>
        </w:rPr>
        <w:t xml:space="preserve">O. Kavak, A. Demir, and E. Yilmaz, “ResNet50-based deep learning approach for pancreatic ductal adenocarcinoma histopathology classification,” </w:t>
      </w:r>
      <w:r>
        <w:rPr>
          <w:i/>
          <w:iCs/>
          <w:lang w:val="en-IN"/>
        </w:rPr>
        <w:t>Sensors</w:t>
      </w:r>
      <w:r>
        <w:rPr>
          <w:lang w:val="en-IN"/>
        </w:rPr>
        <w:t>, vol. 24, no. 3, pp. 1–14, 2024.</w:t>
      </w:r>
    </w:p>
    <w:p w14:paraId="4675ECA8" w14:textId="77777777" w:rsidR="000B2222" w:rsidRDefault="00000000">
      <w:pPr>
        <w:pStyle w:val="references"/>
        <w:ind w:left="354"/>
        <w:rPr>
          <w:lang w:val="en-IN"/>
        </w:rPr>
      </w:pPr>
      <w:r>
        <w:rPr>
          <w:lang w:val="en-IN"/>
        </w:rPr>
        <w:t xml:space="preserve">Z. Li, M. Wang, and J. Zhang, “Domain-generalized whole-slide image classification with stain-invariant learning,” </w:t>
      </w:r>
      <w:r>
        <w:rPr>
          <w:i/>
          <w:iCs/>
          <w:lang w:val="en-IN"/>
        </w:rPr>
        <w:t>IEEE Journal of Biomedical and Health Informatics</w:t>
      </w:r>
      <w:r>
        <w:rPr>
          <w:lang w:val="en-IN"/>
        </w:rPr>
        <w:t>, vol. 28, no. 4, pp. 2105–2116, 2024.</w:t>
      </w:r>
    </w:p>
    <w:p w14:paraId="3504D395" w14:textId="77777777" w:rsidR="000B2222" w:rsidRDefault="00000000">
      <w:pPr>
        <w:pStyle w:val="references"/>
        <w:ind w:left="354"/>
        <w:rPr>
          <w:lang w:val="en-IN"/>
        </w:rPr>
      </w:pPr>
      <w:r>
        <w:t xml:space="preserve">J. Qu, Y. Wang, L. Zhang, and K. Huang, “Anatomically guided multiple instance learning for pancreatic histopathology image analysis,” </w:t>
      </w:r>
      <w:r>
        <w:rPr>
          <w:i/>
          <w:iCs/>
        </w:rPr>
        <w:t>Medical Image Analysis</w:t>
      </w:r>
      <w:r>
        <w:t>, vol. 86, p. 102772, 2023.</w:t>
      </w:r>
    </w:p>
    <w:p w14:paraId="1535B9D9" w14:textId="77777777" w:rsidR="000B2222" w:rsidRDefault="00000000">
      <w:pPr>
        <w:pStyle w:val="references"/>
        <w:ind w:left="354"/>
        <w:rPr>
          <w:lang w:val="en-IN"/>
        </w:rPr>
      </w:pPr>
      <w:r>
        <w:t xml:space="preserve">Z. Li, H. Chen, and X. Li, “Vision transformer-based weakly supervised learning for whole-slide histopathology image analysis,” </w:t>
      </w:r>
      <w:r>
        <w:rPr>
          <w:i/>
          <w:iCs/>
        </w:rPr>
        <w:t>Medical Image Analysis</w:t>
      </w:r>
      <w:r>
        <w:t>, vol. 84, p. 102703, 2023.</w:t>
      </w:r>
    </w:p>
    <w:p w14:paraId="49276E95" w14:textId="77777777" w:rsidR="000B2222" w:rsidRDefault="00000000">
      <w:pPr>
        <w:pStyle w:val="references"/>
        <w:ind w:left="354"/>
        <w:rPr>
          <w:lang w:val="en-IN"/>
        </w:rPr>
      </w:pPr>
      <w:r>
        <w:t xml:space="preserve">M. </w:t>
      </w:r>
      <w:proofErr w:type="spellStart"/>
      <w:r>
        <w:t>Dörrich</w:t>
      </w:r>
      <w:proofErr w:type="spellEnd"/>
      <w:r>
        <w:t xml:space="preserve">, F. </w:t>
      </w:r>
      <w:proofErr w:type="spellStart"/>
      <w:r>
        <w:t>Nensa</w:t>
      </w:r>
      <w:proofErr w:type="spellEnd"/>
      <w:r>
        <w:t xml:space="preserve">, and M. Schlaefer, “Explainable convolutional neural networks for digital pathology,” </w:t>
      </w:r>
      <w:r>
        <w:rPr>
          <w:i/>
          <w:iCs/>
        </w:rPr>
        <w:t>Diagnostic Pathology</w:t>
      </w:r>
      <w:r>
        <w:t>, vol. 18, no. 1, pp. 1–11, 2023.</w:t>
      </w:r>
    </w:p>
    <w:p w14:paraId="08CA1F2D" w14:textId="77777777" w:rsidR="000B2222" w:rsidRDefault="00000000">
      <w:pPr>
        <w:pStyle w:val="references"/>
        <w:ind w:left="354"/>
        <w:rPr>
          <w:lang w:val="en-IN"/>
        </w:rPr>
      </w:pPr>
      <w:r>
        <w:t xml:space="preserve">F. Carrillo-Pérez, M. </w:t>
      </w:r>
      <w:proofErr w:type="spellStart"/>
      <w:r>
        <w:t>Balkenhol</w:t>
      </w:r>
      <w:proofErr w:type="spellEnd"/>
      <w:r>
        <w:t xml:space="preserve">, and A. </w:t>
      </w:r>
      <w:proofErr w:type="spellStart"/>
      <w:r>
        <w:t>Bulten</w:t>
      </w:r>
      <w:proofErr w:type="spellEnd"/>
      <w:r>
        <w:t xml:space="preserve">, “Multi-center robustness assessment of deep learning models for pancreatic histopathology,” </w:t>
      </w:r>
      <w:r>
        <w:rPr>
          <w:i/>
          <w:iCs/>
        </w:rPr>
        <w:t>Cancer Imaging</w:t>
      </w:r>
      <w:r>
        <w:t>, vol. 23, no. 1, pp. 1–13, 2023.</w:t>
      </w:r>
    </w:p>
    <w:p w14:paraId="4D1ABB0B" w14:textId="77777777" w:rsidR="000B2222" w:rsidRDefault="00000000">
      <w:pPr>
        <w:pStyle w:val="references"/>
        <w:ind w:left="354"/>
        <w:rPr>
          <w:lang w:val="en-IN"/>
        </w:rPr>
      </w:pPr>
      <w:r>
        <w:t xml:space="preserve">X. Zhao, Y. Zhang, and Q. Wang, “Transformer-based attention networks for histopathological image classification,” </w:t>
      </w:r>
      <w:r>
        <w:rPr>
          <w:i/>
          <w:iCs/>
        </w:rPr>
        <w:t>IEEE Transactions on Medical Imaging</w:t>
      </w:r>
      <w:r>
        <w:t>, vol. 42, no. 7, pp. 1961–1973, 2023.</w:t>
      </w:r>
    </w:p>
    <w:p w14:paraId="15866998" w14:textId="77777777" w:rsidR="000B2222" w:rsidRDefault="00000000">
      <w:pPr>
        <w:pStyle w:val="references"/>
        <w:ind w:left="354"/>
        <w:rPr>
          <w:lang w:val="en-IN"/>
        </w:rPr>
      </w:pPr>
      <w:r>
        <w:t xml:space="preserve">G. Campanella, M. G. Hanna, L. </w:t>
      </w:r>
      <w:proofErr w:type="spellStart"/>
      <w:r>
        <w:t>Geneslaw</w:t>
      </w:r>
      <w:proofErr w:type="spellEnd"/>
      <w:r>
        <w:t xml:space="preserve">, et al., “Clinical-grade computational pathology using weakly supervised deep learning on whole-slide images,” </w:t>
      </w:r>
      <w:r>
        <w:rPr>
          <w:i/>
          <w:iCs/>
        </w:rPr>
        <w:t>Nature Medicine</w:t>
      </w:r>
      <w:r>
        <w:t>, vol. 25, no. 8, pp. 1301–1309, updated 2023.</w:t>
      </w:r>
    </w:p>
    <w:p w14:paraId="608DA277" w14:textId="77777777" w:rsidR="000B2222" w:rsidRDefault="000B2222">
      <w:pPr>
        <w:pStyle w:val="references"/>
        <w:numPr>
          <w:ilvl w:val="0"/>
          <w:numId w:val="0"/>
        </w:numPr>
        <w:ind w:left="354"/>
      </w:pPr>
    </w:p>
    <w:p w14:paraId="349E9C8D" w14:textId="77777777" w:rsidR="000B2222" w:rsidRDefault="000B2222">
      <w:pPr>
        <w:pStyle w:val="references"/>
        <w:numPr>
          <w:ilvl w:val="0"/>
          <w:numId w:val="0"/>
        </w:numPr>
        <w:ind w:left="360" w:hanging="360"/>
      </w:pPr>
    </w:p>
    <w:p w14:paraId="43E8A796" w14:textId="77777777" w:rsidR="000B2222" w:rsidRDefault="000B2222">
      <w:pPr>
        <w:pStyle w:val="references"/>
        <w:numPr>
          <w:ilvl w:val="0"/>
          <w:numId w:val="0"/>
        </w:numPr>
        <w:spacing w:line="240" w:lineRule="auto"/>
        <w:ind w:left="360" w:hanging="360"/>
        <w:jc w:val="center"/>
        <w:rPr>
          <w:rFonts w:eastAsia="SimSun"/>
          <w:b/>
          <w:color w:val="FF0000"/>
          <w:spacing w:val="-1"/>
          <w:sz w:val="20"/>
          <w:szCs w:val="20"/>
          <w:lang w:val="zh-CN" w:eastAsia="zh-CN"/>
        </w:rPr>
        <w:sectPr w:rsidR="000B2222">
          <w:type w:val="continuous"/>
          <w:pgSz w:w="11906" w:h="16838"/>
          <w:pgMar w:top="1080" w:right="907" w:bottom="1440" w:left="907" w:header="720" w:footer="720" w:gutter="0"/>
          <w:cols w:num="2" w:space="360"/>
          <w:docGrid w:linePitch="360"/>
        </w:sectPr>
      </w:pPr>
    </w:p>
    <w:p w14:paraId="4F720194" w14:textId="77777777" w:rsidR="000B2222" w:rsidRDefault="000B2222"/>
    <w:sectPr w:rsidR="000B2222">
      <w:type w:val="continuous"/>
      <w:pgSz w:w="11906" w:h="16838"/>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84854" w14:textId="77777777" w:rsidR="00C76D52" w:rsidRDefault="00C76D52">
      <w:r>
        <w:separator/>
      </w:r>
    </w:p>
  </w:endnote>
  <w:endnote w:type="continuationSeparator" w:id="0">
    <w:p w14:paraId="1EED803F" w14:textId="77777777" w:rsidR="00C76D52" w:rsidRDefault="00C7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AB38" w14:textId="77777777" w:rsidR="000B2222" w:rsidRDefault="00000000">
    <w:pPr>
      <w:pStyle w:val="Footer"/>
      <w:jc w:val="left"/>
      <w:rPr>
        <w:sz w:val="16"/>
        <w:szCs w:val="16"/>
      </w:rPr>
    </w:pPr>
    <w:r>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DA634" w14:textId="77777777" w:rsidR="00C76D52" w:rsidRDefault="00C76D52">
      <w:r>
        <w:separator/>
      </w:r>
    </w:p>
  </w:footnote>
  <w:footnote w:type="continuationSeparator" w:id="0">
    <w:p w14:paraId="5D87474B" w14:textId="77777777" w:rsidR="00C76D52" w:rsidRDefault="00C76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15:restartNumberingAfterBreak="0">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abstractNum w:abstractNumId="7" w15:restartNumberingAfterBreak="0">
    <w:nsid w:val="78FA5583"/>
    <w:multiLevelType w:val="multilevel"/>
    <w:tmpl w:val="78FA5583"/>
    <w:lvl w:ilvl="0">
      <w:start w:val="1"/>
      <w:numFmt w:val="upperLetter"/>
      <w:lvlText w:val="%1."/>
      <w:lvlJc w:val="left"/>
      <w:pPr>
        <w:ind w:left="888" w:hanging="360"/>
      </w:pPr>
      <w:rPr>
        <w:rFonts w:hint="default"/>
      </w:rPr>
    </w:lvl>
    <w:lvl w:ilvl="1">
      <w:start w:val="1"/>
      <w:numFmt w:val="lowerLetter"/>
      <w:lvlText w:val="%2."/>
      <w:lvlJc w:val="left"/>
      <w:pPr>
        <w:ind w:left="1608" w:hanging="360"/>
      </w:pPr>
    </w:lvl>
    <w:lvl w:ilvl="2">
      <w:start w:val="1"/>
      <w:numFmt w:val="lowerRoman"/>
      <w:lvlText w:val="%3."/>
      <w:lvlJc w:val="right"/>
      <w:pPr>
        <w:ind w:left="2328" w:hanging="180"/>
      </w:pPr>
    </w:lvl>
    <w:lvl w:ilvl="3">
      <w:start w:val="1"/>
      <w:numFmt w:val="decimal"/>
      <w:lvlText w:val="%4."/>
      <w:lvlJc w:val="left"/>
      <w:pPr>
        <w:ind w:left="3048" w:hanging="360"/>
      </w:pPr>
    </w:lvl>
    <w:lvl w:ilvl="4">
      <w:start w:val="1"/>
      <w:numFmt w:val="lowerLetter"/>
      <w:lvlText w:val="%5."/>
      <w:lvlJc w:val="left"/>
      <w:pPr>
        <w:ind w:left="3768" w:hanging="360"/>
      </w:pPr>
    </w:lvl>
    <w:lvl w:ilvl="5">
      <w:start w:val="1"/>
      <w:numFmt w:val="lowerRoman"/>
      <w:lvlText w:val="%6."/>
      <w:lvlJc w:val="right"/>
      <w:pPr>
        <w:ind w:left="4488" w:hanging="180"/>
      </w:pPr>
    </w:lvl>
    <w:lvl w:ilvl="6">
      <w:start w:val="1"/>
      <w:numFmt w:val="decimal"/>
      <w:lvlText w:val="%7."/>
      <w:lvlJc w:val="left"/>
      <w:pPr>
        <w:ind w:left="5208" w:hanging="360"/>
      </w:pPr>
    </w:lvl>
    <w:lvl w:ilvl="7">
      <w:start w:val="1"/>
      <w:numFmt w:val="lowerLetter"/>
      <w:lvlText w:val="%8."/>
      <w:lvlJc w:val="left"/>
      <w:pPr>
        <w:ind w:left="5928" w:hanging="360"/>
      </w:pPr>
    </w:lvl>
    <w:lvl w:ilvl="8">
      <w:start w:val="1"/>
      <w:numFmt w:val="lowerRoman"/>
      <w:lvlText w:val="%9."/>
      <w:lvlJc w:val="right"/>
      <w:pPr>
        <w:ind w:left="6648" w:hanging="180"/>
      </w:pPr>
    </w:lvl>
  </w:abstractNum>
  <w:num w:numId="1" w16cid:durableId="1088116002">
    <w:abstractNumId w:val="2"/>
  </w:num>
  <w:num w:numId="2" w16cid:durableId="842352039">
    <w:abstractNumId w:val="1"/>
  </w:num>
  <w:num w:numId="3" w16cid:durableId="2119138124">
    <w:abstractNumId w:val="5"/>
  </w:num>
  <w:num w:numId="4" w16cid:durableId="341205778">
    <w:abstractNumId w:val="0"/>
  </w:num>
  <w:num w:numId="5" w16cid:durableId="157384698">
    <w:abstractNumId w:val="4"/>
  </w:num>
  <w:num w:numId="6" w16cid:durableId="1818299950">
    <w:abstractNumId w:val="3"/>
  </w:num>
  <w:num w:numId="7" w16cid:durableId="553591245">
    <w:abstractNumId w:val="6"/>
  </w:num>
  <w:num w:numId="8" w16cid:durableId="18914598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B2222"/>
    <w:rsid w:val="000C1E68"/>
    <w:rsid w:val="001004A7"/>
    <w:rsid w:val="00106954"/>
    <w:rsid w:val="001A2EFD"/>
    <w:rsid w:val="001A3B3D"/>
    <w:rsid w:val="001B28B5"/>
    <w:rsid w:val="001B67DC"/>
    <w:rsid w:val="002254A9"/>
    <w:rsid w:val="002278F7"/>
    <w:rsid w:val="00233D97"/>
    <w:rsid w:val="002347A2"/>
    <w:rsid w:val="0024597D"/>
    <w:rsid w:val="00275047"/>
    <w:rsid w:val="00280C38"/>
    <w:rsid w:val="002850E3"/>
    <w:rsid w:val="002B6E76"/>
    <w:rsid w:val="00354FCF"/>
    <w:rsid w:val="003758A5"/>
    <w:rsid w:val="003806AD"/>
    <w:rsid w:val="003A19E2"/>
    <w:rsid w:val="003B2B40"/>
    <w:rsid w:val="003B4E04"/>
    <w:rsid w:val="003F507F"/>
    <w:rsid w:val="003F5A08"/>
    <w:rsid w:val="00417EBC"/>
    <w:rsid w:val="00420716"/>
    <w:rsid w:val="004325FB"/>
    <w:rsid w:val="004432BA"/>
    <w:rsid w:val="00443DD3"/>
    <w:rsid w:val="0044407E"/>
    <w:rsid w:val="00447BB9"/>
    <w:rsid w:val="0046031D"/>
    <w:rsid w:val="00473AC9"/>
    <w:rsid w:val="004D72B5"/>
    <w:rsid w:val="004E6CD8"/>
    <w:rsid w:val="00551B7F"/>
    <w:rsid w:val="0056610F"/>
    <w:rsid w:val="00575BCA"/>
    <w:rsid w:val="005926E4"/>
    <w:rsid w:val="005A776F"/>
    <w:rsid w:val="005B0344"/>
    <w:rsid w:val="005B520E"/>
    <w:rsid w:val="005E2800"/>
    <w:rsid w:val="005E473C"/>
    <w:rsid w:val="00605825"/>
    <w:rsid w:val="00617C4F"/>
    <w:rsid w:val="00622182"/>
    <w:rsid w:val="00645D22"/>
    <w:rsid w:val="00651A08"/>
    <w:rsid w:val="00654204"/>
    <w:rsid w:val="00670434"/>
    <w:rsid w:val="006A5D82"/>
    <w:rsid w:val="006B6B66"/>
    <w:rsid w:val="006C7836"/>
    <w:rsid w:val="006D5114"/>
    <w:rsid w:val="006F6D3D"/>
    <w:rsid w:val="00715BEA"/>
    <w:rsid w:val="00740EEA"/>
    <w:rsid w:val="007451BC"/>
    <w:rsid w:val="00776ED1"/>
    <w:rsid w:val="00794804"/>
    <w:rsid w:val="007A2F1C"/>
    <w:rsid w:val="007B33F1"/>
    <w:rsid w:val="007B6DDA"/>
    <w:rsid w:val="007C0308"/>
    <w:rsid w:val="007C2FF2"/>
    <w:rsid w:val="007D6232"/>
    <w:rsid w:val="007E6976"/>
    <w:rsid w:val="007F1F99"/>
    <w:rsid w:val="007F768F"/>
    <w:rsid w:val="00800360"/>
    <w:rsid w:val="0080791D"/>
    <w:rsid w:val="008147B5"/>
    <w:rsid w:val="00836367"/>
    <w:rsid w:val="00844C0C"/>
    <w:rsid w:val="00873603"/>
    <w:rsid w:val="0087578E"/>
    <w:rsid w:val="0088537A"/>
    <w:rsid w:val="008A2C7D"/>
    <w:rsid w:val="008B6524"/>
    <w:rsid w:val="008C4B23"/>
    <w:rsid w:val="008F6E2C"/>
    <w:rsid w:val="009303D9"/>
    <w:rsid w:val="00933C64"/>
    <w:rsid w:val="00937D74"/>
    <w:rsid w:val="00943A7C"/>
    <w:rsid w:val="009533C2"/>
    <w:rsid w:val="00972203"/>
    <w:rsid w:val="0099674C"/>
    <w:rsid w:val="009A0EE4"/>
    <w:rsid w:val="009C62FA"/>
    <w:rsid w:val="009F1D79"/>
    <w:rsid w:val="009F5F8D"/>
    <w:rsid w:val="00A059B3"/>
    <w:rsid w:val="00AE3409"/>
    <w:rsid w:val="00B01B1A"/>
    <w:rsid w:val="00B11A60"/>
    <w:rsid w:val="00B22613"/>
    <w:rsid w:val="00B44A76"/>
    <w:rsid w:val="00B66FE9"/>
    <w:rsid w:val="00B768D1"/>
    <w:rsid w:val="00BA1025"/>
    <w:rsid w:val="00BC3420"/>
    <w:rsid w:val="00BD670B"/>
    <w:rsid w:val="00BE4E0F"/>
    <w:rsid w:val="00BE7D3C"/>
    <w:rsid w:val="00BF5FF6"/>
    <w:rsid w:val="00C0207F"/>
    <w:rsid w:val="00C16117"/>
    <w:rsid w:val="00C3075A"/>
    <w:rsid w:val="00C32A60"/>
    <w:rsid w:val="00C52A53"/>
    <w:rsid w:val="00C76D52"/>
    <w:rsid w:val="00C8494C"/>
    <w:rsid w:val="00C919A4"/>
    <w:rsid w:val="00CA4392"/>
    <w:rsid w:val="00CC393F"/>
    <w:rsid w:val="00D0149D"/>
    <w:rsid w:val="00D2176E"/>
    <w:rsid w:val="00D632BE"/>
    <w:rsid w:val="00D659A7"/>
    <w:rsid w:val="00D72D06"/>
    <w:rsid w:val="00D7522C"/>
    <w:rsid w:val="00D7536F"/>
    <w:rsid w:val="00D76668"/>
    <w:rsid w:val="00DD1C61"/>
    <w:rsid w:val="00E07383"/>
    <w:rsid w:val="00E165BC"/>
    <w:rsid w:val="00E61E12"/>
    <w:rsid w:val="00E7596C"/>
    <w:rsid w:val="00E878F2"/>
    <w:rsid w:val="00EC45F2"/>
    <w:rsid w:val="00ED0149"/>
    <w:rsid w:val="00EF7DE3"/>
    <w:rsid w:val="00F01ECE"/>
    <w:rsid w:val="00F03103"/>
    <w:rsid w:val="00F271DE"/>
    <w:rsid w:val="00F627DA"/>
    <w:rsid w:val="00F7288F"/>
    <w:rsid w:val="00F847A6"/>
    <w:rsid w:val="00F9441B"/>
    <w:rsid w:val="00FA4C32"/>
    <w:rsid w:val="00FC72DB"/>
    <w:rsid w:val="00FD2FB0"/>
    <w:rsid w:val="00FE7114"/>
    <w:rsid w:val="01E541CD"/>
    <w:rsid w:val="377327D1"/>
    <w:rsid w:val="487D76F2"/>
    <w:rsid w:val="55BD2E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9B94C"/>
  <w15:docId w15:val="{C5C5EEA1-9B1D-40DF-A5C2-250E0170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pPr>
      <w:keepNext/>
      <w:keepLines/>
      <w:numPr>
        <w:ilvl w:val="1"/>
        <w:numId w:val="1"/>
      </w:numPr>
      <w:tabs>
        <w:tab w:val="clear" w:pos="360"/>
        <w:tab w:val="left" w:pos="288"/>
      </w:tabs>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tabs>
        <w:tab w:val="left" w:pos="288"/>
      </w:tabs>
      <w:spacing w:after="120" w:line="228" w:lineRule="auto"/>
      <w:ind w:firstLine="288"/>
      <w:jc w:val="both"/>
    </w:pPr>
    <w:rPr>
      <w:spacing w:val="-1"/>
      <w:lang w:val="zh-CN" w:eastAsia="zh-CN"/>
    </w:rPr>
  </w:style>
  <w:style w:type="character" w:styleId="Emphasis">
    <w:name w:val="Emphasis"/>
    <w:basedOn w:val="DefaultParagraphFont"/>
    <w:qFormat/>
    <w:rPr>
      <w:i/>
      <w:iCs/>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563C1" w:themeColor="hyperlink"/>
      <w:u w:val="single"/>
    </w:rPr>
  </w:style>
  <w:style w:type="paragraph" w:styleId="NormalWeb">
    <w:name w:val="Normal (Web)"/>
    <w:basedOn w:val="Normal"/>
    <w:uiPriority w:val="99"/>
    <w:qFormat/>
    <w:rPr>
      <w:sz w:val="24"/>
      <w:szCs w:val="24"/>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qFormat/>
    <w:pPr>
      <w:spacing w:after="200"/>
      <w:ind w:firstLine="272"/>
      <w:jc w:val="both"/>
    </w:pPr>
    <w:rPr>
      <w:b/>
      <w:bCs/>
      <w:sz w:val="18"/>
      <w:szCs w:val="18"/>
      <w:lang w:val="en-US" w:eastAsia="en-US"/>
    </w:rPr>
  </w:style>
  <w:style w:type="paragraph" w:customStyle="1" w:styleId="Affiliation">
    <w:name w:val="Affiliation"/>
    <w:qFormat/>
    <w:pPr>
      <w:jc w:val="center"/>
    </w:pPr>
    <w:rPr>
      <w:lang w:val="en-US" w:eastAsia="en-US"/>
    </w:rPr>
  </w:style>
  <w:style w:type="paragraph" w:customStyle="1" w:styleId="Author">
    <w:name w:val="Author"/>
    <w:qFormat/>
    <w:pPr>
      <w:spacing w:before="360" w:after="40"/>
      <w:jc w:val="center"/>
    </w:pPr>
    <w:rPr>
      <w:sz w:val="22"/>
      <w:szCs w:val="22"/>
      <w:lang w:val="en-US" w:eastAsia="en-US"/>
    </w:rPr>
  </w:style>
  <w:style w:type="character" w:customStyle="1" w:styleId="BodyTextChar">
    <w:name w:val="Body Text Char"/>
    <w:link w:val="BodyText"/>
    <w:qFormat/>
    <w:rPr>
      <w:spacing w:val="-1"/>
      <w:lang w:val="zh-CN" w:eastAsia="zh-CN"/>
    </w:rPr>
  </w:style>
  <w:style w:type="paragraph" w:customStyle="1" w:styleId="bulletlist">
    <w:name w:val="bullet list"/>
    <w:basedOn w:val="BodyText"/>
    <w:qFormat/>
    <w:pPr>
      <w:numPr>
        <w:numId w:val="2"/>
      </w:numPr>
      <w:tabs>
        <w:tab w:val="clear" w:pos="648"/>
      </w:tabs>
      <w:ind w:left="576" w:hanging="288"/>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3"/>
      </w:numPr>
      <w:tabs>
        <w:tab w:val="left" w:pos="533"/>
      </w:tabs>
      <w:spacing w:before="80" w:after="200"/>
      <w:ind w:left="0" w:firstLine="0"/>
      <w:jc w:val="both"/>
    </w:pPr>
    <w:rPr>
      <w:sz w:val="16"/>
      <w:szCs w:val="16"/>
      <w:lang w:val="en-US" w:eastAsia="en-US"/>
    </w:rPr>
  </w:style>
  <w:style w:type="paragraph" w:customStyle="1" w:styleId="footnote">
    <w:name w:val="footnote"/>
    <w:qFormat/>
    <w:pPr>
      <w:framePr w:hSpace="187" w:vSpace="187" w:wrap="notBeside" w:vAnchor="text" w:hAnchor="page" w:x="6121" w:y="577"/>
      <w:numPr>
        <w:numId w:val="4"/>
      </w:numPr>
      <w:spacing w:after="40"/>
    </w:pPr>
    <w:rPr>
      <w:sz w:val="16"/>
      <w:szCs w:val="16"/>
      <w:lang w:val="en-US" w:eastAsia="en-US"/>
    </w:rPr>
  </w:style>
  <w:style w:type="paragraph" w:customStyle="1" w:styleId="papersubtitle">
    <w:name w:val="paper subtitle"/>
    <w:qFormat/>
    <w:pPr>
      <w:spacing w:after="120"/>
      <w:jc w:val="center"/>
    </w:pPr>
    <w:rPr>
      <w:rFonts w:eastAsia="MS Mincho"/>
      <w:sz w:val="28"/>
      <w:szCs w:val="28"/>
      <w:lang w:val="en-US" w:eastAsia="en-US"/>
    </w:rPr>
  </w:style>
  <w:style w:type="paragraph" w:customStyle="1" w:styleId="papertitle">
    <w:name w:val="paper title"/>
    <w:qFormat/>
    <w:pPr>
      <w:spacing w:after="120"/>
      <w:jc w:val="center"/>
    </w:pPr>
    <w:rPr>
      <w:rFonts w:eastAsia="MS Mincho"/>
      <w:sz w:val="48"/>
      <w:szCs w:val="48"/>
      <w:lang w:val="en-US" w:eastAsia="en-US"/>
    </w:rPr>
  </w:style>
  <w:style w:type="paragraph" w:customStyle="1" w:styleId="references">
    <w:name w:val="references"/>
    <w:qFormat/>
    <w:pPr>
      <w:numPr>
        <w:numId w:val="5"/>
      </w:numPr>
      <w:spacing w:after="50" w:line="180" w:lineRule="exact"/>
      <w:jc w:val="both"/>
    </w:pPr>
    <w:rPr>
      <w:rFonts w:eastAsia="MS Mincho"/>
      <w:sz w:val="16"/>
      <w:szCs w:val="16"/>
      <w:lang w:val="en-US" w:eastAsia="en-US"/>
    </w:rPr>
  </w:style>
  <w:style w:type="paragraph" w:customStyle="1" w:styleId="sponsors">
    <w:name w:val="sponsors"/>
    <w:qFormat/>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lang w:val="en-US" w:eastAsia="en-US"/>
    </w:rPr>
  </w:style>
  <w:style w:type="paragraph" w:customStyle="1" w:styleId="tablefootnote">
    <w:name w:val="table footnote"/>
    <w:qFormat/>
    <w:pPr>
      <w:numPr>
        <w:numId w:val="6"/>
      </w:numPr>
      <w:spacing w:before="60" w:after="30"/>
      <w:ind w:left="58" w:hanging="29"/>
      <w:jc w:val="right"/>
    </w:pPr>
    <w:rPr>
      <w:sz w:val="12"/>
      <w:szCs w:val="12"/>
      <w:lang w:val="en-US" w:eastAsia="en-US"/>
    </w:rPr>
  </w:style>
  <w:style w:type="paragraph" w:customStyle="1" w:styleId="tablehead">
    <w:name w:val="table head"/>
    <w:qFormat/>
    <w:pPr>
      <w:numPr>
        <w:numId w:val="7"/>
      </w:numPr>
      <w:spacing w:before="240" w:after="120" w:line="216" w:lineRule="auto"/>
      <w:jc w:val="center"/>
    </w:pPr>
    <w:rPr>
      <w:smallCaps/>
      <w:sz w:val="16"/>
      <w:szCs w:val="16"/>
      <w:lang w:val="en-US" w:eastAsia="en-US"/>
    </w:rPr>
  </w:style>
  <w:style w:type="paragraph" w:customStyle="1" w:styleId="Keywords">
    <w:name w:val="Keywords"/>
    <w:basedOn w:val="Abstract"/>
    <w:qFormat/>
    <w:pPr>
      <w:spacing w:after="120"/>
      <w:ind w:firstLine="274"/>
    </w:pPr>
    <w:rPr>
      <w:i/>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adhavi1593@vardhaman.org%20Matta"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23881A1204</cp:lastModifiedBy>
  <cp:revision>4</cp:revision>
  <dcterms:created xsi:type="dcterms:W3CDTF">2026-02-24T14:40:00Z</dcterms:created>
  <dcterms:modified xsi:type="dcterms:W3CDTF">2026-02-24T16:01:00Z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5D4105A98A4541EC9DCFA2F08488F5CB_13</vt:lpwstr>
  </property>
  <property fmtid="{D5CDD505-2E9C-101B-9397-08002B2CF9AE}" pid="4" name="GrammarlyDocumentId">
    <vt:lpwstr>e2a18b52-a940-405e-82f9-24857bd99047</vt:lpwstr>
  </property>
</Properties>
</file>