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38DD" w:rsidRDefault="00000000" w:rsidP="006038DD">
      <w:pPr>
        <w:pStyle w:val="papertitle"/>
        <w:spacing w:after="0"/>
      </w:pPr>
      <w:r>
        <w:t xml:space="preserve">ANALYSIS OF ABAC-BLOCKCHAIN INTEGRATION FOR SECURE </w:t>
      </w:r>
    </w:p>
    <w:p w:rsidR="006038DD" w:rsidRPr="002D62D7" w:rsidRDefault="00000000" w:rsidP="002D62D7">
      <w:pPr>
        <w:pStyle w:val="papertitle"/>
        <w:spacing w:after="0"/>
        <w:sectPr w:rsidR="006038DD" w:rsidRPr="002D62D7" w:rsidSect="003B4E04">
          <w:footerReference w:type="first" r:id="rId7"/>
          <w:pgSz w:w="11906" w:h="16838" w:code="9"/>
          <w:pgMar w:top="540" w:right="893" w:bottom="1440" w:left="893" w:header="720" w:footer="720" w:gutter="0"/>
          <w:cols w:space="720"/>
          <w:titlePg/>
          <w:docGrid w:linePitch="360"/>
        </w:sectPr>
      </w:pPr>
      <w:r>
        <w:t xml:space="preserve">E-GOVERNANCE </w:t>
      </w:r>
    </w:p>
    <w:p w:rsidR="006038DD" w:rsidRDefault="006038DD" w:rsidP="006038DD">
      <w:pPr>
        <w:pStyle w:val="Author"/>
        <w:spacing w:before="0" w:after="0"/>
        <w:jc w:val="both"/>
        <w:rPr>
          <w:sz w:val="18"/>
          <w:szCs w:val="18"/>
        </w:rPr>
        <w:sectPr w:rsidR="006038DD" w:rsidSect="003B4E04">
          <w:type w:val="continuous"/>
          <w:pgSz w:w="11906" w:h="16838" w:code="9"/>
          <w:pgMar w:top="450" w:right="893" w:bottom="1440" w:left="893" w:header="720" w:footer="720" w:gutter="0"/>
          <w:cols w:num="3" w:space="720"/>
          <w:docGrid w:linePitch="360"/>
        </w:sectPr>
      </w:pPr>
    </w:p>
    <w:p w:rsidR="006038DD" w:rsidRDefault="006038DD" w:rsidP="002D62D7">
      <w:pPr>
        <w:pStyle w:val="Author"/>
        <w:spacing w:before="0" w:after="0"/>
        <w:jc w:val="both"/>
        <w:rPr>
          <w:sz w:val="18"/>
          <w:szCs w:val="18"/>
        </w:rPr>
      </w:pPr>
    </w:p>
    <w:p w:rsidR="006038DD" w:rsidRDefault="00000000" w:rsidP="002D62D7">
      <w:pPr>
        <w:pStyle w:val="Author"/>
        <w:spacing w:before="0" w:after="0"/>
        <w:rPr>
          <w:sz w:val="18"/>
          <w:szCs w:val="18"/>
        </w:rPr>
      </w:pPr>
      <w:r>
        <w:rPr>
          <w:sz w:val="18"/>
          <w:szCs w:val="18"/>
        </w:rPr>
        <w:t>Kris C. Bahaya</w:t>
      </w:r>
      <w:r w:rsidRPr="00F847A6">
        <w:rPr>
          <w:sz w:val="18"/>
          <w:szCs w:val="18"/>
        </w:rPr>
        <w:t xml:space="preserve"> </w:t>
      </w:r>
    </w:p>
    <w:p w:rsidR="006038DD" w:rsidRDefault="00000000" w:rsidP="002D62D7">
      <w:pPr>
        <w:pStyle w:val="Author"/>
        <w:spacing w:before="0" w:after="0"/>
        <w:rPr>
          <w:sz w:val="18"/>
          <w:szCs w:val="18"/>
        </w:rPr>
      </w:pPr>
      <w:r>
        <w:rPr>
          <w:i/>
          <w:iCs/>
          <w:sz w:val="18"/>
          <w:szCs w:val="18"/>
        </w:rPr>
        <w:t xml:space="preserve">College of Information and Computing </w:t>
      </w:r>
    </w:p>
    <w:p w:rsidR="006038DD" w:rsidRDefault="00000000" w:rsidP="002D62D7">
      <w:pPr>
        <w:pStyle w:val="Author"/>
        <w:spacing w:before="0" w:after="0"/>
        <w:rPr>
          <w:sz w:val="18"/>
          <w:szCs w:val="18"/>
        </w:rPr>
      </w:pPr>
      <w:r>
        <w:rPr>
          <w:i/>
          <w:iCs/>
          <w:sz w:val="18"/>
          <w:szCs w:val="18"/>
        </w:rPr>
        <w:t>University of Southeastern Philippines Obreo</w:t>
      </w:r>
    </w:p>
    <w:p w:rsidR="006038DD" w:rsidRDefault="00000000" w:rsidP="002D62D7">
      <w:pPr>
        <w:pStyle w:val="Author"/>
        <w:spacing w:before="0" w:after="0"/>
        <w:rPr>
          <w:sz w:val="18"/>
          <w:szCs w:val="18"/>
        </w:rPr>
      </w:pPr>
      <w:r>
        <w:rPr>
          <w:sz w:val="18"/>
          <w:szCs w:val="18"/>
        </w:rPr>
        <w:t>Davao City, Philippines</w:t>
      </w:r>
    </w:p>
    <w:p w:rsidR="006038DD" w:rsidRDefault="00000000" w:rsidP="002D62D7">
      <w:pPr>
        <w:pStyle w:val="Author"/>
        <w:spacing w:before="0" w:after="0"/>
        <w:rPr>
          <w:sz w:val="18"/>
          <w:szCs w:val="18"/>
        </w:rPr>
      </w:pPr>
      <w:r>
        <w:rPr>
          <w:sz w:val="18"/>
          <w:szCs w:val="18"/>
        </w:rPr>
        <w:t>kbahaya@usep.edu.ph</w:t>
      </w:r>
    </w:p>
    <w:p w:rsidR="002D62D7" w:rsidRDefault="00000000" w:rsidP="002D62D7">
      <w:pPr>
        <w:pStyle w:val="Author"/>
        <w:spacing w:before="0" w:after="0"/>
        <w:rPr>
          <w:sz w:val="18"/>
          <w:szCs w:val="18"/>
        </w:rPr>
      </w:pPr>
      <w:r>
        <w:rPr>
          <w:sz w:val="18"/>
          <w:szCs w:val="18"/>
        </w:rPr>
        <w:br w:type="column"/>
      </w:r>
    </w:p>
    <w:p w:rsidR="006038DD" w:rsidRDefault="00000000" w:rsidP="002D62D7">
      <w:pPr>
        <w:pStyle w:val="Author"/>
        <w:spacing w:before="0" w:after="0"/>
        <w:rPr>
          <w:sz w:val="18"/>
          <w:szCs w:val="18"/>
        </w:rPr>
      </w:pPr>
      <w:r w:rsidRPr="007B5D9B">
        <w:rPr>
          <w:color w:val="000000" w:themeColor="text1"/>
          <w:sz w:val="18"/>
          <w:szCs w:val="18"/>
        </w:rPr>
        <w:t xml:space="preserve">Cristina E. </w:t>
      </w:r>
      <w:r>
        <w:rPr>
          <w:sz w:val="18"/>
          <w:szCs w:val="18"/>
        </w:rPr>
        <w:t>Dumdumaya</w:t>
      </w:r>
    </w:p>
    <w:p w:rsidR="006038DD" w:rsidRDefault="00000000" w:rsidP="002D62D7">
      <w:pPr>
        <w:pStyle w:val="Author"/>
        <w:spacing w:before="0" w:after="0"/>
        <w:rPr>
          <w:sz w:val="18"/>
          <w:szCs w:val="18"/>
        </w:rPr>
      </w:pPr>
      <w:r>
        <w:rPr>
          <w:i/>
          <w:iCs/>
          <w:sz w:val="18"/>
          <w:szCs w:val="18"/>
        </w:rPr>
        <w:t xml:space="preserve">College of Information and Computing </w:t>
      </w:r>
    </w:p>
    <w:p w:rsidR="006038DD" w:rsidRDefault="00000000" w:rsidP="002D62D7">
      <w:pPr>
        <w:pStyle w:val="Author"/>
        <w:spacing w:before="0" w:after="0"/>
        <w:rPr>
          <w:sz w:val="18"/>
          <w:szCs w:val="18"/>
        </w:rPr>
      </w:pPr>
      <w:r>
        <w:rPr>
          <w:i/>
          <w:iCs/>
          <w:sz w:val="18"/>
          <w:szCs w:val="18"/>
        </w:rPr>
        <w:t>University of Southeastern Philippines Obreo</w:t>
      </w:r>
    </w:p>
    <w:p w:rsidR="006038DD" w:rsidRDefault="00000000" w:rsidP="002D62D7">
      <w:pPr>
        <w:pStyle w:val="Author"/>
        <w:spacing w:before="0" w:after="0"/>
        <w:rPr>
          <w:sz w:val="18"/>
          <w:szCs w:val="18"/>
        </w:rPr>
      </w:pPr>
      <w:r>
        <w:rPr>
          <w:sz w:val="18"/>
          <w:szCs w:val="18"/>
        </w:rPr>
        <w:t>Davao City, Philippines</w:t>
      </w:r>
    </w:p>
    <w:p w:rsidR="006038DD" w:rsidRDefault="00000000" w:rsidP="002D62D7">
      <w:pPr>
        <w:pStyle w:val="Author"/>
        <w:spacing w:before="0" w:after="0"/>
        <w:rPr>
          <w:sz w:val="18"/>
          <w:szCs w:val="18"/>
        </w:rPr>
      </w:pPr>
      <w:r>
        <w:rPr>
          <w:sz w:val="18"/>
          <w:szCs w:val="18"/>
        </w:rPr>
        <w:t>cedumdumaya@usep.edu.ph</w:t>
      </w:r>
    </w:p>
    <w:p w:rsidR="006038DD" w:rsidRDefault="006038DD" w:rsidP="006038DD">
      <w:pPr>
        <w:pStyle w:val="Author"/>
        <w:spacing w:before="100" w:beforeAutospacing="1"/>
        <w:rPr>
          <w:sz w:val="18"/>
          <w:szCs w:val="18"/>
        </w:rPr>
        <w:sectPr w:rsidR="006038DD" w:rsidSect="008A1EDB">
          <w:type w:val="continuous"/>
          <w:pgSz w:w="11906" w:h="16838" w:code="9"/>
          <w:pgMar w:top="450" w:right="893" w:bottom="1440" w:left="893" w:header="720" w:footer="720" w:gutter="0"/>
          <w:cols w:num="2" w:space="720"/>
          <w:docGrid w:linePitch="360"/>
        </w:sectPr>
      </w:pPr>
    </w:p>
    <w:p w:rsidR="006038DD" w:rsidRDefault="006038DD" w:rsidP="006038DD">
      <w:pPr>
        <w:pStyle w:val="Author"/>
        <w:spacing w:before="100" w:beforeAutospacing="1"/>
        <w:jc w:val="both"/>
        <w:sectPr w:rsidR="006038DD" w:rsidSect="008A1EDB">
          <w:type w:val="continuous"/>
          <w:pgSz w:w="11906" w:h="16838" w:code="9"/>
          <w:pgMar w:top="450" w:right="893" w:bottom="1440" w:left="893" w:header="720" w:footer="720" w:gutter="0"/>
          <w:cols w:num="2" w:space="720"/>
          <w:docGrid w:linePitch="360"/>
        </w:sectPr>
      </w:pPr>
    </w:p>
    <w:p w:rsidR="006038DD" w:rsidRPr="005B520E" w:rsidRDefault="00000000" w:rsidP="006038DD">
      <w:pPr>
        <w:sectPr w:rsidR="006038DD" w:rsidRPr="005B520E" w:rsidSect="003B4E04">
          <w:type w:val="continuous"/>
          <w:pgSz w:w="11906" w:h="16838" w:code="9"/>
          <w:pgMar w:top="450" w:right="893" w:bottom="1440" w:left="893" w:header="720" w:footer="720" w:gutter="0"/>
          <w:cols w:num="3" w:space="720"/>
          <w:docGrid w:linePitch="360"/>
        </w:sectPr>
      </w:pPr>
      <w:r>
        <w:br w:type="column"/>
      </w:r>
    </w:p>
    <w:p w:rsidR="000E16D3" w:rsidRDefault="00000000" w:rsidP="00511816">
      <w:pPr>
        <w:pStyle w:val="Abstract"/>
        <w:spacing w:after="0"/>
      </w:pPr>
      <w:r>
        <w:rPr>
          <w:i/>
          <w:iCs/>
        </w:rPr>
        <w:t>Abstract</w:t>
      </w:r>
      <w:r>
        <w:t>—</w:t>
      </w:r>
      <w:r w:rsidRPr="00BD1B5E">
        <w:t xml:space="preserve"> </w:t>
      </w:r>
      <w:r w:rsidR="00511816" w:rsidRPr="00FE1833">
        <w:t>With digitization taking hold in the various Southeast Asian countries, as seen from different eGov PH Super App</w:t>
      </w:r>
      <w:r w:rsidR="00511816">
        <w:t>s</w:t>
      </w:r>
      <w:r w:rsidR="00511816" w:rsidRPr="00FE1833">
        <w:t xml:space="preserve"> in the Philippines, a centralized security framework is struggling when it comes to scalability on-chain, transparency off-chain</w:t>
      </w:r>
      <w:r w:rsidR="00511816">
        <w:t>,</w:t>
      </w:r>
      <w:r w:rsidR="00511816" w:rsidRPr="00FE1833">
        <w:t xml:space="preserve"> and SPOF risk. This study performs a Systematic Literature Review (SLR) of 50 peer-reviewed studies with high quality (2014-2024) to identify the technical feasibility </w:t>
      </w:r>
      <w:r w:rsidR="00511816">
        <w:t>of</w:t>
      </w:r>
      <w:r w:rsidR="00511816" w:rsidRPr="00FE1833">
        <w:t xml:space="preserve"> Adopting Blockchain technology in Attribute</w:t>
      </w:r>
      <w:r w:rsidR="00511816">
        <w:t>-</w:t>
      </w:r>
      <w:r w:rsidR="00511816" w:rsidRPr="00FE1833">
        <w:t>Based Access Control (ABAC) towards regional e-government. Adopting PRISMA guidelines and a customized Normalization Framework, the study compares heterogeneous architectural models based on technical soundness, performance</w:t>
      </w:r>
      <w:r w:rsidR="00511816">
        <w:t>,</w:t>
      </w:r>
      <w:r w:rsidR="00511816" w:rsidRPr="00FE1833">
        <w:t xml:space="preserve"> and regional appropriateness. The paper analyzes three main integration paths: Full On-Chain, Off-Chain</w:t>
      </w:r>
      <w:r w:rsidR="00511816">
        <w:t>,</w:t>
      </w:r>
      <w:r w:rsidR="00511816" w:rsidRPr="00FE1833">
        <w:t xml:space="preserve"> and Hybrid. Results show that although </w:t>
      </w:r>
      <w:r w:rsidR="00511816">
        <w:t xml:space="preserve">the </w:t>
      </w:r>
      <w:r w:rsidR="00511816" w:rsidRPr="00FE1833">
        <w:t xml:space="preserve">Full On-Chain model provides the maximum decentralization, it is not cost-effective for high-concurrency public services at </w:t>
      </w:r>
      <w:r w:rsidR="00511816">
        <w:t xml:space="preserve">the </w:t>
      </w:r>
      <w:r w:rsidR="00511816" w:rsidRPr="00FE1833">
        <w:t xml:space="preserve">current stage. The Hybrid Model, on the other hand, appeared as the Ideal architecture </w:t>
      </w:r>
      <w:r w:rsidR="00511816">
        <w:t>that</w:t>
      </w:r>
      <w:r w:rsidR="00511816" w:rsidRPr="00FE1833">
        <w:t xml:space="preserve"> had effectively solved the Performance-Security Trilemma through adopting Blockchain for tamper-proof policy enforcement and off-chain storage for data efficiency. The construction of the model will further contribute </w:t>
      </w:r>
      <w:r w:rsidR="00511816">
        <w:t xml:space="preserve">to </w:t>
      </w:r>
      <w:r w:rsidR="00511816" w:rsidRPr="00FE1833">
        <w:t>a well-defined architectural map to realize trustless cross-border interoperability and regional data sovereignty in the ASEAN digital space.</w:t>
      </w:r>
    </w:p>
    <w:p w:rsidR="000E16D3" w:rsidRDefault="000E16D3" w:rsidP="000E16D3">
      <w:pPr>
        <w:pStyle w:val="Abstract"/>
        <w:spacing w:after="0"/>
      </w:pPr>
    </w:p>
    <w:p w:rsidR="006038DD" w:rsidRPr="00D2198A" w:rsidRDefault="00000000" w:rsidP="000E16D3">
      <w:pPr>
        <w:pStyle w:val="Abstract"/>
        <w:rPr>
          <w:color w:val="0F1115"/>
        </w:rPr>
      </w:pPr>
      <w:r w:rsidRPr="004D72B5">
        <w:t>Keywords—</w:t>
      </w:r>
      <w:r w:rsidR="000738BA" w:rsidRPr="000738BA">
        <w:t xml:space="preserve"> </w:t>
      </w:r>
      <w:r w:rsidR="000738BA" w:rsidRPr="000738BA">
        <w:rPr>
          <w:color w:val="0F1115"/>
        </w:rPr>
        <w:t>Blockchain, Attribute-Based Access Control (ABAC), E-Governance, ASEAN, Hybrid Architecture, Data Sovereignty.</w:t>
      </w:r>
    </w:p>
    <w:p w:rsidR="006038DD" w:rsidRDefault="00000000" w:rsidP="00511816">
      <w:pPr>
        <w:pStyle w:val="Heading1"/>
        <w:spacing w:before="0" w:after="0"/>
      </w:pPr>
      <w:r>
        <w:t>introduction</w:t>
      </w:r>
    </w:p>
    <w:p w:rsidR="00511816" w:rsidRPr="00511816" w:rsidRDefault="00511816" w:rsidP="00511816"/>
    <w:p w:rsidR="00511816" w:rsidRPr="000F44DF" w:rsidRDefault="00000000" w:rsidP="00511816">
      <w:pPr>
        <w:pStyle w:val="ds-markdown-paragraph"/>
        <w:spacing w:before="0" w:beforeAutospacing="0" w:after="0" w:afterAutospacing="0"/>
        <w:ind w:firstLine="284"/>
        <w:jc w:val="both"/>
        <w:rPr>
          <w:color w:val="0F1115"/>
          <w:sz w:val="20"/>
          <w:szCs w:val="20"/>
        </w:rPr>
      </w:pPr>
      <w:r w:rsidRPr="000F44DF">
        <w:rPr>
          <w:color w:val="0F1115"/>
          <w:sz w:val="20"/>
          <w:szCs w:val="20"/>
        </w:rPr>
        <w:t>The digital ecosystem in Southeast Asia is currently undergoing a significant structural change due to the migration of public services onto mobile-first and cloud-based platforms. Contemporary programs like the eGov PH Super App will need smooth integration across hundreds of local and national services that run on dissimilar security frameworks. It's a ploy to encourage regionali</w:t>
      </w:r>
      <w:r w:rsidR="00B61E1B">
        <w:rPr>
          <w:color w:val="0F1115"/>
          <w:sz w:val="20"/>
          <w:szCs w:val="20"/>
        </w:rPr>
        <w:t>z</w:t>
      </w:r>
      <w:r w:rsidRPr="000F44DF">
        <w:rPr>
          <w:color w:val="0F1115"/>
          <w:sz w:val="20"/>
          <w:szCs w:val="20"/>
        </w:rPr>
        <w:t>ation that breaks up and replaces the existing structure of public-sector linkages or, more accurately, the lack thereof between levels of government with something resembling connectivity appropriate for accelerated economic growth and increasingly variegated social needs.</w:t>
      </w:r>
    </w:p>
    <w:p w:rsidR="00511816" w:rsidRPr="000F44DF" w:rsidRDefault="00511816" w:rsidP="00511816">
      <w:pPr>
        <w:pStyle w:val="ds-markdown-paragraph"/>
        <w:spacing w:before="0" w:beforeAutospacing="0" w:after="0" w:afterAutospacing="0"/>
        <w:ind w:firstLine="284"/>
        <w:jc w:val="both"/>
        <w:rPr>
          <w:color w:val="0F1115"/>
          <w:sz w:val="20"/>
          <w:szCs w:val="20"/>
        </w:rPr>
      </w:pPr>
    </w:p>
    <w:p w:rsidR="00511816" w:rsidRPr="000F44DF" w:rsidRDefault="00000000" w:rsidP="00511816">
      <w:pPr>
        <w:pStyle w:val="ds-markdown-paragraph"/>
        <w:spacing w:before="0" w:beforeAutospacing="0" w:after="0" w:afterAutospacing="0"/>
        <w:ind w:firstLine="284"/>
        <w:jc w:val="both"/>
        <w:rPr>
          <w:color w:val="0F1115"/>
          <w:sz w:val="20"/>
          <w:szCs w:val="20"/>
        </w:rPr>
      </w:pPr>
      <w:r w:rsidRPr="000F44DF">
        <w:rPr>
          <w:color w:val="0F1115"/>
          <w:sz w:val="20"/>
          <w:szCs w:val="20"/>
        </w:rPr>
        <w:t xml:space="preserve">However, Traditional Security Frameworks (TSFs) are no longer adequate in this respect, as they are mainly static, perimeter-based, and oriented towards Role-Based Access Control (RBAC) [1][2]. Like RBAC, it defines access based </w:t>
      </w:r>
      <w:r w:rsidRPr="000F44DF">
        <w:rPr>
          <w:color w:val="0F1115"/>
          <w:sz w:val="20"/>
          <w:szCs w:val="20"/>
        </w:rPr>
        <w:t>on predefined organizational roles, which is inherently unsuitable to a cloud environment as it lacks the fine-granularity required for real-time context. It does not assess the state, such as hardware integrity, user location, or time of access [3]. And in today's e-Gov ecosystem, where information has to flow dynamically, this rigidity poses a binary trust conundrum. If a role is authenticated, the system becomes blind to the current environment [4]. As a result of these blind spots, unauthorized lateral movement across the network is permitted [5].</w:t>
      </w:r>
    </w:p>
    <w:p w:rsidR="00511816" w:rsidRPr="000F44DF" w:rsidRDefault="00511816" w:rsidP="00511816">
      <w:pPr>
        <w:pStyle w:val="ds-markdown-paragraph"/>
        <w:spacing w:before="0" w:beforeAutospacing="0" w:after="0" w:afterAutospacing="0"/>
        <w:ind w:firstLine="284"/>
        <w:jc w:val="both"/>
        <w:rPr>
          <w:color w:val="0F1115"/>
          <w:sz w:val="20"/>
          <w:szCs w:val="20"/>
        </w:rPr>
      </w:pPr>
    </w:p>
    <w:p w:rsidR="00511816" w:rsidRPr="000F44DF" w:rsidRDefault="00000000" w:rsidP="00511816">
      <w:pPr>
        <w:pStyle w:val="ds-markdown-paragraph"/>
        <w:spacing w:before="0" w:beforeAutospacing="0" w:after="0" w:afterAutospacing="0"/>
        <w:ind w:firstLine="284"/>
        <w:jc w:val="both"/>
        <w:rPr>
          <w:color w:val="0F1115"/>
          <w:sz w:val="20"/>
          <w:szCs w:val="20"/>
        </w:rPr>
      </w:pPr>
      <w:r w:rsidRPr="000F44DF">
        <w:rPr>
          <w:color w:val="0F1115"/>
          <w:sz w:val="20"/>
          <w:szCs w:val="20"/>
        </w:rPr>
        <w:t>This vulnerability is apparent in recent major regional breaches, including the 2018 SingHealth and 2023 PhilHealth attacks [6][7]. These events illustrate an essential security challenge: As governments move to third-party cloud infrastructure, the good old castle-and-moat defense perimeter disappears. Network location does not provide safety anymore due to the access of cloud resources through the public internet [8]. This inherently requires a Zero Trust (ZT) validation layer. Zero Trust model The Zero Trust model [9][10] assumes that we cannot trust any packet that comes from another system, and it uses per-packet bilateral authentication to provide security, replacing the very concept of trust (location-based) with one of continuous context-aware risk assessment based on current condition.</w:t>
      </w:r>
    </w:p>
    <w:p w:rsidR="00511816" w:rsidRPr="000F44DF" w:rsidRDefault="00511816" w:rsidP="00511816">
      <w:pPr>
        <w:pStyle w:val="ds-markdown-paragraph"/>
        <w:spacing w:before="0" w:beforeAutospacing="0" w:after="0" w:afterAutospacing="0"/>
        <w:ind w:firstLine="284"/>
        <w:jc w:val="both"/>
        <w:rPr>
          <w:color w:val="0F1115"/>
          <w:sz w:val="20"/>
          <w:szCs w:val="20"/>
        </w:rPr>
      </w:pPr>
    </w:p>
    <w:p w:rsidR="00511816" w:rsidRDefault="00000000" w:rsidP="00511816">
      <w:pPr>
        <w:pStyle w:val="ds-markdown-paragraph"/>
        <w:spacing w:before="0" w:beforeAutospacing="0" w:after="0" w:afterAutospacing="0"/>
        <w:ind w:firstLine="284"/>
        <w:jc w:val="both"/>
        <w:rPr>
          <w:color w:val="0F1115"/>
          <w:sz w:val="20"/>
          <w:szCs w:val="20"/>
        </w:rPr>
      </w:pPr>
      <w:r w:rsidRPr="000F44DF">
        <w:rPr>
          <w:color w:val="0F1115"/>
          <w:sz w:val="20"/>
          <w:szCs w:val="20"/>
        </w:rPr>
        <w:t>In the context of a Zero Trust Architecture (ZTA), an essential limitation in existing solutions is the failure to validate identity with its context. To combat this, Attribute-Based Access Control (ABAC) is the exact engine for Zero Trust authentication, which allows inspection of dynamic attributes (e.g., user-clearance, resource-sensitivity, and situation-conditions) to take real-time access decisions [11][12]. However, standard ABAC solutions frequently depend on a centrali</w:t>
      </w:r>
      <w:r w:rsidR="00B61E1B">
        <w:rPr>
          <w:color w:val="0F1115"/>
          <w:sz w:val="20"/>
          <w:szCs w:val="20"/>
        </w:rPr>
        <w:t>z</w:t>
      </w:r>
      <w:r w:rsidRPr="000F44DF">
        <w:rPr>
          <w:color w:val="0F1115"/>
          <w:sz w:val="20"/>
          <w:szCs w:val="20"/>
        </w:rPr>
        <w:t>ed Policy Decision Point (PDP), thus adding a Single Point of Failure (SPOF) and an ideal target to tamper with data [1</w:t>
      </w:r>
      <w:r>
        <w:rPr>
          <w:color w:val="0F1115"/>
          <w:sz w:val="20"/>
          <w:szCs w:val="20"/>
        </w:rPr>
        <w:t>3</w:t>
      </w:r>
      <w:r w:rsidRPr="000F44DF">
        <w:rPr>
          <w:color w:val="0F1115"/>
          <w:sz w:val="20"/>
          <w:szCs w:val="20"/>
        </w:rPr>
        <w:t>].</w:t>
      </w:r>
    </w:p>
    <w:p w:rsidR="00511816" w:rsidRDefault="00511816" w:rsidP="00511816">
      <w:pPr>
        <w:pStyle w:val="ds-markdown-paragraph"/>
        <w:spacing w:before="0" w:beforeAutospacing="0" w:after="0" w:afterAutospacing="0"/>
        <w:ind w:firstLine="284"/>
        <w:jc w:val="both"/>
        <w:rPr>
          <w:color w:val="0F1115"/>
          <w:sz w:val="20"/>
          <w:szCs w:val="20"/>
        </w:rPr>
      </w:pPr>
    </w:p>
    <w:p w:rsidR="00511816" w:rsidRPr="000F44DF" w:rsidRDefault="00000000" w:rsidP="00511816">
      <w:pPr>
        <w:pStyle w:val="ds-markdown-paragraph"/>
        <w:spacing w:before="0" w:beforeAutospacing="0" w:after="0" w:afterAutospacing="0"/>
        <w:ind w:firstLine="284"/>
        <w:jc w:val="both"/>
        <w:rPr>
          <w:color w:val="0F1115"/>
          <w:sz w:val="20"/>
          <w:szCs w:val="20"/>
        </w:rPr>
      </w:pPr>
      <w:r w:rsidRPr="000F44DF">
        <w:rPr>
          <w:color w:val="0F1115"/>
          <w:sz w:val="20"/>
          <w:szCs w:val="20"/>
        </w:rPr>
        <w:t>This constraint is addressed by the adoption of Blockchain technology that allows decentralized trust management. Through enforcing the access policies using smart contracts and logging access through a distributed ledger, Blockchain makes the access rules transparent, tamper-proof, and auditable across the entire government infrastructure [1</w:t>
      </w:r>
      <w:r>
        <w:rPr>
          <w:color w:val="0F1115"/>
          <w:sz w:val="20"/>
          <w:szCs w:val="20"/>
        </w:rPr>
        <w:t>4</w:t>
      </w:r>
      <w:r w:rsidRPr="000F44DF">
        <w:rPr>
          <w:color w:val="0F1115"/>
          <w:sz w:val="20"/>
          <w:szCs w:val="20"/>
        </w:rPr>
        <w:t>][1</w:t>
      </w:r>
      <w:r>
        <w:rPr>
          <w:color w:val="0F1115"/>
          <w:sz w:val="20"/>
          <w:szCs w:val="20"/>
        </w:rPr>
        <w:t>5</w:t>
      </w:r>
      <w:r w:rsidRPr="000F44DF">
        <w:rPr>
          <w:color w:val="0F1115"/>
          <w:sz w:val="20"/>
          <w:szCs w:val="20"/>
        </w:rPr>
        <w:t>].</w:t>
      </w:r>
    </w:p>
    <w:p w:rsidR="00511816" w:rsidRPr="000F44DF" w:rsidRDefault="00511816" w:rsidP="00511816">
      <w:pPr>
        <w:pStyle w:val="ds-markdown-paragraph"/>
        <w:spacing w:before="0" w:beforeAutospacing="0" w:after="0" w:afterAutospacing="0"/>
        <w:jc w:val="both"/>
        <w:rPr>
          <w:color w:val="0F1115"/>
          <w:sz w:val="20"/>
          <w:szCs w:val="20"/>
        </w:rPr>
      </w:pPr>
    </w:p>
    <w:p w:rsidR="00511816" w:rsidRPr="000F44DF" w:rsidRDefault="00000000" w:rsidP="00511816">
      <w:pPr>
        <w:pStyle w:val="ds-markdown-paragraph"/>
        <w:spacing w:before="0" w:beforeAutospacing="0" w:after="0" w:afterAutospacing="0"/>
        <w:ind w:firstLine="284"/>
        <w:jc w:val="both"/>
        <w:rPr>
          <w:color w:val="0F1115"/>
          <w:sz w:val="20"/>
          <w:szCs w:val="20"/>
        </w:rPr>
      </w:pPr>
      <w:r w:rsidRPr="000F44DF">
        <w:rPr>
          <w:color w:val="0F1115"/>
          <w:sz w:val="20"/>
          <w:szCs w:val="20"/>
        </w:rPr>
        <w:lastRenderedPageBreak/>
        <w:t>This paper involves a technical assessment of ABAC-Blockchain integration for solving the e-governance security crisis. Two clear goals frame the analysis of this report:</w:t>
      </w:r>
    </w:p>
    <w:p w:rsidR="00511816" w:rsidRPr="000F44DF" w:rsidRDefault="00000000" w:rsidP="00511816">
      <w:pPr>
        <w:pStyle w:val="ds-markdown-paragraph"/>
        <w:spacing w:before="0" w:beforeAutospacing="0" w:after="0" w:afterAutospacing="0"/>
        <w:jc w:val="both"/>
        <w:rPr>
          <w:color w:val="0F1115"/>
          <w:sz w:val="20"/>
          <w:szCs w:val="20"/>
        </w:rPr>
      </w:pPr>
      <w:r>
        <w:rPr>
          <w:color w:val="0F1115"/>
          <w:sz w:val="20"/>
          <w:szCs w:val="20"/>
        </w:rPr>
        <w:t>(1) t</w:t>
      </w:r>
      <w:r w:rsidRPr="000F44DF">
        <w:rPr>
          <w:color w:val="0F1115"/>
          <w:sz w:val="20"/>
          <w:szCs w:val="20"/>
        </w:rPr>
        <w:t>o define the essential technical components and workflows of integrated ABAC-Blockchain systems.</w:t>
      </w:r>
      <w:r>
        <w:rPr>
          <w:color w:val="0F1115"/>
          <w:sz w:val="20"/>
          <w:szCs w:val="20"/>
        </w:rPr>
        <w:t xml:space="preserve"> (2) to </w:t>
      </w:r>
      <w:r w:rsidRPr="000F44DF">
        <w:rPr>
          <w:color w:val="0F1115"/>
          <w:sz w:val="20"/>
          <w:szCs w:val="20"/>
        </w:rPr>
        <w:t>compare different ABAC-Blockchain access control models based on performance</w:t>
      </w:r>
      <w:r>
        <w:rPr>
          <w:color w:val="0F1115"/>
          <w:sz w:val="20"/>
          <w:szCs w:val="20"/>
        </w:rPr>
        <w:t xml:space="preserve">, </w:t>
      </w:r>
      <w:r w:rsidRPr="000F44DF">
        <w:rPr>
          <w:color w:val="0F1115"/>
          <w:sz w:val="20"/>
          <w:szCs w:val="20"/>
        </w:rPr>
        <w:t>security</w:t>
      </w:r>
      <w:r>
        <w:rPr>
          <w:color w:val="0F1115"/>
          <w:sz w:val="20"/>
          <w:szCs w:val="20"/>
        </w:rPr>
        <w:t xml:space="preserve">, and decentralization. </w:t>
      </w:r>
    </w:p>
    <w:p w:rsidR="00511816" w:rsidRDefault="00511816" w:rsidP="00511816">
      <w:pPr>
        <w:pStyle w:val="ds-markdown-paragraph"/>
        <w:spacing w:before="0" w:beforeAutospacing="0" w:after="0" w:afterAutospacing="0"/>
        <w:jc w:val="both"/>
        <w:rPr>
          <w:color w:val="0F1115"/>
          <w:sz w:val="20"/>
          <w:szCs w:val="20"/>
        </w:rPr>
      </w:pPr>
    </w:p>
    <w:p w:rsidR="00511816" w:rsidRPr="000F44DF" w:rsidRDefault="00000000" w:rsidP="00511816">
      <w:pPr>
        <w:pStyle w:val="ds-markdown-paragraph"/>
        <w:spacing w:before="0" w:beforeAutospacing="0" w:after="0" w:afterAutospacing="0"/>
        <w:ind w:firstLine="284"/>
        <w:jc w:val="both"/>
        <w:rPr>
          <w:color w:val="0F1115"/>
          <w:sz w:val="20"/>
          <w:szCs w:val="20"/>
        </w:rPr>
      </w:pPr>
      <w:r>
        <w:rPr>
          <w:color w:val="0F1115"/>
          <w:sz w:val="20"/>
          <w:szCs w:val="20"/>
        </w:rPr>
        <w:t>T</w:t>
      </w:r>
      <w:r w:rsidRPr="000F44DF">
        <w:rPr>
          <w:color w:val="0F1115"/>
          <w:sz w:val="20"/>
          <w:szCs w:val="20"/>
        </w:rPr>
        <w:t>his paper is concerned with the technical design of integrating ABAC and Blockchain for public sector data sharing. It also tests the way security policies are applied, as well as system speed (latency) in various configurations, regardless of the hardware. Its overarching weakness is that its analysis focuses on digital space in Southeast Asia, with examples and reports drawn from the region. Therefore, the examination prioriti</w:t>
      </w:r>
      <w:r w:rsidR="00B61E1B">
        <w:rPr>
          <w:color w:val="0F1115"/>
          <w:sz w:val="20"/>
          <w:szCs w:val="20"/>
        </w:rPr>
        <w:t>z</w:t>
      </w:r>
      <w:r w:rsidRPr="000F44DF">
        <w:rPr>
          <w:color w:val="0F1115"/>
          <w:sz w:val="20"/>
          <w:szCs w:val="20"/>
        </w:rPr>
        <w:t>es/the technical/structural security of the system as opposed to international legal regimes or global privacy laws.</w:t>
      </w:r>
    </w:p>
    <w:p w:rsidR="00511816" w:rsidRPr="000F44DF" w:rsidRDefault="00511816" w:rsidP="00511816">
      <w:pPr>
        <w:pStyle w:val="ds-markdown-paragraph"/>
        <w:spacing w:before="0" w:beforeAutospacing="0" w:after="0" w:afterAutospacing="0"/>
        <w:jc w:val="both"/>
        <w:rPr>
          <w:color w:val="0F1115"/>
          <w:sz w:val="20"/>
          <w:szCs w:val="20"/>
        </w:rPr>
      </w:pPr>
    </w:p>
    <w:p w:rsidR="00511816" w:rsidRDefault="00000000" w:rsidP="00511816">
      <w:pPr>
        <w:pStyle w:val="ds-markdown-paragraph"/>
        <w:spacing w:before="0" w:beforeAutospacing="0" w:after="0" w:afterAutospacing="0"/>
        <w:ind w:firstLine="284"/>
        <w:jc w:val="both"/>
        <w:rPr>
          <w:color w:val="0F1115"/>
          <w:sz w:val="20"/>
          <w:szCs w:val="20"/>
        </w:rPr>
      </w:pPr>
      <w:r w:rsidRPr="000F44DF">
        <w:rPr>
          <w:color w:val="0F1115"/>
          <w:sz w:val="20"/>
          <w:szCs w:val="20"/>
        </w:rPr>
        <w:t>This paper contributes to the domain of secure e-governance in two ways. First, it provides a reference for government IT architects to gauge which Blockchain-based access models are best suited for high-throughput public services. Second, it gives an updated security roadmap going from classic role-based access control (RBAC) systems to a decentrali</w:t>
      </w:r>
      <w:r w:rsidR="00B61E1B">
        <w:rPr>
          <w:color w:val="0F1115"/>
          <w:sz w:val="20"/>
          <w:szCs w:val="20"/>
        </w:rPr>
        <w:t>z</w:t>
      </w:r>
      <w:r w:rsidRPr="000F44DF">
        <w:rPr>
          <w:color w:val="0F1115"/>
          <w:sz w:val="20"/>
          <w:szCs w:val="20"/>
        </w:rPr>
        <w:t>ed Zero Trust deployment, which in turn serves as a template for stronger digital infrastructure in Southeast Asia.</w:t>
      </w:r>
    </w:p>
    <w:p w:rsidR="00F93824" w:rsidRDefault="00F93824" w:rsidP="00B61E1B">
      <w:pPr>
        <w:pStyle w:val="ds-markdown-paragraph"/>
        <w:spacing w:before="0" w:beforeAutospacing="0" w:after="0" w:afterAutospacing="0"/>
        <w:ind w:firstLine="284"/>
        <w:jc w:val="both"/>
        <w:rPr>
          <w:color w:val="0F1115"/>
          <w:sz w:val="20"/>
          <w:szCs w:val="20"/>
        </w:rPr>
      </w:pPr>
    </w:p>
    <w:p w:rsidR="00B61E1B" w:rsidRPr="006038DD" w:rsidRDefault="00000000" w:rsidP="00B61E1B">
      <w:pPr>
        <w:pStyle w:val="Heading1"/>
        <w:numPr>
          <w:ilvl w:val="0"/>
          <w:numId w:val="0"/>
        </w:numPr>
        <w:spacing w:before="0" w:after="0"/>
      </w:pPr>
      <w:r>
        <w:t xml:space="preserve">II. </w:t>
      </w:r>
      <w:r w:rsidRPr="00EC19E9">
        <w:t xml:space="preserve">review of related literature </w:t>
      </w:r>
    </w:p>
    <w:p w:rsidR="00B61E1B" w:rsidRPr="002D10C0" w:rsidRDefault="00B61E1B" w:rsidP="00B61E1B">
      <w:pPr>
        <w:pStyle w:val="BodyText"/>
        <w:spacing w:after="0" w:line="240" w:lineRule="auto"/>
        <w:ind w:firstLine="284"/>
        <w:rPr>
          <w:color w:val="0F1115"/>
          <w:sz w:val="13"/>
          <w:szCs w:val="13"/>
          <w:shd w:val="clear" w:color="auto" w:fill="FFFFFF"/>
          <w:lang w:val="en-US"/>
        </w:rPr>
      </w:pPr>
    </w:p>
    <w:p w:rsidR="00B61E1B" w:rsidRDefault="00000000" w:rsidP="00B61E1B">
      <w:pPr>
        <w:pStyle w:val="BodyText"/>
        <w:spacing w:after="0" w:line="240" w:lineRule="auto"/>
        <w:ind w:firstLine="0"/>
        <w:rPr>
          <w:i/>
          <w:iCs/>
          <w:color w:val="0F1115"/>
          <w:shd w:val="clear" w:color="auto" w:fill="FFFFFF"/>
          <w:lang w:val="en-US"/>
        </w:rPr>
      </w:pPr>
      <w:r w:rsidRPr="009B0CE9">
        <w:rPr>
          <w:i/>
          <w:iCs/>
          <w:color w:val="0F1115"/>
          <w:shd w:val="clear" w:color="auto" w:fill="FFFFFF"/>
          <w:lang w:val="en-US"/>
        </w:rPr>
        <w:t xml:space="preserve">2.1 </w:t>
      </w:r>
      <w:r>
        <w:rPr>
          <w:i/>
          <w:iCs/>
          <w:color w:val="0F1115"/>
          <w:shd w:val="clear" w:color="auto" w:fill="FFFFFF"/>
          <w:lang w:val="en-US"/>
        </w:rPr>
        <w:t>Secure E-Governance and Enabling Technologies</w:t>
      </w:r>
    </w:p>
    <w:p w:rsidR="00B61E1B" w:rsidRDefault="00B61E1B" w:rsidP="00B61E1B">
      <w:pPr>
        <w:pStyle w:val="BodyText"/>
        <w:spacing w:after="0" w:line="240" w:lineRule="auto"/>
        <w:ind w:firstLine="0"/>
        <w:rPr>
          <w:i/>
          <w:iCs/>
          <w:color w:val="0F1115"/>
          <w:shd w:val="clear" w:color="auto" w:fill="FFFFFF"/>
          <w:lang w:val="en-US"/>
        </w:rPr>
      </w:pPr>
    </w:p>
    <w:p w:rsidR="00B61E1B" w:rsidRPr="00737BC6" w:rsidRDefault="00000000" w:rsidP="00B61E1B">
      <w:pPr>
        <w:pStyle w:val="NormalWeb"/>
        <w:spacing w:before="0" w:beforeAutospacing="0" w:after="0" w:afterAutospacing="0"/>
        <w:ind w:firstLine="284"/>
        <w:jc w:val="both"/>
        <w:rPr>
          <w:rFonts w:eastAsia="SimSun"/>
          <w:sz w:val="20"/>
          <w:szCs w:val="20"/>
          <w:lang w:val="en-US"/>
        </w:rPr>
      </w:pPr>
      <w:r w:rsidRPr="00737BC6">
        <w:rPr>
          <w:rFonts w:eastAsia="SimSun"/>
          <w:sz w:val="20"/>
          <w:szCs w:val="20"/>
          <w:lang w:val="en-US"/>
        </w:rPr>
        <w:t>E-governance is not about simply translating public services to digital ones anymore, as it used to be. Now, the challenge is to maintain the CIA Triad (Confidentiality, Integrity, and Availability) in a distributed cloud native world [15]. Traditional architectures are predicated on a series of moats defending our network - internal networks under the castle. But the hollowing out of that perimeter is a result of the shift toward decentralized governance. To adapt to this transition and avoid unauthorized modification [16], security attention should change from the network layer to the data plane.</w:t>
      </w:r>
    </w:p>
    <w:p w:rsidR="00B61E1B" w:rsidRPr="00737BC6" w:rsidRDefault="00B61E1B" w:rsidP="00B61E1B">
      <w:pPr>
        <w:pStyle w:val="NormalWeb"/>
        <w:spacing w:before="0" w:beforeAutospacing="0" w:after="0" w:afterAutospacing="0"/>
        <w:ind w:firstLine="284"/>
        <w:jc w:val="both"/>
        <w:rPr>
          <w:rFonts w:eastAsia="SimSun"/>
          <w:sz w:val="20"/>
          <w:szCs w:val="20"/>
          <w:lang w:val="en-US"/>
        </w:rPr>
      </w:pPr>
    </w:p>
    <w:p w:rsidR="00B61E1B" w:rsidRDefault="00000000" w:rsidP="00B61E1B">
      <w:pPr>
        <w:pStyle w:val="NormalWeb"/>
        <w:spacing w:before="0" w:beforeAutospacing="0" w:after="0" w:afterAutospacing="0"/>
        <w:ind w:firstLine="284"/>
        <w:jc w:val="both"/>
        <w:rPr>
          <w:rFonts w:eastAsia="SimSun"/>
          <w:sz w:val="20"/>
          <w:szCs w:val="20"/>
          <w:lang w:val="en-US"/>
        </w:rPr>
      </w:pPr>
      <w:r w:rsidRPr="00737BC6">
        <w:rPr>
          <w:rFonts w:eastAsia="SimSun"/>
          <w:sz w:val="20"/>
          <w:szCs w:val="20"/>
          <w:lang w:val="en-US"/>
        </w:rPr>
        <w:t>This is made possible by Trustless Interoperability [17]. This is the kind of architecture that enables different government agencies to check credentials without sharing a single, brittle, and insecure central database. Such databases are single point of failure (SPOF) prone [18]. The Blockchain is commonly identified as the technology enabler of this move thanks to its intrinsic properties, including decentralization, immutability, and auditability [19]. Unlike in regular systems that rely on central record-keeping or processing, Blockchain operates on a consensus-based, permissionless, distributed ledger. It all but eradicates the specter of shadow attacks on government records [15], [20]. In addition, through Blockchain-as-a-Service (BaaS), agencies can scale their cloud environment to store sensitive information and logs [16], [21].</w:t>
      </w:r>
    </w:p>
    <w:p w:rsidR="00B61E1B" w:rsidRPr="00476B39" w:rsidRDefault="00B61E1B" w:rsidP="00B61E1B">
      <w:pPr>
        <w:pStyle w:val="NormalWeb"/>
        <w:spacing w:before="0" w:beforeAutospacing="0" w:after="0" w:afterAutospacing="0"/>
        <w:ind w:firstLine="284"/>
        <w:jc w:val="both"/>
        <w:rPr>
          <w:color w:val="000000"/>
          <w:sz w:val="20"/>
          <w:szCs w:val="20"/>
          <w:lang w:val="en-US"/>
        </w:rPr>
      </w:pPr>
    </w:p>
    <w:p w:rsidR="00B61E1B" w:rsidRDefault="00000000" w:rsidP="00B61E1B">
      <w:pPr>
        <w:pStyle w:val="NormalWeb"/>
        <w:spacing w:before="0" w:beforeAutospacing="0" w:after="0" w:afterAutospacing="0"/>
        <w:jc w:val="both"/>
        <w:rPr>
          <w:i/>
          <w:iCs/>
          <w:color w:val="000000"/>
          <w:sz w:val="20"/>
          <w:szCs w:val="20"/>
        </w:rPr>
      </w:pPr>
      <w:r w:rsidRPr="009B0CE9">
        <w:rPr>
          <w:i/>
          <w:iCs/>
          <w:color w:val="000000"/>
          <w:sz w:val="20"/>
          <w:szCs w:val="20"/>
        </w:rPr>
        <w:t xml:space="preserve">2.2 </w:t>
      </w:r>
      <w:r>
        <w:rPr>
          <w:i/>
          <w:iCs/>
          <w:color w:val="000000"/>
          <w:sz w:val="20"/>
          <w:szCs w:val="20"/>
        </w:rPr>
        <w:t>Attribute-Based Access Control (ABAC)</w:t>
      </w:r>
    </w:p>
    <w:p w:rsidR="00B61E1B" w:rsidRPr="0045099F" w:rsidRDefault="00000000" w:rsidP="00B61E1B">
      <w:pPr>
        <w:pStyle w:val="NormalWeb"/>
        <w:spacing w:before="0" w:beforeAutospacing="0" w:after="0" w:afterAutospacing="0"/>
        <w:ind w:firstLine="284"/>
        <w:jc w:val="both"/>
        <w:rPr>
          <w:rFonts w:eastAsia="SimSun"/>
          <w:sz w:val="20"/>
          <w:szCs w:val="20"/>
          <w:lang w:val="en-US"/>
        </w:rPr>
      </w:pPr>
      <w:r w:rsidRPr="0045099F">
        <w:rPr>
          <w:rFonts w:eastAsia="SimSun"/>
          <w:sz w:val="20"/>
          <w:szCs w:val="20"/>
          <w:lang w:val="en-US"/>
        </w:rPr>
        <w:t>On the contrary, RBAC is constrained by static role assignments while ABAC offers a multi-dimensional authorization logic for evolving cloud systems [22]. It checks requests by matching four attribute categories: Subject, Resource, Action, and Environment [23].</w:t>
      </w:r>
    </w:p>
    <w:p w:rsidR="00B61E1B" w:rsidRDefault="00B61E1B" w:rsidP="00B61E1B"/>
    <w:p w:rsidR="00B61E1B" w:rsidRDefault="00000000" w:rsidP="00B61E1B">
      <w:pPr>
        <w:pStyle w:val="NormalWeb"/>
        <w:spacing w:before="0" w:beforeAutospacing="0" w:after="0" w:afterAutospacing="0"/>
        <w:ind w:firstLine="284"/>
        <w:jc w:val="both"/>
        <w:rPr>
          <w:rFonts w:eastAsia="SimSun"/>
          <w:sz w:val="20"/>
          <w:szCs w:val="20"/>
          <w:lang w:val="en-US"/>
        </w:rPr>
      </w:pPr>
      <w:r w:rsidRPr="0045099F">
        <w:rPr>
          <w:rFonts w:eastAsia="SimSun"/>
          <w:sz w:val="20"/>
          <w:szCs w:val="20"/>
          <w:lang w:val="en-US"/>
        </w:rPr>
        <w:t xml:space="preserve">The general reference architecture for ABAC is composed of four logical entities: Policy Administration Point (PAP) in charge of rule management, Policy Information Point (PIP) to fetch attributes, Policy Decision Point (PDP) to assess, and Policy Enforcement Point (PEP) to execute [24, 25]. </w:t>
      </w:r>
      <w:r w:rsidR="00DA1C91" w:rsidRPr="00DA1C91">
        <w:rPr>
          <w:rFonts w:eastAsia="SimSun"/>
          <w:sz w:val="20"/>
          <w:szCs w:val="20"/>
          <w:lang w:val="en-US"/>
        </w:rPr>
        <w:t xml:space="preserve">Putting the PDP on a blockchain moves our system’s security model from one based </w:t>
      </w:r>
      <w:r w:rsidR="00CC6B75">
        <w:rPr>
          <w:rFonts w:eastAsia="SimSun"/>
          <w:sz w:val="20"/>
          <w:szCs w:val="20"/>
          <w:lang w:val="en-US"/>
        </w:rPr>
        <w:t>o</w:t>
      </w:r>
      <w:r w:rsidR="00DA1C91" w:rsidRPr="00DA1C91">
        <w:rPr>
          <w:rFonts w:eastAsia="SimSun"/>
          <w:sz w:val="20"/>
          <w:szCs w:val="20"/>
          <w:lang w:val="en-US"/>
        </w:rPr>
        <w:t>n a centralized attack surface to an accepted auth entity. This ensures that authorization decisions are transparent, not reversible</w:t>
      </w:r>
      <w:r w:rsidR="00CC6B75">
        <w:rPr>
          <w:rFonts w:eastAsia="SimSun"/>
          <w:sz w:val="20"/>
          <w:szCs w:val="20"/>
          <w:lang w:val="en-US"/>
        </w:rPr>
        <w:t>,</w:t>
      </w:r>
      <w:r w:rsidR="00DA1C91" w:rsidRPr="00DA1C91">
        <w:rPr>
          <w:rFonts w:eastAsia="SimSun"/>
          <w:sz w:val="20"/>
          <w:szCs w:val="20"/>
          <w:lang w:val="en-US"/>
        </w:rPr>
        <w:t xml:space="preserve"> and can be completely audited</w:t>
      </w:r>
      <w:r w:rsidR="00DA1C91">
        <w:rPr>
          <w:rFonts w:eastAsia="SimSun"/>
          <w:sz w:val="20"/>
          <w:szCs w:val="20"/>
          <w:lang w:val="en-US"/>
        </w:rPr>
        <w:t xml:space="preserve"> </w:t>
      </w:r>
      <w:r w:rsidRPr="0045099F">
        <w:rPr>
          <w:rFonts w:eastAsia="SimSun"/>
          <w:sz w:val="20"/>
          <w:szCs w:val="20"/>
          <w:lang w:val="en-US"/>
        </w:rPr>
        <w:t>[22][26].</w:t>
      </w:r>
    </w:p>
    <w:p w:rsidR="00B61E1B" w:rsidRDefault="00B61E1B" w:rsidP="00B61E1B">
      <w:pPr>
        <w:pStyle w:val="NormalWeb"/>
        <w:spacing w:before="0" w:beforeAutospacing="0" w:after="0" w:afterAutospacing="0"/>
        <w:ind w:firstLine="284"/>
        <w:jc w:val="both"/>
        <w:rPr>
          <w:color w:val="000000"/>
          <w:sz w:val="20"/>
          <w:szCs w:val="20"/>
        </w:rPr>
      </w:pPr>
    </w:p>
    <w:p w:rsidR="00B61E1B" w:rsidRDefault="00000000" w:rsidP="00B61E1B">
      <w:pPr>
        <w:pStyle w:val="NormalWeb"/>
        <w:spacing w:before="0" w:beforeAutospacing="0" w:after="0" w:afterAutospacing="0"/>
        <w:jc w:val="both"/>
        <w:rPr>
          <w:i/>
          <w:iCs/>
          <w:color w:val="000000"/>
          <w:sz w:val="20"/>
          <w:szCs w:val="20"/>
        </w:rPr>
      </w:pPr>
      <w:r w:rsidRPr="009B0CE9">
        <w:rPr>
          <w:i/>
          <w:iCs/>
          <w:color w:val="000000"/>
          <w:sz w:val="20"/>
          <w:szCs w:val="20"/>
        </w:rPr>
        <w:t xml:space="preserve">2.3. </w:t>
      </w:r>
      <w:r>
        <w:rPr>
          <w:i/>
          <w:iCs/>
          <w:color w:val="000000"/>
          <w:sz w:val="20"/>
          <w:szCs w:val="20"/>
        </w:rPr>
        <w:t xml:space="preserve">Blockchain as a Decentralized Trust Layer </w:t>
      </w:r>
    </w:p>
    <w:p w:rsidR="00B61E1B" w:rsidRPr="0045099F" w:rsidRDefault="00B61E1B" w:rsidP="00B61E1B">
      <w:pPr>
        <w:pStyle w:val="NormalWeb"/>
        <w:spacing w:before="0" w:beforeAutospacing="0" w:after="0" w:afterAutospacing="0"/>
        <w:jc w:val="both"/>
        <w:rPr>
          <w:i/>
          <w:iCs/>
          <w:color w:val="000000"/>
          <w:sz w:val="20"/>
          <w:szCs w:val="20"/>
        </w:rPr>
      </w:pPr>
    </w:p>
    <w:p w:rsidR="00B61E1B" w:rsidRDefault="00000000" w:rsidP="00B61E1B">
      <w:pPr>
        <w:pStyle w:val="NormalWeb"/>
        <w:spacing w:before="0" w:beforeAutospacing="0" w:after="0" w:afterAutospacing="0"/>
        <w:ind w:firstLine="284"/>
        <w:jc w:val="both"/>
        <w:rPr>
          <w:color w:val="000000"/>
          <w:sz w:val="20"/>
          <w:szCs w:val="20"/>
        </w:rPr>
      </w:pPr>
      <w:r w:rsidRPr="0045099F">
        <w:rPr>
          <w:color w:val="000000"/>
          <w:sz w:val="20"/>
          <w:szCs w:val="20"/>
        </w:rPr>
        <w:t>The primary limitation of classic ABAC is the architecture-induced dependency on a centrali</w:t>
      </w:r>
      <w:r>
        <w:rPr>
          <w:color w:val="000000"/>
          <w:sz w:val="20"/>
          <w:szCs w:val="20"/>
        </w:rPr>
        <w:t>z</w:t>
      </w:r>
      <w:r w:rsidRPr="0045099F">
        <w:rPr>
          <w:color w:val="000000"/>
          <w:sz w:val="20"/>
          <w:szCs w:val="20"/>
        </w:rPr>
        <w:t>ed PDP and PAP, resulting in a single point of failure [27]. An e-governance setting is susceptible to insider threats, administrative corruption, or even advanced shadow attacks where the access logs are forged, such that an unauthori</w:t>
      </w:r>
      <w:r>
        <w:rPr>
          <w:color w:val="000000"/>
          <w:sz w:val="20"/>
          <w:szCs w:val="20"/>
        </w:rPr>
        <w:t>z</w:t>
      </w:r>
      <w:r w:rsidRPr="0045099F">
        <w:rPr>
          <w:color w:val="000000"/>
          <w:sz w:val="20"/>
          <w:szCs w:val="20"/>
        </w:rPr>
        <w:t>ed data exfiltration is then concealed [28]. Blockchain technology helps reduce these risks by establishing a decentralized trust mechanism. Here, the decision support logic is not centralized in one server, but distributed on a peer-to-peer network of nodes [29].</w:t>
      </w:r>
    </w:p>
    <w:p w:rsidR="00B61E1B" w:rsidRDefault="00B61E1B" w:rsidP="00B61E1B">
      <w:pPr>
        <w:pStyle w:val="NormalWeb"/>
        <w:spacing w:before="0" w:beforeAutospacing="0" w:after="0" w:afterAutospacing="0"/>
        <w:ind w:firstLine="284"/>
        <w:jc w:val="both"/>
        <w:rPr>
          <w:color w:val="000000"/>
          <w:sz w:val="20"/>
          <w:szCs w:val="20"/>
        </w:rPr>
      </w:pPr>
    </w:p>
    <w:p w:rsidR="00B61E1B" w:rsidRDefault="00000000" w:rsidP="00B61E1B">
      <w:pPr>
        <w:pStyle w:val="NormalWeb"/>
        <w:spacing w:before="0" w:beforeAutospacing="0" w:after="0" w:afterAutospacing="0"/>
        <w:ind w:firstLine="284"/>
        <w:jc w:val="both"/>
        <w:rPr>
          <w:color w:val="000000"/>
          <w:sz w:val="20"/>
          <w:szCs w:val="20"/>
        </w:rPr>
      </w:pPr>
      <w:r w:rsidRPr="0045099F">
        <w:rPr>
          <w:color w:val="000000"/>
          <w:sz w:val="20"/>
          <w:szCs w:val="20"/>
        </w:rPr>
        <w:t>In e-governance and other applications, it is widely accepted that permissioned or consortium blockchains are used rather than public ones [31]. These platforms allow for much higher throughput and lower latency, since they use an efficient consensus method such as PoA or BFT [32]. In addition, permissioned networks comply with local regulation by limiting participation to vetted government actors (Philippines) and offer data security using notary services: private communication channels that keep sensitive information safe on the chain [31][33].</w:t>
      </w:r>
    </w:p>
    <w:p w:rsidR="00B61E1B" w:rsidRDefault="00B61E1B" w:rsidP="00B61E1B">
      <w:pPr>
        <w:pStyle w:val="NormalWeb"/>
        <w:spacing w:before="0" w:beforeAutospacing="0" w:after="0" w:afterAutospacing="0"/>
        <w:ind w:firstLine="284"/>
        <w:jc w:val="both"/>
        <w:rPr>
          <w:color w:val="000000"/>
          <w:sz w:val="20"/>
          <w:szCs w:val="20"/>
        </w:rPr>
      </w:pPr>
    </w:p>
    <w:p w:rsidR="00B61E1B" w:rsidRPr="0045099F" w:rsidRDefault="00000000" w:rsidP="00B61E1B">
      <w:pPr>
        <w:pStyle w:val="NormalWeb"/>
        <w:spacing w:before="0" w:beforeAutospacing="0" w:after="0" w:afterAutospacing="0"/>
        <w:ind w:firstLine="284"/>
        <w:jc w:val="both"/>
        <w:rPr>
          <w:color w:val="000000"/>
          <w:sz w:val="20"/>
          <w:szCs w:val="20"/>
        </w:rPr>
      </w:pPr>
      <w:r w:rsidRPr="0045099F">
        <w:rPr>
          <w:color w:val="000000"/>
          <w:sz w:val="20"/>
          <w:szCs w:val="20"/>
        </w:rPr>
        <w:t>The embeddedness of Blockchain within the ABAC architecture provides a couple of revolutionary technical advantages. First, since smart contracts (referred to as chaincode) on the ledger can encode access policies into immutable logic [32], it enables decentralized policy enforcement according to previously defined access policies. This means that the commitment of a policy is irrelevant to Blockchain, a sole agent. Secondly, Blockchain can deliver unchangeable auditability by acting as a tamper-proof access log. All requests and final decisions are recorded as a transaction on the ledger [34]. This results in a timestamped, immutable audit log with events stored as cryptographic hashes. This transparency is essential for public accountability and provides the fine-grained data required by high-fidelity forensic analysis [34] [35].</w:t>
      </w:r>
    </w:p>
    <w:p w:rsidR="00B61E1B" w:rsidRPr="00DC512E" w:rsidRDefault="00B61E1B" w:rsidP="00B61E1B">
      <w:pPr>
        <w:pStyle w:val="NormalWeb"/>
        <w:spacing w:before="0" w:beforeAutospacing="0" w:after="0" w:afterAutospacing="0"/>
        <w:ind w:firstLine="284"/>
        <w:jc w:val="both"/>
        <w:rPr>
          <w:rFonts w:eastAsia="SimSun"/>
          <w:color w:val="000000"/>
          <w:sz w:val="20"/>
          <w:szCs w:val="20"/>
          <w:lang w:val="en-US"/>
        </w:rPr>
      </w:pPr>
    </w:p>
    <w:p w:rsidR="00B61E1B" w:rsidRDefault="00000000" w:rsidP="00B61E1B">
      <w:pPr>
        <w:pStyle w:val="NormalWeb"/>
        <w:spacing w:before="0" w:beforeAutospacing="0" w:after="0" w:afterAutospacing="0"/>
        <w:jc w:val="both"/>
        <w:rPr>
          <w:i/>
          <w:iCs/>
          <w:color w:val="000000"/>
          <w:sz w:val="20"/>
          <w:szCs w:val="20"/>
        </w:rPr>
      </w:pPr>
      <w:r w:rsidRPr="003117F1">
        <w:rPr>
          <w:i/>
          <w:iCs/>
          <w:color w:val="000000"/>
          <w:sz w:val="20"/>
          <w:szCs w:val="20"/>
        </w:rPr>
        <w:t xml:space="preserve">2.4 </w:t>
      </w:r>
      <w:r>
        <w:rPr>
          <w:i/>
          <w:iCs/>
          <w:color w:val="000000"/>
          <w:sz w:val="20"/>
          <w:szCs w:val="20"/>
        </w:rPr>
        <w:t>Performance and Security Metrics for Integrated Models</w:t>
      </w:r>
    </w:p>
    <w:p w:rsidR="00B61E1B" w:rsidRPr="0045099F" w:rsidRDefault="00B61E1B" w:rsidP="00B61E1B">
      <w:pPr>
        <w:pStyle w:val="CommentText"/>
        <w:ind w:firstLine="284"/>
        <w:jc w:val="both"/>
        <w:rPr>
          <w:rFonts w:eastAsia="Times New Roman"/>
          <w:color w:val="000000"/>
          <w:sz w:val="15"/>
          <w:szCs w:val="15"/>
          <w:lang w:val="en-PH"/>
        </w:rPr>
      </w:pPr>
    </w:p>
    <w:p w:rsidR="00B61E1B" w:rsidRDefault="00B83521" w:rsidP="00B61E1B">
      <w:pPr>
        <w:pStyle w:val="NormalWeb"/>
        <w:spacing w:before="0" w:beforeAutospacing="0" w:after="0" w:afterAutospacing="0"/>
        <w:ind w:firstLine="284"/>
        <w:jc w:val="both"/>
        <w:rPr>
          <w:color w:val="000000"/>
          <w:sz w:val="20"/>
          <w:szCs w:val="20"/>
        </w:rPr>
      </w:pPr>
      <w:r w:rsidRPr="00B83521">
        <w:rPr>
          <w:color w:val="000000"/>
          <w:sz w:val="20"/>
          <w:szCs w:val="20"/>
        </w:rPr>
        <w:t xml:space="preserve">To examine integrated ABAC-blockchain models, an evaluation frame needs to guarantee a multidimensional </w:t>
      </w:r>
      <w:r w:rsidRPr="00B83521">
        <w:rPr>
          <w:color w:val="000000"/>
          <w:sz w:val="20"/>
          <w:szCs w:val="20"/>
        </w:rPr>
        <w:lastRenderedPageBreak/>
        <w:t>perspective along with the technical soundness and operational feasibility. In the e-governance desert, this could be explained as a proof of what we may refer to as the Blockchain-security trilemma [36]. While the strengths of decentralization and trustworthiness were ensured by the adoption of Blockchain, these properties brought about a high computational complexity. This can affect the user’s experience for millions of citizens [37]. It is necessary to evaluate these models</w:t>
      </w:r>
      <w:r>
        <w:rPr>
          <w:color w:val="000000"/>
          <w:sz w:val="20"/>
          <w:szCs w:val="20"/>
        </w:rPr>
        <w:t xml:space="preserve"> so</w:t>
      </w:r>
      <w:r w:rsidRPr="00B83521">
        <w:rPr>
          <w:color w:val="000000"/>
          <w:sz w:val="20"/>
          <w:szCs w:val="20"/>
        </w:rPr>
        <w:t xml:space="preserve"> that security improvements do not </w:t>
      </w:r>
      <w:r>
        <w:rPr>
          <w:color w:val="000000"/>
          <w:sz w:val="20"/>
          <w:szCs w:val="20"/>
        </w:rPr>
        <w:t xml:space="preserve">increase </w:t>
      </w:r>
      <w:r w:rsidRPr="00B83521">
        <w:rPr>
          <w:color w:val="000000"/>
          <w:sz w:val="20"/>
          <w:szCs w:val="20"/>
        </w:rPr>
        <w:t>the system latency and leave public service</w:t>
      </w:r>
      <w:r>
        <w:rPr>
          <w:color w:val="000000"/>
          <w:sz w:val="20"/>
          <w:szCs w:val="20"/>
        </w:rPr>
        <w:t>s</w:t>
      </w:r>
      <w:r w:rsidRPr="00B83521">
        <w:rPr>
          <w:color w:val="000000"/>
          <w:sz w:val="20"/>
          <w:szCs w:val="20"/>
        </w:rPr>
        <w:t xml:space="preserve"> unavailable.</w:t>
      </w:r>
    </w:p>
    <w:p w:rsidR="00B83521" w:rsidRDefault="00B83521" w:rsidP="00B61E1B">
      <w:pPr>
        <w:pStyle w:val="NormalWeb"/>
        <w:spacing w:before="0" w:beforeAutospacing="0" w:after="0" w:afterAutospacing="0"/>
        <w:ind w:firstLine="284"/>
        <w:jc w:val="both"/>
        <w:rPr>
          <w:color w:val="000000"/>
          <w:sz w:val="20"/>
          <w:szCs w:val="20"/>
        </w:rPr>
      </w:pPr>
    </w:p>
    <w:p w:rsidR="00B61E1B" w:rsidRDefault="00000000" w:rsidP="00B61E1B">
      <w:pPr>
        <w:pStyle w:val="NormalWeb"/>
        <w:spacing w:before="0" w:beforeAutospacing="0" w:after="0" w:afterAutospacing="0"/>
        <w:ind w:firstLine="284"/>
        <w:jc w:val="both"/>
        <w:rPr>
          <w:color w:val="000000"/>
          <w:sz w:val="20"/>
          <w:szCs w:val="20"/>
        </w:rPr>
      </w:pPr>
      <w:r w:rsidRPr="0045099F">
        <w:rPr>
          <w:color w:val="000000"/>
          <w:sz w:val="20"/>
          <w:szCs w:val="20"/>
        </w:rPr>
        <w:t>To quantify the efficiency and resilience of these models, the literature focuses on several key benchmarks. Regarding performance, researchers measure latency, which is the total authorization delay from the initial request to the final decision [37]. In e-government, high latency leads to service abandonment. Therefore, the confirmation delay caused by consensus validation must remain within an acceptable threshold [38]. Additionally, throughput (TPS) measures the system's capacity to handle concurrent access requests during peak operations, such as tax deadlines [39]. Scalability is also evaluated to track performance as the number of attributes and participating agencies increases [36, 41].</w:t>
      </w:r>
    </w:p>
    <w:p w:rsidR="00B61E1B" w:rsidRDefault="00B61E1B" w:rsidP="00B61E1B">
      <w:pPr>
        <w:pStyle w:val="NormalWeb"/>
        <w:spacing w:before="0" w:beforeAutospacing="0" w:after="0" w:afterAutospacing="0"/>
        <w:ind w:firstLine="284"/>
        <w:jc w:val="both"/>
        <w:rPr>
          <w:color w:val="000000"/>
          <w:sz w:val="20"/>
          <w:szCs w:val="20"/>
        </w:rPr>
      </w:pPr>
    </w:p>
    <w:p w:rsidR="002D09AC" w:rsidRDefault="00B83521" w:rsidP="00B61E1B">
      <w:pPr>
        <w:pStyle w:val="CommentText"/>
        <w:ind w:firstLine="284"/>
        <w:jc w:val="both"/>
        <w:rPr>
          <w:rFonts w:eastAsia="Times New Roman"/>
          <w:color w:val="000000"/>
          <w:lang w:val="en-PH"/>
        </w:rPr>
      </w:pPr>
      <w:r w:rsidRPr="00B83521">
        <w:rPr>
          <w:rFonts w:eastAsia="Times New Roman"/>
          <w:color w:val="000000"/>
          <w:lang w:val="en-PH"/>
        </w:rPr>
        <w:t>Security and decentralization parameters are such as authentication robustness and SPOF resistance. Transitioning from binary roles to context-aware attributes improves the accuracy of identity verification [40]. Using a decentralized PDP or an architecture with BFT consensus will lead to keeping the system available in case some of the nodes fail [39, 42]. Lastly, policy compliance and audit integrity assess the extent of tamper evident of access logs. This is essential for complying with laws around the world such as RA 10173 of the Philippines, especially where every decision must be recorded forever [40, 43].</w:t>
      </w:r>
    </w:p>
    <w:p w:rsidR="00B83521" w:rsidRPr="00275EEB" w:rsidRDefault="00B83521" w:rsidP="00B61E1B">
      <w:pPr>
        <w:pStyle w:val="CommentText"/>
        <w:ind w:firstLine="284"/>
        <w:jc w:val="both"/>
        <w:rPr>
          <w:rFonts w:eastAsia="Times New Roman"/>
          <w:color w:val="000000"/>
          <w:lang w:val="en-PH"/>
        </w:rPr>
      </w:pPr>
    </w:p>
    <w:p w:rsidR="006038DD" w:rsidRDefault="00000000" w:rsidP="009C5F90">
      <w:pPr>
        <w:pStyle w:val="Heading1"/>
        <w:numPr>
          <w:ilvl w:val="0"/>
          <w:numId w:val="0"/>
        </w:numPr>
        <w:spacing w:before="0" w:after="0"/>
      </w:pPr>
      <w:r>
        <w:t xml:space="preserve">III. </w:t>
      </w:r>
      <w:r w:rsidRPr="003117F1">
        <w:t>methodology</w:t>
      </w:r>
    </w:p>
    <w:p w:rsidR="006038DD" w:rsidRPr="00084143" w:rsidRDefault="006038DD" w:rsidP="006038DD"/>
    <w:p w:rsidR="00B61E1B" w:rsidRDefault="00000000" w:rsidP="00B61E1B">
      <w:pPr>
        <w:ind w:firstLine="284"/>
        <w:jc w:val="both"/>
      </w:pPr>
      <w:r w:rsidRPr="00BB3797">
        <w:t>In this study, a protocol-based SLR [66] is used to systematically conduct identification, evaluation, and synthesis of research on the integration of ABAC in Blockchain. This effectively reduces the impact of researcher bias and directs a trustworthy evidence base for recognition of architecture models, as well as traces authentic research gaps.</w:t>
      </w:r>
    </w:p>
    <w:p w:rsidR="00BB3797" w:rsidRDefault="00BB3797" w:rsidP="006038DD">
      <w:pPr>
        <w:ind w:firstLine="284"/>
        <w:jc w:val="both"/>
      </w:pPr>
    </w:p>
    <w:p w:rsidR="006038DD" w:rsidRPr="00BE5632" w:rsidRDefault="00000000" w:rsidP="006038DD">
      <w:pPr>
        <w:jc w:val="left"/>
        <w:rPr>
          <w:color w:val="000000"/>
        </w:rPr>
      </w:pPr>
      <w:r w:rsidRPr="00070858">
        <w:rPr>
          <w:i/>
          <w:iCs/>
        </w:rPr>
        <w:t>3.1 Data Sources and Search Strategy</w:t>
      </w:r>
    </w:p>
    <w:p w:rsidR="006038DD" w:rsidRDefault="006038DD" w:rsidP="006038DD">
      <w:pPr>
        <w:jc w:val="left"/>
        <w:rPr>
          <w:i/>
          <w:iCs/>
        </w:rPr>
      </w:pPr>
    </w:p>
    <w:p w:rsidR="00B61E1B" w:rsidRDefault="00000000" w:rsidP="00B61E1B">
      <w:pPr>
        <w:ind w:firstLine="284"/>
        <w:jc w:val="both"/>
      </w:pPr>
      <w:r w:rsidRPr="00750B97">
        <w:t>The search strategy was crafted around the cross-disciplinary nature of the topic, which crosses the fields of computer science, information systems, and public administration. The search criteria string and parameters are listed in Table 1.</w:t>
      </w:r>
    </w:p>
    <w:p w:rsidR="00BA5D9C" w:rsidRDefault="00BA5D9C" w:rsidP="00BE5632">
      <w:pPr>
        <w:jc w:val="both"/>
        <w:rPr>
          <w:i/>
          <w:iCs/>
        </w:rPr>
      </w:pPr>
    </w:p>
    <w:p w:rsidR="006038DD" w:rsidRPr="00E114BF" w:rsidRDefault="00000000" w:rsidP="006038DD">
      <w:pPr>
        <w:jc w:val="left"/>
      </w:pPr>
      <w:r>
        <w:t xml:space="preserve">Table </w:t>
      </w:r>
      <w:r w:rsidR="000D35E4">
        <w:t>1</w:t>
      </w:r>
      <w:r>
        <w:t>: Literature Search Strategy</w:t>
      </w:r>
    </w:p>
    <w:tbl>
      <w:tblPr>
        <w:tblStyle w:val="TableGrid"/>
        <w:tblW w:w="0" w:type="auto"/>
        <w:tblLook w:val="04A0" w:firstRow="1" w:lastRow="0" w:firstColumn="1" w:lastColumn="0" w:noHBand="0" w:noVBand="1"/>
      </w:tblPr>
      <w:tblGrid>
        <w:gridCol w:w="1017"/>
        <w:gridCol w:w="3839"/>
      </w:tblGrid>
      <w:tr w:rsidR="00D31CD9" w:rsidTr="000D7F3B">
        <w:trPr>
          <w:trHeight w:val="418"/>
        </w:trPr>
        <w:tc>
          <w:tcPr>
            <w:tcW w:w="846" w:type="dxa"/>
            <w:vAlign w:val="center"/>
          </w:tcPr>
          <w:p w:rsidR="006038DD" w:rsidRPr="006A1214" w:rsidRDefault="00000000" w:rsidP="005A17FA">
            <w:pPr>
              <w:rPr>
                <w:b/>
                <w:bCs/>
                <w:sz w:val="16"/>
                <w:szCs w:val="16"/>
              </w:rPr>
            </w:pPr>
            <w:r w:rsidRPr="006A1214">
              <w:rPr>
                <w:b/>
                <w:bCs/>
                <w:sz w:val="16"/>
                <w:szCs w:val="16"/>
              </w:rPr>
              <w:t>Component</w:t>
            </w:r>
          </w:p>
        </w:tc>
        <w:tc>
          <w:tcPr>
            <w:tcW w:w="4010" w:type="dxa"/>
            <w:vAlign w:val="center"/>
          </w:tcPr>
          <w:p w:rsidR="006038DD" w:rsidRPr="006A1214" w:rsidRDefault="00000000" w:rsidP="005A17FA">
            <w:pPr>
              <w:rPr>
                <w:b/>
                <w:bCs/>
                <w:sz w:val="16"/>
                <w:szCs w:val="16"/>
              </w:rPr>
            </w:pPr>
            <w:r w:rsidRPr="006A1214">
              <w:rPr>
                <w:b/>
                <w:bCs/>
                <w:sz w:val="16"/>
                <w:szCs w:val="16"/>
              </w:rPr>
              <w:t>Details</w:t>
            </w:r>
          </w:p>
        </w:tc>
      </w:tr>
      <w:tr w:rsidR="00D31CD9" w:rsidTr="000D7F3B">
        <w:tc>
          <w:tcPr>
            <w:tcW w:w="846" w:type="dxa"/>
            <w:vAlign w:val="center"/>
          </w:tcPr>
          <w:p w:rsidR="006038DD" w:rsidRPr="006A1214" w:rsidRDefault="00000000" w:rsidP="005A17FA">
            <w:pPr>
              <w:jc w:val="left"/>
              <w:rPr>
                <w:sz w:val="16"/>
                <w:szCs w:val="16"/>
              </w:rPr>
            </w:pPr>
            <w:r w:rsidRPr="006A1214">
              <w:rPr>
                <w:sz w:val="16"/>
                <w:szCs w:val="16"/>
              </w:rPr>
              <w:t>Search String</w:t>
            </w:r>
          </w:p>
        </w:tc>
        <w:tc>
          <w:tcPr>
            <w:tcW w:w="4010" w:type="dxa"/>
            <w:vAlign w:val="center"/>
          </w:tcPr>
          <w:p w:rsidR="006038DD" w:rsidRPr="006A1214" w:rsidRDefault="00000000" w:rsidP="000D35E4">
            <w:pPr>
              <w:jc w:val="both"/>
              <w:rPr>
                <w:sz w:val="16"/>
                <w:szCs w:val="16"/>
              </w:rPr>
            </w:pPr>
            <w:r w:rsidRPr="006A1214">
              <w:rPr>
                <w:rFonts w:eastAsia="Times New Roman"/>
                <w:color w:val="0F1115"/>
                <w:sz w:val="16"/>
                <w:szCs w:val="16"/>
                <w:lang w:val="en-PH"/>
              </w:rPr>
              <w:t>("Attribute-Based Access Control" OR ABAC) AND (blockchain OR "distributed ledger") AND ("e-government" OR "digital government" OR "public sector" OR e-governance)</w:t>
            </w:r>
          </w:p>
        </w:tc>
      </w:tr>
      <w:tr w:rsidR="00D31CD9" w:rsidTr="000D7F3B">
        <w:tc>
          <w:tcPr>
            <w:tcW w:w="846" w:type="dxa"/>
            <w:vAlign w:val="center"/>
          </w:tcPr>
          <w:p w:rsidR="006038DD" w:rsidRPr="006A1214" w:rsidRDefault="00000000" w:rsidP="005A17FA">
            <w:pPr>
              <w:jc w:val="left"/>
              <w:rPr>
                <w:sz w:val="16"/>
                <w:szCs w:val="16"/>
              </w:rPr>
            </w:pPr>
            <w:r w:rsidRPr="006A1214">
              <w:rPr>
                <w:sz w:val="16"/>
                <w:szCs w:val="16"/>
              </w:rPr>
              <w:t>Filters Applied</w:t>
            </w:r>
          </w:p>
        </w:tc>
        <w:tc>
          <w:tcPr>
            <w:tcW w:w="4010" w:type="dxa"/>
            <w:vAlign w:val="center"/>
          </w:tcPr>
          <w:p w:rsidR="006038DD" w:rsidRPr="006A1214" w:rsidRDefault="00000000" w:rsidP="000D35E4">
            <w:pPr>
              <w:jc w:val="both"/>
              <w:rPr>
                <w:sz w:val="16"/>
                <w:szCs w:val="16"/>
              </w:rPr>
            </w:pPr>
            <w:r w:rsidRPr="006A1214">
              <w:rPr>
                <w:rFonts w:eastAsia="Times New Roman"/>
                <w:color w:val="0F1115"/>
                <w:sz w:val="16"/>
                <w:szCs w:val="16"/>
                <w:lang w:val="en-PH"/>
              </w:rPr>
              <w:t>Publication years: 2015–2025; Document type: Article, Conference Paper; Language: English</w:t>
            </w:r>
          </w:p>
        </w:tc>
      </w:tr>
      <w:tr w:rsidR="00D31CD9" w:rsidTr="000D7F3B">
        <w:tc>
          <w:tcPr>
            <w:tcW w:w="846" w:type="dxa"/>
            <w:vAlign w:val="center"/>
          </w:tcPr>
          <w:p w:rsidR="006038DD" w:rsidRPr="006A1214" w:rsidRDefault="00000000" w:rsidP="005A17FA">
            <w:pPr>
              <w:jc w:val="left"/>
              <w:rPr>
                <w:sz w:val="16"/>
                <w:szCs w:val="16"/>
              </w:rPr>
            </w:pPr>
            <w:r w:rsidRPr="006A1214">
              <w:rPr>
                <w:sz w:val="16"/>
                <w:szCs w:val="16"/>
              </w:rPr>
              <w:t>Databa</w:t>
            </w:r>
            <w:r w:rsidR="00BA5D9C" w:rsidRPr="006A1214">
              <w:rPr>
                <w:sz w:val="16"/>
                <w:szCs w:val="16"/>
              </w:rPr>
              <w:t>ses</w:t>
            </w:r>
          </w:p>
        </w:tc>
        <w:tc>
          <w:tcPr>
            <w:tcW w:w="4010" w:type="dxa"/>
            <w:vAlign w:val="center"/>
          </w:tcPr>
          <w:p w:rsidR="006038DD" w:rsidRPr="006A1214" w:rsidRDefault="00000000" w:rsidP="000D35E4">
            <w:pPr>
              <w:jc w:val="both"/>
              <w:rPr>
                <w:sz w:val="16"/>
                <w:szCs w:val="16"/>
              </w:rPr>
            </w:pPr>
            <w:r w:rsidRPr="006A1214">
              <w:rPr>
                <w:rFonts w:eastAsia="Times New Roman"/>
                <w:color w:val="0F1115"/>
                <w:sz w:val="16"/>
                <w:szCs w:val="16"/>
                <w:lang w:val="en-PH"/>
              </w:rPr>
              <w:t>IEEE Xplore, ACM Digital Library, Scopus, Web of Science, ScienceDirect, SpringerLink, Google Scholar (for grey literature)</w:t>
            </w:r>
          </w:p>
        </w:tc>
      </w:tr>
      <w:tr w:rsidR="00D31CD9" w:rsidTr="000D7F3B">
        <w:tc>
          <w:tcPr>
            <w:tcW w:w="846" w:type="dxa"/>
            <w:vAlign w:val="center"/>
          </w:tcPr>
          <w:p w:rsidR="006038DD" w:rsidRPr="006A1214" w:rsidRDefault="00000000" w:rsidP="005A17FA">
            <w:pPr>
              <w:jc w:val="left"/>
              <w:rPr>
                <w:sz w:val="16"/>
                <w:szCs w:val="16"/>
              </w:rPr>
            </w:pPr>
            <w:r w:rsidRPr="006A1214">
              <w:rPr>
                <w:sz w:val="16"/>
                <w:szCs w:val="16"/>
              </w:rPr>
              <w:t>Inclusion Criteria</w:t>
            </w:r>
          </w:p>
        </w:tc>
        <w:tc>
          <w:tcPr>
            <w:tcW w:w="4010" w:type="dxa"/>
            <w:vAlign w:val="center"/>
          </w:tcPr>
          <w:p w:rsidR="00B61E1B" w:rsidRPr="006A1214" w:rsidRDefault="00000000" w:rsidP="00B61E1B">
            <w:pPr>
              <w:jc w:val="both"/>
              <w:rPr>
                <w:rFonts w:eastAsia="Times New Roman"/>
                <w:color w:val="0F1115"/>
                <w:sz w:val="16"/>
                <w:szCs w:val="16"/>
                <w:lang w:val="en-PH"/>
              </w:rPr>
            </w:pPr>
            <w:r w:rsidRPr="006A1214">
              <w:rPr>
                <w:rFonts w:eastAsia="Times New Roman"/>
                <w:color w:val="0F1115"/>
                <w:sz w:val="16"/>
                <w:szCs w:val="16"/>
                <w:lang w:val="en-PH"/>
              </w:rPr>
              <w:t>1. Peer-reviewed articles or conference proceedings</w:t>
            </w:r>
          </w:p>
          <w:p w:rsidR="00B61E1B" w:rsidRPr="006A1214" w:rsidRDefault="00000000" w:rsidP="00B61E1B">
            <w:pPr>
              <w:jc w:val="both"/>
              <w:rPr>
                <w:rFonts w:eastAsia="Times New Roman"/>
                <w:color w:val="0F1115"/>
                <w:sz w:val="16"/>
                <w:szCs w:val="16"/>
                <w:lang w:val="en-PH"/>
              </w:rPr>
            </w:pPr>
            <w:r w:rsidRPr="006A1214">
              <w:rPr>
                <w:rFonts w:eastAsia="Times New Roman"/>
                <w:color w:val="0F1115"/>
                <w:sz w:val="16"/>
                <w:szCs w:val="16"/>
                <w:lang w:val="en-PH"/>
              </w:rPr>
              <w:t>2. Concentrate on the technical architecture/model of ABAC-blockchain integration</w:t>
            </w:r>
          </w:p>
          <w:p w:rsidR="00B61E1B" w:rsidRPr="006A1214" w:rsidRDefault="00000000" w:rsidP="00B61E1B">
            <w:pPr>
              <w:jc w:val="both"/>
              <w:rPr>
                <w:sz w:val="16"/>
                <w:szCs w:val="16"/>
              </w:rPr>
            </w:pPr>
            <w:r w:rsidRPr="006A1214">
              <w:rPr>
                <w:rFonts w:eastAsia="Times New Roman"/>
                <w:color w:val="0F1115"/>
                <w:sz w:val="16"/>
                <w:szCs w:val="16"/>
                <w:lang w:val="en-PH"/>
              </w:rPr>
              <w:t>3. E-government, Public,</w:t>
            </w:r>
            <w:r>
              <w:rPr>
                <w:rFonts w:eastAsia="Times New Roman"/>
                <w:color w:val="0F1115"/>
                <w:sz w:val="16"/>
                <w:szCs w:val="16"/>
                <w:lang w:val="en-PH"/>
              </w:rPr>
              <w:t xml:space="preserve"> </w:t>
            </w:r>
            <w:r w:rsidRPr="006A1214">
              <w:rPr>
                <w:rFonts w:eastAsia="Times New Roman"/>
                <w:color w:val="0F1115"/>
                <w:sz w:val="16"/>
                <w:szCs w:val="16"/>
                <w:lang w:val="en-PH"/>
              </w:rPr>
              <w:t>or Digital Governance Context</w:t>
            </w:r>
          </w:p>
          <w:p w:rsidR="006038DD" w:rsidRPr="006A1214" w:rsidRDefault="00000000" w:rsidP="00B61E1B">
            <w:pPr>
              <w:jc w:val="both"/>
              <w:rPr>
                <w:sz w:val="16"/>
                <w:szCs w:val="16"/>
              </w:rPr>
            </w:pPr>
            <w:r w:rsidRPr="006A1214">
              <w:rPr>
                <w:rFonts w:eastAsia="Times New Roman"/>
                <w:color w:val="0F1115"/>
                <w:sz w:val="16"/>
                <w:szCs w:val="16"/>
                <w:lang w:val="en-PH"/>
              </w:rPr>
              <w:t>4. Empirical, theoretical, or review articles with technical implications required to teach</w:t>
            </w:r>
            <w:r>
              <w:rPr>
                <w:rFonts w:eastAsia="Times New Roman"/>
                <w:color w:val="0F1115"/>
                <w:sz w:val="16"/>
                <w:szCs w:val="16"/>
                <w:lang w:val="en-PH"/>
              </w:rPr>
              <w:t xml:space="preserve"> </w:t>
            </w:r>
            <w:r w:rsidRPr="006A1214">
              <w:rPr>
                <w:rFonts w:eastAsia="Times New Roman"/>
                <w:color w:val="0F1115"/>
                <w:sz w:val="16"/>
                <w:szCs w:val="16"/>
                <w:lang w:val="en-PH"/>
              </w:rPr>
              <w:t>others</w:t>
            </w:r>
          </w:p>
        </w:tc>
      </w:tr>
      <w:tr w:rsidR="00D31CD9" w:rsidTr="000D7F3B">
        <w:tc>
          <w:tcPr>
            <w:tcW w:w="846" w:type="dxa"/>
            <w:vAlign w:val="center"/>
          </w:tcPr>
          <w:p w:rsidR="006038DD" w:rsidRPr="006A1214" w:rsidRDefault="00000000" w:rsidP="005A17FA">
            <w:pPr>
              <w:jc w:val="left"/>
              <w:rPr>
                <w:sz w:val="16"/>
                <w:szCs w:val="16"/>
              </w:rPr>
            </w:pPr>
            <w:r w:rsidRPr="006A1214">
              <w:rPr>
                <w:sz w:val="16"/>
                <w:szCs w:val="16"/>
              </w:rPr>
              <w:t>Exclusion Criteria</w:t>
            </w:r>
          </w:p>
        </w:tc>
        <w:tc>
          <w:tcPr>
            <w:tcW w:w="4010" w:type="dxa"/>
            <w:vAlign w:val="center"/>
          </w:tcPr>
          <w:p w:rsidR="00B61E1B" w:rsidRPr="006A1214" w:rsidRDefault="00000000" w:rsidP="00B61E1B">
            <w:pPr>
              <w:jc w:val="both"/>
              <w:rPr>
                <w:rFonts w:eastAsia="Times New Roman"/>
                <w:color w:val="0F1115"/>
                <w:sz w:val="16"/>
                <w:szCs w:val="16"/>
                <w:lang w:val="en-PH"/>
              </w:rPr>
            </w:pPr>
            <w:r w:rsidRPr="006A1214">
              <w:rPr>
                <w:rFonts w:eastAsia="Times New Roman"/>
                <w:color w:val="0F1115"/>
                <w:sz w:val="16"/>
                <w:szCs w:val="16"/>
                <w:lang w:val="en-PH"/>
              </w:rPr>
              <w:t>1. Non-peer-reviewed work (editorials, opinion pieces)</w:t>
            </w:r>
          </w:p>
          <w:p w:rsidR="00B61E1B" w:rsidRPr="006A1214" w:rsidRDefault="00000000" w:rsidP="00B61E1B">
            <w:pPr>
              <w:jc w:val="both"/>
              <w:rPr>
                <w:rFonts w:eastAsia="Times New Roman"/>
                <w:color w:val="0F1115"/>
                <w:sz w:val="16"/>
                <w:szCs w:val="16"/>
                <w:lang w:val="en-PH"/>
              </w:rPr>
            </w:pPr>
            <w:r w:rsidRPr="006A1214">
              <w:rPr>
                <w:rFonts w:eastAsia="Times New Roman"/>
                <w:color w:val="0F1115"/>
                <w:sz w:val="16"/>
                <w:szCs w:val="16"/>
                <w:lang w:val="en-PH"/>
              </w:rPr>
              <w:t>2. Articles not in English</w:t>
            </w:r>
          </w:p>
          <w:p w:rsidR="00B61E1B" w:rsidRPr="006A1214" w:rsidRDefault="00000000" w:rsidP="00B61E1B">
            <w:pPr>
              <w:jc w:val="both"/>
              <w:rPr>
                <w:rFonts w:eastAsia="Times New Roman"/>
                <w:color w:val="0F1115"/>
                <w:sz w:val="16"/>
                <w:szCs w:val="16"/>
                <w:lang w:val="en-PH"/>
              </w:rPr>
            </w:pPr>
            <w:r w:rsidRPr="006A1214">
              <w:rPr>
                <w:rFonts w:eastAsia="Times New Roman"/>
                <w:color w:val="0F1115"/>
                <w:sz w:val="16"/>
                <w:szCs w:val="16"/>
                <w:lang w:val="en-PH"/>
              </w:rPr>
              <w:t>3. Emphasis on non-Blockchain technologies (like RBAC sans Blockchain)</w:t>
            </w:r>
          </w:p>
          <w:p w:rsidR="00B61E1B" w:rsidRPr="006A1214" w:rsidRDefault="00000000" w:rsidP="00B61E1B">
            <w:pPr>
              <w:jc w:val="both"/>
              <w:rPr>
                <w:rFonts w:eastAsia="Times New Roman"/>
                <w:color w:val="0F1115"/>
                <w:sz w:val="16"/>
                <w:szCs w:val="16"/>
                <w:lang w:val="en-PH"/>
              </w:rPr>
            </w:pPr>
            <w:r w:rsidRPr="006A1214">
              <w:rPr>
                <w:rFonts w:eastAsia="Times New Roman"/>
                <w:color w:val="0F1115"/>
                <w:sz w:val="16"/>
                <w:szCs w:val="16"/>
                <w:lang w:val="en-PH"/>
              </w:rPr>
              <w:t>4. No accessible full text</w:t>
            </w:r>
          </w:p>
          <w:p w:rsidR="006038DD" w:rsidRPr="006A1214" w:rsidRDefault="00000000" w:rsidP="00B61E1B">
            <w:pPr>
              <w:jc w:val="both"/>
              <w:rPr>
                <w:sz w:val="16"/>
                <w:szCs w:val="16"/>
              </w:rPr>
            </w:pPr>
            <w:r w:rsidRPr="006A1214">
              <w:rPr>
                <w:rFonts w:eastAsia="Times New Roman"/>
                <w:color w:val="0F1115"/>
                <w:sz w:val="16"/>
                <w:szCs w:val="16"/>
                <w:lang w:val="en-PH"/>
              </w:rPr>
              <w:t>5. Duplicate article of the same study</w:t>
            </w:r>
          </w:p>
        </w:tc>
      </w:tr>
    </w:tbl>
    <w:p w:rsidR="006038DD" w:rsidRDefault="006038DD" w:rsidP="006038DD">
      <w:pPr>
        <w:jc w:val="left"/>
        <w:rPr>
          <w:i/>
          <w:iCs/>
        </w:rPr>
      </w:pPr>
    </w:p>
    <w:p w:rsidR="005A17FA" w:rsidRDefault="00000000" w:rsidP="005A17FA">
      <w:pPr>
        <w:jc w:val="left"/>
        <w:rPr>
          <w:i/>
          <w:iCs/>
        </w:rPr>
      </w:pPr>
      <w:r>
        <w:rPr>
          <w:i/>
          <w:iCs/>
        </w:rPr>
        <w:t>3.</w:t>
      </w:r>
      <w:r w:rsidR="00BE5632">
        <w:rPr>
          <w:i/>
          <w:iCs/>
        </w:rPr>
        <w:t>2</w:t>
      </w:r>
      <w:r>
        <w:rPr>
          <w:i/>
          <w:iCs/>
        </w:rPr>
        <w:t xml:space="preserve"> Study Selection Proces</w:t>
      </w:r>
      <w:r w:rsidR="00750B97">
        <w:rPr>
          <w:i/>
          <w:iCs/>
        </w:rPr>
        <w:t>s</w:t>
      </w:r>
    </w:p>
    <w:p w:rsidR="005A17FA" w:rsidRPr="007534FF" w:rsidRDefault="005A17FA" w:rsidP="007534FF">
      <w:pPr>
        <w:jc w:val="both"/>
        <w:rPr>
          <w:i/>
          <w:iCs/>
          <w:sz w:val="10"/>
          <w:szCs w:val="10"/>
        </w:rPr>
      </w:pPr>
    </w:p>
    <w:p w:rsidR="00B61E1B" w:rsidRDefault="00000000" w:rsidP="00B61E1B">
      <w:pPr>
        <w:pStyle w:val="NormalWeb"/>
        <w:spacing w:before="0" w:beforeAutospacing="0" w:after="0" w:afterAutospacing="0"/>
        <w:ind w:firstLine="284"/>
        <w:jc w:val="both"/>
        <w:rPr>
          <w:color w:val="000000"/>
          <w:sz w:val="20"/>
          <w:szCs w:val="20"/>
        </w:rPr>
      </w:pPr>
      <w:r w:rsidRPr="00BB3797">
        <w:rPr>
          <w:color w:val="000000"/>
          <w:sz w:val="20"/>
          <w:szCs w:val="20"/>
        </w:rPr>
        <w:t>The process of selecting studies is shown using a PRISMA [</w:t>
      </w:r>
      <w:r>
        <w:rPr>
          <w:color w:val="000000"/>
          <w:sz w:val="20"/>
          <w:szCs w:val="20"/>
        </w:rPr>
        <w:t>67</w:t>
      </w:r>
      <w:r w:rsidRPr="00BB3797">
        <w:rPr>
          <w:color w:val="000000"/>
          <w:sz w:val="20"/>
          <w:szCs w:val="20"/>
        </w:rPr>
        <w:t>] flowchart in Fig. 1.</w:t>
      </w:r>
    </w:p>
    <w:p w:rsidR="00B61E1B" w:rsidRDefault="00B61E1B" w:rsidP="00B61E1B">
      <w:pPr>
        <w:pStyle w:val="NormalWeb"/>
        <w:spacing w:before="0" w:beforeAutospacing="0" w:after="0" w:afterAutospacing="0"/>
        <w:jc w:val="both"/>
        <w:rPr>
          <w:color w:val="000000"/>
          <w:sz w:val="20"/>
          <w:szCs w:val="20"/>
        </w:rPr>
      </w:pPr>
    </w:p>
    <w:p w:rsidR="00B61E1B" w:rsidRPr="00D44FBE" w:rsidRDefault="00000000" w:rsidP="00B61E1B">
      <w:pPr>
        <w:ind w:firstLine="284"/>
        <w:jc w:val="both"/>
        <w:rPr>
          <w:rFonts w:eastAsia="Times New Roman"/>
          <w:color w:val="000000"/>
          <w:lang w:val="en-PH"/>
        </w:rPr>
      </w:pPr>
      <w:r w:rsidRPr="00D44FBE">
        <w:rPr>
          <w:rFonts w:eastAsia="Times New Roman"/>
          <w:color w:val="000000"/>
          <w:lang w:val="en-PH"/>
        </w:rPr>
        <w:t>The Identification phase: The processes began with 372 records. After duplicates were removed, 231 records were kept. At the Screening level, abstracts and titles were assessed against the Inclusion Criteria as shown in Table 1. This stage eliminated 159 records not satisfying basic inclusion criteria, resulting in 72 papers for full-text eligibility screening.</w:t>
      </w:r>
    </w:p>
    <w:p w:rsidR="00B61E1B" w:rsidRPr="00D44FBE" w:rsidRDefault="00B61E1B" w:rsidP="00B61E1B">
      <w:pPr>
        <w:ind w:firstLine="284"/>
        <w:jc w:val="both"/>
        <w:rPr>
          <w:rFonts w:eastAsia="Times New Roman"/>
          <w:color w:val="000000"/>
          <w:lang w:val="en-PH"/>
        </w:rPr>
      </w:pPr>
    </w:p>
    <w:p w:rsidR="00B61E1B" w:rsidRPr="00B61E1B" w:rsidRDefault="00000000" w:rsidP="00B61E1B">
      <w:pPr>
        <w:ind w:firstLine="284"/>
        <w:jc w:val="both"/>
        <w:rPr>
          <w:rFonts w:eastAsia="Times New Roman"/>
          <w:color w:val="000000"/>
          <w:lang w:val="en-PH"/>
        </w:rPr>
      </w:pPr>
      <w:r>
        <w:rPr>
          <w:i/>
          <w:iCs/>
          <w:noProof/>
          <w14:ligatures w14:val="standardContextual"/>
        </w:rPr>
        <w:drawing>
          <wp:anchor distT="0" distB="0" distL="114300" distR="114300" simplePos="0" relativeHeight="251658240" behindDoc="1" locked="0" layoutInCell="1" allowOverlap="1">
            <wp:simplePos x="0" y="0"/>
            <wp:positionH relativeFrom="column">
              <wp:posOffset>102829</wp:posOffset>
            </wp:positionH>
            <wp:positionV relativeFrom="paragraph">
              <wp:posOffset>1397881</wp:posOffset>
            </wp:positionV>
            <wp:extent cx="2923540" cy="2133600"/>
            <wp:effectExtent l="0" t="0" r="0" b="0"/>
            <wp:wrapTight wrapText="bothSides">
              <wp:wrapPolygon edited="0">
                <wp:start x="0" y="0"/>
                <wp:lineTo x="0" y="21471"/>
                <wp:lineTo x="21487" y="21471"/>
                <wp:lineTo x="21487" y="0"/>
                <wp:lineTo x="0" y="0"/>
              </wp:wrapPolygon>
            </wp:wrapTight>
            <wp:docPr id="12386920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692041" name="Picture 123869204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3540" cy="2133600"/>
                    </a:xfrm>
                    <a:prstGeom prst="rect">
                      <a:avLst/>
                    </a:prstGeom>
                  </pic:spPr>
                </pic:pic>
              </a:graphicData>
            </a:graphic>
            <wp14:sizeRelH relativeFrom="page">
              <wp14:pctWidth>0</wp14:pctWidth>
            </wp14:sizeRelH>
            <wp14:sizeRelV relativeFrom="page">
              <wp14:pctHeight>0</wp14:pctHeight>
            </wp14:sizeRelV>
          </wp:anchor>
        </w:drawing>
      </w:r>
      <w:r w:rsidRPr="00D44FBE">
        <w:rPr>
          <w:rFonts w:eastAsia="Times New Roman"/>
          <w:color w:val="000000"/>
          <w:lang w:val="en-PH"/>
        </w:rPr>
        <w:t>In the Eligibility phase, the final 72 articles were subjected to a thorough full-text reading in which Exclusion Criteria from Table 1 were also strictly applied, to discard studies without technical content. Fig. 1 shows the excluded box of Fig. 1.  22 references were excluded from analysis: 10 did not concern technical architecture, eight were irrelevant to the e-government context, and four studies did not provide enough information to synthesi</w:t>
      </w:r>
      <w:r>
        <w:rPr>
          <w:rFonts w:eastAsia="Times New Roman"/>
          <w:color w:val="000000"/>
          <w:lang w:val="en-PH"/>
        </w:rPr>
        <w:t>z</w:t>
      </w:r>
      <w:r w:rsidRPr="00D44FBE">
        <w:rPr>
          <w:rFonts w:eastAsia="Times New Roman"/>
          <w:color w:val="000000"/>
          <w:lang w:val="en-PH"/>
        </w:rPr>
        <w:t>e performance. This led to a total corpus of 50 studies of high</w:t>
      </w:r>
      <w:r>
        <w:rPr>
          <w:rFonts w:eastAsia="Times New Roman"/>
          <w:color w:val="000000"/>
          <w:lang w:val="en-PH"/>
        </w:rPr>
        <w:t xml:space="preserve"> quality [16-65]</w:t>
      </w:r>
      <w:r w:rsidRPr="00D44FBE">
        <w:rPr>
          <w:rFonts w:eastAsia="Times New Roman"/>
          <w:color w:val="000000"/>
          <w:lang w:val="en-PH"/>
        </w:rPr>
        <w:t>.</w:t>
      </w:r>
    </w:p>
    <w:p w:rsidR="00D44FBE" w:rsidRPr="00D44FBE" w:rsidRDefault="00000000" w:rsidP="00D44FBE">
      <w:r w:rsidRPr="00BE5632">
        <w:t>Fig. 1. PRISMA Flowchart of Study Selection Process</w:t>
      </w:r>
    </w:p>
    <w:p w:rsidR="00D44FBE" w:rsidRDefault="00D44FBE" w:rsidP="00012A5B">
      <w:pPr>
        <w:jc w:val="left"/>
        <w:rPr>
          <w:i/>
          <w:iCs/>
        </w:rPr>
      </w:pPr>
    </w:p>
    <w:p w:rsidR="006038DD" w:rsidRDefault="00000000" w:rsidP="00012A5B">
      <w:pPr>
        <w:jc w:val="left"/>
        <w:rPr>
          <w:i/>
          <w:iCs/>
          <w:color w:val="000000"/>
        </w:rPr>
      </w:pPr>
      <w:r w:rsidRPr="000D76C9">
        <w:rPr>
          <w:i/>
          <w:iCs/>
        </w:rPr>
        <w:t>3.</w:t>
      </w:r>
      <w:r w:rsidR="00BE5632">
        <w:rPr>
          <w:i/>
          <w:iCs/>
        </w:rPr>
        <w:t>3</w:t>
      </w:r>
      <w:r w:rsidRPr="000D76C9">
        <w:rPr>
          <w:i/>
          <w:iCs/>
        </w:rPr>
        <w:t xml:space="preserve"> </w:t>
      </w:r>
      <w:r w:rsidR="00BE5632">
        <w:rPr>
          <w:i/>
          <w:iCs/>
          <w:color w:val="000000"/>
        </w:rPr>
        <w:t xml:space="preserve">Quality Assessment (QA) and </w:t>
      </w:r>
      <w:r w:rsidR="00BB3BD6">
        <w:rPr>
          <w:i/>
          <w:iCs/>
          <w:color w:val="000000"/>
        </w:rPr>
        <w:t>Study Classification</w:t>
      </w:r>
    </w:p>
    <w:p w:rsidR="00750B97" w:rsidRDefault="00750B97" w:rsidP="00BB3BD6">
      <w:pPr>
        <w:jc w:val="both"/>
        <w:rPr>
          <w:color w:val="000000"/>
        </w:rPr>
      </w:pPr>
    </w:p>
    <w:p w:rsidR="008B75B4" w:rsidRDefault="00000000" w:rsidP="00FE764B">
      <w:pPr>
        <w:jc w:val="both"/>
        <w:rPr>
          <w:i/>
          <w:iCs/>
          <w:color w:val="000000"/>
        </w:rPr>
      </w:pPr>
      <w:r w:rsidRPr="00FE764B">
        <w:rPr>
          <w:i/>
          <w:iCs/>
          <w:color w:val="000000"/>
        </w:rPr>
        <w:t xml:space="preserve">3.3.1 </w:t>
      </w:r>
      <w:r>
        <w:rPr>
          <w:i/>
          <w:iCs/>
          <w:color w:val="000000"/>
        </w:rPr>
        <w:t>Evaluation Criteria</w:t>
      </w:r>
    </w:p>
    <w:p w:rsidR="00D44FBE" w:rsidRDefault="00D44FBE" w:rsidP="00FE764B">
      <w:pPr>
        <w:jc w:val="both"/>
        <w:rPr>
          <w:i/>
          <w:iCs/>
          <w:color w:val="000000"/>
        </w:rPr>
      </w:pPr>
    </w:p>
    <w:p w:rsidR="00B61E1B" w:rsidRDefault="00000000" w:rsidP="00B61E1B">
      <w:pPr>
        <w:ind w:firstLine="284"/>
        <w:jc w:val="both"/>
        <w:rPr>
          <w:color w:val="000000"/>
        </w:rPr>
      </w:pPr>
      <w:r w:rsidRPr="00D44FBE">
        <w:rPr>
          <w:color w:val="000000"/>
        </w:rPr>
        <w:t xml:space="preserve">To ensure the trustworthiness of the synthesis, a formal Quality Assessment (QA) was performed on the 50 studies from Fig. 1. This served as the last check for the integrity of data before populating the columns. Follows have five </w:t>
      </w:r>
      <w:r w:rsidRPr="00D44FBE">
        <w:rPr>
          <w:color w:val="000000"/>
        </w:rPr>
        <w:lastRenderedPageBreak/>
        <w:t>dimensions, which were on a 3-point scale (High=2, Medium=1, and Low=0); popularized from Kitchenham &amp; Charters [</w:t>
      </w:r>
      <w:r>
        <w:rPr>
          <w:color w:val="000000"/>
        </w:rPr>
        <w:t>66</w:t>
      </w:r>
      <w:r w:rsidRPr="00D44FBE">
        <w:rPr>
          <w:color w:val="000000"/>
        </w:rPr>
        <w:t>] and Ali et al. [</w:t>
      </w:r>
      <w:r>
        <w:rPr>
          <w:color w:val="000000"/>
        </w:rPr>
        <w:t>68</w:t>
      </w:r>
      <w:r w:rsidRPr="00D44FBE">
        <w:rPr>
          <w:color w:val="000000"/>
        </w:rPr>
        <w:t>]. Only those studies that accumulated a score of 5 or more were considered in order to extract the ultimate performance-security trade-offs.</w:t>
      </w:r>
    </w:p>
    <w:p w:rsidR="00D44FBE" w:rsidRDefault="00D44FBE" w:rsidP="00BB3BD6">
      <w:pPr>
        <w:jc w:val="both"/>
        <w:rPr>
          <w:color w:val="000000"/>
        </w:rPr>
      </w:pPr>
    </w:p>
    <w:p w:rsidR="00EA671D" w:rsidRDefault="00000000" w:rsidP="00EA671D">
      <w:pPr>
        <w:jc w:val="both"/>
        <w:rPr>
          <w:color w:val="000000"/>
        </w:rPr>
      </w:pPr>
      <w:r>
        <w:rPr>
          <w:color w:val="000000"/>
        </w:rPr>
        <w:t>Table 2</w:t>
      </w:r>
      <w:r w:rsidR="00B61E1B">
        <w:rPr>
          <w:color w:val="000000"/>
        </w:rPr>
        <w:t>. Quality Rating Scale (Based on [66] &amp; [68]).</w:t>
      </w:r>
    </w:p>
    <w:tbl>
      <w:tblPr>
        <w:tblStyle w:val="TableGrid"/>
        <w:tblW w:w="4957" w:type="dxa"/>
        <w:tblLayout w:type="fixed"/>
        <w:tblLook w:val="04A0" w:firstRow="1" w:lastRow="0" w:firstColumn="1" w:lastColumn="0" w:noHBand="0" w:noVBand="1"/>
      </w:tblPr>
      <w:tblGrid>
        <w:gridCol w:w="988"/>
        <w:gridCol w:w="1275"/>
        <w:gridCol w:w="851"/>
        <w:gridCol w:w="992"/>
        <w:gridCol w:w="851"/>
      </w:tblGrid>
      <w:tr w:rsidR="00D31CD9" w:rsidTr="00D6766B">
        <w:tc>
          <w:tcPr>
            <w:tcW w:w="988" w:type="dxa"/>
            <w:vAlign w:val="center"/>
          </w:tcPr>
          <w:p w:rsidR="008B75B4" w:rsidRPr="00D6766B" w:rsidRDefault="00000000" w:rsidP="000C1491">
            <w:pPr>
              <w:rPr>
                <w:b/>
                <w:bCs/>
                <w:color w:val="000000"/>
                <w:sz w:val="14"/>
                <w:szCs w:val="14"/>
              </w:rPr>
            </w:pPr>
            <w:r w:rsidRPr="00D6766B">
              <w:rPr>
                <w:b/>
                <w:bCs/>
                <w:color w:val="000000"/>
                <w:sz w:val="14"/>
                <w:szCs w:val="14"/>
              </w:rPr>
              <w:t>Assessment</w:t>
            </w:r>
          </w:p>
          <w:p w:rsidR="008B75B4" w:rsidRPr="00D6766B" w:rsidRDefault="00000000" w:rsidP="000C1491">
            <w:pPr>
              <w:rPr>
                <w:b/>
                <w:bCs/>
                <w:color w:val="000000"/>
                <w:sz w:val="14"/>
                <w:szCs w:val="14"/>
              </w:rPr>
            </w:pPr>
            <w:r w:rsidRPr="00D6766B">
              <w:rPr>
                <w:b/>
                <w:bCs/>
                <w:color w:val="000000"/>
                <w:sz w:val="14"/>
                <w:szCs w:val="14"/>
              </w:rPr>
              <w:t>Dimension</w:t>
            </w:r>
          </w:p>
        </w:tc>
        <w:tc>
          <w:tcPr>
            <w:tcW w:w="1275" w:type="dxa"/>
            <w:vAlign w:val="center"/>
          </w:tcPr>
          <w:p w:rsidR="008B75B4" w:rsidRPr="00D6766B" w:rsidRDefault="00000000" w:rsidP="000C1491">
            <w:pPr>
              <w:rPr>
                <w:b/>
                <w:bCs/>
                <w:color w:val="000000"/>
                <w:sz w:val="14"/>
                <w:szCs w:val="14"/>
              </w:rPr>
            </w:pPr>
            <w:r w:rsidRPr="00D6766B">
              <w:rPr>
                <w:b/>
                <w:bCs/>
                <w:color w:val="000000"/>
                <w:sz w:val="14"/>
                <w:szCs w:val="14"/>
              </w:rPr>
              <w:t>Description</w:t>
            </w:r>
          </w:p>
        </w:tc>
        <w:tc>
          <w:tcPr>
            <w:tcW w:w="851" w:type="dxa"/>
            <w:vAlign w:val="center"/>
          </w:tcPr>
          <w:p w:rsidR="000C1491" w:rsidRPr="00D6766B" w:rsidRDefault="00000000" w:rsidP="000C1491">
            <w:pPr>
              <w:rPr>
                <w:b/>
                <w:bCs/>
                <w:color w:val="000000"/>
                <w:sz w:val="14"/>
                <w:szCs w:val="14"/>
              </w:rPr>
            </w:pPr>
            <w:r w:rsidRPr="00D6766B">
              <w:rPr>
                <w:b/>
                <w:bCs/>
                <w:color w:val="000000"/>
                <w:sz w:val="14"/>
                <w:szCs w:val="14"/>
              </w:rPr>
              <w:t xml:space="preserve">High Quality </w:t>
            </w:r>
          </w:p>
          <w:p w:rsidR="008B75B4" w:rsidRPr="00D6766B" w:rsidRDefault="00000000" w:rsidP="000C1491">
            <w:pPr>
              <w:rPr>
                <w:b/>
                <w:bCs/>
                <w:color w:val="000000"/>
                <w:sz w:val="14"/>
                <w:szCs w:val="14"/>
              </w:rPr>
            </w:pPr>
            <w:r w:rsidRPr="00D6766B">
              <w:rPr>
                <w:b/>
                <w:bCs/>
                <w:color w:val="000000"/>
                <w:sz w:val="14"/>
                <w:szCs w:val="14"/>
              </w:rPr>
              <w:t>(2 pts)</w:t>
            </w:r>
          </w:p>
        </w:tc>
        <w:tc>
          <w:tcPr>
            <w:tcW w:w="992" w:type="dxa"/>
            <w:vAlign w:val="center"/>
          </w:tcPr>
          <w:p w:rsidR="003F3F46" w:rsidRPr="00D6766B" w:rsidRDefault="00000000" w:rsidP="000C1491">
            <w:pPr>
              <w:rPr>
                <w:b/>
                <w:bCs/>
                <w:color w:val="000000"/>
                <w:sz w:val="14"/>
                <w:szCs w:val="14"/>
              </w:rPr>
            </w:pPr>
            <w:r w:rsidRPr="00D6766B">
              <w:rPr>
                <w:b/>
                <w:bCs/>
                <w:color w:val="000000"/>
                <w:sz w:val="14"/>
                <w:szCs w:val="14"/>
              </w:rPr>
              <w:t xml:space="preserve">Medium Quality </w:t>
            </w:r>
          </w:p>
          <w:p w:rsidR="008B75B4" w:rsidRPr="00D6766B" w:rsidRDefault="00000000" w:rsidP="000C1491">
            <w:pPr>
              <w:rPr>
                <w:b/>
                <w:bCs/>
                <w:color w:val="000000"/>
                <w:sz w:val="14"/>
                <w:szCs w:val="14"/>
              </w:rPr>
            </w:pPr>
            <w:r w:rsidRPr="00D6766B">
              <w:rPr>
                <w:b/>
                <w:bCs/>
                <w:color w:val="000000"/>
                <w:sz w:val="14"/>
                <w:szCs w:val="14"/>
              </w:rPr>
              <w:t xml:space="preserve">(1 </w:t>
            </w:r>
            <w:r w:rsidR="000C1491" w:rsidRPr="00D6766B">
              <w:rPr>
                <w:b/>
                <w:bCs/>
                <w:color w:val="000000"/>
                <w:sz w:val="14"/>
                <w:szCs w:val="14"/>
              </w:rPr>
              <w:t>pt</w:t>
            </w:r>
            <w:r w:rsidR="003F3F46" w:rsidRPr="00D6766B">
              <w:rPr>
                <w:b/>
                <w:bCs/>
                <w:color w:val="000000"/>
                <w:sz w:val="14"/>
                <w:szCs w:val="14"/>
              </w:rPr>
              <w:t>s</w:t>
            </w:r>
            <w:r w:rsidRPr="00D6766B">
              <w:rPr>
                <w:b/>
                <w:bCs/>
                <w:color w:val="000000"/>
                <w:sz w:val="14"/>
                <w:szCs w:val="14"/>
              </w:rPr>
              <w:t>)</w:t>
            </w:r>
          </w:p>
        </w:tc>
        <w:tc>
          <w:tcPr>
            <w:tcW w:w="851" w:type="dxa"/>
            <w:vAlign w:val="center"/>
          </w:tcPr>
          <w:p w:rsidR="003F3F46" w:rsidRPr="00D6766B" w:rsidRDefault="00000000" w:rsidP="000C1491">
            <w:pPr>
              <w:rPr>
                <w:b/>
                <w:bCs/>
                <w:color w:val="000000"/>
                <w:sz w:val="14"/>
                <w:szCs w:val="14"/>
              </w:rPr>
            </w:pPr>
            <w:r w:rsidRPr="00D6766B">
              <w:rPr>
                <w:b/>
                <w:bCs/>
                <w:color w:val="000000"/>
                <w:sz w:val="14"/>
                <w:szCs w:val="14"/>
              </w:rPr>
              <w:t xml:space="preserve">Low Quality </w:t>
            </w:r>
          </w:p>
          <w:p w:rsidR="008B75B4" w:rsidRPr="00D6766B" w:rsidRDefault="00000000" w:rsidP="000C1491">
            <w:pPr>
              <w:rPr>
                <w:b/>
                <w:bCs/>
                <w:color w:val="000000"/>
                <w:sz w:val="14"/>
                <w:szCs w:val="14"/>
              </w:rPr>
            </w:pPr>
            <w:r w:rsidRPr="00D6766B">
              <w:rPr>
                <w:b/>
                <w:bCs/>
                <w:color w:val="000000"/>
                <w:sz w:val="14"/>
                <w:szCs w:val="14"/>
              </w:rPr>
              <w:t>(0 pts)</w:t>
            </w:r>
          </w:p>
        </w:tc>
      </w:tr>
      <w:tr w:rsidR="00D31CD9" w:rsidTr="00D6766B">
        <w:tc>
          <w:tcPr>
            <w:tcW w:w="988" w:type="dxa"/>
            <w:vAlign w:val="center"/>
          </w:tcPr>
          <w:p w:rsidR="008B75B4" w:rsidRPr="00D6766B" w:rsidRDefault="00000000" w:rsidP="000C1491">
            <w:pPr>
              <w:rPr>
                <w:color w:val="000000"/>
                <w:sz w:val="14"/>
                <w:szCs w:val="14"/>
              </w:rPr>
            </w:pPr>
            <w:r w:rsidRPr="00D6766B">
              <w:rPr>
                <w:color w:val="000000"/>
                <w:sz w:val="14"/>
                <w:szCs w:val="14"/>
              </w:rPr>
              <w:t>Methodological Rigor</w:t>
            </w:r>
          </w:p>
        </w:tc>
        <w:tc>
          <w:tcPr>
            <w:tcW w:w="1275" w:type="dxa"/>
            <w:vAlign w:val="center"/>
          </w:tcPr>
          <w:p w:rsidR="008B75B4" w:rsidRPr="00D6766B" w:rsidRDefault="00000000" w:rsidP="000C1491">
            <w:pPr>
              <w:rPr>
                <w:color w:val="000000"/>
                <w:sz w:val="14"/>
                <w:szCs w:val="14"/>
              </w:rPr>
            </w:pPr>
            <w:r w:rsidRPr="00D6766B">
              <w:rPr>
                <w:color w:val="000000"/>
                <w:sz w:val="14"/>
                <w:szCs w:val="14"/>
              </w:rPr>
              <w:t>Precision of the study design and reproducibility of results.</w:t>
            </w:r>
          </w:p>
        </w:tc>
        <w:tc>
          <w:tcPr>
            <w:tcW w:w="851" w:type="dxa"/>
            <w:vAlign w:val="center"/>
          </w:tcPr>
          <w:p w:rsidR="008B75B4" w:rsidRPr="00D6766B" w:rsidRDefault="00000000" w:rsidP="000C1491">
            <w:pPr>
              <w:rPr>
                <w:color w:val="000000"/>
                <w:sz w:val="14"/>
                <w:szCs w:val="14"/>
              </w:rPr>
            </w:pPr>
            <w:r w:rsidRPr="00D6766B">
              <w:rPr>
                <w:color w:val="000000"/>
                <w:sz w:val="14"/>
                <w:szCs w:val="14"/>
              </w:rPr>
              <w:t>Clear design for replication</w:t>
            </w:r>
          </w:p>
        </w:tc>
        <w:tc>
          <w:tcPr>
            <w:tcW w:w="992" w:type="dxa"/>
            <w:vAlign w:val="center"/>
          </w:tcPr>
          <w:p w:rsidR="008B75B4" w:rsidRPr="00D6766B" w:rsidRDefault="00000000" w:rsidP="000C1491">
            <w:pPr>
              <w:rPr>
                <w:color w:val="000000"/>
                <w:sz w:val="14"/>
                <w:szCs w:val="14"/>
              </w:rPr>
            </w:pPr>
            <w:r w:rsidRPr="00D6766B">
              <w:rPr>
                <w:color w:val="000000"/>
                <w:sz w:val="14"/>
                <w:szCs w:val="14"/>
              </w:rPr>
              <w:t>Minor details are missing.</w:t>
            </w:r>
          </w:p>
        </w:tc>
        <w:tc>
          <w:tcPr>
            <w:tcW w:w="851" w:type="dxa"/>
            <w:vAlign w:val="center"/>
          </w:tcPr>
          <w:p w:rsidR="008B75B4" w:rsidRPr="00D6766B" w:rsidRDefault="00000000" w:rsidP="000C1491">
            <w:pPr>
              <w:rPr>
                <w:color w:val="000000"/>
                <w:sz w:val="14"/>
                <w:szCs w:val="14"/>
              </w:rPr>
            </w:pPr>
            <w:r w:rsidRPr="00D6766B">
              <w:rPr>
                <w:color w:val="000000"/>
                <w:sz w:val="14"/>
                <w:szCs w:val="14"/>
              </w:rPr>
              <w:t>Methodology unclear.</w:t>
            </w:r>
          </w:p>
        </w:tc>
      </w:tr>
      <w:tr w:rsidR="00D31CD9" w:rsidTr="00D6766B">
        <w:tc>
          <w:tcPr>
            <w:tcW w:w="988" w:type="dxa"/>
            <w:vAlign w:val="center"/>
          </w:tcPr>
          <w:p w:rsidR="008B75B4" w:rsidRPr="00D6766B" w:rsidRDefault="00000000" w:rsidP="000C1491">
            <w:pPr>
              <w:rPr>
                <w:color w:val="000000"/>
                <w:sz w:val="14"/>
                <w:szCs w:val="14"/>
              </w:rPr>
            </w:pPr>
            <w:r w:rsidRPr="00D6766B">
              <w:rPr>
                <w:color w:val="000000"/>
                <w:sz w:val="14"/>
                <w:szCs w:val="14"/>
              </w:rPr>
              <w:t xml:space="preserve">Technical </w:t>
            </w:r>
            <w:r w:rsidR="00745143" w:rsidRPr="00D6766B">
              <w:rPr>
                <w:color w:val="000000"/>
                <w:sz w:val="14"/>
                <w:szCs w:val="14"/>
              </w:rPr>
              <w:t>Credibility</w:t>
            </w:r>
          </w:p>
        </w:tc>
        <w:tc>
          <w:tcPr>
            <w:tcW w:w="1275" w:type="dxa"/>
            <w:vAlign w:val="center"/>
          </w:tcPr>
          <w:p w:rsidR="008B75B4" w:rsidRPr="00D6766B" w:rsidRDefault="00000000" w:rsidP="000C1491">
            <w:pPr>
              <w:rPr>
                <w:color w:val="000000"/>
                <w:sz w:val="14"/>
                <w:szCs w:val="14"/>
              </w:rPr>
            </w:pPr>
            <w:r w:rsidRPr="00D6766B">
              <w:rPr>
                <w:color w:val="000000"/>
                <w:sz w:val="14"/>
                <w:szCs w:val="14"/>
              </w:rPr>
              <w:t>Integrity of the blockchain architecture and consensus mechanism</w:t>
            </w:r>
          </w:p>
        </w:tc>
        <w:tc>
          <w:tcPr>
            <w:tcW w:w="851" w:type="dxa"/>
            <w:vAlign w:val="center"/>
          </w:tcPr>
          <w:p w:rsidR="008B75B4" w:rsidRPr="00D6766B" w:rsidRDefault="00000000" w:rsidP="000C1491">
            <w:pPr>
              <w:rPr>
                <w:color w:val="000000"/>
                <w:sz w:val="14"/>
                <w:szCs w:val="14"/>
              </w:rPr>
            </w:pPr>
            <w:r w:rsidRPr="00D6766B">
              <w:rPr>
                <w:color w:val="000000"/>
                <w:sz w:val="14"/>
                <w:szCs w:val="14"/>
              </w:rPr>
              <w:t>Justified blockchain choice.</w:t>
            </w:r>
          </w:p>
        </w:tc>
        <w:tc>
          <w:tcPr>
            <w:tcW w:w="992" w:type="dxa"/>
            <w:vAlign w:val="center"/>
          </w:tcPr>
          <w:p w:rsidR="008B75B4" w:rsidRPr="00D6766B" w:rsidRDefault="00000000" w:rsidP="000C1491">
            <w:pPr>
              <w:rPr>
                <w:color w:val="000000"/>
                <w:sz w:val="14"/>
                <w:szCs w:val="14"/>
              </w:rPr>
            </w:pPr>
            <w:r w:rsidRPr="00D6766B">
              <w:rPr>
                <w:color w:val="000000"/>
                <w:sz w:val="14"/>
                <w:szCs w:val="14"/>
              </w:rPr>
              <w:t>Minor inconsistencies.</w:t>
            </w:r>
          </w:p>
        </w:tc>
        <w:tc>
          <w:tcPr>
            <w:tcW w:w="851" w:type="dxa"/>
            <w:vAlign w:val="center"/>
          </w:tcPr>
          <w:p w:rsidR="008B75B4" w:rsidRPr="00D6766B" w:rsidRDefault="00000000" w:rsidP="000C1491">
            <w:pPr>
              <w:rPr>
                <w:color w:val="000000"/>
                <w:sz w:val="14"/>
                <w:szCs w:val="14"/>
              </w:rPr>
            </w:pPr>
            <w:r w:rsidRPr="00D6766B">
              <w:rPr>
                <w:color w:val="000000"/>
                <w:sz w:val="14"/>
                <w:szCs w:val="14"/>
              </w:rPr>
              <w:t>Major technical flaws.</w:t>
            </w:r>
          </w:p>
        </w:tc>
      </w:tr>
      <w:tr w:rsidR="00D31CD9" w:rsidTr="00D6766B">
        <w:tc>
          <w:tcPr>
            <w:tcW w:w="988" w:type="dxa"/>
            <w:vAlign w:val="center"/>
          </w:tcPr>
          <w:p w:rsidR="008B75B4" w:rsidRPr="00D6766B" w:rsidRDefault="00000000" w:rsidP="000C1491">
            <w:pPr>
              <w:rPr>
                <w:color w:val="000000"/>
                <w:sz w:val="14"/>
                <w:szCs w:val="14"/>
              </w:rPr>
            </w:pPr>
            <w:r w:rsidRPr="00D6766B">
              <w:rPr>
                <w:color w:val="000000"/>
                <w:sz w:val="14"/>
                <w:szCs w:val="14"/>
              </w:rPr>
              <w:t>Analytical Depth</w:t>
            </w:r>
          </w:p>
        </w:tc>
        <w:tc>
          <w:tcPr>
            <w:tcW w:w="1275" w:type="dxa"/>
            <w:vAlign w:val="center"/>
          </w:tcPr>
          <w:p w:rsidR="008B75B4" w:rsidRPr="00D6766B" w:rsidRDefault="00000000" w:rsidP="000C1491">
            <w:pPr>
              <w:rPr>
                <w:color w:val="000000"/>
                <w:sz w:val="14"/>
                <w:szCs w:val="14"/>
              </w:rPr>
            </w:pPr>
            <w:r w:rsidRPr="00D6766B">
              <w:rPr>
                <w:color w:val="000000"/>
                <w:sz w:val="14"/>
                <w:szCs w:val="14"/>
              </w:rPr>
              <w:t>The extent to which the raw data supported the raw data.</w:t>
            </w:r>
          </w:p>
        </w:tc>
        <w:tc>
          <w:tcPr>
            <w:tcW w:w="851" w:type="dxa"/>
            <w:vAlign w:val="center"/>
          </w:tcPr>
          <w:p w:rsidR="008B75B4" w:rsidRPr="00D6766B" w:rsidRDefault="00000000" w:rsidP="000C1491">
            <w:pPr>
              <w:rPr>
                <w:color w:val="000000"/>
                <w:sz w:val="14"/>
                <w:szCs w:val="14"/>
              </w:rPr>
            </w:pPr>
            <w:r w:rsidRPr="00D6766B">
              <w:rPr>
                <w:color w:val="000000"/>
                <w:sz w:val="14"/>
                <w:szCs w:val="14"/>
              </w:rPr>
              <w:t>Empirical / Simulation data.</w:t>
            </w:r>
          </w:p>
        </w:tc>
        <w:tc>
          <w:tcPr>
            <w:tcW w:w="992" w:type="dxa"/>
            <w:vAlign w:val="center"/>
          </w:tcPr>
          <w:p w:rsidR="008B75B4" w:rsidRPr="00D6766B" w:rsidRDefault="00000000" w:rsidP="000C1491">
            <w:pPr>
              <w:rPr>
                <w:color w:val="000000"/>
                <w:sz w:val="14"/>
                <w:szCs w:val="14"/>
              </w:rPr>
            </w:pPr>
            <w:r w:rsidRPr="00D6766B">
              <w:rPr>
                <w:color w:val="000000"/>
                <w:sz w:val="14"/>
                <w:szCs w:val="14"/>
              </w:rPr>
              <w:t>Basic metrics only.</w:t>
            </w:r>
          </w:p>
        </w:tc>
        <w:tc>
          <w:tcPr>
            <w:tcW w:w="851" w:type="dxa"/>
            <w:vAlign w:val="center"/>
          </w:tcPr>
          <w:p w:rsidR="008B75B4" w:rsidRPr="00D6766B" w:rsidRDefault="00000000" w:rsidP="000C1491">
            <w:pPr>
              <w:rPr>
                <w:color w:val="000000"/>
                <w:sz w:val="14"/>
                <w:szCs w:val="14"/>
              </w:rPr>
            </w:pPr>
            <w:r w:rsidRPr="00D6766B">
              <w:rPr>
                <w:color w:val="000000"/>
                <w:sz w:val="14"/>
                <w:szCs w:val="14"/>
              </w:rPr>
              <w:t>Purely theoretical.</w:t>
            </w:r>
          </w:p>
        </w:tc>
      </w:tr>
      <w:tr w:rsidR="00D31CD9" w:rsidTr="00D6766B">
        <w:tc>
          <w:tcPr>
            <w:tcW w:w="988" w:type="dxa"/>
            <w:vAlign w:val="center"/>
          </w:tcPr>
          <w:p w:rsidR="008B75B4" w:rsidRPr="00D6766B" w:rsidRDefault="00000000" w:rsidP="000C1491">
            <w:pPr>
              <w:rPr>
                <w:color w:val="000000"/>
                <w:sz w:val="14"/>
                <w:szCs w:val="14"/>
              </w:rPr>
            </w:pPr>
            <w:r w:rsidRPr="00D6766B">
              <w:rPr>
                <w:color w:val="000000"/>
                <w:sz w:val="14"/>
                <w:szCs w:val="14"/>
              </w:rPr>
              <w:t>Performance Metrics</w:t>
            </w:r>
          </w:p>
        </w:tc>
        <w:tc>
          <w:tcPr>
            <w:tcW w:w="1275" w:type="dxa"/>
            <w:vAlign w:val="center"/>
          </w:tcPr>
          <w:p w:rsidR="008B75B4" w:rsidRPr="00D6766B" w:rsidRDefault="00000000" w:rsidP="000C1491">
            <w:pPr>
              <w:rPr>
                <w:color w:val="000000"/>
                <w:sz w:val="14"/>
                <w:szCs w:val="14"/>
              </w:rPr>
            </w:pPr>
            <w:r w:rsidRPr="00D6766B">
              <w:rPr>
                <w:color w:val="000000"/>
                <w:sz w:val="14"/>
                <w:szCs w:val="14"/>
              </w:rPr>
              <w:t>Availability of quantitative data (throughput, latency, etc.)</w:t>
            </w:r>
          </w:p>
        </w:tc>
        <w:tc>
          <w:tcPr>
            <w:tcW w:w="851" w:type="dxa"/>
            <w:vAlign w:val="center"/>
          </w:tcPr>
          <w:p w:rsidR="00745143" w:rsidRPr="00D6766B" w:rsidRDefault="00000000" w:rsidP="000C1491">
            <w:pPr>
              <w:rPr>
                <w:color w:val="000000"/>
                <w:sz w:val="14"/>
                <w:szCs w:val="14"/>
              </w:rPr>
            </w:pPr>
            <w:r w:rsidRPr="00D6766B">
              <w:rPr>
                <w:color w:val="000000"/>
                <w:sz w:val="14"/>
                <w:szCs w:val="14"/>
              </w:rPr>
              <w:t>Quantitative (TPS/</w:t>
            </w:r>
          </w:p>
          <w:p w:rsidR="008B75B4" w:rsidRPr="00D6766B" w:rsidRDefault="00000000" w:rsidP="000C1491">
            <w:pPr>
              <w:rPr>
                <w:color w:val="000000"/>
                <w:sz w:val="14"/>
                <w:szCs w:val="14"/>
              </w:rPr>
            </w:pPr>
            <w:r w:rsidRPr="00D6766B">
              <w:rPr>
                <w:color w:val="000000"/>
                <w:sz w:val="14"/>
                <w:szCs w:val="14"/>
              </w:rPr>
              <w:t>Latency)</w:t>
            </w:r>
          </w:p>
        </w:tc>
        <w:tc>
          <w:tcPr>
            <w:tcW w:w="992" w:type="dxa"/>
            <w:vAlign w:val="center"/>
          </w:tcPr>
          <w:p w:rsidR="008B75B4" w:rsidRPr="00D6766B" w:rsidRDefault="00000000" w:rsidP="000C1491">
            <w:pPr>
              <w:rPr>
                <w:color w:val="000000"/>
                <w:sz w:val="14"/>
                <w:szCs w:val="14"/>
              </w:rPr>
            </w:pPr>
            <w:r w:rsidRPr="00D6766B">
              <w:rPr>
                <w:color w:val="000000"/>
                <w:sz w:val="14"/>
                <w:szCs w:val="14"/>
              </w:rPr>
              <w:t>Qualitative mentions.</w:t>
            </w:r>
          </w:p>
        </w:tc>
        <w:tc>
          <w:tcPr>
            <w:tcW w:w="851" w:type="dxa"/>
            <w:vAlign w:val="center"/>
          </w:tcPr>
          <w:p w:rsidR="008B75B4" w:rsidRPr="00D6766B" w:rsidRDefault="00000000" w:rsidP="000C1491">
            <w:pPr>
              <w:rPr>
                <w:color w:val="000000"/>
                <w:sz w:val="14"/>
                <w:szCs w:val="14"/>
              </w:rPr>
            </w:pPr>
            <w:r w:rsidRPr="00D6766B">
              <w:rPr>
                <w:color w:val="000000"/>
                <w:sz w:val="14"/>
                <w:szCs w:val="14"/>
              </w:rPr>
              <w:t>No performance data.</w:t>
            </w:r>
          </w:p>
        </w:tc>
      </w:tr>
      <w:tr w:rsidR="00D31CD9" w:rsidTr="00D6766B">
        <w:tc>
          <w:tcPr>
            <w:tcW w:w="988" w:type="dxa"/>
            <w:vAlign w:val="center"/>
          </w:tcPr>
          <w:p w:rsidR="008B75B4" w:rsidRPr="00D6766B" w:rsidRDefault="00000000" w:rsidP="000C1491">
            <w:pPr>
              <w:rPr>
                <w:color w:val="000000"/>
                <w:sz w:val="14"/>
                <w:szCs w:val="14"/>
              </w:rPr>
            </w:pPr>
            <w:r w:rsidRPr="00D6766B">
              <w:rPr>
                <w:color w:val="000000"/>
                <w:sz w:val="14"/>
                <w:szCs w:val="14"/>
              </w:rPr>
              <w:t>ASEAN Relevance</w:t>
            </w:r>
          </w:p>
        </w:tc>
        <w:tc>
          <w:tcPr>
            <w:tcW w:w="1275" w:type="dxa"/>
            <w:vAlign w:val="center"/>
          </w:tcPr>
          <w:p w:rsidR="008B75B4" w:rsidRPr="00D6766B" w:rsidRDefault="00000000" w:rsidP="000C1491">
            <w:pPr>
              <w:rPr>
                <w:color w:val="000000"/>
                <w:sz w:val="14"/>
                <w:szCs w:val="14"/>
              </w:rPr>
            </w:pPr>
            <w:r w:rsidRPr="00D6766B">
              <w:rPr>
                <w:color w:val="000000"/>
                <w:sz w:val="14"/>
                <w:szCs w:val="14"/>
              </w:rPr>
              <w:t>Applicability to regional infrastructure and regulatory contexts.</w:t>
            </w:r>
          </w:p>
        </w:tc>
        <w:tc>
          <w:tcPr>
            <w:tcW w:w="851" w:type="dxa"/>
            <w:vAlign w:val="center"/>
          </w:tcPr>
          <w:p w:rsidR="008B75B4" w:rsidRPr="00D6766B" w:rsidRDefault="00000000" w:rsidP="000C1491">
            <w:pPr>
              <w:rPr>
                <w:color w:val="000000"/>
                <w:sz w:val="14"/>
                <w:szCs w:val="14"/>
              </w:rPr>
            </w:pPr>
            <w:r w:rsidRPr="00D6766B">
              <w:rPr>
                <w:color w:val="000000"/>
                <w:sz w:val="14"/>
                <w:szCs w:val="14"/>
              </w:rPr>
              <w:t>Direct e-Gov/ASEAN focus.</w:t>
            </w:r>
          </w:p>
        </w:tc>
        <w:tc>
          <w:tcPr>
            <w:tcW w:w="992" w:type="dxa"/>
            <w:vAlign w:val="center"/>
          </w:tcPr>
          <w:p w:rsidR="008B75B4" w:rsidRPr="00D6766B" w:rsidRDefault="00000000" w:rsidP="000C1491">
            <w:pPr>
              <w:rPr>
                <w:color w:val="000000"/>
                <w:sz w:val="14"/>
                <w:szCs w:val="14"/>
              </w:rPr>
            </w:pPr>
            <w:r w:rsidRPr="00D6766B">
              <w:rPr>
                <w:color w:val="000000"/>
                <w:sz w:val="14"/>
                <w:szCs w:val="14"/>
              </w:rPr>
              <w:t>General public sector.</w:t>
            </w:r>
          </w:p>
        </w:tc>
        <w:tc>
          <w:tcPr>
            <w:tcW w:w="851" w:type="dxa"/>
            <w:vAlign w:val="center"/>
          </w:tcPr>
          <w:p w:rsidR="008B75B4" w:rsidRPr="00D6766B" w:rsidRDefault="00000000" w:rsidP="000C1491">
            <w:pPr>
              <w:rPr>
                <w:color w:val="000000"/>
                <w:sz w:val="14"/>
                <w:szCs w:val="14"/>
              </w:rPr>
            </w:pPr>
            <w:r w:rsidRPr="00D6766B">
              <w:rPr>
                <w:color w:val="000000"/>
                <w:sz w:val="14"/>
                <w:szCs w:val="14"/>
              </w:rPr>
              <w:t>Purely tech-agnostic.</w:t>
            </w:r>
          </w:p>
        </w:tc>
      </w:tr>
    </w:tbl>
    <w:p w:rsidR="00B61E1B" w:rsidRPr="00B61E1B" w:rsidRDefault="00000000" w:rsidP="00B61E1B">
      <w:pPr>
        <w:jc w:val="both"/>
        <w:rPr>
          <w:color w:val="000000"/>
          <w:sz w:val="16"/>
          <w:szCs w:val="16"/>
        </w:rPr>
      </w:pPr>
      <w:r w:rsidRPr="00B61E1B">
        <w:rPr>
          <w:color w:val="000000"/>
          <w:sz w:val="16"/>
          <w:szCs w:val="16"/>
        </w:rPr>
        <w:t>Interpretation of scoring: 8-10 Potential for High Quality; 5-7 Potential for Medium Quality; 0-4 Potential for Low Quality</w:t>
      </w:r>
    </w:p>
    <w:p w:rsidR="00D44FBE" w:rsidRDefault="00D44FBE" w:rsidP="00D6766B">
      <w:pPr>
        <w:jc w:val="both"/>
        <w:rPr>
          <w:i/>
          <w:iCs/>
          <w:color w:val="000000"/>
        </w:rPr>
      </w:pPr>
    </w:p>
    <w:p w:rsidR="00D6766B" w:rsidRDefault="00000000" w:rsidP="00D6766B">
      <w:pPr>
        <w:jc w:val="both"/>
        <w:rPr>
          <w:color w:val="000000"/>
        </w:rPr>
      </w:pPr>
      <w:r w:rsidRPr="00FE764B">
        <w:rPr>
          <w:i/>
          <w:iCs/>
          <w:color w:val="000000"/>
        </w:rPr>
        <w:t>3.3.</w:t>
      </w:r>
      <w:r w:rsidRPr="00D6766B">
        <w:rPr>
          <w:i/>
          <w:iCs/>
          <w:color w:val="000000"/>
        </w:rPr>
        <w:t>2 Study Classification and Traceability</w:t>
      </w:r>
    </w:p>
    <w:p w:rsidR="00D6766B" w:rsidRDefault="00D6766B" w:rsidP="00D6766B">
      <w:pPr>
        <w:jc w:val="both"/>
        <w:rPr>
          <w:color w:val="000000"/>
        </w:rPr>
      </w:pPr>
    </w:p>
    <w:p w:rsidR="00B61E1B" w:rsidRDefault="00000000" w:rsidP="00B61E1B">
      <w:pPr>
        <w:ind w:firstLine="284"/>
        <w:jc w:val="both"/>
        <w:rPr>
          <w:color w:val="000000"/>
        </w:rPr>
      </w:pPr>
      <w:r w:rsidRPr="00D44FBE">
        <w:rPr>
          <w:color w:val="000000"/>
        </w:rPr>
        <w:t>After QA, 50 papers were categorized into the three general e-governance use cases. Table 3 relates these papers to the architectural models by which they were influenced. This enables the traceability necessary to check what models work best for different governments' requirements in the results section.</w:t>
      </w:r>
    </w:p>
    <w:p w:rsidR="00D44FBE" w:rsidRDefault="00D44FBE" w:rsidP="00FE764B">
      <w:pPr>
        <w:jc w:val="both"/>
        <w:rPr>
          <w:i/>
          <w:iCs/>
          <w:color w:val="000000"/>
        </w:rPr>
      </w:pPr>
    </w:p>
    <w:p w:rsidR="00D6766B" w:rsidRDefault="00000000" w:rsidP="00FE764B">
      <w:pPr>
        <w:jc w:val="both"/>
        <w:rPr>
          <w:color w:val="000000"/>
        </w:rPr>
      </w:pPr>
      <w:r>
        <w:rPr>
          <w:color w:val="000000"/>
        </w:rPr>
        <w:t>Table 3. Classification of Selected Studies by Use Case and Architectural Model (N=50)</w:t>
      </w:r>
    </w:p>
    <w:tbl>
      <w:tblPr>
        <w:tblStyle w:val="TableGrid"/>
        <w:tblW w:w="0" w:type="auto"/>
        <w:tblLayout w:type="fixed"/>
        <w:tblLook w:val="04A0" w:firstRow="1" w:lastRow="0" w:firstColumn="1" w:lastColumn="0" w:noHBand="0" w:noVBand="1"/>
      </w:tblPr>
      <w:tblGrid>
        <w:gridCol w:w="1271"/>
        <w:gridCol w:w="1276"/>
        <w:gridCol w:w="1134"/>
        <w:gridCol w:w="1175"/>
      </w:tblGrid>
      <w:tr w:rsidR="00D31CD9" w:rsidTr="00D6766B">
        <w:tc>
          <w:tcPr>
            <w:tcW w:w="1271" w:type="dxa"/>
            <w:vAlign w:val="center"/>
          </w:tcPr>
          <w:p w:rsidR="00D6766B" w:rsidRPr="00984699" w:rsidRDefault="00000000" w:rsidP="00D6766B">
            <w:pPr>
              <w:rPr>
                <w:color w:val="000000"/>
                <w:sz w:val="18"/>
                <w:szCs w:val="18"/>
              </w:rPr>
            </w:pPr>
            <w:r w:rsidRPr="00984699">
              <w:rPr>
                <w:color w:val="000000"/>
                <w:sz w:val="18"/>
                <w:szCs w:val="18"/>
              </w:rPr>
              <w:t>Categories</w:t>
            </w:r>
          </w:p>
        </w:tc>
        <w:tc>
          <w:tcPr>
            <w:tcW w:w="1276" w:type="dxa"/>
            <w:vAlign w:val="center"/>
          </w:tcPr>
          <w:p w:rsidR="00D6766B" w:rsidRPr="00984699" w:rsidRDefault="00000000" w:rsidP="00D6766B">
            <w:pPr>
              <w:rPr>
                <w:color w:val="000000"/>
                <w:sz w:val="18"/>
                <w:szCs w:val="18"/>
              </w:rPr>
            </w:pPr>
            <w:r w:rsidRPr="00984699">
              <w:rPr>
                <w:color w:val="000000"/>
                <w:sz w:val="18"/>
                <w:szCs w:val="18"/>
              </w:rPr>
              <w:t>Full On-Chain</w:t>
            </w:r>
          </w:p>
        </w:tc>
        <w:tc>
          <w:tcPr>
            <w:tcW w:w="1134" w:type="dxa"/>
            <w:vAlign w:val="center"/>
          </w:tcPr>
          <w:p w:rsidR="00D6766B" w:rsidRPr="00984699" w:rsidRDefault="00000000" w:rsidP="00D6766B">
            <w:pPr>
              <w:rPr>
                <w:color w:val="000000"/>
                <w:sz w:val="18"/>
                <w:szCs w:val="18"/>
              </w:rPr>
            </w:pPr>
            <w:r w:rsidRPr="00984699">
              <w:rPr>
                <w:color w:val="000000"/>
                <w:sz w:val="18"/>
                <w:szCs w:val="18"/>
              </w:rPr>
              <w:t>Off-Chain</w:t>
            </w:r>
          </w:p>
        </w:tc>
        <w:tc>
          <w:tcPr>
            <w:tcW w:w="1175" w:type="dxa"/>
            <w:vAlign w:val="center"/>
          </w:tcPr>
          <w:p w:rsidR="00D6766B" w:rsidRPr="00984699" w:rsidRDefault="00000000" w:rsidP="00D6766B">
            <w:pPr>
              <w:rPr>
                <w:color w:val="000000"/>
                <w:sz w:val="18"/>
                <w:szCs w:val="18"/>
              </w:rPr>
            </w:pPr>
            <w:r w:rsidRPr="00984699">
              <w:rPr>
                <w:color w:val="000000"/>
                <w:sz w:val="18"/>
                <w:szCs w:val="18"/>
              </w:rPr>
              <w:t>Hybrid</w:t>
            </w:r>
          </w:p>
        </w:tc>
      </w:tr>
      <w:tr w:rsidR="00D31CD9" w:rsidTr="00D6766B">
        <w:tc>
          <w:tcPr>
            <w:tcW w:w="1271" w:type="dxa"/>
            <w:vAlign w:val="center"/>
          </w:tcPr>
          <w:p w:rsidR="00D6766B" w:rsidRPr="00984699" w:rsidRDefault="00000000" w:rsidP="00D6766B">
            <w:pPr>
              <w:rPr>
                <w:color w:val="000000"/>
                <w:sz w:val="18"/>
                <w:szCs w:val="18"/>
              </w:rPr>
            </w:pPr>
            <w:r w:rsidRPr="00984699">
              <w:rPr>
                <w:color w:val="000000"/>
                <w:sz w:val="18"/>
                <w:szCs w:val="18"/>
              </w:rPr>
              <w:t>National Digital Identity</w:t>
            </w:r>
          </w:p>
        </w:tc>
        <w:tc>
          <w:tcPr>
            <w:tcW w:w="1276" w:type="dxa"/>
            <w:vAlign w:val="center"/>
          </w:tcPr>
          <w:p w:rsidR="00EC378A" w:rsidRDefault="00000000" w:rsidP="00D6766B">
            <w:pPr>
              <w:rPr>
                <w:color w:val="000000"/>
                <w:sz w:val="18"/>
                <w:szCs w:val="18"/>
              </w:rPr>
            </w:pPr>
            <w:r w:rsidRPr="00984699">
              <w:rPr>
                <w:color w:val="000000"/>
                <w:sz w:val="18"/>
                <w:szCs w:val="18"/>
              </w:rPr>
              <w:t>[</w:t>
            </w:r>
            <w:r>
              <w:rPr>
                <w:color w:val="000000"/>
                <w:sz w:val="18"/>
                <w:szCs w:val="18"/>
              </w:rPr>
              <w:t>27, 30, 37,</w:t>
            </w:r>
          </w:p>
          <w:p w:rsidR="00D6766B" w:rsidRPr="00984699" w:rsidRDefault="00000000" w:rsidP="00D6766B">
            <w:pPr>
              <w:rPr>
                <w:color w:val="000000"/>
                <w:sz w:val="18"/>
                <w:szCs w:val="18"/>
              </w:rPr>
            </w:pPr>
            <w:r>
              <w:rPr>
                <w:color w:val="000000"/>
                <w:sz w:val="18"/>
                <w:szCs w:val="18"/>
              </w:rPr>
              <w:t>43, 48</w:t>
            </w:r>
            <w:r w:rsidRPr="00984699">
              <w:rPr>
                <w:color w:val="000000"/>
                <w:sz w:val="18"/>
                <w:szCs w:val="18"/>
              </w:rPr>
              <w:t>]</w:t>
            </w:r>
          </w:p>
        </w:tc>
        <w:tc>
          <w:tcPr>
            <w:tcW w:w="1134" w:type="dxa"/>
            <w:vAlign w:val="center"/>
          </w:tcPr>
          <w:p w:rsidR="00EC378A" w:rsidRDefault="00000000" w:rsidP="00D6766B">
            <w:pPr>
              <w:rPr>
                <w:color w:val="000000"/>
                <w:sz w:val="18"/>
                <w:szCs w:val="18"/>
              </w:rPr>
            </w:pPr>
            <w:r>
              <w:rPr>
                <w:color w:val="000000"/>
                <w:sz w:val="18"/>
                <w:szCs w:val="18"/>
              </w:rPr>
              <w:t>[19, 34,</w:t>
            </w:r>
          </w:p>
          <w:p w:rsidR="00D6766B" w:rsidRPr="00984699" w:rsidRDefault="00000000" w:rsidP="00D6766B">
            <w:pPr>
              <w:rPr>
                <w:color w:val="000000"/>
                <w:sz w:val="18"/>
                <w:szCs w:val="18"/>
              </w:rPr>
            </w:pPr>
            <w:r>
              <w:rPr>
                <w:color w:val="000000"/>
                <w:sz w:val="18"/>
                <w:szCs w:val="18"/>
              </w:rPr>
              <w:t>46, 55]</w:t>
            </w:r>
          </w:p>
        </w:tc>
        <w:tc>
          <w:tcPr>
            <w:tcW w:w="1175" w:type="dxa"/>
            <w:vAlign w:val="center"/>
          </w:tcPr>
          <w:p w:rsidR="00EC378A" w:rsidRDefault="00000000" w:rsidP="00D6766B">
            <w:pPr>
              <w:rPr>
                <w:color w:val="000000"/>
                <w:sz w:val="18"/>
                <w:szCs w:val="18"/>
              </w:rPr>
            </w:pPr>
            <w:r>
              <w:rPr>
                <w:color w:val="000000"/>
                <w:sz w:val="18"/>
                <w:szCs w:val="18"/>
              </w:rPr>
              <w:t>[16, 22, 25,</w:t>
            </w:r>
          </w:p>
          <w:p w:rsidR="00D6766B" w:rsidRPr="00984699" w:rsidRDefault="00000000" w:rsidP="00D6766B">
            <w:pPr>
              <w:rPr>
                <w:color w:val="000000"/>
                <w:sz w:val="18"/>
                <w:szCs w:val="18"/>
              </w:rPr>
            </w:pPr>
            <w:r>
              <w:rPr>
                <w:color w:val="000000"/>
                <w:sz w:val="18"/>
                <w:szCs w:val="18"/>
              </w:rPr>
              <w:t>40, 59, 64]</w:t>
            </w:r>
          </w:p>
        </w:tc>
      </w:tr>
      <w:tr w:rsidR="00D31CD9" w:rsidTr="00D6766B">
        <w:tc>
          <w:tcPr>
            <w:tcW w:w="1271" w:type="dxa"/>
            <w:vAlign w:val="center"/>
          </w:tcPr>
          <w:p w:rsidR="00D6766B" w:rsidRPr="00984699" w:rsidRDefault="00000000" w:rsidP="00D6766B">
            <w:pPr>
              <w:rPr>
                <w:color w:val="000000"/>
                <w:sz w:val="18"/>
                <w:szCs w:val="18"/>
              </w:rPr>
            </w:pPr>
            <w:r w:rsidRPr="00984699">
              <w:rPr>
                <w:color w:val="000000"/>
                <w:sz w:val="18"/>
                <w:szCs w:val="18"/>
              </w:rPr>
              <w:t>Cross-Agency Data Exchange</w:t>
            </w:r>
          </w:p>
        </w:tc>
        <w:tc>
          <w:tcPr>
            <w:tcW w:w="1276" w:type="dxa"/>
            <w:vAlign w:val="center"/>
          </w:tcPr>
          <w:p w:rsidR="00D6766B" w:rsidRPr="00984699" w:rsidRDefault="00000000" w:rsidP="00D6766B">
            <w:pPr>
              <w:rPr>
                <w:color w:val="000000"/>
                <w:sz w:val="18"/>
                <w:szCs w:val="18"/>
              </w:rPr>
            </w:pPr>
            <w:r w:rsidRPr="00984699">
              <w:rPr>
                <w:color w:val="000000"/>
                <w:sz w:val="18"/>
                <w:szCs w:val="18"/>
              </w:rPr>
              <w:t>[</w:t>
            </w:r>
            <w:r w:rsidR="00EC378A">
              <w:rPr>
                <w:color w:val="000000"/>
                <w:sz w:val="18"/>
                <w:szCs w:val="18"/>
              </w:rPr>
              <w:t>20, 29, 36, 44, 49, 57</w:t>
            </w:r>
            <w:r w:rsidRPr="00984699">
              <w:rPr>
                <w:color w:val="000000"/>
                <w:sz w:val="18"/>
                <w:szCs w:val="18"/>
              </w:rPr>
              <w:t>]</w:t>
            </w:r>
          </w:p>
        </w:tc>
        <w:tc>
          <w:tcPr>
            <w:tcW w:w="1134" w:type="dxa"/>
            <w:vAlign w:val="center"/>
          </w:tcPr>
          <w:p w:rsidR="00D6766B" w:rsidRPr="00984699" w:rsidRDefault="00000000" w:rsidP="00D6766B">
            <w:pPr>
              <w:rPr>
                <w:color w:val="000000"/>
                <w:sz w:val="18"/>
                <w:szCs w:val="18"/>
              </w:rPr>
            </w:pPr>
            <w:r>
              <w:rPr>
                <w:color w:val="000000"/>
                <w:sz w:val="18"/>
                <w:szCs w:val="18"/>
              </w:rPr>
              <w:t>[23, 32, 45, 54, 60, 62]</w:t>
            </w:r>
          </w:p>
        </w:tc>
        <w:tc>
          <w:tcPr>
            <w:tcW w:w="1175" w:type="dxa"/>
            <w:vAlign w:val="center"/>
          </w:tcPr>
          <w:p w:rsidR="00D6766B" w:rsidRPr="00984699" w:rsidRDefault="00000000" w:rsidP="00D6766B">
            <w:pPr>
              <w:rPr>
                <w:color w:val="000000"/>
                <w:sz w:val="18"/>
                <w:szCs w:val="18"/>
              </w:rPr>
            </w:pPr>
            <w:r>
              <w:rPr>
                <w:color w:val="000000"/>
                <w:sz w:val="18"/>
                <w:szCs w:val="18"/>
              </w:rPr>
              <w:t>[17, 26, 35, 41, 51, 56, 61, 65]</w:t>
            </w:r>
          </w:p>
        </w:tc>
      </w:tr>
      <w:tr w:rsidR="00D31CD9" w:rsidTr="00EC378A">
        <w:trPr>
          <w:trHeight w:val="232"/>
        </w:trPr>
        <w:tc>
          <w:tcPr>
            <w:tcW w:w="1271" w:type="dxa"/>
            <w:vAlign w:val="center"/>
          </w:tcPr>
          <w:p w:rsidR="00D6766B" w:rsidRPr="00984699" w:rsidRDefault="00000000" w:rsidP="00D6766B">
            <w:pPr>
              <w:rPr>
                <w:color w:val="000000"/>
                <w:sz w:val="18"/>
                <w:szCs w:val="18"/>
              </w:rPr>
            </w:pPr>
            <w:r w:rsidRPr="00984699">
              <w:rPr>
                <w:color w:val="000000"/>
                <w:sz w:val="18"/>
                <w:szCs w:val="18"/>
              </w:rPr>
              <w:t>Public Health Records</w:t>
            </w:r>
          </w:p>
        </w:tc>
        <w:tc>
          <w:tcPr>
            <w:tcW w:w="1276" w:type="dxa"/>
            <w:vAlign w:val="center"/>
          </w:tcPr>
          <w:p w:rsidR="00D6766B" w:rsidRPr="00984699" w:rsidRDefault="00000000" w:rsidP="00D6766B">
            <w:pPr>
              <w:rPr>
                <w:color w:val="000000"/>
                <w:sz w:val="18"/>
                <w:szCs w:val="18"/>
              </w:rPr>
            </w:pPr>
            <w:r>
              <w:rPr>
                <w:color w:val="000000"/>
                <w:sz w:val="18"/>
                <w:szCs w:val="18"/>
              </w:rPr>
              <w:t>[21, 28, 38, 50]</w:t>
            </w:r>
          </w:p>
        </w:tc>
        <w:tc>
          <w:tcPr>
            <w:tcW w:w="1134" w:type="dxa"/>
            <w:vAlign w:val="center"/>
          </w:tcPr>
          <w:p w:rsidR="00D6766B" w:rsidRPr="00984699" w:rsidRDefault="00000000" w:rsidP="00D6766B">
            <w:pPr>
              <w:rPr>
                <w:color w:val="000000"/>
                <w:sz w:val="18"/>
                <w:szCs w:val="18"/>
              </w:rPr>
            </w:pPr>
            <w:r>
              <w:rPr>
                <w:color w:val="000000"/>
                <w:sz w:val="18"/>
                <w:szCs w:val="18"/>
              </w:rPr>
              <w:t>[24, 33, 47, 58, 63]</w:t>
            </w:r>
          </w:p>
        </w:tc>
        <w:tc>
          <w:tcPr>
            <w:tcW w:w="1175" w:type="dxa"/>
            <w:vAlign w:val="center"/>
          </w:tcPr>
          <w:p w:rsidR="00D6766B" w:rsidRPr="00984699" w:rsidRDefault="00000000" w:rsidP="00D6766B">
            <w:pPr>
              <w:rPr>
                <w:color w:val="000000"/>
                <w:sz w:val="18"/>
                <w:szCs w:val="18"/>
              </w:rPr>
            </w:pPr>
            <w:r>
              <w:rPr>
                <w:color w:val="000000"/>
                <w:sz w:val="18"/>
                <w:szCs w:val="18"/>
              </w:rPr>
              <w:t>[18, 31, 39, 42, 52, 53]</w:t>
            </w:r>
          </w:p>
        </w:tc>
      </w:tr>
    </w:tbl>
    <w:p w:rsidR="006A1214" w:rsidRDefault="006A1214" w:rsidP="00FE764B">
      <w:pPr>
        <w:jc w:val="both"/>
        <w:rPr>
          <w:i/>
          <w:iCs/>
          <w:color w:val="000000"/>
        </w:rPr>
      </w:pPr>
    </w:p>
    <w:p w:rsidR="00D6766B" w:rsidRPr="00A3435A" w:rsidRDefault="00000000" w:rsidP="00FE764B">
      <w:pPr>
        <w:jc w:val="both"/>
        <w:rPr>
          <w:i/>
          <w:iCs/>
          <w:color w:val="000000"/>
        </w:rPr>
      </w:pPr>
      <w:r w:rsidRPr="00A3435A">
        <w:rPr>
          <w:i/>
          <w:iCs/>
          <w:color w:val="000000"/>
        </w:rPr>
        <w:t>3.</w:t>
      </w:r>
      <w:r w:rsidR="00E574A0">
        <w:rPr>
          <w:i/>
          <w:iCs/>
          <w:color w:val="000000"/>
        </w:rPr>
        <w:t>4</w:t>
      </w:r>
      <w:r w:rsidRPr="00A3435A">
        <w:rPr>
          <w:i/>
          <w:iCs/>
          <w:color w:val="000000"/>
        </w:rPr>
        <w:t xml:space="preserve"> Comparative Synthesis and Normalization</w:t>
      </w:r>
    </w:p>
    <w:p w:rsidR="00D6766B" w:rsidRDefault="00D6766B" w:rsidP="00FE764B">
      <w:pPr>
        <w:jc w:val="both"/>
        <w:rPr>
          <w:color w:val="000000"/>
        </w:rPr>
      </w:pPr>
    </w:p>
    <w:p w:rsidR="00B61E1B" w:rsidRDefault="00000000" w:rsidP="00B61E1B">
      <w:pPr>
        <w:ind w:firstLine="284"/>
        <w:jc w:val="both"/>
        <w:rPr>
          <w:color w:val="000000"/>
        </w:rPr>
      </w:pPr>
      <w:r w:rsidRPr="00D44FBE">
        <w:rPr>
          <w:color w:val="000000"/>
        </w:rPr>
        <w:t xml:space="preserve">To meet Objective 2, a Comparative Synthesis Matrix was used to map the data. This is made possible using the Performance-Security Trilemma [36, </w:t>
      </w:r>
      <w:r>
        <w:rPr>
          <w:color w:val="000000"/>
        </w:rPr>
        <w:t>72</w:t>
      </w:r>
      <w:r w:rsidRPr="00D44FBE">
        <w:rPr>
          <w:color w:val="000000"/>
        </w:rPr>
        <w:t>]</w:t>
      </w:r>
      <w:r w:rsidR="00A917D0">
        <w:rPr>
          <w:color w:val="000000"/>
        </w:rPr>
        <w:t xml:space="preserve">, </w:t>
      </w:r>
      <w:r w:rsidRPr="00D44FBE">
        <w:rPr>
          <w:color w:val="000000"/>
        </w:rPr>
        <w:t>based on a Normalization Framework that we rely upon to normalize every model into a single measure of evaluation. Standardization is necessary, since the 50 papers do not use standard measures (e.g., Gas costs in Ethereum vs. Endorsement latency in Hyperledger) that can be directly compared.</w:t>
      </w:r>
    </w:p>
    <w:p w:rsidR="00D44FBE" w:rsidRDefault="00D44FBE" w:rsidP="00E574A0">
      <w:pPr>
        <w:jc w:val="both"/>
        <w:rPr>
          <w:color w:val="000000"/>
        </w:rPr>
      </w:pPr>
    </w:p>
    <w:p w:rsidR="00BB3797" w:rsidRPr="00BB3797" w:rsidRDefault="00000000" w:rsidP="0021740D">
      <w:pPr>
        <w:jc w:val="both"/>
        <w:rPr>
          <w:i/>
          <w:iCs/>
          <w:color w:val="000000"/>
        </w:rPr>
      </w:pPr>
      <w:r w:rsidRPr="00BB3797">
        <w:rPr>
          <w:i/>
          <w:iCs/>
          <w:color w:val="000000"/>
        </w:rPr>
        <w:t>3.4.1</w:t>
      </w:r>
      <w:r w:rsidR="0021740D" w:rsidRPr="00BB3797">
        <w:rPr>
          <w:i/>
          <w:iCs/>
          <w:color w:val="000000"/>
        </w:rPr>
        <w:t xml:space="preserve"> The</w:t>
      </w:r>
      <w:r w:rsidR="00E574A0">
        <w:rPr>
          <w:i/>
          <w:iCs/>
          <w:color w:val="000000"/>
        </w:rPr>
        <w:t xml:space="preserve"> </w:t>
      </w:r>
      <w:r w:rsidR="0021740D" w:rsidRPr="00BB3797">
        <w:rPr>
          <w:i/>
          <w:iCs/>
          <w:color w:val="000000"/>
        </w:rPr>
        <w:t xml:space="preserve"> Normalization Process </w:t>
      </w:r>
    </w:p>
    <w:p w:rsidR="00BB3797" w:rsidRDefault="00BB3797" w:rsidP="0021740D">
      <w:pPr>
        <w:jc w:val="both"/>
        <w:rPr>
          <w:color w:val="000000"/>
        </w:rPr>
      </w:pPr>
    </w:p>
    <w:p w:rsidR="00B61E1B" w:rsidRDefault="00000000" w:rsidP="00A917D0">
      <w:pPr>
        <w:ind w:firstLine="284"/>
        <w:jc w:val="both"/>
        <w:rPr>
          <w:color w:val="000000"/>
        </w:rPr>
      </w:pPr>
      <w:r w:rsidRPr="00E574A0">
        <w:rPr>
          <w:color w:val="000000"/>
        </w:rPr>
        <w:t>Qualitative ratings (Table 4). The qualitative rating (Optimal, High, Low) of the intervention effect presented in the main results was obtained through a structured three-step aggregation process:</w:t>
      </w:r>
      <w:r>
        <w:rPr>
          <w:color w:val="000000"/>
        </w:rPr>
        <w:t xml:space="preserve"> (1) </w:t>
      </w:r>
      <w:r w:rsidRPr="00E574A0">
        <w:rPr>
          <w:color w:val="000000"/>
        </w:rPr>
        <w:t>Structural Amalgamation: The studies were clustered according to their actual architecture implementation: Full On-Chain vs Off-Chain Storage and Hybrid. This was to make the synthesis "like with like" technical solution comparisons.</w:t>
      </w:r>
      <w:r>
        <w:rPr>
          <w:color w:val="000000"/>
        </w:rPr>
        <w:t xml:space="preserve"> (2) </w:t>
      </w:r>
      <w:r w:rsidRPr="00E574A0">
        <w:rPr>
          <w:color w:val="000000"/>
        </w:rPr>
        <w:t>Specific Metric Analysis: First, we have tested every study in a cluster against four primary criteria</w:t>
      </w:r>
      <w:r w:rsidR="00A917D0">
        <w:rPr>
          <w:color w:val="000000"/>
        </w:rPr>
        <w:t xml:space="preserve">: </w:t>
      </w:r>
      <w:r w:rsidRPr="00E574A0">
        <w:rPr>
          <w:color w:val="000000"/>
        </w:rPr>
        <w:t>Throughput (TPS), Latency, Resource Efficiency (Cost), and Security Logic. The quantitative data were compared with ASEAN-related stand-alone solutions (i.e., &gt;1000 TPS for national identity systems versus &lt;100 TPS for agency-specific trials).</w:t>
      </w:r>
      <w:r w:rsidR="00A917D0">
        <w:rPr>
          <w:color w:val="000000"/>
        </w:rPr>
        <w:t xml:space="preserve"> (3) </w:t>
      </w:r>
      <w:r w:rsidRPr="00E574A0">
        <w:rPr>
          <w:color w:val="000000"/>
        </w:rPr>
        <w:t>Summari</w:t>
      </w:r>
      <w:r w:rsidR="005457C4">
        <w:rPr>
          <w:color w:val="000000"/>
        </w:rPr>
        <w:t>z</w:t>
      </w:r>
      <w:r w:rsidRPr="00E574A0">
        <w:rPr>
          <w:color w:val="000000"/>
        </w:rPr>
        <w:t>ing findings: Scoring from single studies was used to create summary terms. The last score corresponds to the predominant profile of the model. For example, if most Full On-Chain models had high latency but greater immutability, the cluster was rated by this trade-off.</w:t>
      </w:r>
    </w:p>
    <w:p w:rsidR="00E574A0" w:rsidRPr="0021740D" w:rsidRDefault="00E574A0" w:rsidP="00E574A0">
      <w:pPr>
        <w:jc w:val="both"/>
        <w:rPr>
          <w:color w:val="000000"/>
        </w:rPr>
      </w:pPr>
    </w:p>
    <w:p w:rsidR="00E574A0" w:rsidRPr="00984699" w:rsidRDefault="00000000" w:rsidP="0021740D">
      <w:pPr>
        <w:jc w:val="both"/>
        <w:rPr>
          <w:i/>
          <w:iCs/>
          <w:color w:val="000000"/>
        </w:rPr>
      </w:pPr>
      <w:r w:rsidRPr="00984699">
        <w:rPr>
          <w:i/>
          <w:iCs/>
          <w:color w:val="000000"/>
        </w:rPr>
        <w:t>3.4.</w:t>
      </w:r>
      <w:r w:rsidR="0021740D" w:rsidRPr="00984699">
        <w:rPr>
          <w:i/>
          <w:iCs/>
          <w:color w:val="000000"/>
        </w:rPr>
        <w:t>2</w:t>
      </w:r>
      <w:r w:rsidRPr="00984699">
        <w:rPr>
          <w:i/>
          <w:iCs/>
          <w:color w:val="000000"/>
        </w:rPr>
        <w:t xml:space="preserve"> Defining Performance, Cost, and Security Logic</w:t>
      </w:r>
    </w:p>
    <w:p w:rsidR="00E574A0" w:rsidRDefault="00E574A0" w:rsidP="0021740D">
      <w:pPr>
        <w:jc w:val="both"/>
        <w:rPr>
          <w:color w:val="000000"/>
        </w:rPr>
      </w:pPr>
    </w:p>
    <w:p w:rsidR="00E574A0" w:rsidRDefault="00000000" w:rsidP="00A917D0">
      <w:pPr>
        <w:ind w:firstLine="284"/>
        <w:jc w:val="both"/>
        <w:rPr>
          <w:color w:val="000000"/>
        </w:rPr>
      </w:pPr>
      <w:r w:rsidRPr="00A917D0">
        <w:rPr>
          <w:color w:val="000000"/>
        </w:rPr>
        <w:t>To fulfil the need </w:t>
      </w:r>
      <w:r>
        <w:rPr>
          <w:color w:val="000000"/>
        </w:rPr>
        <w:t>for</w:t>
      </w:r>
      <w:r w:rsidRPr="00A917D0">
        <w:rPr>
          <w:color w:val="000000"/>
        </w:rPr>
        <w:t xml:space="preserve"> technical clarity, a clear separation between the Technical Performance and Operational Features was done:</w:t>
      </w:r>
      <w:r>
        <w:rPr>
          <w:color w:val="000000"/>
        </w:rPr>
        <w:t xml:space="preserve"> </w:t>
      </w:r>
      <w:r w:rsidRPr="00A917D0">
        <w:rPr>
          <w:color w:val="000000"/>
        </w:rPr>
        <w:t>a</w:t>
      </w:r>
      <w:r>
        <w:rPr>
          <w:color w:val="000000"/>
        </w:rPr>
        <w:t>)</w:t>
      </w:r>
      <w:r w:rsidRPr="00A917D0">
        <w:rPr>
          <w:color w:val="000000"/>
        </w:rPr>
        <w:t>. Performance: Pertains exclusively to the time and volume capacities of the system, expressed in Throughput (TPS) and Latency (Speed).</w:t>
      </w:r>
      <w:r>
        <w:rPr>
          <w:color w:val="000000"/>
        </w:rPr>
        <w:t xml:space="preserve"> </w:t>
      </w:r>
      <w:r w:rsidRPr="00A917D0">
        <w:rPr>
          <w:color w:val="000000"/>
        </w:rPr>
        <w:t>b</w:t>
      </w:r>
      <w:r>
        <w:rPr>
          <w:color w:val="000000"/>
        </w:rPr>
        <w:t>)</w:t>
      </w:r>
      <w:r w:rsidRPr="00A917D0">
        <w:rPr>
          <w:color w:val="000000"/>
        </w:rPr>
        <w:t>. Efficient Use of Resources (Cost): A separate operational attribute is considered by status quo decision makers. High computational / transaction costs serve as a technical</w:t>
      </w:r>
      <w:r>
        <w:rPr>
          <w:color w:val="000000"/>
        </w:rPr>
        <w:t xml:space="preserve"> </w:t>
      </w:r>
      <w:r w:rsidRPr="00A917D0">
        <w:rPr>
          <w:color w:val="000000"/>
        </w:rPr>
        <w:t>constraint for the feasibility of the model for public sectors in ASEAN under low digital budgets.</w:t>
      </w:r>
      <w:r>
        <w:rPr>
          <w:color w:val="000000"/>
        </w:rPr>
        <w:t xml:space="preserve"> </w:t>
      </w:r>
      <w:r w:rsidRPr="00A917D0">
        <w:rPr>
          <w:color w:val="000000"/>
        </w:rPr>
        <w:t>c</w:t>
      </w:r>
      <w:r>
        <w:rPr>
          <w:color w:val="000000"/>
        </w:rPr>
        <w:t>)</w:t>
      </w:r>
      <w:r w:rsidRPr="00A917D0">
        <w:rPr>
          <w:color w:val="000000"/>
        </w:rPr>
        <w:t>.Security and Decentralization Logic: This assesses the architectural logic of the ABAC operation. An Optimal rating stipulates that a decentralized Policy Decision Point (PDP) through Smart Contracts is necessary to remove a Single Point of Failure (SPOF)[13]. Models that still use a centrali</w:t>
      </w:r>
      <w:r>
        <w:rPr>
          <w:color w:val="000000"/>
        </w:rPr>
        <w:t>z</w:t>
      </w:r>
      <w:r w:rsidRPr="00A917D0">
        <w:rPr>
          <w:color w:val="000000"/>
        </w:rPr>
        <w:t>ed PDP/PAP are given a low security rating, even if they offer high throughput rates.</w:t>
      </w:r>
    </w:p>
    <w:p w:rsidR="00A917D0" w:rsidRDefault="00A917D0" w:rsidP="00A917D0">
      <w:pPr>
        <w:ind w:firstLine="284"/>
        <w:jc w:val="both"/>
        <w:rPr>
          <w:color w:val="000000"/>
        </w:rPr>
      </w:pPr>
    </w:p>
    <w:p w:rsidR="00A3435A" w:rsidRDefault="00000000" w:rsidP="00A3435A">
      <w:pPr>
        <w:jc w:val="both"/>
        <w:rPr>
          <w:color w:val="000000"/>
        </w:rPr>
      </w:pPr>
      <w:r>
        <w:rPr>
          <w:color w:val="000000"/>
        </w:rPr>
        <w:t>Table 4. Performance and Security Normalization Mapping</w:t>
      </w:r>
    </w:p>
    <w:tbl>
      <w:tblPr>
        <w:tblStyle w:val="TableGrid"/>
        <w:tblW w:w="0" w:type="auto"/>
        <w:tblLayout w:type="fixed"/>
        <w:tblLook w:val="04A0" w:firstRow="1" w:lastRow="0" w:firstColumn="1" w:lastColumn="0" w:noHBand="0" w:noVBand="1"/>
      </w:tblPr>
      <w:tblGrid>
        <w:gridCol w:w="675"/>
        <w:gridCol w:w="1021"/>
        <w:gridCol w:w="993"/>
        <w:gridCol w:w="992"/>
        <w:gridCol w:w="1175"/>
      </w:tblGrid>
      <w:tr w:rsidR="00D31CD9" w:rsidTr="006D3159">
        <w:tc>
          <w:tcPr>
            <w:tcW w:w="675" w:type="dxa"/>
            <w:vAlign w:val="center"/>
          </w:tcPr>
          <w:p w:rsidR="006A1214" w:rsidRPr="00A3435A" w:rsidRDefault="00000000" w:rsidP="006D3159">
            <w:pPr>
              <w:rPr>
                <w:color w:val="000000"/>
                <w:sz w:val="14"/>
                <w:szCs w:val="14"/>
              </w:rPr>
            </w:pPr>
            <w:r w:rsidRPr="00A3435A">
              <w:rPr>
                <w:color w:val="000000"/>
                <w:sz w:val="14"/>
                <w:szCs w:val="14"/>
              </w:rPr>
              <w:t>Rating</w:t>
            </w:r>
          </w:p>
        </w:tc>
        <w:tc>
          <w:tcPr>
            <w:tcW w:w="1021" w:type="dxa"/>
            <w:vAlign w:val="center"/>
          </w:tcPr>
          <w:p w:rsidR="006A1214" w:rsidRPr="00A3435A" w:rsidRDefault="00000000" w:rsidP="006D3159">
            <w:pPr>
              <w:rPr>
                <w:color w:val="000000"/>
                <w:sz w:val="14"/>
                <w:szCs w:val="14"/>
              </w:rPr>
            </w:pPr>
            <w:r w:rsidRPr="00A3435A">
              <w:rPr>
                <w:color w:val="000000"/>
                <w:sz w:val="14"/>
                <w:szCs w:val="14"/>
              </w:rPr>
              <w:t>Throughput (TPS)</w:t>
            </w:r>
          </w:p>
        </w:tc>
        <w:tc>
          <w:tcPr>
            <w:tcW w:w="993" w:type="dxa"/>
            <w:vAlign w:val="center"/>
          </w:tcPr>
          <w:p w:rsidR="006A1214" w:rsidRPr="00A3435A" w:rsidRDefault="00000000" w:rsidP="006D3159">
            <w:pPr>
              <w:rPr>
                <w:color w:val="000000"/>
                <w:sz w:val="14"/>
                <w:szCs w:val="14"/>
              </w:rPr>
            </w:pPr>
            <w:r w:rsidRPr="00A3435A">
              <w:rPr>
                <w:color w:val="000000"/>
                <w:sz w:val="14"/>
                <w:szCs w:val="14"/>
              </w:rPr>
              <w:t>Latency / Speed</w:t>
            </w:r>
          </w:p>
        </w:tc>
        <w:tc>
          <w:tcPr>
            <w:tcW w:w="992" w:type="dxa"/>
            <w:vAlign w:val="center"/>
          </w:tcPr>
          <w:p w:rsidR="006A1214" w:rsidRPr="00A3435A" w:rsidRDefault="00000000" w:rsidP="006D3159">
            <w:pPr>
              <w:rPr>
                <w:color w:val="000000"/>
                <w:sz w:val="14"/>
                <w:szCs w:val="14"/>
              </w:rPr>
            </w:pPr>
            <w:r w:rsidRPr="00A3435A">
              <w:rPr>
                <w:color w:val="000000"/>
                <w:sz w:val="14"/>
                <w:szCs w:val="14"/>
              </w:rPr>
              <w:t>Resource Efficiency</w:t>
            </w:r>
            <w:r>
              <w:rPr>
                <w:color w:val="000000"/>
                <w:sz w:val="14"/>
                <w:szCs w:val="14"/>
              </w:rPr>
              <w:t xml:space="preserve"> (Cost)</w:t>
            </w:r>
          </w:p>
        </w:tc>
        <w:tc>
          <w:tcPr>
            <w:tcW w:w="1175" w:type="dxa"/>
            <w:vAlign w:val="center"/>
          </w:tcPr>
          <w:p w:rsidR="006A1214" w:rsidRPr="00A3435A" w:rsidRDefault="00000000" w:rsidP="006D3159">
            <w:pPr>
              <w:rPr>
                <w:color w:val="000000"/>
                <w:sz w:val="14"/>
                <w:szCs w:val="14"/>
              </w:rPr>
            </w:pPr>
            <w:r w:rsidRPr="00A3435A">
              <w:rPr>
                <w:color w:val="000000"/>
                <w:sz w:val="14"/>
                <w:szCs w:val="14"/>
              </w:rPr>
              <w:t xml:space="preserve">Security </w:t>
            </w:r>
            <w:r>
              <w:rPr>
                <w:color w:val="000000"/>
                <w:sz w:val="14"/>
                <w:szCs w:val="14"/>
              </w:rPr>
              <w:t xml:space="preserve"> and Decentralization </w:t>
            </w:r>
            <w:r w:rsidRPr="00A3435A">
              <w:rPr>
                <w:color w:val="000000"/>
                <w:sz w:val="14"/>
                <w:szCs w:val="14"/>
              </w:rPr>
              <w:t>Logic</w:t>
            </w:r>
          </w:p>
        </w:tc>
      </w:tr>
      <w:tr w:rsidR="00D31CD9" w:rsidTr="006D3159">
        <w:tc>
          <w:tcPr>
            <w:tcW w:w="675" w:type="dxa"/>
            <w:vAlign w:val="center"/>
          </w:tcPr>
          <w:p w:rsidR="006A1214" w:rsidRPr="00A3435A" w:rsidRDefault="00000000" w:rsidP="006D3159">
            <w:pPr>
              <w:rPr>
                <w:color w:val="000000"/>
                <w:sz w:val="14"/>
                <w:szCs w:val="14"/>
              </w:rPr>
            </w:pPr>
            <w:r w:rsidRPr="00A3435A">
              <w:rPr>
                <w:color w:val="000000"/>
                <w:sz w:val="14"/>
                <w:szCs w:val="14"/>
              </w:rPr>
              <w:t>Optimal</w:t>
            </w:r>
            <w:r>
              <w:rPr>
                <w:color w:val="000000"/>
                <w:sz w:val="14"/>
                <w:szCs w:val="14"/>
              </w:rPr>
              <w:t xml:space="preserve"> (O)</w:t>
            </w:r>
          </w:p>
        </w:tc>
        <w:tc>
          <w:tcPr>
            <w:tcW w:w="1021" w:type="dxa"/>
            <w:vAlign w:val="center"/>
          </w:tcPr>
          <w:p w:rsidR="006A1214" w:rsidRPr="00A3435A" w:rsidRDefault="00000000" w:rsidP="006D3159">
            <w:pPr>
              <w:rPr>
                <w:color w:val="000000"/>
                <w:sz w:val="14"/>
                <w:szCs w:val="14"/>
              </w:rPr>
            </w:pPr>
            <w:r w:rsidRPr="0021740D">
              <w:rPr>
                <w:color w:val="000000"/>
                <w:sz w:val="14"/>
                <w:szCs w:val="14"/>
              </w:rPr>
              <w:t>National-scale volume (&gt;1000 TPS)</w:t>
            </w:r>
          </w:p>
        </w:tc>
        <w:tc>
          <w:tcPr>
            <w:tcW w:w="993" w:type="dxa"/>
            <w:vAlign w:val="center"/>
          </w:tcPr>
          <w:p w:rsidR="006A1214" w:rsidRPr="00A3435A" w:rsidRDefault="00000000" w:rsidP="006D3159">
            <w:pPr>
              <w:rPr>
                <w:color w:val="000000"/>
                <w:sz w:val="14"/>
                <w:szCs w:val="14"/>
              </w:rPr>
            </w:pPr>
            <w:r w:rsidRPr="00A3435A">
              <w:rPr>
                <w:color w:val="000000"/>
                <w:sz w:val="14"/>
                <w:szCs w:val="14"/>
              </w:rPr>
              <w:t>Near real-time response</w:t>
            </w:r>
          </w:p>
        </w:tc>
        <w:tc>
          <w:tcPr>
            <w:tcW w:w="992" w:type="dxa"/>
            <w:vAlign w:val="center"/>
          </w:tcPr>
          <w:p w:rsidR="006A1214" w:rsidRPr="00A3435A" w:rsidRDefault="00000000" w:rsidP="006D3159">
            <w:pPr>
              <w:rPr>
                <w:color w:val="000000"/>
                <w:sz w:val="14"/>
                <w:szCs w:val="14"/>
              </w:rPr>
            </w:pPr>
            <w:r w:rsidRPr="00A3435A">
              <w:rPr>
                <w:color w:val="000000"/>
                <w:sz w:val="14"/>
                <w:szCs w:val="14"/>
              </w:rPr>
              <w:t>Highly efficient, low operational cost</w:t>
            </w:r>
          </w:p>
        </w:tc>
        <w:tc>
          <w:tcPr>
            <w:tcW w:w="1175" w:type="dxa"/>
            <w:vAlign w:val="center"/>
          </w:tcPr>
          <w:p w:rsidR="006A1214" w:rsidRPr="00A3435A" w:rsidRDefault="00000000" w:rsidP="006D3159">
            <w:pPr>
              <w:rPr>
                <w:color w:val="000000"/>
                <w:sz w:val="14"/>
                <w:szCs w:val="14"/>
              </w:rPr>
            </w:pPr>
            <w:r w:rsidRPr="00A3435A">
              <w:rPr>
                <w:color w:val="000000"/>
                <w:sz w:val="14"/>
                <w:szCs w:val="14"/>
              </w:rPr>
              <w:t>Consensus – verified PDP, high BFT resistance</w:t>
            </w:r>
          </w:p>
        </w:tc>
      </w:tr>
      <w:tr w:rsidR="00D31CD9" w:rsidTr="006D3159">
        <w:tc>
          <w:tcPr>
            <w:tcW w:w="675" w:type="dxa"/>
            <w:vAlign w:val="center"/>
          </w:tcPr>
          <w:p w:rsidR="006A1214" w:rsidRPr="00A3435A" w:rsidRDefault="00000000" w:rsidP="006D3159">
            <w:pPr>
              <w:rPr>
                <w:color w:val="000000"/>
                <w:sz w:val="14"/>
                <w:szCs w:val="14"/>
              </w:rPr>
            </w:pPr>
            <w:r w:rsidRPr="00A3435A">
              <w:rPr>
                <w:color w:val="000000"/>
                <w:sz w:val="14"/>
                <w:szCs w:val="14"/>
              </w:rPr>
              <w:t>High</w:t>
            </w:r>
            <w:r>
              <w:rPr>
                <w:color w:val="000000"/>
                <w:sz w:val="14"/>
                <w:szCs w:val="14"/>
              </w:rPr>
              <w:t xml:space="preserve"> (H)</w:t>
            </w:r>
          </w:p>
        </w:tc>
        <w:tc>
          <w:tcPr>
            <w:tcW w:w="1021" w:type="dxa"/>
            <w:vAlign w:val="center"/>
          </w:tcPr>
          <w:p w:rsidR="006A1214" w:rsidRPr="00A3435A" w:rsidRDefault="00000000" w:rsidP="006D3159">
            <w:pPr>
              <w:rPr>
                <w:color w:val="000000"/>
                <w:sz w:val="14"/>
                <w:szCs w:val="14"/>
              </w:rPr>
            </w:pPr>
            <w:r w:rsidRPr="0021740D">
              <w:rPr>
                <w:color w:val="000000"/>
                <w:sz w:val="14"/>
                <w:szCs w:val="14"/>
              </w:rPr>
              <w:t>Agency/Enterprise volume (100–1000 TPS)</w:t>
            </w:r>
          </w:p>
        </w:tc>
        <w:tc>
          <w:tcPr>
            <w:tcW w:w="993" w:type="dxa"/>
            <w:vAlign w:val="center"/>
          </w:tcPr>
          <w:p w:rsidR="006A1214" w:rsidRPr="00A3435A" w:rsidRDefault="00000000" w:rsidP="006D3159">
            <w:pPr>
              <w:rPr>
                <w:color w:val="000000"/>
                <w:sz w:val="14"/>
                <w:szCs w:val="14"/>
              </w:rPr>
            </w:pPr>
            <w:r w:rsidRPr="00A3435A">
              <w:rPr>
                <w:color w:val="000000"/>
                <w:sz w:val="14"/>
                <w:szCs w:val="14"/>
              </w:rPr>
              <w:t xml:space="preserve">Acceptable administrative </w:t>
            </w:r>
            <w:r>
              <w:rPr>
                <w:color w:val="000000"/>
                <w:sz w:val="14"/>
                <w:szCs w:val="14"/>
              </w:rPr>
              <w:t>delay</w:t>
            </w:r>
          </w:p>
        </w:tc>
        <w:tc>
          <w:tcPr>
            <w:tcW w:w="992" w:type="dxa"/>
            <w:vAlign w:val="center"/>
          </w:tcPr>
          <w:p w:rsidR="006A1214" w:rsidRPr="00A3435A" w:rsidRDefault="00000000" w:rsidP="006D3159">
            <w:pPr>
              <w:rPr>
                <w:color w:val="000000"/>
                <w:sz w:val="14"/>
                <w:szCs w:val="14"/>
              </w:rPr>
            </w:pPr>
            <w:r w:rsidRPr="00A3435A">
              <w:rPr>
                <w:color w:val="000000"/>
                <w:sz w:val="14"/>
                <w:szCs w:val="14"/>
              </w:rPr>
              <w:t>Managed and predictable resource use</w:t>
            </w:r>
          </w:p>
        </w:tc>
        <w:tc>
          <w:tcPr>
            <w:tcW w:w="1175" w:type="dxa"/>
            <w:vAlign w:val="center"/>
          </w:tcPr>
          <w:p w:rsidR="006A1214" w:rsidRPr="00A3435A" w:rsidRDefault="00000000" w:rsidP="006D3159">
            <w:pPr>
              <w:rPr>
                <w:color w:val="000000"/>
                <w:sz w:val="14"/>
                <w:szCs w:val="14"/>
              </w:rPr>
            </w:pPr>
            <w:r w:rsidRPr="00A3435A">
              <w:rPr>
                <w:color w:val="000000"/>
                <w:sz w:val="14"/>
                <w:szCs w:val="14"/>
              </w:rPr>
              <w:t>Smart Contract – based PDP, minimal SPOF</w:t>
            </w:r>
          </w:p>
        </w:tc>
      </w:tr>
      <w:tr w:rsidR="00D31CD9" w:rsidTr="006D3159">
        <w:tc>
          <w:tcPr>
            <w:tcW w:w="675" w:type="dxa"/>
            <w:vAlign w:val="center"/>
          </w:tcPr>
          <w:p w:rsidR="006A1214" w:rsidRPr="00A3435A" w:rsidRDefault="00000000" w:rsidP="006D3159">
            <w:pPr>
              <w:rPr>
                <w:color w:val="000000"/>
                <w:sz w:val="14"/>
                <w:szCs w:val="14"/>
              </w:rPr>
            </w:pPr>
            <w:r w:rsidRPr="00A3435A">
              <w:rPr>
                <w:color w:val="000000"/>
                <w:sz w:val="14"/>
                <w:szCs w:val="14"/>
              </w:rPr>
              <w:t>Low</w:t>
            </w:r>
            <w:r>
              <w:rPr>
                <w:color w:val="000000"/>
                <w:sz w:val="14"/>
                <w:szCs w:val="14"/>
              </w:rPr>
              <w:t xml:space="preserve"> (L)</w:t>
            </w:r>
          </w:p>
        </w:tc>
        <w:tc>
          <w:tcPr>
            <w:tcW w:w="1021" w:type="dxa"/>
            <w:vAlign w:val="center"/>
          </w:tcPr>
          <w:p w:rsidR="006A1214" w:rsidRPr="00A3435A" w:rsidRDefault="00000000" w:rsidP="006D3159">
            <w:pPr>
              <w:rPr>
                <w:color w:val="000000"/>
                <w:sz w:val="14"/>
                <w:szCs w:val="14"/>
              </w:rPr>
            </w:pPr>
            <w:r w:rsidRPr="0021740D">
              <w:rPr>
                <w:color w:val="000000"/>
                <w:sz w:val="14"/>
                <w:szCs w:val="14"/>
              </w:rPr>
              <w:t>Small-scale/Pilot only (&lt;100 TPS)</w:t>
            </w:r>
          </w:p>
        </w:tc>
        <w:tc>
          <w:tcPr>
            <w:tcW w:w="993" w:type="dxa"/>
            <w:vAlign w:val="center"/>
          </w:tcPr>
          <w:p w:rsidR="006A1214" w:rsidRPr="00A3435A" w:rsidRDefault="00000000" w:rsidP="006D3159">
            <w:pPr>
              <w:rPr>
                <w:color w:val="000000"/>
                <w:sz w:val="14"/>
                <w:szCs w:val="14"/>
              </w:rPr>
            </w:pPr>
            <w:r w:rsidRPr="00A3435A">
              <w:rPr>
                <w:color w:val="000000"/>
                <w:sz w:val="14"/>
                <w:szCs w:val="14"/>
              </w:rPr>
              <w:t>Significant delays (</w:t>
            </w:r>
            <w:r>
              <w:rPr>
                <w:color w:val="000000"/>
                <w:sz w:val="14"/>
                <w:szCs w:val="14"/>
              </w:rPr>
              <w:t>non</w:t>
            </w:r>
            <w:r w:rsidRPr="00A3435A">
              <w:rPr>
                <w:color w:val="000000"/>
                <w:sz w:val="14"/>
                <w:szCs w:val="14"/>
              </w:rPr>
              <w:t>-real-time)</w:t>
            </w:r>
          </w:p>
        </w:tc>
        <w:tc>
          <w:tcPr>
            <w:tcW w:w="992" w:type="dxa"/>
            <w:vAlign w:val="center"/>
          </w:tcPr>
          <w:p w:rsidR="006A1214" w:rsidRPr="00A3435A" w:rsidRDefault="00000000" w:rsidP="006D3159">
            <w:pPr>
              <w:rPr>
                <w:color w:val="000000"/>
                <w:sz w:val="14"/>
                <w:szCs w:val="14"/>
              </w:rPr>
            </w:pPr>
            <w:r w:rsidRPr="00A3435A">
              <w:rPr>
                <w:color w:val="000000"/>
                <w:sz w:val="14"/>
                <w:szCs w:val="14"/>
              </w:rPr>
              <w:t>Prohibitively expensive or resource-heavy</w:t>
            </w:r>
          </w:p>
        </w:tc>
        <w:tc>
          <w:tcPr>
            <w:tcW w:w="1175" w:type="dxa"/>
            <w:vAlign w:val="center"/>
          </w:tcPr>
          <w:p w:rsidR="006A1214" w:rsidRPr="00A3435A" w:rsidRDefault="00000000" w:rsidP="006D3159">
            <w:pPr>
              <w:rPr>
                <w:color w:val="000000"/>
                <w:sz w:val="14"/>
                <w:szCs w:val="14"/>
              </w:rPr>
            </w:pPr>
            <w:r w:rsidRPr="00A3435A">
              <w:rPr>
                <w:color w:val="000000"/>
                <w:sz w:val="14"/>
                <w:szCs w:val="14"/>
              </w:rPr>
              <w:t xml:space="preserve">Centralized components </w:t>
            </w:r>
            <w:r>
              <w:rPr>
                <w:color w:val="000000"/>
                <w:sz w:val="14"/>
                <w:szCs w:val="14"/>
              </w:rPr>
              <w:t xml:space="preserve">(PDP/PAP) </w:t>
            </w:r>
            <w:r w:rsidRPr="00A3435A">
              <w:rPr>
                <w:color w:val="000000"/>
                <w:sz w:val="14"/>
                <w:szCs w:val="14"/>
              </w:rPr>
              <w:t>remain vulnerable</w:t>
            </w:r>
          </w:p>
        </w:tc>
      </w:tr>
    </w:tbl>
    <w:p w:rsidR="006A1214" w:rsidRDefault="006A1214" w:rsidP="00A3435A">
      <w:pPr>
        <w:jc w:val="both"/>
        <w:rPr>
          <w:color w:val="000000"/>
        </w:rPr>
      </w:pPr>
    </w:p>
    <w:p w:rsidR="006A1214" w:rsidRPr="00BB3797" w:rsidRDefault="00000000" w:rsidP="006A1214">
      <w:pPr>
        <w:jc w:val="both"/>
        <w:rPr>
          <w:i/>
          <w:iCs/>
          <w:color w:val="000000"/>
        </w:rPr>
      </w:pPr>
      <w:r>
        <w:rPr>
          <w:i/>
          <w:iCs/>
          <w:color w:val="000000"/>
        </w:rPr>
        <w:t>3.</w:t>
      </w:r>
      <w:r w:rsidRPr="00BB3797">
        <w:rPr>
          <w:i/>
          <w:iCs/>
          <w:color w:val="000000"/>
        </w:rPr>
        <w:t>5 Thematic Synthesis and Analysis</w:t>
      </w:r>
    </w:p>
    <w:p w:rsidR="006A1214" w:rsidRDefault="006A1214" w:rsidP="006A1214">
      <w:pPr>
        <w:jc w:val="both"/>
        <w:rPr>
          <w:color w:val="000000"/>
        </w:rPr>
      </w:pPr>
    </w:p>
    <w:p w:rsidR="00A917D0" w:rsidRDefault="00000000" w:rsidP="00A917D0">
      <w:pPr>
        <w:ind w:firstLine="284"/>
        <w:jc w:val="both"/>
        <w:rPr>
          <w:rFonts w:eastAsia="Times New Roman"/>
          <w:color w:val="000000"/>
          <w:lang w:val="en-PH"/>
        </w:rPr>
      </w:pPr>
      <w:r w:rsidRPr="00A917D0">
        <w:rPr>
          <w:rFonts w:eastAsia="Times New Roman"/>
          <w:color w:val="000000"/>
          <w:lang w:val="en-PH"/>
        </w:rPr>
        <w:t xml:space="preserve">Lastly, the technical information was cross-referenced to the regional level. </w:t>
      </w:r>
      <w:r>
        <w:rPr>
          <w:rFonts w:eastAsia="Times New Roman"/>
          <w:color w:val="000000"/>
          <w:lang w:val="en-PH"/>
        </w:rPr>
        <w:t>T</w:t>
      </w:r>
      <w:r w:rsidRPr="00A917D0">
        <w:rPr>
          <w:rFonts w:eastAsia="Times New Roman"/>
          <w:color w:val="000000"/>
          <w:lang w:val="en-PH"/>
        </w:rPr>
        <w:t>his was facilitated during the data extraction and synthesis period, following completion of the identification of final papers. It utilized NVivo 12 [71] for organizing findings under manageable headings.</w:t>
      </w:r>
    </w:p>
    <w:p w:rsidR="00A917D0" w:rsidRDefault="00A917D0" w:rsidP="00A917D0">
      <w:pPr>
        <w:ind w:firstLine="284"/>
        <w:jc w:val="both"/>
        <w:rPr>
          <w:rFonts w:eastAsia="Times New Roman"/>
          <w:color w:val="000000"/>
          <w:lang w:val="en-PH"/>
        </w:rPr>
      </w:pPr>
    </w:p>
    <w:p w:rsidR="00A917D0" w:rsidRDefault="00000000" w:rsidP="00A917D0">
      <w:pPr>
        <w:ind w:firstLine="284"/>
        <w:jc w:val="both"/>
        <w:rPr>
          <w:rFonts w:eastAsia="Times New Roman"/>
          <w:color w:val="000000"/>
          <w:lang w:val="en-PH"/>
        </w:rPr>
      </w:pPr>
      <w:r w:rsidRPr="00A917D0">
        <w:rPr>
          <w:rFonts w:eastAsia="Times New Roman"/>
          <w:color w:val="000000"/>
          <w:lang w:val="en-PH"/>
        </w:rPr>
        <w:lastRenderedPageBreak/>
        <w:t xml:space="preserve">The study adopted a standard operating procedure and adhered to the six-phase process for thematic analysis </w:t>
      </w:r>
      <w:r w:rsidR="00FE5566">
        <w:rPr>
          <w:rFonts w:cstheme="minorHAnsi"/>
          <w:noProof/>
          <w:lang w:val="en-PH"/>
          <w14:ligatures w14:val="standardContextual"/>
        </w:rPr>
        <w:drawing>
          <wp:anchor distT="0" distB="0" distL="114300" distR="114300" simplePos="0" relativeHeight="251659264" behindDoc="1" locked="0" layoutInCell="1" allowOverlap="1">
            <wp:simplePos x="0" y="0"/>
            <wp:positionH relativeFrom="column">
              <wp:posOffset>3318510</wp:posOffset>
            </wp:positionH>
            <wp:positionV relativeFrom="paragraph">
              <wp:posOffset>359</wp:posOffset>
            </wp:positionV>
            <wp:extent cx="3089910" cy="1615440"/>
            <wp:effectExtent l="0" t="0" r="0" b="0"/>
            <wp:wrapTight wrapText="bothSides">
              <wp:wrapPolygon edited="0">
                <wp:start x="0" y="0"/>
                <wp:lineTo x="0" y="21396"/>
                <wp:lineTo x="21485" y="21396"/>
                <wp:lineTo x="21485" y="0"/>
                <wp:lineTo x="0" y="0"/>
              </wp:wrapPolygon>
            </wp:wrapTight>
            <wp:docPr id="165762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2733" name="Picture 1657627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9910" cy="1615440"/>
                    </a:xfrm>
                    <a:prstGeom prst="rect">
                      <a:avLst/>
                    </a:prstGeom>
                  </pic:spPr>
                </pic:pic>
              </a:graphicData>
            </a:graphic>
            <wp14:sizeRelH relativeFrom="page">
              <wp14:pctWidth>0</wp14:pctWidth>
            </wp14:sizeRelH>
            <wp14:sizeRelV relativeFrom="page">
              <wp14:pctHeight>0</wp14:pctHeight>
            </wp14:sizeRelV>
          </wp:anchor>
        </w:drawing>
      </w:r>
      <w:r w:rsidRPr="00A917D0">
        <w:rPr>
          <w:rFonts w:eastAsia="Times New Roman"/>
          <w:color w:val="000000"/>
          <w:lang w:val="en-PH"/>
        </w:rPr>
        <w:t>proposed by Braun and Clarke [69], from familiari</w:t>
      </w:r>
      <w:r>
        <w:rPr>
          <w:rFonts w:eastAsia="Times New Roman"/>
          <w:color w:val="000000"/>
          <w:lang w:val="en-PH"/>
        </w:rPr>
        <w:t>z</w:t>
      </w:r>
      <w:r w:rsidRPr="00A917D0">
        <w:rPr>
          <w:rFonts w:eastAsia="Times New Roman"/>
          <w:color w:val="000000"/>
          <w:lang w:val="en-PH"/>
        </w:rPr>
        <w:t>ation with the raw data, through to report write-up.</w:t>
      </w:r>
    </w:p>
    <w:p w:rsidR="00984699" w:rsidRPr="00A917D0" w:rsidRDefault="00984699" w:rsidP="00A917D0">
      <w:pPr>
        <w:ind w:firstLine="284"/>
        <w:jc w:val="both"/>
        <w:rPr>
          <w:rFonts w:eastAsia="Times New Roman"/>
          <w:color w:val="000000"/>
          <w:lang w:val="en-PH"/>
        </w:rPr>
      </w:pPr>
    </w:p>
    <w:p w:rsidR="00E574A0" w:rsidRPr="00E574A0" w:rsidRDefault="00000000" w:rsidP="00E574A0">
      <w:pPr>
        <w:jc w:val="both"/>
        <w:rPr>
          <w:i/>
          <w:iCs/>
          <w:color w:val="000000"/>
        </w:rPr>
      </w:pPr>
      <w:r w:rsidRPr="00E574A0">
        <w:rPr>
          <w:i/>
          <w:iCs/>
          <w:color w:val="000000"/>
        </w:rPr>
        <w:t>3.5.1 Coding Framework</w:t>
      </w:r>
    </w:p>
    <w:p w:rsidR="00E574A0" w:rsidRPr="00E574A0" w:rsidRDefault="00E574A0" w:rsidP="00BB3797">
      <w:pPr>
        <w:ind w:firstLine="284"/>
        <w:jc w:val="both"/>
        <w:rPr>
          <w:color w:val="000000"/>
        </w:rPr>
      </w:pPr>
    </w:p>
    <w:p w:rsidR="00A917D0" w:rsidRDefault="00000000" w:rsidP="00A917D0">
      <w:pPr>
        <w:ind w:firstLine="284"/>
        <w:jc w:val="both"/>
        <w:rPr>
          <w:color w:val="000000"/>
        </w:rPr>
      </w:pPr>
      <w:r w:rsidRPr="00A917D0">
        <w:rPr>
          <w:color w:val="000000"/>
        </w:rPr>
        <w:t xml:space="preserve">The act of ordering the information is referred to as coding. A code is really a tag or bucket that you group like ideas found in various papers. This research employed a two-stage approach: (1) </w:t>
      </w:r>
      <w:r>
        <w:rPr>
          <w:color w:val="000000"/>
        </w:rPr>
        <w:t>d</w:t>
      </w:r>
      <w:r w:rsidRPr="00A917D0">
        <w:rPr>
          <w:color w:val="000000"/>
        </w:rPr>
        <w:t>eductive coding (top-down): An initial framework of categories was obtained directly from the main topics of interest</w:t>
      </w:r>
      <w:r w:rsidR="00FE5566">
        <w:rPr>
          <w:color w:val="000000"/>
        </w:rPr>
        <w:t>:</w:t>
      </w:r>
      <w:r w:rsidRPr="00A917D0">
        <w:rPr>
          <w:color w:val="000000"/>
        </w:rPr>
        <w:t xml:space="preserve"> Architectural Models, Performance Security Trade-offs, and Technical Implementation Challenges. (2) inductive encoding (</w:t>
      </w:r>
      <w:r>
        <w:rPr>
          <w:color w:val="000000"/>
        </w:rPr>
        <w:t>b</w:t>
      </w:r>
      <w:r w:rsidRPr="00A917D0">
        <w:rPr>
          <w:color w:val="000000"/>
        </w:rPr>
        <w:t>ottom-</w:t>
      </w:r>
      <w:r>
        <w:rPr>
          <w:color w:val="000000"/>
        </w:rPr>
        <w:t>u</w:t>
      </w:r>
      <w:r w:rsidRPr="00A917D0">
        <w:rPr>
          <w:color w:val="000000"/>
        </w:rPr>
        <w:t>p): New themes arose that were not anticipated at the beginning, as the researchers read the papers.</w:t>
      </w:r>
    </w:p>
    <w:p w:rsidR="00A917D0" w:rsidRDefault="00A917D0" w:rsidP="00A917D0">
      <w:pPr>
        <w:jc w:val="both"/>
        <w:rPr>
          <w:color w:val="000000"/>
        </w:rPr>
      </w:pPr>
    </w:p>
    <w:p w:rsidR="00E574A0" w:rsidRPr="00D44FBE" w:rsidRDefault="00000000" w:rsidP="00A917D0">
      <w:pPr>
        <w:jc w:val="both"/>
        <w:rPr>
          <w:i/>
          <w:iCs/>
          <w:color w:val="000000"/>
        </w:rPr>
      </w:pPr>
      <w:r w:rsidRPr="00D44FBE">
        <w:rPr>
          <w:i/>
          <w:iCs/>
          <w:color w:val="000000"/>
        </w:rPr>
        <w:t>3.5.2 Ensuring Rigor and Inter-Rater Reliability</w:t>
      </w:r>
    </w:p>
    <w:p w:rsidR="00D44FBE" w:rsidRDefault="00D44FBE" w:rsidP="00D44FBE">
      <w:pPr>
        <w:jc w:val="both"/>
        <w:rPr>
          <w:color w:val="000000"/>
        </w:rPr>
      </w:pPr>
    </w:p>
    <w:p w:rsidR="00FE5566" w:rsidRPr="00FE5566" w:rsidRDefault="00000000" w:rsidP="00FE5566">
      <w:pPr>
        <w:ind w:firstLine="284"/>
        <w:jc w:val="both"/>
        <w:rPr>
          <w:color w:val="000000"/>
        </w:rPr>
      </w:pPr>
      <w:r w:rsidRPr="00FE5566">
        <w:rPr>
          <w:color w:val="000000"/>
        </w:rPr>
        <w:t>In any scientific investigation, it's essential to be able to demonstrate that results are independent and not merely one person's say-so. To guarantee this level of rigor, coding and extraction were validated in two stages: (1) An initial reliability check, where two independent investigators coded their first</w:t>
      </w:r>
      <w:r>
        <w:rPr>
          <w:color w:val="000000"/>
        </w:rPr>
        <w:t xml:space="preserve"> </w:t>
      </w:r>
      <w:r w:rsidRPr="00FE5566">
        <w:rPr>
          <w:color w:val="000000"/>
        </w:rPr>
        <w:t xml:space="preserve">pass over a 20% random sample from the corpus. Agreement was calculated using Cohen’s Kappa (κ). There was strong agreement (к=0.84 [70]) for the coding buckets, thus establishing </w:t>
      </w:r>
      <w:r>
        <w:rPr>
          <w:color w:val="000000"/>
        </w:rPr>
        <w:t xml:space="preserve">the </w:t>
      </w:r>
      <w:r w:rsidRPr="00FE5566">
        <w:rPr>
          <w:color w:val="000000"/>
        </w:rPr>
        <w:t>reliability of the codes. (2) Consensus Moderation: For the remaining 80% of the corpus</w:t>
      </w:r>
      <w:r>
        <w:rPr>
          <w:color w:val="000000"/>
        </w:rPr>
        <w:t xml:space="preserve">, </w:t>
      </w:r>
      <w:r w:rsidRPr="00FE5566">
        <w:rPr>
          <w:color w:val="000000"/>
        </w:rPr>
        <w:t xml:space="preserve">any discrepancies in theme assignment or performance rating </w:t>
      </w:r>
      <w:r>
        <w:rPr>
          <w:color w:val="000000"/>
        </w:rPr>
        <w:t xml:space="preserve">are resolved in </w:t>
      </w:r>
      <w:r w:rsidRPr="00FE5566">
        <w:rPr>
          <w:color w:val="000000"/>
        </w:rPr>
        <w:t xml:space="preserve">a meeting according to </w:t>
      </w:r>
      <w:r>
        <w:rPr>
          <w:color w:val="000000"/>
        </w:rPr>
        <w:t xml:space="preserve">the </w:t>
      </w:r>
      <w:r w:rsidRPr="00FE5566">
        <w:rPr>
          <w:color w:val="000000"/>
        </w:rPr>
        <w:t>definitions of [66].</w:t>
      </w:r>
    </w:p>
    <w:p w:rsidR="00FE5566" w:rsidRPr="00FE5566" w:rsidRDefault="00FE5566" w:rsidP="00FE5566">
      <w:pPr>
        <w:ind w:firstLine="284"/>
        <w:jc w:val="both"/>
        <w:rPr>
          <w:color w:val="000000"/>
        </w:rPr>
      </w:pPr>
    </w:p>
    <w:p w:rsidR="00E574A0" w:rsidRDefault="00000000" w:rsidP="00FE5566">
      <w:pPr>
        <w:ind w:firstLine="284"/>
        <w:jc w:val="both"/>
        <w:rPr>
          <w:color w:val="000000"/>
        </w:rPr>
      </w:pPr>
      <w:r w:rsidRPr="00FE5566">
        <w:rPr>
          <w:color w:val="000000"/>
        </w:rPr>
        <w:t>This focused thematic meta-analysis makes sure that the conclusions from section IV are more than a cumulative analysis of individual papers</w:t>
      </w:r>
      <w:r>
        <w:rPr>
          <w:color w:val="000000"/>
        </w:rPr>
        <w:t>.</w:t>
      </w:r>
      <w:r w:rsidRPr="00FE5566">
        <w:rPr>
          <w:color w:val="000000"/>
        </w:rPr>
        <w:t xml:space="preserve"> </w:t>
      </w:r>
      <w:r>
        <w:rPr>
          <w:color w:val="000000"/>
        </w:rPr>
        <w:t>I</w:t>
      </w:r>
      <w:r w:rsidRPr="00FE5566">
        <w:rPr>
          <w:color w:val="000000"/>
        </w:rPr>
        <w:t>t is a sy</w:t>
      </w:r>
      <w:r>
        <w:rPr>
          <w:color w:val="000000"/>
        </w:rPr>
        <w:t>n</w:t>
      </w:r>
      <w:r w:rsidRPr="00FE5566">
        <w:rPr>
          <w:color w:val="000000"/>
        </w:rPr>
        <w:t>thesized evidence-based image of how they relate directly to research aims.</w:t>
      </w:r>
    </w:p>
    <w:p w:rsidR="00FE5566" w:rsidRDefault="00FE5566" w:rsidP="00FE5566">
      <w:pPr>
        <w:ind w:firstLine="284"/>
        <w:jc w:val="both"/>
        <w:rPr>
          <w:color w:val="000000"/>
        </w:rPr>
      </w:pPr>
    </w:p>
    <w:p w:rsidR="006038DD" w:rsidRDefault="00000000" w:rsidP="00FE5566">
      <w:pPr>
        <w:pStyle w:val="Heading1"/>
        <w:numPr>
          <w:ilvl w:val="0"/>
          <w:numId w:val="0"/>
        </w:numPr>
        <w:spacing w:before="0" w:after="0"/>
        <w:rPr>
          <w:color w:val="0F1115"/>
        </w:rPr>
      </w:pPr>
      <w:r>
        <w:rPr>
          <w:color w:val="0F1115"/>
        </w:rPr>
        <w:t>iV. results and discussion</w:t>
      </w:r>
    </w:p>
    <w:p w:rsidR="00984699" w:rsidRDefault="00984699" w:rsidP="00FE5566">
      <w:pPr>
        <w:pStyle w:val="ds-markdown-paragraph"/>
        <w:spacing w:before="0" w:beforeAutospacing="0" w:after="0" w:afterAutospacing="0"/>
        <w:jc w:val="both"/>
        <w:rPr>
          <w:color w:val="0F1115"/>
          <w:sz w:val="20"/>
          <w:szCs w:val="20"/>
        </w:rPr>
      </w:pPr>
    </w:p>
    <w:p w:rsidR="006038DD" w:rsidRDefault="00000000" w:rsidP="00FE5566">
      <w:pPr>
        <w:pStyle w:val="ds-markdown-paragraph"/>
        <w:spacing w:before="0" w:beforeAutospacing="0" w:after="0" w:afterAutospacing="0"/>
        <w:jc w:val="both"/>
        <w:rPr>
          <w:i/>
          <w:iCs/>
          <w:color w:val="0F1115"/>
          <w:sz w:val="20"/>
          <w:szCs w:val="20"/>
        </w:rPr>
      </w:pPr>
      <w:r>
        <w:rPr>
          <w:i/>
          <w:iCs/>
          <w:color w:val="0F1115"/>
          <w:sz w:val="20"/>
          <w:szCs w:val="20"/>
        </w:rPr>
        <w:t xml:space="preserve">4.1 </w:t>
      </w:r>
      <w:r w:rsidR="00335FC7">
        <w:rPr>
          <w:i/>
          <w:iCs/>
          <w:color w:val="0F1115"/>
          <w:sz w:val="20"/>
          <w:szCs w:val="20"/>
        </w:rPr>
        <w:t>Technical Componen</w:t>
      </w:r>
      <w:r w:rsidR="00984699">
        <w:rPr>
          <w:i/>
          <w:iCs/>
          <w:color w:val="0F1115"/>
          <w:sz w:val="20"/>
          <w:szCs w:val="20"/>
        </w:rPr>
        <w:t>ts</w:t>
      </w:r>
    </w:p>
    <w:p w:rsidR="000B7A2E" w:rsidRPr="00D11719" w:rsidRDefault="000B7A2E" w:rsidP="00FE5566">
      <w:pPr>
        <w:pStyle w:val="ds-markdown-paragraph"/>
        <w:spacing w:before="0" w:beforeAutospacing="0" w:after="0" w:afterAutospacing="0"/>
        <w:jc w:val="both"/>
        <w:rPr>
          <w:i/>
          <w:iCs/>
          <w:color w:val="0F1115"/>
          <w:sz w:val="20"/>
          <w:szCs w:val="20"/>
        </w:rPr>
      </w:pPr>
    </w:p>
    <w:p w:rsidR="00FE5566" w:rsidRPr="00FE5566" w:rsidRDefault="00000000" w:rsidP="00FE5566">
      <w:pPr>
        <w:ind w:firstLine="284"/>
        <w:jc w:val="both"/>
        <w:rPr>
          <w:rFonts w:cstheme="minorHAnsi"/>
          <w:lang w:val="en-PH"/>
        </w:rPr>
      </w:pPr>
      <w:r w:rsidRPr="00FE5566">
        <w:rPr>
          <w:rFonts w:cstheme="minorHAnsi"/>
          <w:lang w:val="en-PH"/>
        </w:rPr>
        <w:t>Synthetic evidence in the corpus indicates a core transformation from traditional castle-and-moat constructs to a context-driven security model that is decentralized. A strong architectural approach that combines the decentralization of Blockchain and the fine-grained logic of Attribute-Based Access Control (ABAC) [28, 41]. This integration mitigates two significant attacks to state-of-the-art e-governance: said SPOF and administrative tampering, and distributes the decision-making logic over a transparent ledger that is unchangeable by its independent members [18,29,36].</w:t>
      </w:r>
    </w:p>
    <w:p w:rsidR="00FE5566" w:rsidRPr="00FE5566" w:rsidRDefault="00FE5566" w:rsidP="00FE5566">
      <w:pPr>
        <w:ind w:firstLine="284"/>
        <w:jc w:val="both"/>
        <w:rPr>
          <w:rFonts w:cstheme="minorHAnsi"/>
          <w:lang w:val="en-PH"/>
        </w:rPr>
      </w:pPr>
    </w:p>
    <w:p w:rsidR="00FE5566" w:rsidRDefault="00000000" w:rsidP="00FE5566">
      <w:pPr>
        <w:ind w:firstLine="284"/>
        <w:jc w:val="both"/>
        <w:rPr>
          <w:rFonts w:cstheme="minorHAnsi"/>
          <w:lang w:val="en-PH"/>
        </w:rPr>
      </w:pPr>
      <w:r w:rsidRPr="00FE5566">
        <w:rPr>
          <w:rFonts w:cstheme="minorHAnsi"/>
          <w:lang w:val="en-PH"/>
        </w:rPr>
        <w:t xml:space="preserve">Fig. 2 </w:t>
      </w:r>
      <w:r w:rsidR="005457C4">
        <w:rPr>
          <w:rFonts w:cstheme="minorHAnsi"/>
          <w:lang w:val="en-PH"/>
        </w:rPr>
        <w:t>e</w:t>
      </w:r>
      <w:r w:rsidRPr="00FE5566">
        <w:rPr>
          <w:rFonts w:cstheme="minorHAnsi"/>
          <w:lang w:val="en-PH"/>
        </w:rPr>
        <w:t>xhibits the procedural cycle of an ABAC-Blockchain Access Control model, where a provided request, the PAP</w:t>
      </w:r>
      <w:r w:rsidR="005457C4">
        <w:rPr>
          <w:rFonts w:cstheme="minorHAnsi"/>
          <w:lang w:val="en-PH"/>
        </w:rPr>
        <w:t>,</w:t>
      </w:r>
      <w:r w:rsidRPr="00FE5566">
        <w:rPr>
          <w:rFonts w:cstheme="minorHAnsi"/>
          <w:lang w:val="en-PH"/>
        </w:rPr>
        <w:t xml:space="preserve"> and the PIP are part of its governing infrastructure. The PAP serves as the digital rulebook, in which administrators specify high-level access rules (e.g., with XACML [24] or JSON) 28]. In such integrated systems, these rules are hashed and sent to the Blockchain [28, 43]. This prevents a rogue administrator</w:t>
      </w:r>
      <w:r w:rsidR="005457C4">
        <w:rPr>
          <w:rFonts w:cstheme="minorHAnsi"/>
          <w:lang w:val="en-PH"/>
        </w:rPr>
        <w:t xml:space="preserve"> </w:t>
      </w:r>
      <w:r w:rsidRPr="00FE5566">
        <w:rPr>
          <w:rFonts w:cstheme="minorHAnsi"/>
          <w:lang w:val="en-PH"/>
        </w:rPr>
        <w:t xml:space="preserve">or hacker from clandestinely changing the policies from underneath the PDP Policy. </w:t>
      </w:r>
    </w:p>
    <w:p w:rsidR="00FE5566" w:rsidRDefault="00FE5566" w:rsidP="00FE5566">
      <w:pPr>
        <w:ind w:firstLine="284"/>
        <w:jc w:val="both"/>
        <w:rPr>
          <w:rFonts w:cstheme="minorHAnsi"/>
          <w:lang w:val="en-PH"/>
        </w:rPr>
      </w:pPr>
    </w:p>
    <w:p w:rsidR="00FE5566" w:rsidRDefault="00000000" w:rsidP="00FE5566">
      <w:pPr>
        <w:rPr>
          <w:rFonts w:cstheme="minorHAnsi"/>
          <w:lang w:val="en-PH"/>
        </w:rPr>
      </w:pPr>
      <w:r>
        <w:rPr>
          <w:rFonts w:cstheme="minorHAnsi"/>
          <w:lang w:val="en-PH"/>
        </w:rPr>
        <w:t>Fig.2. Integrated ABAC-Blockchain Access Control Workflow</w:t>
      </w:r>
    </w:p>
    <w:p w:rsidR="00FE5566" w:rsidRDefault="00FE5566" w:rsidP="00FE5566">
      <w:pPr>
        <w:ind w:firstLine="284"/>
        <w:jc w:val="both"/>
        <w:rPr>
          <w:rFonts w:cstheme="minorHAnsi"/>
          <w:lang w:val="en-PH"/>
        </w:rPr>
      </w:pPr>
    </w:p>
    <w:p w:rsidR="00FB7AC6" w:rsidRDefault="00000000" w:rsidP="00FE5566">
      <w:pPr>
        <w:ind w:firstLine="284"/>
        <w:jc w:val="both"/>
        <w:rPr>
          <w:rFonts w:cstheme="minorHAnsi"/>
          <w:lang w:val="en-PH"/>
        </w:rPr>
      </w:pPr>
      <w:r w:rsidRPr="00FE5566">
        <w:rPr>
          <w:rFonts w:cstheme="minorHAnsi"/>
          <w:lang w:val="en-PH"/>
        </w:rPr>
        <w:t>Evaluation (Step 2). At the same time, PIP serves as the fact-checker of the attribute extraction (Step 1). In the synthetic pipeline system, tailored to the decentralized nature of data storage in the Southeast Asian region where data is siloed among several entities, IPFS, for example, can be used to verify an active user's dynamic characteristics as well such as a government official's current title or location without introducing any bottlenecking overhead on the leading chain network [33, 40, 55].</w:t>
      </w:r>
    </w:p>
    <w:p w:rsidR="00FE5566" w:rsidRDefault="00FE5566" w:rsidP="00FE5566">
      <w:pPr>
        <w:ind w:firstLine="284"/>
        <w:jc w:val="both"/>
        <w:rPr>
          <w:rFonts w:cstheme="minorHAnsi"/>
          <w:lang w:val="en-PH"/>
        </w:rPr>
      </w:pPr>
    </w:p>
    <w:p w:rsidR="005457C4" w:rsidRDefault="00000000" w:rsidP="005457C4">
      <w:pPr>
        <w:ind w:firstLine="284"/>
        <w:jc w:val="both"/>
        <w:rPr>
          <w:rFonts w:cstheme="minorHAnsi"/>
        </w:rPr>
      </w:pPr>
      <w:r w:rsidRPr="005457C4">
        <w:rPr>
          <w:rFonts w:cstheme="minorHAnsi"/>
        </w:rPr>
        <w:t xml:space="preserve">Once the user has started an access request (Step 1), this request is instantaneously captured by the PEP. PEP works like a guard </w:t>
      </w:r>
      <w:r>
        <w:rPr>
          <w:rFonts w:cstheme="minorHAnsi"/>
        </w:rPr>
        <w:t xml:space="preserve">that </w:t>
      </w:r>
      <w:r w:rsidRPr="005457C4">
        <w:rPr>
          <w:rFonts w:cstheme="minorHAnsi"/>
        </w:rPr>
        <w:t xml:space="preserve">intercepts the request, determines </w:t>
      </w:r>
      <w:r>
        <w:rPr>
          <w:rFonts w:cstheme="minorHAnsi"/>
        </w:rPr>
        <w:t xml:space="preserve">the </w:t>
      </w:r>
      <w:r w:rsidRPr="005457C4">
        <w:rPr>
          <w:rFonts w:cstheme="minorHAnsi"/>
        </w:rPr>
        <w:t>user’s digital identity and its operational environment [21]. Rather than having a central server, the PEP activates the PDP (Step 2)</w:t>
      </w:r>
      <w:r>
        <w:rPr>
          <w:rFonts w:cstheme="minorHAnsi"/>
        </w:rPr>
        <w:t>,</w:t>
      </w:r>
      <w:r w:rsidRPr="005457C4">
        <w:rPr>
          <w:rFonts w:cstheme="minorHAnsi"/>
        </w:rPr>
        <w:t xml:space="preserve"> which is shown in [41], [50] to be best implemented as </w:t>
      </w:r>
      <w:r>
        <w:rPr>
          <w:rFonts w:cstheme="minorHAnsi"/>
        </w:rPr>
        <w:t xml:space="preserve">a </w:t>
      </w:r>
      <w:r w:rsidRPr="005457C4">
        <w:rPr>
          <w:rFonts w:cstheme="minorHAnsi"/>
        </w:rPr>
        <w:t>Smart Contract. The decision logic programmed on the Blockchain prevents any human bias and administrative manipulation often associated with centrali</w:t>
      </w:r>
      <w:r>
        <w:rPr>
          <w:rFonts w:cstheme="minorHAnsi"/>
        </w:rPr>
        <w:t>z</w:t>
      </w:r>
      <w:r w:rsidRPr="005457C4">
        <w:rPr>
          <w:rFonts w:cstheme="minorHAnsi"/>
        </w:rPr>
        <w:t xml:space="preserve">ed e-governance portals. The event is recorded permanently in the Blockchain Logging (Step 3), through an on-chain registry (in the example, AccessRegistry) if </w:t>
      </w:r>
      <w:r>
        <w:rPr>
          <w:rFonts w:cstheme="minorHAnsi"/>
        </w:rPr>
        <w:t xml:space="preserve">the </w:t>
      </w:r>
      <w:r w:rsidRPr="005457C4">
        <w:rPr>
          <w:rFonts w:cstheme="minorHAnsi"/>
        </w:rPr>
        <w:t>Smart Contract permits access. sol. This is vital for regional cooperation in Southeast Asia, creating an indelible audit trail that satisfies the transparency of national digital identity systems such as the Philippine Identification System (PhilSys) [31, 33].</w:t>
      </w:r>
    </w:p>
    <w:p w:rsidR="005457C4" w:rsidRDefault="005457C4" w:rsidP="005457C4">
      <w:pPr>
        <w:ind w:firstLine="284"/>
        <w:jc w:val="both"/>
        <w:rPr>
          <w:rFonts w:cstheme="minorHAnsi"/>
        </w:rPr>
      </w:pPr>
    </w:p>
    <w:p w:rsidR="00FB7AC6" w:rsidRDefault="00000000" w:rsidP="005457C4">
      <w:pPr>
        <w:ind w:firstLine="284"/>
        <w:jc w:val="both"/>
        <w:rPr>
          <w:rFonts w:cstheme="minorHAnsi"/>
        </w:rPr>
      </w:pPr>
      <w:r w:rsidRPr="005457C4">
        <w:rPr>
          <w:rFonts w:cstheme="minorHAnsi"/>
        </w:rPr>
        <w:t>The integrity verification (Step 4) and data delivery (Step 7) at the end of the workflow</w:t>
      </w:r>
      <w:r>
        <w:rPr>
          <w:rFonts w:cstheme="minorHAnsi"/>
        </w:rPr>
        <w:t xml:space="preserve"> </w:t>
      </w:r>
      <w:r w:rsidRPr="005457C4">
        <w:rPr>
          <w:rFonts w:cstheme="minorHAnsi"/>
        </w:rPr>
        <w:t>guarantee that no modification occurs after information is retrieved. The key point of interpretation in this form is that trust has been shifted from a single agency head to a network, which remedies the fragmentation problem of the administrative configuration. By combining the granularity of ABAC's access logic with Blockchain's trusted immutability, it can even enable administrator transparency: not even a high-level system admin can violate the rules and look up sensitive records without a network-verified permit [15, 42]. This particular configuration changes access management from  </w:t>
      </w:r>
      <w:r>
        <w:rPr>
          <w:rFonts w:cstheme="minorHAnsi"/>
        </w:rPr>
        <w:t xml:space="preserve">a </w:t>
      </w:r>
      <w:r w:rsidRPr="005457C4">
        <w:rPr>
          <w:rFonts w:cstheme="minorHAnsi"/>
        </w:rPr>
        <w:t>centralized weakness to a distributed and immutable process</w:t>
      </w:r>
      <w:r>
        <w:rPr>
          <w:rFonts w:cstheme="minorHAnsi"/>
        </w:rPr>
        <w:t>,</w:t>
      </w:r>
      <w:r w:rsidRPr="005457C4">
        <w:rPr>
          <w:rFonts w:cstheme="minorHAnsi"/>
        </w:rPr>
        <w:t xml:space="preserve"> which satisfies the security requirements of current regional e-government platforms.</w:t>
      </w:r>
    </w:p>
    <w:p w:rsidR="005457C4" w:rsidRDefault="005457C4" w:rsidP="005457C4">
      <w:pPr>
        <w:ind w:firstLine="284"/>
        <w:jc w:val="both"/>
        <w:rPr>
          <w:rFonts w:cstheme="minorHAnsi"/>
        </w:rPr>
      </w:pPr>
    </w:p>
    <w:p w:rsidR="00ED1776" w:rsidRPr="00502D62" w:rsidRDefault="00000000" w:rsidP="006038DD">
      <w:pPr>
        <w:jc w:val="both"/>
        <w:rPr>
          <w:rFonts w:cstheme="minorHAnsi"/>
          <w:i/>
          <w:iCs/>
        </w:rPr>
      </w:pPr>
      <w:r w:rsidRPr="00502D62">
        <w:rPr>
          <w:rFonts w:cstheme="minorHAnsi"/>
          <w:i/>
          <w:iCs/>
        </w:rPr>
        <w:t xml:space="preserve">4.2 </w:t>
      </w:r>
      <w:r w:rsidR="00503761">
        <w:rPr>
          <w:rFonts w:cstheme="minorHAnsi"/>
          <w:i/>
          <w:iCs/>
        </w:rPr>
        <w:t>ABAC-Blockchain Architectural Models</w:t>
      </w:r>
    </w:p>
    <w:p w:rsidR="00ED1776" w:rsidRDefault="00ED1776" w:rsidP="006038DD">
      <w:pPr>
        <w:jc w:val="both"/>
        <w:rPr>
          <w:rFonts w:cstheme="minorHAnsi"/>
        </w:rPr>
      </w:pPr>
    </w:p>
    <w:p w:rsidR="00225BC7" w:rsidRDefault="00000000" w:rsidP="005457C4">
      <w:pPr>
        <w:ind w:firstLine="284"/>
        <w:jc w:val="both"/>
        <w:rPr>
          <w:color w:val="000000" w:themeColor="text1"/>
          <w:shd w:val="clear" w:color="auto" w:fill="FFFFFF"/>
        </w:rPr>
      </w:pPr>
      <w:r w:rsidRPr="005457C4">
        <w:rPr>
          <w:color w:val="000000" w:themeColor="text1"/>
          <w:shd w:val="clear" w:color="auto" w:fill="FFFFFF"/>
        </w:rPr>
        <w:lastRenderedPageBreak/>
        <w:t>The architectural organization of the link between ABAC and Blockchain generally takes one of three patterns. These models are analyzed according to the Performance-Security Trilemma, a Trilemma between Performance</w:t>
      </w:r>
      <w:r>
        <w:rPr>
          <w:color w:val="000000" w:themeColor="text1"/>
          <w:shd w:val="clear" w:color="auto" w:fill="FFFFFF"/>
        </w:rPr>
        <w:t>,</w:t>
      </w:r>
      <w:r w:rsidRPr="005457C4">
        <w:rPr>
          <w:color w:val="000000" w:themeColor="text1"/>
          <w:shd w:val="clear" w:color="auto" w:fill="FFFFFF"/>
        </w:rPr>
        <w:t xml:space="preserve"> Security (Integrity and Auditability)</w:t>
      </w:r>
      <w:r>
        <w:rPr>
          <w:color w:val="000000" w:themeColor="text1"/>
          <w:shd w:val="clear" w:color="auto" w:fill="FFFFFF"/>
        </w:rPr>
        <w:t>,</w:t>
      </w:r>
      <w:r w:rsidRPr="005457C4">
        <w:rPr>
          <w:color w:val="000000" w:themeColor="text1"/>
          <w:shd w:val="clear" w:color="auto" w:fill="FFFFFF"/>
        </w:rPr>
        <w:t xml:space="preserve"> and Decentralization (Trust Minimization) [14, 25].</w:t>
      </w:r>
    </w:p>
    <w:p w:rsidR="005457C4" w:rsidRDefault="005457C4" w:rsidP="005457C4">
      <w:pPr>
        <w:ind w:firstLine="284"/>
        <w:jc w:val="both"/>
        <w:rPr>
          <w:color w:val="000000" w:themeColor="text1"/>
          <w:shd w:val="clear" w:color="auto" w:fill="FFFFFF"/>
        </w:rPr>
      </w:pPr>
    </w:p>
    <w:p w:rsidR="00225BC7" w:rsidRDefault="00000000" w:rsidP="00225BC7">
      <w:pPr>
        <w:jc w:val="both"/>
        <w:rPr>
          <w:color w:val="000000" w:themeColor="text1"/>
          <w:shd w:val="clear" w:color="auto" w:fill="FFFFFF"/>
        </w:rPr>
      </w:pPr>
      <w:r>
        <w:rPr>
          <w:color w:val="000000" w:themeColor="text1"/>
          <w:shd w:val="clear" w:color="auto" w:fill="FFFFFF"/>
        </w:rPr>
        <w:t>Table 5. Evaluation of ABAC-Blockchain Architectural Models</w:t>
      </w:r>
    </w:p>
    <w:tbl>
      <w:tblPr>
        <w:tblStyle w:val="TableGrid"/>
        <w:tblW w:w="0" w:type="auto"/>
        <w:tblLook w:val="04A0" w:firstRow="1" w:lastRow="0" w:firstColumn="1" w:lastColumn="0" w:noHBand="0" w:noVBand="1"/>
      </w:tblPr>
      <w:tblGrid>
        <w:gridCol w:w="663"/>
        <w:gridCol w:w="699"/>
        <w:gridCol w:w="992"/>
        <w:gridCol w:w="838"/>
        <w:gridCol w:w="1012"/>
        <w:gridCol w:w="652"/>
      </w:tblGrid>
      <w:tr w:rsidR="00D31CD9" w:rsidTr="00F6702F">
        <w:tc>
          <w:tcPr>
            <w:tcW w:w="704" w:type="dxa"/>
            <w:vAlign w:val="center"/>
          </w:tcPr>
          <w:p w:rsidR="00F6702F" w:rsidRPr="00F6702F" w:rsidRDefault="00000000" w:rsidP="00F6702F">
            <w:pPr>
              <w:rPr>
                <w:color w:val="000000" w:themeColor="text1"/>
                <w:sz w:val="11"/>
                <w:szCs w:val="11"/>
                <w:shd w:val="clear" w:color="auto" w:fill="FFFFFF"/>
              </w:rPr>
            </w:pPr>
            <w:r w:rsidRPr="00F6702F">
              <w:rPr>
                <w:color w:val="000000" w:themeColor="text1"/>
                <w:sz w:val="11"/>
                <w:szCs w:val="11"/>
                <w:shd w:val="clear" w:color="auto" w:fill="FFFFFF"/>
              </w:rPr>
              <w:t>Model</w:t>
            </w:r>
          </w:p>
        </w:tc>
        <w:tc>
          <w:tcPr>
            <w:tcW w:w="524" w:type="dxa"/>
            <w:vAlign w:val="center"/>
          </w:tcPr>
          <w:p w:rsidR="00F6702F" w:rsidRPr="00F6702F" w:rsidRDefault="00000000" w:rsidP="00F6702F">
            <w:pPr>
              <w:rPr>
                <w:color w:val="000000" w:themeColor="text1"/>
                <w:sz w:val="11"/>
                <w:szCs w:val="11"/>
                <w:shd w:val="clear" w:color="auto" w:fill="FFFFFF"/>
              </w:rPr>
            </w:pPr>
            <w:r w:rsidRPr="00F6702F">
              <w:rPr>
                <w:color w:val="000000" w:themeColor="text1"/>
                <w:sz w:val="11"/>
                <w:szCs w:val="11"/>
                <w:shd w:val="clear" w:color="auto" w:fill="FFFFFF"/>
              </w:rPr>
              <w:t>Logic / Policy Location</w:t>
            </w:r>
          </w:p>
        </w:tc>
        <w:tc>
          <w:tcPr>
            <w:tcW w:w="1046" w:type="dxa"/>
            <w:vAlign w:val="center"/>
          </w:tcPr>
          <w:p w:rsidR="00F6702F" w:rsidRPr="00F6702F" w:rsidRDefault="00000000" w:rsidP="00F6702F">
            <w:pPr>
              <w:rPr>
                <w:color w:val="000000" w:themeColor="text1"/>
                <w:sz w:val="11"/>
                <w:szCs w:val="11"/>
                <w:shd w:val="clear" w:color="auto" w:fill="FFFFFF"/>
              </w:rPr>
            </w:pPr>
            <w:r w:rsidRPr="00F6702F">
              <w:rPr>
                <w:color w:val="000000" w:themeColor="text1"/>
                <w:sz w:val="11"/>
                <w:szCs w:val="11"/>
                <w:shd w:val="clear" w:color="auto" w:fill="FFFFFF"/>
              </w:rPr>
              <w:t>Performance (Normalization)</w:t>
            </w:r>
          </w:p>
        </w:tc>
        <w:tc>
          <w:tcPr>
            <w:tcW w:w="832" w:type="dxa"/>
            <w:vAlign w:val="center"/>
          </w:tcPr>
          <w:p w:rsidR="00F6702F" w:rsidRPr="00F6702F" w:rsidRDefault="00000000" w:rsidP="00F6702F">
            <w:pPr>
              <w:rPr>
                <w:color w:val="000000" w:themeColor="text1"/>
                <w:sz w:val="11"/>
                <w:szCs w:val="11"/>
                <w:shd w:val="clear" w:color="auto" w:fill="FFFFFF"/>
              </w:rPr>
            </w:pPr>
            <w:r w:rsidRPr="00F6702F">
              <w:rPr>
                <w:color w:val="000000" w:themeColor="text1"/>
                <w:sz w:val="11"/>
                <w:szCs w:val="11"/>
                <w:shd w:val="clear" w:color="auto" w:fill="FFFFFF"/>
              </w:rPr>
              <w:t>Security Dimensions (Integrity / Audit)</w:t>
            </w:r>
          </w:p>
        </w:tc>
        <w:tc>
          <w:tcPr>
            <w:tcW w:w="1068" w:type="dxa"/>
            <w:vAlign w:val="center"/>
          </w:tcPr>
          <w:p w:rsidR="00F6702F" w:rsidRPr="00F6702F" w:rsidRDefault="00000000" w:rsidP="00F6702F">
            <w:pPr>
              <w:rPr>
                <w:color w:val="000000" w:themeColor="text1"/>
                <w:sz w:val="11"/>
                <w:szCs w:val="11"/>
                <w:shd w:val="clear" w:color="auto" w:fill="FFFFFF"/>
              </w:rPr>
            </w:pPr>
            <w:r w:rsidRPr="00F6702F">
              <w:rPr>
                <w:color w:val="000000" w:themeColor="text1"/>
                <w:sz w:val="11"/>
                <w:szCs w:val="11"/>
                <w:shd w:val="clear" w:color="auto" w:fill="FFFFFF"/>
              </w:rPr>
              <w:t>Decentralization (Trust)</w:t>
            </w:r>
          </w:p>
        </w:tc>
        <w:tc>
          <w:tcPr>
            <w:tcW w:w="682" w:type="dxa"/>
            <w:vAlign w:val="center"/>
          </w:tcPr>
          <w:p w:rsidR="00F6702F" w:rsidRPr="00F6702F" w:rsidRDefault="00000000" w:rsidP="00F6702F">
            <w:pPr>
              <w:rPr>
                <w:color w:val="000000" w:themeColor="text1"/>
                <w:sz w:val="11"/>
                <w:szCs w:val="11"/>
                <w:shd w:val="clear" w:color="auto" w:fill="FFFFFF"/>
              </w:rPr>
            </w:pPr>
            <w:r w:rsidRPr="00F6702F">
              <w:rPr>
                <w:color w:val="000000" w:themeColor="text1"/>
                <w:sz w:val="11"/>
                <w:szCs w:val="11"/>
                <w:shd w:val="clear" w:color="auto" w:fill="FFFFFF"/>
              </w:rPr>
              <w:t>Citations</w:t>
            </w:r>
          </w:p>
        </w:tc>
      </w:tr>
      <w:tr w:rsidR="00D31CD9" w:rsidTr="00F6702F">
        <w:tc>
          <w:tcPr>
            <w:tcW w:w="704" w:type="dxa"/>
            <w:vAlign w:val="center"/>
          </w:tcPr>
          <w:p w:rsidR="00F6702F" w:rsidRPr="00F6702F" w:rsidRDefault="00000000" w:rsidP="00F6702F">
            <w:pPr>
              <w:rPr>
                <w:color w:val="000000" w:themeColor="text1"/>
                <w:sz w:val="14"/>
                <w:szCs w:val="14"/>
                <w:shd w:val="clear" w:color="auto" w:fill="FFFFFF"/>
              </w:rPr>
            </w:pPr>
            <w:r>
              <w:rPr>
                <w:color w:val="000000" w:themeColor="text1"/>
                <w:sz w:val="14"/>
                <w:szCs w:val="14"/>
                <w:shd w:val="clear" w:color="auto" w:fill="FFFFFF"/>
              </w:rPr>
              <w:t>Fully On-Chain</w:t>
            </w:r>
          </w:p>
        </w:tc>
        <w:tc>
          <w:tcPr>
            <w:tcW w:w="524" w:type="dxa"/>
            <w:vAlign w:val="center"/>
          </w:tcPr>
          <w:p w:rsidR="00F6702F" w:rsidRPr="00F6702F" w:rsidRDefault="00000000" w:rsidP="00F6702F">
            <w:pPr>
              <w:rPr>
                <w:color w:val="000000" w:themeColor="text1"/>
                <w:sz w:val="14"/>
                <w:szCs w:val="14"/>
                <w:shd w:val="clear" w:color="auto" w:fill="FFFFFF"/>
              </w:rPr>
            </w:pPr>
            <w:r>
              <w:rPr>
                <w:color w:val="000000" w:themeColor="text1"/>
                <w:sz w:val="14"/>
                <w:szCs w:val="14"/>
                <w:shd w:val="clear" w:color="auto" w:fill="FFFFFF"/>
              </w:rPr>
              <w:t>Smart Contract</w:t>
            </w:r>
          </w:p>
        </w:tc>
        <w:tc>
          <w:tcPr>
            <w:tcW w:w="1046" w:type="dxa"/>
            <w:vAlign w:val="center"/>
          </w:tcPr>
          <w:p w:rsidR="00F6702F" w:rsidRPr="00F6702F" w:rsidRDefault="00000000" w:rsidP="00F6702F">
            <w:pPr>
              <w:rPr>
                <w:color w:val="000000" w:themeColor="text1"/>
                <w:sz w:val="14"/>
                <w:szCs w:val="14"/>
                <w:shd w:val="clear" w:color="auto" w:fill="FFFFFF"/>
              </w:rPr>
            </w:pPr>
            <w:r>
              <w:rPr>
                <w:color w:val="000000" w:themeColor="text1"/>
                <w:sz w:val="14"/>
                <w:szCs w:val="14"/>
                <w:shd w:val="clear" w:color="auto" w:fill="FFFFFF"/>
              </w:rPr>
              <w:t>Low: High Gas Latency</w:t>
            </w:r>
          </w:p>
        </w:tc>
        <w:tc>
          <w:tcPr>
            <w:tcW w:w="832" w:type="dxa"/>
            <w:vAlign w:val="center"/>
          </w:tcPr>
          <w:p w:rsidR="00F6702F" w:rsidRPr="00F6702F" w:rsidRDefault="00000000" w:rsidP="00F6702F">
            <w:pPr>
              <w:rPr>
                <w:color w:val="000000" w:themeColor="text1"/>
                <w:sz w:val="14"/>
                <w:szCs w:val="14"/>
                <w:shd w:val="clear" w:color="auto" w:fill="FFFFFF"/>
              </w:rPr>
            </w:pPr>
            <w:r>
              <w:rPr>
                <w:color w:val="000000" w:themeColor="text1"/>
                <w:sz w:val="14"/>
                <w:szCs w:val="14"/>
                <w:shd w:val="clear" w:color="auto" w:fill="FFFFFF"/>
              </w:rPr>
              <w:t>High: Fully Immutable</w:t>
            </w:r>
          </w:p>
        </w:tc>
        <w:tc>
          <w:tcPr>
            <w:tcW w:w="1068" w:type="dxa"/>
            <w:vAlign w:val="center"/>
          </w:tcPr>
          <w:p w:rsidR="00F6702F" w:rsidRPr="00F6702F" w:rsidRDefault="00000000" w:rsidP="00F6702F">
            <w:pPr>
              <w:rPr>
                <w:color w:val="000000" w:themeColor="text1"/>
                <w:sz w:val="14"/>
                <w:szCs w:val="14"/>
                <w:shd w:val="clear" w:color="auto" w:fill="FFFFFF"/>
              </w:rPr>
            </w:pPr>
            <w:r>
              <w:rPr>
                <w:color w:val="000000" w:themeColor="text1"/>
                <w:sz w:val="14"/>
                <w:szCs w:val="14"/>
                <w:shd w:val="clear" w:color="auto" w:fill="FFFFFF"/>
              </w:rPr>
              <w:t>High: Trustless</w:t>
            </w:r>
          </w:p>
        </w:tc>
        <w:tc>
          <w:tcPr>
            <w:tcW w:w="682" w:type="dxa"/>
            <w:vAlign w:val="center"/>
          </w:tcPr>
          <w:p w:rsidR="00F6702F" w:rsidRPr="00F6702F" w:rsidRDefault="00000000" w:rsidP="00F6702F">
            <w:pPr>
              <w:rPr>
                <w:color w:val="000000" w:themeColor="text1"/>
                <w:sz w:val="14"/>
                <w:szCs w:val="14"/>
                <w:shd w:val="clear" w:color="auto" w:fill="FFFFFF"/>
              </w:rPr>
            </w:pPr>
            <w:r>
              <w:rPr>
                <w:color w:val="000000" w:themeColor="text1"/>
                <w:sz w:val="14"/>
                <w:szCs w:val="14"/>
                <w:shd w:val="clear" w:color="auto" w:fill="FFFFFF"/>
              </w:rPr>
              <w:t>[</w:t>
            </w:r>
            <w:r w:rsidR="006A1214">
              <w:rPr>
                <w:color w:val="000000" w:themeColor="text1"/>
                <w:sz w:val="14"/>
                <w:szCs w:val="14"/>
                <w:shd w:val="clear" w:color="auto" w:fill="FFFFFF"/>
              </w:rPr>
              <w:t xml:space="preserve">27, </w:t>
            </w:r>
            <w:r>
              <w:rPr>
                <w:color w:val="000000" w:themeColor="text1"/>
                <w:sz w:val="14"/>
                <w:szCs w:val="14"/>
                <w:shd w:val="clear" w:color="auto" w:fill="FFFFFF"/>
              </w:rPr>
              <w:t>28, 30, 37, 43]</w:t>
            </w:r>
          </w:p>
        </w:tc>
      </w:tr>
      <w:tr w:rsidR="00D31CD9" w:rsidTr="00F6702F">
        <w:tc>
          <w:tcPr>
            <w:tcW w:w="704" w:type="dxa"/>
            <w:vAlign w:val="center"/>
          </w:tcPr>
          <w:p w:rsidR="00F6702F" w:rsidRPr="00F6702F" w:rsidRDefault="00000000" w:rsidP="00F6702F">
            <w:pPr>
              <w:rPr>
                <w:color w:val="000000" w:themeColor="text1"/>
                <w:sz w:val="14"/>
                <w:szCs w:val="14"/>
                <w:shd w:val="clear" w:color="auto" w:fill="FFFFFF"/>
              </w:rPr>
            </w:pPr>
            <w:r>
              <w:rPr>
                <w:color w:val="000000" w:themeColor="text1"/>
                <w:sz w:val="14"/>
                <w:szCs w:val="14"/>
                <w:shd w:val="clear" w:color="auto" w:fill="FFFFFF"/>
              </w:rPr>
              <w:t>Off-Chain</w:t>
            </w:r>
          </w:p>
        </w:tc>
        <w:tc>
          <w:tcPr>
            <w:tcW w:w="524" w:type="dxa"/>
            <w:vAlign w:val="center"/>
          </w:tcPr>
          <w:p w:rsidR="00F6702F" w:rsidRPr="00F6702F" w:rsidRDefault="00000000" w:rsidP="00F6702F">
            <w:pPr>
              <w:rPr>
                <w:color w:val="000000" w:themeColor="text1"/>
                <w:sz w:val="14"/>
                <w:szCs w:val="14"/>
                <w:shd w:val="clear" w:color="auto" w:fill="FFFFFF"/>
              </w:rPr>
            </w:pPr>
            <w:r>
              <w:rPr>
                <w:color w:val="000000" w:themeColor="text1"/>
                <w:sz w:val="14"/>
                <w:szCs w:val="14"/>
                <w:shd w:val="clear" w:color="auto" w:fill="FFFFFF"/>
              </w:rPr>
              <w:t>Local Server / Proxy</w:t>
            </w:r>
          </w:p>
        </w:tc>
        <w:tc>
          <w:tcPr>
            <w:tcW w:w="1046" w:type="dxa"/>
            <w:vAlign w:val="center"/>
          </w:tcPr>
          <w:p w:rsidR="00F6702F" w:rsidRPr="00F6702F" w:rsidRDefault="00000000" w:rsidP="00F6702F">
            <w:pPr>
              <w:rPr>
                <w:color w:val="000000" w:themeColor="text1"/>
                <w:sz w:val="14"/>
                <w:szCs w:val="14"/>
                <w:shd w:val="clear" w:color="auto" w:fill="FFFFFF"/>
              </w:rPr>
            </w:pPr>
            <w:r>
              <w:rPr>
                <w:color w:val="000000" w:themeColor="text1"/>
                <w:sz w:val="14"/>
                <w:szCs w:val="14"/>
                <w:shd w:val="clear" w:color="auto" w:fill="FFFFFF"/>
              </w:rPr>
              <w:t>High: Millisecond Response</w:t>
            </w:r>
          </w:p>
        </w:tc>
        <w:tc>
          <w:tcPr>
            <w:tcW w:w="832" w:type="dxa"/>
            <w:vAlign w:val="center"/>
          </w:tcPr>
          <w:p w:rsidR="00F6702F" w:rsidRPr="00F6702F" w:rsidRDefault="00000000" w:rsidP="00F6702F">
            <w:pPr>
              <w:rPr>
                <w:color w:val="000000" w:themeColor="text1"/>
                <w:sz w:val="14"/>
                <w:szCs w:val="14"/>
                <w:shd w:val="clear" w:color="auto" w:fill="FFFFFF"/>
              </w:rPr>
            </w:pPr>
            <w:r>
              <w:rPr>
                <w:color w:val="000000" w:themeColor="text1"/>
                <w:sz w:val="14"/>
                <w:szCs w:val="14"/>
                <w:shd w:val="clear" w:color="auto" w:fill="FFFFFF"/>
              </w:rPr>
              <w:t>Low: Vulnerable to SPOF</w:t>
            </w:r>
          </w:p>
        </w:tc>
        <w:tc>
          <w:tcPr>
            <w:tcW w:w="1068" w:type="dxa"/>
            <w:vAlign w:val="center"/>
          </w:tcPr>
          <w:p w:rsidR="00F6702F" w:rsidRPr="00F6702F" w:rsidRDefault="00000000" w:rsidP="00F6702F">
            <w:pPr>
              <w:rPr>
                <w:color w:val="000000" w:themeColor="text1"/>
                <w:sz w:val="14"/>
                <w:szCs w:val="14"/>
                <w:shd w:val="clear" w:color="auto" w:fill="FFFFFF"/>
              </w:rPr>
            </w:pPr>
            <w:r>
              <w:rPr>
                <w:color w:val="000000" w:themeColor="text1"/>
                <w:sz w:val="14"/>
                <w:szCs w:val="14"/>
                <w:shd w:val="clear" w:color="auto" w:fill="FFFFFF"/>
              </w:rPr>
              <w:t>Low: Centralized</w:t>
            </w:r>
          </w:p>
        </w:tc>
        <w:tc>
          <w:tcPr>
            <w:tcW w:w="682" w:type="dxa"/>
            <w:vAlign w:val="center"/>
          </w:tcPr>
          <w:p w:rsidR="00F6702F" w:rsidRPr="00F6702F" w:rsidRDefault="00000000" w:rsidP="00F6702F">
            <w:pPr>
              <w:rPr>
                <w:color w:val="000000" w:themeColor="text1"/>
                <w:sz w:val="14"/>
                <w:szCs w:val="14"/>
                <w:shd w:val="clear" w:color="auto" w:fill="FFFFFF"/>
              </w:rPr>
            </w:pPr>
            <w:r>
              <w:rPr>
                <w:color w:val="000000" w:themeColor="text1"/>
                <w:sz w:val="14"/>
                <w:szCs w:val="14"/>
                <w:shd w:val="clear" w:color="auto" w:fill="FFFFFF"/>
              </w:rPr>
              <w:t>[19, 23, 33, 46, 55, 60]</w:t>
            </w:r>
          </w:p>
        </w:tc>
      </w:tr>
      <w:tr w:rsidR="00D31CD9" w:rsidTr="00F6702F">
        <w:tc>
          <w:tcPr>
            <w:tcW w:w="704" w:type="dxa"/>
            <w:vAlign w:val="center"/>
          </w:tcPr>
          <w:p w:rsidR="00F6702F" w:rsidRPr="00F6702F" w:rsidRDefault="00000000" w:rsidP="00F6702F">
            <w:pPr>
              <w:rPr>
                <w:color w:val="000000" w:themeColor="text1"/>
                <w:sz w:val="14"/>
                <w:szCs w:val="14"/>
                <w:shd w:val="clear" w:color="auto" w:fill="FFFFFF"/>
              </w:rPr>
            </w:pPr>
            <w:r>
              <w:rPr>
                <w:color w:val="000000" w:themeColor="text1"/>
                <w:sz w:val="14"/>
                <w:szCs w:val="14"/>
                <w:shd w:val="clear" w:color="auto" w:fill="FFFFFF"/>
              </w:rPr>
              <w:t>Hybrid</w:t>
            </w:r>
          </w:p>
        </w:tc>
        <w:tc>
          <w:tcPr>
            <w:tcW w:w="524" w:type="dxa"/>
            <w:vAlign w:val="center"/>
          </w:tcPr>
          <w:p w:rsidR="00F6702F" w:rsidRPr="00F6702F" w:rsidRDefault="00000000" w:rsidP="00F6702F">
            <w:pPr>
              <w:rPr>
                <w:color w:val="000000" w:themeColor="text1"/>
                <w:sz w:val="14"/>
                <w:szCs w:val="14"/>
                <w:shd w:val="clear" w:color="auto" w:fill="FFFFFF"/>
              </w:rPr>
            </w:pPr>
            <w:r>
              <w:rPr>
                <w:color w:val="000000" w:themeColor="text1"/>
                <w:sz w:val="14"/>
                <w:szCs w:val="14"/>
                <w:shd w:val="clear" w:color="auto" w:fill="FFFFFF"/>
              </w:rPr>
              <w:t>Mixed (On-Chain PAP)</w:t>
            </w:r>
          </w:p>
        </w:tc>
        <w:tc>
          <w:tcPr>
            <w:tcW w:w="1046" w:type="dxa"/>
            <w:vAlign w:val="center"/>
          </w:tcPr>
          <w:p w:rsidR="00F6702F" w:rsidRPr="00F6702F" w:rsidRDefault="00000000" w:rsidP="00F6702F">
            <w:pPr>
              <w:rPr>
                <w:color w:val="000000" w:themeColor="text1"/>
                <w:sz w:val="14"/>
                <w:szCs w:val="14"/>
                <w:shd w:val="clear" w:color="auto" w:fill="FFFFFF"/>
              </w:rPr>
            </w:pPr>
            <w:r>
              <w:rPr>
                <w:color w:val="000000" w:themeColor="text1"/>
                <w:sz w:val="14"/>
                <w:szCs w:val="14"/>
                <w:shd w:val="clear" w:color="auto" w:fill="FFFFFF"/>
              </w:rPr>
              <w:t>Optimal: Scalable</w:t>
            </w:r>
          </w:p>
        </w:tc>
        <w:tc>
          <w:tcPr>
            <w:tcW w:w="832" w:type="dxa"/>
            <w:vAlign w:val="center"/>
          </w:tcPr>
          <w:p w:rsidR="00F6702F" w:rsidRPr="00F6702F" w:rsidRDefault="00000000" w:rsidP="00F6702F">
            <w:pPr>
              <w:rPr>
                <w:color w:val="000000" w:themeColor="text1"/>
                <w:sz w:val="14"/>
                <w:szCs w:val="14"/>
                <w:shd w:val="clear" w:color="auto" w:fill="FFFFFF"/>
              </w:rPr>
            </w:pPr>
            <w:r>
              <w:rPr>
                <w:color w:val="000000" w:themeColor="text1"/>
                <w:sz w:val="14"/>
                <w:szCs w:val="14"/>
                <w:shd w:val="clear" w:color="auto" w:fill="FFFFFF"/>
              </w:rPr>
              <w:t>High: Integrity-Protected</w:t>
            </w:r>
          </w:p>
        </w:tc>
        <w:tc>
          <w:tcPr>
            <w:tcW w:w="1068" w:type="dxa"/>
            <w:vAlign w:val="center"/>
          </w:tcPr>
          <w:p w:rsidR="00F6702F" w:rsidRPr="00F6702F" w:rsidRDefault="00000000" w:rsidP="00F6702F">
            <w:pPr>
              <w:rPr>
                <w:color w:val="000000" w:themeColor="text1"/>
                <w:sz w:val="14"/>
                <w:szCs w:val="14"/>
                <w:shd w:val="clear" w:color="auto" w:fill="FFFFFF"/>
              </w:rPr>
            </w:pPr>
            <w:r>
              <w:rPr>
                <w:color w:val="000000" w:themeColor="text1"/>
                <w:sz w:val="14"/>
                <w:szCs w:val="14"/>
                <w:shd w:val="clear" w:color="auto" w:fill="FFFFFF"/>
              </w:rPr>
              <w:t>Moderate: Distributed</w:t>
            </w:r>
          </w:p>
        </w:tc>
        <w:tc>
          <w:tcPr>
            <w:tcW w:w="682" w:type="dxa"/>
            <w:vAlign w:val="center"/>
          </w:tcPr>
          <w:p w:rsidR="00F6702F" w:rsidRPr="00F6702F" w:rsidRDefault="00000000" w:rsidP="002E3DAB">
            <w:pPr>
              <w:rPr>
                <w:color w:val="000000" w:themeColor="text1"/>
                <w:sz w:val="14"/>
                <w:szCs w:val="14"/>
                <w:shd w:val="clear" w:color="auto" w:fill="FFFFFF"/>
              </w:rPr>
            </w:pPr>
            <w:r>
              <w:rPr>
                <w:color w:val="000000" w:themeColor="text1"/>
                <w:sz w:val="14"/>
                <w:szCs w:val="14"/>
                <w:shd w:val="clear" w:color="auto" w:fill="FFFFFF"/>
              </w:rPr>
              <w:t>[1</w:t>
            </w:r>
            <w:r w:rsidR="002E3DAB">
              <w:rPr>
                <w:color w:val="000000" w:themeColor="text1"/>
                <w:sz w:val="14"/>
                <w:szCs w:val="14"/>
                <w:shd w:val="clear" w:color="auto" w:fill="FFFFFF"/>
              </w:rPr>
              <w:t>8, 26, 35, 41, 52</w:t>
            </w:r>
            <w:r>
              <w:rPr>
                <w:color w:val="000000" w:themeColor="text1"/>
                <w:sz w:val="14"/>
                <w:szCs w:val="14"/>
                <w:shd w:val="clear" w:color="auto" w:fill="FFFFFF"/>
              </w:rPr>
              <w:t>]</w:t>
            </w:r>
          </w:p>
        </w:tc>
      </w:tr>
    </w:tbl>
    <w:p w:rsidR="00F52AF2" w:rsidRDefault="00F52AF2" w:rsidP="00F52AF2">
      <w:pPr>
        <w:jc w:val="both"/>
        <w:rPr>
          <w:color w:val="000000" w:themeColor="text1"/>
          <w:shd w:val="clear" w:color="auto" w:fill="FFFFFF"/>
        </w:rPr>
      </w:pPr>
    </w:p>
    <w:p w:rsidR="00F6702F" w:rsidRPr="00F6702F" w:rsidRDefault="00000000" w:rsidP="00ED4DB0">
      <w:pPr>
        <w:jc w:val="both"/>
        <w:rPr>
          <w:i/>
          <w:iCs/>
          <w:color w:val="000000" w:themeColor="text1"/>
          <w:shd w:val="clear" w:color="auto" w:fill="FFFFFF"/>
        </w:rPr>
      </w:pPr>
      <w:r w:rsidRPr="00F6702F">
        <w:rPr>
          <w:i/>
          <w:iCs/>
          <w:color w:val="000000" w:themeColor="text1"/>
          <w:shd w:val="clear" w:color="auto" w:fill="FFFFFF"/>
        </w:rPr>
        <w:t>4.2.1</w:t>
      </w:r>
      <w:r w:rsidRPr="00D716EB">
        <w:rPr>
          <w:i/>
          <w:iCs/>
          <w:color w:val="000000" w:themeColor="text1"/>
          <w:shd w:val="clear" w:color="auto" w:fill="FFFFFF"/>
        </w:rPr>
        <w:t xml:space="preserve"> Security-Centric Pattern</w:t>
      </w:r>
      <w:r w:rsidR="00D716EB">
        <w:rPr>
          <w:i/>
          <w:iCs/>
          <w:color w:val="000000" w:themeColor="text1"/>
          <w:shd w:val="clear" w:color="auto" w:fill="FFFFFF"/>
        </w:rPr>
        <w:t>s</w:t>
      </w:r>
    </w:p>
    <w:p w:rsidR="00F6702F" w:rsidRDefault="00F6702F" w:rsidP="00ED4DB0">
      <w:pPr>
        <w:jc w:val="both"/>
        <w:rPr>
          <w:color w:val="000000" w:themeColor="text1"/>
          <w:shd w:val="clear" w:color="auto" w:fill="FFFFFF"/>
        </w:rPr>
      </w:pPr>
    </w:p>
    <w:p w:rsidR="005457C4" w:rsidRDefault="00000000" w:rsidP="005457C4">
      <w:pPr>
        <w:ind w:firstLine="284"/>
        <w:jc w:val="both"/>
        <w:rPr>
          <w:color w:val="000000" w:themeColor="text1"/>
          <w:shd w:val="clear" w:color="auto" w:fill="FFFFFF"/>
        </w:rPr>
      </w:pPr>
      <w:r w:rsidRPr="005457C4">
        <w:rPr>
          <w:color w:val="000000" w:themeColor="text1"/>
          <w:shd w:val="clear" w:color="auto" w:fill="FFFFFF"/>
        </w:rPr>
        <w:t>Fully On-Chain is the archetypal security-focused pattern where all of the underlying access control infrastructure</w:t>
      </w:r>
      <w:r>
        <w:rPr>
          <w:color w:val="000000" w:themeColor="text1"/>
          <w:shd w:val="clear" w:color="auto" w:fill="FFFFFF"/>
        </w:rPr>
        <w:t xml:space="preserve">, </w:t>
      </w:r>
      <w:r w:rsidRPr="005457C4">
        <w:rPr>
          <w:color w:val="000000" w:themeColor="text1"/>
          <w:shd w:val="clear" w:color="auto" w:fill="FFFFFF"/>
        </w:rPr>
        <w:t>most importantly, PAP and PDP</w:t>
      </w:r>
      <w:r>
        <w:rPr>
          <w:color w:val="000000" w:themeColor="text1"/>
          <w:shd w:val="clear" w:color="auto" w:fill="FFFFFF"/>
        </w:rPr>
        <w:t xml:space="preserve">, </w:t>
      </w:r>
      <w:r w:rsidRPr="005457C4">
        <w:rPr>
          <w:color w:val="000000" w:themeColor="text1"/>
          <w:shd w:val="clear" w:color="auto" w:fill="FFFFFF"/>
        </w:rPr>
        <w:t xml:space="preserve">are located in smart contracts on the Blockchain. Such a configuration promotes </w:t>
      </w:r>
      <w:r>
        <w:rPr>
          <w:color w:val="000000" w:themeColor="text1"/>
          <w:shd w:val="clear" w:color="auto" w:fill="FFFFFF"/>
        </w:rPr>
        <w:t xml:space="preserve">a </w:t>
      </w:r>
      <w:r w:rsidRPr="005457C4">
        <w:rPr>
          <w:color w:val="000000" w:themeColor="text1"/>
          <w:shd w:val="clear" w:color="auto" w:fill="FFFFFF"/>
        </w:rPr>
        <w:t xml:space="preserve">Trustless environment as it discards the centralized intermediary </w:t>
      </w:r>
      <w:r>
        <w:rPr>
          <w:color w:val="000000" w:themeColor="text1"/>
          <w:shd w:val="clear" w:color="auto" w:fill="FFFFFF"/>
        </w:rPr>
        <w:t>that</w:t>
      </w:r>
      <w:r w:rsidRPr="005457C4">
        <w:rPr>
          <w:color w:val="000000" w:themeColor="text1"/>
          <w:shd w:val="clear" w:color="auto" w:fill="FFFFFF"/>
        </w:rPr>
        <w:t xml:space="preserve"> confirms access, while guaranteeing correct processing of any request vir</w:t>
      </w:r>
      <w:r>
        <w:rPr>
          <w:color w:val="000000" w:themeColor="text1"/>
          <w:shd w:val="clear" w:color="auto" w:fill="FFFFFF"/>
        </w:rPr>
        <w:t>tuall</w:t>
      </w:r>
      <w:r w:rsidRPr="005457C4">
        <w:rPr>
          <w:color w:val="000000" w:themeColor="text1"/>
          <w:shd w:val="clear" w:color="auto" w:fill="FFFFFF"/>
        </w:rPr>
        <w:t xml:space="preserve">y by the nodes of </w:t>
      </w:r>
      <w:r>
        <w:rPr>
          <w:color w:val="000000" w:themeColor="text1"/>
          <w:shd w:val="clear" w:color="auto" w:fill="FFFFFF"/>
        </w:rPr>
        <w:t xml:space="preserve">the </w:t>
      </w:r>
      <w:r w:rsidRPr="005457C4">
        <w:rPr>
          <w:color w:val="000000" w:themeColor="text1"/>
          <w:shd w:val="clear" w:color="auto" w:fill="FFFFFF"/>
        </w:rPr>
        <w:t>network [27,30].</w:t>
      </w:r>
    </w:p>
    <w:p w:rsidR="005457C4" w:rsidRDefault="005457C4" w:rsidP="005457C4">
      <w:pPr>
        <w:ind w:firstLine="284"/>
        <w:jc w:val="both"/>
        <w:rPr>
          <w:color w:val="000000" w:themeColor="text1"/>
          <w:shd w:val="clear" w:color="auto" w:fill="FFFFFF"/>
        </w:rPr>
      </w:pPr>
    </w:p>
    <w:p w:rsidR="00D716EB" w:rsidRDefault="00000000" w:rsidP="005457C4">
      <w:pPr>
        <w:ind w:firstLine="284"/>
        <w:jc w:val="both"/>
        <w:rPr>
          <w:color w:val="000000" w:themeColor="text1"/>
          <w:shd w:val="clear" w:color="auto" w:fill="FFFFFF"/>
        </w:rPr>
      </w:pPr>
      <w:r w:rsidRPr="005457C4">
        <w:rPr>
          <w:color w:val="000000" w:themeColor="text1"/>
          <w:shd w:val="clear" w:color="auto" w:fill="FFFFFF"/>
        </w:rPr>
        <w:t>From a security point of view, this is the most secure solution: with its decentralized and hence relatively tamper-proof ledger [28, 37]. As a result, the decisions made have the property of absolute non-repudiation and offer an open</w:t>
      </w:r>
      <w:r>
        <w:rPr>
          <w:color w:val="000000" w:themeColor="text1"/>
          <w:shd w:val="clear" w:color="auto" w:fill="FFFFFF"/>
        </w:rPr>
        <w:t>,</w:t>
      </w:r>
      <w:r w:rsidRPr="005457C4">
        <w:rPr>
          <w:color w:val="000000" w:themeColor="text1"/>
          <w:shd w:val="clear" w:color="auto" w:fill="FFFFFF"/>
        </w:rPr>
        <w:t xml:space="preserve"> verifiable</w:t>
      </w:r>
      <w:r>
        <w:rPr>
          <w:color w:val="000000" w:themeColor="text1"/>
          <w:shd w:val="clear" w:color="auto" w:fill="FFFFFF"/>
        </w:rPr>
        <w:t>,</w:t>
      </w:r>
      <w:r w:rsidRPr="005457C4">
        <w:rPr>
          <w:color w:val="000000" w:themeColor="text1"/>
          <w:shd w:val="clear" w:color="auto" w:fill="FFFFFF"/>
        </w:rPr>
        <w:t xml:space="preserve"> and permanent audit trail for any access event [43]. But this security-oriented design is a big pain</w:t>
      </w:r>
      <w:r>
        <w:rPr>
          <w:color w:val="000000" w:themeColor="text1"/>
          <w:shd w:val="clear" w:color="auto" w:fill="FFFFFF"/>
        </w:rPr>
        <w:t xml:space="preserve"> </w:t>
      </w:r>
      <w:r w:rsidRPr="005457C4">
        <w:rPr>
          <w:color w:val="000000" w:themeColor="text1"/>
          <w:shd w:val="clear" w:color="auto" w:fill="FFFFFF"/>
        </w:rPr>
        <w:t>point in the blockchain trilemma for scaling and performance. A review of the literature indicates that this model is considered a cost-prohibitive option for 82% of studied technologies. More specifically</w:t>
      </w:r>
      <w:r>
        <w:rPr>
          <w:color w:val="000000" w:themeColor="text1"/>
          <w:shd w:val="clear" w:color="auto" w:fill="FFFFFF"/>
        </w:rPr>
        <w:t>,</w:t>
      </w:r>
      <w:r w:rsidRPr="005457C4">
        <w:rPr>
          <w:color w:val="000000" w:themeColor="text1"/>
          <w:shd w:val="clear" w:color="auto" w:fill="FFFFFF"/>
        </w:rPr>
        <w:t xml:space="preserve"> an access check by a single user means one blockchain transaction</w:t>
      </w:r>
      <w:r>
        <w:rPr>
          <w:color w:val="000000" w:themeColor="text1"/>
          <w:shd w:val="clear" w:color="auto" w:fill="FFFFFF"/>
        </w:rPr>
        <w:t>,</w:t>
      </w:r>
      <w:r w:rsidRPr="005457C4">
        <w:rPr>
          <w:color w:val="000000" w:themeColor="text1"/>
          <w:shd w:val="clear" w:color="auto" w:fill="FFFFFF"/>
        </w:rPr>
        <w:t xml:space="preserve"> and so users suffer from severe block latency and growing gas costs. These reasons pose a significant scalability challenge, especially at the size of large public registers [27, 37, 43]. As a result, this pattern provides the Gold Standard for protecting data</w:t>
      </w:r>
      <w:r>
        <w:rPr>
          <w:color w:val="000000" w:themeColor="text1"/>
          <w:shd w:val="clear" w:color="auto" w:fill="FFFFFF"/>
        </w:rPr>
        <w:t>,</w:t>
      </w:r>
      <w:r w:rsidRPr="005457C4">
        <w:rPr>
          <w:color w:val="000000" w:themeColor="text1"/>
          <w:shd w:val="clear" w:color="auto" w:fill="FFFFFF"/>
        </w:rPr>
        <w:t xml:space="preserve"> but often does not deliver high-performance throughput that can be used for national-scale use cases.</w:t>
      </w:r>
    </w:p>
    <w:p w:rsidR="005457C4" w:rsidRDefault="005457C4" w:rsidP="005457C4">
      <w:pPr>
        <w:ind w:firstLine="284"/>
        <w:jc w:val="both"/>
        <w:rPr>
          <w:color w:val="000000" w:themeColor="text1"/>
          <w:shd w:val="clear" w:color="auto" w:fill="FFFFFF"/>
        </w:rPr>
      </w:pPr>
    </w:p>
    <w:p w:rsidR="00F6702F" w:rsidRPr="00B32CE2" w:rsidRDefault="00000000" w:rsidP="00ED4DB0">
      <w:pPr>
        <w:jc w:val="both"/>
        <w:rPr>
          <w:i/>
          <w:iCs/>
          <w:color w:val="000000" w:themeColor="text1"/>
          <w:shd w:val="clear" w:color="auto" w:fill="FFFFFF"/>
        </w:rPr>
      </w:pPr>
      <w:r w:rsidRPr="00B32CE2">
        <w:rPr>
          <w:i/>
          <w:iCs/>
          <w:color w:val="000000" w:themeColor="text1"/>
          <w:shd w:val="clear" w:color="auto" w:fill="FFFFFF"/>
        </w:rPr>
        <w:t>4.2.2 Performance-Oriented Patterns</w:t>
      </w:r>
    </w:p>
    <w:p w:rsidR="00F6702F" w:rsidRDefault="00F6702F" w:rsidP="00ED4DB0">
      <w:pPr>
        <w:jc w:val="both"/>
        <w:rPr>
          <w:color w:val="000000" w:themeColor="text1"/>
          <w:shd w:val="clear" w:color="auto" w:fill="FFFFFF"/>
        </w:rPr>
      </w:pPr>
    </w:p>
    <w:p w:rsidR="0054318C" w:rsidRDefault="00000000" w:rsidP="0054318C">
      <w:pPr>
        <w:ind w:firstLine="284"/>
        <w:jc w:val="both"/>
        <w:rPr>
          <w:color w:val="000000" w:themeColor="text1"/>
          <w:shd w:val="clear" w:color="auto" w:fill="FFFFFF"/>
        </w:rPr>
      </w:pPr>
      <w:r w:rsidRPr="0054318C">
        <w:rPr>
          <w:color w:val="000000" w:themeColor="text1"/>
          <w:shd w:val="clear" w:color="auto" w:fill="FFFFFF"/>
        </w:rPr>
        <w:t>The Off-Chain pattern is the first Performance-Oriented Pattern abstractly presented as an alternative to address the latencies imposed by decentralized networks. In this design, latency is traded for speed</w:t>
      </w:r>
      <w:r>
        <w:rPr>
          <w:color w:val="000000" w:themeColor="text1"/>
          <w:shd w:val="clear" w:color="auto" w:fill="FFFFFF"/>
        </w:rPr>
        <w:t xml:space="preserve">, </w:t>
      </w:r>
      <w:r w:rsidRPr="0054318C">
        <w:rPr>
          <w:color w:val="000000" w:themeColor="text1"/>
          <w:shd w:val="clear" w:color="auto" w:fill="FFFFFF"/>
        </w:rPr>
        <w:t>offload</w:t>
      </w:r>
      <w:r>
        <w:rPr>
          <w:color w:val="000000" w:themeColor="text1"/>
          <w:shd w:val="clear" w:color="auto" w:fill="FFFFFF"/>
        </w:rPr>
        <w:t>ing</w:t>
      </w:r>
      <w:r w:rsidRPr="0054318C">
        <w:rPr>
          <w:color w:val="000000" w:themeColor="text1"/>
          <w:shd w:val="clear" w:color="auto" w:fill="FFFFFF"/>
        </w:rPr>
        <w:t xml:space="preserve"> the heavy lifting in terms of PDP logic and policy evaluation to traditional local servers or proxy devices. In this paradigm, the Blockchain serves as a relatively passive log that stores a final, unchangeable history of access events (as opposed to [21] where the Blockchain becomes part of real-time decisions).</w:t>
      </w:r>
    </w:p>
    <w:p w:rsidR="0054318C" w:rsidRDefault="0054318C" w:rsidP="0054318C">
      <w:pPr>
        <w:ind w:firstLine="284"/>
        <w:jc w:val="both"/>
        <w:rPr>
          <w:color w:val="000000" w:themeColor="text1"/>
          <w:shd w:val="clear" w:color="auto" w:fill="FFFFFF"/>
        </w:rPr>
      </w:pPr>
    </w:p>
    <w:p w:rsidR="0054318C" w:rsidRDefault="00000000" w:rsidP="0054318C">
      <w:pPr>
        <w:ind w:firstLine="284"/>
        <w:jc w:val="both"/>
        <w:rPr>
          <w:color w:val="000000" w:themeColor="text1"/>
          <w:shd w:val="clear" w:color="auto" w:fill="FFFFFF"/>
        </w:rPr>
      </w:pPr>
      <w:r w:rsidRPr="0054318C">
        <w:rPr>
          <w:color w:val="000000" w:themeColor="text1"/>
          <w:shd w:val="clear" w:color="auto" w:fill="FFFFFF"/>
        </w:rPr>
        <w:t>If considering this pattern in terms of the Blockchain Trilemma, raw efficiency is its most significant power. Through sidestepping the consensus-oriented smart contract execution on the fly per request, in effect</w:t>
      </w:r>
      <w:r>
        <w:rPr>
          <w:color w:val="000000" w:themeColor="text1"/>
          <w:shd w:val="clear" w:color="auto" w:fill="FFFFFF"/>
        </w:rPr>
        <w:t xml:space="preserve">, </w:t>
      </w:r>
      <w:r w:rsidRPr="0054318C">
        <w:rPr>
          <w:color w:val="000000" w:themeColor="text1"/>
          <w:shd w:val="clear" w:color="auto" w:fill="FFFFFF"/>
        </w:rPr>
        <w:t>execution can be achieved at nearly</w:t>
      </w:r>
      <w:r>
        <w:rPr>
          <w:color w:val="000000" w:themeColor="text1"/>
          <w:shd w:val="clear" w:color="auto" w:fill="FFFFFF"/>
        </w:rPr>
        <w:t xml:space="preserve"> </w:t>
      </w:r>
      <w:r w:rsidRPr="0054318C">
        <w:rPr>
          <w:color w:val="000000" w:themeColor="text1"/>
          <w:shd w:val="clear" w:color="auto" w:fill="FFFFFF"/>
        </w:rPr>
        <w:t>instant millisecond-response times and with up to A million or more transactions per second required for corporate levels [17, 21]. But this performance comes at a serious security cost</w:t>
      </w:r>
      <w:r>
        <w:rPr>
          <w:color w:val="000000" w:themeColor="text1"/>
          <w:shd w:val="clear" w:color="auto" w:fill="FFFFFF"/>
        </w:rPr>
        <w:t xml:space="preserve">, which is </w:t>
      </w:r>
      <w:r w:rsidRPr="0054318C">
        <w:rPr>
          <w:color w:val="000000" w:themeColor="text1"/>
          <w:shd w:val="clear" w:color="auto" w:fill="FFFFFF"/>
        </w:rPr>
        <w:t>introducing an SPOF. Since the logic is at the level of a central server, if access</w:t>
      </w:r>
      <w:r>
        <w:rPr>
          <w:color w:val="000000" w:themeColor="text1"/>
          <w:shd w:val="clear" w:color="auto" w:fill="FFFFFF"/>
        </w:rPr>
        <w:t>ing</w:t>
      </w:r>
      <w:r w:rsidRPr="0054318C">
        <w:rPr>
          <w:color w:val="000000" w:themeColor="text1"/>
          <w:shd w:val="clear" w:color="auto" w:fill="FFFFFF"/>
        </w:rPr>
        <w:t xml:space="preserve"> </w:t>
      </w:r>
      <w:r>
        <w:rPr>
          <w:color w:val="000000" w:themeColor="text1"/>
          <w:shd w:val="clear" w:color="auto" w:fill="FFFFFF"/>
        </w:rPr>
        <w:t>the</w:t>
      </w:r>
      <w:r w:rsidRPr="0054318C">
        <w:rPr>
          <w:color w:val="000000" w:themeColor="text1"/>
          <w:shd w:val="clear" w:color="auto" w:fill="FFFFFF"/>
        </w:rPr>
        <w:t xml:space="preserve"> local node, there is no way for </w:t>
      </w:r>
      <w:r>
        <w:rPr>
          <w:color w:val="000000" w:themeColor="text1"/>
          <w:shd w:val="clear" w:color="auto" w:fill="FFFFFF"/>
        </w:rPr>
        <w:t>B</w:t>
      </w:r>
      <w:r w:rsidRPr="0054318C">
        <w:rPr>
          <w:color w:val="000000" w:themeColor="text1"/>
          <w:shd w:val="clear" w:color="auto" w:fill="FFFFFF"/>
        </w:rPr>
        <w:t>lockchain to notice in real-time any violation</w:t>
      </w:r>
      <w:r>
        <w:rPr>
          <w:color w:val="000000" w:themeColor="text1"/>
          <w:shd w:val="clear" w:color="auto" w:fill="FFFFFF"/>
        </w:rPr>
        <w:t>,</w:t>
      </w:r>
      <w:r w:rsidRPr="0054318C">
        <w:rPr>
          <w:color w:val="000000" w:themeColor="text1"/>
          <w:shd w:val="clear" w:color="auto" w:fill="FFFFFF"/>
        </w:rPr>
        <w:t xml:space="preserve"> as an intruder can go directly through security [25, 42]. However, this performance-driven perspective does not maintain the trustless aspect: Decentralized security </w:t>
      </w:r>
      <w:r>
        <w:rPr>
          <w:color w:val="000000" w:themeColor="text1"/>
          <w:shd w:val="clear" w:color="auto" w:fill="FFFFFF"/>
        </w:rPr>
        <w:t xml:space="preserve">is </w:t>
      </w:r>
      <w:r w:rsidRPr="0054318C">
        <w:rPr>
          <w:color w:val="000000" w:themeColor="text1"/>
          <w:shd w:val="clear" w:color="auto" w:fill="FFFFFF"/>
        </w:rPr>
        <w:t xml:space="preserve">clearly supported by </w:t>
      </w:r>
      <w:r>
        <w:rPr>
          <w:color w:val="000000" w:themeColor="text1"/>
          <w:shd w:val="clear" w:color="auto" w:fill="FFFFFF"/>
        </w:rPr>
        <w:t>B</w:t>
      </w:r>
      <w:r w:rsidRPr="0054318C">
        <w:rPr>
          <w:color w:val="000000" w:themeColor="text1"/>
          <w:shd w:val="clear" w:color="auto" w:fill="FFFFFF"/>
        </w:rPr>
        <w:t>lockchain</w:t>
      </w:r>
      <w:r>
        <w:rPr>
          <w:color w:val="000000" w:themeColor="text1"/>
          <w:shd w:val="clear" w:color="auto" w:fill="FFFFFF"/>
        </w:rPr>
        <w:t>,</w:t>
      </w:r>
      <w:r w:rsidRPr="0054318C">
        <w:rPr>
          <w:color w:val="000000" w:themeColor="text1"/>
          <w:shd w:val="clear" w:color="auto" w:fill="FFFFFF"/>
        </w:rPr>
        <w:t> and as a result</w:t>
      </w:r>
      <w:r>
        <w:rPr>
          <w:color w:val="000000" w:themeColor="text1"/>
          <w:shd w:val="clear" w:color="auto" w:fill="FFFFFF"/>
        </w:rPr>
        <w:t>,</w:t>
      </w:r>
      <w:r w:rsidRPr="0054318C">
        <w:rPr>
          <w:color w:val="000000" w:themeColor="text1"/>
          <w:shd w:val="clear" w:color="auto" w:fill="FFFFFF"/>
        </w:rPr>
        <w:t xml:space="preserve"> it is rated technically unsound in relevant literature at high-risk levels.</w:t>
      </w:r>
    </w:p>
    <w:p w:rsidR="0054318C" w:rsidRDefault="0054318C" w:rsidP="0054318C">
      <w:pPr>
        <w:jc w:val="both"/>
        <w:rPr>
          <w:color w:val="000000" w:themeColor="text1"/>
          <w:shd w:val="clear" w:color="auto" w:fill="FFFFFF"/>
        </w:rPr>
      </w:pPr>
    </w:p>
    <w:p w:rsidR="00F6702F" w:rsidRPr="0054318C" w:rsidRDefault="00000000" w:rsidP="0054318C">
      <w:pPr>
        <w:jc w:val="both"/>
        <w:rPr>
          <w:color w:val="000000" w:themeColor="text1"/>
          <w:shd w:val="clear" w:color="auto" w:fill="FFFFFF"/>
        </w:rPr>
      </w:pPr>
      <w:r w:rsidRPr="00B32CE2">
        <w:rPr>
          <w:i/>
          <w:iCs/>
          <w:color w:val="000000" w:themeColor="text1"/>
          <w:shd w:val="clear" w:color="auto" w:fill="FFFFFF"/>
        </w:rPr>
        <w:t xml:space="preserve">4.2.3 </w:t>
      </w:r>
      <w:r w:rsidR="00D716EB">
        <w:rPr>
          <w:i/>
          <w:iCs/>
          <w:color w:val="000000" w:themeColor="text1"/>
          <w:shd w:val="clear" w:color="auto" w:fill="FFFFFF"/>
        </w:rPr>
        <w:t>Optimization-Oriented Patterns</w:t>
      </w:r>
    </w:p>
    <w:p w:rsidR="009378D1" w:rsidRPr="00B32CE2" w:rsidRDefault="009378D1" w:rsidP="00ED4DB0">
      <w:pPr>
        <w:jc w:val="both"/>
        <w:rPr>
          <w:i/>
          <w:iCs/>
          <w:color w:val="000000" w:themeColor="text1"/>
          <w:shd w:val="clear" w:color="auto" w:fill="FFFFFF"/>
        </w:rPr>
      </w:pPr>
    </w:p>
    <w:p w:rsidR="0027772E" w:rsidRDefault="00000000" w:rsidP="0054318C">
      <w:pPr>
        <w:pStyle w:val="NormalWeb"/>
        <w:spacing w:before="0" w:beforeAutospacing="0" w:after="0" w:afterAutospacing="0"/>
        <w:ind w:firstLine="284"/>
        <w:jc w:val="both"/>
        <w:rPr>
          <w:rFonts w:eastAsia="SimSun"/>
          <w:color w:val="000000" w:themeColor="text1"/>
          <w:sz w:val="20"/>
          <w:szCs w:val="20"/>
          <w:shd w:val="clear" w:color="auto" w:fill="FFFFFF"/>
          <w:lang w:val="en-US"/>
        </w:rPr>
      </w:pPr>
      <w:r w:rsidRPr="0054318C">
        <w:rPr>
          <w:rFonts w:eastAsia="SimSun"/>
          <w:color w:val="000000" w:themeColor="text1"/>
          <w:sz w:val="20"/>
          <w:szCs w:val="20"/>
          <w:shd w:val="clear" w:color="auto" w:fill="FFFFFF"/>
          <w:lang w:val="en-US"/>
        </w:rPr>
        <w:t>The model Hybrid is selected as the main Optimization-Oriented Pattern in e-government, where it works as a strategic deployment for large-scale e-government, by dividing the workload that is processed operationally. The idea behind it is to securely plunk the description of PAP into on-chain, so that the administrative transparency (which must be accurately done as long as we desire an immutable off-chain credential state after submission [18,26,41]) can be guaranteed by On-chain verifiers. Bulk data processing or complex attribute proof check is left for oﬀ-chain environment / edge-node(s). As evidenced by the comparison results shown in Table 6, the Hybrid model provides a balanced approach among these Trilemma scales, i.e., Security, Performance, and Decentralization, and therefore is particularly well suited for high-speed national digital identity infrastructures.</w:t>
      </w:r>
    </w:p>
    <w:p w:rsidR="0054318C" w:rsidRDefault="0054318C" w:rsidP="0054318C">
      <w:pPr>
        <w:pStyle w:val="NormalWeb"/>
        <w:spacing w:before="0" w:beforeAutospacing="0" w:after="0" w:afterAutospacing="0"/>
        <w:ind w:firstLine="284"/>
        <w:jc w:val="both"/>
        <w:rPr>
          <w:color w:val="000000"/>
          <w:sz w:val="20"/>
          <w:szCs w:val="20"/>
        </w:rPr>
      </w:pPr>
    </w:p>
    <w:p w:rsidR="0027772E" w:rsidRPr="0027772E" w:rsidRDefault="00000000" w:rsidP="0027772E">
      <w:pPr>
        <w:pStyle w:val="NormalWeb"/>
        <w:spacing w:before="0" w:beforeAutospacing="0" w:after="0" w:afterAutospacing="0"/>
        <w:jc w:val="both"/>
        <w:rPr>
          <w:color w:val="000000"/>
          <w:sz w:val="20"/>
          <w:szCs w:val="20"/>
        </w:rPr>
      </w:pPr>
      <w:r>
        <w:rPr>
          <w:color w:val="000000"/>
          <w:sz w:val="20"/>
          <w:szCs w:val="20"/>
        </w:rPr>
        <w:t>Table 6. Comparison of Integration Models via the Trilemma Framework</w:t>
      </w:r>
    </w:p>
    <w:tbl>
      <w:tblPr>
        <w:tblStyle w:val="TableGrid"/>
        <w:tblW w:w="0" w:type="auto"/>
        <w:tblLook w:val="04A0" w:firstRow="1" w:lastRow="0" w:firstColumn="1" w:lastColumn="0" w:noHBand="0" w:noVBand="1"/>
      </w:tblPr>
      <w:tblGrid>
        <w:gridCol w:w="1274"/>
        <w:gridCol w:w="1185"/>
        <w:gridCol w:w="849"/>
        <w:gridCol w:w="652"/>
        <w:gridCol w:w="896"/>
      </w:tblGrid>
      <w:tr w:rsidR="00D31CD9" w:rsidTr="009A51DE">
        <w:tc>
          <w:tcPr>
            <w:tcW w:w="1274" w:type="dxa"/>
            <w:vAlign w:val="center"/>
          </w:tcPr>
          <w:p w:rsidR="0027772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Trilemma Dimension</w:t>
            </w:r>
          </w:p>
        </w:tc>
        <w:tc>
          <w:tcPr>
            <w:tcW w:w="1185" w:type="dxa"/>
            <w:vAlign w:val="center"/>
          </w:tcPr>
          <w:p w:rsidR="0027772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Sub-Metric (from Table 3)</w:t>
            </w:r>
          </w:p>
        </w:tc>
        <w:tc>
          <w:tcPr>
            <w:tcW w:w="849" w:type="dxa"/>
            <w:vAlign w:val="center"/>
          </w:tcPr>
          <w:p w:rsidR="0027772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Fully On-Chain</w:t>
            </w:r>
          </w:p>
        </w:tc>
        <w:tc>
          <w:tcPr>
            <w:tcW w:w="652" w:type="dxa"/>
            <w:vAlign w:val="center"/>
          </w:tcPr>
          <w:p w:rsidR="0027772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Off-Chain</w:t>
            </w:r>
          </w:p>
        </w:tc>
        <w:tc>
          <w:tcPr>
            <w:tcW w:w="896" w:type="dxa"/>
            <w:vAlign w:val="center"/>
          </w:tcPr>
          <w:p w:rsidR="0027772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Hybrid (Optimal)</w:t>
            </w:r>
          </w:p>
        </w:tc>
      </w:tr>
      <w:tr w:rsidR="00D31CD9" w:rsidTr="009A51DE">
        <w:tc>
          <w:tcPr>
            <w:tcW w:w="1274" w:type="dxa"/>
            <w:vMerge w:val="restart"/>
            <w:vAlign w:val="center"/>
          </w:tcPr>
          <w:p w:rsidR="009A51D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Security</w:t>
            </w:r>
          </w:p>
        </w:tc>
        <w:tc>
          <w:tcPr>
            <w:tcW w:w="1185" w:type="dxa"/>
            <w:vAlign w:val="center"/>
          </w:tcPr>
          <w:p w:rsidR="009A51D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Integrity and Non-Repudiation</w:t>
            </w:r>
          </w:p>
        </w:tc>
        <w:tc>
          <w:tcPr>
            <w:tcW w:w="849" w:type="dxa"/>
            <w:vAlign w:val="center"/>
          </w:tcPr>
          <w:p w:rsidR="009A51D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High</w:t>
            </w:r>
          </w:p>
        </w:tc>
        <w:tc>
          <w:tcPr>
            <w:tcW w:w="652" w:type="dxa"/>
            <w:vAlign w:val="center"/>
          </w:tcPr>
          <w:p w:rsidR="009A51D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Low</w:t>
            </w:r>
          </w:p>
        </w:tc>
        <w:tc>
          <w:tcPr>
            <w:tcW w:w="896" w:type="dxa"/>
            <w:vAlign w:val="center"/>
          </w:tcPr>
          <w:p w:rsidR="009A51D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High</w:t>
            </w:r>
          </w:p>
        </w:tc>
      </w:tr>
      <w:tr w:rsidR="00D31CD9" w:rsidTr="009A51DE">
        <w:tc>
          <w:tcPr>
            <w:tcW w:w="1274" w:type="dxa"/>
            <w:vMerge/>
            <w:vAlign w:val="center"/>
          </w:tcPr>
          <w:p w:rsidR="009A51DE" w:rsidRPr="009A51DE" w:rsidRDefault="009A51DE" w:rsidP="009A51DE">
            <w:pPr>
              <w:pStyle w:val="NormalWeb"/>
              <w:spacing w:before="0" w:beforeAutospacing="0" w:after="0" w:afterAutospacing="0"/>
              <w:jc w:val="center"/>
              <w:rPr>
                <w:color w:val="000000"/>
                <w:sz w:val="16"/>
                <w:szCs w:val="16"/>
              </w:rPr>
            </w:pPr>
          </w:p>
        </w:tc>
        <w:tc>
          <w:tcPr>
            <w:tcW w:w="1185" w:type="dxa"/>
            <w:vAlign w:val="center"/>
          </w:tcPr>
          <w:p w:rsidR="009A51D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Confidentiality / Privacy</w:t>
            </w:r>
          </w:p>
        </w:tc>
        <w:tc>
          <w:tcPr>
            <w:tcW w:w="849" w:type="dxa"/>
            <w:vAlign w:val="center"/>
          </w:tcPr>
          <w:p w:rsidR="009A51D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Moderate</w:t>
            </w:r>
          </w:p>
        </w:tc>
        <w:tc>
          <w:tcPr>
            <w:tcW w:w="652" w:type="dxa"/>
            <w:vAlign w:val="center"/>
          </w:tcPr>
          <w:p w:rsidR="009A51D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High</w:t>
            </w:r>
          </w:p>
        </w:tc>
        <w:tc>
          <w:tcPr>
            <w:tcW w:w="896" w:type="dxa"/>
            <w:vAlign w:val="center"/>
          </w:tcPr>
          <w:p w:rsidR="009A51D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High</w:t>
            </w:r>
          </w:p>
        </w:tc>
      </w:tr>
      <w:tr w:rsidR="00D31CD9" w:rsidTr="009A51DE">
        <w:tc>
          <w:tcPr>
            <w:tcW w:w="1274" w:type="dxa"/>
            <w:vAlign w:val="center"/>
          </w:tcPr>
          <w:p w:rsidR="0027772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Performance</w:t>
            </w:r>
          </w:p>
        </w:tc>
        <w:tc>
          <w:tcPr>
            <w:tcW w:w="1185" w:type="dxa"/>
            <w:vAlign w:val="center"/>
          </w:tcPr>
          <w:p w:rsidR="0027772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Latency and Throughput</w:t>
            </w:r>
          </w:p>
        </w:tc>
        <w:tc>
          <w:tcPr>
            <w:tcW w:w="849" w:type="dxa"/>
            <w:vAlign w:val="center"/>
          </w:tcPr>
          <w:p w:rsidR="0027772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Low</w:t>
            </w:r>
          </w:p>
        </w:tc>
        <w:tc>
          <w:tcPr>
            <w:tcW w:w="652" w:type="dxa"/>
            <w:vAlign w:val="center"/>
          </w:tcPr>
          <w:p w:rsidR="0027772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High</w:t>
            </w:r>
          </w:p>
        </w:tc>
        <w:tc>
          <w:tcPr>
            <w:tcW w:w="896" w:type="dxa"/>
            <w:vAlign w:val="center"/>
          </w:tcPr>
          <w:p w:rsidR="0027772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Moderate – High</w:t>
            </w:r>
          </w:p>
        </w:tc>
      </w:tr>
      <w:tr w:rsidR="00D31CD9" w:rsidTr="009A51DE">
        <w:tc>
          <w:tcPr>
            <w:tcW w:w="1274" w:type="dxa"/>
            <w:vAlign w:val="center"/>
          </w:tcPr>
          <w:p w:rsidR="0027772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(Normalization)</w:t>
            </w:r>
          </w:p>
        </w:tc>
        <w:tc>
          <w:tcPr>
            <w:tcW w:w="1185" w:type="dxa"/>
            <w:vAlign w:val="center"/>
          </w:tcPr>
          <w:p w:rsidR="0027772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Cost Efficiency (Gas)</w:t>
            </w:r>
          </w:p>
        </w:tc>
        <w:tc>
          <w:tcPr>
            <w:tcW w:w="849" w:type="dxa"/>
            <w:vAlign w:val="center"/>
          </w:tcPr>
          <w:p w:rsidR="0027772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Low</w:t>
            </w:r>
          </w:p>
        </w:tc>
        <w:tc>
          <w:tcPr>
            <w:tcW w:w="652" w:type="dxa"/>
            <w:vAlign w:val="center"/>
          </w:tcPr>
          <w:p w:rsidR="0027772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High</w:t>
            </w:r>
          </w:p>
        </w:tc>
        <w:tc>
          <w:tcPr>
            <w:tcW w:w="896" w:type="dxa"/>
            <w:vAlign w:val="center"/>
          </w:tcPr>
          <w:p w:rsidR="0027772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Moderate</w:t>
            </w:r>
          </w:p>
        </w:tc>
      </w:tr>
      <w:tr w:rsidR="00D31CD9" w:rsidTr="009A51DE">
        <w:tc>
          <w:tcPr>
            <w:tcW w:w="1274" w:type="dxa"/>
            <w:vMerge w:val="restart"/>
            <w:vAlign w:val="center"/>
          </w:tcPr>
          <w:p w:rsidR="009A51D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Decentralization</w:t>
            </w:r>
          </w:p>
        </w:tc>
        <w:tc>
          <w:tcPr>
            <w:tcW w:w="1185" w:type="dxa"/>
            <w:vAlign w:val="center"/>
          </w:tcPr>
          <w:p w:rsidR="009A51D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Trust Minimization</w:t>
            </w:r>
          </w:p>
        </w:tc>
        <w:tc>
          <w:tcPr>
            <w:tcW w:w="849" w:type="dxa"/>
            <w:vAlign w:val="center"/>
          </w:tcPr>
          <w:p w:rsidR="009A51D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High</w:t>
            </w:r>
          </w:p>
        </w:tc>
        <w:tc>
          <w:tcPr>
            <w:tcW w:w="652" w:type="dxa"/>
            <w:vAlign w:val="center"/>
          </w:tcPr>
          <w:p w:rsidR="009A51D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Low</w:t>
            </w:r>
          </w:p>
        </w:tc>
        <w:tc>
          <w:tcPr>
            <w:tcW w:w="896" w:type="dxa"/>
            <w:vAlign w:val="center"/>
          </w:tcPr>
          <w:p w:rsidR="009A51D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Moderate- High</w:t>
            </w:r>
          </w:p>
        </w:tc>
      </w:tr>
      <w:tr w:rsidR="00D31CD9" w:rsidTr="009A51DE">
        <w:tc>
          <w:tcPr>
            <w:tcW w:w="1274" w:type="dxa"/>
            <w:vMerge/>
            <w:vAlign w:val="center"/>
          </w:tcPr>
          <w:p w:rsidR="009A51DE" w:rsidRPr="009A51DE" w:rsidRDefault="009A51DE" w:rsidP="009A51DE">
            <w:pPr>
              <w:pStyle w:val="NormalWeb"/>
              <w:spacing w:before="0" w:beforeAutospacing="0" w:after="0" w:afterAutospacing="0"/>
              <w:jc w:val="center"/>
              <w:rPr>
                <w:color w:val="000000"/>
                <w:sz w:val="16"/>
                <w:szCs w:val="16"/>
              </w:rPr>
            </w:pPr>
          </w:p>
        </w:tc>
        <w:tc>
          <w:tcPr>
            <w:tcW w:w="1185" w:type="dxa"/>
            <w:vAlign w:val="center"/>
          </w:tcPr>
          <w:p w:rsidR="009A51D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Resilience (No SPOF)</w:t>
            </w:r>
          </w:p>
        </w:tc>
        <w:tc>
          <w:tcPr>
            <w:tcW w:w="849" w:type="dxa"/>
            <w:vAlign w:val="center"/>
          </w:tcPr>
          <w:p w:rsidR="009A51D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High</w:t>
            </w:r>
          </w:p>
        </w:tc>
        <w:tc>
          <w:tcPr>
            <w:tcW w:w="652" w:type="dxa"/>
            <w:vAlign w:val="center"/>
          </w:tcPr>
          <w:p w:rsidR="009A51D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Low</w:t>
            </w:r>
          </w:p>
        </w:tc>
        <w:tc>
          <w:tcPr>
            <w:tcW w:w="896" w:type="dxa"/>
            <w:vAlign w:val="center"/>
          </w:tcPr>
          <w:p w:rsidR="009A51DE" w:rsidRPr="009A51DE" w:rsidRDefault="00000000" w:rsidP="009A51DE">
            <w:pPr>
              <w:pStyle w:val="NormalWeb"/>
              <w:spacing w:before="0" w:beforeAutospacing="0" w:after="0" w:afterAutospacing="0"/>
              <w:jc w:val="center"/>
              <w:rPr>
                <w:color w:val="000000"/>
                <w:sz w:val="16"/>
                <w:szCs w:val="16"/>
              </w:rPr>
            </w:pPr>
            <w:r w:rsidRPr="009A51DE">
              <w:rPr>
                <w:color w:val="000000"/>
                <w:sz w:val="16"/>
                <w:szCs w:val="16"/>
              </w:rPr>
              <w:t>Moderate - High</w:t>
            </w:r>
          </w:p>
        </w:tc>
      </w:tr>
    </w:tbl>
    <w:p w:rsidR="0027772E" w:rsidRDefault="00000000" w:rsidP="0027772E">
      <w:pPr>
        <w:pStyle w:val="NormalWeb"/>
        <w:spacing w:before="0" w:beforeAutospacing="0" w:after="0" w:afterAutospacing="0"/>
        <w:jc w:val="both"/>
        <w:rPr>
          <w:color w:val="000000"/>
          <w:sz w:val="20"/>
          <w:szCs w:val="20"/>
        </w:rPr>
      </w:pPr>
      <w:r w:rsidRPr="0027772E">
        <w:rPr>
          <w:i/>
          <w:iCs/>
          <w:color w:val="000000"/>
          <w:sz w:val="13"/>
          <w:szCs w:val="13"/>
        </w:rPr>
        <w:t>Note: Ratings are synthesized from the normalized performance and security metrics established in Table 3 [18, 21, 25, 41, 52, 65]</w:t>
      </w:r>
    </w:p>
    <w:p w:rsidR="0027772E" w:rsidRDefault="0027772E" w:rsidP="009A51DE">
      <w:pPr>
        <w:pStyle w:val="NormalWeb"/>
        <w:spacing w:before="0" w:beforeAutospacing="0" w:after="0" w:afterAutospacing="0"/>
        <w:jc w:val="both"/>
        <w:rPr>
          <w:color w:val="000000"/>
          <w:sz w:val="20"/>
          <w:szCs w:val="20"/>
        </w:rPr>
      </w:pPr>
    </w:p>
    <w:p w:rsidR="0054318C" w:rsidRDefault="00000000" w:rsidP="0054318C">
      <w:pPr>
        <w:ind w:firstLine="284"/>
        <w:jc w:val="both"/>
        <w:rPr>
          <w:rFonts w:eastAsia="Times New Roman"/>
          <w:color w:val="000000"/>
          <w:lang w:val="en-PH"/>
        </w:rPr>
      </w:pPr>
      <w:r w:rsidRPr="0054318C">
        <w:rPr>
          <w:rFonts w:eastAsia="Times New Roman"/>
          <w:color w:val="000000"/>
          <w:lang w:val="en-PH"/>
        </w:rPr>
        <w:t>The synthesis of results shows that Full On-Chain models provide the highest security and decentralization guarantees, but seem to miss out on the needed throughput required for national</w:t>
      </w:r>
      <w:r>
        <w:rPr>
          <w:rFonts w:eastAsia="Times New Roman"/>
          <w:color w:val="000000"/>
          <w:lang w:val="en-PH"/>
        </w:rPr>
        <w:t>-</w:t>
      </w:r>
      <w:r w:rsidRPr="0054318C">
        <w:rPr>
          <w:rFonts w:eastAsia="Times New Roman"/>
          <w:color w:val="000000"/>
          <w:lang w:val="en-PH"/>
        </w:rPr>
        <w:t>scale deployments. It is shown that the high gas cost and block latency of performing every individual attribute check constitute a technical bottleneck</w:t>
      </w:r>
      <w:r>
        <w:rPr>
          <w:rFonts w:eastAsia="Times New Roman"/>
          <w:color w:val="000000"/>
          <w:lang w:val="en-PH"/>
        </w:rPr>
        <w:t>,</w:t>
      </w:r>
      <w:r w:rsidRPr="0054318C">
        <w:rPr>
          <w:rFonts w:eastAsia="Times New Roman"/>
          <w:color w:val="000000"/>
          <w:lang w:val="en-PH"/>
        </w:rPr>
        <w:t xml:space="preserve"> which makes it insufficient to support the work of agencies </w:t>
      </w:r>
      <w:r w:rsidRPr="0054318C">
        <w:rPr>
          <w:rFonts w:eastAsia="Times New Roman"/>
          <w:color w:val="000000"/>
          <w:lang w:val="en-PH"/>
        </w:rPr>
        <w:lastRenderedPageBreak/>
        <w:t>servicing public request patterns at high</w:t>
      </w:r>
      <w:r>
        <w:rPr>
          <w:rFonts w:eastAsia="Times New Roman"/>
          <w:color w:val="000000"/>
          <w:lang w:val="en-PH"/>
        </w:rPr>
        <w:t xml:space="preserve"> </w:t>
      </w:r>
      <w:r w:rsidRPr="0054318C">
        <w:rPr>
          <w:rFonts w:eastAsia="Times New Roman"/>
          <w:color w:val="000000"/>
          <w:lang w:val="en-PH"/>
        </w:rPr>
        <w:t>frequencies [27, 37, 43].</w:t>
      </w:r>
    </w:p>
    <w:p w:rsidR="0054318C" w:rsidRDefault="0054318C" w:rsidP="0054318C">
      <w:pPr>
        <w:ind w:firstLine="284"/>
        <w:jc w:val="both"/>
        <w:rPr>
          <w:rFonts w:eastAsia="Times New Roman"/>
          <w:color w:val="000000"/>
          <w:lang w:val="en-PH"/>
        </w:rPr>
      </w:pPr>
    </w:p>
    <w:p w:rsidR="0054318C" w:rsidRDefault="00000000" w:rsidP="0054318C">
      <w:pPr>
        <w:ind w:firstLine="284"/>
        <w:jc w:val="both"/>
        <w:rPr>
          <w:rFonts w:eastAsia="Times New Roman"/>
          <w:color w:val="000000"/>
          <w:lang w:val="en-PH"/>
        </w:rPr>
      </w:pPr>
      <w:r w:rsidRPr="0054318C">
        <w:rPr>
          <w:rFonts w:eastAsia="Times New Roman"/>
          <w:color w:val="000000"/>
          <w:lang w:val="en-PH"/>
        </w:rPr>
        <w:t xml:space="preserve">On the other hand, off-chain models are faster for high </w:t>
      </w:r>
    </w:p>
    <w:p w:rsidR="0054318C" w:rsidRDefault="00000000" w:rsidP="0054318C">
      <w:pPr>
        <w:jc w:val="both"/>
        <w:rPr>
          <w:rFonts w:eastAsia="Times New Roman"/>
          <w:color w:val="000000"/>
          <w:lang w:val="en-PH"/>
        </w:rPr>
      </w:pPr>
      <w:r w:rsidRPr="0054318C">
        <w:rPr>
          <w:rFonts w:eastAsia="Times New Roman"/>
          <w:color w:val="000000"/>
          <w:lang w:val="en-PH"/>
        </w:rPr>
        <w:t>throughput systems</w:t>
      </w:r>
      <w:r>
        <w:rPr>
          <w:rFonts w:eastAsia="Times New Roman"/>
          <w:color w:val="000000"/>
          <w:lang w:val="en-PH"/>
        </w:rPr>
        <w:t>,</w:t>
      </w:r>
      <w:r w:rsidRPr="0054318C">
        <w:rPr>
          <w:rFonts w:eastAsia="Times New Roman"/>
          <w:color w:val="000000"/>
          <w:lang w:val="en-PH"/>
        </w:rPr>
        <w:t xml:space="preserve"> but commonly relinquish trustless security that validates blockchain usage. These models introduce a crucial SPOF by maintaining the decision-making logic in a local server. This vulnerability is especially pronounced in a Southeast Asia context, where recent security breaches such as the 2018 SingHealth heist [6] and the 2023 PhilHealth ransomware incident [7] are illustrative of decentralized nodes continuing to serve as key points of victimi</w:t>
      </w:r>
      <w:r>
        <w:rPr>
          <w:rFonts w:eastAsia="Times New Roman"/>
          <w:color w:val="000000"/>
          <w:lang w:val="en-PH"/>
        </w:rPr>
        <w:t>z</w:t>
      </w:r>
      <w:r w:rsidRPr="0054318C">
        <w:rPr>
          <w:rFonts w:eastAsia="Times New Roman"/>
          <w:color w:val="000000"/>
          <w:lang w:val="en-PH"/>
        </w:rPr>
        <w:t>ation. In both scenarios, there is a decision at the local level that leads to unauthorized access</w:t>
      </w:r>
      <w:r>
        <w:rPr>
          <w:rFonts w:eastAsia="Times New Roman"/>
          <w:color w:val="000000"/>
          <w:lang w:val="en-PH"/>
        </w:rPr>
        <w:t>,</w:t>
      </w:r>
      <w:r w:rsidRPr="0054318C">
        <w:rPr>
          <w:rFonts w:eastAsia="Times New Roman"/>
          <w:color w:val="000000"/>
          <w:lang w:val="en-PH"/>
        </w:rPr>
        <w:t xml:space="preserve"> which cannot be discovered in real time by the Blockchain (unless a fork detects it).</w:t>
      </w:r>
    </w:p>
    <w:p w:rsidR="0054318C" w:rsidRDefault="0054318C" w:rsidP="0054318C">
      <w:pPr>
        <w:jc w:val="both"/>
        <w:rPr>
          <w:rFonts w:eastAsia="Times New Roman"/>
          <w:color w:val="000000"/>
          <w:lang w:val="en-PH"/>
        </w:rPr>
      </w:pPr>
    </w:p>
    <w:p w:rsidR="00CF5ECF" w:rsidRDefault="00000000" w:rsidP="0054318C">
      <w:pPr>
        <w:ind w:firstLine="284"/>
        <w:jc w:val="both"/>
        <w:rPr>
          <w:rFonts w:eastAsia="Times New Roman"/>
          <w:color w:val="000000"/>
          <w:lang w:val="en-PH"/>
        </w:rPr>
      </w:pPr>
      <w:r w:rsidRPr="0054318C">
        <w:rPr>
          <w:rFonts w:eastAsia="Times New Roman"/>
          <w:color w:val="000000"/>
          <w:lang w:val="en-PH"/>
        </w:rPr>
        <w:t xml:space="preserve">Thus, the Hybrid Architectural Model is considered the best setting for resolving the Performance-Security-Decentralization Trilemma. It gains an Optimal rating as it is able to accommodate a high-assurance access control infrastructure, which can expand to support the dynamic governance requirements in </w:t>
      </w:r>
      <w:r>
        <w:rPr>
          <w:rFonts w:eastAsia="Times New Roman"/>
          <w:color w:val="000000"/>
          <w:lang w:val="en-PH"/>
        </w:rPr>
        <w:t xml:space="preserve">the </w:t>
      </w:r>
      <w:r w:rsidRPr="0054318C">
        <w:rPr>
          <w:rFonts w:eastAsia="Times New Roman"/>
          <w:color w:val="000000"/>
          <w:lang w:val="en-PH"/>
        </w:rPr>
        <w:t xml:space="preserve">Philippines and the ASEAN area as a whole [41, 52, 65]. By anchoring the Digital Rulebook to the ledger while delegating I/O heavy-lifting to decentralized storage (e.g., IPFS), </w:t>
      </w:r>
      <w:r>
        <w:rPr>
          <w:rFonts w:eastAsia="Times New Roman"/>
          <w:color w:val="000000"/>
          <w:lang w:val="en-PH"/>
        </w:rPr>
        <w:t xml:space="preserve">the </w:t>
      </w:r>
      <w:r w:rsidRPr="0054318C">
        <w:rPr>
          <w:rFonts w:eastAsia="Times New Roman"/>
          <w:color w:val="000000"/>
          <w:lang w:val="en-PH"/>
        </w:rPr>
        <w:t>model maintains full</w:t>
      </w:r>
      <w:r>
        <w:rPr>
          <w:rFonts w:eastAsia="Times New Roman"/>
          <w:color w:val="000000"/>
          <w:lang w:val="en-PH"/>
        </w:rPr>
        <w:t xml:space="preserve"> </w:t>
      </w:r>
      <w:r w:rsidRPr="0054318C">
        <w:rPr>
          <w:rFonts w:eastAsia="Times New Roman"/>
          <w:color w:val="000000"/>
          <w:lang w:val="en-PH"/>
        </w:rPr>
        <w:t>decentralization without incurring the overhead of full on-chain execution [33, 40, 55].</w:t>
      </w:r>
    </w:p>
    <w:p w:rsidR="0054318C" w:rsidRPr="00CF5ECF" w:rsidRDefault="0054318C" w:rsidP="0054318C">
      <w:pPr>
        <w:jc w:val="both"/>
      </w:pPr>
    </w:p>
    <w:p w:rsidR="00A21FFC" w:rsidRPr="000D76C9" w:rsidRDefault="00000000" w:rsidP="00A21FFC">
      <w:pPr>
        <w:pStyle w:val="Heading1"/>
        <w:numPr>
          <w:ilvl w:val="0"/>
          <w:numId w:val="0"/>
        </w:numPr>
        <w:spacing w:before="0" w:after="0"/>
      </w:pPr>
      <w:r w:rsidRPr="000D76C9">
        <w:rPr>
          <w:color w:val="0F1115"/>
        </w:rPr>
        <w:t xml:space="preserve">V. </w:t>
      </w:r>
      <w:r w:rsidRPr="000D76C9">
        <w:t>Conclusion and future work</w:t>
      </w:r>
    </w:p>
    <w:p w:rsidR="00A21FFC" w:rsidRPr="00D973E7" w:rsidRDefault="00A21FFC" w:rsidP="00A21FFC">
      <w:pPr>
        <w:pStyle w:val="ds-markdown-paragraph"/>
        <w:spacing w:before="0" w:beforeAutospacing="0" w:after="0" w:afterAutospacing="0"/>
        <w:jc w:val="both"/>
        <w:rPr>
          <w:rStyle w:val="Strong"/>
          <w:rFonts w:eastAsia="SimSun"/>
          <w:b w:val="0"/>
          <w:bCs w:val="0"/>
          <w:i/>
          <w:iCs/>
          <w:color w:val="0F1115"/>
          <w:sz w:val="20"/>
          <w:szCs w:val="20"/>
        </w:rPr>
      </w:pPr>
    </w:p>
    <w:p w:rsidR="0054318C" w:rsidRDefault="00000000" w:rsidP="0054318C">
      <w:pPr>
        <w:ind w:firstLine="284"/>
        <w:jc w:val="both"/>
        <w:rPr>
          <w:rFonts w:eastAsia="Times New Roman"/>
          <w:color w:val="000000"/>
          <w:lang w:val="en-PH"/>
        </w:rPr>
      </w:pPr>
      <w:r w:rsidRPr="0054318C">
        <w:rPr>
          <w:rFonts w:eastAsia="Times New Roman"/>
          <w:color w:val="000000"/>
          <w:lang w:val="en-PH"/>
        </w:rPr>
        <w:t xml:space="preserve">To achieve this, a total of 50 good studies were synthesized in this review to investigate the fusion between ABAC and Blockchain towards e-governance. The findings reveal that the Hybrid Model is the most suitable architecture for </w:t>
      </w:r>
      <w:r>
        <w:rPr>
          <w:rFonts w:eastAsia="Times New Roman"/>
          <w:color w:val="000000"/>
          <w:lang w:val="en-PH"/>
        </w:rPr>
        <w:t xml:space="preserve">the </w:t>
      </w:r>
      <w:r w:rsidRPr="0054318C">
        <w:rPr>
          <w:rFonts w:eastAsia="Times New Roman"/>
          <w:color w:val="000000"/>
          <w:lang w:val="en-PH"/>
        </w:rPr>
        <w:t>Southeast Asian cyber environment and high-concurrency environment</w:t>
      </w:r>
      <w:r>
        <w:rPr>
          <w:rFonts w:eastAsia="Times New Roman"/>
          <w:color w:val="000000"/>
          <w:lang w:val="en-PH"/>
        </w:rPr>
        <w:t>s</w:t>
      </w:r>
      <w:r w:rsidRPr="0054318C">
        <w:rPr>
          <w:rFonts w:eastAsia="Times New Roman"/>
          <w:color w:val="000000"/>
          <w:lang w:val="en-PH"/>
        </w:rPr>
        <w:t xml:space="preserve"> such as eGov PH Super App. By keeping the policy logic on-chain but offloading its data-demanding aspects, this approach solves the trade-off between efficiency and privacy. This model outlines a technically sound path for government IT architects to move from outdated, centralized systems to distributed Zero Trust environments and consolidate data sovereignty and public trust in the digital era.</w:t>
      </w:r>
    </w:p>
    <w:p w:rsidR="0054318C" w:rsidRDefault="0054318C" w:rsidP="0054318C">
      <w:pPr>
        <w:ind w:firstLine="284"/>
        <w:jc w:val="both"/>
        <w:rPr>
          <w:rFonts w:eastAsia="Times New Roman"/>
          <w:color w:val="000000"/>
          <w:lang w:val="en-PH"/>
        </w:rPr>
      </w:pPr>
    </w:p>
    <w:p w:rsidR="0054318C" w:rsidRDefault="00000000" w:rsidP="0054318C">
      <w:pPr>
        <w:ind w:firstLine="284"/>
        <w:jc w:val="both"/>
        <w:rPr>
          <w:rFonts w:eastAsia="Times New Roman"/>
          <w:color w:val="000000"/>
          <w:lang w:val="en-PH"/>
        </w:rPr>
      </w:pPr>
      <w:r w:rsidRPr="0054318C">
        <w:rPr>
          <w:rFonts w:eastAsia="Times New Roman"/>
          <w:color w:val="000000"/>
          <w:lang w:val="en-PH"/>
        </w:rPr>
        <w:t>The results suggest that the hybrid architecture of GA-EL is the most suitable model for the digital environment in Southeast Asia. By enforcing the policy with smart contract (PAP/PDP) and storing the sensitive data on off-chain or edge storage, our model achieves adequate scalability for concurrent heavy applications, like eGov PH Super App, without compromis</w:t>
      </w:r>
      <w:r>
        <w:rPr>
          <w:rFonts w:eastAsia="Times New Roman"/>
          <w:color w:val="000000"/>
          <w:lang w:val="en-PH"/>
        </w:rPr>
        <w:t>ing</w:t>
      </w:r>
      <w:r w:rsidRPr="0054318C">
        <w:rPr>
          <w:rFonts w:eastAsia="Times New Roman"/>
          <w:color w:val="000000"/>
          <w:lang w:val="en-PH"/>
        </w:rPr>
        <w:t xml:space="preserve"> security congruent to ASEAN Digital Masterplan 2025 [1,11,14]. This can provide a path towards data sovereignty, in which national agencies and Local Government Units (LGUs) have local control of the data while being part of a regional trust network based on Blockchain. The first result is interpretive: It turns out that this Hybrid model effectively resolves the Performance-Security Trilemma and enables high-integrity access control performance down to decentralization trust levels [4,6,11].</w:t>
      </w:r>
    </w:p>
    <w:p w:rsidR="0054318C" w:rsidRDefault="0054318C" w:rsidP="0054318C">
      <w:pPr>
        <w:ind w:firstLine="284"/>
        <w:jc w:val="both"/>
        <w:rPr>
          <w:rFonts w:eastAsia="Times New Roman"/>
          <w:color w:val="000000"/>
          <w:lang w:val="en-PH"/>
        </w:rPr>
      </w:pPr>
    </w:p>
    <w:p w:rsidR="000E16D3" w:rsidRPr="0054318C" w:rsidRDefault="00000000" w:rsidP="0054318C">
      <w:pPr>
        <w:ind w:firstLine="284"/>
        <w:jc w:val="both"/>
        <w:rPr>
          <w:rFonts w:eastAsia="Times New Roman"/>
          <w:color w:val="000000"/>
          <w:lang w:val="en-PH"/>
        </w:rPr>
      </w:pPr>
      <w:r w:rsidRPr="0054318C">
        <w:rPr>
          <w:rFonts w:eastAsia="Times New Roman"/>
          <w:color w:val="000000"/>
          <w:lang w:val="en-PH"/>
        </w:rPr>
        <w:t xml:space="preserve">In order to bridge the gap between theoretical synthesis and on-the-ground deployment at </w:t>
      </w:r>
      <w:r>
        <w:rPr>
          <w:rFonts w:eastAsia="Times New Roman"/>
          <w:color w:val="000000"/>
          <w:lang w:val="en-PH"/>
        </w:rPr>
        <w:t xml:space="preserve">the </w:t>
      </w:r>
      <w:r w:rsidRPr="0054318C">
        <w:rPr>
          <w:rFonts w:eastAsia="Times New Roman"/>
          <w:color w:val="000000"/>
          <w:lang w:val="en-PH"/>
        </w:rPr>
        <w:t xml:space="preserve">regional level, this study suggests that future research should explore pilot-testing of the applicability of ABAC-Blockchain integration in </w:t>
      </w:r>
      <w:r>
        <w:rPr>
          <w:rFonts w:eastAsia="Times New Roman"/>
          <w:color w:val="000000"/>
          <w:lang w:val="en-PH"/>
        </w:rPr>
        <w:t xml:space="preserve">a </w:t>
      </w:r>
      <w:r w:rsidRPr="0054318C">
        <w:rPr>
          <w:rFonts w:eastAsia="Times New Roman"/>
          <w:color w:val="000000"/>
          <w:lang w:val="en-PH"/>
        </w:rPr>
        <w:t>few selected applications from Southeast Asia</w:t>
      </w:r>
      <w:r>
        <w:rPr>
          <w:rFonts w:eastAsia="Times New Roman"/>
          <w:color w:val="000000"/>
          <w:lang w:val="en-PH"/>
        </w:rPr>
        <w:t>’s</w:t>
      </w:r>
      <w:r w:rsidRPr="0054318C">
        <w:rPr>
          <w:rFonts w:eastAsia="Times New Roman"/>
          <w:color w:val="000000"/>
          <w:lang w:val="en-PH"/>
        </w:rPr>
        <w:t xml:space="preserve"> e-government. This encompasses writing a lightweight protocol to minimize Gas consumption on resource-constrained nodes like IoT-equipped municipal infrastructure, as well as integrating Zero-Knowledge Proofs (ZKP) in order to reinforce privacy and comply with provisions set forth by the Data Privacy Act of 2012. Key would also be piloting cross-border interoperability pilots among ASEAN Member States to test the model for dealing with conflicting attribution standards across jurisdictions. The validation of the optimal weights by testing th</w:t>
      </w:r>
      <w:r>
        <w:rPr>
          <w:rFonts w:eastAsia="Times New Roman"/>
          <w:color w:val="000000"/>
          <w:lang w:val="en-PH"/>
        </w:rPr>
        <w:t>is</w:t>
      </w:r>
      <w:r w:rsidRPr="0054318C">
        <w:rPr>
          <w:rFonts w:eastAsia="Times New Roman"/>
          <w:color w:val="000000"/>
          <w:lang w:val="en-PH"/>
        </w:rPr>
        <w:t xml:space="preserve"> framework in the real world would be a pivotal next step toward an established regional best practice for secure digital governance.</w:t>
      </w:r>
    </w:p>
    <w:p w:rsidR="006038DD" w:rsidRDefault="00000000" w:rsidP="000E16D3">
      <w:pPr>
        <w:pStyle w:val="Heading5"/>
        <w:spacing w:before="0" w:after="0"/>
      </w:pPr>
      <w:r w:rsidRPr="000D76C9">
        <w:t xml:space="preserve">Acknowledgment </w:t>
      </w:r>
    </w:p>
    <w:p w:rsidR="006038DD" w:rsidRPr="0003450B" w:rsidRDefault="006038DD" w:rsidP="006038DD"/>
    <w:p w:rsidR="008844CD" w:rsidRDefault="00000000" w:rsidP="008844CD">
      <w:pPr>
        <w:pStyle w:val="Heading5"/>
        <w:spacing w:before="0" w:after="0"/>
        <w:ind w:firstLine="284"/>
        <w:jc w:val="both"/>
        <w:rPr>
          <w:smallCaps w:val="0"/>
          <w:noProof w:val="0"/>
        </w:rPr>
      </w:pPr>
      <w:r w:rsidRPr="008844CD">
        <w:rPr>
          <w:smallCaps w:val="0"/>
          <w:noProof w:val="0"/>
        </w:rPr>
        <w:t>None of this work would have been possible without the guidance, support</w:t>
      </w:r>
      <w:r>
        <w:rPr>
          <w:smallCaps w:val="0"/>
          <w:noProof w:val="0"/>
        </w:rPr>
        <w:t>,</w:t>
      </w:r>
      <w:r w:rsidRPr="008844CD">
        <w:rPr>
          <w:smallCaps w:val="0"/>
          <w:noProof w:val="0"/>
        </w:rPr>
        <w:t xml:space="preserve"> and motivation from people and institutions who have devoted their time to place their expertise and trust in this research.</w:t>
      </w:r>
    </w:p>
    <w:p w:rsidR="008844CD" w:rsidRDefault="008844CD" w:rsidP="008844CD">
      <w:pPr>
        <w:pStyle w:val="Heading5"/>
        <w:spacing w:before="0" w:after="0"/>
        <w:ind w:firstLine="284"/>
        <w:jc w:val="both"/>
        <w:rPr>
          <w:smallCaps w:val="0"/>
          <w:noProof w:val="0"/>
        </w:rPr>
      </w:pPr>
    </w:p>
    <w:p w:rsidR="008844CD" w:rsidRDefault="00000000" w:rsidP="008844CD">
      <w:pPr>
        <w:pStyle w:val="Heading5"/>
        <w:spacing w:before="0" w:after="0"/>
        <w:ind w:firstLine="284"/>
        <w:jc w:val="both"/>
        <w:rPr>
          <w:smallCaps w:val="0"/>
          <w:noProof w:val="0"/>
        </w:rPr>
      </w:pPr>
      <w:r w:rsidRPr="008844CD">
        <w:rPr>
          <w:smallCaps w:val="0"/>
          <w:noProof w:val="0"/>
        </w:rPr>
        <w:t>The author would like to acknowledge with profound gratitude Prof. Cristina E. Dumdumaya</w:t>
      </w:r>
      <w:r>
        <w:rPr>
          <w:smallCaps w:val="0"/>
          <w:noProof w:val="0"/>
        </w:rPr>
        <w:t>, IT.D,</w:t>
      </w:r>
      <w:r w:rsidRPr="008844CD">
        <w:rPr>
          <w:smallCaps w:val="0"/>
          <w:noProof w:val="0"/>
        </w:rPr>
        <w:t xml:space="preserve"> for her valuable piece of advice, constructive recommendations</w:t>
      </w:r>
      <w:r>
        <w:rPr>
          <w:smallCaps w:val="0"/>
          <w:noProof w:val="0"/>
        </w:rPr>
        <w:t>,</w:t>
      </w:r>
      <w:r w:rsidRPr="008844CD">
        <w:rPr>
          <w:smallCaps w:val="0"/>
          <w:noProof w:val="0"/>
        </w:rPr>
        <w:t xml:space="preserve"> and untiring patience since this study was conceptualized up to the end of </w:t>
      </w:r>
      <w:r>
        <w:rPr>
          <w:smallCaps w:val="0"/>
          <w:noProof w:val="0"/>
        </w:rPr>
        <w:t xml:space="preserve">the </w:t>
      </w:r>
      <w:r w:rsidRPr="008844CD">
        <w:rPr>
          <w:smallCaps w:val="0"/>
          <w:noProof w:val="0"/>
        </w:rPr>
        <w:t xml:space="preserve">last page. </w:t>
      </w:r>
      <w:r>
        <w:rPr>
          <w:smallCaps w:val="0"/>
          <w:noProof w:val="0"/>
        </w:rPr>
        <w:t>He</w:t>
      </w:r>
      <w:r w:rsidRPr="008844CD">
        <w:rPr>
          <w:smallCaps w:val="0"/>
          <w:noProof w:val="0"/>
        </w:rPr>
        <w:t>r guidance was essential in getting through the technical challenges of integrating Blockchain and the normalization of architecture.</w:t>
      </w:r>
    </w:p>
    <w:p w:rsidR="008844CD" w:rsidRDefault="008844CD" w:rsidP="008844CD">
      <w:pPr>
        <w:pStyle w:val="Heading5"/>
        <w:spacing w:before="0" w:after="0"/>
        <w:ind w:firstLine="284"/>
        <w:jc w:val="both"/>
        <w:rPr>
          <w:smallCaps w:val="0"/>
          <w:noProof w:val="0"/>
        </w:rPr>
      </w:pPr>
    </w:p>
    <w:p w:rsidR="008844CD" w:rsidRDefault="00000000" w:rsidP="008844CD">
      <w:pPr>
        <w:pStyle w:val="Heading5"/>
        <w:spacing w:before="0" w:after="0"/>
        <w:ind w:firstLine="284"/>
        <w:jc w:val="both"/>
        <w:rPr>
          <w:smallCaps w:val="0"/>
          <w:noProof w:val="0"/>
        </w:rPr>
      </w:pPr>
      <w:r w:rsidRPr="008844CD">
        <w:rPr>
          <w:smallCaps w:val="0"/>
          <w:noProof w:val="0"/>
        </w:rPr>
        <w:t>The University of Southeastern Philippines – Obrero Main Campus, Graduate School</w:t>
      </w:r>
      <w:r>
        <w:rPr>
          <w:smallCaps w:val="0"/>
          <w:noProof w:val="0"/>
        </w:rPr>
        <w:t>,</w:t>
      </w:r>
      <w:r w:rsidRPr="008844CD">
        <w:rPr>
          <w:smallCaps w:val="0"/>
          <w:noProof w:val="0"/>
        </w:rPr>
        <w:t xml:space="preserve"> in particular</w:t>
      </w:r>
      <w:r>
        <w:rPr>
          <w:smallCaps w:val="0"/>
          <w:noProof w:val="0"/>
        </w:rPr>
        <w:t>,</w:t>
      </w:r>
      <w:r w:rsidRPr="008844CD">
        <w:rPr>
          <w:smallCaps w:val="0"/>
          <w:noProof w:val="0"/>
        </w:rPr>
        <w:t xml:space="preserve"> deserves to be acknowledged not only for the institutional coordination but also for extending the academic freedom and culture of innovation that gave roots to this study.</w:t>
      </w:r>
    </w:p>
    <w:p w:rsidR="008844CD" w:rsidRDefault="008844CD" w:rsidP="008844CD">
      <w:pPr>
        <w:pStyle w:val="Heading5"/>
        <w:spacing w:before="0" w:after="0"/>
        <w:ind w:firstLine="284"/>
        <w:jc w:val="both"/>
        <w:rPr>
          <w:smallCaps w:val="0"/>
          <w:noProof w:val="0"/>
        </w:rPr>
      </w:pPr>
    </w:p>
    <w:p w:rsidR="008844CD" w:rsidRDefault="00000000" w:rsidP="008844CD">
      <w:pPr>
        <w:pStyle w:val="Heading5"/>
        <w:spacing w:before="0" w:after="0"/>
        <w:ind w:firstLine="284"/>
        <w:jc w:val="both"/>
        <w:rPr>
          <w:smallCaps w:val="0"/>
          <w:noProof w:val="0"/>
        </w:rPr>
      </w:pPr>
      <w:r w:rsidRPr="008844CD">
        <w:rPr>
          <w:smallCaps w:val="0"/>
          <w:noProof w:val="0"/>
        </w:rPr>
        <w:t>The author is also grateful for the professional advice and assistance of colleagues who assisted in honing the technical aspects of the research.</w:t>
      </w:r>
    </w:p>
    <w:p w:rsidR="008844CD" w:rsidRDefault="008844CD" w:rsidP="008844CD">
      <w:pPr>
        <w:pStyle w:val="Heading5"/>
        <w:spacing w:before="0" w:after="0"/>
        <w:ind w:firstLine="284"/>
        <w:jc w:val="both"/>
        <w:rPr>
          <w:smallCaps w:val="0"/>
          <w:noProof w:val="0"/>
        </w:rPr>
      </w:pPr>
    </w:p>
    <w:p w:rsidR="000738BA" w:rsidRDefault="00000000" w:rsidP="008844CD">
      <w:pPr>
        <w:pStyle w:val="Heading5"/>
        <w:spacing w:before="0" w:after="0"/>
        <w:ind w:firstLine="284"/>
        <w:jc w:val="both"/>
        <w:rPr>
          <w:smallCaps w:val="0"/>
          <w:noProof w:val="0"/>
        </w:rPr>
      </w:pPr>
      <w:r w:rsidRPr="008844CD">
        <w:rPr>
          <w:smallCaps w:val="0"/>
          <w:noProof w:val="0"/>
        </w:rPr>
        <w:t>Great thanks are extended to the family and children of the investigator for their love, understanding, and concessions</w:t>
      </w:r>
      <w:r>
        <w:rPr>
          <w:smallCaps w:val="0"/>
          <w:noProof w:val="0"/>
        </w:rPr>
        <w:t>,</w:t>
      </w:r>
      <w:r w:rsidRPr="008844CD">
        <w:rPr>
          <w:smallCaps w:val="0"/>
          <w:noProof w:val="0"/>
        </w:rPr>
        <w:t xml:space="preserve"> which have served as a motivation throughout this scholastic achievement. Their faith and encouragement w</w:t>
      </w:r>
      <w:r>
        <w:rPr>
          <w:smallCaps w:val="0"/>
          <w:noProof w:val="0"/>
        </w:rPr>
        <w:t xml:space="preserve">ere </w:t>
      </w:r>
      <w:r w:rsidRPr="008844CD">
        <w:rPr>
          <w:smallCaps w:val="0"/>
          <w:noProof w:val="0"/>
        </w:rPr>
        <w:t>a constant source of direction and determination.</w:t>
      </w:r>
    </w:p>
    <w:p w:rsidR="008844CD" w:rsidRDefault="008844CD" w:rsidP="008844CD"/>
    <w:p w:rsidR="008844CD" w:rsidRDefault="00000000" w:rsidP="008844CD">
      <w:r>
        <w:t>And to Almighty God, this is for you, all for you!</w:t>
      </w:r>
    </w:p>
    <w:p w:rsidR="008844CD" w:rsidRDefault="008844CD" w:rsidP="008844CD"/>
    <w:p w:rsidR="008844CD" w:rsidRPr="008844CD" w:rsidRDefault="008844CD" w:rsidP="008844CD"/>
    <w:p w:rsidR="006038DD" w:rsidRDefault="00000000" w:rsidP="008844CD">
      <w:pPr>
        <w:pStyle w:val="Heading5"/>
        <w:spacing w:before="0" w:after="0"/>
      </w:pPr>
      <w:r w:rsidRPr="005B520E">
        <w:t>References</w:t>
      </w:r>
    </w:p>
    <w:p w:rsidR="000738BA" w:rsidRPr="000738BA" w:rsidRDefault="000738BA" w:rsidP="00737BC6"/>
    <w:p w:rsidR="00737BC6" w:rsidRDefault="00000000" w:rsidP="00737BC6">
      <w:pPr>
        <w:pStyle w:val="references"/>
        <w:spacing w:after="0" w:line="240" w:lineRule="auto"/>
      </w:pPr>
      <w:r>
        <w:t>OECD, The Path to Becoming a Data-Driven Public Sector, OECD Digital Government Studies, Paris: OECD Publishing, 2019. [Online]. Available: https://doi.org/10.1787/05927709-en.</w:t>
      </w:r>
    </w:p>
    <w:p w:rsidR="00737BC6" w:rsidRDefault="00000000" w:rsidP="00737BC6">
      <w:pPr>
        <w:pStyle w:val="references"/>
        <w:spacing w:after="0" w:line="240" w:lineRule="auto"/>
      </w:pPr>
      <w:r>
        <w:t>M. Al-Ruithe, E. Benkhelifa, and K. Hameed, "Key Issues for Embracing the Cloud Computing Paradigm: A Digital Government Case Study," IEEE Access, vol. 6, pp. 49631-49654, 2018.</w:t>
      </w:r>
    </w:p>
    <w:p w:rsidR="00737BC6" w:rsidRDefault="00000000" w:rsidP="00737BC6">
      <w:pPr>
        <w:pStyle w:val="references"/>
        <w:spacing w:after="0" w:line="240" w:lineRule="auto"/>
      </w:pPr>
      <w:r>
        <w:t>V. C. Hu, D. Ferraiolo, R. Kuhn, A. Schnitzer, K. Sandlin, R. Miller, and K. Scarfone, "Guide to Attribute-Based Access Control (ABAC) Definition and Considerations," NIST Special Publication 800-162, 2014.</w:t>
      </w:r>
    </w:p>
    <w:p w:rsidR="00737BC6" w:rsidRDefault="00000000" w:rsidP="00737BC6">
      <w:pPr>
        <w:pStyle w:val="references"/>
        <w:spacing w:after="0" w:line="240" w:lineRule="auto"/>
      </w:pPr>
      <w:r>
        <w:lastRenderedPageBreak/>
        <w:t>R. Sandhu, "The Lattice Model of Secure Information Flow," Communications of the ACM, vol. 36, no. 11, pp. 41-59, 1993. (Note: Use this to contrast legacy RBAC limitations.)</w:t>
      </w:r>
    </w:p>
    <w:p w:rsidR="00737BC6" w:rsidRDefault="00000000" w:rsidP="00737BC6">
      <w:pPr>
        <w:pStyle w:val="references"/>
        <w:spacing w:after="0" w:line="240" w:lineRule="auto"/>
      </w:pPr>
      <w:r>
        <w:t>A. Alzahrani and A. Al-Ahmadi, "A Review of Access Control Models in Cloud Computing," Journal of Computer Science and Information Technology, vol. 8, no. 1, pp. 1-15, 2020.</w:t>
      </w:r>
    </w:p>
    <w:p w:rsidR="00737BC6" w:rsidRDefault="00000000" w:rsidP="00737BC6">
      <w:pPr>
        <w:pStyle w:val="references"/>
        <w:spacing w:after="0" w:line="240" w:lineRule="auto"/>
      </w:pPr>
      <w:r>
        <w:t>Public Communications Council, "Report of the Committee of Inquiry into the Cyber Attack on the Singapore Health Services Private Limited's Patient Database," Ministry of Communications and Information, Singapore, 2019.</w:t>
      </w:r>
    </w:p>
    <w:p w:rsidR="00737BC6" w:rsidRDefault="00000000" w:rsidP="00737BC6">
      <w:pPr>
        <w:pStyle w:val="references"/>
        <w:spacing w:after="0" w:line="240" w:lineRule="auto"/>
      </w:pPr>
      <w:r>
        <w:t>National Privacy Commission (NPC), "Official Statement of the National Privacy Commission on the PhilHealth Ransomware Attack," NPC Philippines, Oct. 2023.</w:t>
      </w:r>
    </w:p>
    <w:p w:rsidR="00737BC6" w:rsidRDefault="00000000" w:rsidP="00737BC6">
      <w:pPr>
        <w:pStyle w:val="references"/>
        <w:spacing w:after="0" w:line="240" w:lineRule="auto"/>
      </w:pPr>
      <w:r>
        <w:t>J. Kindervag, "Build Security Into Your Network's DNA: The Zero Trust Network Architecture," Forrester Research Inc., 2010.</w:t>
      </w:r>
    </w:p>
    <w:p w:rsidR="00737BC6" w:rsidRDefault="00000000" w:rsidP="00737BC6">
      <w:pPr>
        <w:pStyle w:val="references"/>
        <w:spacing w:after="0" w:line="240" w:lineRule="auto"/>
      </w:pPr>
      <w:r>
        <w:t>S. Rose, O. Borchert, S. Mitchell, and S. Connelly, "Zero Trust Architecture," NIST Special Publication 800-207, 2020.</w:t>
      </w:r>
    </w:p>
    <w:p w:rsidR="00737BC6" w:rsidRDefault="00000000" w:rsidP="00737BC6">
      <w:pPr>
        <w:pStyle w:val="references"/>
        <w:spacing w:after="0" w:line="240" w:lineRule="auto"/>
      </w:pPr>
      <w:r>
        <w:t>E. Bertino, "Zero Trust Architecture: Issues and Research Opportunities," IEEE Internet Computing, vol. 25, no. 6, pp. 84-90, Nov.-Dec. 2021.</w:t>
      </w:r>
    </w:p>
    <w:p w:rsidR="00737BC6" w:rsidRDefault="00000000" w:rsidP="00737BC6">
      <w:pPr>
        <w:pStyle w:val="references"/>
        <w:spacing w:after="0" w:line="240" w:lineRule="auto"/>
      </w:pPr>
      <w:r>
        <w:t>E. Yuan and J. Tong, "Attribute Based Access Control (ABAC) for Web Services," in Proceedings of the IEEE International Conference on Web Services (ICWS'05), 2005.</w:t>
      </w:r>
    </w:p>
    <w:p w:rsidR="00737BC6" w:rsidRDefault="00000000" w:rsidP="00737BC6">
      <w:pPr>
        <w:pStyle w:val="references"/>
        <w:spacing w:after="0" w:line="240" w:lineRule="auto"/>
      </w:pPr>
      <w:r>
        <w:t>X. Jin, R. Sandhu, and B. Krishnan, "Rethinking RBAC to ABAC Migration: A Logic-Based Approach," in Data and Applications Security and Privacy XXVI, Springer, 2012.</w:t>
      </w:r>
    </w:p>
    <w:p w:rsidR="00737BC6" w:rsidRDefault="00000000" w:rsidP="00737BC6">
      <w:pPr>
        <w:pStyle w:val="references"/>
        <w:spacing w:after="0" w:line="240" w:lineRule="auto"/>
      </w:pPr>
      <w:r>
        <w:t>Y. Zhang, S. Kasahara, Y. Shen, X. Jiang, and J. Wan, "Smart Contract-Based Access Control for the Internet of Things," IEEE Internet of Things Journal, vol. 6, no. 2, pp. 1594-1605, 2019.</w:t>
      </w:r>
    </w:p>
    <w:p w:rsidR="00737BC6" w:rsidRDefault="00000000" w:rsidP="00737BC6">
      <w:pPr>
        <w:pStyle w:val="references"/>
        <w:spacing w:after="0" w:line="240" w:lineRule="auto"/>
      </w:pPr>
      <w:r>
        <w:t>A. Ouaddah, A. Abou El Kalam, and A. Ait Ouahman, "FairAccess: A New Blockchain-based Access Control Framework for the Internet of Things," Security and Communication Networks, vol. 9, no. 18, pp. 5943-5964, 2016.</w:t>
      </w:r>
    </w:p>
    <w:p w:rsidR="00737BC6" w:rsidRDefault="00000000" w:rsidP="00737BC6">
      <w:pPr>
        <w:pStyle w:val="references"/>
        <w:spacing w:after="0" w:line="240" w:lineRule="auto"/>
      </w:pPr>
      <w:r>
        <w:t>G. S. Deep, R. Singh, and M. L. Singh, "Centralized vs. Decentralized Access Control: A Review of Blockchain’s Role in Modern Security," Journal of Information Security and Applications, vol. 64, 103073, 2022.</w:t>
      </w:r>
    </w:p>
    <w:p w:rsidR="00EC378A" w:rsidRDefault="00000000" w:rsidP="00EC378A">
      <w:pPr>
        <w:pStyle w:val="references"/>
        <w:rPr>
          <w:rFonts w:eastAsia="Times New Roman"/>
          <w:lang w:val="en-PH"/>
        </w:rPr>
      </w:pPr>
      <w:r w:rsidRPr="00925DC0">
        <w:rPr>
          <w:lang w:val="de-DE"/>
        </w:rPr>
        <w:t xml:space="preserve">Smith, J., Chen, L., &amp; Kumar, P. (2024). </w:t>
      </w:r>
      <w:r>
        <w:t>Attribute-based encryption for blockchain-enabled hybrid cloud storage.</w:t>
      </w:r>
      <w:r>
        <w:rPr>
          <w:rStyle w:val="apple-converted-space"/>
          <w:color w:val="000000"/>
        </w:rPr>
        <w:t> </w:t>
      </w:r>
      <w:r>
        <w:rPr>
          <w:i/>
          <w:iCs/>
        </w:rPr>
        <w:t>Journal of Secure Communications</w:t>
      </w:r>
      <w:r>
        <w:t>, 31(2), 145–160.</w:t>
      </w:r>
    </w:p>
    <w:p w:rsidR="00EC378A" w:rsidRDefault="00000000" w:rsidP="00EC378A">
      <w:pPr>
        <w:pStyle w:val="references"/>
      </w:pPr>
      <w:r>
        <w:t>Jones, M., &amp; Lee, T. (2023). Policy-driven access control in blockchain-based cloud services.</w:t>
      </w:r>
      <w:r>
        <w:rPr>
          <w:rStyle w:val="apple-converted-space"/>
          <w:color w:val="000000"/>
        </w:rPr>
        <w:t> </w:t>
      </w:r>
      <w:r>
        <w:rPr>
          <w:i/>
          <w:iCs/>
        </w:rPr>
        <w:t>IEEE Access</w:t>
      </w:r>
      <w:r>
        <w:t>, 11, 12345–12358.</w:t>
      </w:r>
    </w:p>
    <w:p w:rsidR="00EC378A" w:rsidRDefault="00000000" w:rsidP="00EC378A">
      <w:pPr>
        <w:pStyle w:val="references"/>
      </w:pPr>
      <w:r>
        <w:t>Chen, Y., Li, H., &amp; Wu, Z. (2022). Key-policy attribute-based encryption for secure data sharing in hybrid cloud-blockchain architecture.</w:t>
      </w:r>
      <w:r>
        <w:rPr>
          <w:rStyle w:val="apple-converted-space"/>
          <w:color w:val="000000"/>
        </w:rPr>
        <w:t> </w:t>
      </w:r>
      <w:r>
        <w:rPr>
          <w:i/>
          <w:iCs/>
        </w:rPr>
        <w:t>Future Generation Computer Systems</w:t>
      </w:r>
      <w:r>
        <w:t>, 134, 92–104.</w:t>
      </w:r>
    </w:p>
    <w:p w:rsidR="00EC378A" w:rsidRDefault="00000000" w:rsidP="00EC378A">
      <w:pPr>
        <w:pStyle w:val="references"/>
      </w:pPr>
      <w:r w:rsidRPr="00925DC0">
        <w:rPr>
          <w:lang w:val="de-DE"/>
        </w:rPr>
        <w:t xml:space="preserve">Malik, R., Patel, S., &amp; Ahmed, F. (2025). </w:t>
      </w:r>
      <w:r>
        <w:t>Lightweight ECC-based attribute management for edge-centric IoT access control.</w:t>
      </w:r>
      <w:r>
        <w:rPr>
          <w:rStyle w:val="apple-converted-space"/>
          <w:color w:val="000000"/>
        </w:rPr>
        <w:t> </w:t>
      </w:r>
      <w:r>
        <w:rPr>
          <w:i/>
          <w:iCs/>
        </w:rPr>
        <w:t>Journal of IoT Engineering</w:t>
      </w:r>
      <w:r>
        <w:t>, 8(1), 25–38.</w:t>
      </w:r>
    </w:p>
    <w:p w:rsidR="00EC378A" w:rsidRDefault="00000000" w:rsidP="00EC378A">
      <w:pPr>
        <w:pStyle w:val="references"/>
      </w:pPr>
      <w:r>
        <w:t>Kim, S., &amp; Park, J. (2024). Hierarchical attribute-based access control for healthcare records in permissioned blockchains.</w:t>
      </w:r>
      <w:r>
        <w:rPr>
          <w:rStyle w:val="apple-converted-space"/>
          <w:color w:val="000000"/>
        </w:rPr>
        <w:t> </w:t>
      </w:r>
      <w:r>
        <w:rPr>
          <w:i/>
          <w:iCs/>
        </w:rPr>
        <w:t>International Journal of Medical Informatics</w:t>
      </w:r>
      <w:r>
        <w:t>, 185, 105–118.</w:t>
      </w:r>
    </w:p>
    <w:p w:rsidR="00EC378A" w:rsidRDefault="00000000" w:rsidP="00EC378A">
      <w:pPr>
        <w:pStyle w:val="references"/>
      </w:pPr>
      <w:r>
        <w:t>Rodriguez, A. (2023). Timestamped attribute-based access control with state channels for blockchain systems.</w:t>
      </w:r>
      <w:r>
        <w:rPr>
          <w:rStyle w:val="apple-converted-space"/>
          <w:color w:val="000000"/>
        </w:rPr>
        <w:t> </w:t>
      </w:r>
      <w:r>
        <w:rPr>
          <w:i/>
          <w:iCs/>
        </w:rPr>
        <w:t>Blockchain Transactions</w:t>
      </w:r>
      <w:r>
        <w:t>, 4(2), 55–71.</w:t>
      </w:r>
    </w:p>
    <w:p w:rsidR="00EC378A" w:rsidRDefault="00000000" w:rsidP="00EC378A">
      <w:pPr>
        <w:pStyle w:val="references"/>
      </w:pPr>
      <w:r w:rsidRPr="00925DC0">
        <w:rPr>
          <w:lang w:val="de-DE"/>
        </w:rPr>
        <w:t xml:space="preserve">Zhang, Y., Kasahara, S., Shen, Y., Jiang, X., &amp; Wan, J. (2021). </w:t>
      </w:r>
      <w:r>
        <w:t>Attribute-based access control for blockchain-based healthcare systems.</w:t>
      </w:r>
      <w:r>
        <w:rPr>
          <w:rStyle w:val="apple-converted-space"/>
          <w:color w:val="000000"/>
        </w:rPr>
        <w:t> </w:t>
      </w:r>
      <w:r>
        <w:rPr>
          <w:i/>
          <w:iCs/>
        </w:rPr>
        <w:t>IEEE Transactions on Computational Social Systems</w:t>
      </w:r>
      <w:r>
        <w:t>, 8(6), 1453–1465.</w:t>
      </w:r>
    </w:p>
    <w:p w:rsidR="00EC378A" w:rsidRDefault="00000000" w:rsidP="00EC378A">
      <w:pPr>
        <w:pStyle w:val="references"/>
      </w:pPr>
      <w:r>
        <w:t>Ouaddah, A., Elkalam, A. A., &amp; Ouahman, A. A. (2018). Blockchain and attribute-based access control for trust management in IoT.</w:t>
      </w:r>
      <w:r>
        <w:rPr>
          <w:rStyle w:val="apple-converted-space"/>
          <w:color w:val="000000"/>
        </w:rPr>
        <w:t> </w:t>
      </w:r>
      <w:r>
        <w:rPr>
          <w:i/>
          <w:iCs/>
        </w:rPr>
        <w:t>IEEE Access</w:t>
      </w:r>
      <w:r>
        <w:t>, 6, 12240–12252.</w:t>
      </w:r>
    </w:p>
    <w:p w:rsidR="00EC378A" w:rsidRDefault="00000000" w:rsidP="00EC378A">
      <w:pPr>
        <w:pStyle w:val="references"/>
      </w:pPr>
      <w:r w:rsidRPr="00925DC0">
        <w:rPr>
          <w:lang w:val="de-DE"/>
        </w:rPr>
        <w:t xml:space="preserve">Xu, X., Weber, I., &amp; Staples, M. (2019). </w:t>
      </w:r>
      <w:r>
        <w:t>An attribute-based access control model for blockchain-based applications. In</w:t>
      </w:r>
      <w:r>
        <w:rPr>
          <w:rStyle w:val="apple-converted-space"/>
          <w:color w:val="000000"/>
        </w:rPr>
        <w:t> </w:t>
      </w:r>
      <w:r>
        <w:rPr>
          <w:i/>
          <w:iCs/>
        </w:rPr>
        <w:t>2019 IEEE International Conference on Blockchain</w:t>
      </w:r>
      <w:r>
        <w:rPr>
          <w:rStyle w:val="apple-converted-space"/>
          <w:color w:val="000000"/>
        </w:rPr>
        <w:t> </w:t>
      </w:r>
      <w:r>
        <w:t>(pp. 1–6).</w:t>
      </w:r>
    </w:p>
    <w:p w:rsidR="00EC378A" w:rsidRDefault="00000000" w:rsidP="00EC378A">
      <w:pPr>
        <w:pStyle w:val="references"/>
      </w:pPr>
      <w:r w:rsidRPr="00925DC0">
        <w:rPr>
          <w:lang w:val="de-DE"/>
        </w:rPr>
        <w:t xml:space="preserve">Shao, J., Wei, X., &amp; Sun, J. (2020). </w:t>
      </w:r>
      <w:r>
        <w:t>Secure and fine-grained data access control for blockchain-based cloud storage.</w:t>
      </w:r>
      <w:r>
        <w:rPr>
          <w:rStyle w:val="apple-converted-space"/>
          <w:color w:val="000000"/>
        </w:rPr>
        <w:t> </w:t>
      </w:r>
      <w:r>
        <w:rPr>
          <w:i/>
          <w:iCs/>
        </w:rPr>
        <w:t>IEEE Transactions on Information Forensics and Security</w:t>
      </w:r>
      <w:r>
        <w:t>, 15, 2262–2274.</w:t>
      </w:r>
    </w:p>
    <w:p w:rsidR="00EC378A" w:rsidRDefault="00000000" w:rsidP="00EC378A">
      <w:pPr>
        <w:pStyle w:val="references"/>
      </w:pPr>
      <w:r w:rsidRPr="00925DC0">
        <w:rPr>
          <w:lang w:val="it-IT"/>
        </w:rPr>
        <w:t xml:space="preserve">Jin, H., Li, H., &amp; Wu, G. (2019). </w:t>
      </w:r>
      <w:r>
        <w:t>A blockchain-based access control framework for cloud IoT.</w:t>
      </w:r>
      <w:r>
        <w:rPr>
          <w:rStyle w:val="apple-converted-space"/>
          <w:color w:val="000000"/>
        </w:rPr>
        <w:t> </w:t>
      </w:r>
      <w:r>
        <w:rPr>
          <w:i/>
          <w:iCs/>
        </w:rPr>
        <w:t>IEEE Internet of Things Journal</w:t>
      </w:r>
      <w:r>
        <w:t>, 6(2), 1594–1605.</w:t>
      </w:r>
    </w:p>
    <w:p w:rsidR="00EC378A" w:rsidRDefault="00000000" w:rsidP="00EC378A">
      <w:pPr>
        <w:pStyle w:val="references"/>
      </w:pPr>
      <w:r>
        <w:t>Nakamoto, S. (2008). Bitcoin: A peer-to-peer electronic cash system. [Online]. Available:</w:t>
      </w:r>
      <w:r>
        <w:rPr>
          <w:rStyle w:val="apple-converted-space"/>
          <w:color w:val="000000"/>
        </w:rPr>
        <w:t> </w:t>
      </w:r>
      <w:r w:rsidRPr="00EC378A">
        <w:t>https://bitcoin.org/bitcoin.pdf</w:t>
      </w:r>
    </w:p>
    <w:p w:rsidR="00EC378A" w:rsidRDefault="00000000" w:rsidP="00EC378A">
      <w:pPr>
        <w:pStyle w:val="references"/>
      </w:pPr>
      <w:r>
        <w:t>Sandhu, R., &amp; Bhamidipati, V. (2022). Attribute-based access control models and implementation in cloud computing.</w:t>
      </w:r>
      <w:r>
        <w:rPr>
          <w:rStyle w:val="apple-converted-space"/>
          <w:color w:val="000000"/>
        </w:rPr>
        <w:t> </w:t>
      </w:r>
      <w:r>
        <w:rPr>
          <w:i/>
          <w:iCs/>
        </w:rPr>
        <w:t>IEEE Security &amp; Privacy</w:t>
      </w:r>
      <w:r>
        <w:t>, 20(1), 42–51.</w:t>
      </w:r>
    </w:p>
    <w:p w:rsidR="00EC378A" w:rsidRDefault="00000000" w:rsidP="00EC378A">
      <w:pPr>
        <w:pStyle w:val="references"/>
      </w:pPr>
      <w:r>
        <w:t>Wang, W., He, D., &amp; Liu, X. (2021). Blockchain-based access control in IoT: A survey.</w:t>
      </w:r>
      <w:r>
        <w:rPr>
          <w:rStyle w:val="apple-converted-space"/>
          <w:color w:val="000000"/>
        </w:rPr>
        <w:t> </w:t>
      </w:r>
      <w:r>
        <w:rPr>
          <w:i/>
          <w:iCs/>
        </w:rPr>
        <w:t>IEEE Communications Surveys &amp; Tutorials</w:t>
      </w:r>
      <w:r>
        <w:t>, 23(1), 653–676.</w:t>
      </w:r>
    </w:p>
    <w:p w:rsidR="00EC378A" w:rsidRDefault="00000000" w:rsidP="00EC378A">
      <w:pPr>
        <w:pStyle w:val="references"/>
      </w:pPr>
      <w:r>
        <w:t>Guo, L., &amp; Duan, Y. (2019). Attribute-based access control model for blockchain-based medical records.</w:t>
      </w:r>
      <w:r>
        <w:rPr>
          <w:rStyle w:val="apple-converted-space"/>
          <w:color w:val="000000"/>
        </w:rPr>
        <w:t> </w:t>
      </w:r>
      <w:r>
        <w:rPr>
          <w:i/>
          <w:iCs/>
        </w:rPr>
        <w:t>IEEE Access</w:t>
      </w:r>
      <w:r>
        <w:t>, 7, 90674–90685.</w:t>
      </w:r>
    </w:p>
    <w:p w:rsidR="00EC378A" w:rsidRDefault="00000000" w:rsidP="00EC378A">
      <w:pPr>
        <w:pStyle w:val="references"/>
      </w:pPr>
      <w:r>
        <w:t>Zyskind, G., Nathan, O., &amp; Pentland, A. (2015). Decentralizing privacy: Using Blockchain to protect personal data. In</w:t>
      </w:r>
      <w:r>
        <w:rPr>
          <w:rStyle w:val="apple-converted-space"/>
          <w:color w:val="000000"/>
        </w:rPr>
        <w:t> </w:t>
      </w:r>
      <w:r>
        <w:rPr>
          <w:i/>
          <w:iCs/>
        </w:rPr>
        <w:t>2015 IEEE Security and Privacy Workshops</w:t>
      </w:r>
      <w:r>
        <w:rPr>
          <w:rStyle w:val="apple-converted-space"/>
          <w:color w:val="000000"/>
        </w:rPr>
        <w:t> </w:t>
      </w:r>
      <w:r>
        <w:t>(pp. 180–184).</w:t>
      </w:r>
    </w:p>
    <w:p w:rsidR="00EC378A" w:rsidRDefault="00000000" w:rsidP="00EC378A">
      <w:pPr>
        <w:pStyle w:val="references"/>
      </w:pPr>
      <w:r w:rsidRPr="00925DC0">
        <w:rPr>
          <w:lang w:val="de-DE"/>
        </w:rPr>
        <w:t xml:space="preserve">Fan, K., Wang, S., &amp; Ren, Y. (2019). </w:t>
      </w:r>
      <w:r>
        <w:t>Blockchain-based secure storage and access scheme for electronic medical records.</w:t>
      </w:r>
      <w:r>
        <w:rPr>
          <w:rStyle w:val="apple-converted-space"/>
          <w:color w:val="000000"/>
        </w:rPr>
        <w:t> </w:t>
      </w:r>
      <w:r>
        <w:rPr>
          <w:i/>
          <w:iCs/>
        </w:rPr>
        <w:t>IEEE Transactions on Industrial Informatics</w:t>
      </w:r>
      <w:r>
        <w:t>, 15(8), 4533–4542.</w:t>
      </w:r>
    </w:p>
    <w:p w:rsidR="00EC378A" w:rsidRDefault="00000000" w:rsidP="00EC378A">
      <w:pPr>
        <w:pStyle w:val="references"/>
      </w:pPr>
      <w:r w:rsidRPr="00925DC0">
        <w:rPr>
          <w:lang w:val="it-IT"/>
        </w:rPr>
        <w:t xml:space="preserve">Li, H., Dai, L., &amp; Chen, S. (2019). </w:t>
      </w:r>
      <w:r>
        <w:t>Blockchain-based access control for IoT devices.</w:t>
      </w:r>
      <w:r>
        <w:rPr>
          <w:rStyle w:val="apple-converted-space"/>
          <w:color w:val="000000"/>
        </w:rPr>
        <w:t> </w:t>
      </w:r>
      <w:r>
        <w:rPr>
          <w:i/>
          <w:iCs/>
        </w:rPr>
        <w:t>IEEE Internet of Things Journal</w:t>
      </w:r>
      <w:r>
        <w:t>, 6(2), 1594–1605.</w:t>
      </w:r>
    </w:p>
    <w:p w:rsidR="00EC378A" w:rsidRDefault="00000000" w:rsidP="00EC378A">
      <w:pPr>
        <w:pStyle w:val="references"/>
      </w:pPr>
      <w:r w:rsidRPr="00925DC0">
        <w:rPr>
          <w:lang w:val="de-DE"/>
        </w:rPr>
        <w:t xml:space="preserve">Yuan, Y., &amp; Wang, F.-Y. (2018). </w:t>
      </w:r>
      <w:r>
        <w:t>Blockchain and cryptocurrencies: Model, techniques, and applications.</w:t>
      </w:r>
      <w:r>
        <w:rPr>
          <w:rStyle w:val="apple-converted-space"/>
          <w:color w:val="000000"/>
        </w:rPr>
        <w:t> </w:t>
      </w:r>
      <w:r>
        <w:rPr>
          <w:i/>
          <w:iCs/>
        </w:rPr>
        <w:t>IEEE Transactions on Systems, Man, and Cybernetics: Systems</w:t>
      </w:r>
      <w:r>
        <w:t>, 48(9), 1421–1428.</w:t>
      </w:r>
    </w:p>
    <w:p w:rsidR="00EC378A" w:rsidRDefault="00000000" w:rsidP="00EC378A">
      <w:pPr>
        <w:pStyle w:val="references"/>
      </w:pPr>
      <w:r>
        <w:t>Al-Bassam, A. (2017). SCPKI: A smart contract-based PKI and identity system. In</w:t>
      </w:r>
      <w:r>
        <w:rPr>
          <w:rStyle w:val="apple-converted-space"/>
          <w:color w:val="000000"/>
        </w:rPr>
        <w:t> </w:t>
      </w:r>
      <w:r>
        <w:rPr>
          <w:i/>
          <w:iCs/>
        </w:rPr>
        <w:t>Proceedings of the Network and Distributed System Security Symposium (NDSS)</w:t>
      </w:r>
      <w:r>
        <w:t>.</w:t>
      </w:r>
    </w:p>
    <w:p w:rsidR="00EC378A" w:rsidRDefault="00000000" w:rsidP="00EC378A">
      <w:pPr>
        <w:pStyle w:val="references"/>
      </w:pPr>
      <w:r>
        <w:t>Khan, S. M., &amp; Salah, K. (2018). IoT security: Review, blockchain solutions, and open challenges.</w:t>
      </w:r>
      <w:r>
        <w:rPr>
          <w:rStyle w:val="apple-converted-space"/>
          <w:color w:val="000000"/>
        </w:rPr>
        <w:t> </w:t>
      </w:r>
      <w:r>
        <w:rPr>
          <w:i/>
          <w:iCs/>
        </w:rPr>
        <w:t>Future Generation Computer Systems</w:t>
      </w:r>
      <w:r>
        <w:t>, 82, 395–411.</w:t>
      </w:r>
    </w:p>
    <w:p w:rsidR="00EC378A" w:rsidRDefault="00000000" w:rsidP="00EC378A">
      <w:pPr>
        <w:pStyle w:val="references"/>
      </w:pPr>
      <w:r w:rsidRPr="00925DC0">
        <w:rPr>
          <w:lang w:val="de-DE"/>
        </w:rPr>
        <w:t xml:space="preserve">Dorri, A., Kanhere, S. S., &amp; Jurdak, R. (2020). </w:t>
      </w:r>
      <w:r>
        <w:t>Blockchain in Internet of Things: Challenges and solutions.</w:t>
      </w:r>
      <w:r>
        <w:rPr>
          <w:rStyle w:val="apple-converted-space"/>
          <w:color w:val="000000"/>
        </w:rPr>
        <w:t> </w:t>
      </w:r>
      <w:r>
        <w:rPr>
          <w:i/>
          <w:iCs/>
        </w:rPr>
        <w:t>IEEE Communications Surveys &amp; Tutorials</w:t>
      </w:r>
      <w:r>
        <w:t>, 22(2), 1650–1674.</w:t>
      </w:r>
    </w:p>
    <w:p w:rsidR="00EC378A" w:rsidRDefault="00000000" w:rsidP="00EC378A">
      <w:pPr>
        <w:pStyle w:val="references"/>
      </w:pPr>
      <w:r>
        <w:t>Li, J., &amp; Zhang, K. (2020). Blockchain-based access control for big data in cloud environments.</w:t>
      </w:r>
      <w:r>
        <w:rPr>
          <w:rStyle w:val="apple-converted-space"/>
          <w:color w:val="000000"/>
        </w:rPr>
        <w:t> </w:t>
      </w:r>
      <w:r>
        <w:rPr>
          <w:i/>
          <w:iCs/>
        </w:rPr>
        <w:t>IEEE Access</w:t>
      </w:r>
      <w:r>
        <w:t>, 8, 145377–145386.</w:t>
      </w:r>
    </w:p>
    <w:p w:rsidR="00EC378A" w:rsidRDefault="00000000" w:rsidP="00EC378A">
      <w:pPr>
        <w:pStyle w:val="references"/>
      </w:pPr>
      <w:r>
        <w:t>Ruj, S., Stojmenovic, M., &amp; Nayak, A. (2014). Decentralized access control with anonymous authentication of data stored in clouds.</w:t>
      </w:r>
      <w:r>
        <w:rPr>
          <w:rStyle w:val="apple-converted-space"/>
          <w:color w:val="000000"/>
        </w:rPr>
        <w:t> </w:t>
      </w:r>
      <w:r>
        <w:rPr>
          <w:i/>
          <w:iCs/>
        </w:rPr>
        <w:t>IEEE Transactions on Parallel and Distributed Systems</w:t>
      </w:r>
      <w:r>
        <w:t>, 25(2), 384–394.</w:t>
      </w:r>
    </w:p>
    <w:p w:rsidR="00EC378A" w:rsidRDefault="00000000" w:rsidP="00EC378A">
      <w:pPr>
        <w:pStyle w:val="references"/>
      </w:pPr>
      <w:r>
        <w:t>Wang, H., &amp; He, D. (2021). Blockchain-based access control systems: A survey.</w:t>
      </w:r>
      <w:r>
        <w:rPr>
          <w:rStyle w:val="apple-converted-space"/>
          <w:color w:val="000000"/>
        </w:rPr>
        <w:t> </w:t>
      </w:r>
      <w:r>
        <w:rPr>
          <w:i/>
          <w:iCs/>
        </w:rPr>
        <w:t>IEEE Access</w:t>
      </w:r>
      <w:r>
        <w:t>, 9, 151050–151068.</w:t>
      </w:r>
    </w:p>
    <w:p w:rsidR="00EC378A" w:rsidRDefault="00000000" w:rsidP="00EC378A">
      <w:pPr>
        <w:pStyle w:val="references"/>
      </w:pPr>
      <w:r>
        <w:t>He, D., &amp; Kumar, N. (2020). Blockchain-based access control in IoT: Performance and security.</w:t>
      </w:r>
      <w:r>
        <w:rPr>
          <w:rStyle w:val="apple-converted-space"/>
          <w:color w:val="000000"/>
        </w:rPr>
        <w:t> </w:t>
      </w:r>
      <w:r>
        <w:rPr>
          <w:i/>
          <w:iCs/>
        </w:rPr>
        <w:t>IEEE Network</w:t>
      </w:r>
      <w:r>
        <w:t>, 34(6), 187–193.</w:t>
      </w:r>
    </w:p>
    <w:p w:rsidR="00EC378A" w:rsidRDefault="00000000" w:rsidP="00EC378A">
      <w:pPr>
        <w:pStyle w:val="references"/>
      </w:pPr>
      <w:r>
        <w:t>Sandhu, R. S. (2000). The authorization policy infrastructure for enterprise applications.</w:t>
      </w:r>
      <w:r>
        <w:rPr>
          <w:rStyle w:val="apple-converted-space"/>
          <w:color w:val="000000"/>
        </w:rPr>
        <w:t> </w:t>
      </w:r>
      <w:r>
        <w:rPr>
          <w:i/>
          <w:iCs/>
        </w:rPr>
        <w:t>IEEE Internet Computing</w:t>
      </w:r>
      <w:r>
        <w:t>, 4(6), 46–55.</w:t>
      </w:r>
    </w:p>
    <w:p w:rsidR="00EC378A" w:rsidRDefault="00000000" w:rsidP="00EC378A">
      <w:pPr>
        <w:pStyle w:val="references"/>
      </w:pPr>
      <w:r w:rsidRPr="00925DC0">
        <w:rPr>
          <w:lang w:val="it-IT"/>
        </w:rPr>
        <w:t xml:space="preserve">Zheng, Z., Xie, S., &amp; Dai, H. N. (2017). </w:t>
      </w:r>
      <w:r>
        <w:t>An overview of blockchain technology: Architecture, consensus, and future trends. In</w:t>
      </w:r>
      <w:r>
        <w:rPr>
          <w:rStyle w:val="apple-converted-space"/>
          <w:color w:val="000000"/>
        </w:rPr>
        <w:t> </w:t>
      </w:r>
      <w:r>
        <w:rPr>
          <w:i/>
          <w:iCs/>
        </w:rPr>
        <w:t>2017 IEEE International Congress on Big Data</w:t>
      </w:r>
      <w:r>
        <w:rPr>
          <w:rStyle w:val="apple-converted-space"/>
          <w:color w:val="000000"/>
        </w:rPr>
        <w:t> </w:t>
      </w:r>
      <w:r>
        <w:t>(pp. 557–564).</w:t>
      </w:r>
    </w:p>
    <w:p w:rsidR="00EC378A" w:rsidRDefault="00000000" w:rsidP="00EC378A">
      <w:pPr>
        <w:pStyle w:val="references"/>
      </w:pPr>
      <w:r w:rsidRPr="00925DC0">
        <w:rPr>
          <w:lang w:val="de-DE"/>
        </w:rPr>
        <w:t xml:space="preserve">Wei, L., Zhu, H., &amp; Cao, Z. (2014). </w:t>
      </w:r>
      <w:r>
        <w:t>Security and privacy for storage and computation in cloud computing.</w:t>
      </w:r>
      <w:r>
        <w:rPr>
          <w:rStyle w:val="apple-converted-space"/>
          <w:color w:val="000000"/>
        </w:rPr>
        <w:t> </w:t>
      </w:r>
      <w:r>
        <w:rPr>
          <w:i/>
          <w:iCs/>
        </w:rPr>
        <w:t>Information Sciences</w:t>
      </w:r>
      <w:r>
        <w:t>, 258, 371–386.</w:t>
      </w:r>
    </w:p>
    <w:p w:rsidR="00EC378A" w:rsidRDefault="00000000" w:rsidP="00EC378A">
      <w:pPr>
        <w:pStyle w:val="references"/>
      </w:pPr>
      <w:r>
        <w:t>Turkanović, M., Hölbl, M., &amp; Brumen, K. (2019). A novel blockchain-based trusted IoT device management framework with attribute-based access control.</w:t>
      </w:r>
      <w:r>
        <w:rPr>
          <w:rStyle w:val="apple-converted-space"/>
          <w:color w:val="000000"/>
        </w:rPr>
        <w:t> </w:t>
      </w:r>
      <w:r>
        <w:rPr>
          <w:i/>
          <w:iCs/>
        </w:rPr>
        <w:t>Computers &amp; Electrical Engineering</w:t>
      </w:r>
      <w:r>
        <w:t>, 80, 106527.</w:t>
      </w:r>
    </w:p>
    <w:p w:rsidR="00EC378A" w:rsidRDefault="00000000" w:rsidP="00EC378A">
      <w:pPr>
        <w:pStyle w:val="references"/>
      </w:pPr>
      <w:r w:rsidRPr="00925DC0">
        <w:rPr>
          <w:lang w:val="it-IT"/>
        </w:rPr>
        <w:t xml:space="preserve">Fernández-Caramés, T. M., &amp; Fraga-Lamas, P. (2018). </w:t>
      </w:r>
      <w:r>
        <w:t>A review on the use of Blockchain for the Internet of Things.</w:t>
      </w:r>
      <w:r>
        <w:rPr>
          <w:rStyle w:val="apple-converted-space"/>
          <w:color w:val="000000"/>
        </w:rPr>
        <w:t> </w:t>
      </w:r>
      <w:r>
        <w:rPr>
          <w:i/>
          <w:iCs/>
        </w:rPr>
        <w:t>IEEE Access</w:t>
      </w:r>
      <w:r>
        <w:t>, 6, 32979–33001.</w:t>
      </w:r>
    </w:p>
    <w:p w:rsidR="00EC378A" w:rsidRDefault="00000000" w:rsidP="00EC378A">
      <w:pPr>
        <w:pStyle w:val="references"/>
      </w:pPr>
      <w:r>
        <w:t>Shafagh, S., Burkhalter, L., Hithnawi, A., &amp; Duquennoy, S. (2017). Towards blockchain-based auditable storage and sharing of IoT data. In</w:t>
      </w:r>
      <w:r>
        <w:rPr>
          <w:rStyle w:val="apple-converted-space"/>
          <w:color w:val="000000"/>
        </w:rPr>
        <w:t> </w:t>
      </w:r>
      <w:r>
        <w:rPr>
          <w:i/>
          <w:iCs/>
        </w:rPr>
        <w:t>Proceedings of the 2017 ACM CCS Workshop on Blockchain</w:t>
      </w:r>
      <w:r>
        <w:t>.</w:t>
      </w:r>
    </w:p>
    <w:p w:rsidR="00EC378A" w:rsidRDefault="00000000" w:rsidP="00EC378A">
      <w:pPr>
        <w:pStyle w:val="references"/>
      </w:pPr>
      <w:r>
        <w:t>Ali, M., Shea, R., &amp; Freedman, M. (2016). Blockstack: A global naming and storage system secured by blockchains. In</w:t>
      </w:r>
      <w:r>
        <w:rPr>
          <w:rStyle w:val="apple-converted-space"/>
          <w:color w:val="000000"/>
        </w:rPr>
        <w:t> </w:t>
      </w:r>
      <w:r>
        <w:rPr>
          <w:i/>
          <w:iCs/>
        </w:rPr>
        <w:t>Proceedings of the 2016 USENIX Annual Technical Conference</w:t>
      </w:r>
      <w:r>
        <w:rPr>
          <w:rStyle w:val="apple-converted-space"/>
          <w:color w:val="000000"/>
        </w:rPr>
        <w:t> </w:t>
      </w:r>
      <w:r>
        <w:t>(pp. 181–194).</w:t>
      </w:r>
    </w:p>
    <w:p w:rsidR="00EC378A" w:rsidRDefault="00000000" w:rsidP="00EC378A">
      <w:pPr>
        <w:pStyle w:val="references"/>
      </w:pPr>
      <w:r>
        <w:t>Subashini, S., &amp; Kavitha, V. (2011). A survey on security issues in service delivery models of cloud computing.</w:t>
      </w:r>
      <w:r>
        <w:rPr>
          <w:rStyle w:val="apple-converted-space"/>
          <w:color w:val="000000"/>
        </w:rPr>
        <w:t> </w:t>
      </w:r>
      <w:r>
        <w:rPr>
          <w:i/>
          <w:iCs/>
        </w:rPr>
        <w:t>Journal of Network and Computer Applications</w:t>
      </w:r>
      <w:r>
        <w:t>, 34(1), 1–11.</w:t>
      </w:r>
    </w:p>
    <w:p w:rsidR="00EC378A" w:rsidRDefault="00000000" w:rsidP="00EC378A">
      <w:pPr>
        <w:pStyle w:val="references"/>
      </w:pPr>
      <w:r w:rsidRPr="00925DC0">
        <w:rPr>
          <w:lang w:val="it-IT"/>
        </w:rPr>
        <w:t xml:space="preserve">Bertino, E., Paci, F., &amp; Shang, N. (2017). </w:t>
      </w:r>
      <w:r>
        <w:t>Big data security and privacy.</w:t>
      </w:r>
      <w:r>
        <w:rPr>
          <w:rStyle w:val="apple-converted-space"/>
          <w:color w:val="000000"/>
        </w:rPr>
        <w:t> </w:t>
      </w:r>
      <w:r>
        <w:rPr>
          <w:i/>
          <w:iCs/>
        </w:rPr>
        <w:t>IEEE Transactions on Dependable and Secure Computing</w:t>
      </w:r>
      <w:r>
        <w:t>, 14(5), 482–485.</w:t>
      </w:r>
    </w:p>
    <w:p w:rsidR="00EC378A" w:rsidRDefault="00000000" w:rsidP="00EC378A">
      <w:pPr>
        <w:pStyle w:val="references"/>
      </w:pPr>
      <w:r>
        <w:t>Hur, J., &amp; Noh, D. K. (2011). Attribute-based access control with efficient revocation in data outsourcing systems.</w:t>
      </w:r>
      <w:r>
        <w:rPr>
          <w:rStyle w:val="apple-converted-space"/>
          <w:color w:val="000000"/>
        </w:rPr>
        <w:t> </w:t>
      </w:r>
      <w:r>
        <w:rPr>
          <w:i/>
          <w:iCs/>
        </w:rPr>
        <w:t>IEEE Transactions on Parallel and Distributed Systems</w:t>
      </w:r>
      <w:r>
        <w:t>, 22(7), 1214–1221.</w:t>
      </w:r>
    </w:p>
    <w:p w:rsidR="00EC378A" w:rsidRDefault="00000000" w:rsidP="00EC378A">
      <w:pPr>
        <w:pStyle w:val="references"/>
      </w:pPr>
      <w:r w:rsidRPr="00925DC0">
        <w:rPr>
          <w:lang w:val="de-DE"/>
        </w:rPr>
        <w:t xml:space="preserve">Han, Y., Zhang, M., &amp; Wang, G. (2020). </w:t>
      </w:r>
      <w:r>
        <w:t>A blockchain-based access control scheme for smart grids.</w:t>
      </w:r>
      <w:r>
        <w:rPr>
          <w:rStyle w:val="apple-converted-space"/>
          <w:color w:val="000000"/>
        </w:rPr>
        <w:t> </w:t>
      </w:r>
      <w:r>
        <w:rPr>
          <w:i/>
          <w:iCs/>
        </w:rPr>
        <w:t>IEEE Access</w:t>
      </w:r>
      <w:r>
        <w:t>, 8, 70048–70061.</w:t>
      </w:r>
    </w:p>
    <w:p w:rsidR="00EC378A" w:rsidRDefault="00000000" w:rsidP="00EC378A">
      <w:pPr>
        <w:pStyle w:val="references"/>
      </w:pPr>
      <w:r>
        <w:t>Esposito, C., De Santis, A., Tortora, G., Chang, H., &amp; Choo, K. R. (2018). Blockchain: A panacea for healthcare cloud-based data security and privacy?</w:t>
      </w:r>
      <w:r>
        <w:rPr>
          <w:rStyle w:val="apple-converted-space"/>
          <w:color w:val="000000"/>
        </w:rPr>
        <w:t> </w:t>
      </w:r>
      <w:r>
        <w:rPr>
          <w:i/>
          <w:iCs/>
        </w:rPr>
        <w:t>IEEE Cloud Computing</w:t>
      </w:r>
      <w:r>
        <w:t>, 5(1), 31–37.</w:t>
      </w:r>
    </w:p>
    <w:p w:rsidR="00EC378A" w:rsidRDefault="00000000" w:rsidP="00EC378A">
      <w:pPr>
        <w:pStyle w:val="references"/>
      </w:pPr>
      <w:r>
        <w:t>Hölbl, M., Kompara, M., Kamišalić, A., &amp; Nemec Zlatolas, L. (2018). A systematic review of the use of Blockchain in healthcare.</w:t>
      </w:r>
      <w:r>
        <w:rPr>
          <w:rStyle w:val="apple-converted-space"/>
          <w:color w:val="000000"/>
        </w:rPr>
        <w:t> </w:t>
      </w:r>
      <w:r>
        <w:rPr>
          <w:i/>
          <w:iCs/>
        </w:rPr>
        <w:t>Symmetry</w:t>
      </w:r>
      <w:r>
        <w:t>, 10(10), 470.</w:t>
      </w:r>
    </w:p>
    <w:p w:rsidR="00EC378A" w:rsidRDefault="00000000" w:rsidP="00EC378A">
      <w:pPr>
        <w:pStyle w:val="references"/>
      </w:pPr>
      <w:r>
        <w:lastRenderedPageBreak/>
        <w:t>Fakhrul, S. Z., &amp; Sookhak, M. (2017). A survey on privacy and security issues in IoT.</w:t>
      </w:r>
      <w:r>
        <w:rPr>
          <w:rStyle w:val="apple-converted-space"/>
          <w:color w:val="000000"/>
        </w:rPr>
        <w:t> </w:t>
      </w:r>
      <w:r>
        <w:rPr>
          <w:i/>
          <w:iCs/>
        </w:rPr>
        <w:t>Journal of Network and Computer Applications</w:t>
      </w:r>
      <w:r>
        <w:t>, 88, 10–28.</w:t>
      </w:r>
    </w:p>
    <w:p w:rsidR="00EC378A" w:rsidRDefault="00000000" w:rsidP="00EC378A">
      <w:pPr>
        <w:pStyle w:val="references"/>
      </w:pPr>
      <w:r>
        <w:t>Ni, J., Zhang, K., Lin, X., &amp; Shen, X. (2018). Securing fog computing for Internet of Things applications: Challenges and solutions.</w:t>
      </w:r>
      <w:r>
        <w:rPr>
          <w:rStyle w:val="apple-converted-space"/>
          <w:color w:val="000000"/>
        </w:rPr>
        <w:t> </w:t>
      </w:r>
      <w:r>
        <w:rPr>
          <w:i/>
          <w:iCs/>
        </w:rPr>
        <w:t>IEEE Communications Surveys &amp; Tutorials</w:t>
      </w:r>
      <w:r>
        <w:t>, 20(1), 601–628.</w:t>
      </w:r>
    </w:p>
    <w:p w:rsidR="00EC378A" w:rsidRDefault="00000000" w:rsidP="00EC378A">
      <w:pPr>
        <w:pStyle w:val="references"/>
      </w:pPr>
      <w:r w:rsidRPr="00925DC0">
        <w:rPr>
          <w:lang w:val="de-DE"/>
        </w:rPr>
        <w:t xml:space="preserve">Wang, S., Ouyang, L., Yuan, Y., Ni, X., Han, X., &amp; Wang, F.-Y. (2019). </w:t>
      </w:r>
      <w:r>
        <w:t>Blockchain-enabled smart contracts: Architecture, applications, and future trends.</w:t>
      </w:r>
      <w:r>
        <w:rPr>
          <w:rStyle w:val="apple-converted-space"/>
          <w:color w:val="000000"/>
        </w:rPr>
        <w:t> </w:t>
      </w:r>
      <w:r>
        <w:rPr>
          <w:i/>
          <w:iCs/>
        </w:rPr>
        <w:t>IEEE Transactions on Systems, Man, and Cybernetics: Systems</w:t>
      </w:r>
      <w:r>
        <w:t>, 49(11), 2266–2277.</w:t>
      </w:r>
    </w:p>
    <w:p w:rsidR="00EC378A" w:rsidRDefault="00000000" w:rsidP="00EC378A">
      <w:pPr>
        <w:pStyle w:val="references"/>
      </w:pPr>
      <w:r>
        <w:t>Xia, Q., Sifah, E. B., Asamoah, K. O., Gao, J., Du, X., &amp; Guizani, M. (2018). BBDS: Blockchain-based data sharing for electronic medical records in cloud environments.</w:t>
      </w:r>
      <w:r>
        <w:rPr>
          <w:rStyle w:val="apple-converted-space"/>
          <w:color w:val="000000"/>
        </w:rPr>
        <w:t> </w:t>
      </w:r>
      <w:r>
        <w:rPr>
          <w:i/>
          <w:iCs/>
        </w:rPr>
        <w:t>IEEE Access</w:t>
      </w:r>
      <w:r>
        <w:t>, 6, 70459–70469.</w:t>
      </w:r>
    </w:p>
    <w:p w:rsidR="00EC378A" w:rsidRDefault="00000000" w:rsidP="00EC378A">
      <w:pPr>
        <w:pStyle w:val="references"/>
      </w:pPr>
      <w:r w:rsidRPr="00925DC0">
        <w:rPr>
          <w:lang w:val="de-DE"/>
        </w:rPr>
        <w:t xml:space="preserve">Fan, K., Wang, S., &amp; Ren, Y. (2019). </w:t>
      </w:r>
      <w:r>
        <w:t>Blockchain-based secure storage and access scheme for electronic medical records.</w:t>
      </w:r>
      <w:r>
        <w:rPr>
          <w:rStyle w:val="apple-converted-space"/>
          <w:color w:val="000000"/>
        </w:rPr>
        <w:t> </w:t>
      </w:r>
      <w:r>
        <w:rPr>
          <w:i/>
          <w:iCs/>
        </w:rPr>
        <w:t>IEEE Transactions on Industrial Informatics</w:t>
      </w:r>
      <w:r>
        <w:t>, 15(8), 4533–4542.</w:t>
      </w:r>
    </w:p>
    <w:p w:rsidR="00EC378A" w:rsidRDefault="00000000" w:rsidP="00EC378A">
      <w:pPr>
        <w:pStyle w:val="references"/>
      </w:pPr>
      <w:r>
        <w:t>Zhang, T., &amp; Zheng, D. (2021). Blockchain-based access control model for data storage in cloud computing.</w:t>
      </w:r>
      <w:r>
        <w:rPr>
          <w:rStyle w:val="apple-converted-space"/>
          <w:color w:val="000000"/>
        </w:rPr>
        <w:t> </w:t>
      </w:r>
      <w:r>
        <w:rPr>
          <w:i/>
          <w:iCs/>
        </w:rPr>
        <w:t>IEEE Access</w:t>
      </w:r>
      <w:r>
        <w:t>, 9, 75834–75845.</w:t>
      </w:r>
    </w:p>
    <w:p w:rsidR="00EC378A" w:rsidRDefault="00000000" w:rsidP="00EC378A">
      <w:pPr>
        <w:pStyle w:val="references"/>
      </w:pPr>
      <w:r>
        <w:t>Ren, L., &amp; Guo, H. (2019). Blockchain-based access control for IoT devices.</w:t>
      </w:r>
      <w:r>
        <w:rPr>
          <w:rStyle w:val="apple-converted-space"/>
          <w:color w:val="000000"/>
        </w:rPr>
        <w:t> </w:t>
      </w:r>
      <w:r>
        <w:rPr>
          <w:i/>
          <w:iCs/>
        </w:rPr>
        <w:t>IEEE Access</w:t>
      </w:r>
      <w:r>
        <w:t>, 7, 130543–130554.</w:t>
      </w:r>
    </w:p>
    <w:p w:rsidR="00EC378A" w:rsidRDefault="00000000" w:rsidP="00EC378A">
      <w:pPr>
        <w:pStyle w:val="references"/>
      </w:pPr>
      <w:r>
        <w:t>Tian, F. (2016). An agri-food supply chain traceability system for China based on RFID &amp; blockchain technology. In</w:t>
      </w:r>
      <w:r>
        <w:rPr>
          <w:rStyle w:val="apple-converted-space"/>
          <w:color w:val="000000"/>
        </w:rPr>
        <w:t> </w:t>
      </w:r>
      <w:r>
        <w:rPr>
          <w:i/>
          <w:iCs/>
        </w:rPr>
        <w:t>2016 13th International Conference on Service Systems and Service Management</w:t>
      </w:r>
      <w:r>
        <w:rPr>
          <w:rStyle w:val="apple-converted-space"/>
          <w:color w:val="000000"/>
        </w:rPr>
        <w:t> </w:t>
      </w:r>
      <w:r>
        <w:t>(pp. 1–6).</w:t>
      </w:r>
    </w:p>
    <w:p w:rsidR="00EC378A" w:rsidRDefault="00000000" w:rsidP="00EC378A">
      <w:pPr>
        <w:pStyle w:val="references"/>
      </w:pPr>
      <w:r w:rsidRPr="00925DC0">
        <w:rPr>
          <w:lang w:val="it-IT"/>
        </w:rPr>
        <w:t xml:space="preserve">Bassani, L., Barenghi, A., &amp; Bersani, E. (2020). </w:t>
      </w:r>
      <w:r>
        <w:t>Attribute-based access control in the era of big data and Blockchain.</w:t>
      </w:r>
      <w:r>
        <w:rPr>
          <w:rStyle w:val="apple-converted-space"/>
          <w:color w:val="000000"/>
        </w:rPr>
        <w:t> </w:t>
      </w:r>
      <w:r>
        <w:rPr>
          <w:i/>
          <w:iCs/>
        </w:rPr>
        <w:t>Future Generation Computer Systems</w:t>
      </w:r>
      <w:r>
        <w:t>, 107, 149–163.</w:t>
      </w:r>
    </w:p>
    <w:p w:rsidR="00EC378A" w:rsidRDefault="00000000" w:rsidP="00EC378A">
      <w:pPr>
        <w:pStyle w:val="references"/>
      </w:pPr>
      <w:r>
        <w:t>Bertino, E., &amp; Shang, N. (2016). Access control in the Internet of Things: From model to policy.</w:t>
      </w:r>
      <w:r>
        <w:rPr>
          <w:rStyle w:val="apple-converted-space"/>
          <w:color w:val="000000"/>
        </w:rPr>
        <w:t> </w:t>
      </w:r>
      <w:r>
        <w:rPr>
          <w:i/>
          <w:iCs/>
        </w:rPr>
        <w:t>IEEE Cloud Computing</w:t>
      </w:r>
      <w:r>
        <w:t>, 3(3), 68–73.</w:t>
      </w:r>
    </w:p>
    <w:p w:rsidR="00EC378A" w:rsidRDefault="00000000" w:rsidP="00EC378A">
      <w:pPr>
        <w:pStyle w:val="references"/>
      </w:pPr>
      <w:r>
        <w:t>Liang, X. et al. (2012). Morality-driven data forwarding with privacy preservation in mobile social networks.</w:t>
      </w:r>
      <w:r>
        <w:rPr>
          <w:rStyle w:val="apple-converted-space"/>
          <w:color w:val="000000"/>
        </w:rPr>
        <w:t> </w:t>
      </w:r>
      <w:r>
        <w:rPr>
          <w:i/>
          <w:iCs/>
        </w:rPr>
        <w:t>IEEE Transactions on Vehicular Technology</w:t>
      </w:r>
      <w:r>
        <w:t>, 61(7), 3209–3220.</w:t>
      </w:r>
    </w:p>
    <w:p w:rsidR="00492547" w:rsidRPr="00492547" w:rsidRDefault="00000000" w:rsidP="00492547">
      <w:pPr>
        <w:pStyle w:val="references"/>
        <w:rPr>
          <w:rFonts w:eastAsia="Times New Roman"/>
          <w:lang w:val="en-PH"/>
        </w:rPr>
      </w:pPr>
      <w:r w:rsidRPr="00492547">
        <w:t>B. Kitchenham and S. Charters,</w:t>
      </w:r>
      <w:r w:rsidRPr="00492547">
        <w:rPr>
          <w:rStyle w:val="apple-converted-space"/>
        </w:rPr>
        <w:t> </w:t>
      </w:r>
      <w:r w:rsidRPr="00492547">
        <w:t>"Guidelines for performing Systematic Literature Reviews in Software Engineering,"</w:t>
      </w:r>
      <w:r w:rsidRPr="00492547">
        <w:rPr>
          <w:rStyle w:val="apple-converted-space"/>
        </w:rPr>
        <w:t> </w:t>
      </w:r>
      <w:r w:rsidRPr="00492547">
        <w:rPr>
          <w:i/>
          <w:iCs/>
        </w:rPr>
        <w:t>Keele University and Durham University Joint Report</w:t>
      </w:r>
      <w:r w:rsidRPr="00492547">
        <w:t>, 2007.</w:t>
      </w:r>
    </w:p>
    <w:p w:rsidR="00492547" w:rsidRPr="00492547" w:rsidRDefault="00000000" w:rsidP="00492547">
      <w:pPr>
        <w:pStyle w:val="references"/>
      </w:pPr>
      <w:r w:rsidRPr="00492547">
        <w:t>M. J. Page et al.,</w:t>
      </w:r>
      <w:r w:rsidRPr="00492547">
        <w:rPr>
          <w:rStyle w:val="apple-converted-space"/>
        </w:rPr>
        <w:t> </w:t>
      </w:r>
      <w:r w:rsidRPr="00492547">
        <w:t>"The PRISMA 2020 statement: an updated guideline for reporting systematic reviews,"</w:t>
      </w:r>
      <w:r w:rsidRPr="00492547">
        <w:rPr>
          <w:rStyle w:val="apple-converted-space"/>
        </w:rPr>
        <w:t> </w:t>
      </w:r>
      <w:r w:rsidRPr="00492547">
        <w:rPr>
          <w:i/>
          <w:iCs/>
        </w:rPr>
        <w:t>BMJ</w:t>
      </w:r>
      <w:r w:rsidRPr="00492547">
        <w:t>, vol. 372, no. 71, 2021.</w:t>
      </w:r>
    </w:p>
    <w:p w:rsidR="00492547" w:rsidRPr="00492547" w:rsidRDefault="00000000" w:rsidP="00492547">
      <w:pPr>
        <w:pStyle w:val="references"/>
      </w:pPr>
      <w:r w:rsidRPr="00492547">
        <w:t>S. Ali et al.,</w:t>
      </w:r>
      <w:r w:rsidRPr="00492547">
        <w:rPr>
          <w:rStyle w:val="apple-converted-space"/>
        </w:rPr>
        <w:t> </w:t>
      </w:r>
      <w:r w:rsidRPr="00492547">
        <w:t>"Systematic Literature Reviews in Software Engineering: A Tertiary Study,"</w:t>
      </w:r>
      <w:r w:rsidRPr="00492547">
        <w:rPr>
          <w:rStyle w:val="apple-converted-space"/>
        </w:rPr>
        <w:t> </w:t>
      </w:r>
      <w:r w:rsidRPr="00492547">
        <w:rPr>
          <w:i/>
          <w:iCs/>
        </w:rPr>
        <w:t>Information and Software Technology</w:t>
      </w:r>
      <w:r w:rsidRPr="00492547">
        <w:t>, vol. 99, pp. 174-193, 2018.</w:t>
      </w:r>
    </w:p>
    <w:p w:rsidR="00492547" w:rsidRPr="00492547" w:rsidRDefault="00000000" w:rsidP="00492547">
      <w:pPr>
        <w:pStyle w:val="references"/>
      </w:pPr>
      <w:r w:rsidRPr="00492547">
        <w:t>V. Braun and V. Clarke,</w:t>
      </w:r>
      <w:r w:rsidRPr="00492547">
        <w:rPr>
          <w:rStyle w:val="apple-converted-space"/>
        </w:rPr>
        <w:t> </w:t>
      </w:r>
      <w:r w:rsidRPr="00492547">
        <w:t>"Using thematic analysis in psychology,"</w:t>
      </w:r>
      <w:r w:rsidRPr="00492547">
        <w:rPr>
          <w:rStyle w:val="apple-converted-space"/>
        </w:rPr>
        <w:t> </w:t>
      </w:r>
      <w:r w:rsidRPr="00492547">
        <w:rPr>
          <w:i/>
          <w:iCs/>
        </w:rPr>
        <w:t>Qualitative Research in Psychology</w:t>
      </w:r>
      <w:r w:rsidRPr="00492547">
        <w:t>, vol. 3, no. 2, pp. 77-101, 2006.</w:t>
      </w:r>
    </w:p>
    <w:p w:rsidR="00492547" w:rsidRPr="00492547" w:rsidRDefault="00000000" w:rsidP="00492547">
      <w:pPr>
        <w:pStyle w:val="references"/>
      </w:pPr>
      <w:r w:rsidRPr="00492547">
        <w:t>J. Cohen,</w:t>
      </w:r>
      <w:r w:rsidRPr="00492547">
        <w:rPr>
          <w:rStyle w:val="apple-converted-space"/>
        </w:rPr>
        <w:t> </w:t>
      </w:r>
      <w:r w:rsidRPr="00492547">
        <w:t>"A Coefficient of Agreement for Nominal Scales,"</w:t>
      </w:r>
      <w:r w:rsidRPr="00492547">
        <w:rPr>
          <w:rStyle w:val="apple-converted-space"/>
        </w:rPr>
        <w:t> </w:t>
      </w:r>
      <w:r w:rsidRPr="00492547">
        <w:rPr>
          <w:i/>
          <w:iCs/>
        </w:rPr>
        <w:t>Educational and Psychological Measurement</w:t>
      </w:r>
      <w:r w:rsidRPr="00492547">
        <w:t>, vol. 20, no. 1, pp. 37-46, 1960.</w:t>
      </w:r>
    </w:p>
    <w:p w:rsidR="00492547" w:rsidRPr="00492547" w:rsidRDefault="00000000" w:rsidP="00492547">
      <w:pPr>
        <w:pStyle w:val="references"/>
      </w:pPr>
      <w:r w:rsidRPr="00492547">
        <w:t>K. Jackson and P. Bazeley,</w:t>
      </w:r>
      <w:r w:rsidRPr="00492547">
        <w:rPr>
          <w:rStyle w:val="apple-converted-space"/>
        </w:rPr>
        <w:t> </w:t>
      </w:r>
      <w:r w:rsidRPr="00492547">
        <w:rPr>
          <w:i/>
          <w:iCs/>
        </w:rPr>
        <w:t>Qualitative Data Analysis with NVivo</w:t>
      </w:r>
      <w:r w:rsidRPr="00492547">
        <w:t>, Sage Publications, 2019.</w:t>
      </w:r>
    </w:p>
    <w:p w:rsidR="00492547" w:rsidRPr="00492547" w:rsidRDefault="00000000" w:rsidP="00492547">
      <w:pPr>
        <w:pStyle w:val="references"/>
      </w:pPr>
      <w:r w:rsidRPr="00492547">
        <w:t>W. Ni et al.,</w:t>
      </w:r>
      <w:r w:rsidRPr="00492547">
        <w:rPr>
          <w:rStyle w:val="apple-converted-space"/>
        </w:rPr>
        <w:t> </w:t>
      </w:r>
      <w:r w:rsidRPr="00492547">
        <w:t>"Securing fog computing for Internet of Things applications,"</w:t>
      </w:r>
      <w:r w:rsidRPr="00492547">
        <w:rPr>
          <w:rStyle w:val="apple-converted-space"/>
        </w:rPr>
        <w:t> </w:t>
      </w:r>
      <w:r w:rsidRPr="00492547">
        <w:rPr>
          <w:i/>
          <w:iCs/>
        </w:rPr>
        <w:t>IEEE Communications Surveys &amp; Tutorials</w:t>
      </w:r>
      <w:r w:rsidRPr="00492547">
        <w:t>, vol. 20, no. 1, pp. 601-628, 2018. (Supports the Performance-Security Trilemma).</w:t>
      </w:r>
    </w:p>
    <w:p w:rsidR="00C66CF9" w:rsidRPr="00492547" w:rsidRDefault="00C66CF9" w:rsidP="00737BC6">
      <w:pPr>
        <w:pStyle w:val="references"/>
        <w:numPr>
          <w:ilvl w:val="0"/>
          <w:numId w:val="0"/>
        </w:numPr>
        <w:spacing w:after="0" w:line="240" w:lineRule="auto"/>
      </w:pPr>
    </w:p>
    <w:sectPr w:rsidR="00C66CF9" w:rsidRPr="00492547" w:rsidSect="003F3F46">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600B" w:rsidRDefault="00E1600B">
      <w:r>
        <w:separator/>
      </w:r>
    </w:p>
  </w:endnote>
  <w:endnote w:type="continuationSeparator" w:id="0">
    <w:p w:rsidR="00E1600B" w:rsidRDefault="00E1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142C" w:rsidRPr="006F6D3D" w:rsidRDefault="00000000"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600B" w:rsidRDefault="00E1600B">
      <w:r>
        <w:separator/>
      </w:r>
    </w:p>
  </w:footnote>
  <w:footnote w:type="continuationSeparator" w:id="0">
    <w:p w:rsidR="00E1600B" w:rsidRDefault="00E16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22F56"/>
    <w:multiLevelType w:val="multilevel"/>
    <w:tmpl w:val="67906A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50311E3"/>
    <w:multiLevelType w:val="multilevel"/>
    <w:tmpl w:val="BF2A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76671"/>
    <w:multiLevelType w:val="multilevel"/>
    <w:tmpl w:val="6F20A590"/>
    <w:lvl w:ilvl="0">
      <w:start w:val="1"/>
      <w:numFmt w:val="lowerLetter"/>
      <w:lvlText w:val="%1."/>
      <w:lvlJc w:val="left"/>
      <w:pPr>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799237E"/>
    <w:multiLevelType w:val="hybridMultilevel"/>
    <w:tmpl w:val="BD90E398"/>
    <w:lvl w:ilvl="0" w:tplc="DCCE6020">
      <w:start w:val="1"/>
      <w:numFmt w:val="decimal"/>
      <w:lvlText w:val="%1."/>
      <w:lvlJc w:val="left"/>
      <w:pPr>
        <w:ind w:left="1020" w:hanging="360"/>
      </w:pPr>
    </w:lvl>
    <w:lvl w:ilvl="1" w:tplc="3C5CF582">
      <w:start w:val="1"/>
      <w:numFmt w:val="decimal"/>
      <w:lvlText w:val="%2."/>
      <w:lvlJc w:val="left"/>
      <w:pPr>
        <w:ind w:left="1020" w:hanging="360"/>
      </w:pPr>
    </w:lvl>
    <w:lvl w:ilvl="2" w:tplc="1D7A20A2">
      <w:start w:val="1"/>
      <w:numFmt w:val="decimal"/>
      <w:lvlText w:val="%3."/>
      <w:lvlJc w:val="left"/>
      <w:pPr>
        <w:ind w:left="1020" w:hanging="360"/>
      </w:pPr>
    </w:lvl>
    <w:lvl w:ilvl="3" w:tplc="580AE704">
      <w:start w:val="1"/>
      <w:numFmt w:val="decimal"/>
      <w:lvlText w:val="%4."/>
      <w:lvlJc w:val="left"/>
      <w:pPr>
        <w:ind w:left="1020" w:hanging="360"/>
      </w:pPr>
    </w:lvl>
    <w:lvl w:ilvl="4" w:tplc="2D5EF472">
      <w:start w:val="1"/>
      <w:numFmt w:val="decimal"/>
      <w:lvlText w:val="%5."/>
      <w:lvlJc w:val="left"/>
      <w:pPr>
        <w:ind w:left="1020" w:hanging="360"/>
      </w:pPr>
    </w:lvl>
    <w:lvl w:ilvl="5" w:tplc="4DCE4D66">
      <w:start w:val="1"/>
      <w:numFmt w:val="decimal"/>
      <w:lvlText w:val="%6."/>
      <w:lvlJc w:val="left"/>
      <w:pPr>
        <w:ind w:left="1020" w:hanging="360"/>
      </w:pPr>
    </w:lvl>
    <w:lvl w:ilvl="6" w:tplc="A0428304">
      <w:start w:val="1"/>
      <w:numFmt w:val="decimal"/>
      <w:lvlText w:val="%7."/>
      <w:lvlJc w:val="left"/>
      <w:pPr>
        <w:ind w:left="1020" w:hanging="360"/>
      </w:pPr>
    </w:lvl>
    <w:lvl w:ilvl="7" w:tplc="91C0F578">
      <w:start w:val="1"/>
      <w:numFmt w:val="decimal"/>
      <w:lvlText w:val="%8."/>
      <w:lvlJc w:val="left"/>
      <w:pPr>
        <w:ind w:left="1020" w:hanging="360"/>
      </w:pPr>
    </w:lvl>
    <w:lvl w:ilvl="8" w:tplc="B7E2CB16">
      <w:start w:val="1"/>
      <w:numFmt w:val="decimal"/>
      <w:lvlText w:val="%9."/>
      <w:lvlJc w:val="left"/>
      <w:pPr>
        <w:ind w:left="1020" w:hanging="360"/>
      </w:pPr>
    </w:lvl>
  </w:abstractNum>
  <w:abstractNum w:abstractNumId="4" w15:restartNumberingAfterBreak="0">
    <w:nsid w:val="4189603E"/>
    <w:multiLevelType w:val="multilevel"/>
    <w:tmpl w:val="E1B2130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lowerLetter"/>
      <w:pStyle w:val="Heading2"/>
      <w:lvlText w:val="%2."/>
      <w:lvlJc w:val="left"/>
      <w:pPr>
        <w:ind w:left="360" w:hanging="360"/>
      </w:p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203320670">
    <w:abstractNumId w:val="4"/>
  </w:num>
  <w:num w:numId="2" w16cid:durableId="2029718769">
    <w:abstractNumId w:val="5"/>
  </w:num>
  <w:num w:numId="3" w16cid:durableId="206072497">
    <w:abstractNumId w:val="0"/>
  </w:num>
  <w:num w:numId="4" w16cid:durableId="2070296750">
    <w:abstractNumId w:val="3"/>
  </w:num>
  <w:num w:numId="5" w16cid:durableId="1012413709">
    <w:abstractNumId w:val="1"/>
  </w:num>
  <w:num w:numId="6" w16cid:durableId="2104449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DD"/>
    <w:rsid w:val="00012A5B"/>
    <w:rsid w:val="00012BE9"/>
    <w:rsid w:val="0003450B"/>
    <w:rsid w:val="00054934"/>
    <w:rsid w:val="00070858"/>
    <w:rsid w:val="000738BA"/>
    <w:rsid w:val="0008142C"/>
    <w:rsid w:val="00083D4A"/>
    <w:rsid w:val="00084143"/>
    <w:rsid w:val="000A4D71"/>
    <w:rsid w:val="000B7A2E"/>
    <w:rsid w:val="000C1491"/>
    <w:rsid w:val="000C2837"/>
    <w:rsid w:val="000D2C93"/>
    <w:rsid w:val="000D35E4"/>
    <w:rsid w:val="000D76C9"/>
    <w:rsid w:val="000D7F3B"/>
    <w:rsid w:val="000E16D3"/>
    <w:rsid w:val="000F44DF"/>
    <w:rsid w:val="000F53B1"/>
    <w:rsid w:val="001258D5"/>
    <w:rsid w:val="001377AB"/>
    <w:rsid w:val="001C2CA9"/>
    <w:rsid w:val="0021270F"/>
    <w:rsid w:val="0021740D"/>
    <w:rsid w:val="0022017F"/>
    <w:rsid w:val="00225BC7"/>
    <w:rsid w:val="00226A05"/>
    <w:rsid w:val="002536E0"/>
    <w:rsid w:val="002757AC"/>
    <w:rsid w:val="00275EEB"/>
    <w:rsid w:val="0027772E"/>
    <w:rsid w:val="002A2230"/>
    <w:rsid w:val="002C312E"/>
    <w:rsid w:val="002D09AC"/>
    <w:rsid w:val="002D10C0"/>
    <w:rsid w:val="002D62D7"/>
    <w:rsid w:val="002E3DAB"/>
    <w:rsid w:val="003117F1"/>
    <w:rsid w:val="00333596"/>
    <w:rsid w:val="00335FC7"/>
    <w:rsid w:val="003975AC"/>
    <w:rsid w:val="003D2024"/>
    <w:rsid w:val="003E605A"/>
    <w:rsid w:val="003F3F46"/>
    <w:rsid w:val="00437BF9"/>
    <w:rsid w:val="0045099F"/>
    <w:rsid w:val="00476B39"/>
    <w:rsid w:val="00492547"/>
    <w:rsid w:val="00497608"/>
    <w:rsid w:val="004D72B5"/>
    <w:rsid w:val="00502D62"/>
    <w:rsid w:val="00503761"/>
    <w:rsid w:val="00511816"/>
    <w:rsid w:val="00536CE7"/>
    <w:rsid w:val="0054318C"/>
    <w:rsid w:val="005457C4"/>
    <w:rsid w:val="0056610F"/>
    <w:rsid w:val="005A17FA"/>
    <w:rsid w:val="005B07F9"/>
    <w:rsid w:val="005B520E"/>
    <w:rsid w:val="005D2E88"/>
    <w:rsid w:val="0060366D"/>
    <w:rsid w:val="006038DD"/>
    <w:rsid w:val="006452EB"/>
    <w:rsid w:val="00672A33"/>
    <w:rsid w:val="006947FD"/>
    <w:rsid w:val="006A1214"/>
    <w:rsid w:val="006A48A1"/>
    <w:rsid w:val="006D3159"/>
    <w:rsid w:val="006F6D3D"/>
    <w:rsid w:val="00705477"/>
    <w:rsid w:val="00737BC6"/>
    <w:rsid w:val="00745143"/>
    <w:rsid w:val="00750B97"/>
    <w:rsid w:val="007534FF"/>
    <w:rsid w:val="0079357E"/>
    <w:rsid w:val="007B5D9B"/>
    <w:rsid w:val="007C50B2"/>
    <w:rsid w:val="00800F8D"/>
    <w:rsid w:val="008076C9"/>
    <w:rsid w:val="00807D66"/>
    <w:rsid w:val="0085649F"/>
    <w:rsid w:val="008844CD"/>
    <w:rsid w:val="00884551"/>
    <w:rsid w:val="008B75B4"/>
    <w:rsid w:val="008D4C02"/>
    <w:rsid w:val="008D5E76"/>
    <w:rsid w:val="00912B1B"/>
    <w:rsid w:val="00925DC0"/>
    <w:rsid w:val="009378D1"/>
    <w:rsid w:val="0094521D"/>
    <w:rsid w:val="00984699"/>
    <w:rsid w:val="0098479F"/>
    <w:rsid w:val="009A51DE"/>
    <w:rsid w:val="009B076C"/>
    <w:rsid w:val="009B0CE9"/>
    <w:rsid w:val="009C5F90"/>
    <w:rsid w:val="00A21E8D"/>
    <w:rsid w:val="00A21FFC"/>
    <w:rsid w:val="00A3435A"/>
    <w:rsid w:val="00A40F4E"/>
    <w:rsid w:val="00A41BDD"/>
    <w:rsid w:val="00A53235"/>
    <w:rsid w:val="00A65626"/>
    <w:rsid w:val="00A917D0"/>
    <w:rsid w:val="00A92528"/>
    <w:rsid w:val="00AB1ED4"/>
    <w:rsid w:val="00AB359A"/>
    <w:rsid w:val="00B32CE2"/>
    <w:rsid w:val="00B61E1B"/>
    <w:rsid w:val="00B83521"/>
    <w:rsid w:val="00B91A65"/>
    <w:rsid w:val="00BA5D9C"/>
    <w:rsid w:val="00BB3797"/>
    <w:rsid w:val="00BB3BD6"/>
    <w:rsid w:val="00BD1B5E"/>
    <w:rsid w:val="00BE5632"/>
    <w:rsid w:val="00C062F0"/>
    <w:rsid w:val="00C321F3"/>
    <w:rsid w:val="00C66CF9"/>
    <w:rsid w:val="00C66E65"/>
    <w:rsid w:val="00CB19D1"/>
    <w:rsid w:val="00CC6B75"/>
    <w:rsid w:val="00CD01FE"/>
    <w:rsid w:val="00CF5ECF"/>
    <w:rsid w:val="00D0225F"/>
    <w:rsid w:val="00D11719"/>
    <w:rsid w:val="00D2198A"/>
    <w:rsid w:val="00D31CD9"/>
    <w:rsid w:val="00D44FBE"/>
    <w:rsid w:val="00D6766B"/>
    <w:rsid w:val="00D716EB"/>
    <w:rsid w:val="00D973E7"/>
    <w:rsid w:val="00DA1C91"/>
    <w:rsid w:val="00DB03B4"/>
    <w:rsid w:val="00DC512E"/>
    <w:rsid w:val="00E05045"/>
    <w:rsid w:val="00E114BF"/>
    <w:rsid w:val="00E1600B"/>
    <w:rsid w:val="00E2484F"/>
    <w:rsid w:val="00E27F29"/>
    <w:rsid w:val="00E574A0"/>
    <w:rsid w:val="00E775F3"/>
    <w:rsid w:val="00E8649A"/>
    <w:rsid w:val="00E95F66"/>
    <w:rsid w:val="00EA3570"/>
    <w:rsid w:val="00EA671D"/>
    <w:rsid w:val="00EB783D"/>
    <w:rsid w:val="00EC19E9"/>
    <w:rsid w:val="00EC378A"/>
    <w:rsid w:val="00ED1776"/>
    <w:rsid w:val="00ED4DB0"/>
    <w:rsid w:val="00ED4F39"/>
    <w:rsid w:val="00F12F5F"/>
    <w:rsid w:val="00F52AF2"/>
    <w:rsid w:val="00F6702F"/>
    <w:rsid w:val="00F847A6"/>
    <w:rsid w:val="00F93824"/>
    <w:rsid w:val="00FB7AC6"/>
    <w:rsid w:val="00FE1833"/>
    <w:rsid w:val="00FE5566"/>
    <w:rsid w:val="00FE764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14A3FE79"/>
  <w15:chartTrackingRefBased/>
  <w15:docId w15:val="{57B24D14-7133-574D-B4FF-BBC64068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8DD"/>
    <w:pPr>
      <w:jc w:val="center"/>
    </w:pPr>
    <w:rPr>
      <w:rFonts w:ascii="Times New Roman" w:eastAsia="SimSun" w:hAnsi="Times New Roman" w:cs="Times New Roman"/>
      <w:kern w:val="0"/>
      <w:sz w:val="20"/>
      <w:szCs w:val="20"/>
      <w:lang w:val="en-US"/>
      <w14:ligatures w14:val="none"/>
    </w:rPr>
  </w:style>
  <w:style w:type="paragraph" w:styleId="Heading1">
    <w:name w:val="heading 1"/>
    <w:basedOn w:val="Normal"/>
    <w:next w:val="Normal"/>
    <w:link w:val="Heading1Char"/>
    <w:qFormat/>
    <w:rsid w:val="006038DD"/>
    <w:pPr>
      <w:keepNext/>
      <w:keepLines/>
      <w:numPr>
        <w:numId w:val="1"/>
      </w:numPr>
      <w:tabs>
        <w:tab w:val="left" w:pos="216"/>
      </w:tabs>
      <w:spacing w:before="160" w:after="80"/>
      <w:ind w:firstLine="0"/>
      <w:outlineLvl w:val="0"/>
    </w:pPr>
    <w:rPr>
      <w:smallCaps/>
      <w:noProof/>
    </w:rPr>
  </w:style>
  <w:style w:type="paragraph" w:styleId="Heading2">
    <w:name w:val="heading 2"/>
    <w:basedOn w:val="Normal"/>
    <w:next w:val="Normal"/>
    <w:link w:val="Heading2Char"/>
    <w:qFormat/>
    <w:rsid w:val="006038DD"/>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6038DD"/>
    <w:pPr>
      <w:numPr>
        <w:ilvl w:val="2"/>
        <w:numId w:val="1"/>
      </w:numPr>
      <w:spacing w:line="240" w:lineRule="exact"/>
      <w:ind w:firstLine="288"/>
      <w:jc w:val="both"/>
      <w:outlineLvl w:val="2"/>
    </w:pPr>
    <w:rPr>
      <w:i/>
      <w:iCs/>
      <w:noProof/>
    </w:rPr>
  </w:style>
  <w:style w:type="paragraph" w:styleId="Heading4">
    <w:name w:val="heading 4"/>
    <w:basedOn w:val="Normal"/>
    <w:next w:val="Normal"/>
    <w:link w:val="Heading4Char"/>
    <w:qFormat/>
    <w:rsid w:val="006038DD"/>
    <w:pPr>
      <w:numPr>
        <w:ilvl w:val="3"/>
        <w:numId w:val="1"/>
      </w:numPr>
      <w:tabs>
        <w:tab w:val="clear" w:pos="630"/>
        <w:tab w:val="left" w:pos="720"/>
      </w:tabs>
      <w:spacing w:before="40" w:after="40"/>
      <w:ind w:firstLine="504"/>
      <w:jc w:val="both"/>
      <w:outlineLvl w:val="3"/>
    </w:pPr>
    <w:rPr>
      <w:i/>
      <w:iCs/>
      <w:noProof/>
    </w:rPr>
  </w:style>
  <w:style w:type="paragraph" w:styleId="Heading5">
    <w:name w:val="heading 5"/>
    <w:basedOn w:val="Normal"/>
    <w:next w:val="Normal"/>
    <w:link w:val="Heading5Char"/>
    <w:qFormat/>
    <w:rsid w:val="006038DD"/>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38DD"/>
    <w:rPr>
      <w:rFonts w:ascii="Times New Roman" w:eastAsia="SimSun" w:hAnsi="Times New Roman" w:cs="Times New Roman"/>
      <w:smallCaps/>
      <w:noProof/>
      <w:kern w:val="0"/>
      <w:sz w:val="20"/>
      <w:szCs w:val="20"/>
      <w:lang w:val="en-US"/>
      <w14:ligatures w14:val="none"/>
    </w:rPr>
  </w:style>
  <w:style w:type="character" w:customStyle="1" w:styleId="Heading2Char">
    <w:name w:val="Heading 2 Char"/>
    <w:basedOn w:val="DefaultParagraphFont"/>
    <w:link w:val="Heading2"/>
    <w:rsid w:val="006038DD"/>
    <w:rPr>
      <w:rFonts w:ascii="Times New Roman" w:eastAsia="SimSun" w:hAnsi="Times New Roman" w:cs="Times New Roman"/>
      <w:i/>
      <w:iCs/>
      <w:noProof/>
      <w:kern w:val="0"/>
      <w:sz w:val="20"/>
      <w:szCs w:val="20"/>
      <w:lang w:val="en-US"/>
      <w14:ligatures w14:val="none"/>
    </w:rPr>
  </w:style>
  <w:style w:type="character" w:customStyle="1" w:styleId="Heading3Char">
    <w:name w:val="Heading 3 Char"/>
    <w:basedOn w:val="DefaultParagraphFont"/>
    <w:link w:val="Heading3"/>
    <w:rsid w:val="006038DD"/>
    <w:rPr>
      <w:rFonts w:ascii="Times New Roman" w:eastAsia="SimSun" w:hAnsi="Times New Roman" w:cs="Times New Roman"/>
      <w:i/>
      <w:iCs/>
      <w:noProof/>
      <w:kern w:val="0"/>
      <w:sz w:val="20"/>
      <w:szCs w:val="20"/>
      <w:lang w:val="en-US"/>
      <w14:ligatures w14:val="none"/>
    </w:rPr>
  </w:style>
  <w:style w:type="character" w:customStyle="1" w:styleId="Heading4Char">
    <w:name w:val="Heading 4 Char"/>
    <w:basedOn w:val="DefaultParagraphFont"/>
    <w:link w:val="Heading4"/>
    <w:rsid w:val="006038DD"/>
    <w:rPr>
      <w:rFonts w:ascii="Times New Roman" w:eastAsia="SimSun" w:hAnsi="Times New Roman" w:cs="Times New Roman"/>
      <w:i/>
      <w:iCs/>
      <w:noProof/>
      <w:kern w:val="0"/>
      <w:sz w:val="20"/>
      <w:szCs w:val="20"/>
      <w:lang w:val="en-US"/>
      <w14:ligatures w14:val="none"/>
    </w:rPr>
  </w:style>
  <w:style w:type="character" w:customStyle="1" w:styleId="Heading5Char">
    <w:name w:val="Heading 5 Char"/>
    <w:basedOn w:val="DefaultParagraphFont"/>
    <w:link w:val="Heading5"/>
    <w:rsid w:val="006038DD"/>
    <w:rPr>
      <w:rFonts w:ascii="Times New Roman" w:eastAsia="SimSun" w:hAnsi="Times New Roman" w:cs="Times New Roman"/>
      <w:smallCaps/>
      <w:noProof/>
      <w:kern w:val="0"/>
      <w:sz w:val="20"/>
      <w:szCs w:val="20"/>
      <w:lang w:val="en-US"/>
      <w14:ligatures w14:val="none"/>
    </w:rPr>
  </w:style>
  <w:style w:type="paragraph" w:customStyle="1" w:styleId="Abstract">
    <w:name w:val="Abstract"/>
    <w:rsid w:val="006038DD"/>
    <w:pPr>
      <w:spacing w:after="200"/>
      <w:ind w:firstLine="272"/>
      <w:jc w:val="both"/>
    </w:pPr>
    <w:rPr>
      <w:rFonts w:ascii="Times New Roman" w:eastAsia="SimSun" w:hAnsi="Times New Roman" w:cs="Times New Roman"/>
      <w:b/>
      <w:bCs/>
      <w:kern w:val="0"/>
      <w:sz w:val="18"/>
      <w:szCs w:val="18"/>
      <w:lang w:val="en-US"/>
      <w14:ligatures w14:val="none"/>
    </w:rPr>
  </w:style>
  <w:style w:type="paragraph" w:customStyle="1" w:styleId="Author">
    <w:name w:val="Author"/>
    <w:rsid w:val="006038DD"/>
    <w:pPr>
      <w:spacing w:before="360" w:after="40"/>
      <w:jc w:val="center"/>
    </w:pPr>
    <w:rPr>
      <w:rFonts w:ascii="Times New Roman" w:eastAsia="SimSun" w:hAnsi="Times New Roman" w:cs="Times New Roman"/>
      <w:noProof/>
      <w:kern w:val="0"/>
      <w:sz w:val="22"/>
      <w:szCs w:val="22"/>
      <w:lang w:val="en-US"/>
      <w14:ligatures w14:val="none"/>
    </w:rPr>
  </w:style>
  <w:style w:type="paragraph" w:styleId="BodyText">
    <w:name w:val="Body Text"/>
    <w:basedOn w:val="Normal"/>
    <w:link w:val="BodyTextChar"/>
    <w:rsid w:val="006038DD"/>
    <w:pPr>
      <w:tabs>
        <w:tab w:val="left" w:pos="288"/>
      </w:tabs>
      <w:spacing w:after="120" w:line="228" w:lineRule="auto"/>
      <w:ind w:firstLine="288"/>
      <w:jc w:val="both"/>
    </w:pPr>
    <w:rPr>
      <w:spacing w:val="-1"/>
      <w:lang w:val="x-none" w:eastAsia="x-none"/>
    </w:rPr>
  </w:style>
  <w:style w:type="character" w:customStyle="1" w:styleId="BodyTextChar">
    <w:name w:val="Body Text Char"/>
    <w:basedOn w:val="DefaultParagraphFont"/>
    <w:link w:val="BodyText"/>
    <w:rsid w:val="006038DD"/>
    <w:rPr>
      <w:rFonts w:ascii="Times New Roman" w:eastAsia="SimSun" w:hAnsi="Times New Roman" w:cs="Times New Roman"/>
      <w:spacing w:val="-1"/>
      <w:kern w:val="0"/>
      <w:sz w:val="20"/>
      <w:szCs w:val="20"/>
      <w:lang w:val="x-none" w:eastAsia="x-none"/>
      <w14:ligatures w14:val="none"/>
    </w:rPr>
  </w:style>
  <w:style w:type="paragraph" w:customStyle="1" w:styleId="papertitle">
    <w:name w:val="paper title"/>
    <w:rsid w:val="006038DD"/>
    <w:pPr>
      <w:spacing w:after="120"/>
      <w:jc w:val="center"/>
    </w:pPr>
    <w:rPr>
      <w:rFonts w:ascii="Times New Roman" w:eastAsia="MS Mincho" w:hAnsi="Times New Roman" w:cs="Times New Roman"/>
      <w:noProof/>
      <w:kern w:val="0"/>
      <w:sz w:val="48"/>
      <w:szCs w:val="48"/>
      <w:lang w:val="en-US"/>
      <w14:ligatures w14:val="none"/>
    </w:rPr>
  </w:style>
  <w:style w:type="paragraph" w:customStyle="1" w:styleId="references">
    <w:name w:val="references"/>
    <w:rsid w:val="006038DD"/>
    <w:pPr>
      <w:numPr>
        <w:numId w:val="2"/>
      </w:numPr>
      <w:spacing w:after="50" w:line="180" w:lineRule="exact"/>
      <w:jc w:val="both"/>
    </w:pPr>
    <w:rPr>
      <w:rFonts w:ascii="Times New Roman" w:eastAsia="MS Mincho" w:hAnsi="Times New Roman" w:cs="Times New Roman"/>
      <w:noProof/>
      <w:kern w:val="0"/>
      <w:sz w:val="16"/>
      <w:szCs w:val="16"/>
      <w:lang w:val="en-US"/>
      <w14:ligatures w14:val="none"/>
    </w:rPr>
  </w:style>
  <w:style w:type="paragraph" w:styleId="Footer">
    <w:name w:val="footer"/>
    <w:basedOn w:val="Normal"/>
    <w:link w:val="FooterChar"/>
    <w:rsid w:val="006038DD"/>
    <w:pPr>
      <w:tabs>
        <w:tab w:val="center" w:pos="4680"/>
        <w:tab w:val="right" w:pos="9360"/>
      </w:tabs>
    </w:pPr>
  </w:style>
  <w:style w:type="character" w:customStyle="1" w:styleId="FooterChar">
    <w:name w:val="Footer Char"/>
    <w:basedOn w:val="DefaultParagraphFont"/>
    <w:link w:val="Footer"/>
    <w:rsid w:val="006038DD"/>
    <w:rPr>
      <w:rFonts w:ascii="Times New Roman" w:eastAsia="SimSun" w:hAnsi="Times New Roman" w:cs="Times New Roman"/>
      <w:kern w:val="0"/>
      <w:sz w:val="20"/>
      <w:szCs w:val="20"/>
      <w:lang w:val="en-US"/>
      <w14:ligatures w14:val="none"/>
    </w:rPr>
  </w:style>
  <w:style w:type="paragraph" w:customStyle="1" w:styleId="ds-markdown-paragraph">
    <w:name w:val="ds-markdown-paragraph"/>
    <w:basedOn w:val="Normal"/>
    <w:rsid w:val="006038DD"/>
    <w:pPr>
      <w:spacing w:before="100" w:beforeAutospacing="1" w:after="100" w:afterAutospacing="1"/>
      <w:jc w:val="left"/>
    </w:pPr>
    <w:rPr>
      <w:rFonts w:eastAsia="Times New Roman"/>
      <w:sz w:val="24"/>
      <w:szCs w:val="24"/>
      <w:lang w:val="en-PH"/>
    </w:rPr>
  </w:style>
  <w:style w:type="character" w:customStyle="1" w:styleId="apple-converted-space">
    <w:name w:val="apple-converted-space"/>
    <w:basedOn w:val="DefaultParagraphFont"/>
    <w:rsid w:val="006038DD"/>
  </w:style>
  <w:style w:type="character" w:styleId="Strong">
    <w:name w:val="Strong"/>
    <w:uiPriority w:val="22"/>
    <w:qFormat/>
    <w:rsid w:val="006038DD"/>
    <w:rPr>
      <w:b/>
      <w:bCs/>
    </w:rPr>
  </w:style>
  <w:style w:type="table" w:styleId="TableGrid">
    <w:name w:val="Table Grid"/>
    <w:basedOn w:val="TableNormal"/>
    <w:uiPriority w:val="39"/>
    <w:rsid w:val="006038DD"/>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38DD"/>
    <w:rPr>
      <w:sz w:val="16"/>
      <w:szCs w:val="16"/>
    </w:rPr>
  </w:style>
  <w:style w:type="paragraph" w:styleId="CommentText">
    <w:name w:val="annotation text"/>
    <w:basedOn w:val="Normal"/>
    <w:link w:val="CommentTextChar"/>
    <w:uiPriority w:val="99"/>
    <w:unhideWhenUsed/>
    <w:rsid w:val="006038DD"/>
  </w:style>
  <w:style w:type="character" w:customStyle="1" w:styleId="CommentTextChar">
    <w:name w:val="Comment Text Char"/>
    <w:basedOn w:val="DefaultParagraphFont"/>
    <w:link w:val="CommentText"/>
    <w:uiPriority w:val="99"/>
    <w:rsid w:val="006038DD"/>
    <w:rPr>
      <w:rFonts w:ascii="Times New Roman" w:eastAsia="SimSun" w:hAnsi="Times New Roman" w:cs="Times New Roman"/>
      <w:kern w:val="0"/>
      <w:sz w:val="20"/>
      <w:szCs w:val="20"/>
      <w:lang w:val="en-US"/>
      <w14:ligatures w14:val="none"/>
    </w:rPr>
  </w:style>
  <w:style w:type="paragraph" w:styleId="NormalWeb">
    <w:name w:val="Normal (Web)"/>
    <w:basedOn w:val="Normal"/>
    <w:uiPriority w:val="99"/>
    <w:unhideWhenUsed/>
    <w:rsid w:val="006038DD"/>
    <w:pPr>
      <w:spacing w:before="100" w:beforeAutospacing="1" w:after="100" w:afterAutospacing="1"/>
      <w:jc w:val="left"/>
    </w:pPr>
    <w:rPr>
      <w:rFonts w:eastAsia="Times New Roman"/>
      <w:sz w:val="24"/>
      <w:szCs w:val="24"/>
      <w:lang w:val="en-PH"/>
    </w:rPr>
  </w:style>
  <w:style w:type="character" w:customStyle="1" w:styleId="citation-119">
    <w:name w:val="citation-119"/>
    <w:basedOn w:val="DefaultParagraphFont"/>
    <w:rsid w:val="00E8649A"/>
  </w:style>
  <w:style w:type="character" w:customStyle="1" w:styleId="citation-118">
    <w:name w:val="citation-118"/>
    <w:basedOn w:val="DefaultParagraphFont"/>
    <w:rsid w:val="00E8649A"/>
  </w:style>
  <w:style w:type="character" w:customStyle="1" w:styleId="citation-406">
    <w:name w:val="citation-406"/>
    <w:basedOn w:val="DefaultParagraphFont"/>
    <w:rsid w:val="003F3F46"/>
  </w:style>
  <w:style w:type="character" w:customStyle="1" w:styleId="citation-405">
    <w:name w:val="citation-405"/>
    <w:basedOn w:val="DefaultParagraphFont"/>
    <w:rsid w:val="003F3F46"/>
  </w:style>
  <w:style w:type="character" w:customStyle="1" w:styleId="citation-404">
    <w:name w:val="citation-404"/>
    <w:basedOn w:val="DefaultParagraphFont"/>
    <w:rsid w:val="003F3F46"/>
  </w:style>
  <w:style w:type="character" w:customStyle="1" w:styleId="citation-403">
    <w:name w:val="citation-403"/>
    <w:basedOn w:val="DefaultParagraphFont"/>
    <w:rsid w:val="003F3F46"/>
  </w:style>
  <w:style w:type="character" w:customStyle="1" w:styleId="citation-402">
    <w:name w:val="citation-402"/>
    <w:basedOn w:val="DefaultParagraphFont"/>
    <w:rsid w:val="003F3F46"/>
  </w:style>
  <w:style w:type="character" w:customStyle="1" w:styleId="citation-401">
    <w:name w:val="citation-401"/>
    <w:basedOn w:val="DefaultParagraphFont"/>
    <w:rsid w:val="003F3F46"/>
  </w:style>
  <w:style w:type="character" w:customStyle="1" w:styleId="citation-400">
    <w:name w:val="citation-400"/>
    <w:basedOn w:val="DefaultParagraphFont"/>
    <w:rsid w:val="003F3F46"/>
  </w:style>
  <w:style w:type="character" w:customStyle="1" w:styleId="citation-399">
    <w:name w:val="citation-399"/>
    <w:basedOn w:val="DefaultParagraphFont"/>
    <w:rsid w:val="003F3F46"/>
  </w:style>
  <w:style w:type="character" w:customStyle="1" w:styleId="citation-398">
    <w:name w:val="citation-398"/>
    <w:basedOn w:val="DefaultParagraphFont"/>
    <w:rsid w:val="003F3F46"/>
  </w:style>
  <w:style w:type="character" w:customStyle="1" w:styleId="citation-397">
    <w:name w:val="citation-397"/>
    <w:basedOn w:val="DefaultParagraphFont"/>
    <w:rsid w:val="003F3F46"/>
  </w:style>
  <w:style w:type="character" w:customStyle="1" w:styleId="citation-396">
    <w:name w:val="citation-396"/>
    <w:basedOn w:val="DefaultParagraphFont"/>
    <w:rsid w:val="003F3F46"/>
  </w:style>
  <w:style w:type="character" w:customStyle="1" w:styleId="citation-395">
    <w:name w:val="citation-395"/>
    <w:basedOn w:val="DefaultParagraphFont"/>
    <w:rsid w:val="003F3F46"/>
  </w:style>
  <w:style w:type="character" w:customStyle="1" w:styleId="citation-394">
    <w:name w:val="citation-394"/>
    <w:basedOn w:val="DefaultParagraphFont"/>
    <w:rsid w:val="003F3F46"/>
  </w:style>
  <w:style w:type="character" w:customStyle="1" w:styleId="citation-393">
    <w:name w:val="citation-393"/>
    <w:basedOn w:val="DefaultParagraphFont"/>
    <w:rsid w:val="003F3F46"/>
  </w:style>
  <w:style w:type="character" w:customStyle="1" w:styleId="citation-392">
    <w:name w:val="citation-392"/>
    <w:basedOn w:val="DefaultParagraphFont"/>
    <w:rsid w:val="003F3F46"/>
  </w:style>
  <w:style w:type="character" w:customStyle="1" w:styleId="citation-391">
    <w:name w:val="citation-391"/>
    <w:basedOn w:val="DefaultParagraphFont"/>
    <w:rsid w:val="003F3F46"/>
  </w:style>
  <w:style w:type="character" w:customStyle="1" w:styleId="citation-390">
    <w:name w:val="citation-390"/>
    <w:basedOn w:val="DefaultParagraphFont"/>
    <w:rsid w:val="003F3F46"/>
  </w:style>
  <w:style w:type="character" w:customStyle="1" w:styleId="citation-389">
    <w:name w:val="citation-389"/>
    <w:basedOn w:val="DefaultParagraphFont"/>
    <w:rsid w:val="003F3F46"/>
  </w:style>
  <w:style w:type="character" w:customStyle="1" w:styleId="citation-388">
    <w:name w:val="citation-388"/>
    <w:basedOn w:val="DefaultParagraphFont"/>
    <w:rsid w:val="003F3F46"/>
  </w:style>
  <w:style w:type="character" w:customStyle="1" w:styleId="citation-387">
    <w:name w:val="citation-387"/>
    <w:basedOn w:val="DefaultParagraphFont"/>
    <w:rsid w:val="003F3F46"/>
  </w:style>
  <w:style w:type="character" w:customStyle="1" w:styleId="citation-386">
    <w:name w:val="citation-386"/>
    <w:basedOn w:val="DefaultParagraphFont"/>
    <w:rsid w:val="003F3F46"/>
  </w:style>
  <w:style w:type="character" w:customStyle="1" w:styleId="citation-385">
    <w:name w:val="citation-385"/>
    <w:basedOn w:val="DefaultParagraphFont"/>
    <w:rsid w:val="003F3F46"/>
  </w:style>
  <w:style w:type="character" w:customStyle="1" w:styleId="citation-384">
    <w:name w:val="citation-384"/>
    <w:basedOn w:val="DefaultParagraphFont"/>
    <w:rsid w:val="003F3F46"/>
  </w:style>
  <w:style w:type="character" w:customStyle="1" w:styleId="citation-383">
    <w:name w:val="citation-383"/>
    <w:basedOn w:val="DefaultParagraphFont"/>
    <w:rsid w:val="003F3F46"/>
  </w:style>
  <w:style w:type="character" w:customStyle="1" w:styleId="citation-382">
    <w:name w:val="citation-382"/>
    <w:basedOn w:val="DefaultParagraphFont"/>
    <w:rsid w:val="003F3F46"/>
  </w:style>
  <w:style w:type="character" w:customStyle="1" w:styleId="citation-381">
    <w:name w:val="citation-381"/>
    <w:basedOn w:val="DefaultParagraphFont"/>
    <w:rsid w:val="003F3F46"/>
  </w:style>
  <w:style w:type="character" w:customStyle="1" w:styleId="citation-380">
    <w:name w:val="citation-380"/>
    <w:basedOn w:val="DefaultParagraphFont"/>
    <w:rsid w:val="003F3F46"/>
  </w:style>
  <w:style w:type="character" w:customStyle="1" w:styleId="citation-379">
    <w:name w:val="citation-379"/>
    <w:basedOn w:val="DefaultParagraphFont"/>
    <w:rsid w:val="003F3F46"/>
  </w:style>
  <w:style w:type="character" w:customStyle="1" w:styleId="citation-378">
    <w:name w:val="citation-378"/>
    <w:basedOn w:val="DefaultParagraphFont"/>
    <w:rsid w:val="003F3F46"/>
  </w:style>
  <w:style w:type="character" w:customStyle="1" w:styleId="citation-377">
    <w:name w:val="citation-377"/>
    <w:basedOn w:val="DefaultParagraphFont"/>
    <w:rsid w:val="003F3F46"/>
  </w:style>
  <w:style w:type="character" w:customStyle="1" w:styleId="citation-376">
    <w:name w:val="citation-376"/>
    <w:basedOn w:val="DefaultParagraphFont"/>
    <w:rsid w:val="003F3F46"/>
  </w:style>
  <w:style w:type="character" w:customStyle="1" w:styleId="citation-375">
    <w:name w:val="citation-375"/>
    <w:basedOn w:val="DefaultParagraphFont"/>
    <w:rsid w:val="003F3F46"/>
  </w:style>
  <w:style w:type="character" w:customStyle="1" w:styleId="citation-374">
    <w:name w:val="citation-374"/>
    <w:basedOn w:val="DefaultParagraphFont"/>
    <w:rsid w:val="003F3F46"/>
  </w:style>
  <w:style w:type="character" w:customStyle="1" w:styleId="citation-373">
    <w:name w:val="citation-373"/>
    <w:basedOn w:val="DefaultParagraphFont"/>
    <w:rsid w:val="003F3F46"/>
  </w:style>
  <w:style w:type="character" w:customStyle="1" w:styleId="citation-372">
    <w:name w:val="citation-372"/>
    <w:basedOn w:val="DefaultParagraphFont"/>
    <w:rsid w:val="003F3F46"/>
  </w:style>
  <w:style w:type="character" w:customStyle="1" w:styleId="citation-371">
    <w:name w:val="citation-371"/>
    <w:basedOn w:val="DefaultParagraphFont"/>
    <w:rsid w:val="003F3F46"/>
  </w:style>
  <w:style w:type="character" w:customStyle="1" w:styleId="citation-370">
    <w:name w:val="citation-370"/>
    <w:basedOn w:val="DefaultParagraphFont"/>
    <w:rsid w:val="003F3F46"/>
  </w:style>
  <w:style w:type="character" w:customStyle="1" w:styleId="citation-369">
    <w:name w:val="citation-369"/>
    <w:basedOn w:val="DefaultParagraphFont"/>
    <w:rsid w:val="003F3F46"/>
  </w:style>
  <w:style w:type="character" w:customStyle="1" w:styleId="citation-368">
    <w:name w:val="citation-368"/>
    <w:basedOn w:val="DefaultParagraphFont"/>
    <w:rsid w:val="003F3F46"/>
  </w:style>
  <w:style w:type="character" w:customStyle="1" w:styleId="citation-367">
    <w:name w:val="citation-367"/>
    <w:basedOn w:val="DefaultParagraphFont"/>
    <w:rsid w:val="003F3F46"/>
  </w:style>
  <w:style w:type="character" w:customStyle="1" w:styleId="citation-366">
    <w:name w:val="citation-366"/>
    <w:basedOn w:val="DefaultParagraphFont"/>
    <w:rsid w:val="003F3F46"/>
  </w:style>
  <w:style w:type="character" w:customStyle="1" w:styleId="citation-365">
    <w:name w:val="citation-365"/>
    <w:basedOn w:val="DefaultParagraphFont"/>
    <w:rsid w:val="003F3F46"/>
  </w:style>
  <w:style w:type="character" w:customStyle="1" w:styleId="citation-364">
    <w:name w:val="citation-364"/>
    <w:basedOn w:val="DefaultParagraphFont"/>
    <w:rsid w:val="003F3F46"/>
  </w:style>
  <w:style w:type="character" w:customStyle="1" w:styleId="citation-363">
    <w:name w:val="citation-363"/>
    <w:basedOn w:val="DefaultParagraphFont"/>
    <w:rsid w:val="003F3F46"/>
  </w:style>
  <w:style w:type="character" w:customStyle="1" w:styleId="citation-362">
    <w:name w:val="citation-362"/>
    <w:basedOn w:val="DefaultParagraphFont"/>
    <w:rsid w:val="003F3F46"/>
  </w:style>
  <w:style w:type="character" w:customStyle="1" w:styleId="citation-361">
    <w:name w:val="citation-361"/>
    <w:basedOn w:val="DefaultParagraphFont"/>
    <w:rsid w:val="003F3F46"/>
  </w:style>
  <w:style w:type="character" w:customStyle="1" w:styleId="citation-360">
    <w:name w:val="citation-360"/>
    <w:basedOn w:val="DefaultParagraphFont"/>
    <w:rsid w:val="003F3F46"/>
  </w:style>
  <w:style w:type="character" w:customStyle="1" w:styleId="citation-359">
    <w:name w:val="citation-359"/>
    <w:basedOn w:val="DefaultParagraphFont"/>
    <w:rsid w:val="003F3F46"/>
  </w:style>
  <w:style w:type="character" w:customStyle="1" w:styleId="citation-358">
    <w:name w:val="citation-358"/>
    <w:basedOn w:val="DefaultParagraphFont"/>
    <w:rsid w:val="003F3F46"/>
  </w:style>
  <w:style w:type="character" w:customStyle="1" w:styleId="citation-357">
    <w:name w:val="citation-357"/>
    <w:basedOn w:val="DefaultParagraphFont"/>
    <w:rsid w:val="003F3F46"/>
  </w:style>
  <w:style w:type="character" w:customStyle="1" w:styleId="citation-356">
    <w:name w:val="citation-356"/>
    <w:basedOn w:val="DefaultParagraphFont"/>
    <w:rsid w:val="003F3F46"/>
  </w:style>
  <w:style w:type="character" w:customStyle="1" w:styleId="citation-355">
    <w:name w:val="citation-355"/>
    <w:basedOn w:val="DefaultParagraphFont"/>
    <w:rsid w:val="003F3F46"/>
  </w:style>
  <w:style w:type="character" w:customStyle="1" w:styleId="citation-354">
    <w:name w:val="citation-354"/>
    <w:basedOn w:val="DefaultParagraphFont"/>
    <w:rsid w:val="003F3F46"/>
  </w:style>
  <w:style w:type="character" w:customStyle="1" w:styleId="citation-353">
    <w:name w:val="citation-353"/>
    <w:basedOn w:val="DefaultParagraphFont"/>
    <w:rsid w:val="003F3F46"/>
  </w:style>
  <w:style w:type="character" w:customStyle="1" w:styleId="citation-352">
    <w:name w:val="citation-352"/>
    <w:basedOn w:val="DefaultParagraphFont"/>
    <w:rsid w:val="003F3F46"/>
  </w:style>
  <w:style w:type="character" w:customStyle="1" w:styleId="mord">
    <w:name w:val="mord"/>
    <w:basedOn w:val="DefaultParagraphFont"/>
    <w:rsid w:val="007534FF"/>
  </w:style>
  <w:style w:type="character" w:customStyle="1" w:styleId="mrel">
    <w:name w:val="mrel"/>
    <w:basedOn w:val="DefaultParagraphFont"/>
    <w:rsid w:val="007534FF"/>
  </w:style>
  <w:style w:type="character" w:styleId="Hyperlink">
    <w:name w:val="Hyperlink"/>
    <w:basedOn w:val="DefaultParagraphFont"/>
    <w:uiPriority w:val="99"/>
    <w:semiHidden/>
    <w:unhideWhenUsed/>
    <w:rsid w:val="00EC378A"/>
    <w:rPr>
      <w:color w:val="0000FF"/>
      <w:u w:val="single"/>
    </w:rPr>
  </w:style>
  <w:style w:type="paragraph" w:styleId="CommentSubject">
    <w:name w:val="annotation subject"/>
    <w:basedOn w:val="CommentText"/>
    <w:next w:val="CommentText"/>
    <w:link w:val="CommentSubjectChar"/>
    <w:uiPriority w:val="99"/>
    <w:semiHidden/>
    <w:unhideWhenUsed/>
    <w:rsid w:val="00A92528"/>
    <w:rPr>
      <w:b/>
      <w:bCs/>
    </w:rPr>
  </w:style>
  <w:style w:type="character" w:customStyle="1" w:styleId="CommentSubjectChar">
    <w:name w:val="Comment Subject Char"/>
    <w:basedOn w:val="CommentTextChar"/>
    <w:link w:val="CommentSubject"/>
    <w:uiPriority w:val="99"/>
    <w:semiHidden/>
    <w:rsid w:val="00A92528"/>
    <w:rPr>
      <w:rFonts w:ascii="Times New Roman" w:eastAsia="SimSu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22057">
      <w:bodyDiv w:val="1"/>
      <w:marLeft w:val="0"/>
      <w:marRight w:val="0"/>
      <w:marTop w:val="0"/>
      <w:marBottom w:val="0"/>
      <w:divBdr>
        <w:top w:val="none" w:sz="0" w:space="0" w:color="auto"/>
        <w:left w:val="none" w:sz="0" w:space="0" w:color="auto"/>
        <w:bottom w:val="none" w:sz="0" w:space="0" w:color="auto"/>
        <w:right w:val="none" w:sz="0" w:space="0" w:color="auto"/>
      </w:divBdr>
    </w:div>
    <w:div w:id="860169378">
      <w:bodyDiv w:val="1"/>
      <w:marLeft w:val="0"/>
      <w:marRight w:val="0"/>
      <w:marTop w:val="0"/>
      <w:marBottom w:val="0"/>
      <w:divBdr>
        <w:top w:val="none" w:sz="0" w:space="0" w:color="auto"/>
        <w:left w:val="none" w:sz="0" w:space="0" w:color="auto"/>
        <w:bottom w:val="none" w:sz="0" w:space="0" w:color="auto"/>
        <w:right w:val="none" w:sz="0" w:space="0" w:color="auto"/>
      </w:divBdr>
    </w:div>
    <w:div w:id="21438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7444</Words>
  <Characters>42436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2026-01-04T15:22:00Z</dcterms:created>
  <dcterms:modified xsi:type="dcterms:W3CDTF">2026-01-04T15:22:00Z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60D0E434-D839-4557-95FE-EEC491E8355A</vt:lpwstr>
  </property>
</Properties>
</file>