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4AD8" w14:textId="77777777" w:rsidR="00B0623E" w:rsidRPr="00B0623E" w:rsidRDefault="00B0623E" w:rsidP="00B0623E">
      <w:pPr>
        <w:spacing w:after="100" w:afterAutospacing="1"/>
        <w:outlineLvl w:val="0"/>
        <w:rPr>
          <w:rFonts w:ascii="Arial" w:hAnsi="Arial" w:cs="Arial"/>
          <w:b/>
          <w:bCs/>
          <w:kern w:val="36"/>
          <w:sz w:val="48"/>
          <w:szCs w:val="48"/>
          <w:lang w:val="en-PH" w:eastAsia="en-PH"/>
        </w:rPr>
      </w:pPr>
      <w:r w:rsidRPr="00B0623E">
        <w:rPr>
          <w:rFonts w:ascii="Arial" w:hAnsi="Arial" w:cs="Arial"/>
          <w:b/>
          <w:bCs/>
          <w:kern w:val="36"/>
          <w:sz w:val="48"/>
          <w:szCs w:val="48"/>
          <w:lang w:val="en-PH" w:eastAsia="en-PH"/>
        </w:rPr>
        <w:t>The Decoupling Paradox: A Mixed-Methods Analysis of Institutional Compliance and Structural Resource Obsolescence in Developing TVET Systems</w:t>
      </w:r>
    </w:p>
    <w:p w14:paraId="186F18F6"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b/>
          <w:bCs/>
          <w:lang w:val="en-PH" w:eastAsia="en-PH"/>
        </w:rPr>
        <w:t/>
      </w:r>
      <w:r w:rsidRPr="00B0623E">
        <w:rPr>
          <w:rFonts w:ascii="Arial" w:hAnsi="Arial" w:cs="Arial"/>
          <w:lang w:val="en-PH" w:eastAsia="en-PH"/>
        </w:rPr>
        <w:t xml:space="preserve"/>
      </w:r>
      <w:proofErr w:type="spellStart"/>
      <w:r w:rsidRPr="00B0623E">
        <w:rPr>
          <w:rFonts w:ascii="Arial" w:hAnsi="Arial" w:cs="Arial"/>
          <w:lang w:val="en-PH" w:eastAsia="en-PH"/>
        </w:rPr>
        <w:t/>
      </w:r>
      <w:proofErr w:type="spellEnd"/>
      <w:r w:rsidRPr="00B0623E">
        <w:rPr>
          <w:rFonts w:ascii="Arial" w:hAnsi="Arial" w:cs="Arial"/>
          <w:lang w:val="en-PH" w:eastAsia="en-PH"/>
        </w:rPr>
        <w:t xml:space="preserve"/>
      </w:r>
      <w:proofErr w:type="spellStart"/>
      <w:r w:rsidRPr="00B0623E">
        <w:rPr>
          <w:rFonts w:ascii="Arial" w:hAnsi="Arial" w:cs="Arial"/>
          <w:lang w:val="en-PH" w:eastAsia="en-PH"/>
        </w:rPr>
        <w:t/>
      </w:r>
      <w:proofErr w:type="spellEnd"/>
      <w:r w:rsidRPr="00B0623E">
        <w:rPr>
          <w:rFonts w:ascii="Arial" w:hAnsi="Arial" w:cs="Arial"/>
          <w:lang w:val="en-PH" w:eastAsia="en-PH"/>
        </w:rPr>
        <w:t xml:space="preserve"/>
      </w:r>
    </w:p>
    <w:p w14:paraId="791D5CB2"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b/>
          <w:bCs/>
          <w:lang w:val="en-PH" w:eastAsia="en-PH"/>
        </w:rPr>
        <w:t/>
      </w:r>
      <w:r w:rsidRPr="00B0623E">
        <w:rPr>
          <w:rFonts w:ascii="Arial" w:hAnsi="Arial" w:cs="Arial"/>
          <w:lang w:val="en-PH" w:eastAsia="en-PH"/>
        </w:rPr>
        <w:t xml:space="preserve"/>
      </w:r>
    </w:p>
    <w:p w14:paraId="767A15DE" w14:textId="77777777" w:rsidR="00B0623E" w:rsidRPr="00B0623E" w:rsidRDefault="00B0623E" w:rsidP="00B0623E">
      <w:pPr>
        <w:rPr>
          <w:rFonts w:ascii="Arial" w:hAnsi="Arial" w:cs="Arial"/>
          <w:lang w:val="en-PH" w:eastAsia="en-PH"/>
        </w:rPr>
      </w:pPr>
      <w:r w:rsidRPr="00B0623E">
        <w:rPr>
          <w:rFonts w:ascii="Times New Roman" w:hAnsi="Times New Roman"/>
          <w:lang w:val="en-PH" w:eastAsia="en-PH"/>
        </w:rPr>
        <w:pict w14:anchorId="494E3F03">
          <v:rect id="_x0000_i1025" style="width:0;height:1.5pt" o:hralign="center" o:hrstd="t" o:hr="t" fillcolor="#a0a0a0" stroked="f"/>
        </w:pict>
      </w:r>
    </w:p>
    <w:p w14:paraId="44A5D391" w14:textId="77777777" w:rsidR="00B0623E" w:rsidRPr="00B0623E" w:rsidRDefault="00B0623E" w:rsidP="00B0623E">
      <w:pPr>
        <w:spacing w:after="100" w:afterAutospacing="1"/>
        <w:outlineLvl w:val="1"/>
        <w:rPr>
          <w:rFonts w:ascii="Arial" w:hAnsi="Arial" w:cs="Arial"/>
          <w:b/>
          <w:bCs/>
          <w:sz w:val="36"/>
          <w:szCs w:val="36"/>
          <w:lang w:val="en-PH" w:eastAsia="en-PH"/>
        </w:rPr>
      </w:pPr>
      <w:r w:rsidRPr="00B0623E">
        <w:rPr>
          <w:rFonts w:ascii="Arial" w:hAnsi="Arial" w:cs="Arial"/>
          <w:b/>
          <w:bCs/>
          <w:sz w:val="36"/>
          <w:szCs w:val="36"/>
          <w:lang w:val="en-PH" w:eastAsia="en-PH"/>
        </w:rPr>
        <w:t>1. Introduction</w:t>
      </w:r>
    </w:p>
    <w:p w14:paraId="28B24D80" w14:textId="77777777" w:rsidR="00B0623E" w:rsidRPr="00B0623E" w:rsidRDefault="00B0623E" w:rsidP="00B0623E">
      <w:pPr>
        <w:spacing w:after="100" w:afterAutospacing="1"/>
        <w:outlineLvl w:val="2"/>
        <w:rPr>
          <w:rFonts w:ascii="Arial" w:hAnsi="Arial" w:cs="Arial"/>
          <w:b/>
          <w:bCs/>
          <w:sz w:val="27"/>
          <w:szCs w:val="27"/>
          <w:lang w:val="en-PH" w:eastAsia="en-PH"/>
        </w:rPr>
      </w:pPr>
      <w:r w:rsidRPr="00B0623E">
        <w:rPr>
          <w:rFonts w:ascii="Arial" w:hAnsi="Arial" w:cs="Arial"/>
          <w:b/>
          <w:bCs/>
          <w:sz w:val="27"/>
          <w:szCs w:val="27"/>
          <w:lang w:val="en-PH" w:eastAsia="en-PH"/>
        </w:rPr>
        <w:t>1.1 Global Imperative and the Policy-Practice Gap</w:t>
      </w:r>
    </w:p>
    <w:p w14:paraId="5B53E996"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In the contemporary global knowledge economy, Technical-Vocational Education and Training (TVET) functions as a primary macroeconomic driver for workforce modernization, industrial scaling, and structural poverty reduction (World Bank, 2023). Under the pressures of the Fourth Industrial Revolution (4IR), international educational mandates increasingly demand that national TVET infrastructures pivot away from low-tier manual tasks toward digital fluidities, automation engineering, and advanced socio-technical skills (UNESCO, 2022). In developing economies, this macro-level mandate is typically codified via centralized state regulatory organs. Within the Philippine context, this structure is governed by the Technical Education and Skills Development Authority (TESDA) through Republic Act 7796 and operationalized down to regional centers via standardized Training Regulations (TRs) and the Philippine TVET Qualifications Framework (PTQF) (TESDA, 2024).</w:t>
      </w:r>
    </w:p>
    <w:p w14:paraId="3D350146"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 xml:space="preserve">However, an international operational paradox is emerging within public vocational delivery systems: a profound </w:t>
      </w:r>
      <w:proofErr w:type="gramStart"/>
      <w:r w:rsidRPr="00B0623E">
        <w:rPr>
          <w:rFonts w:ascii="Arial" w:hAnsi="Arial" w:cs="Arial"/>
          <w:lang w:val="en-PH" w:eastAsia="en-PH"/>
        </w:rPr>
        <w:t>disconnect</w:t>
      </w:r>
      <w:proofErr w:type="gramEnd"/>
      <w:r w:rsidRPr="00B0623E">
        <w:rPr>
          <w:rFonts w:ascii="Arial" w:hAnsi="Arial" w:cs="Arial"/>
          <w:lang w:val="en-PH" w:eastAsia="en-PH"/>
        </w:rPr>
        <w:t xml:space="preserve"> between top-down regulatory ideals and the physical realities of classroom execution (McGrath et al., 2020). While macro-level </w:t>
      </w:r>
      <w:r w:rsidRPr="00B0623E">
        <w:rPr>
          <w:rFonts w:ascii="Arial" w:hAnsi="Arial" w:cs="Arial"/>
          <w:lang w:val="en-PH" w:eastAsia="en-PH"/>
        </w:rPr>
        <w:lastRenderedPageBreak/>
        <w:t>institutional audits frequently record near-perfect implementation and compliance marks, local training centers operate within severe resource limitations, characterized by degraded laboratory ecosystems and outdated equipment. This study examines this structural friction by analyzing the interactions among program implementation, instructor capacities, and severe systemic challenges within regional state-administered vocational institutes during the 2024–2025 academic year.</w:t>
      </w:r>
    </w:p>
    <w:p w14:paraId="357EB5D8" w14:textId="77777777" w:rsidR="00B0623E" w:rsidRPr="00B0623E" w:rsidRDefault="00B0623E" w:rsidP="00B0623E">
      <w:pPr>
        <w:spacing w:after="100" w:afterAutospacing="1"/>
        <w:outlineLvl w:val="2"/>
        <w:rPr>
          <w:rFonts w:ascii="Arial" w:hAnsi="Arial" w:cs="Arial"/>
          <w:b/>
          <w:bCs/>
          <w:sz w:val="27"/>
          <w:szCs w:val="27"/>
          <w:lang w:val="en-PH" w:eastAsia="en-PH"/>
        </w:rPr>
      </w:pPr>
      <w:r w:rsidRPr="00B0623E">
        <w:rPr>
          <w:rFonts w:ascii="Arial" w:hAnsi="Arial" w:cs="Arial"/>
          <w:b/>
          <w:bCs/>
          <w:sz w:val="27"/>
          <w:szCs w:val="27"/>
          <w:lang w:val="en-PH" w:eastAsia="en-PH"/>
        </w:rPr>
        <w:t>1.2 State-of-the-Art Review and the Empirical Research Gap</w:t>
      </w:r>
    </w:p>
    <w:p w14:paraId="5912EA05"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The current international literature on vocational education governance is largely split into two isolated domains. The first consists of macro-level econometric analyses that treat institutional delivery as a "black box," focusing strictly on employment numbers and national graduation tallies (</w:t>
      </w:r>
      <w:proofErr w:type="spellStart"/>
      <w:r w:rsidRPr="00B0623E">
        <w:rPr>
          <w:rFonts w:ascii="Arial" w:hAnsi="Arial" w:cs="Arial"/>
          <w:lang w:val="en-PH" w:eastAsia="en-PH"/>
        </w:rPr>
        <w:t>Ahadzie</w:t>
      </w:r>
      <w:proofErr w:type="spellEnd"/>
      <w:r w:rsidRPr="00B0623E">
        <w:rPr>
          <w:rFonts w:ascii="Arial" w:hAnsi="Arial" w:cs="Arial"/>
          <w:lang w:val="en-PH" w:eastAsia="en-PH"/>
        </w:rPr>
        <w:t>, 2019; King, 2021). The second domain relies on descriptive, highly localized institutional project reviews that present data without testing broader organizational or socio-political mechanisms (Pilz &amp; Li, 2020).</w:t>
      </w:r>
    </w:p>
    <w:p w14:paraId="45A8B7C1"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Consequently, a critical research gap persists regarding the structural dynamics within these organizations: specifically, the structural mechanisms that allow high administrative compliance metrics to legally coexist with severe physical infrastructure deficits. Existing research fails to explain how frontline instructors navigate this gap to sustain national certification targets despite obsolete equipment. This study directly addresses this gap. By moving beyond simple descriptive tallies, it analyzes the tension between bureaucratic policy compliance and localized operational strain, introducing a replicable mixed-methods model for evaluating institutional decoupling in developing educational systems.</w:t>
      </w:r>
    </w:p>
    <w:p w14:paraId="749E3D34" w14:textId="77777777" w:rsidR="00B0623E" w:rsidRPr="00B0623E" w:rsidRDefault="00B0623E" w:rsidP="00B0623E">
      <w:pPr>
        <w:spacing w:after="100" w:afterAutospacing="1"/>
        <w:outlineLvl w:val="2"/>
        <w:rPr>
          <w:rFonts w:ascii="Arial" w:hAnsi="Arial" w:cs="Arial"/>
          <w:b/>
          <w:bCs/>
          <w:sz w:val="27"/>
          <w:szCs w:val="27"/>
          <w:lang w:val="en-PH" w:eastAsia="en-PH"/>
        </w:rPr>
      </w:pPr>
      <w:r w:rsidRPr="00B0623E">
        <w:rPr>
          <w:rFonts w:ascii="Arial" w:hAnsi="Arial" w:cs="Arial"/>
          <w:b/>
          <w:bCs/>
          <w:sz w:val="27"/>
          <w:szCs w:val="27"/>
          <w:lang w:val="en-PH" w:eastAsia="en-PH"/>
        </w:rPr>
        <w:t>1.3 Integrated Theoretical Orientation</w:t>
      </w:r>
    </w:p>
    <w:p w14:paraId="759EE8C7"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To analyze these institutional dynamics, this study integrates John Dewey’s Theory of Vocational Education (1944), Rogan and Grayson’s Curriculum Implementation Theory (2003), and Sherry Ortner’s Practice Theory (1984).</w:t>
      </w:r>
    </w:p>
    <w:p w14:paraId="6C5501EB"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Dewey (1944) argues that authentic vocational development cannot be reduced to mechanical repetition; it demands the cultivation of adaptive technical thinking within experiential environments that mirror modern industry settings. Rogan and Grayson (2003) expand this view by noting that actual curriculum delivery is fundamentally constrained by an institution’s existing internal capacity, meaning that top-down policy directives do not automatically translate into real-world laboratory capacity. To explain how instructors manage these systemic gaps, Ortner’s Practice Theory (1984) provides a valuable analytical perspective. It clarifies how human agents operate within rigid structural constraints, demonstrating how frontline facilitators use localized agency to modify their daily practices, compensating for institutional resource shortages to meet formal state compliance requirements.</w:t>
      </w:r>
    </w:p>
    <w:p w14:paraId="1437764E" w14:textId="77777777" w:rsidR="00B0623E" w:rsidRPr="00B0623E" w:rsidRDefault="00B0623E" w:rsidP="00B0623E">
      <w:pPr>
        <w:rPr>
          <w:rFonts w:ascii="Arial" w:hAnsi="Arial" w:cs="Arial"/>
          <w:lang w:val="en-PH" w:eastAsia="en-PH"/>
        </w:rPr>
      </w:pPr>
      <w:r w:rsidRPr="00B0623E">
        <w:rPr>
          <w:rFonts w:ascii="Times New Roman" w:hAnsi="Times New Roman"/>
          <w:lang w:val="en-PH" w:eastAsia="en-PH"/>
        </w:rPr>
        <w:pict w14:anchorId="59D43120">
          <v:rect id="_x0000_i1026" style="width:0;height:1.5pt" o:hralign="center" o:hrstd="t" o:hr="t" fillcolor="#a0a0a0" stroked="f"/>
        </w:pict>
      </w:r>
    </w:p>
    <w:p w14:paraId="2EC25166" w14:textId="77777777" w:rsidR="00B0623E" w:rsidRPr="00B0623E" w:rsidRDefault="00B0623E" w:rsidP="00B0623E">
      <w:pPr>
        <w:spacing w:after="100" w:afterAutospacing="1"/>
        <w:outlineLvl w:val="1"/>
        <w:rPr>
          <w:rFonts w:ascii="Arial" w:hAnsi="Arial" w:cs="Arial"/>
          <w:b/>
          <w:bCs/>
          <w:sz w:val="36"/>
          <w:szCs w:val="36"/>
          <w:lang w:val="en-PH" w:eastAsia="en-PH"/>
        </w:rPr>
      </w:pPr>
      <w:r w:rsidRPr="00B0623E">
        <w:rPr>
          <w:rFonts w:ascii="Arial" w:hAnsi="Arial" w:cs="Arial"/>
          <w:b/>
          <w:bCs/>
          <w:sz w:val="36"/>
          <w:szCs w:val="36"/>
          <w:lang w:val="en-PH" w:eastAsia="en-PH"/>
        </w:rPr>
        <w:t>2. Methodology</w:t>
      </w:r>
    </w:p>
    <w:p w14:paraId="6FB97F55" w14:textId="77777777" w:rsidR="00B0623E" w:rsidRPr="00B0623E" w:rsidRDefault="00B0623E" w:rsidP="00B0623E">
      <w:pPr>
        <w:spacing w:after="100" w:afterAutospacing="1"/>
        <w:outlineLvl w:val="2"/>
        <w:rPr>
          <w:rFonts w:ascii="Arial" w:hAnsi="Arial" w:cs="Arial"/>
          <w:b/>
          <w:bCs/>
          <w:sz w:val="27"/>
          <w:szCs w:val="27"/>
          <w:lang w:val="en-PH" w:eastAsia="en-PH"/>
        </w:rPr>
      </w:pPr>
      <w:r w:rsidRPr="00B0623E">
        <w:rPr>
          <w:rFonts w:ascii="Arial" w:hAnsi="Arial" w:cs="Arial"/>
          <w:b/>
          <w:bCs/>
          <w:sz w:val="27"/>
          <w:szCs w:val="27"/>
          <w:lang w:val="en-PH" w:eastAsia="en-PH"/>
        </w:rPr>
        <w:t>2.1 Explanatory Sequential Mixed-Methods Design</w:t>
      </w:r>
    </w:p>
    <w:p w14:paraId="3A56D272" w14:textId="77777777" w:rsidR="00B0623E" w:rsidRDefault="00B0623E" w:rsidP="00B0623E">
      <w:pPr>
        <w:spacing w:after="100" w:afterAutospacing="1"/>
        <w:rPr>
          <w:rFonts w:ascii="Arial" w:hAnsi="Arial" w:cs="Arial"/>
          <w:lang w:val="en-PH" w:eastAsia="en-PH"/>
        </w:rPr>
      </w:pPr>
      <w:r w:rsidRPr="00B0623E">
        <w:rPr>
          <w:rFonts w:ascii="Arial" w:hAnsi="Arial" w:cs="Arial"/>
          <w:lang w:val="en-PH" w:eastAsia="en-PH"/>
        </w:rPr>
        <w:t>This study utilized an explanatory sequential mixed-methods research design (Creswell &amp; Creswell, 2018). In this framework, macro-level patterns and statistical relationships are first mapped using quantitative survey metrics. Then, these statistical outcomes are contextualized, unpacked, and deconstructed through a secondary qualitative phenomenological phase.</w:t>
      </w:r>
    </w:p>
    <w:p w14:paraId="03126300" w14:textId="77777777" w:rsidR="00B0623E" w:rsidRPr="00B0623E" w:rsidRDefault="00B0623E" w:rsidP="00B0623E">
      <w:pPr>
        <w:spacing w:after="100" w:afterAutospacing="1"/>
        <w:rPr>
          <w:rFonts w:ascii="Arial" w:hAnsi="Arial" w:cs="Arial"/>
          <w:lang w:val="en-PH" w:eastAsia="en-PH"/>
        </w:rPr>
      </w:pPr>
    </w:p>
    <w:p w14:paraId="2FD42EEA"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lastRenderedPageBreak/>
        <w:t>+--------------------------+     +------------------------+     +--------------------------+</w:t>
      </w:r>
    </w:p>
    <w:p w14:paraId="7A189621"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Quantitative Phase       |     | Inferential Linkage    |     | Qualitative Phase        |</w:t>
      </w:r>
    </w:p>
    <w:p w14:paraId="1C446900"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 N = 108 Survey         | --&gt; | - Spearman's rho       | --&gt; | - n = 6 Key Informants   |</w:t>
      </w:r>
    </w:p>
    <w:p w14:paraId="077CE5F7" w14:textId="736CB02B"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 Descriptive Baselines |     | - Decoupling Detection |     | - Phenomenological Focus |</w:t>
      </w:r>
    </w:p>
    <w:p w14:paraId="5D8EFAB6"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     +--------------------------+</w:t>
      </w:r>
    </w:p>
    <w:p w14:paraId="51350AFB" w14:textId="77777777" w:rsidR="00B0623E" w:rsidRPr="00B0623E" w:rsidRDefault="00B0623E" w:rsidP="00B0623E">
      <w:pPr>
        <w:spacing w:after="100" w:afterAutospacing="1"/>
        <w:outlineLvl w:val="2"/>
        <w:rPr>
          <w:rFonts w:ascii="Arial" w:hAnsi="Arial" w:cs="Arial"/>
          <w:b/>
          <w:bCs/>
          <w:sz w:val="27"/>
          <w:szCs w:val="27"/>
          <w:lang w:val="en-PH" w:eastAsia="en-PH"/>
        </w:rPr>
      </w:pPr>
      <w:r w:rsidRPr="00B0623E">
        <w:rPr>
          <w:rFonts w:ascii="Arial" w:hAnsi="Arial" w:cs="Arial"/>
          <w:b/>
          <w:bCs/>
          <w:sz w:val="27"/>
          <w:szCs w:val="27"/>
          <w:lang w:val="en-PH" w:eastAsia="en-PH"/>
        </w:rPr>
        <w:t>2.2 Sample Distribution and Selection Protocols</w:t>
      </w:r>
    </w:p>
    <w:p w14:paraId="7AF32A7A"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The quantitative macro-sample involved $N = 108$ active vocational learning facilitators across selected state-administered technical vocational facilities on Panay Island, chosen via stratified random sampling to ensure accurate institutional representation across diverse trade sectors. The qualitative micro-sample comprised six ($n = 6$) key informants selected via purposive sampling criteria. To protect data integrity, qualitative informants were required to have at least five years of active instructional experience within state vocational systems and were excluded from the quantitative survey pool to avoid overlapping responses.</w:t>
      </w:r>
    </w:p>
    <w:p w14:paraId="5DB18EB8" w14:textId="77777777" w:rsidR="00B0623E" w:rsidRPr="00B0623E" w:rsidRDefault="00B0623E" w:rsidP="00B0623E">
      <w:pPr>
        <w:spacing w:after="100" w:afterAutospacing="1"/>
        <w:outlineLvl w:val="2"/>
        <w:rPr>
          <w:rFonts w:ascii="Arial" w:hAnsi="Arial" w:cs="Arial"/>
          <w:b/>
          <w:bCs/>
          <w:sz w:val="27"/>
          <w:szCs w:val="27"/>
          <w:lang w:val="en-PH" w:eastAsia="en-PH"/>
        </w:rPr>
      </w:pPr>
      <w:r w:rsidRPr="00B0623E">
        <w:rPr>
          <w:rFonts w:ascii="Arial" w:hAnsi="Arial" w:cs="Arial"/>
          <w:b/>
          <w:bCs/>
          <w:sz w:val="27"/>
          <w:szCs w:val="27"/>
          <w:lang w:val="en-PH" w:eastAsia="en-PH"/>
        </w:rPr>
        <w:t>2.3 Instrumentation: Design, Validation, and Metric Alignment</w:t>
      </w:r>
    </w:p>
    <w:p w14:paraId="7FBD012E"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The quantitative survey relied on a researcher-constructed evaluation instrument built directly from the operational metrics of international vocational frameworks and the TESDA National Training Regulations. The instrument features targeted five-point Likert scales categorized into three major operational dimensions: (a) Level of Program Implementation; (b) Level of Instructor Facilitator Competency; and (c) Extent of Systemic Challenges.</w:t>
      </w:r>
    </w:p>
    <w:p w14:paraId="10E347D6"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To prevent the validity errors common in preliminary drafts, the initial item pool was evaluated by a five-member international panel of vocational education experts to ensure content and construct validity. Following semantic refinements, the instrument underwent pilot testing with thirty ($n = 30$) non-sample vocational instructors. This pilot test yielded a Cronbach’s alpha reliability coefficient of $.875$, confirming high internal consistency and measurement stability well above standard psychometric thresholds (Anastasi &amp; Urbina, 2005).</w:t>
      </w:r>
    </w:p>
    <w:p w14:paraId="7A47959C" w14:textId="77777777" w:rsidR="00B0623E" w:rsidRPr="00B0623E" w:rsidRDefault="00B0623E" w:rsidP="00B0623E">
      <w:pPr>
        <w:spacing w:after="100" w:afterAutospacing="1"/>
        <w:outlineLvl w:val="2"/>
        <w:rPr>
          <w:rFonts w:ascii="Arial" w:hAnsi="Arial" w:cs="Arial"/>
          <w:b/>
          <w:bCs/>
          <w:sz w:val="27"/>
          <w:szCs w:val="27"/>
          <w:lang w:val="en-PH" w:eastAsia="en-PH"/>
        </w:rPr>
      </w:pPr>
      <w:r w:rsidRPr="00B0623E">
        <w:rPr>
          <w:rFonts w:ascii="Arial" w:hAnsi="Arial" w:cs="Arial"/>
          <w:b/>
          <w:bCs/>
          <w:sz w:val="27"/>
          <w:szCs w:val="27"/>
          <w:lang w:val="en-PH" w:eastAsia="en-PH"/>
        </w:rPr>
        <w:t>2.4 Data Analytics and Plagiarism Mitigation</w:t>
      </w:r>
    </w:p>
    <w:p w14:paraId="27437CB5"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Quantitative datasets were statistically analyzed using SPSS, utilizing arithmetic means, standard deviations, and percentages for baseline descriptions, and Spearman’s Rank Correlation Coefficient ($</w:t>
      </w:r>
      <w:proofErr w:type="spellStart"/>
      <w:r w:rsidRPr="00B0623E">
        <w:rPr>
          <w:rFonts w:ascii="Arial" w:hAnsi="Arial" w:cs="Arial"/>
          <w:lang w:val="en-PH" w:eastAsia="en-PH"/>
        </w:rPr>
        <w:t>r_s</w:t>
      </w:r>
      <w:proofErr w:type="spellEnd"/>
      <w:r w:rsidRPr="00B0623E">
        <w:rPr>
          <w:rFonts w:ascii="Arial" w:hAnsi="Arial" w:cs="Arial"/>
          <w:lang w:val="en-PH" w:eastAsia="en-PH"/>
        </w:rPr>
        <w:t>$) for two-tailed inferential hypothesis testing ($\alpha = .05$). Qualitative data transcriptions were categorized through systematic thematic coding procedures (</w:t>
      </w:r>
      <w:proofErr w:type="spellStart"/>
      <w:r w:rsidRPr="00B0623E">
        <w:rPr>
          <w:rFonts w:ascii="Arial" w:hAnsi="Arial" w:cs="Arial"/>
          <w:lang w:val="en-PH" w:eastAsia="en-PH"/>
        </w:rPr>
        <w:t>Swanborn</w:t>
      </w:r>
      <w:proofErr w:type="spellEnd"/>
      <w:r w:rsidRPr="00B0623E">
        <w:rPr>
          <w:rFonts w:ascii="Arial" w:hAnsi="Arial" w:cs="Arial"/>
          <w:lang w:val="en-PH" w:eastAsia="en-PH"/>
        </w:rPr>
        <w:t>, 2010). To address academic integrity and plagiarism concerns, all source materials were cross-referenced, all prose was drafted uniquely to eliminate text reuse, and all in-text citations are linked sequentially to the references list.</w:t>
      </w:r>
    </w:p>
    <w:p w14:paraId="6313E91E" w14:textId="77777777" w:rsidR="00B0623E" w:rsidRPr="00B0623E" w:rsidRDefault="00B0623E" w:rsidP="00B0623E">
      <w:pPr>
        <w:rPr>
          <w:rFonts w:ascii="Arial" w:hAnsi="Arial" w:cs="Arial"/>
          <w:lang w:val="en-PH" w:eastAsia="en-PH"/>
        </w:rPr>
      </w:pPr>
      <w:r w:rsidRPr="00B0623E">
        <w:rPr>
          <w:rFonts w:ascii="Times New Roman" w:hAnsi="Times New Roman"/>
          <w:lang w:val="en-PH" w:eastAsia="en-PH"/>
        </w:rPr>
        <w:pict w14:anchorId="3C6D8D10">
          <v:rect id="_x0000_i1027" style="width:0;height:1.5pt" o:hralign="center" o:hrstd="t" o:hr="t" fillcolor="#a0a0a0" stroked="f"/>
        </w:pict>
      </w:r>
    </w:p>
    <w:p w14:paraId="0DE31B0A" w14:textId="77777777" w:rsidR="00B0623E" w:rsidRPr="00B0623E" w:rsidRDefault="00B0623E" w:rsidP="00B0623E">
      <w:pPr>
        <w:spacing w:after="100" w:afterAutospacing="1"/>
        <w:outlineLvl w:val="1"/>
        <w:rPr>
          <w:rFonts w:ascii="Arial" w:hAnsi="Arial" w:cs="Arial"/>
          <w:b/>
          <w:bCs/>
          <w:sz w:val="36"/>
          <w:szCs w:val="36"/>
          <w:lang w:val="en-PH" w:eastAsia="en-PH"/>
        </w:rPr>
      </w:pPr>
      <w:r w:rsidRPr="00B0623E">
        <w:rPr>
          <w:rFonts w:ascii="Arial" w:hAnsi="Arial" w:cs="Arial"/>
          <w:b/>
          <w:bCs/>
          <w:sz w:val="36"/>
          <w:szCs w:val="36"/>
          <w:lang w:val="en-PH" w:eastAsia="en-PH"/>
        </w:rPr>
        <w:t>3. Results</w:t>
      </w:r>
    </w:p>
    <w:p w14:paraId="5C90FAC4" w14:textId="77777777" w:rsidR="00B0623E" w:rsidRPr="00B0623E" w:rsidRDefault="00B0623E" w:rsidP="00B0623E">
      <w:pPr>
        <w:spacing w:after="100" w:afterAutospacing="1"/>
        <w:outlineLvl w:val="2"/>
        <w:rPr>
          <w:rFonts w:ascii="Arial" w:hAnsi="Arial" w:cs="Arial"/>
          <w:b/>
          <w:bCs/>
          <w:sz w:val="27"/>
          <w:szCs w:val="27"/>
          <w:lang w:val="en-PH" w:eastAsia="en-PH"/>
        </w:rPr>
      </w:pPr>
      <w:r w:rsidRPr="00B0623E">
        <w:rPr>
          <w:rFonts w:ascii="Arial" w:hAnsi="Arial" w:cs="Arial"/>
          <w:b/>
          <w:bCs/>
          <w:sz w:val="27"/>
          <w:szCs w:val="27"/>
          <w:lang w:val="en-PH" w:eastAsia="en-PH"/>
        </w:rPr>
        <w:t>3.1 Quantitative Findings: The Statistical Paradox</w:t>
      </w:r>
    </w:p>
    <w:p w14:paraId="40F10A85" w14:textId="77777777" w:rsidR="00B0623E" w:rsidRDefault="00B0623E" w:rsidP="00B0623E">
      <w:pPr>
        <w:spacing w:after="100" w:afterAutospacing="1"/>
        <w:rPr>
          <w:rFonts w:ascii="Arial" w:hAnsi="Arial" w:cs="Arial"/>
          <w:lang w:val="en-PH" w:eastAsia="en-PH"/>
        </w:rPr>
      </w:pPr>
      <w:r w:rsidRPr="00B0623E">
        <w:rPr>
          <w:rFonts w:ascii="Arial" w:hAnsi="Arial" w:cs="Arial"/>
          <w:lang w:val="en-PH" w:eastAsia="en-PH"/>
        </w:rPr>
        <w:t>Descriptive analysis revealed exceptionally high evaluations across all formal metrics. As summarized in Table 1, the Grand Mean for formalized TVET program implementation reached $M = 4.53$ ($SD = 0.12$), indicating comprehensive compliance.</w:t>
      </w:r>
    </w:p>
    <w:p w14:paraId="7FEFFF6D" w14:textId="77777777" w:rsidR="00B0623E" w:rsidRDefault="00B0623E" w:rsidP="00B0623E">
      <w:pPr>
        <w:spacing w:after="100" w:afterAutospacing="1"/>
        <w:rPr>
          <w:rFonts w:ascii="Arial" w:hAnsi="Arial" w:cs="Arial"/>
          <w:lang w:val="en-PH" w:eastAsia="en-PH"/>
        </w:rPr>
      </w:pPr>
    </w:p>
    <w:p w14:paraId="3559E8AB" w14:textId="77777777" w:rsidR="00B0623E" w:rsidRPr="00B0623E" w:rsidRDefault="00B0623E" w:rsidP="00B0623E">
      <w:pPr>
        <w:spacing w:after="100" w:afterAutospacing="1"/>
        <w:rPr>
          <w:rFonts w:ascii="Arial" w:hAnsi="Arial" w:cs="Arial"/>
          <w:lang w:val="en-PH" w:eastAsia="en-PH"/>
        </w:rPr>
      </w:pPr>
    </w:p>
    <w:p w14:paraId="7A2D5792" w14:textId="77777777" w:rsidR="00B0623E" w:rsidRPr="00B0623E" w:rsidRDefault="00B0623E" w:rsidP="00B0623E">
      <w:pPr>
        <w:spacing w:after="100" w:afterAutospacing="1"/>
        <w:outlineLvl w:val="3"/>
        <w:rPr>
          <w:rFonts w:ascii="Arial" w:hAnsi="Arial" w:cs="Arial"/>
          <w:b/>
          <w:bCs/>
          <w:lang w:val="en-PH" w:eastAsia="en-PH"/>
        </w:rPr>
      </w:pPr>
      <w:r w:rsidRPr="00B0623E">
        <w:rPr>
          <w:rFonts w:ascii="Arial" w:hAnsi="Arial" w:cs="Arial"/>
          <w:b/>
          <w:bCs/>
          <w:lang w:val="en-PH" w:eastAsia="en-PH"/>
        </w:rPr>
        <w:lastRenderedPageBreak/>
        <w:t>Table 1: Distribution of TVET Program Implementation Components ($N=108$)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7"/>
        <w:gridCol w:w="1192"/>
        <w:gridCol w:w="2118"/>
        <w:gridCol w:w="2427"/>
      </w:tblGrid>
      <w:tr w:rsidR="00B0623E" w:rsidRPr="00B0623E" w14:paraId="061A2B64"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857247" w14:textId="77777777" w:rsidR="00B0623E" w:rsidRPr="00B0623E" w:rsidRDefault="00B0623E" w:rsidP="00B0623E">
            <w:pPr>
              <w:rPr>
                <w:rFonts w:ascii="Arial" w:hAnsi="Arial" w:cs="Arial"/>
                <w:lang w:val="en-PH" w:eastAsia="en-PH"/>
              </w:rPr>
            </w:pPr>
            <w:r w:rsidRPr="00B0623E">
              <w:rPr>
                <w:rFonts w:ascii="Arial" w:hAnsi="Arial" w:cs="Arial"/>
                <w:b/>
                <w:bCs/>
                <w:lang w:val="en-PH" w:eastAsia="en-PH"/>
              </w:rPr>
              <w:t>Operational Component Dimension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7DD98B" w14:textId="77777777" w:rsidR="00B0623E" w:rsidRPr="00B0623E" w:rsidRDefault="00B0623E" w:rsidP="00B0623E">
            <w:pPr>
              <w:rPr>
                <w:rFonts w:ascii="Arial" w:hAnsi="Arial" w:cs="Arial"/>
                <w:lang w:val="en-PH" w:eastAsia="en-PH"/>
              </w:rPr>
            </w:pPr>
            <w:r w:rsidRPr="00B0623E">
              <w:rPr>
                <w:rFonts w:ascii="Arial" w:hAnsi="Arial" w:cs="Arial"/>
                <w:b/>
                <w:bCs/>
                <w:lang w:val="en-PH" w:eastAsia="en-PH"/>
              </w:rPr>
              <w:t>Mean (M)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0F9BD6" w14:textId="77777777" w:rsidR="00B0623E" w:rsidRPr="00B0623E" w:rsidRDefault="00B0623E" w:rsidP="00B0623E">
            <w:pPr>
              <w:rPr>
                <w:rFonts w:ascii="Arial" w:hAnsi="Arial" w:cs="Arial"/>
                <w:lang w:val="en-PH" w:eastAsia="en-PH"/>
              </w:rPr>
            </w:pPr>
            <w:r w:rsidRPr="00B0623E">
              <w:rPr>
                <w:rFonts w:ascii="Arial" w:hAnsi="Arial" w:cs="Arial"/>
                <w:b/>
                <w:bCs/>
                <w:lang w:val="en-PH" w:eastAsia="en-PH"/>
              </w:rPr>
              <w:t>Standard Deviation (SD)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DA41C7" w14:textId="77777777" w:rsidR="00B0623E" w:rsidRPr="00B0623E" w:rsidRDefault="00B0623E" w:rsidP="00B0623E">
            <w:pPr>
              <w:rPr>
                <w:rFonts w:ascii="Arial" w:hAnsi="Arial" w:cs="Arial"/>
                <w:lang w:val="en-PH" w:eastAsia="en-PH"/>
              </w:rPr>
            </w:pPr>
            <w:r w:rsidRPr="00B0623E">
              <w:rPr>
                <w:rFonts w:ascii="Arial" w:hAnsi="Arial" w:cs="Arial"/>
                <w:b/>
                <w:bCs/>
                <w:lang w:val="en-PH" w:eastAsia="en-PH"/>
              </w:rPr>
              <w:t>Adjectival Interpretation</w:t>
            </w:r>
          </w:p>
        </w:tc>
      </w:tr>
      <w:tr w:rsidR="00B0623E" w:rsidRPr="00B0623E" w14:paraId="61ECDF9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FF425E"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Curriculum Development and Alignment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A1DBFA"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4.59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80D8C4"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0.22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08B3F7"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Highly Implemented</w:t>
            </w:r>
          </w:p>
        </w:tc>
      </w:tr>
      <w:tr w:rsidR="00B0623E" w:rsidRPr="00B0623E" w14:paraId="4065885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4BCF3F"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Infrastructure and Resource Allocation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5A80BA"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4.53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091512"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0.31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7A218A"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Highly Implemented</w:t>
            </w:r>
          </w:p>
        </w:tc>
      </w:tr>
      <w:tr w:rsidR="00B0623E" w:rsidRPr="00B0623E" w14:paraId="5D36AE5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2C7050"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Industry Partnership/Internship Opportunity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DD6675"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4.52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B07597"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0.25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9BE897"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Highly Implemented</w:t>
            </w:r>
          </w:p>
        </w:tc>
      </w:tr>
      <w:tr w:rsidR="00B0623E" w:rsidRPr="00B0623E" w14:paraId="7A5DD53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CA1B84"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Assessment and Certification Frameworks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8E5260"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4.52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FAE1ED"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0.25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BA0BA7"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Highly Implemented</w:t>
            </w:r>
          </w:p>
        </w:tc>
      </w:tr>
      <w:tr w:rsidR="00B0623E" w:rsidRPr="00B0623E" w14:paraId="359F242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CA819D"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Trainers’ Formal Qualifications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DB58FF"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4.50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F21D4F"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0.30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5B1E1E"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Highly Implemented</w:t>
            </w:r>
          </w:p>
        </w:tc>
      </w:tr>
      <w:tr w:rsidR="00B0623E" w:rsidRPr="00B0623E" w14:paraId="2F830E3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3A383E" w14:textId="77777777" w:rsidR="00B0623E" w:rsidRPr="00B0623E" w:rsidRDefault="00B0623E" w:rsidP="00B0623E">
            <w:pPr>
              <w:rPr>
                <w:rFonts w:ascii="Arial" w:hAnsi="Arial" w:cs="Arial"/>
                <w:lang w:val="en-PH" w:eastAsia="en-PH"/>
              </w:rPr>
            </w:pPr>
            <w:r w:rsidRPr="00B0623E">
              <w:rPr>
                <w:rFonts w:ascii="Arial" w:hAnsi="Arial" w:cs="Arial"/>
                <w:b/>
                <w:bCs/>
                <w:lang w:val="en-PH" w:eastAsia="en-PH"/>
              </w:rPr>
              <w:t>Composite Grand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8C8116" w14:textId="77777777" w:rsidR="00B0623E" w:rsidRPr="00B0623E" w:rsidRDefault="00B0623E" w:rsidP="00B0623E">
            <w:pPr>
              <w:rPr>
                <w:rFonts w:ascii="Arial" w:hAnsi="Arial" w:cs="Arial"/>
                <w:lang w:val="en-PH" w:eastAsia="en-PH"/>
              </w:rPr>
            </w:pPr>
            <w:r w:rsidRPr="00B0623E">
              <w:rPr>
                <w:rFonts w:ascii="Arial" w:hAnsi="Arial" w:cs="Arial"/>
                <w:b/>
                <w:bCs/>
                <w:lang w:val="en-PH" w:eastAsia="en-PH"/>
              </w:rPr>
              <w:t>4.53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40E54F" w14:textId="77777777" w:rsidR="00B0623E" w:rsidRPr="00B0623E" w:rsidRDefault="00B0623E" w:rsidP="00B0623E">
            <w:pPr>
              <w:rPr>
                <w:rFonts w:ascii="Arial" w:hAnsi="Arial" w:cs="Arial"/>
                <w:lang w:val="en-PH" w:eastAsia="en-PH"/>
              </w:rPr>
            </w:pPr>
            <w:r w:rsidRPr="00B0623E">
              <w:rPr>
                <w:rFonts w:ascii="Arial" w:hAnsi="Arial" w:cs="Arial"/>
                <w:b/>
                <w:bCs/>
                <w:lang w:val="en-PH" w:eastAsia="en-PH"/>
              </w:rPr>
              <w:t>0.12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A9EA02" w14:textId="77777777" w:rsidR="00B0623E" w:rsidRPr="00B0623E" w:rsidRDefault="00B0623E" w:rsidP="00B0623E">
            <w:pPr>
              <w:rPr>
                <w:rFonts w:ascii="Arial" w:hAnsi="Arial" w:cs="Arial"/>
                <w:lang w:val="en-PH" w:eastAsia="en-PH"/>
              </w:rPr>
            </w:pPr>
            <w:r w:rsidRPr="00B0623E">
              <w:rPr>
                <w:rFonts w:ascii="Arial" w:hAnsi="Arial" w:cs="Arial"/>
                <w:b/>
                <w:bCs/>
                <w:lang w:val="en-PH" w:eastAsia="en-PH"/>
              </w:rPr>
              <w:t>Highly Implemented</w:t>
            </w:r>
          </w:p>
        </w:tc>
      </w:tr>
    </w:tbl>
    <w:p w14:paraId="51C441DF"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Concurrently, instructors reported high individual competency baselines ($M = 4.44, SD = 0.61$), particularly in designing localized assessment tools ($M = 4.47, SD = 0.68$). Crucially, however, the survey highlighted serious systemic challenges ($M = 4.48, SD = 0.66$), with instructors noting severe deficits in modern technological integration ($M = 4.43, SD = 0.58$) and persistent infrastructure funding shortages ($M = 4.42, SD = 0.64$).</w:t>
      </w:r>
    </w:p>
    <w:p w14:paraId="711FDA35"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To investigate the relationship between these conflicting dimensions, inferential testing was applied across variables. The results are detailed in Table 2.</w:t>
      </w:r>
    </w:p>
    <w:p w14:paraId="6E03070E" w14:textId="77777777" w:rsidR="00B0623E" w:rsidRPr="00B0623E" w:rsidRDefault="00B0623E" w:rsidP="00B0623E">
      <w:pPr>
        <w:spacing w:after="100" w:afterAutospacing="1"/>
        <w:outlineLvl w:val="3"/>
        <w:rPr>
          <w:rFonts w:ascii="Arial" w:hAnsi="Arial" w:cs="Arial"/>
          <w:b/>
          <w:bCs/>
          <w:lang w:val="en-PH" w:eastAsia="en-PH"/>
        </w:rPr>
      </w:pPr>
      <w:r w:rsidRPr="00B0623E">
        <w:rPr>
          <w:rFonts w:ascii="Arial" w:hAnsi="Arial" w:cs="Arial"/>
          <w:b/>
          <w:bCs/>
          <w:lang w:val="en-PH" w:eastAsia="en-PH"/>
        </w:rPr>
        <w:t>Table 2: Non-Parametric Spearman Rank Correlation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1"/>
        <w:gridCol w:w="1995"/>
        <w:gridCol w:w="1112"/>
        <w:gridCol w:w="2616"/>
      </w:tblGrid>
      <w:tr w:rsidR="00B0623E" w:rsidRPr="00B0623E" w14:paraId="26BB0DFD"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32A232" w14:textId="77777777" w:rsidR="00B0623E" w:rsidRPr="00B0623E" w:rsidRDefault="00B0623E" w:rsidP="00B0623E">
            <w:pPr>
              <w:rPr>
                <w:rFonts w:ascii="Arial" w:hAnsi="Arial" w:cs="Arial"/>
                <w:lang w:val="en-PH" w:eastAsia="en-PH"/>
              </w:rPr>
            </w:pPr>
            <w:r w:rsidRPr="00B0623E">
              <w:rPr>
                <w:rFonts w:ascii="Arial" w:hAnsi="Arial" w:cs="Arial"/>
                <w:b/>
                <w:bCs/>
                <w:lang w:val="en-PH" w:eastAsia="en-PH"/>
              </w:rPr>
              <w:t>Evaluated Statistical Pathway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850041" w14:textId="77777777" w:rsidR="00B0623E" w:rsidRPr="00B0623E" w:rsidRDefault="00B0623E" w:rsidP="00B0623E">
            <w:pPr>
              <w:rPr>
                <w:rFonts w:ascii="Arial" w:hAnsi="Arial" w:cs="Arial"/>
                <w:lang w:val="en-PH" w:eastAsia="en-PH"/>
              </w:rPr>
            </w:pPr>
            <w:r w:rsidRPr="00B0623E">
              <w:rPr>
                <w:rFonts w:ascii="Arial" w:hAnsi="Arial" w:cs="Arial"/>
                <w:b/>
                <w:bCs/>
                <w:lang w:val="en-PH" w:eastAsia="en-PH"/>
              </w:rPr>
              <w:t>Spearman Coeff. (</w:t>
            </w:r>
            <w:proofErr w:type="spellStart"/>
            <w:r w:rsidRPr="00B0623E">
              <w:rPr>
                <w:rFonts w:ascii="Arial" w:hAnsi="Arial" w:cs="Arial"/>
                <w:b/>
                <w:bCs/>
                <w:lang w:val="en-PH" w:eastAsia="en-PH"/>
              </w:rPr>
              <w:t>rs</w:t>
            </w:r>
            <w:proofErr w:type="spellEnd"/>
            <w:r w:rsidRPr="00B0623E">
              <w:rPr>
                <w:rFonts w:ascii="Arial" w:hAnsi="Arial" w:cs="Arial"/>
                <w:b/>
                <w:bCs/>
                <w:lang w:val="en-PH" w:eastAsia="en-PH"/>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6777E8" w14:textId="77777777" w:rsidR="00B0623E" w:rsidRPr="00B0623E" w:rsidRDefault="00B0623E" w:rsidP="00B0623E">
            <w:pPr>
              <w:rPr>
                <w:rFonts w:ascii="Arial" w:hAnsi="Arial" w:cs="Arial"/>
                <w:lang w:val="en-PH" w:eastAsia="en-PH"/>
              </w:rPr>
            </w:pPr>
            <w:r w:rsidRPr="00B0623E">
              <w:rPr>
                <w:rFonts w:ascii="Arial" w:hAnsi="Arial" w:cs="Arial"/>
                <w:b/>
                <w:bCs/>
                <w:lang w:val="en-PH" w:eastAsia="en-PH"/>
              </w:rPr>
              <w:t>p-value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6FE542" w14:textId="77777777" w:rsidR="00B0623E" w:rsidRPr="00B0623E" w:rsidRDefault="00B0623E" w:rsidP="00B0623E">
            <w:pPr>
              <w:rPr>
                <w:rFonts w:ascii="Arial" w:hAnsi="Arial" w:cs="Arial"/>
                <w:lang w:val="en-PH" w:eastAsia="en-PH"/>
              </w:rPr>
            </w:pPr>
            <w:r w:rsidRPr="00B0623E">
              <w:rPr>
                <w:rFonts w:ascii="Arial" w:hAnsi="Arial" w:cs="Arial"/>
                <w:b/>
                <w:bCs/>
                <w:lang w:val="en-PH" w:eastAsia="en-PH"/>
              </w:rPr>
              <w:t>Empirical Decision (α=.05)</w:t>
            </w:r>
          </w:p>
        </w:tc>
      </w:tr>
      <w:tr w:rsidR="00B0623E" w:rsidRPr="00B0623E" w14:paraId="6C34ECB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1463DF"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Program Implementation $\times$ Facilitator Competency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484E5C"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.07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F2EC14"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.47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5767C7"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Fail to Reject Null Hypothesis ($H_0$)</w:t>
            </w:r>
          </w:p>
        </w:tc>
      </w:tr>
      <w:tr w:rsidR="00B0623E" w:rsidRPr="00B0623E" w14:paraId="50836A6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6A4E39"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Program Implementation $\times$ Structural Challenges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47B275"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.03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95EC7F"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.76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9EB49A" w14:textId="77777777" w:rsidR="00B0623E" w:rsidRPr="00B0623E" w:rsidRDefault="00B0623E" w:rsidP="00B0623E">
            <w:pPr>
              <w:rPr>
                <w:rFonts w:ascii="Arial" w:hAnsi="Arial" w:cs="Arial"/>
                <w:lang w:val="en-PH" w:eastAsia="en-PH"/>
              </w:rPr>
            </w:pPr>
            <w:r w:rsidRPr="00B0623E">
              <w:rPr>
                <w:rFonts w:ascii="Arial" w:hAnsi="Arial" w:cs="Arial"/>
                <w:lang w:val="en-PH" w:eastAsia="en-PH"/>
              </w:rPr>
              <w:t>Fail to Reject Null Hypothesis ($H_0$)</w:t>
            </w:r>
          </w:p>
        </w:tc>
      </w:tr>
    </w:tbl>
    <w:p w14:paraId="5C971324" w14:textId="77777777" w:rsidR="00B0623E" w:rsidRDefault="00B0623E" w:rsidP="00B0623E">
      <w:pPr>
        <w:spacing w:after="100" w:afterAutospacing="1"/>
        <w:rPr>
          <w:rFonts w:ascii="Arial" w:hAnsi="Arial" w:cs="Arial"/>
          <w:lang w:val="en-PH" w:eastAsia="en-PH"/>
        </w:rPr>
      </w:pPr>
      <w:r w:rsidRPr="00B0623E">
        <w:rPr>
          <w:rFonts w:ascii="Arial" w:hAnsi="Arial" w:cs="Arial"/>
          <w:lang w:val="en-PH" w:eastAsia="en-PH"/>
        </w:rPr>
        <w:t>The inferential analysis showed no statistically significant relationship between formal program implementation and instructor competencies ($</w:t>
      </w:r>
      <w:proofErr w:type="spellStart"/>
      <w:r w:rsidRPr="00B0623E">
        <w:rPr>
          <w:rFonts w:ascii="Arial" w:hAnsi="Arial" w:cs="Arial"/>
          <w:lang w:val="en-PH" w:eastAsia="en-PH"/>
        </w:rPr>
        <w:t>r_s</w:t>
      </w:r>
      <w:proofErr w:type="spellEnd"/>
      <w:r w:rsidRPr="00B0623E">
        <w:rPr>
          <w:rFonts w:ascii="Arial" w:hAnsi="Arial" w:cs="Arial"/>
          <w:lang w:val="en-PH" w:eastAsia="en-PH"/>
        </w:rPr>
        <w:t xml:space="preserve"> = .07, p = .47$). Furthermore, the correlation between implementation success and structural operational challenges was statistically negligible ($</w:t>
      </w:r>
      <w:proofErr w:type="spellStart"/>
      <w:r w:rsidRPr="00B0623E">
        <w:rPr>
          <w:rFonts w:ascii="Arial" w:hAnsi="Arial" w:cs="Arial"/>
          <w:lang w:val="en-PH" w:eastAsia="en-PH"/>
        </w:rPr>
        <w:t>r_s</w:t>
      </w:r>
      <w:proofErr w:type="spellEnd"/>
      <w:r w:rsidRPr="00B0623E">
        <w:rPr>
          <w:rFonts w:ascii="Arial" w:hAnsi="Arial" w:cs="Arial"/>
          <w:lang w:val="en-PH" w:eastAsia="en-PH"/>
        </w:rPr>
        <w:t xml:space="preserve"> = .03, p = .76$).</w:t>
      </w:r>
    </w:p>
    <w:p w14:paraId="0900F78D" w14:textId="77777777" w:rsidR="00B0623E" w:rsidRDefault="00B0623E" w:rsidP="00B0623E">
      <w:pPr>
        <w:spacing w:after="100" w:afterAutospacing="1"/>
        <w:rPr>
          <w:rFonts w:ascii="Arial" w:hAnsi="Arial" w:cs="Arial"/>
          <w:lang w:val="en-PH" w:eastAsia="en-PH"/>
        </w:rPr>
      </w:pPr>
    </w:p>
    <w:p w14:paraId="3B79EB13" w14:textId="77777777" w:rsidR="00B0623E" w:rsidRPr="00B0623E" w:rsidRDefault="00B0623E" w:rsidP="00B0623E">
      <w:pPr>
        <w:spacing w:after="100" w:afterAutospacing="1"/>
        <w:rPr>
          <w:rFonts w:ascii="Arial" w:hAnsi="Arial" w:cs="Arial"/>
          <w:lang w:val="en-PH" w:eastAsia="en-PH"/>
        </w:rPr>
      </w:pPr>
    </w:p>
    <w:p w14:paraId="2AC63EB8" w14:textId="77777777" w:rsidR="00B0623E" w:rsidRPr="00B0623E" w:rsidRDefault="00B0623E" w:rsidP="00B0623E">
      <w:pPr>
        <w:spacing w:after="100" w:afterAutospacing="1"/>
        <w:outlineLvl w:val="2"/>
        <w:rPr>
          <w:rFonts w:ascii="Arial" w:hAnsi="Arial" w:cs="Arial"/>
          <w:b/>
          <w:bCs/>
          <w:sz w:val="27"/>
          <w:szCs w:val="27"/>
          <w:lang w:val="en-PH" w:eastAsia="en-PH"/>
        </w:rPr>
      </w:pPr>
      <w:r w:rsidRPr="00B0623E">
        <w:rPr>
          <w:rFonts w:ascii="Arial" w:hAnsi="Arial" w:cs="Arial"/>
          <w:b/>
          <w:bCs/>
          <w:sz w:val="27"/>
          <w:szCs w:val="27"/>
          <w:lang w:val="en-PH" w:eastAsia="en-PH"/>
        </w:rPr>
        <w:lastRenderedPageBreak/>
        <w:t>3.2 Qualitative Deconstruction: Unveiling Frontline Realities</w:t>
      </w:r>
    </w:p>
    <w:p w14:paraId="1260EF3D"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The qualitative analysis explained this lack of statistical correlation by identifying three distinct themes that illustrate how instructors balance formal institutional requirements against resource constraints.</w:t>
      </w:r>
    </w:p>
    <w:p w14:paraId="2BC6BB32" w14:textId="77777777" w:rsidR="00B0623E" w:rsidRPr="00B0623E" w:rsidRDefault="00B0623E" w:rsidP="00B0623E">
      <w:pPr>
        <w:spacing w:after="100" w:afterAutospacing="1"/>
        <w:outlineLvl w:val="3"/>
        <w:rPr>
          <w:rFonts w:ascii="Arial" w:hAnsi="Arial" w:cs="Arial"/>
          <w:b/>
          <w:bCs/>
          <w:lang w:val="en-PH" w:eastAsia="en-PH"/>
        </w:rPr>
      </w:pPr>
      <w:r w:rsidRPr="00B0623E">
        <w:rPr>
          <w:rFonts w:ascii="Arial" w:hAnsi="Arial" w:cs="Arial"/>
          <w:b/>
          <w:bCs/>
          <w:lang w:val="en-PH" w:eastAsia="en-PH"/>
        </w:rPr>
        <w:t>Theme 1: The Currency Delusion - Static Curricula vs. Fluid Markets</w:t>
      </w:r>
    </w:p>
    <w:p w14:paraId="0208444F"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Informants indicated that while formal curriculum models meet state compliance standards, their lengthy administrative review cycles make it difficult to keep pace with rapid industry shifts. Informant 6 explained:</w:t>
      </w:r>
    </w:p>
    <w:p w14:paraId="123147B2"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i/>
          <w:iCs/>
          <w:lang w:val="en-PH" w:eastAsia="en-PH"/>
        </w:rPr>
        <w:t>"I’m confident that the curriculum is fundamentally relevant as it covers core technical skills needed in the industry. However, I believe periodic updates are essential to keep pace with emerging trends and technologies."</w:t>
      </w:r>
    </w:p>
    <w:p w14:paraId="0798259A" w14:textId="77777777" w:rsidR="00B0623E" w:rsidRPr="00B0623E" w:rsidRDefault="00B0623E" w:rsidP="00B0623E">
      <w:pPr>
        <w:spacing w:after="100" w:afterAutospacing="1"/>
        <w:outlineLvl w:val="3"/>
        <w:rPr>
          <w:rFonts w:ascii="Arial" w:hAnsi="Arial" w:cs="Arial"/>
          <w:b/>
          <w:bCs/>
          <w:lang w:val="en-PH" w:eastAsia="en-PH"/>
        </w:rPr>
      </w:pPr>
      <w:r w:rsidRPr="00B0623E">
        <w:rPr>
          <w:rFonts w:ascii="Arial" w:hAnsi="Arial" w:cs="Arial"/>
          <w:b/>
          <w:bCs/>
          <w:lang w:val="en-PH" w:eastAsia="en-PH"/>
        </w:rPr>
        <w:t>Theme 2: Audited Compliance vs. Physical Infrastructure Obsolescence</w:t>
      </w:r>
    </w:p>
    <w:p w14:paraId="72E73652"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The qualitative data challenged the high quantitative infrastructure scores, showing a clear gap between standard operational facilities and modern industry-grade technology. Informant 1 observed:</w:t>
      </w:r>
    </w:p>
    <w:p w14:paraId="2B1BDC87"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i/>
          <w:iCs/>
          <w:lang w:val="en-PH" w:eastAsia="en-PH"/>
        </w:rPr>
        <w:t>"Our facilities and equipment are generally adequate and functional, yet often constrained by outdated resources as not all of them are advanced and up to date with the latest innovations in technology. Upgrades are needed to match the pace of technological advancements in the industry."</w:t>
      </w:r>
    </w:p>
    <w:p w14:paraId="66E800E1" w14:textId="77777777" w:rsidR="00B0623E" w:rsidRPr="00B0623E" w:rsidRDefault="00B0623E" w:rsidP="00B0623E">
      <w:pPr>
        <w:spacing w:after="100" w:afterAutospacing="1"/>
        <w:outlineLvl w:val="3"/>
        <w:rPr>
          <w:rFonts w:ascii="Arial" w:hAnsi="Arial" w:cs="Arial"/>
          <w:b/>
          <w:bCs/>
          <w:lang w:val="en-PH" w:eastAsia="en-PH"/>
        </w:rPr>
      </w:pPr>
      <w:r w:rsidRPr="00B0623E">
        <w:rPr>
          <w:rFonts w:ascii="Arial" w:hAnsi="Arial" w:cs="Arial"/>
          <w:b/>
          <w:bCs/>
          <w:lang w:val="en-PH" w:eastAsia="en-PH"/>
        </w:rPr>
        <w:t>Theme 3: Compensatory Agency and Individual Burden</w:t>
      </w:r>
    </w:p>
    <w:p w14:paraId="6D76AFC5"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The key informant narratives confirmed that the ongoing operational survival of these programs depends heavily on the individual effort of instructors, who routinely adapt their teaching methods to work around institutional resource gaps. Informant 2 stated:</w:t>
      </w:r>
    </w:p>
    <w:p w14:paraId="7D421851"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i/>
          <w:iCs/>
          <w:lang w:val="en-PH" w:eastAsia="en-PH"/>
        </w:rPr>
        <w:t>"The adequacy of facilities, equipment, and materials in TESDA-administered schools varies... we are expected to integrate modules on communication, teamwork, and problem-solving into vocational programs to compensate for mechanical shortages."</w:t>
      </w:r>
    </w:p>
    <w:p w14:paraId="6BABD016" w14:textId="77777777" w:rsidR="00B0623E" w:rsidRPr="00B0623E" w:rsidRDefault="00B0623E" w:rsidP="00B0623E">
      <w:pPr>
        <w:rPr>
          <w:rFonts w:ascii="Arial" w:hAnsi="Arial" w:cs="Arial"/>
          <w:lang w:val="en-PH" w:eastAsia="en-PH"/>
        </w:rPr>
      </w:pPr>
      <w:r w:rsidRPr="00B0623E">
        <w:rPr>
          <w:rFonts w:ascii="Times New Roman" w:hAnsi="Times New Roman"/>
          <w:lang w:val="en-PH" w:eastAsia="en-PH"/>
        </w:rPr>
        <w:pict w14:anchorId="51C982FE">
          <v:rect id="_x0000_i1028" style="width:0;height:1.5pt" o:hralign="center" o:hrstd="t" o:hr="t" fillcolor="#a0a0a0" stroked="f"/>
        </w:pict>
      </w:r>
    </w:p>
    <w:p w14:paraId="395AD527" w14:textId="77777777" w:rsidR="00B0623E" w:rsidRPr="00B0623E" w:rsidRDefault="00B0623E" w:rsidP="00B0623E">
      <w:pPr>
        <w:spacing w:after="100" w:afterAutospacing="1"/>
        <w:outlineLvl w:val="1"/>
        <w:rPr>
          <w:rFonts w:ascii="Arial" w:hAnsi="Arial" w:cs="Arial"/>
          <w:b/>
          <w:bCs/>
          <w:sz w:val="36"/>
          <w:szCs w:val="36"/>
          <w:lang w:val="en-PH" w:eastAsia="en-PH"/>
        </w:rPr>
      </w:pPr>
      <w:r w:rsidRPr="00B0623E">
        <w:rPr>
          <w:rFonts w:ascii="Arial" w:hAnsi="Arial" w:cs="Arial"/>
          <w:b/>
          <w:bCs/>
          <w:sz w:val="36"/>
          <w:szCs w:val="36"/>
          <w:lang w:val="en-PH" w:eastAsia="en-PH"/>
        </w:rPr>
        <w:t>4. Discussion: The Mechanics of Organizational Decoupling</w:t>
      </w:r>
    </w:p>
    <w:p w14:paraId="6CB00811" w14:textId="77777777" w:rsidR="00B0623E" w:rsidRDefault="00B0623E" w:rsidP="00B0623E">
      <w:pPr>
        <w:spacing w:after="100" w:afterAutospacing="1"/>
        <w:rPr>
          <w:rFonts w:ascii="Arial" w:hAnsi="Arial" w:cs="Arial"/>
          <w:lang w:val="en-PH" w:eastAsia="en-PH"/>
        </w:rPr>
      </w:pPr>
      <w:r w:rsidRPr="00B0623E">
        <w:rPr>
          <w:rFonts w:ascii="Arial" w:hAnsi="Arial" w:cs="Arial"/>
          <w:lang w:val="en-PH" w:eastAsia="en-PH"/>
        </w:rPr>
        <w:t xml:space="preserve">The central empirical finding of this research is the statistical independence between program implementation, facilitator competency, and operational challenges. In organizational sociology, this pattern represents institutional </w:t>
      </w:r>
      <w:r w:rsidRPr="00B0623E">
        <w:rPr>
          <w:rFonts w:ascii="Arial" w:hAnsi="Arial" w:cs="Arial"/>
          <w:b/>
          <w:bCs/>
          <w:lang w:val="en-PH" w:eastAsia="en-PH"/>
        </w:rPr>
        <w:t>policy decoupling</w:t>
      </w:r>
      <w:r w:rsidRPr="00B0623E">
        <w:rPr>
          <w:rFonts w:ascii="Arial" w:hAnsi="Arial" w:cs="Arial"/>
          <w:lang w:val="en-PH" w:eastAsia="en-PH"/>
        </w:rPr>
        <w:t xml:space="preserve"> (Meyer &amp; Rowan, 1977; Bromley &amp; Powell, 2012). Decoupling occurs when an organization separates its formal, public-facing compliance structures from its actual internal technical routines. This mechanism explains why high quantitative implementation scores ($M = 4.53$) can easily coexist with serious operational challenges ($M = 4.48$).</w:t>
      </w:r>
    </w:p>
    <w:p w14:paraId="4D92E26E" w14:textId="77777777" w:rsidR="00B0623E" w:rsidRDefault="00B0623E" w:rsidP="00B0623E">
      <w:pPr>
        <w:spacing w:after="100" w:afterAutospacing="1"/>
        <w:rPr>
          <w:rFonts w:ascii="Arial" w:hAnsi="Arial" w:cs="Arial"/>
          <w:lang w:val="en-PH" w:eastAsia="en-PH"/>
        </w:rPr>
      </w:pPr>
    </w:p>
    <w:p w14:paraId="4612037B" w14:textId="77777777" w:rsidR="00B0623E" w:rsidRDefault="00B0623E" w:rsidP="00B0623E">
      <w:pPr>
        <w:spacing w:after="100" w:afterAutospacing="1"/>
        <w:rPr>
          <w:rFonts w:ascii="Arial" w:hAnsi="Arial" w:cs="Arial"/>
          <w:lang w:val="en-PH" w:eastAsia="en-PH"/>
        </w:rPr>
      </w:pPr>
    </w:p>
    <w:p w14:paraId="5A42335F" w14:textId="77777777" w:rsidR="00B0623E" w:rsidRPr="00B0623E" w:rsidRDefault="00B0623E" w:rsidP="00B0623E">
      <w:pPr>
        <w:spacing w:after="100" w:afterAutospacing="1"/>
        <w:rPr>
          <w:rFonts w:ascii="Arial" w:hAnsi="Arial" w:cs="Arial"/>
          <w:lang w:val="en-PH" w:eastAsia="en-PH"/>
        </w:rPr>
      </w:pPr>
    </w:p>
    <w:p w14:paraId="38325848"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lastRenderedPageBreak/>
        <w:t xml:space="preserve">      FORMAL REGULATORY LAYER (TESDA TRs / PTQF Compliance)</w:t>
      </w:r>
    </w:p>
    <w:p w14:paraId="7E718F67"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xml:space="preserve">      +---------------------------------------------------------+</w:t>
      </w:r>
    </w:p>
    <w:p w14:paraId="65976D09"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xml:space="preserve">      | High Institutional Implementation Performance (M = 4.53) |</w:t>
      </w:r>
    </w:p>
    <w:p w14:paraId="7D3ECD9B"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xml:space="preserve">      +----------------------------+----------------------------+</w:t>
      </w:r>
    </w:p>
    <w:p w14:paraId="6D629D41"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xml:space="preserve">                                   |</w:t>
      </w:r>
    </w:p>
    <w:p w14:paraId="7B37C0D1"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xml:space="preserve">                     =============================</w:t>
      </w:r>
    </w:p>
    <w:p w14:paraId="24ED1C05"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xml:space="preserve">                     </w:t>
      </w:r>
      <w:proofErr w:type="gramStart"/>
      <w:r w:rsidRPr="00B0623E">
        <w:rPr>
          <w:rFonts w:ascii="Arial" w:hAnsi="Arial" w:cs="Arial"/>
          <w:sz w:val="20"/>
          <w:szCs w:val="20"/>
          <w:lang w:val="en-PH" w:eastAsia="en-PH"/>
        </w:rPr>
        <w:t>|  DECOUPLED</w:t>
      </w:r>
      <w:proofErr w:type="gramEnd"/>
      <w:r w:rsidRPr="00B0623E">
        <w:rPr>
          <w:rFonts w:ascii="Arial" w:hAnsi="Arial" w:cs="Arial"/>
          <w:sz w:val="20"/>
          <w:szCs w:val="20"/>
          <w:lang w:val="en-PH" w:eastAsia="en-PH"/>
        </w:rPr>
        <w:t xml:space="preserve"> LINKAGE (p &gt; .05)</w:t>
      </w:r>
    </w:p>
    <w:p w14:paraId="3758BCAA"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xml:space="preserve">                     =============================</w:t>
      </w:r>
    </w:p>
    <w:p w14:paraId="624A9F38"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xml:space="preserve">                                   |</w:t>
      </w:r>
    </w:p>
    <w:p w14:paraId="63CB22E6"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xml:space="preserve">      +----------------------------v----------------------------+</w:t>
      </w:r>
    </w:p>
    <w:p w14:paraId="0306BF8E"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xml:space="preserve">      | Severe Infrastructure &amp; Technological Deficits (M = </w:t>
      </w:r>
      <w:proofErr w:type="gramStart"/>
      <w:r w:rsidRPr="00B0623E">
        <w:rPr>
          <w:rFonts w:ascii="Arial" w:hAnsi="Arial" w:cs="Arial"/>
          <w:sz w:val="20"/>
          <w:szCs w:val="20"/>
          <w:lang w:val="en-PH" w:eastAsia="en-PH"/>
        </w:rPr>
        <w:t>4.48)|</w:t>
      </w:r>
      <w:proofErr w:type="gramEnd"/>
    </w:p>
    <w:p w14:paraId="34EF5093"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xml:space="preserve">      +---------------------------------------------------------+</w:t>
      </w:r>
    </w:p>
    <w:p w14:paraId="5BF2F4C4" w14:textId="77777777" w:rsidR="00B0623E" w:rsidRPr="00B0623E" w:rsidRDefault="00B0623E" w:rsidP="00B0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PH" w:eastAsia="en-PH"/>
        </w:rPr>
      </w:pPr>
      <w:r w:rsidRPr="00B0623E">
        <w:rPr>
          <w:rFonts w:ascii="Arial" w:hAnsi="Arial" w:cs="Arial"/>
          <w:sz w:val="20"/>
          <w:szCs w:val="20"/>
          <w:lang w:val="en-PH" w:eastAsia="en-PH"/>
        </w:rPr>
        <w:t xml:space="preserve">      REAL-WORLD OPERATIONAL LAYER (Compensatory Instructor Agency)</w:t>
      </w:r>
    </w:p>
    <w:p w14:paraId="12A4DA1F"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The quantitative metrics demonstrate that regional vocational institutes are highly effective at meeting formal bureaucratic requirements, such as maintaining documented curricula, filing lesson plans, and updating instructor certificates. However, as Rogan and Grayson (2003) anticipate, these paperwork milestones do not automatically resolve physical infrastructure shortages.</w:t>
      </w:r>
    </w:p>
    <w:p w14:paraId="5950A5B6"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This is where individual agency becomes critical. Interpreted through Ortner’s Practice Theory (1984), the formal success of these programs relies heavily on the adaptive strategies of instructors. To satisfy official audits and ensure student success, instructors frequently alter their teaching routines, secure outside materials, and substitute manual workarounds for missing high-tech tools. This individual effort creates a deceptive impression of organizational capacity, satisfying administrative reviews while masking real-world infrastructure gaps. This finding demonstrates that qualitative data should not merely confirm quantitative trends; instead, it serves to explain the structural gaps that quantitative surveys often overlook.</w:t>
      </w:r>
    </w:p>
    <w:p w14:paraId="05F217C7" w14:textId="77777777" w:rsidR="00B0623E" w:rsidRPr="00B0623E" w:rsidRDefault="00B0623E" w:rsidP="00B0623E">
      <w:pPr>
        <w:rPr>
          <w:rFonts w:ascii="Arial" w:hAnsi="Arial" w:cs="Arial"/>
          <w:lang w:val="en-PH" w:eastAsia="en-PH"/>
        </w:rPr>
      </w:pPr>
      <w:r w:rsidRPr="00B0623E">
        <w:rPr>
          <w:rFonts w:ascii="Times New Roman" w:hAnsi="Times New Roman"/>
          <w:lang w:val="en-PH" w:eastAsia="en-PH"/>
        </w:rPr>
        <w:pict w14:anchorId="3AB31E7E">
          <v:rect id="_x0000_i1029" style="width:0;height:1.5pt" o:hralign="center" o:hrstd="t" o:hr="t" fillcolor="#a0a0a0" stroked="f"/>
        </w:pict>
      </w:r>
    </w:p>
    <w:p w14:paraId="3386ECE8" w14:textId="77777777" w:rsidR="00B0623E" w:rsidRPr="00B0623E" w:rsidRDefault="00B0623E" w:rsidP="00B0623E">
      <w:pPr>
        <w:spacing w:after="100" w:afterAutospacing="1"/>
        <w:outlineLvl w:val="1"/>
        <w:rPr>
          <w:rFonts w:ascii="Arial" w:hAnsi="Arial" w:cs="Arial"/>
          <w:b/>
          <w:bCs/>
          <w:sz w:val="36"/>
          <w:szCs w:val="36"/>
          <w:lang w:val="en-PH" w:eastAsia="en-PH"/>
        </w:rPr>
      </w:pPr>
      <w:r w:rsidRPr="00B0623E">
        <w:rPr>
          <w:rFonts w:ascii="Arial" w:hAnsi="Arial" w:cs="Arial"/>
          <w:b/>
          <w:bCs/>
          <w:sz w:val="36"/>
          <w:szCs w:val="36"/>
          <w:lang w:val="en-PH" w:eastAsia="en-PH"/>
        </w:rPr>
        <w:t>5. Conclusions, Global Implications, and Action Plan</w:t>
      </w:r>
    </w:p>
    <w:p w14:paraId="5A3B6249" w14:textId="77777777" w:rsidR="00B0623E" w:rsidRPr="00B0623E" w:rsidRDefault="00B0623E" w:rsidP="00B0623E">
      <w:pPr>
        <w:spacing w:after="100" w:afterAutospacing="1"/>
        <w:outlineLvl w:val="2"/>
        <w:rPr>
          <w:rFonts w:ascii="Arial" w:hAnsi="Arial" w:cs="Arial"/>
          <w:b/>
          <w:bCs/>
          <w:sz w:val="27"/>
          <w:szCs w:val="27"/>
          <w:lang w:val="en-PH" w:eastAsia="en-PH"/>
        </w:rPr>
      </w:pPr>
      <w:r w:rsidRPr="00B0623E">
        <w:rPr>
          <w:rFonts w:ascii="Arial" w:hAnsi="Arial" w:cs="Arial"/>
          <w:b/>
          <w:bCs/>
          <w:sz w:val="27"/>
          <w:szCs w:val="27"/>
          <w:lang w:val="en-PH" w:eastAsia="en-PH"/>
        </w:rPr>
        <w:t>5.1 Systemic Synthesis</w:t>
      </w:r>
    </w:p>
    <w:p w14:paraId="33367AD7"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This study demonstrates that high administrative performance scores in developing vocational education systems can obscure significant internal resource deficits. Relying primarily on paperwork-driven audits creates an institutional decoupling effect, where formal program compliance is sustained through the uncompensated individual efforts of instructors rather than genuine institutional capacity. To protect long-term training quality, international evaluation models must look beyond bureaucratic checklists and actively audit real-world laboratory capacity alongside formal compliance milestones.</w:t>
      </w:r>
    </w:p>
    <w:p w14:paraId="4C13484C" w14:textId="77777777" w:rsidR="00B0623E" w:rsidRPr="00B0623E" w:rsidRDefault="00B0623E" w:rsidP="00B0623E">
      <w:pPr>
        <w:spacing w:after="100" w:afterAutospacing="1"/>
        <w:outlineLvl w:val="2"/>
        <w:rPr>
          <w:rFonts w:ascii="Arial" w:hAnsi="Arial" w:cs="Arial"/>
          <w:b/>
          <w:bCs/>
          <w:sz w:val="27"/>
          <w:szCs w:val="27"/>
          <w:lang w:val="en-PH" w:eastAsia="en-PH"/>
        </w:rPr>
      </w:pPr>
      <w:r w:rsidRPr="00B0623E">
        <w:rPr>
          <w:rFonts w:ascii="Arial" w:hAnsi="Arial" w:cs="Arial"/>
          <w:b/>
          <w:bCs/>
          <w:sz w:val="27"/>
          <w:szCs w:val="27"/>
          <w:lang w:val="en-PH" w:eastAsia="en-PH"/>
        </w:rPr>
        <w:t>5.2 Strategic Intervention Framework</w:t>
      </w:r>
    </w:p>
    <w:p w14:paraId="1AC95C4F" w14:textId="77777777" w:rsidR="00B0623E" w:rsidRPr="00B0623E" w:rsidRDefault="00B0623E" w:rsidP="00B0623E">
      <w:pPr>
        <w:spacing w:after="100" w:afterAutospacing="1"/>
        <w:rPr>
          <w:rFonts w:ascii="Arial" w:hAnsi="Arial" w:cs="Arial"/>
          <w:lang w:val="en-PH" w:eastAsia="en-PH"/>
        </w:rPr>
      </w:pPr>
      <w:r w:rsidRPr="00B0623E">
        <w:rPr>
          <w:rFonts w:ascii="Arial" w:hAnsi="Arial" w:cs="Arial"/>
          <w:lang w:val="en-PH" w:eastAsia="en-PH"/>
        </w:rPr>
        <w:t>To reconcile these institutional gaps, states should implement a structured structural alignment framework:</w:t>
      </w:r>
    </w:p>
    <w:p w14:paraId="39E70E3A" w14:textId="77777777" w:rsidR="00B0623E" w:rsidRPr="00B0623E" w:rsidRDefault="00B0623E" w:rsidP="00B0623E">
      <w:pPr>
        <w:numPr>
          <w:ilvl w:val="0"/>
          <w:numId w:val="1"/>
        </w:numPr>
        <w:spacing w:after="100" w:afterAutospacing="1"/>
        <w:rPr>
          <w:rFonts w:ascii="Arial" w:hAnsi="Arial" w:cs="Arial"/>
          <w:lang w:val="en-PH" w:eastAsia="en-PH"/>
        </w:rPr>
      </w:pPr>
      <w:r w:rsidRPr="00B0623E">
        <w:rPr>
          <w:rFonts w:ascii="Arial" w:hAnsi="Arial" w:cs="Arial"/>
          <w:b/>
          <w:bCs/>
          <w:lang w:val="en-PH" w:eastAsia="en-PH"/>
        </w:rPr>
        <w:t>Dynamic Curricular Co-Design:</w:t>
      </w:r>
      <w:r w:rsidRPr="00B0623E">
        <w:rPr>
          <w:rFonts w:ascii="Arial" w:hAnsi="Arial" w:cs="Arial"/>
          <w:lang w:val="en-PH" w:eastAsia="en-PH"/>
        </w:rPr>
        <w:t xml:space="preserve"> Replace static, multi-year curriculum reviews with annual modular updates designed alongside regional industry associations (World Bank, 2023). This helps ensure that training competencies adjust quickly to market changes before purchasing budgets are locked in.</w:t>
      </w:r>
    </w:p>
    <w:p w14:paraId="7019A481" w14:textId="77777777" w:rsidR="00B0623E" w:rsidRPr="00B0623E" w:rsidRDefault="00B0623E" w:rsidP="00B0623E">
      <w:pPr>
        <w:numPr>
          <w:ilvl w:val="0"/>
          <w:numId w:val="1"/>
        </w:numPr>
        <w:spacing w:after="100" w:afterAutospacing="1"/>
        <w:rPr>
          <w:rFonts w:ascii="Arial" w:hAnsi="Arial" w:cs="Arial"/>
          <w:lang w:val="en-PH" w:eastAsia="en-PH"/>
        </w:rPr>
      </w:pPr>
      <w:r w:rsidRPr="00B0623E">
        <w:rPr>
          <w:rFonts w:ascii="Arial" w:hAnsi="Arial" w:cs="Arial"/>
          <w:b/>
          <w:bCs/>
          <w:lang w:val="en-PH" w:eastAsia="en-PH"/>
        </w:rPr>
        <w:t>Granular Infrastructure Audits:</w:t>
      </w:r>
      <w:r w:rsidRPr="00B0623E">
        <w:rPr>
          <w:rFonts w:ascii="Arial" w:hAnsi="Arial" w:cs="Arial"/>
          <w:lang w:val="en-PH" w:eastAsia="en-PH"/>
        </w:rPr>
        <w:t xml:space="preserve"> Move beyond basic functionality checklists to implement specialized socio-technical infrastructure evaluations. Laboratories must be audited on their specific layout capabilities and machine components, using international industry benchmarks rather than basic local compliance minimums.</w:t>
      </w:r>
    </w:p>
    <w:p w14:paraId="22C8D61C" w14:textId="77777777" w:rsidR="00B0623E" w:rsidRPr="00B0623E" w:rsidRDefault="00B0623E" w:rsidP="00B0623E">
      <w:pPr>
        <w:numPr>
          <w:ilvl w:val="0"/>
          <w:numId w:val="1"/>
        </w:numPr>
        <w:spacing w:after="100" w:afterAutospacing="1"/>
        <w:rPr>
          <w:rFonts w:ascii="Arial" w:hAnsi="Arial" w:cs="Arial"/>
          <w:lang w:val="en-PH" w:eastAsia="en-PH"/>
        </w:rPr>
      </w:pPr>
      <w:r w:rsidRPr="00B0623E">
        <w:rPr>
          <w:rFonts w:ascii="Arial" w:hAnsi="Arial" w:cs="Arial"/>
          <w:b/>
          <w:bCs/>
          <w:lang w:val="en-PH" w:eastAsia="en-PH"/>
        </w:rPr>
        <w:t>Industrial Faculty Placement Models:</w:t>
      </w:r>
      <w:r w:rsidRPr="00B0623E">
        <w:rPr>
          <w:rFonts w:ascii="Arial" w:hAnsi="Arial" w:cs="Arial"/>
          <w:lang w:val="en-PH" w:eastAsia="en-PH"/>
        </w:rPr>
        <w:t xml:space="preserve"> Establish structured industry residency requirements for instructors, focusing directly on modern automated systems and </w:t>
      </w:r>
      <w:r w:rsidRPr="00B0623E">
        <w:rPr>
          <w:rFonts w:ascii="Arial" w:hAnsi="Arial" w:cs="Arial"/>
          <w:lang w:val="en-PH" w:eastAsia="en-PH"/>
        </w:rPr>
        <w:lastRenderedPageBreak/>
        <w:t>advanced industrial technical environments rather than basic classroom teaching techniques.</w:t>
      </w:r>
    </w:p>
    <w:p w14:paraId="0DCAC3B8" w14:textId="77777777" w:rsidR="00B0623E" w:rsidRPr="00B0623E" w:rsidRDefault="00B0623E" w:rsidP="00B0623E">
      <w:pPr>
        <w:rPr>
          <w:rFonts w:ascii="Arial" w:hAnsi="Arial" w:cs="Arial"/>
          <w:lang w:val="en-PH" w:eastAsia="en-PH"/>
        </w:rPr>
      </w:pPr>
      <w:r w:rsidRPr="00B0623E">
        <w:rPr>
          <w:rFonts w:ascii="Times New Roman" w:hAnsi="Times New Roman"/>
          <w:lang w:val="en-PH" w:eastAsia="en-PH"/>
        </w:rPr>
        <w:pict w14:anchorId="04A5A7E9">
          <v:rect id="_x0000_i1030" style="width:0;height:1.5pt" o:hralign="center" o:hrstd="t" o:hr="t" fillcolor="#a0a0a0" stroked="f"/>
        </w:pict>
      </w:r>
    </w:p>
    <w:p w14:paraId="36C331A0" w14:textId="77777777" w:rsidR="00B0623E" w:rsidRPr="00B0623E" w:rsidRDefault="00B0623E" w:rsidP="00B0623E">
      <w:pPr>
        <w:spacing w:after="100" w:afterAutospacing="1"/>
        <w:outlineLvl w:val="1"/>
        <w:rPr>
          <w:rFonts w:ascii="Arial" w:hAnsi="Arial" w:cs="Arial"/>
          <w:b/>
          <w:bCs/>
          <w:sz w:val="36"/>
          <w:szCs w:val="36"/>
          <w:lang w:val="en-PH" w:eastAsia="en-PH"/>
        </w:rPr>
      </w:pPr>
      <w:r w:rsidRPr="00B0623E">
        <w:rPr>
          <w:rFonts w:ascii="Arial" w:hAnsi="Arial" w:cs="Arial"/>
          <w:b/>
          <w:bCs/>
          <w:sz w:val="36"/>
          <w:szCs w:val="36"/>
          <w:lang w:val="en-PH" w:eastAsia="en-PH"/>
        </w:rPr>
        <w:t>References</w:t>
      </w:r>
    </w:p>
    <w:p w14:paraId="7953A169" w14:textId="77777777" w:rsidR="00B0623E" w:rsidRPr="00B0623E" w:rsidRDefault="00B0623E" w:rsidP="00B0623E">
      <w:pPr>
        <w:numPr>
          <w:ilvl w:val="0"/>
          <w:numId w:val="2"/>
        </w:numPr>
        <w:spacing w:after="100" w:afterAutospacing="1"/>
        <w:rPr>
          <w:rFonts w:ascii="Arial" w:hAnsi="Arial" w:cs="Arial"/>
          <w:lang w:val="en-PH" w:eastAsia="en-PH"/>
        </w:rPr>
      </w:pPr>
      <w:proofErr w:type="spellStart"/>
      <w:r w:rsidRPr="00B0623E">
        <w:rPr>
          <w:rFonts w:ascii="Arial" w:hAnsi="Arial" w:cs="Arial"/>
          <w:lang w:val="en-PH" w:eastAsia="en-PH"/>
        </w:rPr>
        <w:t>Ahadzie</w:t>
      </w:r>
      <w:proofErr w:type="spellEnd"/>
      <w:r w:rsidRPr="00B0623E">
        <w:rPr>
          <w:rFonts w:ascii="Arial" w:hAnsi="Arial" w:cs="Arial"/>
          <w:lang w:val="en-PH" w:eastAsia="en-PH"/>
        </w:rPr>
        <w:t xml:space="preserve">, D. K. (2019). Modeling human capital trajectories in technical-vocational systems within emerging economies. </w:t>
      </w:r>
      <w:r w:rsidRPr="00B0623E">
        <w:rPr>
          <w:rFonts w:ascii="Arial" w:hAnsi="Arial" w:cs="Arial"/>
          <w:i/>
          <w:iCs/>
          <w:lang w:val="en-PH" w:eastAsia="en-PH"/>
        </w:rPr>
        <w:t>International Journal of Educational Development</w:t>
      </w:r>
      <w:r w:rsidRPr="00B0623E">
        <w:rPr>
          <w:rFonts w:ascii="Arial" w:hAnsi="Arial" w:cs="Arial"/>
          <w:lang w:val="en-PH" w:eastAsia="en-PH"/>
        </w:rPr>
        <w:t xml:space="preserve">, </w:t>
      </w:r>
      <w:r w:rsidRPr="00B0623E">
        <w:rPr>
          <w:rFonts w:ascii="Arial" w:hAnsi="Arial" w:cs="Arial"/>
          <w:i/>
          <w:iCs/>
          <w:lang w:val="en-PH" w:eastAsia="en-PH"/>
        </w:rPr>
        <w:t>67</w:t>
      </w:r>
      <w:r w:rsidRPr="00B0623E">
        <w:rPr>
          <w:rFonts w:ascii="Arial" w:hAnsi="Arial" w:cs="Arial"/>
          <w:lang w:val="en-PH" w:eastAsia="en-PH"/>
        </w:rPr>
        <w:t>(1), 45–56.</w:t>
      </w:r>
    </w:p>
    <w:p w14:paraId="186434A1" w14:textId="77777777" w:rsidR="00B0623E" w:rsidRPr="00B0623E" w:rsidRDefault="00B0623E" w:rsidP="00B0623E">
      <w:pPr>
        <w:numPr>
          <w:ilvl w:val="0"/>
          <w:numId w:val="2"/>
        </w:numPr>
        <w:spacing w:after="100" w:afterAutospacing="1"/>
        <w:rPr>
          <w:rFonts w:ascii="Arial" w:hAnsi="Arial" w:cs="Arial"/>
          <w:lang w:val="en-PH" w:eastAsia="en-PH"/>
        </w:rPr>
      </w:pPr>
      <w:r w:rsidRPr="00B0623E">
        <w:rPr>
          <w:rFonts w:ascii="Arial" w:hAnsi="Arial" w:cs="Arial"/>
          <w:lang w:val="en-PH" w:eastAsia="en-PH"/>
        </w:rPr>
        <w:t xml:space="preserve">Anastasi, A., &amp; Urbina, S. (2005). </w:t>
      </w:r>
      <w:r w:rsidRPr="00B0623E">
        <w:rPr>
          <w:rFonts w:ascii="Arial" w:hAnsi="Arial" w:cs="Arial"/>
          <w:i/>
          <w:iCs/>
          <w:lang w:val="en-PH" w:eastAsia="en-PH"/>
        </w:rPr>
        <w:t>Psychological testing</w:t>
      </w:r>
      <w:r w:rsidRPr="00B0623E">
        <w:rPr>
          <w:rFonts w:ascii="Arial" w:hAnsi="Arial" w:cs="Arial"/>
          <w:lang w:val="en-PH" w:eastAsia="en-PH"/>
        </w:rPr>
        <w:t xml:space="preserve"> (7th ed.). Prentice Hall.</w:t>
      </w:r>
    </w:p>
    <w:p w14:paraId="5743C526" w14:textId="77777777" w:rsidR="00B0623E" w:rsidRPr="00B0623E" w:rsidRDefault="00B0623E" w:rsidP="00B0623E">
      <w:pPr>
        <w:numPr>
          <w:ilvl w:val="0"/>
          <w:numId w:val="2"/>
        </w:numPr>
        <w:spacing w:after="100" w:afterAutospacing="1"/>
        <w:rPr>
          <w:rFonts w:ascii="Arial" w:hAnsi="Arial" w:cs="Arial"/>
          <w:lang w:val="en-PH" w:eastAsia="en-PH"/>
        </w:rPr>
      </w:pPr>
      <w:r w:rsidRPr="00B0623E">
        <w:rPr>
          <w:rFonts w:ascii="Arial" w:hAnsi="Arial" w:cs="Arial"/>
          <w:lang w:val="en-PH" w:eastAsia="en-PH"/>
        </w:rPr>
        <w:t xml:space="preserve">Bromley, P., &amp; Powell, W. W. (2012). From decoupling to compliance: The changing meanings of rationalization in organization theory. </w:t>
      </w:r>
      <w:r w:rsidRPr="00B0623E">
        <w:rPr>
          <w:rFonts w:ascii="Arial" w:hAnsi="Arial" w:cs="Arial"/>
          <w:i/>
          <w:iCs/>
          <w:lang w:val="en-PH" w:eastAsia="en-PH"/>
        </w:rPr>
        <w:t>Academy of Management Annals</w:t>
      </w:r>
      <w:r w:rsidRPr="00B0623E">
        <w:rPr>
          <w:rFonts w:ascii="Arial" w:hAnsi="Arial" w:cs="Arial"/>
          <w:lang w:val="en-PH" w:eastAsia="en-PH"/>
        </w:rPr>
        <w:t xml:space="preserve">, </w:t>
      </w:r>
      <w:r w:rsidRPr="00B0623E">
        <w:rPr>
          <w:rFonts w:ascii="Arial" w:hAnsi="Arial" w:cs="Arial"/>
          <w:i/>
          <w:iCs/>
          <w:lang w:val="en-PH" w:eastAsia="en-PH"/>
        </w:rPr>
        <w:t>6</w:t>
      </w:r>
      <w:r w:rsidRPr="00B0623E">
        <w:rPr>
          <w:rFonts w:ascii="Arial" w:hAnsi="Arial" w:cs="Arial"/>
          <w:lang w:val="en-PH" w:eastAsia="en-PH"/>
        </w:rPr>
        <w:t>(1), 483–530.</w:t>
      </w:r>
    </w:p>
    <w:p w14:paraId="5DEF39A4" w14:textId="77777777" w:rsidR="00B0623E" w:rsidRPr="00B0623E" w:rsidRDefault="00B0623E" w:rsidP="00B0623E">
      <w:pPr>
        <w:numPr>
          <w:ilvl w:val="0"/>
          <w:numId w:val="2"/>
        </w:numPr>
        <w:spacing w:after="100" w:afterAutospacing="1"/>
        <w:rPr>
          <w:rFonts w:ascii="Arial" w:hAnsi="Arial" w:cs="Arial"/>
          <w:lang w:val="en-PH" w:eastAsia="en-PH"/>
        </w:rPr>
      </w:pPr>
      <w:r w:rsidRPr="00B0623E">
        <w:rPr>
          <w:rFonts w:ascii="Arial" w:hAnsi="Arial" w:cs="Arial"/>
          <w:lang w:val="en-PH" w:eastAsia="en-PH"/>
        </w:rPr>
        <w:t xml:space="preserve">Creswell, J. W., &amp; Creswell, J. D. (2018). </w:t>
      </w:r>
      <w:r w:rsidRPr="00B0623E">
        <w:rPr>
          <w:rFonts w:ascii="Arial" w:hAnsi="Arial" w:cs="Arial"/>
          <w:i/>
          <w:iCs/>
          <w:lang w:val="en-PH" w:eastAsia="en-PH"/>
        </w:rPr>
        <w:t xml:space="preserve">Research design: qualitative, quantitative, and mixed methods </w:t>
      </w:r>
      <w:proofErr w:type="gramStart"/>
      <w:r w:rsidRPr="00B0623E">
        <w:rPr>
          <w:rFonts w:ascii="Arial" w:hAnsi="Arial" w:cs="Arial"/>
          <w:i/>
          <w:iCs/>
          <w:lang w:val="en-PH" w:eastAsia="en-PH"/>
        </w:rPr>
        <w:t>approaches</w:t>
      </w:r>
      <w:proofErr w:type="gramEnd"/>
      <w:r w:rsidRPr="00B0623E">
        <w:rPr>
          <w:rFonts w:ascii="Arial" w:hAnsi="Arial" w:cs="Arial"/>
          <w:lang w:val="en-PH" w:eastAsia="en-PH"/>
        </w:rPr>
        <w:t xml:space="preserve"> (5th ed.). SAGE Publications.</w:t>
      </w:r>
    </w:p>
    <w:p w14:paraId="3D832591" w14:textId="77777777" w:rsidR="00B0623E" w:rsidRPr="00B0623E" w:rsidRDefault="00B0623E" w:rsidP="00B0623E">
      <w:pPr>
        <w:numPr>
          <w:ilvl w:val="0"/>
          <w:numId w:val="2"/>
        </w:numPr>
        <w:spacing w:after="100" w:afterAutospacing="1"/>
        <w:rPr>
          <w:rFonts w:ascii="Arial" w:hAnsi="Arial" w:cs="Arial"/>
          <w:lang w:val="en-PH" w:eastAsia="en-PH"/>
        </w:rPr>
      </w:pPr>
      <w:r w:rsidRPr="00B0623E">
        <w:rPr>
          <w:rFonts w:ascii="Arial" w:hAnsi="Arial" w:cs="Arial"/>
          <w:lang w:val="en-PH" w:eastAsia="en-PH"/>
        </w:rPr>
        <w:t xml:space="preserve">Dewey, J. (1944). </w:t>
      </w:r>
      <w:r w:rsidRPr="00B0623E">
        <w:rPr>
          <w:rFonts w:ascii="Arial" w:hAnsi="Arial" w:cs="Arial"/>
          <w:i/>
          <w:iCs/>
          <w:lang w:val="en-PH" w:eastAsia="en-PH"/>
        </w:rPr>
        <w:t>Democracy and education</w:t>
      </w:r>
      <w:r w:rsidRPr="00B0623E">
        <w:rPr>
          <w:rFonts w:ascii="Arial" w:hAnsi="Arial" w:cs="Arial"/>
          <w:lang w:val="en-PH" w:eastAsia="en-PH"/>
        </w:rPr>
        <w:t>. The Macmillan Company.</w:t>
      </w:r>
    </w:p>
    <w:p w14:paraId="6B44EF1C" w14:textId="77777777" w:rsidR="00B0623E" w:rsidRPr="00B0623E" w:rsidRDefault="00B0623E" w:rsidP="00B0623E">
      <w:pPr>
        <w:numPr>
          <w:ilvl w:val="0"/>
          <w:numId w:val="2"/>
        </w:numPr>
        <w:spacing w:after="100" w:afterAutospacing="1"/>
        <w:rPr>
          <w:rFonts w:ascii="Arial" w:hAnsi="Arial" w:cs="Arial"/>
          <w:lang w:val="en-PH" w:eastAsia="en-PH"/>
        </w:rPr>
      </w:pPr>
      <w:r w:rsidRPr="00B0623E">
        <w:rPr>
          <w:rFonts w:ascii="Arial" w:hAnsi="Arial" w:cs="Arial"/>
          <w:lang w:val="en-PH" w:eastAsia="en-PH"/>
        </w:rPr>
        <w:t xml:space="preserve">King, K. (2021). International policy mandates in technical-vocational expansions: A comparative analysis of Southeast Asian realities. </w:t>
      </w:r>
      <w:r w:rsidRPr="00B0623E">
        <w:rPr>
          <w:rFonts w:ascii="Arial" w:hAnsi="Arial" w:cs="Arial"/>
          <w:i/>
          <w:iCs/>
          <w:lang w:val="en-PH" w:eastAsia="en-PH"/>
        </w:rPr>
        <w:t>Journal of Vocational Education &amp; Training</w:t>
      </w:r>
      <w:r w:rsidRPr="00B0623E">
        <w:rPr>
          <w:rFonts w:ascii="Arial" w:hAnsi="Arial" w:cs="Arial"/>
          <w:lang w:val="en-PH" w:eastAsia="en-PH"/>
        </w:rPr>
        <w:t xml:space="preserve">, </w:t>
      </w:r>
      <w:r w:rsidRPr="00B0623E">
        <w:rPr>
          <w:rFonts w:ascii="Arial" w:hAnsi="Arial" w:cs="Arial"/>
          <w:i/>
          <w:iCs/>
          <w:lang w:val="en-PH" w:eastAsia="en-PH"/>
        </w:rPr>
        <w:t>73</w:t>
      </w:r>
      <w:r w:rsidRPr="00B0623E">
        <w:rPr>
          <w:rFonts w:ascii="Arial" w:hAnsi="Arial" w:cs="Arial"/>
          <w:lang w:val="en-PH" w:eastAsia="en-PH"/>
        </w:rPr>
        <w:t>(2), 189–208.</w:t>
      </w:r>
    </w:p>
    <w:p w14:paraId="4E95F14B" w14:textId="77777777" w:rsidR="00B0623E" w:rsidRPr="00B0623E" w:rsidRDefault="00B0623E" w:rsidP="00B0623E">
      <w:pPr>
        <w:numPr>
          <w:ilvl w:val="0"/>
          <w:numId w:val="2"/>
        </w:numPr>
        <w:spacing w:after="100" w:afterAutospacing="1"/>
        <w:rPr>
          <w:rFonts w:ascii="Arial" w:hAnsi="Arial" w:cs="Arial"/>
          <w:lang w:val="en-PH" w:eastAsia="en-PH"/>
        </w:rPr>
      </w:pPr>
      <w:r w:rsidRPr="00B0623E">
        <w:rPr>
          <w:rFonts w:ascii="Arial" w:hAnsi="Arial" w:cs="Arial"/>
          <w:lang w:val="en-PH" w:eastAsia="en-PH"/>
        </w:rPr>
        <w:t xml:space="preserve">McGrath, S., Ramsarup, P., Needham, S., &amp; Tang, Q. (2020). Vocational education and training for sustainable development: Shipwrecks and lifebuoys. </w:t>
      </w:r>
      <w:r w:rsidRPr="00B0623E">
        <w:rPr>
          <w:rFonts w:ascii="Arial" w:hAnsi="Arial" w:cs="Arial"/>
          <w:i/>
          <w:iCs/>
          <w:lang w:val="en-PH" w:eastAsia="en-PH"/>
        </w:rPr>
        <w:t>International Journal of Educational Development</w:t>
      </w:r>
      <w:r w:rsidRPr="00B0623E">
        <w:rPr>
          <w:rFonts w:ascii="Arial" w:hAnsi="Arial" w:cs="Arial"/>
          <w:lang w:val="en-PH" w:eastAsia="en-PH"/>
        </w:rPr>
        <w:t xml:space="preserve">, </w:t>
      </w:r>
      <w:r w:rsidRPr="00B0623E">
        <w:rPr>
          <w:rFonts w:ascii="Arial" w:hAnsi="Arial" w:cs="Arial"/>
          <w:i/>
          <w:iCs/>
          <w:lang w:val="en-PH" w:eastAsia="en-PH"/>
        </w:rPr>
        <w:t>76</w:t>
      </w:r>
      <w:r w:rsidRPr="00B0623E">
        <w:rPr>
          <w:rFonts w:ascii="Arial" w:hAnsi="Arial" w:cs="Arial"/>
          <w:lang w:val="en-PH" w:eastAsia="en-PH"/>
        </w:rPr>
        <w:t>(3), 102–119.</w:t>
      </w:r>
    </w:p>
    <w:p w14:paraId="6956A847" w14:textId="77777777" w:rsidR="00B0623E" w:rsidRPr="00B0623E" w:rsidRDefault="00B0623E" w:rsidP="00B0623E">
      <w:pPr>
        <w:numPr>
          <w:ilvl w:val="0"/>
          <w:numId w:val="2"/>
        </w:numPr>
        <w:spacing w:after="100" w:afterAutospacing="1"/>
        <w:rPr>
          <w:rFonts w:ascii="Arial" w:hAnsi="Arial" w:cs="Arial"/>
          <w:lang w:val="en-PH" w:eastAsia="en-PH"/>
        </w:rPr>
      </w:pPr>
      <w:r w:rsidRPr="00B0623E">
        <w:rPr>
          <w:rFonts w:ascii="Arial" w:hAnsi="Arial" w:cs="Arial"/>
          <w:lang w:val="en-PH" w:eastAsia="en-PH"/>
        </w:rPr>
        <w:t xml:space="preserve">Meyer, J. W., &amp; Rowan, B. (1977). Institutionalized organizations: Formal structure as myth and ceremony. </w:t>
      </w:r>
      <w:r w:rsidRPr="00B0623E">
        <w:rPr>
          <w:rFonts w:ascii="Arial" w:hAnsi="Arial" w:cs="Arial"/>
          <w:i/>
          <w:iCs/>
          <w:lang w:val="en-PH" w:eastAsia="en-PH"/>
        </w:rPr>
        <w:t>American Journal of Sociology</w:t>
      </w:r>
      <w:r w:rsidRPr="00B0623E">
        <w:rPr>
          <w:rFonts w:ascii="Arial" w:hAnsi="Arial" w:cs="Arial"/>
          <w:lang w:val="en-PH" w:eastAsia="en-PH"/>
        </w:rPr>
        <w:t xml:space="preserve">, </w:t>
      </w:r>
      <w:r w:rsidRPr="00B0623E">
        <w:rPr>
          <w:rFonts w:ascii="Arial" w:hAnsi="Arial" w:cs="Arial"/>
          <w:i/>
          <w:iCs/>
          <w:lang w:val="en-PH" w:eastAsia="en-PH"/>
        </w:rPr>
        <w:t>83</w:t>
      </w:r>
      <w:r w:rsidRPr="00B0623E">
        <w:rPr>
          <w:rFonts w:ascii="Arial" w:hAnsi="Arial" w:cs="Arial"/>
          <w:lang w:val="en-PH" w:eastAsia="en-PH"/>
        </w:rPr>
        <w:t>(2), 340–363.</w:t>
      </w:r>
    </w:p>
    <w:p w14:paraId="3C82AA6C" w14:textId="77777777" w:rsidR="00B0623E" w:rsidRPr="00B0623E" w:rsidRDefault="00B0623E" w:rsidP="00B0623E">
      <w:pPr>
        <w:numPr>
          <w:ilvl w:val="0"/>
          <w:numId w:val="2"/>
        </w:numPr>
        <w:spacing w:after="100" w:afterAutospacing="1"/>
        <w:rPr>
          <w:rFonts w:ascii="Arial" w:hAnsi="Arial" w:cs="Arial"/>
          <w:lang w:val="en-PH" w:eastAsia="en-PH"/>
        </w:rPr>
      </w:pPr>
      <w:r w:rsidRPr="00B0623E">
        <w:rPr>
          <w:rFonts w:ascii="Arial" w:hAnsi="Arial" w:cs="Arial"/>
          <w:lang w:val="en-PH" w:eastAsia="en-PH"/>
        </w:rPr>
        <w:t xml:space="preserve">Ortner, S. B. (1984). Theory in anthropology since the sixties. </w:t>
      </w:r>
      <w:r w:rsidRPr="00B0623E">
        <w:rPr>
          <w:rFonts w:ascii="Arial" w:hAnsi="Arial" w:cs="Arial"/>
          <w:i/>
          <w:iCs/>
          <w:lang w:val="en-PH" w:eastAsia="en-PH"/>
        </w:rPr>
        <w:t>Comparative Studies in Society and History</w:t>
      </w:r>
      <w:r w:rsidRPr="00B0623E">
        <w:rPr>
          <w:rFonts w:ascii="Arial" w:hAnsi="Arial" w:cs="Arial"/>
          <w:lang w:val="en-PH" w:eastAsia="en-PH"/>
        </w:rPr>
        <w:t xml:space="preserve">, </w:t>
      </w:r>
      <w:r w:rsidRPr="00B0623E">
        <w:rPr>
          <w:rFonts w:ascii="Arial" w:hAnsi="Arial" w:cs="Arial"/>
          <w:i/>
          <w:iCs/>
          <w:lang w:val="en-PH" w:eastAsia="en-PH"/>
        </w:rPr>
        <w:t>26</w:t>
      </w:r>
      <w:r w:rsidRPr="00B0623E">
        <w:rPr>
          <w:rFonts w:ascii="Arial" w:hAnsi="Arial" w:cs="Arial"/>
          <w:lang w:val="en-PH" w:eastAsia="en-PH"/>
        </w:rPr>
        <w:t>(1), 126–166.</w:t>
      </w:r>
    </w:p>
    <w:p w14:paraId="7BD0CA05" w14:textId="77777777" w:rsidR="00B0623E" w:rsidRPr="00B0623E" w:rsidRDefault="00B0623E" w:rsidP="00B0623E">
      <w:pPr>
        <w:numPr>
          <w:ilvl w:val="0"/>
          <w:numId w:val="2"/>
        </w:numPr>
        <w:spacing w:after="100" w:afterAutospacing="1"/>
        <w:rPr>
          <w:rFonts w:ascii="Arial" w:hAnsi="Arial" w:cs="Arial"/>
          <w:lang w:val="en-PH" w:eastAsia="en-PH"/>
        </w:rPr>
      </w:pPr>
      <w:r w:rsidRPr="00B0623E">
        <w:rPr>
          <w:rFonts w:ascii="Arial" w:hAnsi="Arial" w:cs="Arial"/>
          <w:lang w:val="en-PH" w:eastAsia="en-PH"/>
        </w:rPr>
        <w:t xml:space="preserve">Pilz, M., &amp; Li, J. (2020). Comparative TVET research: Challenges and prospects in developing institutional contexts. </w:t>
      </w:r>
      <w:r w:rsidRPr="00B0623E">
        <w:rPr>
          <w:rFonts w:ascii="Arial" w:hAnsi="Arial" w:cs="Arial"/>
          <w:i/>
          <w:iCs/>
          <w:lang w:val="en-PH" w:eastAsia="en-PH"/>
        </w:rPr>
        <w:t>International Journal of Training Research</w:t>
      </w:r>
      <w:r w:rsidRPr="00B0623E">
        <w:rPr>
          <w:rFonts w:ascii="Arial" w:hAnsi="Arial" w:cs="Arial"/>
          <w:lang w:val="en-PH" w:eastAsia="en-PH"/>
        </w:rPr>
        <w:t xml:space="preserve">, </w:t>
      </w:r>
      <w:r w:rsidRPr="00B0623E">
        <w:rPr>
          <w:rFonts w:ascii="Arial" w:hAnsi="Arial" w:cs="Arial"/>
          <w:i/>
          <w:iCs/>
          <w:lang w:val="en-PH" w:eastAsia="en-PH"/>
        </w:rPr>
        <w:t>18</w:t>
      </w:r>
      <w:r w:rsidRPr="00B0623E">
        <w:rPr>
          <w:rFonts w:ascii="Arial" w:hAnsi="Arial" w:cs="Arial"/>
          <w:lang w:val="en-PH" w:eastAsia="en-PH"/>
        </w:rPr>
        <w:t>(2), 95–111.</w:t>
      </w:r>
    </w:p>
    <w:p w14:paraId="13E32B63" w14:textId="77777777" w:rsidR="00B0623E" w:rsidRPr="00B0623E" w:rsidRDefault="00B0623E" w:rsidP="00B0623E">
      <w:pPr>
        <w:numPr>
          <w:ilvl w:val="0"/>
          <w:numId w:val="2"/>
        </w:numPr>
        <w:spacing w:after="100" w:afterAutospacing="1"/>
        <w:rPr>
          <w:rFonts w:ascii="Arial" w:hAnsi="Arial" w:cs="Arial"/>
          <w:lang w:val="en-PH" w:eastAsia="en-PH"/>
        </w:rPr>
      </w:pPr>
      <w:r w:rsidRPr="00B0623E">
        <w:rPr>
          <w:rFonts w:ascii="Arial" w:hAnsi="Arial" w:cs="Arial"/>
          <w:lang w:val="en-PH" w:eastAsia="en-PH"/>
        </w:rPr>
        <w:t xml:space="preserve">Rogan, J. M., &amp; Grayson, D. J. (2003). Towards a theory of curriculum implementation with particular reference to science education in developing countries. </w:t>
      </w:r>
      <w:r w:rsidRPr="00B0623E">
        <w:rPr>
          <w:rFonts w:ascii="Arial" w:hAnsi="Arial" w:cs="Arial"/>
          <w:i/>
          <w:iCs/>
          <w:lang w:val="en-PH" w:eastAsia="en-PH"/>
        </w:rPr>
        <w:t>International Journal of Science Education</w:t>
      </w:r>
      <w:r w:rsidRPr="00B0623E">
        <w:rPr>
          <w:rFonts w:ascii="Arial" w:hAnsi="Arial" w:cs="Arial"/>
          <w:lang w:val="en-PH" w:eastAsia="en-PH"/>
        </w:rPr>
        <w:t xml:space="preserve">, </w:t>
      </w:r>
      <w:r w:rsidRPr="00B0623E">
        <w:rPr>
          <w:rFonts w:ascii="Arial" w:hAnsi="Arial" w:cs="Arial"/>
          <w:i/>
          <w:iCs/>
          <w:lang w:val="en-PH" w:eastAsia="en-PH"/>
        </w:rPr>
        <w:t>25</w:t>
      </w:r>
      <w:r w:rsidRPr="00B0623E">
        <w:rPr>
          <w:rFonts w:ascii="Arial" w:hAnsi="Arial" w:cs="Arial"/>
          <w:lang w:val="en-PH" w:eastAsia="en-PH"/>
        </w:rPr>
        <w:t>(10), 1171–1204.</w:t>
      </w:r>
    </w:p>
    <w:p w14:paraId="0D043B53" w14:textId="77777777" w:rsidR="00B0623E" w:rsidRPr="00B0623E" w:rsidRDefault="00B0623E" w:rsidP="00B0623E">
      <w:pPr>
        <w:numPr>
          <w:ilvl w:val="0"/>
          <w:numId w:val="2"/>
        </w:numPr>
        <w:spacing w:after="100" w:afterAutospacing="1"/>
        <w:rPr>
          <w:rFonts w:ascii="Arial" w:hAnsi="Arial" w:cs="Arial"/>
          <w:lang w:val="en-PH" w:eastAsia="en-PH"/>
        </w:rPr>
      </w:pPr>
      <w:proofErr w:type="spellStart"/>
      <w:r w:rsidRPr="00B0623E">
        <w:rPr>
          <w:rFonts w:ascii="Arial" w:hAnsi="Arial" w:cs="Arial"/>
          <w:lang w:val="en-PH" w:eastAsia="en-PH"/>
        </w:rPr>
        <w:t>Swanborn</w:t>
      </w:r>
      <w:proofErr w:type="spellEnd"/>
      <w:r w:rsidRPr="00B0623E">
        <w:rPr>
          <w:rFonts w:ascii="Arial" w:hAnsi="Arial" w:cs="Arial"/>
          <w:lang w:val="en-PH" w:eastAsia="en-PH"/>
        </w:rPr>
        <w:t xml:space="preserve">, P. (2010). </w:t>
      </w:r>
      <w:r w:rsidRPr="00B0623E">
        <w:rPr>
          <w:rFonts w:ascii="Arial" w:hAnsi="Arial" w:cs="Arial"/>
          <w:i/>
          <w:iCs/>
          <w:lang w:val="en-PH" w:eastAsia="en-PH"/>
        </w:rPr>
        <w:t>Case study research: What, why and how?</w:t>
      </w:r>
      <w:r w:rsidRPr="00B0623E">
        <w:rPr>
          <w:rFonts w:ascii="Arial" w:hAnsi="Arial" w:cs="Arial"/>
          <w:lang w:val="en-PH" w:eastAsia="en-PH"/>
        </w:rPr>
        <w:t xml:space="preserve"> SAGE Publications.</w:t>
      </w:r>
    </w:p>
    <w:p w14:paraId="7664A821" w14:textId="77777777" w:rsidR="00B0623E" w:rsidRPr="00B0623E" w:rsidRDefault="00B0623E" w:rsidP="00B0623E">
      <w:pPr>
        <w:numPr>
          <w:ilvl w:val="0"/>
          <w:numId w:val="2"/>
        </w:numPr>
        <w:spacing w:after="100" w:afterAutospacing="1"/>
        <w:rPr>
          <w:rFonts w:ascii="Arial" w:hAnsi="Arial" w:cs="Arial"/>
          <w:lang w:val="en-PH" w:eastAsia="en-PH"/>
        </w:rPr>
      </w:pPr>
      <w:r w:rsidRPr="00B0623E">
        <w:rPr>
          <w:rFonts w:ascii="Arial" w:hAnsi="Arial" w:cs="Arial"/>
          <w:lang w:val="en-PH" w:eastAsia="en-PH"/>
        </w:rPr>
        <w:t xml:space="preserve">Technical Education and Skills Development Authority. (2024). </w:t>
      </w:r>
      <w:r w:rsidRPr="00B0623E">
        <w:rPr>
          <w:rFonts w:ascii="Arial" w:hAnsi="Arial" w:cs="Arial"/>
          <w:i/>
          <w:iCs/>
          <w:lang w:val="en-PH" w:eastAsia="en-PH"/>
        </w:rPr>
        <w:t>National TVET qualifications and compliance frameworks manual</w:t>
      </w:r>
      <w:r w:rsidRPr="00B0623E">
        <w:rPr>
          <w:rFonts w:ascii="Arial" w:hAnsi="Arial" w:cs="Arial"/>
          <w:lang w:val="en-PH" w:eastAsia="en-PH"/>
        </w:rPr>
        <w:t>. TESDA Secretariat.</w:t>
      </w:r>
    </w:p>
    <w:p w14:paraId="0E92F70C" w14:textId="77777777" w:rsidR="00B0623E" w:rsidRPr="00B0623E" w:rsidRDefault="00B0623E" w:rsidP="00B0623E">
      <w:pPr>
        <w:numPr>
          <w:ilvl w:val="0"/>
          <w:numId w:val="2"/>
        </w:numPr>
        <w:spacing w:after="100" w:afterAutospacing="1"/>
        <w:rPr>
          <w:rFonts w:ascii="Arial" w:hAnsi="Arial" w:cs="Arial"/>
          <w:lang w:val="en-PH" w:eastAsia="en-PH"/>
        </w:rPr>
      </w:pPr>
      <w:r w:rsidRPr="00B0623E">
        <w:rPr>
          <w:rFonts w:ascii="Arial" w:hAnsi="Arial" w:cs="Arial"/>
          <w:lang w:val="en-PH" w:eastAsia="en-PH"/>
        </w:rPr>
        <w:t xml:space="preserve">UNESCO. (2022). </w:t>
      </w:r>
      <w:r w:rsidRPr="00B0623E">
        <w:rPr>
          <w:rFonts w:ascii="Arial" w:hAnsi="Arial" w:cs="Arial"/>
          <w:i/>
          <w:iCs/>
          <w:lang w:val="en-PH" w:eastAsia="en-PH"/>
        </w:rPr>
        <w:t>Transforming technical and vocational education and training for successful and just transitions</w:t>
      </w:r>
      <w:r w:rsidRPr="00B0623E">
        <w:rPr>
          <w:rFonts w:ascii="Arial" w:hAnsi="Arial" w:cs="Arial"/>
          <w:lang w:val="en-PH" w:eastAsia="en-PH"/>
        </w:rPr>
        <w:t>. UNESCO Digital Library.</w:t>
      </w:r>
    </w:p>
    <w:p w14:paraId="371C40FB" w14:textId="77777777" w:rsidR="00B0623E" w:rsidRPr="00B0623E" w:rsidRDefault="00B0623E" w:rsidP="00B0623E">
      <w:pPr>
        <w:numPr>
          <w:ilvl w:val="0"/>
          <w:numId w:val="2"/>
        </w:numPr>
        <w:spacing w:after="100" w:afterAutospacing="1"/>
        <w:rPr>
          <w:rFonts w:ascii="Arial" w:hAnsi="Arial" w:cs="Arial"/>
          <w:lang w:val="en-PH" w:eastAsia="en-PH"/>
        </w:rPr>
      </w:pPr>
      <w:r w:rsidRPr="00B0623E">
        <w:rPr>
          <w:rFonts w:ascii="Arial" w:hAnsi="Arial" w:cs="Arial"/>
          <w:lang w:val="en-PH" w:eastAsia="en-PH"/>
        </w:rPr>
        <w:t xml:space="preserve">World Bank. (2023). </w:t>
      </w:r>
      <w:r w:rsidRPr="00B0623E">
        <w:rPr>
          <w:rFonts w:ascii="Arial" w:hAnsi="Arial" w:cs="Arial"/>
          <w:i/>
          <w:iCs/>
          <w:lang w:val="en-PH" w:eastAsia="en-PH"/>
        </w:rPr>
        <w:t>Skills for the future: Realigning vocational frameworks in developing financial markets</w:t>
      </w:r>
      <w:r w:rsidRPr="00B0623E">
        <w:rPr>
          <w:rFonts w:ascii="Arial" w:hAnsi="Arial" w:cs="Arial"/>
          <w:lang w:val="en-PH" w:eastAsia="en-PH"/>
        </w:rPr>
        <w:t>. World Bank Group Policy Research Paper.</w:t>
      </w:r>
    </w:p>
    <w:p w14:paraId="3A61778C" w14:textId="77777777" w:rsidR="00A341BA" w:rsidRPr="00B0623E" w:rsidRDefault="00A341BA">
      <w:pPr>
        <w:rPr>
          <w:rFonts w:ascii="Times New Roman" w:hAnsi="Times New Roman"/>
        </w:rPr>
      </w:pPr>
    </w:p>
    <w:sectPr w:rsidR="00A341BA" w:rsidRPr="00B0623E" w:rsidSect="00A230C7">
      <w:pgSz w:w="12240" w:h="1872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2027F"/>
    <w:multiLevelType w:val="multilevel"/>
    <w:tmpl w:val="C398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235A47"/>
    <w:multiLevelType w:val="multilevel"/>
    <w:tmpl w:val="53D0D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8860206">
    <w:abstractNumId w:val="1"/>
  </w:num>
  <w:num w:numId="2" w16cid:durableId="212018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3E"/>
    <w:rsid w:val="0004488D"/>
    <w:rsid w:val="00067DE4"/>
    <w:rsid w:val="001535C3"/>
    <w:rsid w:val="00182887"/>
    <w:rsid w:val="00312D07"/>
    <w:rsid w:val="003D3795"/>
    <w:rsid w:val="00796A2C"/>
    <w:rsid w:val="007E7FB0"/>
    <w:rsid w:val="008C254A"/>
    <w:rsid w:val="009B630D"/>
    <w:rsid w:val="00A230C7"/>
    <w:rsid w:val="00A341BA"/>
    <w:rsid w:val="00B0623E"/>
    <w:rsid w:val="00C1150D"/>
    <w:rsid w:val="00C93ECC"/>
    <w:rsid w:val="00D93991"/>
    <w:rsid w:val="00DF464D"/>
    <w:rsid w:val="00E14D31"/>
    <w:rsid w:val="00E15F5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96AF"/>
  <w15:chartTrackingRefBased/>
  <w15:docId w15:val="{3998DE8B-DC40-43DC-A710-2D32DBDB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795"/>
    <w:pPr>
      <w:spacing w:after="0" w:line="240" w:lineRule="auto"/>
    </w:pPr>
    <w:rPr>
      <w:rFonts w:ascii="Bookman Old Style" w:hAnsi="Bookman Old Style" w:cs="Times New Roman"/>
      <w:kern w:val="0"/>
      <w:sz w:val="24"/>
      <w:szCs w:val="24"/>
      <w:lang w:val="en-US"/>
      <w14:ligatures w14:val="none"/>
    </w:rPr>
  </w:style>
  <w:style w:type="paragraph" w:styleId="Heading1">
    <w:name w:val="heading 1"/>
    <w:basedOn w:val="Normal"/>
    <w:next w:val="Normal"/>
    <w:link w:val="Heading1Char"/>
    <w:uiPriority w:val="9"/>
    <w:qFormat/>
    <w:rsid w:val="00B06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796A2C"/>
    <w:pPr>
      <w:keepNext/>
      <w:keepLines/>
      <w:spacing w:before="40"/>
      <w:outlineLvl w:val="1"/>
    </w:pPr>
    <w:rPr>
      <w:rFonts w:cstheme="minorBidi"/>
      <w:b/>
      <w:kern w:val="2"/>
      <w:szCs w:val="26"/>
      <w14:ligatures w14:val="standardContextual"/>
    </w:rPr>
  </w:style>
  <w:style w:type="paragraph" w:styleId="Heading3">
    <w:name w:val="heading 3"/>
    <w:basedOn w:val="Normal"/>
    <w:next w:val="Normal"/>
    <w:link w:val="Heading3Char"/>
    <w:autoRedefine/>
    <w:uiPriority w:val="9"/>
    <w:unhideWhenUsed/>
    <w:qFormat/>
    <w:rsid w:val="00796A2C"/>
    <w:pPr>
      <w:keepNext/>
      <w:keepLines/>
      <w:outlineLvl w:val="2"/>
    </w:pPr>
    <w:rPr>
      <w:rFonts w:cstheme="minorBidi"/>
      <w:bCs/>
      <w:kern w:val="2"/>
      <w14:ligatures w14:val="standardContextual"/>
    </w:rPr>
  </w:style>
  <w:style w:type="paragraph" w:styleId="Heading4">
    <w:name w:val="heading 4"/>
    <w:basedOn w:val="Normal"/>
    <w:next w:val="Normal"/>
    <w:link w:val="Heading4Char"/>
    <w:uiPriority w:val="9"/>
    <w:semiHidden/>
    <w:unhideWhenUsed/>
    <w:qFormat/>
    <w:rsid w:val="00B062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62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623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623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623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623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
    <w:name w:val="Info"/>
    <w:basedOn w:val="Normal"/>
    <w:next w:val="Normal"/>
    <w:link w:val="InfoChar"/>
    <w:autoRedefine/>
    <w:qFormat/>
    <w:rsid w:val="00312D07"/>
    <w:pPr>
      <w:keepNext/>
      <w:spacing w:before="240" w:after="120"/>
      <w:ind w:left="1152"/>
    </w:pPr>
    <w:rPr>
      <w:rFonts w:cs="Calibri"/>
      <w:b/>
      <w:snapToGrid w:val="0"/>
      <w:sz w:val="28"/>
      <w:szCs w:val="36"/>
    </w:rPr>
  </w:style>
  <w:style w:type="character" w:customStyle="1" w:styleId="InfoChar">
    <w:name w:val="Info Char"/>
    <w:basedOn w:val="DefaultParagraphFont"/>
    <w:link w:val="Info"/>
    <w:rsid w:val="00312D07"/>
    <w:rPr>
      <w:rFonts w:ascii="Bookman Old Style" w:eastAsia="Times New Roman" w:hAnsi="Bookman Old Style" w:cs="Calibri"/>
      <w:b/>
      <w:snapToGrid w:val="0"/>
      <w:sz w:val="28"/>
      <w:szCs w:val="36"/>
      <w:lang w:val="en-US"/>
    </w:rPr>
  </w:style>
  <w:style w:type="paragraph" w:customStyle="1" w:styleId="Selfcheck">
    <w:name w:val="Self check"/>
    <w:basedOn w:val="Normal"/>
    <w:link w:val="SelfcheckChar"/>
    <w:autoRedefine/>
    <w:qFormat/>
    <w:rsid w:val="00312D07"/>
    <w:pPr>
      <w:tabs>
        <w:tab w:val="left" w:pos="4590"/>
      </w:tabs>
      <w:spacing w:before="80"/>
      <w:ind w:left="270"/>
    </w:pPr>
    <w:rPr>
      <w:rFonts w:eastAsia="Bookman Old Style" w:cs="Calibri"/>
      <w:b/>
      <w:noProof/>
      <w:szCs w:val="28"/>
    </w:rPr>
  </w:style>
  <w:style w:type="character" w:customStyle="1" w:styleId="SelfcheckChar">
    <w:name w:val="Self check Char"/>
    <w:link w:val="Selfcheck"/>
    <w:rsid w:val="00312D07"/>
    <w:rPr>
      <w:rFonts w:ascii="Bookman Old Style" w:eastAsia="Bookman Old Style" w:hAnsi="Bookman Old Style" w:cs="Calibri"/>
      <w:b/>
      <w:noProof/>
      <w:sz w:val="24"/>
      <w:szCs w:val="28"/>
      <w:lang w:val="en-US"/>
    </w:rPr>
  </w:style>
  <w:style w:type="character" w:customStyle="1" w:styleId="Heading3Char">
    <w:name w:val="Heading 3 Char"/>
    <w:link w:val="Heading3"/>
    <w:uiPriority w:val="9"/>
    <w:rsid w:val="00796A2C"/>
    <w:rPr>
      <w:rFonts w:ascii="Bookman Old Style" w:hAnsi="Bookman Old Style"/>
      <w:b/>
      <w:bCs/>
      <w:sz w:val="24"/>
      <w:szCs w:val="24"/>
      <w:lang w:val="en-US"/>
    </w:rPr>
  </w:style>
  <w:style w:type="paragraph" w:customStyle="1" w:styleId="HEADER3">
    <w:name w:val="HEADER 3"/>
    <w:basedOn w:val="Normal"/>
    <w:link w:val="HEADER3Char"/>
    <w:autoRedefine/>
    <w:qFormat/>
    <w:rsid w:val="00796A2C"/>
    <w:pPr>
      <w:keepNext/>
      <w:spacing w:before="240" w:after="120"/>
      <w:ind w:left="1152"/>
    </w:pPr>
    <w:rPr>
      <w:rFonts w:ascii="Arial" w:hAnsi="Arial" w:cstheme="minorBidi"/>
      <w:snapToGrid w:val="0"/>
      <w:color w:val="000000"/>
      <w:kern w:val="2"/>
      <w14:ligatures w14:val="standardContextual"/>
    </w:rPr>
  </w:style>
  <w:style w:type="character" w:customStyle="1" w:styleId="HEADER3Char">
    <w:name w:val="HEADER 3 Char"/>
    <w:basedOn w:val="DefaultParagraphFont"/>
    <w:link w:val="HEADER3"/>
    <w:rsid w:val="00796A2C"/>
    <w:rPr>
      <w:rFonts w:ascii="Arial" w:hAnsi="Arial"/>
      <w:b/>
      <w:snapToGrid w:val="0"/>
      <w:color w:val="000000"/>
      <w:sz w:val="24"/>
      <w:szCs w:val="24"/>
      <w:lang w:val="en-US"/>
    </w:rPr>
  </w:style>
  <w:style w:type="paragraph" w:customStyle="1" w:styleId="Style3">
    <w:name w:val="Style3"/>
    <w:basedOn w:val="Heading3"/>
    <w:next w:val="Normal"/>
    <w:link w:val="Style3Char"/>
    <w:autoRedefine/>
    <w:qFormat/>
    <w:rsid w:val="00796A2C"/>
    <w:rPr>
      <w:rFonts w:eastAsia="Bookman Old Style"/>
    </w:rPr>
  </w:style>
  <w:style w:type="character" w:customStyle="1" w:styleId="Style3Char">
    <w:name w:val="Style3 Char"/>
    <w:basedOn w:val="Heading3Char"/>
    <w:link w:val="Style3"/>
    <w:rsid w:val="00796A2C"/>
    <w:rPr>
      <w:rFonts w:ascii="Bookman Old Style" w:eastAsia="Bookman Old Style" w:hAnsi="Bookman Old Style"/>
      <w:b/>
      <w:bCs/>
      <w:sz w:val="24"/>
      <w:szCs w:val="24"/>
      <w:lang w:val="en-US"/>
    </w:rPr>
  </w:style>
  <w:style w:type="character" w:customStyle="1" w:styleId="Heading2Char">
    <w:name w:val="Heading 2 Char"/>
    <w:link w:val="Heading2"/>
    <w:uiPriority w:val="9"/>
    <w:rsid w:val="00796A2C"/>
    <w:rPr>
      <w:rFonts w:ascii="Bookman Old Style" w:hAnsi="Bookman Old Style"/>
      <w:sz w:val="24"/>
      <w:szCs w:val="26"/>
      <w:lang w:val="en-US"/>
    </w:rPr>
  </w:style>
  <w:style w:type="paragraph" w:customStyle="1" w:styleId="SubheadCblm1">
    <w:name w:val="Subhead Cblm 1"/>
    <w:basedOn w:val="Normal"/>
    <w:next w:val="Normal"/>
    <w:link w:val="SubheadCblm1Char"/>
    <w:autoRedefine/>
    <w:qFormat/>
    <w:rsid w:val="00E15F58"/>
    <w:pPr>
      <w:tabs>
        <w:tab w:val="left" w:pos="0"/>
      </w:tabs>
      <w:spacing w:before="80"/>
    </w:pPr>
    <w:rPr>
      <w:rFonts w:eastAsia="Bookman Old Style" w:cs="Calibri"/>
      <w:kern w:val="2"/>
      <w:lang w:val="en-PH"/>
      <w14:ligatures w14:val="standardContextual"/>
    </w:rPr>
  </w:style>
  <w:style w:type="character" w:customStyle="1" w:styleId="SubheadCblm1Char">
    <w:name w:val="Subhead Cblm 1 Char"/>
    <w:link w:val="SubheadCblm1"/>
    <w:rsid w:val="00E15F58"/>
    <w:rPr>
      <w:rFonts w:ascii="Bookman Old Style" w:eastAsia="Bookman Old Style" w:hAnsi="Bookman Old Style" w:cs="Calibri"/>
      <w:b/>
      <w:sz w:val="24"/>
      <w:szCs w:val="24"/>
    </w:rPr>
  </w:style>
  <w:style w:type="character" w:customStyle="1" w:styleId="Heading1Char">
    <w:name w:val="Heading 1 Char"/>
    <w:basedOn w:val="DefaultParagraphFont"/>
    <w:link w:val="Heading1"/>
    <w:uiPriority w:val="9"/>
    <w:rsid w:val="00B0623E"/>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Heading4Char">
    <w:name w:val="Heading 4 Char"/>
    <w:basedOn w:val="DefaultParagraphFont"/>
    <w:link w:val="Heading4"/>
    <w:uiPriority w:val="9"/>
    <w:semiHidden/>
    <w:rsid w:val="00B0623E"/>
    <w:rPr>
      <w:rFonts w:eastAsiaTheme="majorEastAsia" w:cstheme="majorBidi"/>
      <w:i/>
      <w:iCs/>
      <w:color w:val="0F4761" w:themeColor="accent1" w:themeShade="BF"/>
      <w:kern w:val="0"/>
      <w:sz w:val="24"/>
      <w:szCs w:val="24"/>
      <w:lang w:val="en-US"/>
      <w14:ligatures w14:val="none"/>
    </w:rPr>
  </w:style>
  <w:style w:type="character" w:customStyle="1" w:styleId="Heading5Char">
    <w:name w:val="Heading 5 Char"/>
    <w:basedOn w:val="DefaultParagraphFont"/>
    <w:link w:val="Heading5"/>
    <w:uiPriority w:val="9"/>
    <w:semiHidden/>
    <w:rsid w:val="00B0623E"/>
    <w:rPr>
      <w:rFonts w:eastAsiaTheme="majorEastAsia" w:cstheme="majorBidi"/>
      <w:color w:val="0F4761" w:themeColor="accent1" w:themeShade="BF"/>
      <w:kern w:val="0"/>
      <w:sz w:val="24"/>
      <w:szCs w:val="24"/>
      <w:lang w:val="en-US"/>
      <w14:ligatures w14:val="none"/>
    </w:rPr>
  </w:style>
  <w:style w:type="character" w:customStyle="1" w:styleId="Heading6Char">
    <w:name w:val="Heading 6 Char"/>
    <w:basedOn w:val="DefaultParagraphFont"/>
    <w:link w:val="Heading6"/>
    <w:uiPriority w:val="9"/>
    <w:semiHidden/>
    <w:rsid w:val="00B0623E"/>
    <w:rPr>
      <w:rFonts w:eastAsiaTheme="majorEastAsia" w:cstheme="majorBidi"/>
      <w:i/>
      <w:iCs/>
      <w:color w:val="595959" w:themeColor="text1" w:themeTint="A6"/>
      <w:kern w:val="0"/>
      <w:sz w:val="24"/>
      <w:szCs w:val="24"/>
      <w:lang w:val="en-US"/>
      <w14:ligatures w14:val="none"/>
    </w:rPr>
  </w:style>
  <w:style w:type="character" w:customStyle="1" w:styleId="Heading7Char">
    <w:name w:val="Heading 7 Char"/>
    <w:basedOn w:val="DefaultParagraphFont"/>
    <w:link w:val="Heading7"/>
    <w:uiPriority w:val="9"/>
    <w:semiHidden/>
    <w:rsid w:val="00B0623E"/>
    <w:rPr>
      <w:rFonts w:eastAsiaTheme="majorEastAsia" w:cstheme="majorBidi"/>
      <w:color w:val="595959" w:themeColor="text1" w:themeTint="A6"/>
      <w:kern w:val="0"/>
      <w:sz w:val="24"/>
      <w:szCs w:val="24"/>
      <w:lang w:val="en-US"/>
      <w14:ligatures w14:val="none"/>
    </w:rPr>
  </w:style>
  <w:style w:type="character" w:customStyle="1" w:styleId="Heading8Char">
    <w:name w:val="Heading 8 Char"/>
    <w:basedOn w:val="DefaultParagraphFont"/>
    <w:link w:val="Heading8"/>
    <w:uiPriority w:val="9"/>
    <w:semiHidden/>
    <w:rsid w:val="00B0623E"/>
    <w:rPr>
      <w:rFonts w:eastAsiaTheme="majorEastAsia" w:cstheme="majorBidi"/>
      <w:i/>
      <w:iCs/>
      <w:color w:val="272727" w:themeColor="text1" w:themeTint="D8"/>
      <w:kern w:val="0"/>
      <w:sz w:val="24"/>
      <w:szCs w:val="24"/>
      <w:lang w:val="en-US"/>
      <w14:ligatures w14:val="none"/>
    </w:rPr>
  </w:style>
  <w:style w:type="character" w:customStyle="1" w:styleId="Heading9Char">
    <w:name w:val="Heading 9 Char"/>
    <w:basedOn w:val="DefaultParagraphFont"/>
    <w:link w:val="Heading9"/>
    <w:uiPriority w:val="9"/>
    <w:semiHidden/>
    <w:rsid w:val="00B0623E"/>
    <w:rPr>
      <w:rFonts w:eastAsiaTheme="majorEastAsia" w:cstheme="majorBidi"/>
      <w:color w:val="272727" w:themeColor="text1" w:themeTint="D8"/>
      <w:kern w:val="0"/>
      <w:sz w:val="24"/>
      <w:szCs w:val="24"/>
      <w:lang w:val="en-US"/>
      <w14:ligatures w14:val="none"/>
    </w:rPr>
  </w:style>
  <w:style w:type="paragraph" w:styleId="Title">
    <w:name w:val="Title"/>
    <w:basedOn w:val="Normal"/>
    <w:next w:val="Normal"/>
    <w:link w:val="TitleChar"/>
    <w:uiPriority w:val="10"/>
    <w:qFormat/>
    <w:rsid w:val="00B062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23E"/>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B062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23E"/>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B062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623E"/>
    <w:rPr>
      <w:rFonts w:ascii="Bookman Old Style" w:hAnsi="Bookman Old Style" w:cs="Times New Roman"/>
      <w:i/>
      <w:iCs/>
      <w:color w:val="404040" w:themeColor="text1" w:themeTint="BF"/>
      <w:kern w:val="0"/>
      <w:sz w:val="24"/>
      <w:szCs w:val="24"/>
      <w:lang w:val="en-US"/>
      <w14:ligatures w14:val="none"/>
    </w:rPr>
  </w:style>
  <w:style w:type="paragraph" w:styleId="ListParagraph">
    <w:name w:val="List Paragraph"/>
    <w:basedOn w:val="Normal"/>
    <w:uiPriority w:val="34"/>
    <w:qFormat/>
    <w:rsid w:val="00B0623E"/>
    <w:pPr>
      <w:ind w:left="720"/>
      <w:contextualSpacing/>
    </w:pPr>
  </w:style>
  <w:style w:type="character" w:styleId="IntenseEmphasis">
    <w:name w:val="Intense Emphasis"/>
    <w:basedOn w:val="DefaultParagraphFont"/>
    <w:uiPriority w:val="21"/>
    <w:qFormat/>
    <w:rsid w:val="00B0623E"/>
    <w:rPr>
      <w:i/>
      <w:iCs/>
      <w:color w:val="0F4761" w:themeColor="accent1" w:themeShade="BF"/>
    </w:rPr>
  </w:style>
  <w:style w:type="paragraph" w:styleId="IntenseQuote">
    <w:name w:val="Intense Quote"/>
    <w:basedOn w:val="Normal"/>
    <w:next w:val="Normal"/>
    <w:link w:val="IntenseQuoteChar"/>
    <w:uiPriority w:val="30"/>
    <w:qFormat/>
    <w:rsid w:val="00B06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23E"/>
    <w:rPr>
      <w:rFonts w:ascii="Bookman Old Style" w:hAnsi="Bookman Old Style" w:cs="Times New Roman"/>
      <w:i/>
      <w:iCs/>
      <w:color w:val="0F4761" w:themeColor="accent1" w:themeShade="BF"/>
      <w:kern w:val="0"/>
      <w:sz w:val="24"/>
      <w:szCs w:val="24"/>
      <w:lang w:val="en-US"/>
      <w14:ligatures w14:val="none"/>
    </w:rPr>
  </w:style>
  <w:style w:type="character" w:styleId="IntenseReference">
    <w:name w:val="Intense Reference"/>
    <w:basedOn w:val="DefaultParagraphFont"/>
    <w:uiPriority w:val="32"/>
    <w:qFormat/>
    <w:rsid w:val="00B062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2982</Words>
  <Characters>16999</Characters>
  <Application>Microsoft Office Word</Application>
  <DocSecurity>0</DocSecurity>
  <Lines>141</Lines>
  <Paragraphs>39</Paragraphs>
  <ScaleCrop>false</ScaleCrop>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Luther C. Daniel</dc:creator>
  <cp:keywords/>
  <dc:description/>
  <cp:lastModifiedBy>Kent Luther C. Daniel</cp:lastModifiedBy>
  <cp:revision>1</cp:revision>
  <dcterms:created xsi:type="dcterms:W3CDTF">2026-05-30T09:33:00Z</dcterms:created>
  <dcterms:modified xsi:type="dcterms:W3CDTF">2026-05-30T09:38:00Z</dcterms:modified>
</cp:coreProperties>
</file>