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C7C5" w14:textId="77777777" w:rsidR="007C2B89" w:rsidRDefault="007C2B89">
      <w:pPr>
        <w:spacing w:before="5"/>
        <w:rPr>
          <w:rFonts w:ascii="Times New Roman" w:eastAsia="Times New Roman" w:hAnsi="Times New Roman" w:cs="Times New Roman"/>
          <w:sz w:val="7"/>
          <w:szCs w:val="7"/>
        </w:rPr>
      </w:pPr>
    </w:p>
    <w:p w14:paraId="4447CE02" w14:textId="77777777" w:rsidR="007C2B89" w:rsidRDefault="007C2B89">
      <w:pPr>
        <w:spacing w:before="10"/>
        <w:rPr>
          <w:rFonts w:ascii="Tahoma" w:eastAsia="Tahoma" w:hAnsi="Tahoma" w:cs="Tahoma"/>
          <w:sz w:val="23"/>
          <w:szCs w:val="23"/>
        </w:rPr>
      </w:pPr>
    </w:p>
    <w:p w14:paraId="07D10008" w14:textId="0FDBBA0B" w:rsidR="002226CD" w:rsidRPr="000B0866" w:rsidRDefault="00486DC3" w:rsidP="002226CD">
      <w:pPr>
        <w:pStyle w:val="NoSpacing"/>
        <w:ind w:left="284"/>
        <w:jc w:val="center"/>
        <w:rPr>
          <w:rFonts w:ascii="Times New Roman" w:hAnsi="Times New Roman"/>
          <w:b/>
          <w:bCs/>
          <w:sz w:val="20"/>
          <w:szCs w:val="20"/>
        </w:rPr>
      </w:pPr>
      <w:r>
        <w:rPr>
          <w:rFonts w:ascii="Times New Roman" w:hAnsi="Times New Roman"/>
          <w:b/>
          <w:bCs/>
          <w:sz w:val="40"/>
          <w:szCs w:val="40"/>
        </w:rPr>
        <w:t>Instructional Leadership and Technological Competence on Educational Assessment Capability of Teachers</w:t>
      </w:r>
    </w:p>
    <w:p w14:paraId="7F268883" w14:textId="77777777" w:rsidR="002226CD" w:rsidRDefault="002226CD" w:rsidP="002226CD">
      <w:pPr>
        <w:spacing w:before="19"/>
        <w:ind w:right="51"/>
        <w:jc w:val="center"/>
        <w:rPr>
          <w:rFonts w:ascii="Times New Roman" w:eastAsia="Times New Roman" w:hAnsi="Times New Roman"/>
          <w:b/>
          <w:bCs/>
          <w:spacing w:val="-2"/>
          <w:sz w:val="24"/>
          <w:szCs w:val="24"/>
        </w:rPr>
      </w:pPr>
    </w:p>
    <w:p w14:paraId="777D2155" w14:textId="62813CD0" w:rsidR="002226CD" w:rsidRPr="002226CD" w:rsidRDefault="00486DC3" w:rsidP="002226CD">
      <w:pPr>
        <w:spacing w:before="19"/>
        <w:ind w:right="51"/>
        <w:jc w:val="center"/>
        <w:rPr>
          <w:rFonts w:ascii="Times New Roman" w:eastAsia="Times New Roman" w:hAnsi="Times New Roman"/>
          <w:b/>
          <w:bCs/>
          <w:spacing w:val="-2"/>
          <w:sz w:val="24"/>
          <w:szCs w:val="24"/>
        </w:rPr>
      </w:pPr>
      <w:proofErr w:type="spellStart"/>
      <w:r>
        <w:rPr>
          <w:rFonts w:ascii="Times New Roman" w:eastAsia="Times New Roman" w:hAnsi="Times New Roman"/>
          <w:b/>
          <w:bCs/>
          <w:spacing w:val="-2"/>
          <w:sz w:val="24"/>
          <w:szCs w:val="24"/>
        </w:rPr>
        <w:t>Jesel-an</w:t>
      </w:r>
      <w:proofErr w:type="spellEnd"/>
      <w:r>
        <w:rPr>
          <w:rFonts w:ascii="Times New Roman" w:eastAsia="Times New Roman" w:hAnsi="Times New Roman"/>
          <w:b/>
          <w:bCs/>
          <w:spacing w:val="-2"/>
          <w:sz w:val="24"/>
          <w:szCs w:val="24"/>
        </w:rPr>
        <w:t xml:space="preserve"> L. Acusar</w:t>
      </w:r>
      <w:r w:rsidR="002226CD" w:rsidRPr="00E90C7E">
        <w:rPr>
          <w:rFonts w:ascii="Times New Roman" w:eastAsia="Times New Roman" w:hAnsi="Times New Roman"/>
          <w:b/>
          <w:bCs/>
          <w:spacing w:val="-2"/>
          <w:sz w:val="24"/>
          <w:szCs w:val="24"/>
          <w:vertAlign w:val="superscript"/>
        </w:rPr>
        <w:t>1</w:t>
      </w:r>
      <w:r w:rsidR="002226CD" w:rsidRPr="002226CD">
        <w:rPr>
          <w:rFonts w:ascii="Times New Roman" w:eastAsia="Times New Roman" w:hAnsi="Times New Roman"/>
          <w:b/>
          <w:bCs/>
          <w:spacing w:val="-2"/>
          <w:sz w:val="24"/>
          <w:szCs w:val="24"/>
        </w:rPr>
        <w:t xml:space="preserve"> </w:t>
      </w:r>
      <w:r w:rsidR="00E90C7E">
        <w:rPr>
          <w:rFonts w:ascii="Times New Roman" w:eastAsia="Times New Roman" w:hAnsi="Times New Roman"/>
          <w:b/>
          <w:bCs/>
          <w:spacing w:val="-2"/>
          <w:sz w:val="24"/>
          <w:szCs w:val="24"/>
        </w:rPr>
        <w:t xml:space="preserve">and </w:t>
      </w:r>
      <w:r>
        <w:rPr>
          <w:rFonts w:ascii="Times New Roman" w:eastAsia="Times New Roman" w:hAnsi="Times New Roman"/>
          <w:b/>
          <w:bCs/>
          <w:spacing w:val="-2"/>
          <w:sz w:val="24"/>
          <w:szCs w:val="24"/>
        </w:rPr>
        <w:t>Raul C. Orongan</w:t>
      </w:r>
      <w:r w:rsidR="002226CD" w:rsidRPr="00E90C7E">
        <w:rPr>
          <w:rFonts w:ascii="Times New Roman" w:eastAsia="Times New Roman" w:hAnsi="Times New Roman"/>
          <w:b/>
          <w:bCs/>
          <w:spacing w:val="-2"/>
          <w:sz w:val="24"/>
          <w:szCs w:val="24"/>
          <w:vertAlign w:val="superscript"/>
        </w:rPr>
        <w:t>2</w:t>
      </w:r>
    </w:p>
    <w:p w14:paraId="1674A268" w14:textId="62AFEE59" w:rsidR="002226CD" w:rsidRPr="002226CD" w:rsidRDefault="002226CD" w:rsidP="002226CD">
      <w:pPr>
        <w:spacing w:before="19"/>
        <w:ind w:right="51"/>
        <w:jc w:val="center"/>
        <w:rPr>
          <w:rFonts w:ascii="Times New Roman" w:eastAsia="Times New Roman" w:hAnsi="Times New Roman"/>
          <w:b/>
          <w:bCs/>
          <w:spacing w:val="-2"/>
          <w:sz w:val="24"/>
          <w:szCs w:val="24"/>
        </w:rPr>
      </w:pPr>
      <w:r w:rsidRPr="002226CD">
        <w:rPr>
          <w:rFonts w:ascii="Times New Roman" w:eastAsia="Times New Roman" w:hAnsi="Times New Roman"/>
          <w:b/>
          <w:bCs/>
          <w:spacing w:val="-2"/>
          <w:sz w:val="24"/>
          <w:szCs w:val="24"/>
          <w:vertAlign w:val="superscript"/>
        </w:rPr>
        <w:t>1</w:t>
      </w:r>
      <w:r w:rsidR="0087156F">
        <w:rPr>
          <w:rFonts w:ascii="Times New Roman" w:eastAsia="Times New Roman" w:hAnsi="Times New Roman"/>
          <w:b/>
          <w:bCs/>
          <w:spacing w:val="-2"/>
          <w:sz w:val="24"/>
          <w:szCs w:val="24"/>
        </w:rPr>
        <w:t xml:space="preserve">Teacher </w:t>
      </w:r>
      <w:r w:rsidR="00486DC3">
        <w:rPr>
          <w:rFonts w:ascii="Times New Roman" w:eastAsia="Times New Roman" w:hAnsi="Times New Roman"/>
          <w:b/>
          <w:bCs/>
          <w:spacing w:val="-2"/>
          <w:sz w:val="24"/>
          <w:szCs w:val="24"/>
        </w:rPr>
        <w:t>IV</w:t>
      </w:r>
      <w:r w:rsidR="0087156F">
        <w:rPr>
          <w:rFonts w:ascii="Times New Roman" w:eastAsia="Times New Roman" w:hAnsi="Times New Roman"/>
          <w:b/>
          <w:bCs/>
          <w:spacing w:val="-2"/>
          <w:sz w:val="24"/>
          <w:szCs w:val="24"/>
        </w:rPr>
        <w:t>, D</w:t>
      </w:r>
      <w:r w:rsidRPr="002226CD">
        <w:rPr>
          <w:rFonts w:ascii="Times New Roman" w:eastAsia="Times New Roman" w:hAnsi="Times New Roman"/>
          <w:b/>
          <w:bCs/>
          <w:spacing w:val="-2"/>
          <w:sz w:val="24"/>
          <w:szCs w:val="24"/>
        </w:rPr>
        <w:t>epartment of Education</w:t>
      </w:r>
      <w:r w:rsidR="00E90C7E">
        <w:rPr>
          <w:rFonts w:ascii="Times New Roman" w:eastAsia="Times New Roman" w:hAnsi="Times New Roman"/>
          <w:b/>
          <w:bCs/>
          <w:spacing w:val="-2"/>
          <w:sz w:val="24"/>
          <w:szCs w:val="24"/>
        </w:rPr>
        <w:t xml:space="preserve"> – Division of Bukidnon, </w:t>
      </w:r>
      <w:r w:rsidR="00486DC3">
        <w:rPr>
          <w:rFonts w:ascii="Times New Roman" w:eastAsia="Times New Roman" w:hAnsi="Times New Roman"/>
          <w:b/>
          <w:bCs/>
          <w:spacing w:val="-2"/>
          <w:sz w:val="24"/>
          <w:szCs w:val="24"/>
        </w:rPr>
        <w:t>Bacayan Elementary School</w:t>
      </w:r>
    </w:p>
    <w:p w14:paraId="1387323F" w14:textId="7F444795" w:rsidR="002226CD" w:rsidRPr="002226CD" w:rsidRDefault="002226CD" w:rsidP="002226CD">
      <w:pPr>
        <w:spacing w:before="19"/>
        <w:ind w:right="51"/>
        <w:jc w:val="center"/>
        <w:rPr>
          <w:rFonts w:ascii="Times New Roman" w:eastAsia="Times New Roman" w:hAnsi="Times New Roman"/>
          <w:b/>
          <w:bCs/>
          <w:spacing w:val="-2"/>
          <w:sz w:val="24"/>
          <w:szCs w:val="24"/>
        </w:rPr>
      </w:pPr>
      <w:r w:rsidRPr="002226CD">
        <w:rPr>
          <w:rFonts w:ascii="Times New Roman" w:eastAsia="Times New Roman" w:hAnsi="Times New Roman"/>
          <w:b/>
          <w:bCs/>
          <w:spacing w:val="-2"/>
          <w:sz w:val="24"/>
          <w:szCs w:val="24"/>
          <w:vertAlign w:val="superscript"/>
        </w:rPr>
        <w:t>2</w:t>
      </w:r>
      <w:r w:rsidR="0087156F">
        <w:rPr>
          <w:rFonts w:ascii="Times New Roman" w:eastAsia="Times New Roman" w:hAnsi="Times New Roman"/>
          <w:b/>
          <w:bCs/>
          <w:spacing w:val="-2"/>
          <w:sz w:val="24"/>
          <w:szCs w:val="24"/>
        </w:rPr>
        <w:t>Professor VI</w:t>
      </w:r>
      <w:r w:rsidRPr="002226CD">
        <w:rPr>
          <w:rFonts w:ascii="Times New Roman" w:eastAsia="Times New Roman" w:hAnsi="Times New Roman"/>
          <w:b/>
          <w:bCs/>
          <w:spacing w:val="-2"/>
          <w:sz w:val="24"/>
          <w:szCs w:val="24"/>
        </w:rPr>
        <w:t xml:space="preserve">, </w:t>
      </w:r>
      <w:r w:rsidR="0087156F">
        <w:rPr>
          <w:rFonts w:ascii="Times New Roman" w:eastAsia="Times New Roman" w:hAnsi="Times New Roman"/>
          <w:b/>
          <w:bCs/>
          <w:spacing w:val="-2"/>
          <w:sz w:val="24"/>
          <w:szCs w:val="24"/>
        </w:rPr>
        <w:t xml:space="preserve">College of Education, </w:t>
      </w:r>
      <w:r w:rsidRPr="002226CD">
        <w:rPr>
          <w:rFonts w:ascii="Times New Roman" w:eastAsia="Times New Roman" w:hAnsi="Times New Roman"/>
          <w:b/>
          <w:bCs/>
          <w:spacing w:val="-2"/>
          <w:sz w:val="24"/>
          <w:szCs w:val="24"/>
        </w:rPr>
        <w:t xml:space="preserve">Central Mindanao University, </w:t>
      </w:r>
      <w:proofErr w:type="spellStart"/>
      <w:r w:rsidRPr="002226CD">
        <w:rPr>
          <w:rFonts w:ascii="Times New Roman" w:eastAsia="Times New Roman" w:hAnsi="Times New Roman"/>
          <w:b/>
          <w:bCs/>
          <w:spacing w:val="-2"/>
          <w:sz w:val="24"/>
          <w:szCs w:val="24"/>
        </w:rPr>
        <w:t>Musuan</w:t>
      </w:r>
      <w:proofErr w:type="spellEnd"/>
      <w:r w:rsidRPr="002226CD">
        <w:rPr>
          <w:rFonts w:ascii="Times New Roman" w:eastAsia="Times New Roman" w:hAnsi="Times New Roman"/>
          <w:b/>
          <w:bCs/>
          <w:spacing w:val="-2"/>
          <w:sz w:val="24"/>
          <w:szCs w:val="24"/>
        </w:rPr>
        <w:t>, Maramag, Bukidnon</w:t>
      </w:r>
    </w:p>
    <w:p w14:paraId="781C5664" w14:textId="77777777" w:rsidR="002226CD" w:rsidRDefault="002226CD" w:rsidP="002226CD">
      <w:pPr>
        <w:spacing w:before="19"/>
        <w:ind w:right="51"/>
        <w:jc w:val="center"/>
        <w:rPr>
          <w:rFonts w:ascii="Times New Roman" w:eastAsia="Times New Roman" w:hAnsi="Times New Roman"/>
          <w:b/>
          <w:bCs/>
          <w:spacing w:val="-2"/>
          <w:sz w:val="24"/>
          <w:szCs w:val="24"/>
        </w:rPr>
      </w:pPr>
    </w:p>
    <w:p w14:paraId="75809D96" w14:textId="77777777" w:rsidR="007C2B89" w:rsidRDefault="008C37BB">
      <w:pPr>
        <w:ind w:left="106"/>
        <w:jc w:val="both"/>
        <w:rPr>
          <w:rFonts w:ascii="Times New Roman" w:eastAsia="Times New Roman" w:hAnsi="Times New Roman" w:cs="Times New Roman"/>
          <w:sz w:val="28"/>
          <w:szCs w:val="28"/>
        </w:rPr>
      </w:pPr>
      <w:r>
        <w:rPr>
          <w:rFonts w:ascii="Times New Roman"/>
          <w:b/>
          <w:sz w:val="28"/>
        </w:rPr>
        <w:t>ABSTRACT</w:t>
      </w:r>
    </w:p>
    <w:p w14:paraId="622A86C4" w14:textId="77777777" w:rsidR="007C2B89" w:rsidRDefault="007C2B89">
      <w:pPr>
        <w:spacing w:before="10"/>
        <w:rPr>
          <w:rFonts w:ascii="Times New Roman" w:eastAsia="Times New Roman" w:hAnsi="Times New Roman" w:cs="Times New Roman"/>
          <w:b/>
          <w:bCs/>
        </w:rPr>
      </w:pPr>
    </w:p>
    <w:p w14:paraId="6D555718" w14:textId="6C1AC280" w:rsidR="00234770" w:rsidRDefault="00486DC3" w:rsidP="00486DC3">
      <w:pPr>
        <w:spacing w:before="6"/>
        <w:jc w:val="both"/>
        <w:rPr>
          <w:rFonts w:ascii="Times New Roman" w:eastAsia="Times New Roman" w:hAnsi="Times New Roman" w:cs="Times New Roman"/>
          <w:sz w:val="24"/>
        </w:rPr>
      </w:pPr>
      <w:r w:rsidRPr="00486DC3">
        <w:rPr>
          <w:rFonts w:ascii="Times New Roman" w:eastAsia="Times New Roman" w:hAnsi="Times New Roman" w:cs="Times New Roman"/>
          <w:sz w:val="24"/>
        </w:rPr>
        <w:t xml:space="preserve">This study examined the influence of instructional leadership and technological competence on the educational assessment capability of public-school teachers in </w:t>
      </w:r>
      <w:proofErr w:type="spellStart"/>
      <w:r w:rsidRPr="00486DC3">
        <w:rPr>
          <w:rFonts w:ascii="Times New Roman" w:eastAsia="Times New Roman" w:hAnsi="Times New Roman" w:cs="Times New Roman"/>
          <w:sz w:val="24"/>
        </w:rPr>
        <w:t>Kitaotao</w:t>
      </w:r>
      <w:proofErr w:type="spellEnd"/>
      <w:r w:rsidRPr="00486DC3">
        <w:rPr>
          <w:rFonts w:ascii="Times New Roman" w:eastAsia="Times New Roman" w:hAnsi="Times New Roman" w:cs="Times New Roman"/>
          <w:sz w:val="24"/>
        </w:rPr>
        <w:t xml:space="preserve"> Districts 2 and 3, Division of Bukidnon, during the second term of School Year 2025–2026. A total enumeration technique was employed, involving 310 public elementary and secondary school teachers as respondents in a descriptive-correlational research design using a survey questionnaire. The findings revealed that teachers exhibited high levels of instructional leadership and technological competence. In addition, their educational assessment capability was rated very high in both formative and summative assessment practices. Results further showed significant positive relationships among the variables. Instructional leadership and technological competence were both significantly correlated with educational assessment capability. Moreover, regression analysis confirmed that both variables significantly predict teachers’ assessment capability. These results indicate that strengthening leadership practices and enhancing technology integration contribute to more effective assessment of student learning and improved instructional quality.</w:t>
      </w:r>
    </w:p>
    <w:p w14:paraId="189904CD" w14:textId="77777777" w:rsidR="00486DC3" w:rsidRPr="0087156F" w:rsidRDefault="00486DC3" w:rsidP="00234770">
      <w:pPr>
        <w:spacing w:before="6"/>
        <w:rPr>
          <w:rFonts w:ascii="Times New Roman" w:eastAsia="Times New Roman" w:hAnsi="Times New Roman" w:cs="Times New Roman"/>
          <w:sz w:val="24"/>
        </w:rPr>
      </w:pPr>
    </w:p>
    <w:p w14:paraId="722BB828" w14:textId="709CDF71" w:rsidR="00486DC3" w:rsidRPr="00486DC3" w:rsidRDefault="008C37BB" w:rsidP="00486DC3">
      <w:pPr>
        <w:pStyle w:val="BodyText"/>
        <w:jc w:val="both"/>
        <w:rPr>
          <w:rFonts w:cs="Times New Roman"/>
          <w:iCs/>
          <w:spacing w:val="-1"/>
          <w:szCs w:val="22"/>
        </w:rPr>
      </w:pPr>
      <w:r w:rsidRPr="0087156F">
        <w:rPr>
          <w:rFonts w:cs="Times New Roman"/>
          <w:b/>
          <w:bCs/>
          <w:spacing w:val="-1"/>
          <w:szCs w:val="22"/>
        </w:rPr>
        <w:t>Keywords:</w:t>
      </w:r>
      <w:r w:rsidRPr="0087156F">
        <w:rPr>
          <w:rFonts w:cs="Times New Roman"/>
          <w:b/>
          <w:bCs/>
          <w:spacing w:val="5"/>
          <w:szCs w:val="22"/>
        </w:rPr>
        <w:t xml:space="preserve"> </w:t>
      </w:r>
      <w:r w:rsidR="00486DC3" w:rsidRPr="00486DC3">
        <w:rPr>
          <w:rFonts w:cs="Times New Roman"/>
          <w:spacing w:val="5"/>
          <w:szCs w:val="22"/>
        </w:rPr>
        <w:t xml:space="preserve">Adaptability, Sustainability, Developing and Communicating Shared Goals, Correlation, And Regression </w:t>
      </w:r>
    </w:p>
    <w:p w14:paraId="74C3C97E" w14:textId="77777777" w:rsidR="00486DC3" w:rsidRDefault="00486DC3" w:rsidP="00486DC3">
      <w:pPr>
        <w:pStyle w:val="BodyText"/>
        <w:jc w:val="both"/>
        <w:rPr>
          <w:rFonts w:cs="Times New Roman"/>
          <w:iCs/>
          <w:spacing w:val="-1"/>
          <w:szCs w:val="22"/>
        </w:rPr>
      </w:pPr>
    </w:p>
    <w:p w14:paraId="44CB4FF5" w14:textId="1244CEF2" w:rsidR="007C2B89" w:rsidRPr="00486DC3" w:rsidRDefault="008C37BB" w:rsidP="00486DC3">
      <w:pPr>
        <w:pStyle w:val="BodyText"/>
        <w:jc w:val="both"/>
        <w:rPr>
          <w:b/>
          <w:bCs/>
          <w:sz w:val="28"/>
          <w:szCs w:val="28"/>
        </w:rPr>
      </w:pPr>
      <w:r w:rsidRPr="00486DC3">
        <w:rPr>
          <w:b/>
          <w:bCs/>
          <w:sz w:val="28"/>
          <w:szCs w:val="28"/>
        </w:rPr>
        <w:t>INTRODUCTION</w:t>
      </w:r>
    </w:p>
    <w:p w14:paraId="46C74B09" w14:textId="77777777" w:rsidR="007C2B89" w:rsidRDefault="007C2B89">
      <w:pPr>
        <w:spacing w:before="10"/>
        <w:rPr>
          <w:rFonts w:ascii="Times New Roman" w:eastAsia="Times New Roman" w:hAnsi="Times New Roman" w:cs="Times New Roman"/>
          <w:b/>
          <w:bCs/>
        </w:rPr>
      </w:pPr>
    </w:p>
    <w:p w14:paraId="63D80F03" w14:textId="77777777" w:rsidR="00486DC3" w:rsidRPr="00BF0849" w:rsidRDefault="00486DC3" w:rsidP="00486DC3">
      <w:pPr>
        <w:spacing w:before="2"/>
        <w:jc w:val="both"/>
        <w:rPr>
          <w:rFonts w:ascii="Times New Roman" w:eastAsia="Times New Roman" w:hAnsi="Times New Roman" w:cs="Times New Roman"/>
          <w:sz w:val="24"/>
          <w:szCs w:val="24"/>
        </w:rPr>
      </w:pPr>
      <w:r w:rsidRPr="00BF0849">
        <w:rPr>
          <w:rFonts w:ascii="Times New Roman" w:eastAsia="Times New Roman" w:hAnsi="Times New Roman" w:cs="Times New Roman"/>
          <w:sz w:val="24"/>
          <w:szCs w:val="24"/>
        </w:rPr>
        <w:t xml:space="preserve">The Department of Education (DepEd) emphasizes the crucial role of teachers in ensuring meaningful learning and improved educational outcomes (Department of Education, 2018). In response to 21st-century educational demands, teachers are now expected to demonstrate not only effective instruction but also strong instructional leadership and technological competence, which are essential in strengthening educational assessment capability. These competencies ensure that assessment is used not only for grading but also as a tool for improving instruction and addressing diverse learner needs. International and national assessment reports such as the </w:t>
      </w:r>
      <w:proofErr w:type="spellStart"/>
      <w:r w:rsidRPr="00BF0849">
        <w:rPr>
          <w:rFonts w:ascii="Times New Roman" w:eastAsia="Times New Roman" w:hAnsi="Times New Roman" w:cs="Times New Roman"/>
          <w:sz w:val="24"/>
          <w:szCs w:val="24"/>
        </w:rPr>
        <w:t>Programme</w:t>
      </w:r>
      <w:proofErr w:type="spellEnd"/>
      <w:r w:rsidRPr="00BF0849">
        <w:rPr>
          <w:rFonts w:ascii="Times New Roman" w:eastAsia="Times New Roman" w:hAnsi="Times New Roman" w:cs="Times New Roman"/>
          <w:sz w:val="24"/>
          <w:szCs w:val="24"/>
        </w:rPr>
        <w:t xml:space="preserve"> for International Student Assessment (PISA) and the National Achievement Test (NAT) continue to highlight persistent challenges in student learning outcomes, reinforcing the need to strengthen teacher competencies in assessment practices. However, despite various reforms and policy initiatives, there remains a gap between policy expectations and classroom implementation due to limited training, resources, and institutional support (Cabardo, 2018). Research further indicates that many teachers still feel unprepared in using effective assessment strategies and data-driven instruction (Seay, 2023), while the lack of sustained professional development further limits the translation of assessment standards into practice (Worrell et al., 2014). These challenges highlight the continuing need to enhance teachers’ assessment capability in actual classroom settings.</w:t>
      </w:r>
    </w:p>
    <w:p w14:paraId="72C4E41E" w14:textId="77777777" w:rsidR="00486DC3" w:rsidRPr="00BF0849" w:rsidRDefault="00486DC3" w:rsidP="00486DC3">
      <w:pPr>
        <w:spacing w:before="2"/>
        <w:jc w:val="both"/>
        <w:rPr>
          <w:rFonts w:ascii="Times New Roman" w:eastAsia="Times New Roman" w:hAnsi="Times New Roman" w:cs="Times New Roman"/>
          <w:sz w:val="24"/>
          <w:szCs w:val="24"/>
        </w:rPr>
      </w:pPr>
    </w:p>
    <w:p w14:paraId="3BA76AAE" w14:textId="067040AC" w:rsidR="00035624" w:rsidRPr="00BF0849" w:rsidRDefault="00486DC3" w:rsidP="00486DC3">
      <w:pPr>
        <w:spacing w:before="2"/>
        <w:jc w:val="both"/>
        <w:rPr>
          <w:rFonts w:ascii="Times New Roman" w:eastAsia="Times New Roman" w:hAnsi="Times New Roman" w:cs="Times New Roman"/>
          <w:sz w:val="24"/>
          <w:szCs w:val="24"/>
        </w:rPr>
      </w:pPr>
      <w:r w:rsidRPr="00BF0849">
        <w:rPr>
          <w:rFonts w:ascii="Times New Roman" w:eastAsia="Times New Roman" w:hAnsi="Times New Roman" w:cs="Times New Roman"/>
          <w:sz w:val="24"/>
          <w:szCs w:val="24"/>
        </w:rPr>
        <w:t xml:space="preserve">Instructional leadership is identified as a key factor in improving teachers’ assessment capability as it enables them to set clear learning goals, monitor student progress, and provide meaningful feedback that supports instruction. In the same manner, technological competence enhances assessment practices by allowing teachers to integrate digital tools, improve engagement, and adapt to modern educational demands. Studies emphasize that effective instructional leadership and technology integration significantly improve teaching effectiveness and assessment quality (Cayetano, 2024; </w:t>
      </w:r>
      <w:proofErr w:type="spellStart"/>
      <w:r w:rsidRPr="00BF0849">
        <w:rPr>
          <w:rFonts w:ascii="Times New Roman" w:eastAsia="Times New Roman" w:hAnsi="Times New Roman" w:cs="Times New Roman"/>
          <w:sz w:val="24"/>
          <w:szCs w:val="24"/>
        </w:rPr>
        <w:t>Nellitawati</w:t>
      </w:r>
      <w:proofErr w:type="spellEnd"/>
      <w:r w:rsidRPr="00BF0849">
        <w:rPr>
          <w:rFonts w:ascii="Times New Roman" w:eastAsia="Times New Roman" w:hAnsi="Times New Roman" w:cs="Times New Roman"/>
          <w:sz w:val="24"/>
          <w:szCs w:val="24"/>
        </w:rPr>
        <w:t xml:space="preserve"> et al., 2024), while professional development programs further strengthen teachers’ instructional and assessment practices (Hassan et al., 2019; Worrell et al., 2014). In the local context of </w:t>
      </w:r>
      <w:proofErr w:type="spellStart"/>
      <w:r w:rsidRPr="00BF0849">
        <w:rPr>
          <w:rFonts w:ascii="Times New Roman" w:eastAsia="Times New Roman" w:hAnsi="Times New Roman" w:cs="Times New Roman"/>
          <w:sz w:val="24"/>
          <w:szCs w:val="24"/>
        </w:rPr>
        <w:t>Kitaotao</w:t>
      </w:r>
      <w:proofErr w:type="spellEnd"/>
      <w:r w:rsidRPr="00BF0849">
        <w:rPr>
          <w:rFonts w:ascii="Times New Roman" w:eastAsia="Times New Roman" w:hAnsi="Times New Roman" w:cs="Times New Roman"/>
          <w:sz w:val="24"/>
          <w:szCs w:val="24"/>
        </w:rPr>
        <w:t xml:space="preserve">, Bukidnon, similar challenges are observed, including limited training, inadequate resources, and gaps in integrating instructional leadership and technology in assessment practices (Cabardo, </w:t>
      </w:r>
      <w:r w:rsidRPr="00BF0849">
        <w:rPr>
          <w:rFonts w:ascii="Times New Roman" w:eastAsia="Times New Roman" w:hAnsi="Times New Roman" w:cs="Times New Roman"/>
          <w:sz w:val="24"/>
          <w:szCs w:val="24"/>
        </w:rPr>
        <w:lastRenderedPageBreak/>
        <w:t xml:space="preserve">2018; Batan et al., 2022; Abulencia et al., 2024). Although these variables have been widely studied separately, there is limited research examining their combined influence on teachers’ educational assessment capability in the Philippine context. This study therefore addresses this gap by examining the influence of instructional leadership and technological competence on the educational assessment capability of </w:t>
      </w:r>
      <w:proofErr w:type="gramStart"/>
      <w:r w:rsidRPr="00BF0849">
        <w:rPr>
          <w:rFonts w:ascii="Times New Roman" w:eastAsia="Times New Roman" w:hAnsi="Times New Roman" w:cs="Times New Roman"/>
          <w:sz w:val="24"/>
          <w:szCs w:val="24"/>
        </w:rPr>
        <w:t>public school</w:t>
      </w:r>
      <w:proofErr w:type="gramEnd"/>
      <w:r w:rsidRPr="00BF0849">
        <w:rPr>
          <w:rFonts w:ascii="Times New Roman" w:eastAsia="Times New Roman" w:hAnsi="Times New Roman" w:cs="Times New Roman"/>
          <w:sz w:val="24"/>
          <w:szCs w:val="24"/>
        </w:rPr>
        <w:t xml:space="preserve"> teachers.</w:t>
      </w:r>
    </w:p>
    <w:p w14:paraId="4997A715" w14:textId="77777777" w:rsidR="00566424" w:rsidRDefault="00566424" w:rsidP="00035624">
      <w:pPr>
        <w:spacing w:before="2"/>
        <w:jc w:val="both"/>
        <w:rPr>
          <w:rFonts w:ascii="Times New Roman" w:eastAsia="Times New Roman" w:hAnsi="Times New Roman" w:cs="Times New Roman"/>
          <w:sz w:val="21"/>
          <w:szCs w:val="21"/>
        </w:rPr>
      </w:pPr>
    </w:p>
    <w:p w14:paraId="01A85761" w14:textId="77777777" w:rsidR="00486DC3" w:rsidRDefault="00486DC3">
      <w:pPr>
        <w:pStyle w:val="Heading2"/>
        <w:jc w:val="both"/>
        <w:rPr>
          <w:spacing w:val="-1"/>
        </w:rPr>
      </w:pPr>
    </w:p>
    <w:p w14:paraId="646762C8" w14:textId="56010EF9" w:rsidR="007C2B89" w:rsidRDefault="007945FA">
      <w:pPr>
        <w:pStyle w:val="Heading2"/>
        <w:jc w:val="both"/>
        <w:rPr>
          <w:b w:val="0"/>
          <w:bCs w:val="0"/>
        </w:rPr>
      </w:pPr>
      <w:r>
        <w:rPr>
          <w:spacing w:val="-1"/>
        </w:rPr>
        <w:t>Objectives of the Study</w:t>
      </w:r>
    </w:p>
    <w:p w14:paraId="6D45872B" w14:textId="77777777" w:rsidR="007C2B89" w:rsidRDefault="007C2B89">
      <w:pPr>
        <w:spacing w:before="2"/>
        <w:rPr>
          <w:rFonts w:ascii="Times New Roman" w:eastAsia="Times New Roman" w:hAnsi="Times New Roman" w:cs="Times New Roman"/>
          <w:b/>
          <w:bCs/>
          <w:sz w:val="21"/>
          <w:szCs w:val="21"/>
        </w:rPr>
      </w:pPr>
    </w:p>
    <w:p w14:paraId="1B37E9B3" w14:textId="17C1F465" w:rsidR="00F4070D" w:rsidRDefault="00B11317" w:rsidP="00F4070D">
      <w:pPr>
        <w:spacing w:line="247" w:lineRule="auto"/>
        <w:jc w:val="both"/>
        <w:rPr>
          <w:rFonts w:ascii="Times New Roman" w:eastAsia="Times New Roman" w:hAnsi="Times New Roman"/>
          <w:spacing w:val="-1"/>
          <w:sz w:val="24"/>
          <w:szCs w:val="24"/>
        </w:rPr>
      </w:pPr>
      <w:r w:rsidRPr="00B11317">
        <w:rPr>
          <w:rFonts w:ascii="Times New Roman" w:eastAsia="Times New Roman" w:hAnsi="Times New Roman"/>
          <w:spacing w:val="-1"/>
          <w:sz w:val="24"/>
          <w:szCs w:val="24"/>
        </w:rPr>
        <w:t xml:space="preserve">The study examined the relationship between instructional leadership and technological competence and the teachers’ educational assessment capability among public elementary and secondary school teachers in the </w:t>
      </w:r>
      <w:proofErr w:type="spellStart"/>
      <w:r w:rsidRPr="00B11317">
        <w:rPr>
          <w:rFonts w:ascii="Times New Roman" w:eastAsia="Times New Roman" w:hAnsi="Times New Roman"/>
          <w:spacing w:val="-1"/>
          <w:sz w:val="24"/>
          <w:szCs w:val="24"/>
        </w:rPr>
        <w:t>Kitaotao</w:t>
      </w:r>
      <w:proofErr w:type="spellEnd"/>
      <w:r w:rsidRPr="00B11317">
        <w:rPr>
          <w:rFonts w:ascii="Times New Roman" w:eastAsia="Times New Roman" w:hAnsi="Times New Roman"/>
          <w:spacing w:val="-1"/>
          <w:sz w:val="24"/>
          <w:szCs w:val="24"/>
        </w:rPr>
        <w:t xml:space="preserve"> Districts of the Division of Bukidnon. Specifically, this study sought to answer the following: (1) ascertain the level of instructional leadership among teachers; (2) determine the level of technological competence practiced by teachers; (3) assess the level of educational assessment capability of teachers; (4) determine the correlation between teachers’ educational assessment capability and instructional leadership and technological competence; and (5) identify the variables that best predict teachers’ educational assessment capability.</w:t>
      </w:r>
    </w:p>
    <w:p w14:paraId="1C40B0F9" w14:textId="77777777" w:rsidR="00BF0849" w:rsidRDefault="00BF0849" w:rsidP="00F4070D">
      <w:pPr>
        <w:spacing w:line="247" w:lineRule="auto"/>
        <w:jc w:val="both"/>
        <w:rPr>
          <w:rFonts w:ascii="Times New Roman" w:eastAsia="Times New Roman" w:hAnsi="Times New Roman"/>
          <w:spacing w:val="-1"/>
          <w:sz w:val="24"/>
          <w:szCs w:val="24"/>
        </w:rPr>
      </w:pPr>
    </w:p>
    <w:p w14:paraId="414705FB" w14:textId="77777777" w:rsidR="00F4070D" w:rsidRDefault="00F4070D" w:rsidP="00F4070D">
      <w:pPr>
        <w:pStyle w:val="Heading1"/>
        <w:spacing w:before="80"/>
        <w:ind w:left="0"/>
        <w:jc w:val="both"/>
        <w:rPr>
          <w:b w:val="0"/>
          <w:bCs w:val="0"/>
        </w:rPr>
      </w:pPr>
      <w:r>
        <w:t>METHODOLOGY</w:t>
      </w:r>
    </w:p>
    <w:p w14:paraId="5CBD495F" w14:textId="5D60C8C3" w:rsidR="00F4070D" w:rsidRDefault="00F4070D" w:rsidP="00F4070D">
      <w:pPr>
        <w:pStyle w:val="Heading2"/>
        <w:spacing w:before="248"/>
        <w:jc w:val="both"/>
        <w:rPr>
          <w:b w:val="0"/>
          <w:bCs w:val="0"/>
        </w:rPr>
      </w:pPr>
      <w:r>
        <w:rPr>
          <w:spacing w:val="-2"/>
        </w:rPr>
        <w:t>Research</w:t>
      </w:r>
      <w:r>
        <w:rPr>
          <w:spacing w:val="2"/>
        </w:rPr>
        <w:t xml:space="preserve"> </w:t>
      </w:r>
      <w:r>
        <w:rPr>
          <w:spacing w:val="-1"/>
        </w:rPr>
        <w:t>Design</w:t>
      </w:r>
      <w:r w:rsidR="00404A59">
        <w:rPr>
          <w:spacing w:val="-1"/>
        </w:rPr>
        <w:t xml:space="preserve"> and Locale</w:t>
      </w:r>
    </w:p>
    <w:p w14:paraId="64B49D86" w14:textId="77777777" w:rsidR="00F4070D" w:rsidRDefault="00F4070D" w:rsidP="00F4070D">
      <w:pPr>
        <w:spacing w:before="2"/>
        <w:rPr>
          <w:rFonts w:ascii="Times New Roman" w:eastAsia="Times New Roman" w:hAnsi="Times New Roman" w:cs="Times New Roman"/>
          <w:b/>
          <w:bCs/>
          <w:sz w:val="21"/>
          <w:szCs w:val="21"/>
        </w:rPr>
      </w:pPr>
    </w:p>
    <w:p w14:paraId="0E76DA9B" w14:textId="152F1F96" w:rsidR="00F4070D" w:rsidRPr="001F083C" w:rsidRDefault="00087057" w:rsidP="00404A59">
      <w:pPr>
        <w:spacing w:line="247" w:lineRule="auto"/>
        <w:jc w:val="both"/>
        <w:rPr>
          <w:rFonts w:ascii="Times New Roman" w:eastAsia="Times New Roman" w:hAnsi="Times New Roman"/>
          <w:spacing w:val="-1"/>
          <w:sz w:val="24"/>
        </w:rPr>
      </w:pPr>
      <w:r w:rsidRPr="001F083C">
        <w:rPr>
          <w:rFonts w:ascii="Times New Roman" w:eastAsia="Times New Roman" w:hAnsi="Times New Roman"/>
          <w:spacing w:val="-2"/>
          <w:sz w:val="24"/>
        </w:rPr>
        <w:t>This study utilized a quantitative-correlational research design to determine the relati</w:t>
      </w:r>
      <w:r w:rsidR="00B11317">
        <w:rPr>
          <w:rFonts w:ascii="Times New Roman" w:eastAsia="Times New Roman" w:hAnsi="Times New Roman"/>
          <w:spacing w:val="-2"/>
          <w:sz w:val="24"/>
        </w:rPr>
        <w:t>onship between instructional leadership and technological competence</w:t>
      </w:r>
      <w:r w:rsidRPr="001F083C">
        <w:rPr>
          <w:rFonts w:ascii="Times New Roman" w:eastAsia="Times New Roman" w:hAnsi="Times New Roman"/>
          <w:spacing w:val="-2"/>
          <w:sz w:val="24"/>
        </w:rPr>
        <w:t xml:space="preserve"> and </w:t>
      </w:r>
      <w:r w:rsidR="00B11317">
        <w:rPr>
          <w:rFonts w:ascii="Times New Roman" w:eastAsia="Times New Roman" w:hAnsi="Times New Roman"/>
          <w:spacing w:val="-2"/>
          <w:sz w:val="24"/>
        </w:rPr>
        <w:t>educational assessment capability</w:t>
      </w:r>
      <w:r w:rsidRPr="001F083C">
        <w:rPr>
          <w:rFonts w:ascii="Times New Roman" w:eastAsia="Times New Roman" w:hAnsi="Times New Roman"/>
          <w:spacing w:val="-2"/>
          <w:sz w:val="24"/>
        </w:rPr>
        <w:t xml:space="preserve"> of public</w:t>
      </w:r>
      <w:r w:rsidR="00B11317">
        <w:rPr>
          <w:rFonts w:ascii="Times New Roman" w:eastAsia="Times New Roman" w:hAnsi="Times New Roman"/>
          <w:spacing w:val="-2"/>
          <w:sz w:val="24"/>
        </w:rPr>
        <w:t xml:space="preserve"> elementary and </w:t>
      </w:r>
      <w:r w:rsidRPr="001F083C">
        <w:rPr>
          <w:rFonts w:ascii="Times New Roman" w:eastAsia="Times New Roman" w:hAnsi="Times New Roman"/>
          <w:spacing w:val="-2"/>
          <w:sz w:val="24"/>
        </w:rPr>
        <w:t xml:space="preserve">secondary school teachers in the </w:t>
      </w:r>
      <w:proofErr w:type="spellStart"/>
      <w:r w:rsidR="00B11317">
        <w:rPr>
          <w:rFonts w:ascii="Times New Roman" w:eastAsia="Times New Roman" w:hAnsi="Times New Roman"/>
          <w:spacing w:val="-2"/>
          <w:sz w:val="24"/>
        </w:rPr>
        <w:t>Kitaotao</w:t>
      </w:r>
      <w:proofErr w:type="spellEnd"/>
      <w:r w:rsidRPr="001F083C">
        <w:rPr>
          <w:rFonts w:ascii="Times New Roman" w:eastAsia="Times New Roman" w:hAnsi="Times New Roman"/>
          <w:spacing w:val="-2"/>
          <w:sz w:val="24"/>
        </w:rPr>
        <w:t xml:space="preserve"> Districts of the Division of Bukidnon.</w:t>
      </w:r>
      <w:r w:rsidR="00404A59">
        <w:rPr>
          <w:rFonts w:ascii="Times New Roman" w:eastAsia="Times New Roman" w:hAnsi="Times New Roman"/>
          <w:spacing w:val="-2"/>
          <w:sz w:val="24"/>
        </w:rPr>
        <w:t xml:space="preserve"> </w:t>
      </w:r>
      <w:r w:rsidRPr="001F083C">
        <w:rPr>
          <w:rFonts w:ascii="Times New Roman" w:eastAsia="Times New Roman" w:hAnsi="Times New Roman"/>
          <w:spacing w:val="-1"/>
          <w:sz w:val="24"/>
        </w:rPr>
        <w:t xml:space="preserve">The study </w:t>
      </w:r>
      <w:r w:rsidR="00B11317">
        <w:rPr>
          <w:rFonts w:ascii="Times New Roman" w:eastAsia="Times New Roman" w:hAnsi="Times New Roman"/>
          <w:spacing w:val="-1"/>
          <w:sz w:val="24"/>
        </w:rPr>
        <w:t>was</w:t>
      </w:r>
      <w:r w:rsidRPr="001F083C">
        <w:rPr>
          <w:rFonts w:ascii="Times New Roman" w:eastAsia="Times New Roman" w:hAnsi="Times New Roman"/>
          <w:spacing w:val="-1"/>
          <w:sz w:val="24"/>
        </w:rPr>
        <w:t xml:space="preserve"> conducted in the public secondary schools within the </w:t>
      </w:r>
      <w:proofErr w:type="spellStart"/>
      <w:r w:rsidR="00B11317">
        <w:rPr>
          <w:rFonts w:ascii="Times New Roman" w:eastAsia="Times New Roman" w:hAnsi="Times New Roman"/>
          <w:spacing w:val="-1"/>
          <w:sz w:val="24"/>
        </w:rPr>
        <w:t>Kitaotao</w:t>
      </w:r>
      <w:proofErr w:type="spellEnd"/>
      <w:r w:rsidR="00B11317">
        <w:rPr>
          <w:rFonts w:ascii="Times New Roman" w:eastAsia="Times New Roman" w:hAnsi="Times New Roman"/>
          <w:spacing w:val="-1"/>
          <w:sz w:val="24"/>
        </w:rPr>
        <w:t xml:space="preserve"> </w:t>
      </w:r>
      <w:r w:rsidRPr="001F083C">
        <w:rPr>
          <w:rFonts w:ascii="Times New Roman" w:eastAsia="Times New Roman" w:hAnsi="Times New Roman"/>
          <w:spacing w:val="-1"/>
          <w:sz w:val="24"/>
        </w:rPr>
        <w:t>II</w:t>
      </w:r>
      <w:r w:rsidR="00B11317">
        <w:rPr>
          <w:rFonts w:ascii="Times New Roman" w:eastAsia="Times New Roman" w:hAnsi="Times New Roman"/>
          <w:spacing w:val="-1"/>
          <w:sz w:val="24"/>
        </w:rPr>
        <w:t>,</w:t>
      </w:r>
      <w:r w:rsidRPr="001F083C">
        <w:rPr>
          <w:rFonts w:ascii="Times New Roman" w:eastAsia="Times New Roman" w:hAnsi="Times New Roman"/>
          <w:spacing w:val="-1"/>
          <w:sz w:val="24"/>
        </w:rPr>
        <w:t xml:space="preserve"> and III Districts in the Division of Bukidnon, located in Region X (Northern Mindanao), Philippines. </w:t>
      </w:r>
    </w:p>
    <w:p w14:paraId="00AD331F" w14:textId="77777777" w:rsidR="00F4070D" w:rsidRPr="00815065" w:rsidRDefault="00F4070D" w:rsidP="00F4070D">
      <w:pPr>
        <w:spacing w:before="8"/>
        <w:rPr>
          <w:rFonts w:ascii="Times New Roman" w:eastAsia="Times New Roman" w:hAnsi="Times New Roman" w:cs="Times New Roman"/>
          <w:sz w:val="20"/>
          <w:szCs w:val="20"/>
        </w:rPr>
      </w:pPr>
    </w:p>
    <w:p w14:paraId="49DE07F1" w14:textId="02A059A5" w:rsidR="00815065" w:rsidRDefault="00815065" w:rsidP="00815065">
      <w:pPr>
        <w:pStyle w:val="Heading2"/>
        <w:jc w:val="both"/>
        <w:rPr>
          <w:b w:val="0"/>
          <w:bCs w:val="0"/>
        </w:rPr>
      </w:pPr>
      <w:r>
        <w:rPr>
          <w:spacing w:val="-1"/>
        </w:rPr>
        <w:t xml:space="preserve">Research </w:t>
      </w:r>
      <w:r w:rsidR="00404A59">
        <w:rPr>
          <w:spacing w:val="-1"/>
        </w:rPr>
        <w:t>Respondents and Sampling</w:t>
      </w:r>
    </w:p>
    <w:p w14:paraId="65E37B7F" w14:textId="77777777" w:rsidR="00815065" w:rsidRDefault="00815065" w:rsidP="00815065">
      <w:pPr>
        <w:spacing w:before="1"/>
        <w:rPr>
          <w:rFonts w:ascii="Times New Roman" w:eastAsia="Times New Roman" w:hAnsi="Times New Roman" w:cs="Times New Roman"/>
          <w:b/>
          <w:bCs/>
          <w:sz w:val="21"/>
          <w:szCs w:val="21"/>
        </w:rPr>
      </w:pPr>
    </w:p>
    <w:p w14:paraId="66D34F45" w14:textId="65278927" w:rsidR="00087057" w:rsidRDefault="00B11317" w:rsidP="00087057">
      <w:pPr>
        <w:spacing w:before="9"/>
        <w:jc w:val="both"/>
        <w:rPr>
          <w:rFonts w:ascii="Times New Roman" w:eastAsia="Times New Roman" w:hAnsi="Times New Roman"/>
          <w:spacing w:val="-2"/>
          <w:sz w:val="24"/>
        </w:rPr>
      </w:pPr>
      <w:r w:rsidRPr="00B11317">
        <w:rPr>
          <w:rFonts w:ascii="Times New Roman" w:eastAsia="Times New Roman" w:hAnsi="Times New Roman"/>
          <w:spacing w:val="-2"/>
          <w:sz w:val="24"/>
        </w:rPr>
        <w:t xml:space="preserve">This study employed the total enumeration technique in selecting respondents. Under this method, 310 public elementary and secondary school teachers from </w:t>
      </w:r>
      <w:proofErr w:type="spellStart"/>
      <w:r w:rsidRPr="00B11317">
        <w:rPr>
          <w:rFonts w:ascii="Times New Roman" w:eastAsia="Times New Roman" w:hAnsi="Times New Roman"/>
          <w:spacing w:val="-2"/>
          <w:sz w:val="24"/>
        </w:rPr>
        <w:t>Kitaotao</w:t>
      </w:r>
      <w:proofErr w:type="spellEnd"/>
      <w:r w:rsidRPr="00B11317">
        <w:rPr>
          <w:rFonts w:ascii="Times New Roman" w:eastAsia="Times New Roman" w:hAnsi="Times New Roman"/>
          <w:spacing w:val="-2"/>
          <w:sz w:val="24"/>
        </w:rPr>
        <w:t xml:space="preserve"> II and III Districts, Division of Bukidnon, were included as respondents, during the second term of the School Year 2025–2026.</w:t>
      </w:r>
    </w:p>
    <w:p w14:paraId="31955343" w14:textId="77777777" w:rsidR="0091709F" w:rsidRPr="0091709F" w:rsidRDefault="0091709F" w:rsidP="00087057">
      <w:pPr>
        <w:spacing w:before="9"/>
        <w:jc w:val="both"/>
        <w:rPr>
          <w:rFonts w:ascii="Times New Roman" w:eastAsia="Times New Roman" w:hAnsi="Times New Roman"/>
          <w:spacing w:val="-2"/>
          <w:sz w:val="24"/>
        </w:rPr>
      </w:pPr>
    </w:p>
    <w:p w14:paraId="0A7C14E7" w14:textId="77777777" w:rsidR="00815065" w:rsidRDefault="00815065" w:rsidP="00815065">
      <w:pPr>
        <w:pStyle w:val="Heading2"/>
        <w:jc w:val="both"/>
        <w:rPr>
          <w:b w:val="0"/>
          <w:bCs w:val="0"/>
        </w:rPr>
      </w:pPr>
      <w:r>
        <w:rPr>
          <w:spacing w:val="-2"/>
        </w:rPr>
        <w:t>Research</w:t>
      </w:r>
      <w:r>
        <w:rPr>
          <w:spacing w:val="2"/>
        </w:rPr>
        <w:t xml:space="preserve"> </w:t>
      </w:r>
      <w:r>
        <w:rPr>
          <w:spacing w:val="-1"/>
        </w:rPr>
        <w:t>Instruments</w:t>
      </w:r>
    </w:p>
    <w:p w14:paraId="553A9864" w14:textId="77777777" w:rsidR="00815065" w:rsidRDefault="00815065" w:rsidP="00815065">
      <w:pPr>
        <w:spacing w:before="1"/>
        <w:rPr>
          <w:rFonts w:ascii="Times New Roman" w:eastAsia="Times New Roman" w:hAnsi="Times New Roman" w:cs="Times New Roman"/>
          <w:b/>
          <w:bCs/>
          <w:sz w:val="21"/>
          <w:szCs w:val="21"/>
        </w:rPr>
      </w:pPr>
    </w:p>
    <w:p w14:paraId="1FC8FEA3" w14:textId="0BE5D8C0" w:rsidR="00AD417F" w:rsidRDefault="0091709F" w:rsidP="00087057">
      <w:pPr>
        <w:spacing w:before="3"/>
        <w:jc w:val="both"/>
        <w:rPr>
          <w:rFonts w:ascii="Times New Roman" w:eastAsia="Times New Roman" w:hAnsi="Times New Roman" w:cs="Times New Roman"/>
          <w:sz w:val="24"/>
          <w:szCs w:val="24"/>
        </w:rPr>
      </w:pPr>
      <w:r w:rsidRPr="0091709F">
        <w:rPr>
          <w:rFonts w:ascii="Times New Roman" w:eastAsia="Times New Roman" w:hAnsi="Times New Roman" w:cs="Times New Roman"/>
          <w:sz w:val="24"/>
          <w:szCs w:val="24"/>
        </w:rPr>
        <w:t xml:space="preserve">This study used a survey questionnaire to gather data on instructional leadership, technological competence, and educational assessment capability among public elementary and secondary school teachers in the </w:t>
      </w:r>
      <w:proofErr w:type="spellStart"/>
      <w:r w:rsidRPr="0091709F">
        <w:rPr>
          <w:rFonts w:ascii="Times New Roman" w:eastAsia="Times New Roman" w:hAnsi="Times New Roman" w:cs="Times New Roman"/>
          <w:sz w:val="24"/>
          <w:szCs w:val="24"/>
        </w:rPr>
        <w:t>Kitaotao</w:t>
      </w:r>
      <w:proofErr w:type="spellEnd"/>
      <w:r w:rsidRPr="00917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District</w:t>
      </w:r>
      <w:r w:rsidRPr="0091709F">
        <w:rPr>
          <w:rFonts w:ascii="Times New Roman" w:eastAsia="Times New Roman" w:hAnsi="Times New Roman" w:cs="Times New Roman"/>
          <w:sz w:val="24"/>
          <w:szCs w:val="24"/>
        </w:rPr>
        <w:t xml:space="preserve"> of the Division of Bukidnon. The researcher sought permission from the respective authors to adapt their questionnaires through </w:t>
      </w:r>
      <w:r>
        <w:rPr>
          <w:rFonts w:ascii="Times New Roman" w:eastAsia="Times New Roman" w:hAnsi="Times New Roman" w:cs="Times New Roman"/>
          <w:sz w:val="24"/>
          <w:szCs w:val="24"/>
        </w:rPr>
        <w:t>email</w:t>
      </w:r>
      <w:r w:rsidRPr="0091709F">
        <w:rPr>
          <w:rFonts w:ascii="Times New Roman" w:eastAsia="Times New Roman" w:hAnsi="Times New Roman" w:cs="Times New Roman"/>
          <w:sz w:val="24"/>
          <w:szCs w:val="24"/>
        </w:rPr>
        <w:t xml:space="preserve">. The questionnaire </w:t>
      </w:r>
      <w:r>
        <w:rPr>
          <w:rFonts w:ascii="Times New Roman" w:eastAsia="Times New Roman" w:hAnsi="Times New Roman" w:cs="Times New Roman"/>
          <w:sz w:val="24"/>
          <w:szCs w:val="24"/>
        </w:rPr>
        <w:t>comprises</w:t>
      </w:r>
      <w:r w:rsidRPr="0091709F">
        <w:rPr>
          <w:rFonts w:ascii="Times New Roman" w:eastAsia="Times New Roman" w:hAnsi="Times New Roman" w:cs="Times New Roman"/>
          <w:sz w:val="24"/>
          <w:szCs w:val="24"/>
        </w:rPr>
        <w:t xml:space="preserve"> three parts: instructional leadership, technological competence, and educational assessment capability. Part I focused on instructional leadership and covered developing and communicating shared goals, monitoring and providing feedback, and promoting professional development. The instrument was adapted from </w:t>
      </w:r>
      <w:proofErr w:type="spellStart"/>
      <w:r w:rsidRPr="0091709F">
        <w:rPr>
          <w:rFonts w:ascii="Times New Roman" w:eastAsia="Times New Roman" w:hAnsi="Times New Roman" w:cs="Times New Roman"/>
          <w:sz w:val="24"/>
          <w:szCs w:val="24"/>
        </w:rPr>
        <w:t>Solatorio</w:t>
      </w:r>
      <w:proofErr w:type="spellEnd"/>
      <w:r w:rsidRPr="0091709F">
        <w:rPr>
          <w:rFonts w:ascii="Times New Roman" w:eastAsia="Times New Roman" w:hAnsi="Times New Roman" w:cs="Times New Roman"/>
          <w:sz w:val="24"/>
          <w:szCs w:val="24"/>
        </w:rPr>
        <w:t xml:space="preserve"> (2014) with a Cronbach’s alpha of 0.943, indicating high reliability. Part II focused on technological competence and was adapted from Capili (2024) with a Cronbach’s alpha of 0.976. Lastly, Part III focused on educational assessment capability and was adapted from </w:t>
      </w:r>
      <w:proofErr w:type="spellStart"/>
      <w:r w:rsidRPr="0091709F">
        <w:rPr>
          <w:rFonts w:ascii="Times New Roman" w:eastAsia="Times New Roman" w:hAnsi="Times New Roman" w:cs="Times New Roman"/>
          <w:sz w:val="24"/>
          <w:szCs w:val="24"/>
        </w:rPr>
        <w:t>Bonggo</w:t>
      </w:r>
      <w:proofErr w:type="spellEnd"/>
      <w:r w:rsidRPr="0091709F">
        <w:rPr>
          <w:rFonts w:ascii="Times New Roman" w:eastAsia="Times New Roman" w:hAnsi="Times New Roman" w:cs="Times New Roman"/>
          <w:sz w:val="24"/>
          <w:szCs w:val="24"/>
        </w:rPr>
        <w:t xml:space="preserve"> (2024) with a Cronbach’s alpha of 0.97, likewise indicating high reliability.</w:t>
      </w:r>
    </w:p>
    <w:p w14:paraId="02AC7F61" w14:textId="77777777" w:rsidR="0091709F" w:rsidRPr="0091709F" w:rsidRDefault="0091709F" w:rsidP="00087057">
      <w:pPr>
        <w:spacing w:before="3"/>
        <w:jc w:val="both"/>
        <w:rPr>
          <w:rFonts w:ascii="Times New Roman" w:eastAsia="Times New Roman" w:hAnsi="Times New Roman" w:cs="Times New Roman"/>
          <w:sz w:val="24"/>
          <w:szCs w:val="24"/>
        </w:rPr>
      </w:pPr>
    </w:p>
    <w:p w14:paraId="4E192631" w14:textId="77777777" w:rsidR="00815065" w:rsidRDefault="00815065" w:rsidP="00815065">
      <w:pPr>
        <w:pStyle w:val="Heading2"/>
        <w:jc w:val="both"/>
        <w:rPr>
          <w:b w:val="0"/>
          <w:bCs w:val="0"/>
        </w:rPr>
      </w:pPr>
      <w:r>
        <w:t>Data Analysis</w:t>
      </w:r>
    </w:p>
    <w:p w14:paraId="35DAFCA5" w14:textId="77777777" w:rsidR="00815065" w:rsidRDefault="00815065" w:rsidP="00815065">
      <w:pPr>
        <w:spacing w:before="2"/>
        <w:rPr>
          <w:rFonts w:ascii="Times New Roman" w:eastAsia="Times New Roman" w:hAnsi="Times New Roman" w:cs="Times New Roman"/>
          <w:b/>
          <w:bCs/>
          <w:sz w:val="21"/>
          <w:szCs w:val="21"/>
        </w:rPr>
      </w:pPr>
    </w:p>
    <w:p w14:paraId="7AC499DF" w14:textId="7E816658" w:rsidR="00E23DE9" w:rsidRDefault="00E23DE9" w:rsidP="0091709F">
      <w:pPr>
        <w:spacing w:before="8"/>
        <w:jc w:val="both"/>
        <w:rPr>
          <w:rFonts w:ascii="Times New Roman" w:eastAsia="Times New Roman" w:hAnsi="Times New Roman"/>
          <w:spacing w:val="-2"/>
          <w:sz w:val="24"/>
        </w:rPr>
      </w:pPr>
      <w:r w:rsidRPr="00E23DE9">
        <w:rPr>
          <w:rFonts w:ascii="Times New Roman" w:eastAsia="Times New Roman" w:hAnsi="Times New Roman"/>
          <w:spacing w:val="-2"/>
          <w:sz w:val="24"/>
        </w:rPr>
        <w:t xml:space="preserve">Data Analysis </w:t>
      </w:r>
      <w:r w:rsidR="0091709F" w:rsidRPr="0091709F">
        <w:rPr>
          <w:rFonts w:ascii="Times New Roman" w:eastAsia="Times New Roman" w:hAnsi="Times New Roman"/>
          <w:spacing w:val="-2"/>
          <w:sz w:val="24"/>
        </w:rPr>
        <w:t>Means were used to describe the levels of teachers’ instructional leadership, technological competence, and educational assessment capability. The Pearson Product-Moment Correlation was applied to determine the strength and direction of the relationships between instructional leadership, technological competence, and educational assessment capability. Furthermore, linear regression analysis was used to identify the best predictor of teachers’ educational assessment capability among the identified variables</w:t>
      </w:r>
    </w:p>
    <w:p w14:paraId="4AA6E64A" w14:textId="77777777" w:rsidR="0091709F" w:rsidRDefault="0091709F" w:rsidP="0091709F">
      <w:pPr>
        <w:spacing w:before="8"/>
        <w:jc w:val="both"/>
        <w:rPr>
          <w:rFonts w:ascii="Times New Roman" w:eastAsia="Times New Roman" w:hAnsi="Times New Roman" w:cs="Times New Roman"/>
          <w:sz w:val="21"/>
          <w:szCs w:val="21"/>
        </w:rPr>
      </w:pPr>
    </w:p>
    <w:p w14:paraId="29570BB2" w14:textId="77777777" w:rsidR="00BF0849" w:rsidRDefault="00BF0849" w:rsidP="0091709F">
      <w:pPr>
        <w:spacing w:before="8"/>
        <w:jc w:val="both"/>
        <w:rPr>
          <w:rFonts w:ascii="Times New Roman" w:eastAsia="Times New Roman" w:hAnsi="Times New Roman" w:cs="Times New Roman"/>
          <w:sz w:val="21"/>
          <w:szCs w:val="21"/>
        </w:rPr>
      </w:pPr>
    </w:p>
    <w:p w14:paraId="7D0154DD" w14:textId="50529E16" w:rsidR="00815065" w:rsidRDefault="00E23DE9" w:rsidP="00815065">
      <w:pPr>
        <w:pStyle w:val="Heading1"/>
        <w:jc w:val="both"/>
      </w:pPr>
      <w:r>
        <w:lastRenderedPageBreak/>
        <w:t>RESULTS AND DISCUSSION</w:t>
      </w:r>
    </w:p>
    <w:p w14:paraId="37219F91" w14:textId="77777777" w:rsidR="00815065" w:rsidRDefault="00815065" w:rsidP="00815065">
      <w:pPr>
        <w:pStyle w:val="Heading1"/>
        <w:jc w:val="both"/>
        <w:rPr>
          <w:b w:val="0"/>
          <w:bCs w:val="0"/>
        </w:rPr>
      </w:pPr>
    </w:p>
    <w:p w14:paraId="6DEA6EAF" w14:textId="21B79B68" w:rsidR="003E659D" w:rsidRDefault="00E23DE9" w:rsidP="001F083C">
      <w:pPr>
        <w:spacing w:line="246"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After gathering the data, it is being analyzed using SPSS to find the total mean score, Pearson </w:t>
      </w:r>
      <w:r w:rsidR="001E3B07">
        <w:rPr>
          <w:rFonts w:ascii="Times New Roman" w:eastAsia="Times New Roman" w:hAnsi="Times New Roman" w:cs="Times New Roman"/>
          <w:spacing w:val="-1"/>
          <w:sz w:val="24"/>
          <w:szCs w:val="24"/>
        </w:rPr>
        <w:t>Product-Moment</w:t>
      </w:r>
      <w:r>
        <w:rPr>
          <w:rFonts w:ascii="Times New Roman" w:eastAsia="Times New Roman" w:hAnsi="Times New Roman" w:cs="Times New Roman"/>
          <w:spacing w:val="-1"/>
          <w:sz w:val="24"/>
          <w:szCs w:val="24"/>
        </w:rPr>
        <w:t xml:space="preserve"> Correlation (r)</w:t>
      </w:r>
      <w:r w:rsidR="0091709F">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and regression analysis results.</w:t>
      </w:r>
    </w:p>
    <w:p w14:paraId="07DEA63F" w14:textId="77777777" w:rsidR="00905927" w:rsidRPr="000415B2" w:rsidRDefault="00905927" w:rsidP="00905927">
      <w:pPr>
        <w:spacing w:line="246" w:lineRule="auto"/>
        <w:jc w:val="both"/>
        <w:rPr>
          <w:rFonts w:ascii="Times New Roman" w:eastAsia="Times New Roman" w:hAnsi="Times New Roman" w:cs="Times New Roman"/>
          <w:b/>
          <w:bCs/>
          <w:sz w:val="24"/>
          <w:szCs w:val="24"/>
        </w:rPr>
      </w:pPr>
    </w:p>
    <w:p w14:paraId="76112DF9" w14:textId="6D74DCB6" w:rsidR="00905927" w:rsidRDefault="001F083C" w:rsidP="00905927">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1: </w:t>
      </w:r>
      <w:r w:rsidR="0016236C">
        <w:rPr>
          <w:rFonts w:ascii="Times New Roman" w:eastAsia="Times New Roman" w:hAnsi="Times New Roman" w:cs="Times New Roman"/>
          <w:b/>
          <w:bCs/>
          <w:sz w:val="24"/>
          <w:szCs w:val="24"/>
        </w:rPr>
        <w:t>Summary of Teachers' Instructional Leadership</w:t>
      </w:r>
    </w:p>
    <w:p w14:paraId="4992C959" w14:textId="77777777" w:rsidR="0091709F" w:rsidRPr="000415B2" w:rsidRDefault="0091709F" w:rsidP="00905927">
      <w:pPr>
        <w:spacing w:line="246" w:lineRule="auto"/>
        <w:jc w:val="both"/>
        <w:rPr>
          <w:rFonts w:ascii="Times New Roman" w:eastAsia="Times New Roman" w:hAnsi="Times New Roman" w:cs="Times New Roman"/>
          <w:b/>
          <w:bCs/>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4575"/>
        <w:gridCol w:w="720"/>
        <w:gridCol w:w="1619"/>
        <w:gridCol w:w="3806"/>
      </w:tblGrid>
      <w:tr w:rsidR="001F083C" w:rsidRPr="000415B2" w14:paraId="4BE374D0" w14:textId="77777777" w:rsidTr="005953A8">
        <w:trPr>
          <w:cantSplit/>
        </w:trPr>
        <w:tc>
          <w:tcPr>
            <w:tcW w:w="2134" w:type="pct"/>
            <w:vAlign w:val="center"/>
          </w:tcPr>
          <w:p w14:paraId="5FAD58F5" w14:textId="77777777" w:rsidR="001F083C" w:rsidRPr="005953A8" w:rsidRDefault="001F083C" w:rsidP="000415B2">
            <w:pPr>
              <w:autoSpaceDE w:val="0"/>
              <w:autoSpaceDN w:val="0"/>
              <w:adjustRightInd w:val="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Indicators</w:t>
            </w:r>
          </w:p>
        </w:tc>
        <w:tc>
          <w:tcPr>
            <w:tcW w:w="336" w:type="pct"/>
            <w:shd w:val="clear" w:color="auto" w:fill="FFFFFF"/>
            <w:vAlign w:val="center"/>
          </w:tcPr>
          <w:p w14:paraId="183A938F"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Mean</w:t>
            </w:r>
          </w:p>
        </w:tc>
        <w:tc>
          <w:tcPr>
            <w:tcW w:w="755" w:type="pct"/>
            <w:shd w:val="clear" w:color="auto" w:fill="FFFFFF"/>
            <w:vAlign w:val="center"/>
          </w:tcPr>
          <w:p w14:paraId="1A3BA5A6"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Descriptive Rating</w:t>
            </w:r>
          </w:p>
        </w:tc>
        <w:tc>
          <w:tcPr>
            <w:tcW w:w="1775" w:type="pct"/>
            <w:shd w:val="clear" w:color="auto" w:fill="FFFFFF"/>
            <w:vAlign w:val="center"/>
          </w:tcPr>
          <w:p w14:paraId="7D4E9CD4"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Qualitative Interpretation</w:t>
            </w:r>
          </w:p>
        </w:tc>
      </w:tr>
      <w:tr w:rsidR="0016236C" w:rsidRPr="000415B2" w14:paraId="3607412F" w14:textId="77777777" w:rsidTr="005953A8">
        <w:trPr>
          <w:cantSplit/>
        </w:trPr>
        <w:tc>
          <w:tcPr>
            <w:tcW w:w="2134" w:type="pct"/>
          </w:tcPr>
          <w:p w14:paraId="13FD8478" w14:textId="7656B67A" w:rsidR="0016236C" w:rsidRPr="005953A8" w:rsidRDefault="0016236C" w:rsidP="005953A8">
            <w:pPr>
              <w:rPr>
                <w:rStyle w:val="Emphasis"/>
                <w:rFonts w:ascii="Times New Roman" w:hAnsi="Times New Roman" w:cs="Times New Roman"/>
                <w:i w:val="0"/>
                <w:sz w:val="24"/>
                <w:szCs w:val="24"/>
              </w:rPr>
            </w:pPr>
            <w:r w:rsidRPr="005953A8">
              <w:rPr>
                <w:rFonts w:ascii="Times New Roman" w:hAnsi="Times New Roman" w:cs="Times New Roman"/>
                <w:sz w:val="24"/>
                <w:szCs w:val="24"/>
              </w:rPr>
              <w:t>Developing and Communicating Shared Goal</w:t>
            </w:r>
          </w:p>
        </w:tc>
        <w:tc>
          <w:tcPr>
            <w:tcW w:w="336" w:type="pct"/>
            <w:tcBorders>
              <w:top w:val="single" w:sz="4" w:space="0" w:color="auto"/>
            </w:tcBorders>
          </w:tcPr>
          <w:p w14:paraId="7FCFA577" w14:textId="3F5AFF05"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4.61</w:t>
            </w:r>
          </w:p>
        </w:tc>
        <w:tc>
          <w:tcPr>
            <w:tcW w:w="755" w:type="pct"/>
            <w:shd w:val="clear" w:color="auto" w:fill="FFFFFF"/>
          </w:tcPr>
          <w:p w14:paraId="5C0BB712" w14:textId="72C9071E" w:rsidR="0016236C" w:rsidRPr="005953A8" w:rsidRDefault="0016236C" w:rsidP="0016236C">
            <w:pPr>
              <w:jc w:val="center"/>
              <w:rPr>
                <w:rFonts w:ascii="Times New Roman" w:eastAsia="Arial" w:hAnsi="Times New Roman" w:cs="Times New Roman"/>
                <w:sz w:val="24"/>
                <w:szCs w:val="24"/>
              </w:rPr>
            </w:pPr>
            <w:r w:rsidRPr="005953A8">
              <w:rPr>
                <w:rFonts w:ascii="Times New Roman" w:eastAsia="Arial" w:hAnsi="Times New Roman" w:cs="Times New Roman"/>
                <w:sz w:val="24"/>
                <w:szCs w:val="24"/>
              </w:rPr>
              <w:t>Always</w:t>
            </w:r>
          </w:p>
        </w:tc>
        <w:tc>
          <w:tcPr>
            <w:tcW w:w="1775" w:type="pct"/>
            <w:tcBorders>
              <w:top w:val="single" w:sz="4" w:space="0" w:color="auto"/>
            </w:tcBorders>
          </w:tcPr>
          <w:p w14:paraId="487B1CA8" w14:textId="54BC247E"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High Instructional Leadership</w:t>
            </w:r>
          </w:p>
        </w:tc>
      </w:tr>
      <w:tr w:rsidR="0016236C" w:rsidRPr="000415B2" w14:paraId="42328D86" w14:textId="77777777" w:rsidTr="005953A8">
        <w:trPr>
          <w:cantSplit/>
        </w:trPr>
        <w:tc>
          <w:tcPr>
            <w:tcW w:w="2134" w:type="pct"/>
          </w:tcPr>
          <w:p w14:paraId="27F42215" w14:textId="77A34C72" w:rsidR="0016236C" w:rsidRPr="005953A8" w:rsidRDefault="0016236C" w:rsidP="005953A8">
            <w:pPr>
              <w:rPr>
                <w:rFonts w:ascii="Times New Roman" w:eastAsia="Times New Roman" w:hAnsi="Times New Roman" w:cs="Times New Roman"/>
                <w:color w:val="000000"/>
                <w:sz w:val="24"/>
                <w:szCs w:val="24"/>
              </w:rPr>
            </w:pPr>
            <w:r w:rsidRPr="005953A8">
              <w:rPr>
                <w:rFonts w:ascii="Times New Roman" w:hAnsi="Times New Roman" w:cs="Times New Roman"/>
                <w:sz w:val="24"/>
                <w:szCs w:val="24"/>
              </w:rPr>
              <w:t>Monitoring and Providing Feedback</w:t>
            </w:r>
          </w:p>
        </w:tc>
        <w:tc>
          <w:tcPr>
            <w:tcW w:w="336" w:type="pct"/>
          </w:tcPr>
          <w:p w14:paraId="5BCC48AF" w14:textId="20F62FFF"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4.51</w:t>
            </w:r>
          </w:p>
        </w:tc>
        <w:tc>
          <w:tcPr>
            <w:tcW w:w="755" w:type="pct"/>
            <w:shd w:val="clear" w:color="auto" w:fill="FFFFFF"/>
          </w:tcPr>
          <w:p w14:paraId="470D3F3C" w14:textId="00174EFE" w:rsidR="0016236C" w:rsidRPr="005953A8" w:rsidRDefault="005953A8" w:rsidP="0016236C">
            <w:pPr>
              <w:jc w:val="center"/>
              <w:rPr>
                <w:rFonts w:ascii="Times New Roman" w:eastAsia="Arial" w:hAnsi="Times New Roman" w:cs="Times New Roman"/>
                <w:sz w:val="24"/>
                <w:szCs w:val="24"/>
              </w:rPr>
            </w:pPr>
            <w:proofErr w:type="gramStart"/>
            <w:r w:rsidRPr="005953A8">
              <w:rPr>
                <w:rFonts w:ascii="Times New Roman" w:eastAsia="Arial" w:hAnsi="Times New Roman" w:cs="Times New Roman"/>
                <w:sz w:val="24"/>
                <w:szCs w:val="24"/>
              </w:rPr>
              <w:t>Usually</w:t>
            </w:r>
            <w:proofErr w:type="gramEnd"/>
          </w:p>
        </w:tc>
        <w:tc>
          <w:tcPr>
            <w:tcW w:w="1775" w:type="pct"/>
          </w:tcPr>
          <w:p w14:paraId="623FBC95" w14:textId="50D0DED2"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16236C" w:rsidRPr="000415B2" w14:paraId="1FDA59C8" w14:textId="77777777" w:rsidTr="005953A8">
        <w:trPr>
          <w:cantSplit/>
        </w:trPr>
        <w:tc>
          <w:tcPr>
            <w:tcW w:w="2134" w:type="pct"/>
          </w:tcPr>
          <w:p w14:paraId="59545E0E" w14:textId="4EB8A16E" w:rsidR="0016236C" w:rsidRPr="005953A8" w:rsidRDefault="0016236C" w:rsidP="005953A8">
            <w:pPr>
              <w:rPr>
                <w:rFonts w:ascii="Times New Roman" w:eastAsia="Times New Roman" w:hAnsi="Times New Roman" w:cs="Times New Roman"/>
                <w:color w:val="000000"/>
                <w:sz w:val="24"/>
                <w:szCs w:val="24"/>
              </w:rPr>
            </w:pPr>
            <w:r w:rsidRPr="005953A8">
              <w:rPr>
                <w:rFonts w:ascii="Times New Roman" w:hAnsi="Times New Roman" w:cs="Times New Roman"/>
                <w:sz w:val="24"/>
                <w:szCs w:val="24"/>
              </w:rPr>
              <w:t>Promoting Professional Development</w:t>
            </w:r>
          </w:p>
        </w:tc>
        <w:tc>
          <w:tcPr>
            <w:tcW w:w="336" w:type="pct"/>
          </w:tcPr>
          <w:p w14:paraId="14A9225E" w14:textId="1F9C0090"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4.47</w:t>
            </w:r>
          </w:p>
        </w:tc>
        <w:tc>
          <w:tcPr>
            <w:tcW w:w="755" w:type="pct"/>
            <w:shd w:val="clear" w:color="auto" w:fill="FFFFFF"/>
          </w:tcPr>
          <w:p w14:paraId="37983D7A" w14:textId="7409311C" w:rsidR="0016236C" w:rsidRPr="005953A8" w:rsidRDefault="0016236C" w:rsidP="0016236C">
            <w:pPr>
              <w:jc w:val="center"/>
              <w:rPr>
                <w:rFonts w:ascii="Times New Roman" w:eastAsia="Arial" w:hAnsi="Times New Roman" w:cs="Times New Roman"/>
                <w:sz w:val="24"/>
                <w:szCs w:val="24"/>
              </w:rPr>
            </w:pPr>
            <w:proofErr w:type="gramStart"/>
            <w:r w:rsidRPr="005953A8">
              <w:rPr>
                <w:rFonts w:ascii="Times New Roman" w:eastAsia="Arial" w:hAnsi="Times New Roman" w:cs="Times New Roman"/>
                <w:sz w:val="24"/>
                <w:szCs w:val="24"/>
              </w:rPr>
              <w:t>Usually</w:t>
            </w:r>
            <w:proofErr w:type="gramEnd"/>
          </w:p>
        </w:tc>
        <w:tc>
          <w:tcPr>
            <w:tcW w:w="1775" w:type="pct"/>
          </w:tcPr>
          <w:p w14:paraId="667B362D" w14:textId="78011173"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16236C" w:rsidRPr="000415B2" w14:paraId="26311E34" w14:textId="77777777" w:rsidTr="005953A8">
        <w:trPr>
          <w:cantSplit/>
        </w:trPr>
        <w:tc>
          <w:tcPr>
            <w:tcW w:w="2134" w:type="pct"/>
            <w:tcBorders>
              <w:top w:val="single" w:sz="4" w:space="0" w:color="auto"/>
              <w:bottom w:val="double" w:sz="4" w:space="0" w:color="auto"/>
            </w:tcBorders>
          </w:tcPr>
          <w:p w14:paraId="07E8D2D4" w14:textId="0F752F6B" w:rsidR="0016236C" w:rsidRPr="005953A8" w:rsidRDefault="0016236C" w:rsidP="0016236C">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sz w:val="24"/>
                <w:szCs w:val="24"/>
              </w:rPr>
              <w:t>Overall Mean</w:t>
            </w:r>
          </w:p>
        </w:tc>
        <w:tc>
          <w:tcPr>
            <w:tcW w:w="336" w:type="pct"/>
            <w:tcBorders>
              <w:top w:val="single" w:sz="4" w:space="0" w:color="auto"/>
              <w:bottom w:val="double" w:sz="4" w:space="0" w:color="auto"/>
            </w:tcBorders>
          </w:tcPr>
          <w:p w14:paraId="09ECD680" w14:textId="3ECE4D42"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4.53</w:t>
            </w:r>
          </w:p>
        </w:tc>
        <w:tc>
          <w:tcPr>
            <w:tcW w:w="755" w:type="pct"/>
            <w:shd w:val="clear" w:color="auto" w:fill="FFFFFF"/>
          </w:tcPr>
          <w:p w14:paraId="5DEDAAEA" w14:textId="1FAE0572" w:rsidR="0016236C" w:rsidRPr="005953A8" w:rsidRDefault="0016236C" w:rsidP="0016236C">
            <w:pPr>
              <w:jc w:val="center"/>
              <w:rPr>
                <w:rFonts w:ascii="Times New Roman" w:eastAsia="Arial" w:hAnsi="Times New Roman" w:cs="Times New Roman"/>
                <w:sz w:val="24"/>
                <w:szCs w:val="24"/>
              </w:rPr>
            </w:pPr>
            <w:proofErr w:type="gramStart"/>
            <w:r w:rsidRPr="005953A8">
              <w:rPr>
                <w:rFonts w:ascii="Times New Roman" w:eastAsia="Arial" w:hAnsi="Times New Roman" w:cs="Times New Roman"/>
                <w:sz w:val="24"/>
                <w:szCs w:val="24"/>
              </w:rPr>
              <w:t>Usually</w:t>
            </w:r>
            <w:proofErr w:type="gramEnd"/>
          </w:p>
        </w:tc>
        <w:tc>
          <w:tcPr>
            <w:tcW w:w="1775" w:type="pct"/>
            <w:tcBorders>
              <w:top w:val="single" w:sz="4" w:space="0" w:color="auto"/>
              <w:bottom w:val="double" w:sz="4" w:space="0" w:color="auto"/>
            </w:tcBorders>
          </w:tcPr>
          <w:p w14:paraId="01C2B89D" w14:textId="5C076FF2"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bl>
    <w:p w14:paraId="36E849A5" w14:textId="77777777" w:rsidR="00E23DE9" w:rsidRDefault="000415B2" w:rsidP="000415B2">
      <w:pPr>
        <w:pStyle w:val="Normal1"/>
        <w:spacing w:after="0" w:line="240" w:lineRule="auto"/>
        <w:jc w:val="both"/>
        <w:rPr>
          <w:rFonts w:ascii="Times New Roman" w:eastAsia="Open Sans" w:hAnsi="Times New Roman" w:cs="Times New Roman"/>
          <w:color w:val="000000" w:themeColor="text1"/>
          <w:sz w:val="24"/>
          <w:szCs w:val="24"/>
        </w:rPr>
      </w:pPr>
      <w:r w:rsidRPr="000415B2">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E23DE9" w14:paraId="575F0E95" w14:textId="77777777" w:rsidTr="00E23DE9">
        <w:tc>
          <w:tcPr>
            <w:tcW w:w="1560" w:type="dxa"/>
          </w:tcPr>
          <w:p w14:paraId="73685ABE" w14:textId="40BB7393" w:rsidR="00E23DE9" w:rsidRPr="005953A8" w:rsidRDefault="00E23DE9" w:rsidP="00E23DE9">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Rating</w:t>
            </w:r>
          </w:p>
        </w:tc>
        <w:tc>
          <w:tcPr>
            <w:tcW w:w="1842" w:type="dxa"/>
          </w:tcPr>
          <w:p w14:paraId="056E2B88" w14:textId="724DA11F" w:rsidR="00E23DE9" w:rsidRPr="005953A8" w:rsidRDefault="00E23DE9" w:rsidP="00E23DE9">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Scale</w:t>
            </w:r>
          </w:p>
        </w:tc>
        <w:tc>
          <w:tcPr>
            <w:tcW w:w="2972" w:type="dxa"/>
          </w:tcPr>
          <w:p w14:paraId="6E88A14C" w14:textId="272B107C" w:rsidR="00E23DE9" w:rsidRPr="005953A8" w:rsidRDefault="00E23DE9"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Descriptive Rating</w:t>
            </w:r>
          </w:p>
        </w:tc>
        <w:tc>
          <w:tcPr>
            <w:tcW w:w="4366" w:type="dxa"/>
            <w:vAlign w:val="center"/>
          </w:tcPr>
          <w:p w14:paraId="0AA0D6DA" w14:textId="3A242004" w:rsidR="00E23DE9" w:rsidRPr="005953A8" w:rsidRDefault="00E23DE9"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Qualitative Interpretation</w:t>
            </w:r>
          </w:p>
        </w:tc>
      </w:tr>
      <w:tr w:rsidR="005953A8" w14:paraId="058FF798" w14:textId="77777777" w:rsidTr="003F1BD5">
        <w:tc>
          <w:tcPr>
            <w:tcW w:w="1560" w:type="dxa"/>
            <w:vAlign w:val="center"/>
          </w:tcPr>
          <w:p w14:paraId="74BF5C77" w14:textId="16ED116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5</w:t>
            </w:r>
          </w:p>
        </w:tc>
        <w:tc>
          <w:tcPr>
            <w:tcW w:w="1842" w:type="dxa"/>
            <w:vAlign w:val="center"/>
          </w:tcPr>
          <w:p w14:paraId="6C4B4879" w14:textId="1FC21927"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4.51-5.00</w:t>
            </w:r>
          </w:p>
        </w:tc>
        <w:tc>
          <w:tcPr>
            <w:tcW w:w="2972" w:type="dxa"/>
          </w:tcPr>
          <w:p w14:paraId="1F2844EB" w14:textId="6325754D"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Always</w:t>
            </w:r>
          </w:p>
        </w:tc>
        <w:tc>
          <w:tcPr>
            <w:tcW w:w="4366" w:type="dxa"/>
          </w:tcPr>
          <w:p w14:paraId="66E8A1B1" w14:textId="6A71D5BA"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High Instructional Leadership</w:t>
            </w:r>
          </w:p>
        </w:tc>
      </w:tr>
      <w:tr w:rsidR="005953A8" w14:paraId="4DF93516" w14:textId="77777777" w:rsidTr="003F1BD5">
        <w:tc>
          <w:tcPr>
            <w:tcW w:w="1560" w:type="dxa"/>
            <w:vAlign w:val="center"/>
          </w:tcPr>
          <w:p w14:paraId="7F1A3218" w14:textId="2BCF33C8"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4</w:t>
            </w:r>
          </w:p>
        </w:tc>
        <w:tc>
          <w:tcPr>
            <w:tcW w:w="1842" w:type="dxa"/>
            <w:vAlign w:val="center"/>
          </w:tcPr>
          <w:p w14:paraId="2B00C58C" w14:textId="47023CA6"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3.51-4.50</w:t>
            </w:r>
          </w:p>
        </w:tc>
        <w:tc>
          <w:tcPr>
            <w:tcW w:w="2972" w:type="dxa"/>
          </w:tcPr>
          <w:p w14:paraId="57A74507" w14:textId="2F11F4B3"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proofErr w:type="gramStart"/>
            <w:r w:rsidRPr="005953A8">
              <w:rPr>
                <w:rFonts w:ascii="Times New Roman" w:hAnsi="Times New Roman" w:cs="Times New Roman"/>
                <w:sz w:val="24"/>
                <w:szCs w:val="24"/>
              </w:rPr>
              <w:t>Usually</w:t>
            </w:r>
            <w:proofErr w:type="gramEnd"/>
          </w:p>
        </w:tc>
        <w:tc>
          <w:tcPr>
            <w:tcW w:w="4366" w:type="dxa"/>
          </w:tcPr>
          <w:p w14:paraId="47100E16" w14:textId="2C212B0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5953A8" w14:paraId="4F21A982" w14:textId="77777777" w:rsidTr="003F1BD5">
        <w:tc>
          <w:tcPr>
            <w:tcW w:w="1560" w:type="dxa"/>
            <w:vAlign w:val="center"/>
          </w:tcPr>
          <w:p w14:paraId="6C7677B0" w14:textId="510C9504"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3</w:t>
            </w:r>
          </w:p>
        </w:tc>
        <w:tc>
          <w:tcPr>
            <w:tcW w:w="1842" w:type="dxa"/>
            <w:vAlign w:val="center"/>
          </w:tcPr>
          <w:p w14:paraId="17DA8DF5" w14:textId="6ABD935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2.51-3.50</w:t>
            </w:r>
          </w:p>
        </w:tc>
        <w:tc>
          <w:tcPr>
            <w:tcW w:w="2972" w:type="dxa"/>
          </w:tcPr>
          <w:p w14:paraId="36849C96" w14:textId="5EE535D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Sometimes</w:t>
            </w:r>
          </w:p>
        </w:tc>
        <w:tc>
          <w:tcPr>
            <w:tcW w:w="4366" w:type="dxa"/>
          </w:tcPr>
          <w:p w14:paraId="18780342" w14:textId="0F7D231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Moderate Instructional Leadership</w:t>
            </w:r>
          </w:p>
        </w:tc>
      </w:tr>
      <w:tr w:rsidR="005953A8" w14:paraId="38226692" w14:textId="77777777" w:rsidTr="003F1BD5">
        <w:tc>
          <w:tcPr>
            <w:tcW w:w="1560" w:type="dxa"/>
            <w:vAlign w:val="center"/>
          </w:tcPr>
          <w:p w14:paraId="5970B259" w14:textId="1AACA66E"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2</w:t>
            </w:r>
          </w:p>
        </w:tc>
        <w:tc>
          <w:tcPr>
            <w:tcW w:w="1842" w:type="dxa"/>
            <w:vAlign w:val="center"/>
          </w:tcPr>
          <w:p w14:paraId="5376DD2B" w14:textId="6C799D2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1.51-2.50</w:t>
            </w:r>
          </w:p>
        </w:tc>
        <w:tc>
          <w:tcPr>
            <w:tcW w:w="2972" w:type="dxa"/>
          </w:tcPr>
          <w:p w14:paraId="120F967C" w14:textId="1A4E7502"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Seldom</w:t>
            </w:r>
          </w:p>
        </w:tc>
        <w:tc>
          <w:tcPr>
            <w:tcW w:w="4366" w:type="dxa"/>
          </w:tcPr>
          <w:p w14:paraId="7B0CE10B" w14:textId="4EB8A20B"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Low Instructional Leadership</w:t>
            </w:r>
          </w:p>
        </w:tc>
      </w:tr>
      <w:tr w:rsidR="005953A8" w14:paraId="2FAF0203" w14:textId="77777777" w:rsidTr="003F1BD5">
        <w:trPr>
          <w:trHeight w:val="80"/>
        </w:trPr>
        <w:tc>
          <w:tcPr>
            <w:tcW w:w="1560" w:type="dxa"/>
            <w:vAlign w:val="center"/>
          </w:tcPr>
          <w:p w14:paraId="1AC5C762" w14:textId="74F7946D"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w:t>
            </w:r>
          </w:p>
        </w:tc>
        <w:tc>
          <w:tcPr>
            <w:tcW w:w="1842" w:type="dxa"/>
            <w:vAlign w:val="center"/>
          </w:tcPr>
          <w:p w14:paraId="307EB3FF" w14:textId="59060E1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1.00-1.50</w:t>
            </w:r>
          </w:p>
        </w:tc>
        <w:tc>
          <w:tcPr>
            <w:tcW w:w="2972" w:type="dxa"/>
          </w:tcPr>
          <w:p w14:paraId="07CC1CB9" w14:textId="4EEB9EA6"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Never</w:t>
            </w:r>
          </w:p>
        </w:tc>
        <w:tc>
          <w:tcPr>
            <w:tcW w:w="4366" w:type="dxa"/>
          </w:tcPr>
          <w:p w14:paraId="3C76ABF1" w14:textId="1C2D54AB"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Low Instructional Leadership</w:t>
            </w:r>
          </w:p>
        </w:tc>
      </w:tr>
    </w:tbl>
    <w:p w14:paraId="0364BA28" w14:textId="286BEACC" w:rsidR="00905927" w:rsidRDefault="00905927" w:rsidP="00905927">
      <w:pPr>
        <w:spacing w:line="246" w:lineRule="auto"/>
        <w:jc w:val="both"/>
        <w:rPr>
          <w:rFonts w:ascii="Times New Roman" w:eastAsia="Times New Roman" w:hAnsi="Times New Roman" w:cs="Times New Roman"/>
        </w:rPr>
      </w:pPr>
    </w:p>
    <w:p w14:paraId="78E99711" w14:textId="17D9BA70" w:rsidR="0064625F" w:rsidRPr="001E3B07" w:rsidRDefault="0064625F" w:rsidP="0064625F">
      <w:pPr>
        <w:spacing w:line="246" w:lineRule="auto"/>
        <w:jc w:val="both"/>
        <w:rPr>
          <w:rFonts w:ascii="Times New Roman" w:eastAsia="Times New Roman" w:hAnsi="Times New Roman" w:cs="Times New Roman"/>
          <w:sz w:val="24"/>
          <w:szCs w:val="24"/>
        </w:rPr>
      </w:pPr>
      <w:r w:rsidRPr="001E3B07">
        <w:rPr>
          <w:rFonts w:ascii="Times New Roman" w:eastAsia="Times New Roman" w:hAnsi="Times New Roman" w:cs="Times New Roman"/>
          <w:sz w:val="24"/>
          <w:szCs w:val="24"/>
        </w:rPr>
        <w:t xml:space="preserve">Teachers demonstrate a high level of instructional leadership, with an overall mean of 4.53 interpreted as High Instructional Leadership. Among the indicators, developing and communicating shared goals obtained the highest </w:t>
      </w:r>
      <w:r w:rsidR="00BF0849" w:rsidRPr="001E3B07">
        <w:rPr>
          <w:rFonts w:ascii="Times New Roman" w:eastAsia="Times New Roman" w:hAnsi="Times New Roman" w:cs="Times New Roman"/>
          <w:sz w:val="24"/>
          <w:szCs w:val="24"/>
        </w:rPr>
        <w:t>means</w:t>
      </w:r>
      <w:r w:rsidRPr="001E3B07">
        <w:rPr>
          <w:rFonts w:ascii="Times New Roman" w:eastAsia="Times New Roman" w:hAnsi="Times New Roman" w:cs="Times New Roman"/>
          <w:sz w:val="24"/>
          <w:szCs w:val="24"/>
        </w:rPr>
        <w:t xml:space="preserve"> of 4.61, highlighting teachers’ strong ability to establish a unified vision for instructional practices within the school. Monitoring and providing feedback followed with a mean of 4.51, indicating that teachers consistently support instructional improvement through feedback and performance monitoring. Promoting professional development recorded a mean of 4.47, showing continued emphasis on teachers’ growth and learning.</w:t>
      </w:r>
    </w:p>
    <w:p w14:paraId="3455510D" w14:textId="77777777" w:rsidR="0064625F" w:rsidRPr="001E3B07" w:rsidRDefault="0064625F" w:rsidP="0064625F">
      <w:pPr>
        <w:spacing w:line="246" w:lineRule="auto"/>
        <w:jc w:val="both"/>
        <w:rPr>
          <w:rFonts w:ascii="Times New Roman" w:eastAsia="Times New Roman" w:hAnsi="Times New Roman" w:cs="Times New Roman"/>
          <w:sz w:val="24"/>
          <w:szCs w:val="24"/>
        </w:rPr>
      </w:pPr>
    </w:p>
    <w:p w14:paraId="58EBB40A" w14:textId="48132C86" w:rsidR="005F7985" w:rsidRPr="001E3B07" w:rsidRDefault="0064625F" w:rsidP="0064625F">
      <w:pPr>
        <w:spacing w:line="246" w:lineRule="auto"/>
        <w:jc w:val="both"/>
        <w:rPr>
          <w:rFonts w:ascii="Times New Roman" w:eastAsia="Times New Roman" w:hAnsi="Times New Roman" w:cs="Times New Roman"/>
          <w:sz w:val="24"/>
          <w:szCs w:val="24"/>
        </w:rPr>
      </w:pPr>
      <w:r w:rsidRPr="001E3B07">
        <w:rPr>
          <w:rFonts w:ascii="Times New Roman" w:eastAsia="Times New Roman" w:hAnsi="Times New Roman" w:cs="Times New Roman"/>
          <w:sz w:val="24"/>
          <w:szCs w:val="24"/>
        </w:rPr>
        <w:t xml:space="preserve">These findings suggest that instructional leadership practices are strongly evident among teachers and contribute positively to school improvement and teaching effectiveness. This highlights the importance of shared goals, continuous feedback, and professional growth in strengthening instructional practices and fostering a collaborative school environment. The results are supported by previous studies emphasizing that instructional leadership enhances teaching quality, collaboration, and student achievement (Hallinger, 2018; </w:t>
      </w:r>
      <w:proofErr w:type="spellStart"/>
      <w:r w:rsidRPr="001E3B07">
        <w:rPr>
          <w:rFonts w:ascii="Times New Roman" w:eastAsia="Times New Roman" w:hAnsi="Times New Roman" w:cs="Times New Roman"/>
          <w:sz w:val="24"/>
          <w:szCs w:val="24"/>
        </w:rPr>
        <w:t>Leithwood</w:t>
      </w:r>
      <w:proofErr w:type="spellEnd"/>
      <w:r w:rsidRPr="001E3B07">
        <w:rPr>
          <w:rFonts w:ascii="Times New Roman" w:eastAsia="Times New Roman" w:hAnsi="Times New Roman" w:cs="Times New Roman"/>
          <w:sz w:val="24"/>
          <w:szCs w:val="24"/>
        </w:rPr>
        <w:t>, Harris, &amp; Hopkins, 2020). Local studies also affirm that strong instructional leadership improves teaching practices and learning outcomes through clear goal-setting and continuous feedback (Cabardo, 2018; Reyes, 2020).</w:t>
      </w:r>
    </w:p>
    <w:p w14:paraId="6D0015F5" w14:textId="77777777" w:rsidR="0064625F" w:rsidRDefault="0064625F" w:rsidP="0064625F">
      <w:pPr>
        <w:spacing w:line="246" w:lineRule="auto"/>
        <w:jc w:val="both"/>
        <w:rPr>
          <w:rFonts w:ascii="Times New Roman" w:eastAsia="Times New Roman" w:hAnsi="Times New Roman" w:cs="Times New Roman"/>
        </w:rPr>
      </w:pPr>
    </w:p>
    <w:p w14:paraId="69C2A742" w14:textId="05DB18F2" w:rsidR="005F7985" w:rsidRPr="000415B2" w:rsidRDefault="005F7985" w:rsidP="005F7985">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0415B2">
        <w:rPr>
          <w:rFonts w:ascii="Times New Roman" w:eastAsia="Times New Roman" w:hAnsi="Times New Roman" w:cs="Times New Roman"/>
          <w:b/>
          <w:bCs/>
          <w:sz w:val="24"/>
          <w:szCs w:val="24"/>
        </w:rPr>
        <w:t xml:space="preserve">: </w:t>
      </w:r>
      <w:r w:rsidRPr="005F7985">
        <w:rPr>
          <w:rFonts w:ascii="Times New Roman" w:eastAsia="Times New Roman" w:hAnsi="Times New Roman" w:cs="Times New Roman"/>
          <w:b/>
          <w:bCs/>
          <w:sz w:val="24"/>
          <w:szCs w:val="24"/>
        </w:rPr>
        <w:t xml:space="preserve">Summary </w:t>
      </w:r>
      <w:r w:rsidR="0064625F">
        <w:rPr>
          <w:rFonts w:ascii="Times New Roman" w:eastAsia="Times New Roman" w:hAnsi="Times New Roman" w:cs="Times New Roman"/>
          <w:b/>
          <w:bCs/>
          <w:sz w:val="24"/>
          <w:szCs w:val="24"/>
        </w:rPr>
        <w:t>of Teachers' Technological Competence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3812"/>
        <w:gridCol w:w="1276"/>
        <w:gridCol w:w="2268"/>
        <w:gridCol w:w="3364"/>
      </w:tblGrid>
      <w:tr w:rsidR="005F7985" w:rsidRPr="009A7E5F" w14:paraId="567C2656" w14:textId="77777777" w:rsidTr="005F7985">
        <w:trPr>
          <w:cantSplit/>
        </w:trPr>
        <w:tc>
          <w:tcPr>
            <w:tcW w:w="1778" w:type="pct"/>
            <w:vAlign w:val="center"/>
          </w:tcPr>
          <w:p w14:paraId="6B9778B3" w14:textId="77777777" w:rsidR="005F7985" w:rsidRPr="009A7E5F" w:rsidRDefault="005F7985" w:rsidP="00167664">
            <w:pPr>
              <w:autoSpaceDE w:val="0"/>
              <w:autoSpaceDN w:val="0"/>
              <w:adjustRightInd w:val="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Indicators</w:t>
            </w:r>
          </w:p>
        </w:tc>
        <w:tc>
          <w:tcPr>
            <w:tcW w:w="595" w:type="pct"/>
            <w:shd w:val="clear" w:color="auto" w:fill="FFFFFF"/>
            <w:vAlign w:val="center"/>
          </w:tcPr>
          <w:p w14:paraId="2CFE502F"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Mean</w:t>
            </w:r>
          </w:p>
        </w:tc>
        <w:tc>
          <w:tcPr>
            <w:tcW w:w="1058" w:type="pct"/>
            <w:shd w:val="clear" w:color="auto" w:fill="FFFFFF"/>
            <w:vAlign w:val="center"/>
          </w:tcPr>
          <w:p w14:paraId="3356D6F1"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Descriptive Rating</w:t>
            </w:r>
          </w:p>
        </w:tc>
        <w:tc>
          <w:tcPr>
            <w:tcW w:w="1569" w:type="pct"/>
            <w:shd w:val="clear" w:color="auto" w:fill="FFFFFF"/>
            <w:vAlign w:val="center"/>
          </w:tcPr>
          <w:p w14:paraId="2580BA69"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Qualitative Interpretation</w:t>
            </w:r>
          </w:p>
        </w:tc>
      </w:tr>
      <w:tr w:rsidR="0064625F" w:rsidRPr="009A7E5F" w14:paraId="7A6EB340" w14:textId="77777777" w:rsidTr="00C23DF3">
        <w:trPr>
          <w:cantSplit/>
        </w:trPr>
        <w:tc>
          <w:tcPr>
            <w:tcW w:w="1778" w:type="pct"/>
          </w:tcPr>
          <w:p w14:paraId="73D78310" w14:textId="74A4B68F" w:rsidR="0064625F" w:rsidRPr="009A7E5F" w:rsidRDefault="0064625F" w:rsidP="0064625F">
            <w:pPr>
              <w:jc w:val="both"/>
              <w:rPr>
                <w:rStyle w:val="Emphasis"/>
                <w:rFonts w:ascii="Times New Roman" w:hAnsi="Times New Roman" w:cs="Times New Roman"/>
                <w:i w:val="0"/>
                <w:sz w:val="24"/>
                <w:szCs w:val="24"/>
              </w:rPr>
            </w:pPr>
            <w:r w:rsidRPr="009A7E5F">
              <w:rPr>
                <w:rFonts w:ascii="Times New Roman" w:hAnsi="Times New Roman" w:cs="Times New Roman"/>
                <w:sz w:val="24"/>
                <w:szCs w:val="24"/>
              </w:rPr>
              <w:t>Applicability</w:t>
            </w:r>
          </w:p>
        </w:tc>
        <w:tc>
          <w:tcPr>
            <w:tcW w:w="595" w:type="pct"/>
            <w:tcBorders>
              <w:top w:val="single" w:sz="4" w:space="0" w:color="auto"/>
            </w:tcBorders>
          </w:tcPr>
          <w:p w14:paraId="2DCBE424" w14:textId="6DFC7705"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4.22</w:t>
            </w:r>
          </w:p>
        </w:tc>
        <w:tc>
          <w:tcPr>
            <w:tcW w:w="1058" w:type="pct"/>
            <w:shd w:val="clear" w:color="auto" w:fill="FFFFFF"/>
          </w:tcPr>
          <w:p w14:paraId="01FBFF24" w14:textId="17E9618A"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Borders>
              <w:top w:val="single" w:sz="4" w:space="0" w:color="auto"/>
            </w:tcBorders>
          </w:tcPr>
          <w:p w14:paraId="3B77B530" w14:textId="5383ADC2"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73F8828A" w14:textId="77777777" w:rsidTr="00C23DF3">
        <w:trPr>
          <w:cantSplit/>
        </w:trPr>
        <w:tc>
          <w:tcPr>
            <w:tcW w:w="1778" w:type="pct"/>
          </w:tcPr>
          <w:p w14:paraId="03DF93AB" w14:textId="096EEA63" w:rsidR="0064625F" w:rsidRPr="009A7E5F" w:rsidRDefault="0064625F" w:rsidP="0064625F">
            <w:pPr>
              <w:jc w:val="both"/>
              <w:rPr>
                <w:rFonts w:ascii="Times New Roman" w:eastAsia="Times New Roman" w:hAnsi="Times New Roman" w:cs="Times New Roman"/>
                <w:color w:val="000000"/>
                <w:sz w:val="24"/>
                <w:szCs w:val="24"/>
              </w:rPr>
            </w:pPr>
            <w:r w:rsidRPr="009A7E5F">
              <w:rPr>
                <w:rFonts w:ascii="Times New Roman" w:hAnsi="Times New Roman" w:cs="Times New Roman"/>
                <w:sz w:val="24"/>
                <w:szCs w:val="24"/>
              </w:rPr>
              <w:t>Adaptability</w:t>
            </w:r>
          </w:p>
        </w:tc>
        <w:tc>
          <w:tcPr>
            <w:tcW w:w="595" w:type="pct"/>
          </w:tcPr>
          <w:p w14:paraId="3330AC83" w14:textId="7F229D45"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4.21</w:t>
            </w:r>
          </w:p>
        </w:tc>
        <w:tc>
          <w:tcPr>
            <w:tcW w:w="1058" w:type="pct"/>
            <w:shd w:val="clear" w:color="auto" w:fill="FFFFFF"/>
          </w:tcPr>
          <w:p w14:paraId="6D56E991" w14:textId="69018C6B"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Pr>
          <w:p w14:paraId="3A4B408F" w14:textId="7DADD12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0785774F" w14:textId="77777777" w:rsidTr="00C23DF3">
        <w:trPr>
          <w:cantSplit/>
        </w:trPr>
        <w:tc>
          <w:tcPr>
            <w:tcW w:w="1778" w:type="pct"/>
          </w:tcPr>
          <w:p w14:paraId="1FB4EB1C" w14:textId="6DF860F1" w:rsidR="0064625F" w:rsidRPr="009A7E5F" w:rsidRDefault="0064625F" w:rsidP="0064625F">
            <w:pPr>
              <w:jc w:val="both"/>
              <w:rPr>
                <w:rFonts w:ascii="Times New Roman" w:eastAsia="Times New Roman" w:hAnsi="Times New Roman" w:cs="Times New Roman"/>
                <w:color w:val="000000"/>
                <w:sz w:val="24"/>
                <w:szCs w:val="24"/>
              </w:rPr>
            </w:pPr>
            <w:r w:rsidRPr="009A7E5F">
              <w:rPr>
                <w:rFonts w:ascii="Times New Roman" w:hAnsi="Times New Roman" w:cs="Times New Roman"/>
                <w:sz w:val="24"/>
                <w:szCs w:val="24"/>
              </w:rPr>
              <w:t>Sustainability</w:t>
            </w:r>
          </w:p>
        </w:tc>
        <w:tc>
          <w:tcPr>
            <w:tcW w:w="595" w:type="pct"/>
          </w:tcPr>
          <w:p w14:paraId="7AAC5820" w14:textId="6CABE792"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4.11</w:t>
            </w:r>
          </w:p>
        </w:tc>
        <w:tc>
          <w:tcPr>
            <w:tcW w:w="1058" w:type="pct"/>
            <w:shd w:val="clear" w:color="auto" w:fill="FFFFFF"/>
          </w:tcPr>
          <w:p w14:paraId="40BDC45A" w14:textId="7B74CBF8"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Pr>
          <w:p w14:paraId="4B228CEF" w14:textId="103DB1AB"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748439AD" w14:textId="77777777" w:rsidTr="00C23DF3">
        <w:trPr>
          <w:cantSplit/>
        </w:trPr>
        <w:tc>
          <w:tcPr>
            <w:tcW w:w="1778" w:type="pct"/>
            <w:tcBorders>
              <w:top w:val="single" w:sz="4" w:space="0" w:color="auto"/>
              <w:bottom w:val="double" w:sz="4" w:space="0" w:color="auto"/>
            </w:tcBorders>
          </w:tcPr>
          <w:p w14:paraId="201039A2" w14:textId="19DFCD25" w:rsidR="0064625F" w:rsidRPr="009A7E5F" w:rsidRDefault="0064625F" w:rsidP="0064625F">
            <w:pPr>
              <w:jc w:val="both"/>
              <w:rPr>
                <w:rFonts w:ascii="Times New Roman" w:hAnsi="Times New Roman" w:cs="Times New Roman"/>
                <w:sz w:val="24"/>
                <w:szCs w:val="24"/>
              </w:rPr>
            </w:pPr>
            <w:r w:rsidRPr="009A7E5F">
              <w:rPr>
                <w:rFonts w:ascii="Times New Roman" w:hAnsi="Times New Roman" w:cs="Times New Roman"/>
                <w:sz w:val="24"/>
                <w:szCs w:val="24"/>
              </w:rPr>
              <w:t>Overall Mean</w:t>
            </w:r>
          </w:p>
        </w:tc>
        <w:tc>
          <w:tcPr>
            <w:tcW w:w="595" w:type="pct"/>
            <w:tcBorders>
              <w:top w:val="single" w:sz="4" w:space="0" w:color="auto"/>
              <w:bottom w:val="double" w:sz="4" w:space="0" w:color="auto"/>
            </w:tcBorders>
          </w:tcPr>
          <w:p w14:paraId="297FB5C6" w14:textId="39CDB6B8" w:rsidR="0064625F" w:rsidRPr="009A7E5F" w:rsidRDefault="0064625F" w:rsidP="0064625F">
            <w:pPr>
              <w:autoSpaceDE w:val="0"/>
              <w:autoSpaceDN w:val="0"/>
              <w:adjustRightInd w:val="0"/>
              <w:ind w:left="60" w:right="60"/>
              <w:jc w:val="center"/>
              <w:rPr>
                <w:rFonts w:ascii="Times New Roman" w:hAnsi="Times New Roman" w:cs="Times New Roman"/>
                <w:sz w:val="24"/>
                <w:szCs w:val="24"/>
              </w:rPr>
            </w:pPr>
            <w:r w:rsidRPr="009A7E5F">
              <w:rPr>
                <w:rFonts w:ascii="Times New Roman" w:hAnsi="Times New Roman" w:cs="Times New Roman"/>
                <w:sz w:val="24"/>
                <w:szCs w:val="24"/>
              </w:rPr>
              <w:t>4.19</w:t>
            </w:r>
          </w:p>
        </w:tc>
        <w:tc>
          <w:tcPr>
            <w:tcW w:w="1058" w:type="pct"/>
            <w:shd w:val="clear" w:color="auto" w:fill="FFFFFF"/>
          </w:tcPr>
          <w:p w14:paraId="236D3011" w14:textId="4AC1E6E6" w:rsidR="0064625F" w:rsidRPr="009A7E5F" w:rsidRDefault="0064625F" w:rsidP="0064625F">
            <w:pPr>
              <w:jc w:val="center"/>
              <w:rPr>
                <w:rFonts w:ascii="Times New Roman" w:hAnsi="Times New Roman" w:cs="Times New Roman"/>
                <w:sz w:val="24"/>
                <w:szCs w:val="24"/>
              </w:rPr>
            </w:pPr>
            <w:r w:rsidRPr="009A7E5F">
              <w:rPr>
                <w:rFonts w:ascii="Times New Roman" w:eastAsia="Arial" w:hAnsi="Times New Roman" w:cs="Times New Roman"/>
                <w:sz w:val="24"/>
                <w:szCs w:val="24"/>
              </w:rPr>
              <w:t>Agree</w:t>
            </w:r>
          </w:p>
        </w:tc>
        <w:tc>
          <w:tcPr>
            <w:tcW w:w="1569" w:type="pct"/>
            <w:tcBorders>
              <w:top w:val="single" w:sz="4" w:space="0" w:color="auto"/>
              <w:bottom w:val="double" w:sz="4" w:space="0" w:color="auto"/>
            </w:tcBorders>
          </w:tcPr>
          <w:p w14:paraId="2ED9CC6D" w14:textId="29D5A133" w:rsidR="0064625F" w:rsidRPr="009A7E5F" w:rsidRDefault="0064625F" w:rsidP="0064625F">
            <w:pPr>
              <w:pStyle w:val="Normal1"/>
              <w:spacing w:after="0" w:line="240" w:lineRule="auto"/>
              <w:jc w:val="center"/>
              <w:rPr>
                <w:rFonts w:ascii="Times New Roman" w:hAnsi="Times New Roman" w:cs="Times New Roman"/>
                <w:sz w:val="24"/>
                <w:szCs w:val="24"/>
              </w:rPr>
            </w:pPr>
            <w:r w:rsidRPr="009A7E5F">
              <w:rPr>
                <w:rFonts w:ascii="Times New Roman" w:hAnsi="Times New Roman" w:cs="Times New Roman"/>
                <w:sz w:val="24"/>
                <w:szCs w:val="24"/>
              </w:rPr>
              <w:t>High Technological Competence</w:t>
            </w:r>
          </w:p>
        </w:tc>
      </w:tr>
    </w:tbl>
    <w:p w14:paraId="43FB6F2F" w14:textId="77777777" w:rsidR="005F7985" w:rsidRPr="009A7E5F" w:rsidRDefault="005F7985" w:rsidP="005F7985">
      <w:pPr>
        <w:spacing w:line="246" w:lineRule="auto"/>
        <w:jc w:val="both"/>
        <w:rPr>
          <w:rFonts w:ascii="Times New Roman" w:eastAsia="Times New Roman" w:hAnsi="Times New Roman" w:cs="Times New Roman"/>
          <w:b/>
          <w:bCs/>
          <w:sz w:val="24"/>
          <w:szCs w:val="24"/>
        </w:rPr>
      </w:pPr>
    </w:p>
    <w:p w14:paraId="1FE5361E" w14:textId="77777777" w:rsidR="005F7985" w:rsidRPr="009A7E5F" w:rsidRDefault="005F7985" w:rsidP="005F7985">
      <w:pPr>
        <w:pStyle w:val="Normal1"/>
        <w:spacing w:after="0" w:line="240" w:lineRule="auto"/>
        <w:jc w:val="both"/>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5F7985" w:rsidRPr="009A7E5F" w14:paraId="5B164AE2" w14:textId="77777777" w:rsidTr="00167664">
        <w:tc>
          <w:tcPr>
            <w:tcW w:w="1560" w:type="dxa"/>
          </w:tcPr>
          <w:p w14:paraId="3759E0C9"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Rating</w:t>
            </w:r>
          </w:p>
        </w:tc>
        <w:tc>
          <w:tcPr>
            <w:tcW w:w="1842" w:type="dxa"/>
          </w:tcPr>
          <w:p w14:paraId="0E11483A"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Scale</w:t>
            </w:r>
          </w:p>
        </w:tc>
        <w:tc>
          <w:tcPr>
            <w:tcW w:w="2972" w:type="dxa"/>
          </w:tcPr>
          <w:p w14:paraId="480C9E4E"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Descriptive Rating</w:t>
            </w:r>
          </w:p>
        </w:tc>
        <w:tc>
          <w:tcPr>
            <w:tcW w:w="4366" w:type="dxa"/>
            <w:vAlign w:val="center"/>
          </w:tcPr>
          <w:p w14:paraId="2721E9E2"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Qualitative Interpretation</w:t>
            </w:r>
          </w:p>
        </w:tc>
      </w:tr>
      <w:tr w:rsidR="0064625F" w:rsidRPr="009A7E5F" w14:paraId="53933BC7" w14:textId="77777777" w:rsidTr="00167664">
        <w:tc>
          <w:tcPr>
            <w:tcW w:w="1560" w:type="dxa"/>
            <w:vAlign w:val="center"/>
          </w:tcPr>
          <w:p w14:paraId="01439A65"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5</w:t>
            </w:r>
          </w:p>
        </w:tc>
        <w:tc>
          <w:tcPr>
            <w:tcW w:w="1842" w:type="dxa"/>
            <w:vAlign w:val="center"/>
          </w:tcPr>
          <w:p w14:paraId="1986C373"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4.51-5.00</w:t>
            </w:r>
          </w:p>
        </w:tc>
        <w:tc>
          <w:tcPr>
            <w:tcW w:w="2972" w:type="dxa"/>
          </w:tcPr>
          <w:p w14:paraId="6204D371" w14:textId="6CADA6EB"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Strongly Agree</w:t>
            </w:r>
          </w:p>
        </w:tc>
        <w:tc>
          <w:tcPr>
            <w:tcW w:w="4366" w:type="dxa"/>
          </w:tcPr>
          <w:p w14:paraId="6E307206" w14:textId="7330EDF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Very High Technological Competence</w:t>
            </w:r>
          </w:p>
        </w:tc>
      </w:tr>
      <w:tr w:rsidR="0064625F" w:rsidRPr="009A7E5F" w14:paraId="2A877876" w14:textId="77777777" w:rsidTr="00167664">
        <w:tc>
          <w:tcPr>
            <w:tcW w:w="1560" w:type="dxa"/>
            <w:vAlign w:val="center"/>
          </w:tcPr>
          <w:p w14:paraId="526914D6"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4</w:t>
            </w:r>
          </w:p>
        </w:tc>
        <w:tc>
          <w:tcPr>
            <w:tcW w:w="1842" w:type="dxa"/>
            <w:vAlign w:val="center"/>
          </w:tcPr>
          <w:p w14:paraId="245143E4"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3.51-4.50</w:t>
            </w:r>
          </w:p>
        </w:tc>
        <w:tc>
          <w:tcPr>
            <w:tcW w:w="2972" w:type="dxa"/>
          </w:tcPr>
          <w:p w14:paraId="5CA635C1" w14:textId="5CE9729D"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Agree</w:t>
            </w:r>
          </w:p>
        </w:tc>
        <w:tc>
          <w:tcPr>
            <w:tcW w:w="4366" w:type="dxa"/>
          </w:tcPr>
          <w:p w14:paraId="6F69023B" w14:textId="3726246D"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2C076396" w14:textId="77777777" w:rsidTr="00167664">
        <w:tc>
          <w:tcPr>
            <w:tcW w:w="1560" w:type="dxa"/>
            <w:vAlign w:val="center"/>
          </w:tcPr>
          <w:p w14:paraId="2A25176B"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3</w:t>
            </w:r>
          </w:p>
        </w:tc>
        <w:tc>
          <w:tcPr>
            <w:tcW w:w="1842" w:type="dxa"/>
            <w:vAlign w:val="center"/>
          </w:tcPr>
          <w:p w14:paraId="6C002176"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2.51-3.50</w:t>
            </w:r>
          </w:p>
        </w:tc>
        <w:tc>
          <w:tcPr>
            <w:tcW w:w="2972" w:type="dxa"/>
          </w:tcPr>
          <w:p w14:paraId="5C10918B" w14:textId="02DEEAF3"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Neutral</w:t>
            </w:r>
          </w:p>
        </w:tc>
        <w:tc>
          <w:tcPr>
            <w:tcW w:w="4366" w:type="dxa"/>
          </w:tcPr>
          <w:p w14:paraId="02AC6E12" w14:textId="4D5041A3"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Moderate Technological Competence</w:t>
            </w:r>
          </w:p>
        </w:tc>
      </w:tr>
      <w:tr w:rsidR="0064625F" w:rsidRPr="009A7E5F" w14:paraId="1B53A883" w14:textId="77777777" w:rsidTr="00167664">
        <w:tc>
          <w:tcPr>
            <w:tcW w:w="1560" w:type="dxa"/>
            <w:vAlign w:val="center"/>
          </w:tcPr>
          <w:p w14:paraId="32842A11"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2</w:t>
            </w:r>
          </w:p>
        </w:tc>
        <w:tc>
          <w:tcPr>
            <w:tcW w:w="1842" w:type="dxa"/>
            <w:vAlign w:val="center"/>
          </w:tcPr>
          <w:p w14:paraId="134E9DFA"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1.51-2.50</w:t>
            </w:r>
          </w:p>
        </w:tc>
        <w:tc>
          <w:tcPr>
            <w:tcW w:w="2972" w:type="dxa"/>
          </w:tcPr>
          <w:p w14:paraId="4A0F4474" w14:textId="3CE80DB2"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Disagree</w:t>
            </w:r>
          </w:p>
        </w:tc>
        <w:tc>
          <w:tcPr>
            <w:tcW w:w="4366" w:type="dxa"/>
          </w:tcPr>
          <w:p w14:paraId="46C1FEAA" w14:textId="1AF2F4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Low Technological Competence</w:t>
            </w:r>
          </w:p>
        </w:tc>
      </w:tr>
      <w:tr w:rsidR="0064625F" w:rsidRPr="009A7E5F" w14:paraId="15098609" w14:textId="77777777" w:rsidTr="00167664">
        <w:tc>
          <w:tcPr>
            <w:tcW w:w="1560" w:type="dxa"/>
            <w:vAlign w:val="center"/>
          </w:tcPr>
          <w:p w14:paraId="73745A84"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w:t>
            </w:r>
          </w:p>
        </w:tc>
        <w:tc>
          <w:tcPr>
            <w:tcW w:w="1842" w:type="dxa"/>
            <w:vAlign w:val="center"/>
          </w:tcPr>
          <w:p w14:paraId="51C16B3E"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1.00-1.50</w:t>
            </w:r>
          </w:p>
        </w:tc>
        <w:tc>
          <w:tcPr>
            <w:tcW w:w="2972" w:type="dxa"/>
          </w:tcPr>
          <w:p w14:paraId="043C1BF1" w14:textId="2D623FF5"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Strongly Disagree</w:t>
            </w:r>
          </w:p>
        </w:tc>
        <w:tc>
          <w:tcPr>
            <w:tcW w:w="4366" w:type="dxa"/>
          </w:tcPr>
          <w:p w14:paraId="1108AE0B" w14:textId="7599426F"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Very low Technological Competence</w:t>
            </w:r>
          </w:p>
        </w:tc>
      </w:tr>
    </w:tbl>
    <w:p w14:paraId="34905953" w14:textId="77777777" w:rsidR="005F7985" w:rsidRPr="009A7E5F" w:rsidRDefault="005F7985" w:rsidP="005F7985">
      <w:pPr>
        <w:spacing w:line="246" w:lineRule="auto"/>
        <w:jc w:val="both"/>
        <w:rPr>
          <w:rFonts w:ascii="Times New Roman" w:eastAsia="Times New Roman" w:hAnsi="Times New Roman" w:cs="Times New Roman"/>
          <w:sz w:val="24"/>
          <w:szCs w:val="24"/>
        </w:rPr>
      </w:pPr>
    </w:p>
    <w:p w14:paraId="7B620BCC" w14:textId="4B59BAED" w:rsidR="00834432" w:rsidRPr="009A7E5F" w:rsidRDefault="00834432" w:rsidP="00834432">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 xml:space="preserve">Teachers demonstrate a high level of technological competence, with an overall mean of </w:t>
      </w:r>
      <w:proofErr w:type="gramStart"/>
      <w:r w:rsidRPr="009A7E5F">
        <w:rPr>
          <w:rFonts w:ascii="Times New Roman" w:eastAsia="Times New Roman" w:hAnsi="Times New Roman" w:cs="Times New Roman"/>
          <w:sz w:val="24"/>
          <w:szCs w:val="24"/>
        </w:rPr>
        <w:t>4.19</w:t>
      </w:r>
      <w:proofErr w:type="gramEnd"/>
      <w:r w:rsidRPr="009A7E5F">
        <w:rPr>
          <w:rFonts w:ascii="Times New Roman" w:eastAsia="Times New Roman" w:hAnsi="Times New Roman" w:cs="Times New Roman"/>
          <w:sz w:val="24"/>
          <w:szCs w:val="24"/>
        </w:rPr>
        <w:t xml:space="preserve"> interpreted as High Competence. Among the indicators, applicability obtained the highest </w:t>
      </w:r>
      <w:proofErr w:type="gramStart"/>
      <w:r w:rsidRPr="009A7E5F">
        <w:rPr>
          <w:rFonts w:ascii="Times New Roman" w:eastAsia="Times New Roman" w:hAnsi="Times New Roman" w:cs="Times New Roman"/>
          <w:sz w:val="24"/>
          <w:szCs w:val="24"/>
        </w:rPr>
        <w:t>mean</w:t>
      </w:r>
      <w:proofErr w:type="gramEnd"/>
      <w:r w:rsidRPr="009A7E5F">
        <w:rPr>
          <w:rFonts w:ascii="Times New Roman" w:eastAsia="Times New Roman" w:hAnsi="Times New Roman" w:cs="Times New Roman"/>
          <w:sz w:val="24"/>
          <w:szCs w:val="24"/>
        </w:rPr>
        <w:t xml:space="preserve"> of 4.22, indicating that teachers find technological tools useful and appropriate in supporting classroom instruction and assessment. This suggests that teachers can effectively integrate technology into their teaching tasks, particularly when the tools are relevant to their instructional needs. Meanwhile, adaptability and sustainability also obtained high ratings, showing that teachers </w:t>
      </w:r>
      <w:r w:rsidR="001E3B07" w:rsidRPr="009A7E5F">
        <w:rPr>
          <w:rFonts w:ascii="Times New Roman" w:eastAsia="Times New Roman" w:hAnsi="Times New Roman" w:cs="Times New Roman"/>
          <w:sz w:val="24"/>
          <w:szCs w:val="24"/>
        </w:rPr>
        <w:t>can adjust</w:t>
      </w:r>
      <w:r w:rsidRPr="009A7E5F">
        <w:rPr>
          <w:rFonts w:ascii="Times New Roman" w:eastAsia="Times New Roman" w:hAnsi="Times New Roman" w:cs="Times New Roman"/>
          <w:sz w:val="24"/>
          <w:szCs w:val="24"/>
        </w:rPr>
        <w:t xml:space="preserve"> to technological changes and </w:t>
      </w:r>
      <w:r w:rsidR="001E3B07">
        <w:rPr>
          <w:rFonts w:ascii="Times New Roman" w:eastAsia="Times New Roman" w:hAnsi="Times New Roman" w:cs="Times New Roman"/>
          <w:sz w:val="24"/>
          <w:szCs w:val="24"/>
        </w:rPr>
        <w:t>maintain</w:t>
      </w:r>
      <w:r w:rsidRPr="009A7E5F">
        <w:rPr>
          <w:rFonts w:ascii="Times New Roman" w:eastAsia="Times New Roman" w:hAnsi="Times New Roman" w:cs="Times New Roman"/>
          <w:sz w:val="24"/>
          <w:szCs w:val="24"/>
        </w:rPr>
        <w:t xml:space="preserve"> the use of technology in their teaching practices.</w:t>
      </w:r>
    </w:p>
    <w:p w14:paraId="7B6B88B1" w14:textId="77777777" w:rsidR="00834432" w:rsidRPr="009A7E5F" w:rsidRDefault="00834432" w:rsidP="00834432">
      <w:pPr>
        <w:spacing w:line="246" w:lineRule="auto"/>
        <w:jc w:val="both"/>
        <w:rPr>
          <w:rFonts w:ascii="Times New Roman" w:eastAsia="Times New Roman" w:hAnsi="Times New Roman" w:cs="Times New Roman"/>
          <w:sz w:val="24"/>
          <w:szCs w:val="24"/>
        </w:rPr>
      </w:pPr>
    </w:p>
    <w:p w14:paraId="1CFB8E3E" w14:textId="6767EA9B" w:rsidR="005F7985" w:rsidRPr="009A7E5F" w:rsidRDefault="00834432" w:rsidP="00834432">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These findings indicate that teachers are generally comfortable and confident in using technology, although some limitations may still exist in full integration and long-term sustainability. The results emphasize that technological competence is strengthened when tools are practical, accessible, and aligned with teaching objectives. This is supported by Miranda et al. (2020), who found that technological tools are more effectively utilized when they are relevant to learners’ needs, and by Akram et al. (2022), who emphasized that teachers are more likely to adopt technology when it supports instructional goals. Locally, Vivo (2022) also noted that commonly used tools such as PowerPoint and Word enhance teaching effectiveness due to teachers’ familiarity and ease of use.</w:t>
      </w:r>
    </w:p>
    <w:p w14:paraId="52786AB7" w14:textId="77777777" w:rsidR="00834432" w:rsidRDefault="00834432" w:rsidP="00834432">
      <w:pPr>
        <w:spacing w:line="246" w:lineRule="auto"/>
        <w:jc w:val="both"/>
        <w:rPr>
          <w:rFonts w:ascii="Times New Roman" w:eastAsia="Times New Roman" w:hAnsi="Times New Roman" w:cs="Times New Roman"/>
        </w:rPr>
      </w:pPr>
    </w:p>
    <w:p w14:paraId="78D2DD33" w14:textId="3B3EBCB8" w:rsidR="005F7985" w:rsidRPr="000415B2" w:rsidRDefault="005F7985" w:rsidP="005F7985">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0415B2">
        <w:rPr>
          <w:rFonts w:ascii="Times New Roman" w:eastAsia="Times New Roman" w:hAnsi="Times New Roman" w:cs="Times New Roman"/>
          <w:b/>
          <w:bCs/>
          <w:sz w:val="24"/>
          <w:szCs w:val="24"/>
        </w:rPr>
        <w:t xml:space="preserve">: </w:t>
      </w:r>
      <w:r w:rsidRPr="005F7985">
        <w:rPr>
          <w:rFonts w:ascii="Times New Roman" w:eastAsia="Times New Roman" w:hAnsi="Times New Roman" w:cs="Times New Roman"/>
          <w:b/>
          <w:bCs/>
          <w:sz w:val="24"/>
          <w:szCs w:val="24"/>
        </w:rPr>
        <w:t>S</w:t>
      </w:r>
      <w:r w:rsidR="00834432">
        <w:rPr>
          <w:rFonts w:ascii="Times New Roman" w:eastAsia="Times New Roman" w:hAnsi="Times New Roman" w:cs="Times New Roman"/>
          <w:b/>
          <w:bCs/>
          <w:sz w:val="24"/>
          <w:szCs w:val="24"/>
        </w:rPr>
        <w:t xml:space="preserve">ummary of Teachers’ </w:t>
      </w:r>
      <w:proofErr w:type="gramStart"/>
      <w:r w:rsidR="00834432">
        <w:rPr>
          <w:rFonts w:ascii="Times New Roman" w:eastAsia="Times New Roman" w:hAnsi="Times New Roman" w:cs="Times New Roman"/>
          <w:b/>
          <w:bCs/>
          <w:sz w:val="24"/>
          <w:szCs w:val="24"/>
        </w:rPr>
        <w:t>Educational  Assessment</w:t>
      </w:r>
      <w:proofErr w:type="gramEnd"/>
      <w:r w:rsidR="00834432">
        <w:rPr>
          <w:rFonts w:ascii="Times New Roman" w:eastAsia="Times New Roman" w:hAnsi="Times New Roman" w:cs="Times New Roman"/>
          <w:b/>
          <w:bCs/>
          <w:sz w:val="24"/>
          <w:szCs w:val="24"/>
        </w:rPr>
        <w:t xml:space="preserve"> Capability</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3134"/>
        <w:gridCol w:w="1621"/>
        <w:gridCol w:w="2249"/>
        <w:gridCol w:w="3716"/>
      </w:tblGrid>
      <w:tr w:rsidR="005F7985" w:rsidRPr="00834432" w14:paraId="328FE56A" w14:textId="77777777" w:rsidTr="00834432">
        <w:trPr>
          <w:cantSplit/>
        </w:trPr>
        <w:tc>
          <w:tcPr>
            <w:tcW w:w="1462" w:type="pct"/>
            <w:vAlign w:val="center"/>
          </w:tcPr>
          <w:p w14:paraId="4C7CDFF1" w14:textId="77777777" w:rsidR="005F7985" w:rsidRPr="00834432" w:rsidRDefault="005F7985" w:rsidP="00834432">
            <w:pPr>
              <w:autoSpaceDE w:val="0"/>
              <w:autoSpaceDN w:val="0"/>
              <w:adjustRightInd w:val="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Indicators</w:t>
            </w:r>
          </w:p>
        </w:tc>
        <w:tc>
          <w:tcPr>
            <w:tcW w:w="756" w:type="pct"/>
            <w:shd w:val="clear" w:color="auto" w:fill="FFFFFF"/>
            <w:vAlign w:val="center"/>
          </w:tcPr>
          <w:p w14:paraId="6DA80879"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Mean</w:t>
            </w:r>
          </w:p>
        </w:tc>
        <w:tc>
          <w:tcPr>
            <w:tcW w:w="1049" w:type="pct"/>
            <w:shd w:val="clear" w:color="auto" w:fill="FFFFFF"/>
            <w:vAlign w:val="center"/>
          </w:tcPr>
          <w:p w14:paraId="625A07AF"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Descriptive Rating</w:t>
            </w:r>
          </w:p>
        </w:tc>
        <w:tc>
          <w:tcPr>
            <w:tcW w:w="1733" w:type="pct"/>
            <w:shd w:val="clear" w:color="auto" w:fill="FFFFFF"/>
            <w:vAlign w:val="center"/>
          </w:tcPr>
          <w:p w14:paraId="32E5BCFC"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Qualitative Interpretation</w:t>
            </w:r>
          </w:p>
        </w:tc>
      </w:tr>
      <w:tr w:rsidR="00834432" w:rsidRPr="00834432" w14:paraId="2319DF9E" w14:textId="77777777" w:rsidTr="00834432">
        <w:trPr>
          <w:cantSplit/>
        </w:trPr>
        <w:tc>
          <w:tcPr>
            <w:tcW w:w="1462" w:type="pct"/>
            <w:tcBorders>
              <w:top w:val="single" w:sz="8" w:space="0" w:color="auto"/>
            </w:tcBorders>
          </w:tcPr>
          <w:p w14:paraId="5560F37D" w14:textId="6F8E6354" w:rsidR="00834432" w:rsidRPr="00834432" w:rsidRDefault="00834432" w:rsidP="00834432">
            <w:pPr>
              <w:jc w:val="center"/>
              <w:rPr>
                <w:rStyle w:val="Emphasis"/>
                <w:rFonts w:ascii="Times New Roman" w:hAnsi="Times New Roman" w:cs="Times New Roman"/>
                <w:i w:val="0"/>
                <w:sz w:val="24"/>
                <w:szCs w:val="24"/>
              </w:rPr>
            </w:pPr>
            <w:r w:rsidRPr="00834432">
              <w:rPr>
                <w:rFonts w:ascii="Times New Roman" w:hAnsi="Times New Roman" w:cs="Times New Roman"/>
                <w:sz w:val="24"/>
                <w:szCs w:val="24"/>
              </w:rPr>
              <w:t>Summative Assessment</w:t>
            </w:r>
          </w:p>
        </w:tc>
        <w:tc>
          <w:tcPr>
            <w:tcW w:w="756" w:type="pct"/>
            <w:tcBorders>
              <w:top w:val="single" w:sz="8" w:space="0" w:color="auto"/>
            </w:tcBorders>
          </w:tcPr>
          <w:p w14:paraId="0369F667" w14:textId="44858B3F"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4.55</w:t>
            </w:r>
          </w:p>
        </w:tc>
        <w:tc>
          <w:tcPr>
            <w:tcW w:w="1049" w:type="pct"/>
            <w:shd w:val="clear" w:color="auto" w:fill="FFFFFF"/>
          </w:tcPr>
          <w:p w14:paraId="131E87CA" w14:textId="3CE3C4BC"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top w:val="single" w:sz="8" w:space="0" w:color="auto"/>
            </w:tcBorders>
          </w:tcPr>
          <w:p w14:paraId="154C16F8" w14:textId="3500C42C"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r w:rsidR="00834432" w:rsidRPr="00834432" w14:paraId="6E5F4FDB" w14:textId="77777777" w:rsidTr="00834432">
        <w:trPr>
          <w:cantSplit/>
        </w:trPr>
        <w:tc>
          <w:tcPr>
            <w:tcW w:w="1462" w:type="pct"/>
            <w:tcBorders>
              <w:bottom w:val="single" w:sz="8" w:space="0" w:color="auto"/>
            </w:tcBorders>
          </w:tcPr>
          <w:p w14:paraId="32A47ABA" w14:textId="523BC1EF" w:rsidR="00834432" w:rsidRPr="00834432" w:rsidRDefault="00834432" w:rsidP="00834432">
            <w:pPr>
              <w:jc w:val="center"/>
              <w:rPr>
                <w:rFonts w:ascii="Times New Roman" w:eastAsia="Times New Roman" w:hAnsi="Times New Roman" w:cs="Times New Roman"/>
                <w:color w:val="000000"/>
                <w:sz w:val="24"/>
                <w:szCs w:val="24"/>
              </w:rPr>
            </w:pPr>
            <w:r w:rsidRPr="00834432">
              <w:rPr>
                <w:rFonts w:ascii="Times New Roman" w:hAnsi="Times New Roman" w:cs="Times New Roman"/>
                <w:sz w:val="24"/>
                <w:szCs w:val="24"/>
              </w:rPr>
              <w:t>Formative Assessment</w:t>
            </w:r>
          </w:p>
        </w:tc>
        <w:tc>
          <w:tcPr>
            <w:tcW w:w="756" w:type="pct"/>
            <w:tcBorders>
              <w:bottom w:val="single" w:sz="8" w:space="0" w:color="auto"/>
            </w:tcBorders>
          </w:tcPr>
          <w:p w14:paraId="6B05129A" w14:textId="598BC3B1"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4.51</w:t>
            </w:r>
          </w:p>
        </w:tc>
        <w:tc>
          <w:tcPr>
            <w:tcW w:w="1049" w:type="pct"/>
            <w:shd w:val="clear" w:color="auto" w:fill="FFFFFF"/>
          </w:tcPr>
          <w:p w14:paraId="3CA78067" w14:textId="08FF277C"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bottom w:val="single" w:sz="8" w:space="0" w:color="auto"/>
            </w:tcBorders>
          </w:tcPr>
          <w:p w14:paraId="00F5BCF9" w14:textId="7972A48C"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r w:rsidR="00834432" w:rsidRPr="00834432" w14:paraId="448CC5CA" w14:textId="77777777" w:rsidTr="00834432">
        <w:trPr>
          <w:cantSplit/>
        </w:trPr>
        <w:tc>
          <w:tcPr>
            <w:tcW w:w="1462" w:type="pct"/>
            <w:tcBorders>
              <w:top w:val="single" w:sz="8" w:space="0" w:color="auto"/>
              <w:bottom w:val="double" w:sz="4" w:space="0" w:color="auto"/>
            </w:tcBorders>
          </w:tcPr>
          <w:p w14:paraId="598775A0" w14:textId="61DF3D48" w:rsidR="00834432" w:rsidRPr="00834432" w:rsidRDefault="00834432" w:rsidP="00834432">
            <w:pPr>
              <w:jc w:val="center"/>
              <w:rPr>
                <w:rFonts w:ascii="Times New Roman" w:eastAsia="Times New Roman" w:hAnsi="Times New Roman" w:cs="Times New Roman"/>
                <w:color w:val="000000"/>
                <w:sz w:val="24"/>
                <w:szCs w:val="24"/>
              </w:rPr>
            </w:pPr>
            <w:r w:rsidRPr="00834432">
              <w:rPr>
                <w:rFonts w:ascii="Times New Roman" w:hAnsi="Times New Roman" w:cs="Times New Roman"/>
                <w:sz w:val="24"/>
                <w:szCs w:val="24"/>
              </w:rPr>
              <w:t>Overall Mean</w:t>
            </w:r>
          </w:p>
        </w:tc>
        <w:tc>
          <w:tcPr>
            <w:tcW w:w="756" w:type="pct"/>
            <w:tcBorders>
              <w:top w:val="single" w:sz="8" w:space="0" w:color="auto"/>
              <w:bottom w:val="double" w:sz="4" w:space="0" w:color="auto"/>
            </w:tcBorders>
          </w:tcPr>
          <w:p w14:paraId="3CB86440" w14:textId="4C3EE725"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4.52</w:t>
            </w:r>
          </w:p>
        </w:tc>
        <w:tc>
          <w:tcPr>
            <w:tcW w:w="1049" w:type="pct"/>
            <w:shd w:val="clear" w:color="auto" w:fill="FFFFFF"/>
          </w:tcPr>
          <w:p w14:paraId="08EABF06" w14:textId="3F9A6297"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top w:val="single" w:sz="8" w:space="0" w:color="auto"/>
              <w:bottom w:val="double" w:sz="4" w:space="0" w:color="auto"/>
            </w:tcBorders>
          </w:tcPr>
          <w:p w14:paraId="30AEFF81" w14:textId="3E1F8386"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bl>
    <w:p w14:paraId="5C1D93C8" w14:textId="77777777" w:rsidR="005F7985" w:rsidRPr="00834432" w:rsidRDefault="005F7985" w:rsidP="00834432">
      <w:pPr>
        <w:spacing w:line="246" w:lineRule="auto"/>
        <w:jc w:val="center"/>
        <w:rPr>
          <w:rFonts w:ascii="Times New Roman" w:eastAsia="Times New Roman" w:hAnsi="Times New Roman" w:cs="Times New Roman"/>
          <w:b/>
          <w:bCs/>
          <w:sz w:val="24"/>
          <w:szCs w:val="24"/>
        </w:rPr>
      </w:pPr>
    </w:p>
    <w:p w14:paraId="75BB4315" w14:textId="77777777" w:rsidR="005F7985" w:rsidRPr="00834432" w:rsidRDefault="005F7985" w:rsidP="005F7985">
      <w:pPr>
        <w:pStyle w:val="Normal1"/>
        <w:spacing w:after="0" w:line="240" w:lineRule="auto"/>
        <w:jc w:val="both"/>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5F7985" w:rsidRPr="00834432" w14:paraId="66F59F02" w14:textId="77777777" w:rsidTr="00167664">
        <w:tc>
          <w:tcPr>
            <w:tcW w:w="1560" w:type="dxa"/>
          </w:tcPr>
          <w:p w14:paraId="2C097E42"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Rating</w:t>
            </w:r>
          </w:p>
        </w:tc>
        <w:tc>
          <w:tcPr>
            <w:tcW w:w="1842" w:type="dxa"/>
          </w:tcPr>
          <w:p w14:paraId="033D66BF"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Scale</w:t>
            </w:r>
          </w:p>
        </w:tc>
        <w:tc>
          <w:tcPr>
            <w:tcW w:w="2972" w:type="dxa"/>
          </w:tcPr>
          <w:p w14:paraId="659B6CC6"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Descriptive Rating</w:t>
            </w:r>
          </w:p>
        </w:tc>
        <w:tc>
          <w:tcPr>
            <w:tcW w:w="4366" w:type="dxa"/>
            <w:vAlign w:val="center"/>
          </w:tcPr>
          <w:p w14:paraId="16A8DB66"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Qualitative Interpretation</w:t>
            </w:r>
          </w:p>
        </w:tc>
      </w:tr>
      <w:tr w:rsidR="00834432" w:rsidRPr="00834432" w14:paraId="55B85F7A" w14:textId="77777777" w:rsidTr="00D1540D">
        <w:tc>
          <w:tcPr>
            <w:tcW w:w="1560" w:type="dxa"/>
            <w:vAlign w:val="center"/>
          </w:tcPr>
          <w:p w14:paraId="77E21073"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5</w:t>
            </w:r>
          </w:p>
        </w:tc>
        <w:tc>
          <w:tcPr>
            <w:tcW w:w="1842" w:type="dxa"/>
            <w:vAlign w:val="center"/>
          </w:tcPr>
          <w:p w14:paraId="369E0E3A"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4.51-5.00</w:t>
            </w:r>
          </w:p>
        </w:tc>
        <w:tc>
          <w:tcPr>
            <w:tcW w:w="2972" w:type="dxa"/>
          </w:tcPr>
          <w:p w14:paraId="6894AA0C" w14:textId="192C7D38"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Strongly Agree</w:t>
            </w:r>
          </w:p>
        </w:tc>
        <w:tc>
          <w:tcPr>
            <w:tcW w:w="4366" w:type="dxa"/>
          </w:tcPr>
          <w:p w14:paraId="2A4C8C8A" w14:textId="012494D5"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Very High </w:t>
            </w:r>
          </w:p>
        </w:tc>
      </w:tr>
      <w:tr w:rsidR="00834432" w:rsidRPr="00834432" w14:paraId="56C1B023" w14:textId="77777777" w:rsidTr="00D1540D">
        <w:tc>
          <w:tcPr>
            <w:tcW w:w="1560" w:type="dxa"/>
            <w:vAlign w:val="center"/>
          </w:tcPr>
          <w:p w14:paraId="1D33A0E4"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4</w:t>
            </w:r>
          </w:p>
        </w:tc>
        <w:tc>
          <w:tcPr>
            <w:tcW w:w="1842" w:type="dxa"/>
            <w:vAlign w:val="center"/>
          </w:tcPr>
          <w:p w14:paraId="60B00EF0"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3.51-4.50</w:t>
            </w:r>
          </w:p>
        </w:tc>
        <w:tc>
          <w:tcPr>
            <w:tcW w:w="2972" w:type="dxa"/>
          </w:tcPr>
          <w:p w14:paraId="5D39EB4C" w14:textId="5ACC969F"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Agree</w:t>
            </w:r>
          </w:p>
        </w:tc>
        <w:tc>
          <w:tcPr>
            <w:tcW w:w="4366" w:type="dxa"/>
          </w:tcPr>
          <w:p w14:paraId="1204A1D9" w14:textId="6E266DF8"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High </w:t>
            </w:r>
          </w:p>
        </w:tc>
      </w:tr>
      <w:tr w:rsidR="00834432" w:rsidRPr="00834432" w14:paraId="36F8CA99" w14:textId="77777777" w:rsidTr="00D1540D">
        <w:tc>
          <w:tcPr>
            <w:tcW w:w="1560" w:type="dxa"/>
            <w:vAlign w:val="center"/>
          </w:tcPr>
          <w:p w14:paraId="5F8F124B"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3</w:t>
            </w:r>
          </w:p>
        </w:tc>
        <w:tc>
          <w:tcPr>
            <w:tcW w:w="1842" w:type="dxa"/>
            <w:vAlign w:val="center"/>
          </w:tcPr>
          <w:p w14:paraId="0EBDB073"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2.51-3.50</w:t>
            </w:r>
          </w:p>
        </w:tc>
        <w:tc>
          <w:tcPr>
            <w:tcW w:w="2972" w:type="dxa"/>
          </w:tcPr>
          <w:p w14:paraId="1E26E028" w14:textId="75BB4453"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Undecided</w:t>
            </w:r>
          </w:p>
        </w:tc>
        <w:tc>
          <w:tcPr>
            <w:tcW w:w="4366" w:type="dxa"/>
          </w:tcPr>
          <w:p w14:paraId="547210BB" w14:textId="736E6BB2"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Moderate </w:t>
            </w:r>
          </w:p>
        </w:tc>
      </w:tr>
      <w:tr w:rsidR="00834432" w:rsidRPr="00834432" w14:paraId="61F9742D" w14:textId="77777777" w:rsidTr="00D1540D">
        <w:tc>
          <w:tcPr>
            <w:tcW w:w="1560" w:type="dxa"/>
            <w:vAlign w:val="center"/>
          </w:tcPr>
          <w:p w14:paraId="0181224F"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2</w:t>
            </w:r>
          </w:p>
        </w:tc>
        <w:tc>
          <w:tcPr>
            <w:tcW w:w="1842" w:type="dxa"/>
            <w:vAlign w:val="center"/>
          </w:tcPr>
          <w:p w14:paraId="520DD231"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1.51-2.50</w:t>
            </w:r>
          </w:p>
        </w:tc>
        <w:tc>
          <w:tcPr>
            <w:tcW w:w="2972" w:type="dxa"/>
          </w:tcPr>
          <w:p w14:paraId="7745830E" w14:textId="2C3919F1"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Disagree</w:t>
            </w:r>
          </w:p>
        </w:tc>
        <w:tc>
          <w:tcPr>
            <w:tcW w:w="4366" w:type="dxa"/>
          </w:tcPr>
          <w:p w14:paraId="40C1B2E9" w14:textId="5355B476"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Low </w:t>
            </w:r>
          </w:p>
        </w:tc>
      </w:tr>
      <w:tr w:rsidR="00834432" w:rsidRPr="00834432" w14:paraId="510E364E" w14:textId="77777777" w:rsidTr="00D1540D">
        <w:tc>
          <w:tcPr>
            <w:tcW w:w="1560" w:type="dxa"/>
            <w:vAlign w:val="center"/>
          </w:tcPr>
          <w:p w14:paraId="39EAD2E4"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w:t>
            </w:r>
          </w:p>
        </w:tc>
        <w:tc>
          <w:tcPr>
            <w:tcW w:w="1842" w:type="dxa"/>
            <w:vAlign w:val="center"/>
          </w:tcPr>
          <w:p w14:paraId="00A947EE"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1.00-1.50</w:t>
            </w:r>
          </w:p>
        </w:tc>
        <w:tc>
          <w:tcPr>
            <w:tcW w:w="2972" w:type="dxa"/>
          </w:tcPr>
          <w:p w14:paraId="7939136E" w14:textId="25A4FAB5"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Strongly Disagree</w:t>
            </w:r>
          </w:p>
        </w:tc>
        <w:tc>
          <w:tcPr>
            <w:tcW w:w="4366" w:type="dxa"/>
          </w:tcPr>
          <w:p w14:paraId="1DAB55FB" w14:textId="19F8E5F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Very Low </w:t>
            </w:r>
          </w:p>
        </w:tc>
      </w:tr>
    </w:tbl>
    <w:p w14:paraId="29462A0D" w14:textId="77777777" w:rsidR="005F7985" w:rsidRDefault="005F7985" w:rsidP="005F7985">
      <w:pPr>
        <w:spacing w:line="246" w:lineRule="auto"/>
        <w:jc w:val="both"/>
        <w:rPr>
          <w:rFonts w:ascii="Times New Roman" w:eastAsia="Times New Roman" w:hAnsi="Times New Roman" w:cs="Times New Roman"/>
        </w:rPr>
      </w:pPr>
    </w:p>
    <w:p w14:paraId="2AD89BA5" w14:textId="77777777" w:rsidR="00866D6F" w:rsidRPr="009A7E5F" w:rsidRDefault="00866D6F" w:rsidP="00866D6F">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 xml:space="preserve">Teachers demonstrate a very high level of educational assessment capability, with an overall </w:t>
      </w:r>
      <w:proofErr w:type="gramStart"/>
      <w:r w:rsidRPr="009A7E5F">
        <w:rPr>
          <w:rFonts w:ascii="Times New Roman" w:eastAsia="Times New Roman" w:hAnsi="Times New Roman" w:cs="Times New Roman"/>
          <w:sz w:val="24"/>
          <w:szCs w:val="24"/>
        </w:rPr>
        <w:t>mean</w:t>
      </w:r>
      <w:proofErr w:type="gramEnd"/>
      <w:r w:rsidRPr="009A7E5F">
        <w:rPr>
          <w:rFonts w:ascii="Times New Roman" w:eastAsia="Times New Roman" w:hAnsi="Times New Roman" w:cs="Times New Roman"/>
          <w:sz w:val="24"/>
          <w:szCs w:val="24"/>
        </w:rPr>
        <w:t xml:space="preserve"> indicating Very High Capability. Among the indicators, summative assessment obtained the highest mean of 4.55, showing that teachers are highly competent in evaluating student learning at the end of lessons or grading periods, preparing learners for summative tasks, and assessing final learning outcomes. This suggests that teachers are particularly strong in measuring students’ achievement of competencies through structured and final assessments. Meanwhile, formative assessment obtained a slightly lower mean of 4.51, also interpreted as Very High Capability, indicating that teachers regularly monitor student learning and provide feedback, although formative practices such as continuous tracking and real-time instructional adjustments are slightly less emphasized.</w:t>
      </w:r>
    </w:p>
    <w:p w14:paraId="52D7CAA7" w14:textId="77777777" w:rsidR="00866D6F" w:rsidRPr="009A7E5F" w:rsidRDefault="00866D6F" w:rsidP="00866D6F">
      <w:pPr>
        <w:spacing w:line="246" w:lineRule="auto"/>
        <w:jc w:val="both"/>
        <w:rPr>
          <w:rFonts w:ascii="Times New Roman" w:eastAsia="Times New Roman" w:hAnsi="Times New Roman" w:cs="Times New Roman"/>
          <w:sz w:val="24"/>
          <w:szCs w:val="24"/>
        </w:rPr>
      </w:pPr>
    </w:p>
    <w:p w14:paraId="0933814E" w14:textId="3B864DF9" w:rsidR="005F7985" w:rsidRDefault="00866D6F" w:rsidP="00866D6F">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 xml:space="preserve">These findings indicate that teachers demonstrate strong assessment practices in both formative and summative approaches, with a greater emphasis on summative evaluation. While formative assessment is also highly practiced, it may still require further strengthening to ensure more consistent feedback and instructional adjustments throughout the learning process. The results are supported by </w:t>
      </w:r>
      <w:proofErr w:type="spellStart"/>
      <w:r w:rsidRPr="009A7E5F">
        <w:rPr>
          <w:rFonts w:ascii="Times New Roman" w:eastAsia="Times New Roman" w:hAnsi="Times New Roman" w:cs="Times New Roman"/>
          <w:sz w:val="24"/>
          <w:szCs w:val="24"/>
        </w:rPr>
        <w:t>Bonggo</w:t>
      </w:r>
      <w:proofErr w:type="spellEnd"/>
      <w:r w:rsidRPr="009A7E5F">
        <w:rPr>
          <w:rFonts w:ascii="Times New Roman" w:eastAsia="Times New Roman" w:hAnsi="Times New Roman" w:cs="Times New Roman"/>
          <w:sz w:val="24"/>
          <w:szCs w:val="24"/>
        </w:rPr>
        <w:t xml:space="preserve"> (2024), who emphasized that instructional supervision and feedback improve teachers’ assessment practices, and by Reyes (2022), who highlighted the role of mentoring in enhancing assessment competence. Similarly, studies by Antonio et al. (2023) and Bravo and </w:t>
      </w:r>
      <w:proofErr w:type="spellStart"/>
      <w:r w:rsidRPr="009A7E5F">
        <w:rPr>
          <w:rFonts w:ascii="Times New Roman" w:eastAsia="Times New Roman" w:hAnsi="Times New Roman" w:cs="Times New Roman"/>
          <w:sz w:val="24"/>
          <w:szCs w:val="24"/>
        </w:rPr>
        <w:t>Paceno</w:t>
      </w:r>
      <w:proofErr w:type="spellEnd"/>
      <w:r w:rsidRPr="009A7E5F">
        <w:rPr>
          <w:rFonts w:ascii="Times New Roman" w:eastAsia="Times New Roman" w:hAnsi="Times New Roman" w:cs="Times New Roman"/>
          <w:sz w:val="24"/>
          <w:szCs w:val="24"/>
        </w:rPr>
        <w:t xml:space="preserve"> (2024) noted challenges in aligning assessments and implementing formative strategies due to limited training and resources. In addition, Isnawati (2021) and the OECD TALIS Report (2018; 2019) emphasized that while traditional assessment practices are common, formative assessment is less consistently applied, highlighting the need for further improvement in this area.</w:t>
      </w:r>
    </w:p>
    <w:p w14:paraId="57109EF6" w14:textId="77777777" w:rsidR="001E3B07" w:rsidRDefault="001E3B07" w:rsidP="00866D6F">
      <w:pPr>
        <w:spacing w:line="246" w:lineRule="auto"/>
        <w:jc w:val="both"/>
        <w:rPr>
          <w:rFonts w:ascii="Times New Roman" w:eastAsia="Times New Roman" w:hAnsi="Times New Roman" w:cs="Times New Roman"/>
          <w:sz w:val="24"/>
          <w:szCs w:val="24"/>
        </w:rPr>
      </w:pPr>
    </w:p>
    <w:p w14:paraId="6341E66B" w14:textId="77777777" w:rsidR="001E3B07" w:rsidRDefault="001E3B07" w:rsidP="00866D6F">
      <w:pPr>
        <w:spacing w:line="246" w:lineRule="auto"/>
        <w:jc w:val="both"/>
        <w:rPr>
          <w:rFonts w:ascii="Times New Roman" w:eastAsia="Times New Roman" w:hAnsi="Times New Roman" w:cs="Times New Roman"/>
          <w:sz w:val="24"/>
          <w:szCs w:val="24"/>
        </w:rPr>
      </w:pPr>
    </w:p>
    <w:p w14:paraId="728C106F" w14:textId="77777777" w:rsidR="001E3B07" w:rsidRPr="009A7E5F" w:rsidRDefault="001E3B07" w:rsidP="00866D6F">
      <w:pPr>
        <w:spacing w:line="246" w:lineRule="auto"/>
        <w:jc w:val="both"/>
        <w:rPr>
          <w:rFonts w:ascii="Times New Roman" w:eastAsia="Times New Roman" w:hAnsi="Times New Roman" w:cs="Times New Roman"/>
          <w:sz w:val="24"/>
          <w:szCs w:val="24"/>
        </w:rPr>
      </w:pPr>
    </w:p>
    <w:p w14:paraId="426C0837" w14:textId="77777777" w:rsidR="00866D6F" w:rsidRPr="00815065" w:rsidRDefault="00866D6F" w:rsidP="00866D6F">
      <w:pPr>
        <w:spacing w:line="246" w:lineRule="auto"/>
        <w:jc w:val="both"/>
        <w:rPr>
          <w:rFonts w:ascii="Times New Roman" w:eastAsia="Times New Roman" w:hAnsi="Times New Roman" w:cs="Times New Roman"/>
        </w:rPr>
      </w:pPr>
    </w:p>
    <w:p w14:paraId="49BAAB21" w14:textId="70549A51" w:rsidR="005F7985" w:rsidRPr="00E36157" w:rsidRDefault="005F7985" w:rsidP="00E36157">
      <w:pPr>
        <w:rPr>
          <w:rFonts w:ascii="Times New Roman" w:hAnsi="Times New Roman" w:cs="Times New Roman"/>
          <w:b/>
          <w:color w:val="000000" w:themeColor="text1"/>
          <w:sz w:val="24"/>
          <w:szCs w:val="24"/>
        </w:rPr>
      </w:pPr>
      <w:r w:rsidRPr="00E36157">
        <w:rPr>
          <w:rFonts w:ascii="Times New Roman" w:hAnsi="Times New Roman" w:cs="Times New Roman"/>
          <w:b/>
          <w:color w:val="000000" w:themeColor="text1"/>
          <w:sz w:val="24"/>
          <w:szCs w:val="24"/>
        </w:rPr>
        <w:lastRenderedPageBreak/>
        <w:t xml:space="preserve">TABLE </w:t>
      </w:r>
      <w:r w:rsidR="00E36157">
        <w:rPr>
          <w:rFonts w:ascii="Times New Roman" w:hAnsi="Times New Roman" w:cs="Times New Roman"/>
          <w:b/>
          <w:color w:val="000000" w:themeColor="text1"/>
          <w:sz w:val="24"/>
          <w:szCs w:val="24"/>
        </w:rPr>
        <w:t>4</w:t>
      </w:r>
      <w:r w:rsidRPr="00E36157">
        <w:rPr>
          <w:rFonts w:ascii="Times New Roman" w:hAnsi="Times New Roman" w:cs="Times New Roman"/>
          <w:b/>
          <w:color w:val="000000" w:themeColor="text1"/>
          <w:sz w:val="24"/>
          <w:szCs w:val="24"/>
        </w:rPr>
        <w:t xml:space="preserve">: </w:t>
      </w:r>
      <w:bookmarkStart w:id="0" w:name="_Hlk226475438"/>
      <w:r w:rsidRPr="00E36157">
        <w:rPr>
          <w:rFonts w:ascii="Times New Roman" w:hAnsi="Times New Roman" w:cs="Times New Roman"/>
          <w:b/>
          <w:color w:val="000000" w:themeColor="text1"/>
          <w:sz w:val="24"/>
          <w:szCs w:val="24"/>
        </w:rPr>
        <w:t xml:space="preserve">Correlation Analysis on </w:t>
      </w:r>
      <w:r w:rsidR="009F7546">
        <w:rPr>
          <w:rFonts w:ascii="Times New Roman" w:hAnsi="Times New Roman" w:cs="Times New Roman"/>
          <w:b/>
          <w:color w:val="000000" w:themeColor="text1"/>
          <w:sz w:val="24"/>
          <w:szCs w:val="24"/>
        </w:rPr>
        <w:t xml:space="preserve">Educational Assessment Capability </w:t>
      </w:r>
      <w:r w:rsidRPr="00E36157">
        <w:rPr>
          <w:rFonts w:ascii="Times New Roman" w:hAnsi="Times New Roman" w:cs="Times New Roman"/>
          <w:b/>
          <w:color w:val="000000" w:themeColor="text1"/>
          <w:sz w:val="24"/>
          <w:szCs w:val="24"/>
        </w:rPr>
        <w:t>of Teachers</w:t>
      </w:r>
      <w:bookmarkEnd w:id="0"/>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6737"/>
        <w:gridCol w:w="2090"/>
        <w:gridCol w:w="1893"/>
      </w:tblGrid>
      <w:tr w:rsidR="005F7985" w:rsidRPr="00E36157" w14:paraId="464FF01E" w14:textId="77777777" w:rsidTr="00E36157">
        <w:trPr>
          <w:cantSplit/>
        </w:trPr>
        <w:tc>
          <w:tcPr>
            <w:tcW w:w="3142" w:type="pct"/>
            <w:vAlign w:val="bottom"/>
          </w:tcPr>
          <w:p w14:paraId="1943EA3B" w14:textId="77777777" w:rsidR="005F7985" w:rsidRPr="009A7E5F" w:rsidRDefault="005F7985" w:rsidP="00E36157">
            <w:pPr>
              <w:autoSpaceDE w:val="0"/>
              <w:autoSpaceDN w:val="0"/>
              <w:adjustRightInd w:val="0"/>
              <w:rPr>
                <w:rFonts w:ascii="Times New Roman" w:hAnsi="Times New Roman" w:cs="Times New Roman"/>
                <w:color w:val="000000" w:themeColor="text1"/>
                <w:sz w:val="24"/>
                <w:szCs w:val="24"/>
              </w:rPr>
            </w:pPr>
          </w:p>
        </w:tc>
        <w:tc>
          <w:tcPr>
            <w:tcW w:w="975" w:type="pct"/>
            <w:vAlign w:val="bottom"/>
          </w:tcPr>
          <w:p w14:paraId="5D7D99B8" w14:textId="77777777" w:rsidR="005F7985" w:rsidRPr="009A7E5F" w:rsidRDefault="005F7985" w:rsidP="00E36157">
            <w:pPr>
              <w:autoSpaceDE w:val="0"/>
              <w:autoSpaceDN w:val="0"/>
              <w:adjustRightInd w:val="0"/>
              <w:ind w:left="60" w:right="60"/>
              <w:jc w:val="center"/>
              <w:rPr>
                <w:rFonts w:ascii="Times New Roman" w:hAnsi="Times New Roman" w:cs="Times New Roman"/>
                <w:color w:val="000000" w:themeColor="text1"/>
                <w:sz w:val="24"/>
                <w:szCs w:val="24"/>
              </w:rPr>
            </w:pPr>
            <w:proofErr w:type="spellStart"/>
            <w:r w:rsidRPr="009A7E5F">
              <w:rPr>
                <w:rFonts w:ascii="Times New Roman" w:hAnsi="Times New Roman" w:cs="Times New Roman"/>
                <w:color w:val="000000" w:themeColor="text1"/>
                <w:sz w:val="24"/>
                <w:szCs w:val="24"/>
              </w:rPr>
              <w:t>r-value</w:t>
            </w:r>
            <w:proofErr w:type="spellEnd"/>
          </w:p>
        </w:tc>
        <w:tc>
          <w:tcPr>
            <w:tcW w:w="883" w:type="pct"/>
          </w:tcPr>
          <w:p w14:paraId="367F2234" w14:textId="77777777" w:rsidR="005F7985" w:rsidRPr="009A7E5F" w:rsidRDefault="005F7985" w:rsidP="00E36157">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Probability</w:t>
            </w:r>
          </w:p>
        </w:tc>
      </w:tr>
      <w:tr w:rsidR="009F7546" w:rsidRPr="00E36157" w14:paraId="677C7569" w14:textId="77777777" w:rsidTr="000B04D7">
        <w:trPr>
          <w:cantSplit/>
        </w:trPr>
        <w:tc>
          <w:tcPr>
            <w:tcW w:w="3142" w:type="pct"/>
            <w:tcBorders>
              <w:top w:val="single" w:sz="8" w:space="0" w:color="auto"/>
            </w:tcBorders>
          </w:tcPr>
          <w:p w14:paraId="03BB96D4" w14:textId="55EE8976" w:rsidR="009F7546" w:rsidRPr="009A7E5F" w:rsidRDefault="009F7546" w:rsidP="009F7546">
            <w:pPr>
              <w:autoSpaceDE w:val="0"/>
              <w:autoSpaceDN w:val="0"/>
              <w:adjustRightInd w:val="0"/>
              <w:ind w:left="6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Instructional Leadership</w:t>
            </w:r>
          </w:p>
        </w:tc>
        <w:tc>
          <w:tcPr>
            <w:tcW w:w="975" w:type="pct"/>
            <w:tcBorders>
              <w:top w:val="single" w:sz="8" w:space="0" w:color="auto"/>
            </w:tcBorders>
          </w:tcPr>
          <w:p w14:paraId="4E95F405" w14:textId="53706B63"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.290</w:t>
            </w:r>
          </w:p>
        </w:tc>
        <w:tc>
          <w:tcPr>
            <w:tcW w:w="883" w:type="pct"/>
            <w:tcBorders>
              <w:top w:val="single" w:sz="8" w:space="0" w:color="auto"/>
            </w:tcBorders>
          </w:tcPr>
          <w:p w14:paraId="69BF35B6" w14:textId="1AD49C12"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4A87B574" w14:textId="77777777" w:rsidTr="000B04D7">
        <w:trPr>
          <w:cantSplit/>
        </w:trPr>
        <w:tc>
          <w:tcPr>
            <w:tcW w:w="3142" w:type="pct"/>
          </w:tcPr>
          <w:p w14:paraId="2CB1255F" w14:textId="3B1C682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Developing and Communicating Shared Goals</w:t>
            </w:r>
          </w:p>
        </w:tc>
        <w:tc>
          <w:tcPr>
            <w:tcW w:w="975" w:type="pct"/>
          </w:tcPr>
          <w:p w14:paraId="22F37A64" w14:textId="69740F9D"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.157</w:t>
            </w:r>
          </w:p>
        </w:tc>
        <w:tc>
          <w:tcPr>
            <w:tcW w:w="883" w:type="pct"/>
          </w:tcPr>
          <w:p w14:paraId="71AB0FBD" w14:textId="2487F944"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.006**</w:t>
            </w:r>
          </w:p>
        </w:tc>
      </w:tr>
      <w:tr w:rsidR="009F7546" w:rsidRPr="00E36157" w14:paraId="50508550" w14:textId="77777777" w:rsidTr="000B04D7">
        <w:trPr>
          <w:cantSplit/>
        </w:trPr>
        <w:tc>
          <w:tcPr>
            <w:tcW w:w="3142" w:type="pct"/>
          </w:tcPr>
          <w:p w14:paraId="5348FD47" w14:textId="4BD49CC6"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Monitoring and Providing Feedback</w:t>
            </w:r>
          </w:p>
        </w:tc>
        <w:tc>
          <w:tcPr>
            <w:tcW w:w="975" w:type="pct"/>
          </w:tcPr>
          <w:p w14:paraId="32297A57" w14:textId="0F726984"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.229</w:t>
            </w:r>
          </w:p>
        </w:tc>
        <w:tc>
          <w:tcPr>
            <w:tcW w:w="883" w:type="pct"/>
          </w:tcPr>
          <w:p w14:paraId="7C472482" w14:textId="3346AF31"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11BD16B1" w14:textId="77777777" w:rsidTr="000B04D7">
        <w:trPr>
          <w:cantSplit/>
        </w:trPr>
        <w:tc>
          <w:tcPr>
            <w:tcW w:w="3142" w:type="pct"/>
          </w:tcPr>
          <w:p w14:paraId="3C173218" w14:textId="368F3464"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Promoting Professional Development</w:t>
            </w:r>
          </w:p>
        </w:tc>
        <w:tc>
          <w:tcPr>
            <w:tcW w:w="975" w:type="pct"/>
          </w:tcPr>
          <w:p w14:paraId="60E98900" w14:textId="39BBB428"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.265</w:t>
            </w:r>
          </w:p>
        </w:tc>
        <w:tc>
          <w:tcPr>
            <w:tcW w:w="883" w:type="pct"/>
          </w:tcPr>
          <w:p w14:paraId="7A39AD5F" w14:textId="70FB35B3"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3FFA99E6" w14:textId="77777777" w:rsidTr="000B04D7">
        <w:trPr>
          <w:cantSplit/>
        </w:trPr>
        <w:tc>
          <w:tcPr>
            <w:tcW w:w="3142" w:type="pct"/>
          </w:tcPr>
          <w:p w14:paraId="1E1C3D79" w14:textId="2ED9BFB7" w:rsidR="009F7546" w:rsidRPr="009A7E5F" w:rsidRDefault="009F7546" w:rsidP="009F7546">
            <w:pPr>
              <w:autoSpaceDE w:val="0"/>
              <w:autoSpaceDN w:val="0"/>
              <w:adjustRightInd w:val="0"/>
              <w:ind w:left="6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Technological Competence</w:t>
            </w:r>
          </w:p>
        </w:tc>
        <w:tc>
          <w:tcPr>
            <w:tcW w:w="975" w:type="pct"/>
          </w:tcPr>
          <w:p w14:paraId="3C6F1523" w14:textId="704805B1"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.463</w:t>
            </w:r>
          </w:p>
        </w:tc>
        <w:tc>
          <w:tcPr>
            <w:tcW w:w="883" w:type="pct"/>
          </w:tcPr>
          <w:p w14:paraId="0C8AB2D0" w14:textId="160F4646"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129E7FE4" w14:textId="77777777" w:rsidTr="000B04D7">
        <w:trPr>
          <w:cantSplit/>
        </w:trPr>
        <w:tc>
          <w:tcPr>
            <w:tcW w:w="3142" w:type="pct"/>
          </w:tcPr>
          <w:p w14:paraId="0BEED936" w14:textId="729C8BB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Applicability</w:t>
            </w:r>
          </w:p>
        </w:tc>
        <w:tc>
          <w:tcPr>
            <w:tcW w:w="975" w:type="pct"/>
          </w:tcPr>
          <w:p w14:paraId="650F991F" w14:textId="63079F5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.343</w:t>
            </w:r>
          </w:p>
        </w:tc>
        <w:tc>
          <w:tcPr>
            <w:tcW w:w="883" w:type="pct"/>
          </w:tcPr>
          <w:p w14:paraId="2272366C" w14:textId="36793B2E"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525B5C39" w14:textId="77777777" w:rsidTr="000B04D7">
        <w:trPr>
          <w:cantSplit/>
        </w:trPr>
        <w:tc>
          <w:tcPr>
            <w:tcW w:w="3142" w:type="pct"/>
            <w:tcBorders>
              <w:bottom w:val="single" w:sz="8" w:space="0" w:color="auto"/>
            </w:tcBorders>
          </w:tcPr>
          <w:p w14:paraId="659CF936" w14:textId="7AA9138B"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Adaptability</w:t>
            </w:r>
          </w:p>
        </w:tc>
        <w:tc>
          <w:tcPr>
            <w:tcW w:w="975" w:type="pct"/>
            <w:tcBorders>
              <w:bottom w:val="single" w:sz="8" w:space="0" w:color="auto"/>
            </w:tcBorders>
          </w:tcPr>
          <w:p w14:paraId="52116CF9" w14:textId="63E0145F"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.429</w:t>
            </w:r>
          </w:p>
        </w:tc>
        <w:tc>
          <w:tcPr>
            <w:tcW w:w="883" w:type="pct"/>
            <w:tcBorders>
              <w:bottom w:val="single" w:sz="8" w:space="0" w:color="auto"/>
            </w:tcBorders>
          </w:tcPr>
          <w:p w14:paraId="018E7CEE" w14:textId="267A775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05B0B062" w14:textId="77777777" w:rsidTr="00167664">
        <w:trPr>
          <w:cantSplit/>
        </w:trPr>
        <w:tc>
          <w:tcPr>
            <w:tcW w:w="3142" w:type="pct"/>
          </w:tcPr>
          <w:p w14:paraId="15EDE588" w14:textId="482A152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 xml:space="preserve">     Sustainability</w:t>
            </w:r>
          </w:p>
        </w:tc>
        <w:tc>
          <w:tcPr>
            <w:tcW w:w="975" w:type="pct"/>
            <w:vAlign w:val="center"/>
          </w:tcPr>
          <w:p w14:paraId="628B43C8" w14:textId="31F7DBF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.398</w:t>
            </w:r>
          </w:p>
        </w:tc>
        <w:tc>
          <w:tcPr>
            <w:tcW w:w="883" w:type="pct"/>
          </w:tcPr>
          <w:p w14:paraId="13B44466" w14:textId="104F76D0"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bl>
    <w:p w14:paraId="18142262" w14:textId="77777777" w:rsidR="005F7985" w:rsidRPr="00E36157" w:rsidRDefault="005F7985" w:rsidP="00E36157">
      <w:pPr>
        <w:rPr>
          <w:rFonts w:ascii="Times New Roman" w:hAnsi="Times New Roman" w:cs="Times New Roman"/>
          <w:color w:val="000000" w:themeColor="text1"/>
          <w:sz w:val="24"/>
          <w:szCs w:val="24"/>
        </w:rPr>
      </w:pPr>
      <w:r w:rsidRPr="00E36157">
        <w:rPr>
          <w:rFonts w:ascii="Times New Roman" w:hAnsi="Times New Roman" w:cs="Times New Roman"/>
          <w:color w:val="000000" w:themeColor="text1"/>
          <w:sz w:val="24"/>
          <w:szCs w:val="24"/>
        </w:rPr>
        <w:t>**. Correlation is significant at the 0.01 level (2-tailed).</w:t>
      </w:r>
    </w:p>
    <w:p w14:paraId="5777D8F4" w14:textId="77777777" w:rsidR="005F7985" w:rsidRPr="00E36157" w:rsidRDefault="005F7985" w:rsidP="00E36157">
      <w:pPr>
        <w:rPr>
          <w:rFonts w:ascii="Times New Roman" w:hAnsi="Times New Roman" w:cs="Times New Roman"/>
          <w:color w:val="000000" w:themeColor="text1"/>
          <w:sz w:val="24"/>
          <w:szCs w:val="24"/>
        </w:rPr>
      </w:pPr>
      <w:r w:rsidRPr="00E36157">
        <w:rPr>
          <w:rFonts w:ascii="Times New Roman" w:hAnsi="Times New Roman" w:cs="Times New Roman"/>
          <w:color w:val="000000" w:themeColor="text1"/>
          <w:sz w:val="24"/>
          <w:szCs w:val="24"/>
        </w:rPr>
        <w:t>*. Correlation is significant at the 0.05 level (2-tailed).</w:t>
      </w:r>
    </w:p>
    <w:p w14:paraId="01A69531" w14:textId="58E5DB8A" w:rsidR="00F96900" w:rsidRPr="00E36157" w:rsidRDefault="00F96900" w:rsidP="00E36157">
      <w:pPr>
        <w:jc w:val="both"/>
        <w:rPr>
          <w:rFonts w:ascii="Times New Roman" w:eastAsia="Times New Roman" w:hAnsi="Times New Roman" w:cs="Times New Roman"/>
          <w:sz w:val="24"/>
          <w:szCs w:val="24"/>
        </w:rPr>
      </w:pPr>
    </w:p>
    <w:p w14:paraId="58C26FAE" w14:textId="45BAE0FC" w:rsidR="00AA2B0C" w:rsidRPr="00AA2B0C" w:rsidRDefault="00AA2B0C"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 xml:space="preserve">The results show that both instructional leadership and technological competence have positive and statistically significant relationships with teachers’ educational assessment capability (p = .000). Instructional leadership exhibits a low but significant positive correlation (r = .290), indicating that increased practices in promoting professional development (r = .265, highly significant), monitoring and providing feedback (r = .229, highly significant), and developing and communicating shared goals (r = .157, significant) are associated with improved assessment capability. These findings suggest that teachers who demonstrate stronger leadership practices tend to have </w:t>
      </w:r>
      <w:r w:rsidR="00E577F9">
        <w:rPr>
          <w:rFonts w:ascii="Times New Roman" w:eastAsia="Times New Roman" w:hAnsi="Times New Roman" w:cs="Times New Roman"/>
          <w:sz w:val="24"/>
          <w:szCs w:val="24"/>
        </w:rPr>
        <w:t xml:space="preserve">a </w:t>
      </w:r>
      <w:r w:rsidRPr="00AA2B0C">
        <w:rPr>
          <w:rFonts w:ascii="Times New Roman" w:eastAsia="Times New Roman" w:hAnsi="Times New Roman" w:cs="Times New Roman"/>
          <w:sz w:val="24"/>
          <w:szCs w:val="24"/>
        </w:rPr>
        <w:t>better ability to assess and support student learning.</w:t>
      </w:r>
    </w:p>
    <w:p w14:paraId="3643454C" w14:textId="77777777" w:rsidR="00AA2B0C" w:rsidRPr="00AA2B0C" w:rsidRDefault="00AA2B0C" w:rsidP="00AA2B0C">
      <w:pPr>
        <w:jc w:val="both"/>
        <w:rPr>
          <w:rFonts w:ascii="Times New Roman" w:eastAsia="Times New Roman" w:hAnsi="Times New Roman" w:cs="Times New Roman"/>
          <w:sz w:val="24"/>
          <w:szCs w:val="24"/>
        </w:rPr>
      </w:pPr>
    </w:p>
    <w:p w14:paraId="1F1928FB" w14:textId="4AC5BDCF" w:rsidR="00E577F9" w:rsidRDefault="00AA2B0C"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 xml:space="preserve">Similarly, technological competence shows a moderate positive relationship with educational assessment capability (r = .463), indicating a stronger influence compared to instructional leadership. Among its dimensions, adaptability (r = .429), sustainability (r = .398), and applicability (r = .343) all show highly significant relationships. This suggests that teachers who are more adaptable to </w:t>
      </w:r>
      <w:r w:rsidR="00E577F9" w:rsidRPr="00AA2B0C">
        <w:rPr>
          <w:rFonts w:ascii="Times New Roman" w:eastAsia="Times New Roman" w:hAnsi="Times New Roman" w:cs="Times New Roman"/>
          <w:sz w:val="24"/>
          <w:szCs w:val="24"/>
        </w:rPr>
        <w:t>technology</w:t>
      </w:r>
      <w:r w:rsidRPr="00AA2B0C">
        <w:rPr>
          <w:rFonts w:ascii="Times New Roman" w:eastAsia="Times New Roman" w:hAnsi="Times New Roman" w:cs="Times New Roman"/>
          <w:sz w:val="24"/>
          <w:szCs w:val="24"/>
        </w:rPr>
        <w:t xml:space="preserve"> consistently use </w:t>
      </w:r>
      <w:r w:rsidR="003C086C" w:rsidRPr="00AA2B0C">
        <w:rPr>
          <w:rFonts w:ascii="Times New Roman" w:eastAsia="Times New Roman" w:hAnsi="Times New Roman" w:cs="Times New Roman"/>
          <w:sz w:val="24"/>
          <w:szCs w:val="24"/>
        </w:rPr>
        <w:t>it and</w:t>
      </w:r>
      <w:r w:rsidRPr="00AA2B0C">
        <w:rPr>
          <w:rFonts w:ascii="Times New Roman" w:eastAsia="Times New Roman" w:hAnsi="Times New Roman" w:cs="Times New Roman"/>
          <w:sz w:val="24"/>
          <w:szCs w:val="24"/>
        </w:rPr>
        <w:t xml:space="preserve"> find it applicable in instruction are more capable of assessing student performance. </w:t>
      </w:r>
    </w:p>
    <w:p w14:paraId="2173427B" w14:textId="77777777" w:rsidR="00E577F9" w:rsidRDefault="00E577F9" w:rsidP="00AA2B0C">
      <w:pPr>
        <w:jc w:val="both"/>
        <w:rPr>
          <w:rFonts w:ascii="Times New Roman" w:eastAsia="Times New Roman" w:hAnsi="Times New Roman" w:cs="Times New Roman"/>
          <w:sz w:val="24"/>
          <w:szCs w:val="24"/>
        </w:rPr>
      </w:pPr>
    </w:p>
    <w:p w14:paraId="4FCDE7A8" w14:textId="71A7998E" w:rsidR="009A7E5F" w:rsidRDefault="00E577F9"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The</w:t>
      </w:r>
      <w:r w:rsidR="00AA2B0C" w:rsidRPr="00AA2B0C">
        <w:rPr>
          <w:rFonts w:ascii="Times New Roman" w:eastAsia="Times New Roman" w:hAnsi="Times New Roman" w:cs="Times New Roman"/>
          <w:sz w:val="24"/>
          <w:szCs w:val="24"/>
        </w:rPr>
        <w:t xml:space="preserve"> findings emphasize that both instructional leadership and technological competence significantly influence teachers’ educational assessment capability, with technological competence having a stronger moderate effect and instructional leadership having a low but meaningful effect. These results are supported by Howard et al. (2021), König et al. (2020), Capili (2024), and Velasquez and Ocampo (2022), which highlight that adaptability to technology, professional development, and sustained use of digital tools enhance teachers’ effectiveness in instruction and assessment practices.</w:t>
      </w:r>
    </w:p>
    <w:p w14:paraId="61E933D3" w14:textId="77777777" w:rsidR="00E577F9" w:rsidRPr="00E36157" w:rsidRDefault="00E577F9" w:rsidP="00AA2B0C">
      <w:pPr>
        <w:jc w:val="both"/>
        <w:rPr>
          <w:rFonts w:ascii="Times New Roman" w:eastAsia="Times New Roman" w:hAnsi="Times New Roman" w:cs="Times New Roman"/>
          <w:sz w:val="24"/>
          <w:szCs w:val="24"/>
        </w:rPr>
      </w:pPr>
    </w:p>
    <w:p w14:paraId="7974BB87" w14:textId="70A7E717" w:rsidR="00E36157" w:rsidRPr="00D90DFE" w:rsidRDefault="00E36157" w:rsidP="00E36157">
      <w:pPr>
        <w:rPr>
          <w:rFonts w:ascii="Times New Roman" w:hAnsi="Times New Roman" w:cs="Times New Roman"/>
          <w:b/>
          <w:color w:val="000000" w:themeColor="text1"/>
          <w:sz w:val="24"/>
          <w:szCs w:val="24"/>
        </w:rPr>
      </w:pPr>
      <w:r w:rsidRPr="00D90DFE">
        <w:rPr>
          <w:rFonts w:ascii="Times New Roman" w:hAnsi="Times New Roman" w:cs="Times New Roman"/>
          <w:b/>
          <w:color w:val="000000" w:themeColor="text1"/>
          <w:sz w:val="24"/>
          <w:szCs w:val="24"/>
        </w:rPr>
        <w:t xml:space="preserve">TABLE 5: </w:t>
      </w:r>
      <w:bookmarkStart w:id="1" w:name="_Hlk226475455"/>
      <w:r w:rsidRPr="00D90DFE">
        <w:rPr>
          <w:rFonts w:ascii="Times New Roman" w:hAnsi="Times New Roman" w:cs="Times New Roman"/>
          <w:b/>
          <w:color w:val="000000" w:themeColor="text1"/>
          <w:sz w:val="24"/>
          <w:szCs w:val="24"/>
        </w:rPr>
        <w:t>Regression Analysis on Instructional Competence of Teachers</w:t>
      </w:r>
      <w:bookmarkEnd w:id="1"/>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5052"/>
        <w:gridCol w:w="1134"/>
        <w:gridCol w:w="1134"/>
        <w:gridCol w:w="1134"/>
        <w:gridCol w:w="1134"/>
        <w:gridCol w:w="1132"/>
      </w:tblGrid>
      <w:tr w:rsidR="00E36157" w:rsidRPr="00D90DFE" w14:paraId="6A84006D" w14:textId="77777777" w:rsidTr="00E36157">
        <w:trPr>
          <w:cantSplit/>
        </w:trPr>
        <w:tc>
          <w:tcPr>
            <w:tcW w:w="2356" w:type="pct"/>
            <w:vAlign w:val="center"/>
          </w:tcPr>
          <w:p w14:paraId="0E4B1D36"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Variable</w:t>
            </w:r>
          </w:p>
        </w:tc>
        <w:tc>
          <w:tcPr>
            <w:tcW w:w="529" w:type="pct"/>
            <w:vAlign w:val="center"/>
          </w:tcPr>
          <w:p w14:paraId="72AC5B22"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B</w:t>
            </w:r>
          </w:p>
        </w:tc>
        <w:tc>
          <w:tcPr>
            <w:tcW w:w="529" w:type="pct"/>
            <w:vAlign w:val="center"/>
          </w:tcPr>
          <w:p w14:paraId="5931223C"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Std. Error</w:t>
            </w:r>
          </w:p>
        </w:tc>
        <w:tc>
          <w:tcPr>
            <w:tcW w:w="529" w:type="pct"/>
            <w:vAlign w:val="center"/>
          </w:tcPr>
          <w:p w14:paraId="4CFB2D70"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Beta</w:t>
            </w:r>
          </w:p>
        </w:tc>
        <w:tc>
          <w:tcPr>
            <w:tcW w:w="529" w:type="pct"/>
            <w:vAlign w:val="center"/>
          </w:tcPr>
          <w:p w14:paraId="5B0B1321"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t</w:t>
            </w:r>
          </w:p>
        </w:tc>
        <w:tc>
          <w:tcPr>
            <w:tcW w:w="528" w:type="pct"/>
            <w:vAlign w:val="center"/>
          </w:tcPr>
          <w:p w14:paraId="52E9B2FA"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Sig.</w:t>
            </w:r>
          </w:p>
        </w:tc>
      </w:tr>
      <w:tr w:rsidR="009A7E5F" w:rsidRPr="00D90DFE" w14:paraId="4A54E77F" w14:textId="77777777" w:rsidTr="000D6848">
        <w:trPr>
          <w:cantSplit/>
        </w:trPr>
        <w:tc>
          <w:tcPr>
            <w:tcW w:w="2356" w:type="pct"/>
          </w:tcPr>
          <w:p w14:paraId="65114D1B" w14:textId="77777777"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(Constant)</w:t>
            </w:r>
          </w:p>
        </w:tc>
        <w:tc>
          <w:tcPr>
            <w:tcW w:w="529" w:type="pct"/>
            <w:tcBorders>
              <w:top w:val="single" w:sz="8" w:space="0" w:color="auto"/>
            </w:tcBorders>
          </w:tcPr>
          <w:p w14:paraId="63C7FA25" w14:textId="587BA8AB"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3.133</w:t>
            </w:r>
          </w:p>
        </w:tc>
        <w:tc>
          <w:tcPr>
            <w:tcW w:w="529" w:type="pct"/>
            <w:tcBorders>
              <w:top w:val="single" w:sz="8" w:space="0" w:color="auto"/>
            </w:tcBorders>
          </w:tcPr>
          <w:p w14:paraId="09D44884" w14:textId="1B02864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.143</w:t>
            </w:r>
          </w:p>
        </w:tc>
        <w:tc>
          <w:tcPr>
            <w:tcW w:w="529" w:type="pct"/>
            <w:tcBorders>
              <w:top w:val="single" w:sz="8" w:space="0" w:color="auto"/>
            </w:tcBorders>
          </w:tcPr>
          <w:p w14:paraId="2FEEB916" w14:textId="77777777" w:rsidR="009A7E5F" w:rsidRPr="00D90DFE" w:rsidRDefault="009A7E5F" w:rsidP="009A7E5F">
            <w:pPr>
              <w:autoSpaceDE w:val="0"/>
              <w:autoSpaceDN w:val="0"/>
              <w:adjustRightInd w:val="0"/>
              <w:jc w:val="center"/>
              <w:rPr>
                <w:rFonts w:ascii="Times New Roman" w:hAnsi="Times New Roman" w:cs="Times New Roman"/>
                <w:color w:val="000000" w:themeColor="text1"/>
                <w:sz w:val="24"/>
                <w:szCs w:val="24"/>
              </w:rPr>
            </w:pPr>
          </w:p>
        </w:tc>
        <w:tc>
          <w:tcPr>
            <w:tcW w:w="529" w:type="pct"/>
            <w:tcBorders>
              <w:top w:val="single" w:sz="8" w:space="0" w:color="auto"/>
            </w:tcBorders>
          </w:tcPr>
          <w:p w14:paraId="743F3F41" w14:textId="4AE7448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21.885</w:t>
            </w:r>
          </w:p>
        </w:tc>
        <w:tc>
          <w:tcPr>
            <w:tcW w:w="528" w:type="pct"/>
            <w:tcBorders>
              <w:top w:val="single" w:sz="8" w:space="0" w:color="auto"/>
            </w:tcBorders>
          </w:tcPr>
          <w:p w14:paraId="396A9EA5" w14:textId="253D32A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0D0C9194" w14:textId="77777777" w:rsidTr="00E36157">
        <w:trPr>
          <w:cantSplit/>
        </w:trPr>
        <w:tc>
          <w:tcPr>
            <w:tcW w:w="2356" w:type="pct"/>
          </w:tcPr>
          <w:p w14:paraId="3641DEE2" w14:textId="249B9911"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Adaptability</w:t>
            </w:r>
          </w:p>
        </w:tc>
        <w:tc>
          <w:tcPr>
            <w:tcW w:w="529" w:type="pct"/>
          </w:tcPr>
          <w:p w14:paraId="18106596" w14:textId="37CE212B"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.158</w:t>
            </w:r>
          </w:p>
        </w:tc>
        <w:tc>
          <w:tcPr>
            <w:tcW w:w="529" w:type="pct"/>
          </w:tcPr>
          <w:p w14:paraId="4815EB08" w14:textId="79DB2DE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.038</w:t>
            </w:r>
          </w:p>
        </w:tc>
        <w:tc>
          <w:tcPr>
            <w:tcW w:w="529" w:type="pct"/>
          </w:tcPr>
          <w:p w14:paraId="0BE66CF3" w14:textId="687E1651"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.267</w:t>
            </w:r>
          </w:p>
        </w:tc>
        <w:tc>
          <w:tcPr>
            <w:tcW w:w="529" w:type="pct"/>
          </w:tcPr>
          <w:p w14:paraId="21EE4DFE" w14:textId="482B223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4.210</w:t>
            </w:r>
          </w:p>
        </w:tc>
        <w:tc>
          <w:tcPr>
            <w:tcW w:w="528" w:type="pct"/>
          </w:tcPr>
          <w:p w14:paraId="4E32C717" w14:textId="39CCEE2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6C09596C" w14:textId="77777777" w:rsidTr="000D6848">
        <w:trPr>
          <w:cantSplit/>
        </w:trPr>
        <w:tc>
          <w:tcPr>
            <w:tcW w:w="2356" w:type="pct"/>
            <w:tcBorders>
              <w:bottom w:val="single" w:sz="8" w:space="0" w:color="auto"/>
            </w:tcBorders>
          </w:tcPr>
          <w:p w14:paraId="36399489" w14:textId="004BF433"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Sustainability</w:t>
            </w:r>
          </w:p>
        </w:tc>
        <w:tc>
          <w:tcPr>
            <w:tcW w:w="529" w:type="pct"/>
            <w:tcBorders>
              <w:bottom w:val="single" w:sz="8" w:space="0" w:color="auto"/>
            </w:tcBorders>
          </w:tcPr>
          <w:p w14:paraId="5A042755" w14:textId="05D8206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.149</w:t>
            </w:r>
          </w:p>
        </w:tc>
        <w:tc>
          <w:tcPr>
            <w:tcW w:w="529" w:type="pct"/>
            <w:tcBorders>
              <w:bottom w:val="single" w:sz="8" w:space="0" w:color="auto"/>
            </w:tcBorders>
          </w:tcPr>
          <w:p w14:paraId="6C65C05E" w14:textId="4F602D5E"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.038</w:t>
            </w:r>
          </w:p>
        </w:tc>
        <w:tc>
          <w:tcPr>
            <w:tcW w:w="529" w:type="pct"/>
            <w:tcBorders>
              <w:bottom w:val="single" w:sz="8" w:space="0" w:color="auto"/>
            </w:tcBorders>
          </w:tcPr>
          <w:p w14:paraId="1691C3D9" w14:textId="37B9451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.250</w:t>
            </w:r>
          </w:p>
        </w:tc>
        <w:tc>
          <w:tcPr>
            <w:tcW w:w="529" w:type="pct"/>
            <w:tcBorders>
              <w:bottom w:val="single" w:sz="8" w:space="0" w:color="auto"/>
            </w:tcBorders>
          </w:tcPr>
          <w:p w14:paraId="71130C4F" w14:textId="599C6A4E"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3.934</w:t>
            </w:r>
          </w:p>
        </w:tc>
        <w:tc>
          <w:tcPr>
            <w:tcW w:w="528" w:type="pct"/>
            <w:tcBorders>
              <w:bottom w:val="single" w:sz="8" w:space="0" w:color="auto"/>
            </w:tcBorders>
          </w:tcPr>
          <w:p w14:paraId="02CC208C" w14:textId="60A72234"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06F89C44" w14:textId="77777777" w:rsidTr="000D6848">
        <w:trPr>
          <w:cantSplit/>
        </w:trPr>
        <w:tc>
          <w:tcPr>
            <w:tcW w:w="2356" w:type="pct"/>
            <w:tcBorders>
              <w:top w:val="single" w:sz="8" w:space="0" w:color="auto"/>
              <w:bottom w:val="double" w:sz="4" w:space="0" w:color="auto"/>
            </w:tcBorders>
          </w:tcPr>
          <w:p w14:paraId="3DB877C7" w14:textId="7CE405E4"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Developing and Communicating Shared Goals</w:t>
            </w:r>
          </w:p>
        </w:tc>
        <w:tc>
          <w:tcPr>
            <w:tcW w:w="529" w:type="pct"/>
            <w:tcBorders>
              <w:top w:val="single" w:sz="8" w:space="0" w:color="auto"/>
              <w:bottom w:val="double" w:sz="4" w:space="0" w:color="auto"/>
            </w:tcBorders>
          </w:tcPr>
          <w:p w14:paraId="68D7DB4B" w14:textId="06D8060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.006</w:t>
            </w:r>
          </w:p>
        </w:tc>
        <w:tc>
          <w:tcPr>
            <w:tcW w:w="529" w:type="pct"/>
            <w:tcBorders>
              <w:top w:val="single" w:sz="8" w:space="0" w:color="auto"/>
              <w:bottom w:val="double" w:sz="4" w:space="0" w:color="auto"/>
            </w:tcBorders>
          </w:tcPr>
          <w:p w14:paraId="3C04A975" w14:textId="286AF11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.002</w:t>
            </w:r>
          </w:p>
        </w:tc>
        <w:tc>
          <w:tcPr>
            <w:tcW w:w="529" w:type="pct"/>
            <w:tcBorders>
              <w:top w:val="single" w:sz="8" w:space="0" w:color="auto"/>
              <w:bottom w:val="double" w:sz="4" w:space="0" w:color="auto"/>
            </w:tcBorders>
          </w:tcPr>
          <w:p w14:paraId="19E5C5D9" w14:textId="29AEBC1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.162</w:t>
            </w:r>
          </w:p>
        </w:tc>
        <w:tc>
          <w:tcPr>
            <w:tcW w:w="529" w:type="pct"/>
            <w:tcBorders>
              <w:top w:val="single" w:sz="8" w:space="0" w:color="auto"/>
              <w:bottom w:val="double" w:sz="4" w:space="0" w:color="auto"/>
            </w:tcBorders>
          </w:tcPr>
          <w:p w14:paraId="1EE3CF3B" w14:textId="2F72B0EC"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3.195</w:t>
            </w:r>
          </w:p>
        </w:tc>
        <w:tc>
          <w:tcPr>
            <w:tcW w:w="528" w:type="pct"/>
            <w:tcBorders>
              <w:top w:val="single" w:sz="8" w:space="0" w:color="auto"/>
              <w:bottom w:val="double" w:sz="4" w:space="0" w:color="auto"/>
            </w:tcBorders>
          </w:tcPr>
          <w:p w14:paraId="2491C328" w14:textId="5DFA1D2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.002</w:t>
            </w:r>
          </w:p>
        </w:tc>
      </w:tr>
      <w:tr w:rsidR="009A7E5F" w:rsidRPr="00D90DFE" w14:paraId="3D10B0D5" w14:textId="77777777" w:rsidTr="00E36157">
        <w:trPr>
          <w:cantSplit/>
        </w:trPr>
        <w:tc>
          <w:tcPr>
            <w:tcW w:w="5000" w:type="pct"/>
            <w:gridSpan w:val="6"/>
          </w:tcPr>
          <w:p w14:paraId="58E750B9" w14:textId="7494F8B4" w:rsidR="009A7E5F" w:rsidRPr="00D90DFE" w:rsidRDefault="009A7E5F" w:rsidP="009A7E5F">
            <w:pPr>
              <w:autoSpaceDE w:val="0"/>
              <w:autoSpaceDN w:val="0"/>
              <w:adjustRightInd w:val="0"/>
              <w:ind w:right="60"/>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 xml:space="preserve"> R = 0. 489                     R2 = 0.240                      F-value = 32.136                           Probability = 0.000</w:t>
            </w:r>
          </w:p>
        </w:tc>
      </w:tr>
    </w:tbl>
    <w:p w14:paraId="445CBD3C" w14:textId="77777777" w:rsidR="00E36157" w:rsidRPr="00E36157" w:rsidRDefault="00E36157" w:rsidP="00E36157">
      <w:pPr>
        <w:autoSpaceDE w:val="0"/>
        <w:autoSpaceDN w:val="0"/>
        <w:adjustRightInd w:val="0"/>
        <w:rPr>
          <w:rFonts w:ascii="Times New Roman" w:hAnsi="Times New Roman" w:cs="Times New Roman"/>
          <w:color w:val="000000" w:themeColor="text1"/>
          <w:sz w:val="24"/>
          <w:szCs w:val="24"/>
        </w:rPr>
      </w:pPr>
    </w:p>
    <w:p w14:paraId="39754E5C" w14:textId="6D9F5367" w:rsidR="003E5BDD" w:rsidRPr="003E5BDD" w:rsidRDefault="003E5BDD" w:rsidP="001E3B07">
      <w:pPr>
        <w:spacing w:before="240" w:after="240" w:line="247" w:lineRule="auto"/>
        <w:jc w:val="both"/>
        <w:rPr>
          <w:rFonts w:ascii="Times New Roman" w:eastAsia="Times New Roman" w:hAnsi="Times New Roman" w:cs="Times New Roman"/>
          <w:sz w:val="24"/>
          <w:szCs w:val="24"/>
        </w:rPr>
      </w:pPr>
      <w:r w:rsidRPr="003E5BDD">
        <w:rPr>
          <w:rFonts w:ascii="Times New Roman" w:eastAsia="Times New Roman" w:hAnsi="Times New Roman" w:cs="Times New Roman"/>
          <w:sz w:val="24"/>
          <w:szCs w:val="24"/>
        </w:rPr>
        <w:t>Multiple regression analysis was employed to examine the predictors of teachers’ educational assessment capability. The predictor variables included adaptability, sustainability, and developing and communicating shared goals. The results revealed a moderate relationship between the variables (R² = 0.240), with 24% of the variance in educational assessment capability explained by the model. The model was also statistically significant (p &lt; 0.01), indicating that these variables collectively influence teachers’ assessment capability.</w:t>
      </w:r>
    </w:p>
    <w:p w14:paraId="506CFF1C" w14:textId="025F7321" w:rsidR="003E5BDD" w:rsidRPr="003E5BDD" w:rsidRDefault="003E5BDD" w:rsidP="001E3B07">
      <w:pPr>
        <w:spacing w:before="240" w:after="240" w:line="247" w:lineRule="auto"/>
        <w:jc w:val="both"/>
        <w:rPr>
          <w:rFonts w:ascii="Times New Roman" w:eastAsia="Times New Roman" w:hAnsi="Times New Roman" w:cs="Times New Roman"/>
          <w:sz w:val="24"/>
          <w:szCs w:val="24"/>
        </w:rPr>
      </w:pPr>
      <w:r w:rsidRPr="003E5BDD">
        <w:rPr>
          <w:rFonts w:ascii="Times New Roman" w:eastAsia="Times New Roman" w:hAnsi="Times New Roman" w:cs="Times New Roman"/>
          <w:sz w:val="24"/>
          <w:szCs w:val="24"/>
        </w:rPr>
        <w:t xml:space="preserve">Among the predictors, adaptability emerged as the strongest significant predictor (β = 0.267), followed by sustainability (β = 0.250), highlighting the importance of teachers’ flexibility in using technology and their ability to sustain its use over time in improving assessment practices. Developing and communicating shared goals (β = </w:t>
      </w:r>
      <w:r w:rsidRPr="003E5BDD">
        <w:rPr>
          <w:rFonts w:ascii="Times New Roman" w:eastAsia="Times New Roman" w:hAnsi="Times New Roman" w:cs="Times New Roman"/>
          <w:sz w:val="24"/>
          <w:szCs w:val="24"/>
        </w:rPr>
        <w:lastRenderedPageBreak/>
        <w:t>0.162) also significantly predicted educational assessment capability, emphasizing the role of instructional alignment in effective assessment. The resulting regression model, Y = 3.133 + 0.158X₁ + 0.149X₂ + 0.006X₃, further confirms that both technological competence and instructional leadership contribute meaningfully to teachers’ assessment capability.</w:t>
      </w:r>
    </w:p>
    <w:p w14:paraId="5FAC56BA" w14:textId="0C0DEC70" w:rsidR="00D90DFE" w:rsidRPr="003E5BDD" w:rsidRDefault="00D90DFE" w:rsidP="001E3B07">
      <w:pPr>
        <w:spacing w:before="240" w:after="240" w:line="24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E5BDD" w:rsidRPr="003E5BDD">
        <w:rPr>
          <w:rFonts w:ascii="Times New Roman" w:eastAsia="Times New Roman" w:hAnsi="Times New Roman" w:cs="Times New Roman"/>
          <w:sz w:val="24"/>
          <w:szCs w:val="24"/>
        </w:rPr>
        <w:t xml:space="preserve"> findings suggest that improving teachers’ educational assessment capability requires a balanced integration of technological adaptability, sustained technology use, and clear instructional leadership practices. These results are supported by previous studies, which highlight the importance of technological adaptability, continuous professional development, and shared instructional goals in enhancing assessment practices and teaching effectiveness (Howard et al., 2021; König et al., 2020; Velasquez &amp; Ocampo, 2022; Hallinger &amp; Murphy, 2019; </w:t>
      </w:r>
      <w:proofErr w:type="spellStart"/>
      <w:r w:rsidR="003E5BDD" w:rsidRPr="003E5BDD">
        <w:rPr>
          <w:rFonts w:ascii="Times New Roman" w:eastAsia="Times New Roman" w:hAnsi="Times New Roman" w:cs="Times New Roman"/>
          <w:sz w:val="24"/>
          <w:szCs w:val="24"/>
        </w:rPr>
        <w:t>Leithwood</w:t>
      </w:r>
      <w:proofErr w:type="spellEnd"/>
      <w:r w:rsidR="003E5BDD" w:rsidRPr="003E5BDD">
        <w:rPr>
          <w:rFonts w:ascii="Times New Roman" w:eastAsia="Times New Roman" w:hAnsi="Times New Roman" w:cs="Times New Roman"/>
          <w:sz w:val="24"/>
          <w:szCs w:val="24"/>
        </w:rPr>
        <w:t xml:space="preserve"> et al., 2020).</w:t>
      </w:r>
    </w:p>
    <w:p w14:paraId="60138D03" w14:textId="213F1552" w:rsidR="00F96900" w:rsidRPr="00D90DFE" w:rsidRDefault="00F96900" w:rsidP="00F96900">
      <w:pPr>
        <w:pStyle w:val="Heading1"/>
        <w:spacing w:before="80"/>
        <w:jc w:val="both"/>
      </w:pPr>
      <w:r w:rsidRPr="00D90DFE">
        <w:t>CONCLUSION</w:t>
      </w:r>
    </w:p>
    <w:p w14:paraId="0C21B0ED" w14:textId="77777777" w:rsidR="00BB0930" w:rsidRDefault="00BB0930" w:rsidP="00F96900">
      <w:pPr>
        <w:pStyle w:val="Heading1"/>
        <w:spacing w:before="80"/>
        <w:jc w:val="both"/>
        <w:rPr>
          <w:b w:val="0"/>
          <w:bCs w:val="0"/>
        </w:rPr>
      </w:pPr>
    </w:p>
    <w:p w14:paraId="4CE1D3C7" w14:textId="0264EDB1" w:rsidR="00035624" w:rsidRDefault="00D90DFE" w:rsidP="00D90DFE">
      <w:pPr>
        <w:spacing w:line="248" w:lineRule="auto"/>
        <w:jc w:val="both"/>
        <w:rPr>
          <w:rFonts w:ascii="Times New Roman" w:hAnsi="Times New Roman" w:cs="Times New Roman"/>
          <w:sz w:val="24"/>
          <w:szCs w:val="24"/>
        </w:rPr>
      </w:pPr>
      <w:r w:rsidRPr="00D90DFE">
        <w:rPr>
          <w:rFonts w:ascii="Times New Roman" w:hAnsi="Times New Roman" w:cs="Times New Roman"/>
          <w:sz w:val="24"/>
          <w:szCs w:val="24"/>
        </w:rPr>
        <w:t xml:space="preserve">Based on the findings, the study concludes that public-school teachers in </w:t>
      </w:r>
      <w:proofErr w:type="spellStart"/>
      <w:r w:rsidRPr="00D90DFE">
        <w:rPr>
          <w:rFonts w:ascii="Times New Roman" w:hAnsi="Times New Roman" w:cs="Times New Roman"/>
          <w:sz w:val="24"/>
          <w:szCs w:val="24"/>
        </w:rPr>
        <w:t>Kitaotao</w:t>
      </w:r>
      <w:proofErr w:type="spellEnd"/>
      <w:r w:rsidRPr="00D90DFE">
        <w:rPr>
          <w:rFonts w:ascii="Times New Roman" w:hAnsi="Times New Roman" w:cs="Times New Roman"/>
          <w:sz w:val="24"/>
          <w:szCs w:val="24"/>
        </w:rPr>
        <w:t xml:space="preserve"> Districts 2 and 3 demonstrate a high level of instructional leadership, particularly in developing and communicating shared goals and in monitoring and providing feedback, both of which are manifested at a very high level, while promoting professional development is observed at a high level. Teachers also exhibit a high level of technological competence across applicability, adaptability, and sustainability, indicating their ability to effectively use and integrate technology in teaching, although sustainability may still require further strengthening. In terms of educational assessment capability, teachers demonstrate a very high level of competence in both formative and summative assessment, reflecting their strong ability to monitor student learning, provide feedback, and evaluate performance effectively.</w:t>
      </w:r>
      <w:r>
        <w:rPr>
          <w:rFonts w:ascii="Times New Roman" w:hAnsi="Times New Roman" w:cs="Times New Roman"/>
          <w:sz w:val="24"/>
          <w:szCs w:val="24"/>
        </w:rPr>
        <w:t xml:space="preserve"> </w:t>
      </w:r>
      <w:r w:rsidRPr="00D90DFE">
        <w:rPr>
          <w:rFonts w:ascii="Times New Roman" w:hAnsi="Times New Roman" w:cs="Times New Roman"/>
          <w:sz w:val="24"/>
          <w:szCs w:val="24"/>
        </w:rPr>
        <w:t xml:space="preserve">Furthermore, the study establishes a significant positive relationship between educational assessment capability and both instructional leadership and technological competence, indicating that improvements in these areas enhance teachers’ assessment practices. The regression analysis also confirms that these variables significantly predict educational assessment capability, both individually and collectively. </w:t>
      </w:r>
      <w:r>
        <w:rPr>
          <w:rFonts w:ascii="Times New Roman" w:hAnsi="Times New Roman" w:cs="Times New Roman"/>
          <w:sz w:val="24"/>
          <w:szCs w:val="24"/>
        </w:rPr>
        <w:t>The</w:t>
      </w:r>
      <w:r w:rsidRPr="00D90DFE">
        <w:rPr>
          <w:rFonts w:ascii="Times New Roman" w:hAnsi="Times New Roman" w:cs="Times New Roman"/>
          <w:sz w:val="24"/>
          <w:szCs w:val="24"/>
        </w:rPr>
        <w:t xml:space="preserve"> findings highlight that strengthening instructional leadership and technological competence plays a crucial role in improving teachers’ ability to design, implement, and interpret assessments, ultimately contributing to more effective teaching practices and improved student learning outcomes.</w:t>
      </w:r>
    </w:p>
    <w:p w14:paraId="757FF05A" w14:textId="77777777" w:rsidR="00D90DFE" w:rsidRPr="00D90DFE" w:rsidRDefault="00D90DFE" w:rsidP="00D90DFE">
      <w:pPr>
        <w:spacing w:line="248" w:lineRule="auto"/>
        <w:jc w:val="both"/>
        <w:rPr>
          <w:rFonts w:ascii="Times New Roman" w:hAnsi="Times New Roman" w:cs="Times New Roman"/>
          <w:sz w:val="24"/>
          <w:szCs w:val="24"/>
        </w:rPr>
      </w:pPr>
    </w:p>
    <w:p w14:paraId="788DB613" w14:textId="77777777" w:rsidR="00C010DD" w:rsidRDefault="00C010DD" w:rsidP="00C010DD">
      <w:pPr>
        <w:pStyle w:val="Heading1"/>
        <w:jc w:val="both"/>
      </w:pPr>
      <w:r>
        <w:t>ACKNOWLEDGEMENT</w:t>
      </w:r>
    </w:p>
    <w:p w14:paraId="5B8826D0" w14:textId="77777777" w:rsidR="00AA2B0C" w:rsidRDefault="00AA2B0C" w:rsidP="00F96900">
      <w:pPr>
        <w:spacing w:line="248" w:lineRule="auto"/>
        <w:jc w:val="both"/>
        <w:rPr>
          <w:rFonts w:ascii="Times New Roman" w:eastAsia="Times New Roman" w:hAnsi="Times New Roman"/>
          <w:spacing w:val="-2"/>
          <w:sz w:val="24"/>
          <w:szCs w:val="24"/>
        </w:rPr>
      </w:pPr>
    </w:p>
    <w:p w14:paraId="60F1D308" w14:textId="20CC5FE9" w:rsidR="00C010DD" w:rsidRDefault="00AA2B0C" w:rsidP="00F96900">
      <w:pPr>
        <w:spacing w:line="248" w:lineRule="auto"/>
        <w:jc w:val="both"/>
        <w:rPr>
          <w:rFonts w:ascii="Times New Roman" w:eastAsia="Times New Roman" w:hAnsi="Times New Roman"/>
          <w:spacing w:val="-2"/>
          <w:sz w:val="24"/>
          <w:szCs w:val="24"/>
        </w:rPr>
      </w:pPr>
      <w:r w:rsidRPr="00AA2B0C">
        <w:rPr>
          <w:rFonts w:ascii="Times New Roman" w:eastAsia="Times New Roman" w:hAnsi="Times New Roman"/>
          <w:spacing w:val="-2"/>
          <w:sz w:val="24"/>
          <w:szCs w:val="24"/>
        </w:rPr>
        <w:t xml:space="preserve">The author expresses her sincere appreciation to the College of Education and Central Mindanao University for their scholarly advice and assistance, particularly to Dr. Raul C. </w:t>
      </w:r>
      <w:proofErr w:type="spellStart"/>
      <w:r w:rsidRPr="00AA2B0C">
        <w:rPr>
          <w:rFonts w:ascii="Times New Roman" w:eastAsia="Times New Roman" w:hAnsi="Times New Roman"/>
          <w:spacing w:val="-2"/>
          <w:sz w:val="24"/>
          <w:szCs w:val="24"/>
        </w:rPr>
        <w:t>Orongan</w:t>
      </w:r>
      <w:proofErr w:type="spellEnd"/>
      <w:r w:rsidRPr="00AA2B0C">
        <w:rPr>
          <w:rFonts w:ascii="Times New Roman" w:eastAsia="Times New Roman" w:hAnsi="Times New Roman"/>
          <w:spacing w:val="-2"/>
          <w:sz w:val="24"/>
          <w:szCs w:val="24"/>
        </w:rPr>
        <w:t xml:space="preserve">, PhD, Dr. James L. Paglinawan, PhD, and Dr. Aprell L. Abellana, PhD for their knowledgeable guidance, encouragement throughout the research process, and unwavering support in the completion of this study. The Schools Division of Bukidnon, together with the principals, teachers, staff, and public schools district supervisors in </w:t>
      </w:r>
      <w:proofErr w:type="spellStart"/>
      <w:r w:rsidRPr="00AA2B0C">
        <w:rPr>
          <w:rFonts w:ascii="Times New Roman" w:eastAsia="Times New Roman" w:hAnsi="Times New Roman"/>
          <w:spacing w:val="-2"/>
          <w:sz w:val="24"/>
          <w:szCs w:val="24"/>
        </w:rPr>
        <w:t>Kitaotao</w:t>
      </w:r>
      <w:proofErr w:type="spellEnd"/>
      <w:r w:rsidRPr="00AA2B0C">
        <w:rPr>
          <w:rFonts w:ascii="Times New Roman" w:eastAsia="Times New Roman" w:hAnsi="Times New Roman"/>
          <w:spacing w:val="-2"/>
          <w:sz w:val="24"/>
          <w:szCs w:val="24"/>
        </w:rPr>
        <w:t xml:space="preserve"> Districts II and III, are also sincerely acknowledged for their cooperation and participation during the conduct of the research. The author likewise extends her heartfelt gratitude to her husband, </w:t>
      </w:r>
      <w:proofErr w:type="spellStart"/>
      <w:r w:rsidRPr="00AA2B0C">
        <w:rPr>
          <w:rFonts w:ascii="Times New Roman" w:eastAsia="Times New Roman" w:hAnsi="Times New Roman"/>
          <w:spacing w:val="-2"/>
          <w:sz w:val="24"/>
          <w:szCs w:val="24"/>
        </w:rPr>
        <w:t>Crian</w:t>
      </w:r>
      <w:proofErr w:type="spellEnd"/>
      <w:r w:rsidRPr="00AA2B0C">
        <w:rPr>
          <w:rFonts w:ascii="Times New Roman" w:eastAsia="Times New Roman" w:hAnsi="Times New Roman"/>
          <w:spacing w:val="-2"/>
          <w:sz w:val="24"/>
          <w:szCs w:val="24"/>
        </w:rPr>
        <w:t xml:space="preserve"> A. </w:t>
      </w:r>
      <w:proofErr w:type="spellStart"/>
      <w:r w:rsidRPr="00AA2B0C">
        <w:rPr>
          <w:rFonts w:ascii="Times New Roman" w:eastAsia="Times New Roman" w:hAnsi="Times New Roman"/>
          <w:spacing w:val="-2"/>
          <w:sz w:val="24"/>
          <w:szCs w:val="24"/>
        </w:rPr>
        <w:t>Acusar</w:t>
      </w:r>
      <w:proofErr w:type="spellEnd"/>
      <w:r w:rsidRPr="00AA2B0C">
        <w:rPr>
          <w:rFonts w:ascii="Times New Roman" w:eastAsia="Times New Roman" w:hAnsi="Times New Roman"/>
          <w:spacing w:val="-2"/>
          <w:sz w:val="24"/>
          <w:szCs w:val="24"/>
        </w:rPr>
        <w:t xml:space="preserve">, and her daughter, </w:t>
      </w:r>
      <w:proofErr w:type="spellStart"/>
      <w:r w:rsidRPr="00AA2B0C">
        <w:rPr>
          <w:rFonts w:ascii="Times New Roman" w:eastAsia="Times New Roman" w:hAnsi="Times New Roman"/>
          <w:spacing w:val="-2"/>
          <w:sz w:val="24"/>
          <w:szCs w:val="24"/>
        </w:rPr>
        <w:t>Crizylle</w:t>
      </w:r>
      <w:proofErr w:type="spellEnd"/>
      <w:r w:rsidRPr="00AA2B0C">
        <w:rPr>
          <w:rFonts w:ascii="Times New Roman" w:eastAsia="Times New Roman" w:hAnsi="Times New Roman"/>
          <w:spacing w:val="-2"/>
          <w:sz w:val="24"/>
          <w:szCs w:val="24"/>
        </w:rPr>
        <w:t xml:space="preserve"> </w:t>
      </w:r>
      <w:proofErr w:type="spellStart"/>
      <w:r w:rsidRPr="00AA2B0C">
        <w:rPr>
          <w:rFonts w:ascii="Times New Roman" w:eastAsia="Times New Roman" w:hAnsi="Times New Roman"/>
          <w:spacing w:val="-2"/>
          <w:sz w:val="24"/>
          <w:szCs w:val="24"/>
        </w:rPr>
        <w:t>Jhairah</w:t>
      </w:r>
      <w:proofErr w:type="spellEnd"/>
      <w:r w:rsidRPr="00AA2B0C">
        <w:rPr>
          <w:rFonts w:ascii="Times New Roman" w:eastAsia="Times New Roman" w:hAnsi="Times New Roman"/>
          <w:spacing w:val="-2"/>
          <w:sz w:val="24"/>
          <w:szCs w:val="24"/>
        </w:rPr>
        <w:t xml:space="preserve"> L. </w:t>
      </w:r>
      <w:proofErr w:type="spellStart"/>
      <w:r w:rsidRPr="00AA2B0C">
        <w:rPr>
          <w:rFonts w:ascii="Times New Roman" w:eastAsia="Times New Roman" w:hAnsi="Times New Roman"/>
          <w:spacing w:val="-2"/>
          <w:sz w:val="24"/>
          <w:szCs w:val="24"/>
        </w:rPr>
        <w:t>Acusar</w:t>
      </w:r>
      <w:proofErr w:type="spellEnd"/>
      <w:r w:rsidRPr="00AA2B0C">
        <w:rPr>
          <w:rFonts w:ascii="Times New Roman" w:eastAsia="Times New Roman" w:hAnsi="Times New Roman"/>
          <w:spacing w:val="-2"/>
          <w:sz w:val="24"/>
          <w:szCs w:val="24"/>
        </w:rPr>
        <w:t>, for their constant love, understanding, and support. Above all, she expresses her deepest thanks to Almighty God for His guidance, strength, and countless blessings throughout this endeavor.</w:t>
      </w:r>
    </w:p>
    <w:p w14:paraId="4232E0E7" w14:textId="77777777" w:rsidR="00AA2B0C" w:rsidRDefault="00AA2B0C" w:rsidP="00F96900">
      <w:pPr>
        <w:spacing w:line="248" w:lineRule="auto"/>
        <w:jc w:val="both"/>
        <w:rPr>
          <w:rFonts w:ascii="Times New Roman" w:eastAsia="Times New Roman" w:hAnsi="Times New Roman"/>
          <w:spacing w:val="-2"/>
          <w:sz w:val="24"/>
          <w:szCs w:val="24"/>
        </w:rPr>
      </w:pPr>
    </w:p>
    <w:p w14:paraId="20751324" w14:textId="0E04BCF9" w:rsidR="00815065" w:rsidRPr="001E3B07" w:rsidRDefault="00815065" w:rsidP="001E3B07">
      <w:pPr>
        <w:pStyle w:val="Heading1"/>
        <w:spacing w:before="240" w:after="240"/>
        <w:jc w:val="both"/>
        <w:rPr>
          <w:b w:val="0"/>
          <w:bCs w:val="0"/>
        </w:rPr>
      </w:pPr>
      <w:r>
        <w:t>REFERENCES</w:t>
      </w:r>
    </w:p>
    <w:p w14:paraId="59A7C15D"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Cabardo, J. R. (2018). Instructional leadership practices of school heads and their impact on teaching performance. </w:t>
      </w:r>
      <w:r w:rsidRPr="006B4821">
        <w:rPr>
          <w:rFonts w:ascii="Times New Roman" w:eastAsia="Times New Roman" w:hAnsi="Times New Roman" w:cs="Times New Roman"/>
          <w:i/>
          <w:iCs/>
          <w:sz w:val="24"/>
          <w:szCs w:val="24"/>
        </w:rPr>
        <w:t>Asia Pacific Journal of Multidisciplinary Research, 6</w:t>
      </w:r>
      <w:r w:rsidRPr="006B4821">
        <w:rPr>
          <w:rFonts w:ascii="Times New Roman" w:eastAsia="Times New Roman" w:hAnsi="Times New Roman" w:cs="Times New Roman"/>
          <w:sz w:val="24"/>
          <w:szCs w:val="24"/>
        </w:rPr>
        <w:t>(4), 1–8.</w:t>
      </w:r>
    </w:p>
    <w:p w14:paraId="13B1FF47"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sz w:val="24"/>
          <w:szCs w:val="24"/>
        </w:rPr>
      </w:pPr>
      <w:r w:rsidRPr="006B4821">
        <w:rPr>
          <w:rFonts w:ascii="Times New Roman" w:hAnsi="Times New Roman" w:cs="Times New Roman"/>
          <w:sz w:val="24"/>
          <w:szCs w:val="24"/>
        </w:rPr>
        <w:t>Capili, S. R. (2024). Professional learning opportunities and technological competence on teaching effectiveness (Unpublished master’s thesis). Central Mindanao University, Bukidnon, Philippines.</w:t>
      </w:r>
    </w:p>
    <w:p w14:paraId="2E9B0F40" w14:textId="77777777" w:rsidR="006B4821" w:rsidRPr="006B4821" w:rsidRDefault="006B4821" w:rsidP="001E3B07">
      <w:pPr>
        <w:pStyle w:val="ListParagraph"/>
        <w:widowControl/>
        <w:numPr>
          <w:ilvl w:val="0"/>
          <w:numId w:val="6"/>
        </w:numPr>
        <w:spacing w:before="240" w:after="240"/>
        <w:contextualSpacing/>
        <w:jc w:val="both"/>
        <w:rPr>
          <w:rFonts w:ascii="Times New Roman" w:eastAsia="Aptos" w:hAnsi="Times New Roman" w:cs="Times New Roman"/>
          <w:sz w:val="24"/>
          <w:szCs w:val="24"/>
        </w:rPr>
      </w:pPr>
      <w:r w:rsidRPr="006B4821">
        <w:rPr>
          <w:rFonts w:ascii="Times New Roman" w:eastAsia="Aptos" w:hAnsi="Times New Roman" w:cs="Times New Roman"/>
          <w:sz w:val="24"/>
          <w:szCs w:val="24"/>
        </w:rPr>
        <w:t xml:space="preserve">Cayetano, A. L. (2024). The impact of instructional leadership on student assessment outcomes. </w:t>
      </w:r>
      <w:r w:rsidRPr="006B4821">
        <w:rPr>
          <w:rFonts w:ascii="Times New Roman" w:eastAsia="Aptos" w:hAnsi="Times New Roman" w:cs="Times New Roman"/>
          <w:i/>
          <w:iCs/>
          <w:sz w:val="24"/>
          <w:szCs w:val="24"/>
        </w:rPr>
        <w:t>[Unpublished doctoral dissertation]</w:t>
      </w:r>
      <w:r w:rsidRPr="006B4821">
        <w:rPr>
          <w:rFonts w:ascii="Times New Roman" w:eastAsia="Aptos" w:hAnsi="Times New Roman" w:cs="Times New Roman"/>
          <w:sz w:val="24"/>
          <w:szCs w:val="24"/>
        </w:rPr>
        <w:t>. University of the Philippines.</w:t>
      </w:r>
    </w:p>
    <w:p w14:paraId="0DA4D688"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lastRenderedPageBreak/>
        <w:t xml:space="preserve">Hallinger, P. (2018). Bringing context out of the shadows of leadership. </w:t>
      </w:r>
      <w:r w:rsidRPr="006B4821">
        <w:rPr>
          <w:rFonts w:ascii="Times New Roman" w:eastAsia="Times New Roman" w:hAnsi="Times New Roman" w:cs="Times New Roman"/>
          <w:i/>
          <w:iCs/>
          <w:sz w:val="24"/>
          <w:szCs w:val="24"/>
        </w:rPr>
        <w:t>Educational Management Administration &amp; Leadership, 46</w:t>
      </w:r>
      <w:r w:rsidRPr="006B4821">
        <w:rPr>
          <w:rFonts w:ascii="Times New Roman" w:eastAsia="Times New Roman" w:hAnsi="Times New Roman" w:cs="Times New Roman"/>
          <w:sz w:val="24"/>
          <w:szCs w:val="24"/>
        </w:rPr>
        <w:t>(1), 5–24.</w:t>
      </w:r>
    </w:p>
    <w:p w14:paraId="07C6CF70"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Howard, S. K., </w:t>
      </w:r>
      <w:proofErr w:type="spellStart"/>
      <w:r w:rsidRPr="006B4821">
        <w:rPr>
          <w:rFonts w:ascii="Times New Roman" w:eastAsia="Times New Roman" w:hAnsi="Times New Roman" w:cs="Times New Roman"/>
          <w:sz w:val="24"/>
          <w:szCs w:val="24"/>
        </w:rPr>
        <w:t>Tondeur</w:t>
      </w:r>
      <w:proofErr w:type="spellEnd"/>
      <w:r w:rsidRPr="006B4821">
        <w:rPr>
          <w:rFonts w:ascii="Times New Roman" w:eastAsia="Times New Roman" w:hAnsi="Times New Roman" w:cs="Times New Roman"/>
          <w:sz w:val="24"/>
          <w:szCs w:val="24"/>
        </w:rPr>
        <w:t xml:space="preserve">, J., Ma, J., &amp; Yang, J. (2021). What to teach? Strategies for developing digital competence in </w:t>
      </w:r>
      <w:proofErr w:type="gramStart"/>
      <w:r w:rsidRPr="006B4821">
        <w:rPr>
          <w:rFonts w:ascii="Times New Roman" w:eastAsia="Times New Roman" w:hAnsi="Times New Roman" w:cs="Times New Roman"/>
          <w:sz w:val="24"/>
          <w:szCs w:val="24"/>
        </w:rPr>
        <w:t>preservice</w:t>
      </w:r>
      <w:proofErr w:type="gramEnd"/>
      <w:r w:rsidRPr="006B4821">
        <w:rPr>
          <w:rFonts w:ascii="Times New Roman" w:eastAsia="Times New Roman" w:hAnsi="Times New Roman" w:cs="Times New Roman"/>
          <w:sz w:val="24"/>
          <w:szCs w:val="24"/>
        </w:rPr>
        <w:t xml:space="preserve"> teacher education. </w:t>
      </w:r>
      <w:r w:rsidRPr="006B4821">
        <w:rPr>
          <w:rFonts w:ascii="Times New Roman" w:eastAsia="Times New Roman" w:hAnsi="Times New Roman" w:cs="Times New Roman"/>
          <w:i/>
          <w:iCs/>
          <w:sz w:val="24"/>
          <w:szCs w:val="24"/>
        </w:rPr>
        <w:t>Computers &amp; Education, 165</w:t>
      </w:r>
      <w:r w:rsidRPr="006B4821">
        <w:rPr>
          <w:rFonts w:ascii="Times New Roman" w:eastAsia="Times New Roman" w:hAnsi="Times New Roman" w:cs="Times New Roman"/>
          <w:sz w:val="24"/>
          <w:szCs w:val="24"/>
        </w:rPr>
        <w:t xml:space="preserve">, 104149. </w:t>
      </w:r>
    </w:p>
    <w:p w14:paraId="7110BFB8"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König, J., Jäger-Biela, D. J., &amp; </w:t>
      </w:r>
      <w:proofErr w:type="spellStart"/>
      <w:r w:rsidRPr="006B4821">
        <w:rPr>
          <w:rFonts w:ascii="Times New Roman" w:eastAsia="Times New Roman" w:hAnsi="Times New Roman" w:cs="Times New Roman"/>
          <w:sz w:val="24"/>
          <w:szCs w:val="24"/>
        </w:rPr>
        <w:t>Glutsch</w:t>
      </w:r>
      <w:proofErr w:type="spellEnd"/>
      <w:r w:rsidRPr="006B4821">
        <w:rPr>
          <w:rFonts w:ascii="Times New Roman" w:eastAsia="Times New Roman" w:hAnsi="Times New Roman" w:cs="Times New Roman"/>
          <w:sz w:val="24"/>
          <w:szCs w:val="24"/>
        </w:rPr>
        <w:t xml:space="preserve">, N. (2020). Adapting to online teaching during COVID-19 school closures: Teacher education and teacher competence effects among early career teachers in Germany. </w:t>
      </w:r>
      <w:r w:rsidRPr="006B4821">
        <w:rPr>
          <w:rFonts w:ascii="Times New Roman" w:eastAsia="Times New Roman" w:hAnsi="Times New Roman" w:cs="Times New Roman"/>
          <w:i/>
          <w:iCs/>
          <w:sz w:val="24"/>
          <w:szCs w:val="24"/>
        </w:rPr>
        <w:t>European Journal of Teacher Education, 43</w:t>
      </w:r>
      <w:r w:rsidRPr="006B4821">
        <w:rPr>
          <w:rFonts w:ascii="Times New Roman" w:eastAsia="Times New Roman" w:hAnsi="Times New Roman" w:cs="Times New Roman"/>
          <w:sz w:val="24"/>
          <w:szCs w:val="24"/>
        </w:rPr>
        <w:t xml:space="preserve">(4), 608–622. </w:t>
      </w:r>
      <w:hyperlink r:id="rId7" w:history="1">
        <w:r w:rsidRPr="006B4821">
          <w:rPr>
            <w:rStyle w:val="Hyperlink"/>
            <w:rFonts w:ascii="Times New Roman" w:eastAsia="Times New Roman" w:hAnsi="Times New Roman" w:cs="Times New Roman"/>
            <w:sz w:val="24"/>
            <w:szCs w:val="24"/>
          </w:rPr>
          <w:t>https://doi.org/10.1080/02619768.2020.1809650</w:t>
        </w:r>
      </w:hyperlink>
    </w:p>
    <w:p w14:paraId="2A97F35A"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proofErr w:type="spellStart"/>
      <w:r w:rsidRPr="006B4821">
        <w:rPr>
          <w:rFonts w:ascii="Times New Roman" w:eastAsia="Times New Roman" w:hAnsi="Times New Roman" w:cs="Times New Roman"/>
          <w:sz w:val="24"/>
          <w:szCs w:val="24"/>
        </w:rPr>
        <w:t>Leithwood</w:t>
      </w:r>
      <w:proofErr w:type="spellEnd"/>
      <w:r w:rsidRPr="006B4821">
        <w:rPr>
          <w:rFonts w:ascii="Times New Roman" w:eastAsia="Times New Roman" w:hAnsi="Times New Roman" w:cs="Times New Roman"/>
          <w:sz w:val="24"/>
          <w:szCs w:val="24"/>
        </w:rPr>
        <w:t xml:space="preserve">, K., Harris, A., &amp; Hopkins, D. (2020). Seven strong claims about successful school leadership </w:t>
      </w:r>
      <w:proofErr w:type="gramStart"/>
      <w:r w:rsidRPr="006B4821">
        <w:rPr>
          <w:rFonts w:ascii="Times New Roman" w:eastAsia="Times New Roman" w:hAnsi="Times New Roman" w:cs="Times New Roman"/>
          <w:sz w:val="24"/>
          <w:szCs w:val="24"/>
        </w:rPr>
        <w:t>revisited</w:t>
      </w:r>
      <w:proofErr w:type="gramEnd"/>
      <w:r w:rsidRPr="006B4821">
        <w:rPr>
          <w:rFonts w:ascii="Times New Roman" w:eastAsia="Times New Roman" w:hAnsi="Times New Roman" w:cs="Times New Roman"/>
          <w:sz w:val="24"/>
          <w:szCs w:val="24"/>
        </w:rPr>
        <w:t xml:space="preserve">. </w:t>
      </w:r>
      <w:r w:rsidRPr="006B4821">
        <w:rPr>
          <w:rFonts w:ascii="Times New Roman" w:eastAsia="Times New Roman" w:hAnsi="Times New Roman" w:cs="Times New Roman"/>
          <w:i/>
          <w:iCs/>
          <w:sz w:val="24"/>
          <w:szCs w:val="24"/>
        </w:rPr>
        <w:t>School Leadership &amp; Management, 40</w:t>
      </w:r>
      <w:r w:rsidRPr="006B4821">
        <w:rPr>
          <w:rFonts w:ascii="Times New Roman" w:eastAsia="Times New Roman" w:hAnsi="Times New Roman" w:cs="Times New Roman"/>
          <w:sz w:val="24"/>
          <w:szCs w:val="24"/>
        </w:rPr>
        <w:t xml:space="preserve">(1), 5–22. </w:t>
      </w:r>
    </w:p>
    <w:p w14:paraId="225F80C4"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r w:rsidRPr="006B4821">
        <w:rPr>
          <w:rFonts w:ascii="Times New Roman" w:eastAsia="Times New Roman" w:hAnsi="Times New Roman" w:cs="Times New Roman"/>
          <w:sz w:val="24"/>
          <w:szCs w:val="24"/>
        </w:rPr>
        <w:t xml:space="preserve">Miranda, J., et al. (2020). </w:t>
      </w:r>
      <w:r w:rsidRPr="006B4821">
        <w:rPr>
          <w:rFonts w:ascii="Times New Roman" w:eastAsia="Times New Roman" w:hAnsi="Times New Roman" w:cs="Times New Roman"/>
          <w:i/>
          <w:iCs/>
          <w:sz w:val="24"/>
          <w:szCs w:val="24"/>
        </w:rPr>
        <w:t>Technology integration and student engagement in classrooms</w:t>
      </w:r>
      <w:r w:rsidRPr="006B4821">
        <w:rPr>
          <w:rFonts w:ascii="Times New Roman" w:eastAsia="Times New Roman" w:hAnsi="Times New Roman" w:cs="Times New Roman"/>
          <w:sz w:val="24"/>
          <w:szCs w:val="24"/>
        </w:rPr>
        <w:t xml:space="preserve">. </w:t>
      </w:r>
      <w:r w:rsidRPr="006B4821">
        <w:rPr>
          <w:rFonts w:ascii="Times New Roman" w:eastAsia="Times New Roman" w:hAnsi="Times New Roman" w:cs="Times New Roman"/>
          <w:i/>
          <w:iCs/>
          <w:sz w:val="24"/>
          <w:szCs w:val="24"/>
        </w:rPr>
        <w:t>Journal of Educational Technology Systems</w:t>
      </w:r>
      <w:r w:rsidRPr="006B4821">
        <w:rPr>
          <w:rFonts w:ascii="Times New Roman" w:eastAsia="Times New Roman" w:hAnsi="Times New Roman" w:cs="Times New Roman"/>
          <w:sz w:val="24"/>
          <w:szCs w:val="24"/>
        </w:rPr>
        <w:t xml:space="preserve">. </w:t>
      </w:r>
      <w:hyperlink r:id="rId8" w:history="1">
        <w:r w:rsidRPr="006B4821">
          <w:rPr>
            <w:rStyle w:val="Hyperlink"/>
            <w:rFonts w:ascii="Times New Roman" w:eastAsia="Times New Roman" w:hAnsi="Times New Roman" w:cs="Times New Roman"/>
            <w:sz w:val="24"/>
            <w:szCs w:val="24"/>
          </w:rPr>
          <w:t>https://doi.org/10.1177/0047239520902067</w:t>
        </w:r>
      </w:hyperlink>
    </w:p>
    <w:p w14:paraId="44DB941A"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proofErr w:type="spellStart"/>
      <w:r w:rsidRPr="006B4821">
        <w:rPr>
          <w:rFonts w:ascii="Times New Roman" w:hAnsi="Times New Roman" w:cs="Times New Roman"/>
          <w:sz w:val="24"/>
          <w:szCs w:val="24"/>
        </w:rPr>
        <w:t>Nellitawati</w:t>
      </w:r>
      <w:proofErr w:type="spellEnd"/>
      <w:r w:rsidRPr="006B4821">
        <w:rPr>
          <w:rFonts w:ascii="Times New Roman" w:hAnsi="Times New Roman" w:cs="Times New Roman"/>
          <w:sz w:val="24"/>
          <w:szCs w:val="24"/>
        </w:rPr>
        <w:t xml:space="preserve">, N., et al. (2024). Instructional leadership in the digital era. </w:t>
      </w:r>
      <w:r w:rsidRPr="006B4821">
        <w:rPr>
          <w:rFonts w:ascii="Times New Roman" w:hAnsi="Times New Roman" w:cs="Times New Roman"/>
          <w:i/>
          <w:iCs/>
          <w:sz w:val="24"/>
          <w:szCs w:val="24"/>
        </w:rPr>
        <w:t>International Journal of Instruction</w:t>
      </w:r>
      <w:r w:rsidRPr="006B4821">
        <w:rPr>
          <w:rFonts w:ascii="Times New Roman" w:hAnsi="Times New Roman" w:cs="Times New Roman"/>
          <w:sz w:val="24"/>
          <w:szCs w:val="24"/>
        </w:rPr>
        <w:t xml:space="preserve">. </w:t>
      </w:r>
      <w:r w:rsidRPr="006B4821">
        <w:rPr>
          <w:rFonts w:ascii="Times New Roman" w:hAnsi="Times New Roman" w:cs="Times New Roman"/>
          <w:i/>
          <w:iCs/>
          <w:sz w:val="24"/>
          <w:szCs w:val="24"/>
        </w:rPr>
        <w:t>(Volume, issue, pages not available)</w:t>
      </w:r>
      <w:r w:rsidRPr="006B4821">
        <w:rPr>
          <w:rFonts w:ascii="Times New Roman" w:hAnsi="Times New Roman" w:cs="Times New Roman"/>
          <w:sz w:val="24"/>
          <w:szCs w:val="24"/>
        </w:rPr>
        <w:t>.</w:t>
      </w:r>
    </w:p>
    <w:p w14:paraId="36CD8C6D"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proofErr w:type="spellStart"/>
      <w:r w:rsidRPr="006B4821">
        <w:rPr>
          <w:rFonts w:ascii="Times New Roman" w:eastAsia="Times New Roman" w:hAnsi="Times New Roman" w:cs="Times New Roman"/>
          <w:sz w:val="24"/>
          <w:szCs w:val="24"/>
        </w:rPr>
        <w:t>Organisation</w:t>
      </w:r>
      <w:proofErr w:type="spellEnd"/>
      <w:r w:rsidRPr="006B4821">
        <w:rPr>
          <w:rFonts w:ascii="Times New Roman" w:eastAsia="Times New Roman" w:hAnsi="Times New Roman" w:cs="Times New Roman"/>
          <w:sz w:val="24"/>
          <w:szCs w:val="24"/>
        </w:rPr>
        <w:t xml:space="preserve"> for Economic Co-operation and Development (OECD). (2023). PISA 2022 results: Learning during and from disruption (Volume I). OECD Publishing. </w:t>
      </w:r>
    </w:p>
    <w:p w14:paraId="0691096B"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Reyes, C. D. (2022). Emerging assessment practices cooperating teachers shared with preservice English teachers in the Philippines. </w:t>
      </w:r>
      <w:r w:rsidRPr="006B4821">
        <w:rPr>
          <w:rFonts w:ascii="Times New Roman" w:eastAsia="Times New Roman" w:hAnsi="Times New Roman" w:cs="Times New Roman"/>
          <w:i/>
          <w:iCs/>
          <w:sz w:val="24"/>
          <w:szCs w:val="24"/>
        </w:rPr>
        <w:t>International Journal of Learning, Teaching and Educational Research, 21</w:t>
      </w:r>
      <w:r w:rsidRPr="006B4821">
        <w:rPr>
          <w:rFonts w:ascii="Times New Roman" w:eastAsia="Times New Roman" w:hAnsi="Times New Roman" w:cs="Times New Roman"/>
          <w:sz w:val="24"/>
          <w:szCs w:val="24"/>
        </w:rPr>
        <w:t>(3), 1511.</w:t>
      </w:r>
    </w:p>
    <w:p w14:paraId="0522FCDB"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Reyes, R. C. (2020). Teacher instructional leadership and collaborative culture in Philippine public schools. </w:t>
      </w:r>
      <w:r w:rsidRPr="006B4821">
        <w:rPr>
          <w:rFonts w:ascii="Times New Roman" w:eastAsia="Times New Roman" w:hAnsi="Times New Roman" w:cs="Times New Roman"/>
          <w:i/>
          <w:iCs/>
          <w:sz w:val="24"/>
          <w:szCs w:val="24"/>
        </w:rPr>
        <w:t>Asia Pacific Journal of Education, 40</w:t>
      </w:r>
      <w:r w:rsidRPr="006B4821">
        <w:rPr>
          <w:rFonts w:ascii="Times New Roman" w:eastAsia="Times New Roman" w:hAnsi="Times New Roman" w:cs="Times New Roman"/>
          <w:sz w:val="24"/>
          <w:szCs w:val="24"/>
        </w:rPr>
        <w:t xml:space="preserve">(3), 367–380. Reyes, R. C. (2021). Supervision practices and instructional quality in public secondary schools. </w:t>
      </w:r>
      <w:r w:rsidRPr="006B4821">
        <w:rPr>
          <w:rFonts w:ascii="Times New Roman" w:eastAsia="Times New Roman" w:hAnsi="Times New Roman" w:cs="Times New Roman"/>
          <w:i/>
          <w:iCs/>
          <w:sz w:val="24"/>
          <w:szCs w:val="24"/>
        </w:rPr>
        <w:t>Philippine Journal of Educational Studies, 96</w:t>
      </w:r>
      <w:r w:rsidRPr="006B4821">
        <w:rPr>
          <w:rFonts w:ascii="Times New Roman" w:eastAsia="Times New Roman" w:hAnsi="Times New Roman" w:cs="Times New Roman"/>
          <w:sz w:val="24"/>
          <w:szCs w:val="24"/>
        </w:rPr>
        <w:t>(1), 74–89.</w:t>
      </w:r>
    </w:p>
    <w:p w14:paraId="2A4B0CC4"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i/>
          <w:iCs/>
          <w:sz w:val="24"/>
          <w:szCs w:val="24"/>
        </w:rPr>
      </w:pPr>
      <w:r w:rsidRPr="006B4821">
        <w:rPr>
          <w:rFonts w:ascii="Times New Roman" w:eastAsia="Times New Roman" w:hAnsi="Times New Roman" w:cs="Times New Roman"/>
          <w:sz w:val="24"/>
          <w:szCs w:val="24"/>
        </w:rPr>
        <w:t xml:space="preserve">Seay, M. (2023). Teacher preparedness for effective assessment practices. </w:t>
      </w:r>
      <w:r w:rsidRPr="006B4821">
        <w:rPr>
          <w:rFonts w:ascii="Times New Roman" w:eastAsia="Times New Roman" w:hAnsi="Times New Roman" w:cs="Times New Roman"/>
          <w:i/>
          <w:iCs/>
          <w:sz w:val="24"/>
          <w:szCs w:val="24"/>
        </w:rPr>
        <w:t>Journal of Educational Measurement, 45</w:t>
      </w:r>
      <w:r w:rsidRPr="006B4821">
        <w:rPr>
          <w:rFonts w:ascii="Times New Roman" w:eastAsia="Times New Roman" w:hAnsi="Times New Roman" w:cs="Times New Roman"/>
          <w:sz w:val="24"/>
          <w:szCs w:val="24"/>
        </w:rPr>
        <w:t>(3),</w:t>
      </w:r>
      <w:r w:rsidRPr="006B4821">
        <w:rPr>
          <w:rFonts w:ascii="Times New Roman" w:eastAsia="Times New Roman" w:hAnsi="Times New Roman" w:cs="Times New Roman"/>
          <w:i/>
          <w:iCs/>
          <w:sz w:val="24"/>
          <w:szCs w:val="24"/>
        </w:rPr>
        <w:t xml:space="preserve"> 234-248.</w:t>
      </w:r>
    </w:p>
    <w:p w14:paraId="1C357F51"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sz w:val="24"/>
          <w:szCs w:val="24"/>
        </w:rPr>
      </w:pPr>
      <w:proofErr w:type="spellStart"/>
      <w:r w:rsidRPr="006B4821">
        <w:rPr>
          <w:rFonts w:ascii="Times New Roman" w:hAnsi="Times New Roman" w:cs="Times New Roman"/>
          <w:sz w:val="24"/>
          <w:szCs w:val="24"/>
        </w:rPr>
        <w:t>Solatorio</w:t>
      </w:r>
      <w:proofErr w:type="spellEnd"/>
      <w:r w:rsidRPr="006B4821">
        <w:rPr>
          <w:rFonts w:ascii="Times New Roman" w:hAnsi="Times New Roman" w:cs="Times New Roman"/>
          <w:sz w:val="24"/>
          <w:szCs w:val="24"/>
        </w:rPr>
        <w:t>, G. R. (2014). Instructional leadership, rigor, academic self-concept, and student scholastic aptitude: A structural model (Unpublished doctoral dissertation). Central Mindanao University, Bukidnon, Philippines.</w:t>
      </w:r>
    </w:p>
    <w:p w14:paraId="4B61FE2C"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r w:rsidRPr="006B4821">
        <w:rPr>
          <w:rFonts w:ascii="Times New Roman" w:eastAsia="Times New Roman" w:hAnsi="Times New Roman" w:cs="Times New Roman"/>
          <w:sz w:val="24"/>
          <w:szCs w:val="24"/>
        </w:rPr>
        <w:t xml:space="preserve">Velasquez, A. M., &amp; Ocampo, E. R. (2022). Digital competence of </w:t>
      </w:r>
      <w:proofErr w:type="gramStart"/>
      <w:r w:rsidRPr="006B4821">
        <w:rPr>
          <w:rFonts w:ascii="Times New Roman" w:eastAsia="Times New Roman" w:hAnsi="Times New Roman" w:cs="Times New Roman"/>
          <w:sz w:val="24"/>
          <w:szCs w:val="24"/>
        </w:rPr>
        <w:t>public school</w:t>
      </w:r>
      <w:proofErr w:type="gramEnd"/>
      <w:r w:rsidRPr="006B4821">
        <w:rPr>
          <w:rFonts w:ascii="Times New Roman" w:eastAsia="Times New Roman" w:hAnsi="Times New Roman" w:cs="Times New Roman"/>
          <w:sz w:val="24"/>
          <w:szCs w:val="24"/>
        </w:rPr>
        <w:t xml:space="preserve"> teachers in the implementation of online learning in the Division of Misamis Oriental. </w:t>
      </w:r>
      <w:r w:rsidRPr="006B4821">
        <w:rPr>
          <w:rFonts w:ascii="Times New Roman" w:eastAsia="Times New Roman" w:hAnsi="Times New Roman" w:cs="Times New Roman"/>
          <w:i/>
          <w:iCs/>
          <w:sz w:val="24"/>
          <w:szCs w:val="24"/>
        </w:rPr>
        <w:t>Asian Journal of Education and Social Studies, 28</w:t>
      </w:r>
      <w:r w:rsidRPr="006B4821">
        <w:rPr>
          <w:rFonts w:ascii="Times New Roman" w:eastAsia="Times New Roman" w:hAnsi="Times New Roman" w:cs="Times New Roman"/>
          <w:sz w:val="24"/>
          <w:szCs w:val="24"/>
        </w:rPr>
        <w:t xml:space="preserve">(4), 45–58. </w:t>
      </w:r>
    </w:p>
    <w:p w14:paraId="0960BD39"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i/>
          <w:iCs/>
          <w:sz w:val="24"/>
          <w:szCs w:val="24"/>
        </w:rPr>
      </w:pPr>
      <w:r w:rsidRPr="006B4821">
        <w:rPr>
          <w:rFonts w:ascii="Times New Roman" w:hAnsi="Times New Roman" w:cs="Times New Roman"/>
          <w:i/>
          <w:iCs/>
          <w:sz w:val="24"/>
          <w:szCs w:val="24"/>
        </w:rPr>
        <w:t>Vivo, L. (2022). Basic ICT tools in classroom instruction. Journal of Digital Learning.</w:t>
      </w:r>
    </w:p>
    <w:p w14:paraId="5F47E203"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Worrell, J. L., et al. (2014). Targeted professional development in assessment strategies. </w:t>
      </w:r>
      <w:r w:rsidRPr="006B4821">
        <w:rPr>
          <w:rFonts w:ascii="Times New Roman" w:eastAsia="Times New Roman" w:hAnsi="Times New Roman" w:cs="Times New Roman"/>
          <w:i/>
          <w:iCs/>
          <w:sz w:val="24"/>
          <w:szCs w:val="24"/>
        </w:rPr>
        <w:t>Educational Assessment, Evaluation and Accountability, 26</w:t>
      </w:r>
      <w:r w:rsidRPr="006B4821">
        <w:rPr>
          <w:rFonts w:ascii="Times New Roman" w:eastAsia="Times New Roman" w:hAnsi="Times New Roman" w:cs="Times New Roman"/>
          <w:sz w:val="24"/>
          <w:szCs w:val="24"/>
        </w:rPr>
        <w:t>(4), 321-333.</w:t>
      </w:r>
    </w:p>
    <w:p w14:paraId="63B670AB" w14:textId="77777777" w:rsidR="006B4821" w:rsidRPr="00A7498F" w:rsidRDefault="006B4821" w:rsidP="001E3B07">
      <w:pPr>
        <w:spacing w:before="240" w:after="240"/>
        <w:ind w:left="810" w:hanging="810"/>
        <w:rPr>
          <w:rFonts w:ascii="Times New Roman" w:hAnsi="Times New Roman" w:cs="Times New Roman"/>
          <w:sz w:val="24"/>
          <w:szCs w:val="24"/>
        </w:rPr>
      </w:pPr>
    </w:p>
    <w:p w14:paraId="23914DED" w14:textId="44666D64" w:rsidR="00F96900" w:rsidRDefault="00F96900" w:rsidP="001E3B07">
      <w:pPr>
        <w:spacing w:before="240" w:after="240"/>
        <w:rPr>
          <w:rFonts w:ascii="Times New Roman" w:eastAsia="Times New Roman" w:hAnsi="Times New Roman" w:cs="Times New Roman"/>
          <w:sz w:val="21"/>
          <w:szCs w:val="21"/>
        </w:rPr>
      </w:pPr>
    </w:p>
    <w:sectPr w:rsidR="00F96900" w:rsidSect="00815065">
      <w:headerReference w:type="default" r:id="rId9"/>
      <w:footerReference w:type="default" r:id="rId10"/>
      <w:pgSz w:w="11910" w:h="16840"/>
      <w:pgMar w:top="1180" w:right="580" w:bottom="660" w:left="580" w:header="348"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1EE5" w14:textId="77777777" w:rsidR="00B47199" w:rsidRDefault="00B47199">
      <w:r>
        <w:separator/>
      </w:r>
    </w:p>
  </w:endnote>
  <w:endnote w:type="continuationSeparator" w:id="0">
    <w:p w14:paraId="6BE7C3AE" w14:textId="77777777" w:rsidR="00B47199" w:rsidRDefault="00B4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E91D" w14:textId="77777777" w:rsidR="00167664" w:rsidRDefault="0016766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7634" w14:textId="77777777" w:rsidR="00B47199" w:rsidRDefault="00B47199">
      <w:r>
        <w:separator/>
      </w:r>
    </w:p>
  </w:footnote>
  <w:footnote w:type="continuationSeparator" w:id="0">
    <w:p w14:paraId="5215EA4A" w14:textId="77777777" w:rsidR="00B47199" w:rsidRDefault="00B4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4014" w14:textId="3C4D67AC" w:rsidR="00167664" w:rsidRDefault="00167664">
    <w:pPr>
      <w:spacing w:line="14" w:lineRule="auto"/>
      <w:rPr>
        <w:sz w:val="20"/>
        <w:szCs w:val="20"/>
      </w:rPr>
    </w:pPr>
    <w:r>
      <w:rPr>
        <w:noProof/>
      </w:rPr>
      <mc:AlternateContent>
        <mc:Choice Requires="wpg">
          <w:drawing>
            <wp:anchor distT="0" distB="0" distL="114300" distR="114300" simplePos="0" relativeHeight="503303888" behindDoc="1" locked="0" layoutInCell="1" allowOverlap="1" wp14:anchorId="21E36EE2" wp14:editId="1797F98D">
              <wp:simplePos x="0" y="0"/>
              <wp:positionH relativeFrom="page">
                <wp:posOffset>441960</wp:posOffset>
              </wp:positionH>
              <wp:positionV relativeFrom="page">
                <wp:posOffset>748665</wp:posOffset>
              </wp:positionV>
              <wp:extent cx="6670675" cy="1270"/>
              <wp:effectExtent l="13335" t="15240" r="12065"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270"/>
                        <a:chOff x="696" y="1179"/>
                        <a:chExt cx="10505" cy="2"/>
                      </a:xfrm>
                    </wpg:grpSpPr>
                    <wps:wsp>
                      <wps:cNvPr id="2" name="Freeform 3"/>
                      <wps:cNvSpPr>
                        <a:spLocks/>
                      </wps:cNvSpPr>
                      <wps:spPr bwMode="auto">
                        <a:xfrm>
                          <a:off x="696" y="1179"/>
                          <a:ext cx="10505" cy="2"/>
                        </a:xfrm>
                        <a:custGeom>
                          <a:avLst/>
                          <a:gdLst>
                            <a:gd name="T0" fmla="+- 0 696 696"/>
                            <a:gd name="T1" fmla="*/ T0 w 10505"/>
                            <a:gd name="T2" fmla="+- 0 11201 696"/>
                            <a:gd name="T3" fmla="*/ T2 w 10505"/>
                          </a:gdLst>
                          <a:ahLst/>
                          <a:cxnLst>
                            <a:cxn ang="0">
                              <a:pos x="T1" y="0"/>
                            </a:cxn>
                            <a:cxn ang="0">
                              <a:pos x="T3" y="0"/>
                            </a:cxn>
                          </a:cxnLst>
                          <a:rect l="0" t="0" r="r" b="b"/>
                          <a:pathLst>
                            <a:path w="10505">
                              <a:moveTo>
                                <a:pt x="0" y="0"/>
                              </a:moveTo>
                              <a:lnTo>
                                <a:pt x="10505" y="0"/>
                              </a:lnTo>
                            </a:path>
                          </a:pathLst>
                        </a:custGeom>
                        <a:noFill/>
                        <a:ln w="2032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F5307" id="Group 2" o:spid="_x0000_s1026" style="position:absolute;margin-left:34.8pt;margin-top:58.95pt;width:525.25pt;height:.1pt;z-index:-12592;mso-position-horizontal-relative:page;mso-position-vertical-relative:page" coordorigin="696,1179" coordsize="10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">
              <v:shape id="Freeform 3" o:spid="_x0000_s1027" style="position:absolute;left:696;top:1179;width:10505;height:2;visibility:visible;mso-wrap-style:square;v-text-anchor:top"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" path="m,l10505,e" filled="f" strokecolor="gray" strokeweight="1.6pt">
                <v:path arrowok="t" o:connecttype="custom" o:connectlocs="0,0;10505,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5B4"/>
    <w:multiLevelType w:val="hybridMultilevel"/>
    <w:tmpl w:val="BF6E8ECA"/>
    <w:lvl w:ilvl="0" w:tplc="4D2E7688">
      <w:start w:val="1"/>
      <w:numFmt w:val="decimal"/>
      <w:lvlText w:val="%1."/>
      <w:lvlJc w:val="left"/>
      <w:pPr>
        <w:ind w:left="687" w:hanging="360"/>
      </w:pPr>
      <w:rPr>
        <w:rFonts w:ascii="Times New Roman" w:eastAsia="Times New Roman" w:hAnsi="Times New Roman" w:hint="default"/>
        <w:sz w:val="24"/>
        <w:szCs w:val="24"/>
      </w:rPr>
    </w:lvl>
    <w:lvl w:ilvl="1" w:tplc="E3BC22C4">
      <w:start w:val="1"/>
      <w:numFmt w:val="bullet"/>
      <w:lvlText w:val="•"/>
      <w:lvlJc w:val="left"/>
      <w:pPr>
        <w:ind w:left="1693" w:hanging="360"/>
      </w:pPr>
      <w:rPr>
        <w:rFonts w:hint="default"/>
      </w:rPr>
    </w:lvl>
    <w:lvl w:ilvl="2" w:tplc="3D843CAA">
      <w:start w:val="1"/>
      <w:numFmt w:val="bullet"/>
      <w:lvlText w:val="•"/>
      <w:lvlJc w:val="left"/>
      <w:pPr>
        <w:ind w:left="2699" w:hanging="360"/>
      </w:pPr>
      <w:rPr>
        <w:rFonts w:hint="default"/>
      </w:rPr>
    </w:lvl>
    <w:lvl w:ilvl="3" w:tplc="C3C866F2">
      <w:start w:val="1"/>
      <w:numFmt w:val="bullet"/>
      <w:lvlText w:val="•"/>
      <w:lvlJc w:val="left"/>
      <w:pPr>
        <w:ind w:left="3706" w:hanging="360"/>
      </w:pPr>
      <w:rPr>
        <w:rFonts w:hint="default"/>
      </w:rPr>
    </w:lvl>
    <w:lvl w:ilvl="4" w:tplc="A7BED81C">
      <w:start w:val="1"/>
      <w:numFmt w:val="bullet"/>
      <w:lvlText w:val="•"/>
      <w:lvlJc w:val="left"/>
      <w:pPr>
        <w:ind w:left="4712" w:hanging="360"/>
      </w:pPr>
      <w:rPr>
        <w:rFonts w:hint="default"/>
      </w:rPr>
    </w:lvl>
    <w:lvl w:ilvl="5" w:tplc="676C20AA">
      <w:start w:val="1"/>
      <w:numFmt w:val="bullet"/>
      <w:lvlText w:val="•"/>
      <w:lvlJc w:val="left"/>
      <w:pPr>
        <w:ind w:left="5718" w:hanging="360"/>
      </w:pPr>
      <w:rPr>
        <w:rFonts w:hint="default"/>
      </w:rPr>
    </w:lvl>
    <w:lvl w:ilvl="6" w:tplc="8E3C1898">
      <w:start w:val="1"/>
      <w:numFmt w:val="bullet"/>
      <w:lvlText w:val="•"/>
      <w:lvlJc w:val="left"/>
      <w:pPr>
        <w:ind w:left="6724" w:hanging="360"/>
      </w:pPr>
      <w:rPr>
        <w:rFonts w:hint="default"/>
      </w:rPr>
    </w:lvl>
    <w:lvl w:ilvl="7" w:tplc="E4F2DB36">
      <w:start w:val="1"/>
      <w:numFmt w:val="bullet"/>
      <w:lvlText w:val="•"/>
      <w:lvlJc w:val="left"/>
      <w:pPr>
        <w:ind w:left="7730" w:hanging="360"/>
      </w:pPr>
      <w:rPr>
        <w:rFonts w:hint="default"/>
      </w:rPr>
    </w:lvl>
    <w:lvl w:ilvl="8" w:tplc="5AD888BC">
      <w:start w:val="1"/>
      <w:numFmt w:val="bullet"/>
      <w:lvlText w:val="•"/>
      <w:lvlJc w:val="left"/>
      <w:pPr>
        <w:ind w:left="8736" w:hanging="360"/>
      </w:pPr>
      <w:rPr>
        <w:rFonts w:hint="default"/>
      </w:rPr>
    </w:lvl>
  </w:abstractNum>
  <w:abstractNum w:abstractNumId="1" w15:restartNumberingAfterBreak="0">
    <w:nsid w:val="162C3A9F"/>
    <w:multiLevelType w:val="hybridMultilevel"/>
    <w:tmpl w:val="83C0DD4E"/>
    <w:lvl w:ilvl="0" w:tplc="AB288D92">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1F0A0927"/>
    <w:multiLevelType w:val="hybridMultilevel"/>
    <w:tmpl w:val="876CE118"/>
    <w:lvl w:ilvl="0" w:tplc="DE226548">
      <w:start w:val="1"/>
      <w:numFmt w:val="decimal"/>
      <w:lvlText w:val="%1."/>
      <w:lvlJc w:val="left"/>
      <w:pPr>
        <w:ind w:left="687" w:hanging="360"/>
      </w:pPr>
      <w:rPr>
        <w:rFonts w:ascii="Times New Roman" w:eastAsia="Times New Roman" w:hAnsi="Times New Roman" w:hint="default"/>
        <w:sz w:val="24"/>
        <w:szCs w:val="24"/>
      </w:rPr>
    </w:lvl>
    <w:lvl w:ilvl="1" w:tplc="E0548AF6">
      <w:start w:val="1"/>
      <w:numFmt w:val="bullet"/>
      <w:lvlText w:val="•"/>
      <w:lvlJc w:val="left"/>
      <w:pPr>
        <w:ind w:left="1693" w:hanging="360"/>
      </w:pPr>
      <w:rPr>
        <w:rFonts w:hint="default"/>
      </w:rPr>
    </w:lvl>
    <w:lvl w:ilvl="2" w:tplc="9E78D1C2">
      <w:start w:val="1"/>
      <w:numFmt w:val="bullet"/>
      <w:lvlText w:val="•"/>
      <w:lvlJc w:val="left"/>
      <w:pPr>
        <w:ind w:left="2699" w:hanging="360"/>
      </w:pPr>
      <w:rPr>
        <w:rFonts w:hint="default"/>
      </w:rPr>
    </w:lvl>
    <w:lvl w:ilvl="3" w:tplc="A3403804">
      <w:start w:val="1"/>
      <w:numFmt w:val="bullet"/>
      <w:lvlText w:val="•"/>
      <w:lvlJc w:val="left"/>
      <w:pPr>
        <w:ind w:left="3706" w:hanging="360"/>
      </w:pPr>
      <w:rPr>
        <w:rFonts w:hint="default"/>
      </w:rPr>
    </w:lvl>
    <w:lvl w:ilvl="4" w:tplc="81F2C60C">
      <w:start w:val="1"/>
      <w:numFmt w:val="bullet"/>
      <w:lvlText w:val="•"/>
      <w:lvlJc w:val="left"/>
      <w:pPr>
        <w:ind w:left="4712" w:hanging="360"/>
      </w:pPr>
      <w:rPr>
        <w:rFonts w:hint="default"/>
      </w:rPr>
    </w:lvl>
    <w:lvl w:ilvl="5" w:tplc="57F84CD0">
      <w:start w:val="1"/>
      <w:numFmt w:val="bullet"/>
      <w:lvlText w:val="•"/>
      <w:lvlJc w:val="left"/>
      <w:pPr>
        <w:ind w:left="5718" w:hanging="360"/>
      </w:pPr>
      <w:rPr>
        <w:rFonts w:hint="default"/>
      </w:rPr>
    </w:lvl>
    <w:lvl w:ilvl="6" w:tplc="3C2CEF20">
      <w:start w:val="1"/>
      <w:numFmt w:val="bullet"/>
      <w:lvlText w:val="•"/>
      <w:lvlJc w:val="left"/>
      <w:pPr>
        <w:ind w:left="6724" w:hanging="360"/>
      </w:pPr>
      <w:rPr>
        <w:rFonts w:hint="default"/>
      </w:rPr>
    </w:lvl>
    <w:lvl w:ilvl="7" w:tplc="48AA0B50">
      <w:start w:val="1"/>
      <w:numFmt w:val="bullet"/>
      <w:lvlText w:val="•"/>
      <w:lvlJc w:val="left"/>
      <w:pPr>
        <w:ind w:left="7730" w:hanging="360"/>
      </w:pPr>
      <w:rPr>
        <w:rFonts w:hint="default"/>
      </w:rPr>
    </w:lvl>
    <w:lvl w:ilvl="8" w:tplc="79E609C2">
      <w:start w:val="1"/>
      <w:numFmt w:val="bullet"/>
      <w:lvlText w:val="•"/>
      <w:lvlJc w:val="left"/>
      <w:pPr>
        <w:ind w:left="8736" w:hanging="360"/>
      </w:pPr>
      <w:rPr>
        <w:rFonts w:hint="default"/>
      </w:rPr>
    </w:lvl>
  </w:abstractNum>
  <w:abstractNum w:abstractNumId="3" w15:restartNumberingAfterBreak="0">
    <w:nsid w:val="35302113"/>
    <w:multiLevelType w:val="hybridMultilevel"/>
    <w:tmpl w:val="5A4681A0"/>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9B0CFD"/>
    <w:multiLevelType w:val="hybridMultilevel"/>
    <w:tmpl w:val="9F389B1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798036B"/>
    <w:multiLevelType w:val="hybridMultilevel"/>
    <w:tmpl w:val="A810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20984">
    <w:abstractNumId w:val="2"/>
  </w:num>
  <w:num w:numId="2" w16cid:durableId="313218248">
    <w:abstractNumId w:val="0"/>
  </w:num>
  <w:num w:numId="3" w16cid:durableId="822937728">
    <w:abstractNumId w:val="4"/>
  </w:num>
  <w:num w:numId="4" w16cid:durableId="1494642400">
    <w:abstractNumId w:val="1"/>
  </w:num>
  <w:num w:numId="5" w16cid:durableId="1620911901">
    <w:abstractNumId w:val="3"/>
  </w:num>
  <w:num w:numId="6" w16cid:durableId="168817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89"/>
    <w:rsid w:val="00035624"/>
    <w:rsid w:val="000415B2"/>
    <w:rsid w:val="00063F22"/>
    <w:rsid w:val="00087057"/>
    <w:rsid w:val="000B7755"/>
    <w:rsid w:val="0016236C"/>
    <w:rsid w:val="00167664"/>
    <w:rsid w:val="00167C62"/>
    <w:rsid w:val="001C7B85"/>
    <w:rsid w:val="001E3B07"/>
    <w:rsid w:val="001F083C"/>
    <w:rsid w:val="00221186"/>
    <w:rsid w:val="002226CD"/>
    <w:rsid w:val="00234770"/>
    <w:rsid w:val="002605A7"/>
    <w:rsid w:val="002B3A48"/>
    <w:rsid w:val="003C086C"/>
    <w:rsid w:val="003E5BDD"/>
    <w:rsid w:val="003E659D"/>
    <w:rsid w:val="00404A59"/>
    <w:rsid w:val="00475AF7"/>
    <w:rsid w:val="00486DC3"/>
    <w:rsid w:val="00504E5B"/>
    <w:rsid w:val="005343D8"/>
    <w:rsid w:val="00566424"/>
    <w:rsid w:val="005953A8"/>
    <w:rsid w:val="00596FDA"/>
    <w:rsid w:val="005B1F84"/>
    <w:rsid w:val="005F7985"/>
    <w:rsid w:val="0064625F"/>
    <w:rsid w:val="00656583"/>
    <w:rsid w:val="006B4821"/>
    <w:rsid w:val="00725E83"/>
    <w:rsid w:val="007945FA"/>
    <w:rsid w:val="007C2B89"/>
    <w:rsid w:val="007E2D95"/>
    <w:rsid w:val="00815065"/>
    <w:rsid w:val="00834432"/>
    <w:rsid w:val="00866D6F"/>
    <w:rsid w:val="0087156F"/>
    <w:rsid w:val="008C37BB"/>
    <w:rsid w:val="00905927"/>
    <w:rsid w:val="0091709F"/>
    <w:rsid w:val="009515DA"/>
    <w:rsid w:val="009A6229"/>
    <w:rsid w:val="009A7E5F"/>
    <w:rsid w:val="009F7546"/>
    <w:rsid w:val="00A026C9"/>
    <w:rsid w:val="00A33CAC"/>
    <w:rsid w:val="00A85365"/>
    <w:rsid w:val="00AA2B0C"/>
    <w:rsid w:val="00AD417F"/>
    <w:rsid w:val="00B04014"/>
    <w:rsid w:val="00B11317"/>
    <w:rsid w:val="00B47199"/>
    <w:rsid w:val="00BB0930"/>
    <w:rsid w:val="00BB6D0F"/>
    <w:rsid w:val="00BC11DB"/>
    <w:rsid w:val="00BF0849"/>
    <w:rsid w:val="00C010DD"/>
    <w:rsid w:val="00C4475D"/>
    <w:rsid w:val="00D90DFE"/>
    <w:rsid w:val="00DE5505"/>
    <w:rsid w:val="00DF5B0D"/>
    <w:rsid w:val="00E23DE9"/>
    <w:rsid w:val="00E36157"/>
    <w:rsid w:val="00E577F9"/>
    <w:rsid w:val="00E90C7E"/>
    <w:rsid w:val="00E92F34"/>
    <w:rsid w:val="00F4070D"/>
    <w:rsid w:val="00F93A10"/>
    <w:rsid w:val="00F969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AE11"/>
  <w15:docId w15:val="{D464BB5F-FDA3-433A-B70F-6DAB53CF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06"/>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106"/>
      <w:outlineLvl w:val="1"/>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6CD"/>
    <w:pPr>
      <w:tabs>
        <w:tab w:val="center" w:pos="4680"/>
        <w:tab w:val="right" w:pos="9360"/>
      </w:tabs>
    </w:pPr>
  </w:style>
  <w:style w:type="character" w:customStyle="1" w:styleId="HeaderChar">
    <w:name w:val="Header Char"/>
    <w:basedOn w:val="DefaultParagraphFont"/>
    <w:link w:val="Header"/>
    <w:uiPriority w:val="99"/>
    <w:rsid w:val="002226CD"/>
  </w:style>
  <w:style w:type="paragraph" w:styleId="Footer">
    <w:name w:val="footer"/>
    <w:basedOn w:val="Normal"/>
    <w:link w:val="FooterChar"/>
    <w:uiPriority w:val="99"/>
    <w:unhideWhenUsed/>
    <w:rsid w:val="002226CD"/>
    <w:pPr>
      <w:tabs>
        <w:tab w:val="center" w:pos="4680"/>
        <w:tab w:val="right" w:pos="9360"/>
      </w:tabs>
    </w:pPr>
  </w:style>
  <w:style w:type="character" w:customStyle="1" w:styleId="FooterChar">
    <w:name w:val="Footer Char"/>
    <w:basedOn w:val="DefaultParagraphFont"/>
    <w:link w:val="Footer"/>
    <w:uiPriority w:val="99"/>
    <w:rsid w:val="002226CD"/>
  </w:style>
  <w:style w:type="paragraph" w:styleId="NoSpacing">
    <w:name w:val="No Spacing"/>
    <w:link w:val="NoSpacingChar"/>
    <w:qFormat/>
    <w:rsid w:val="002226CD"/>
    <w:pPr>
      <w:widowControl/>
    </w:pPr>
    <w:rPr>
      <w:lang w:val="en-PH"/>
    </w:rPr>
  </w:style>
  <w:style w:type="character" w:customStyle="1" w:styleId="NoSpacingChar">
    <w:name w:val="No Spacing Char"/>
    <w:link w:val="NoSpacing"/>
    <w:rsid w:val="002226CD"/>
    <w:rPr>
      <w:lang w:val="en-PH"/>
    </w:rPr>
  </w:style>
  <w:style w:type="character" w:customStyle="1" w:styleId="Heading1Char">
    <w:name w:val="Heading 1 Char"/>
    <w:basedOn w:val="DefaultParagraphFont"/>
    <w:link w:val="Heading1"/>
    <w:uiPriority w:val="9"/>
    <w:rsid w:val="00815065"/>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15065"/>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15065"/>
    <w:rPr>
      <w:rFonts w:ascii="Times New Roman" w:eastAsia="Times New Roman" w:hAnsi="Times New Roman"/>
      <w:sz w:val="24"/>
      <w:szCs w:val="24"/>
    </w:rPr>
  </w:style>
  <w:style w:type="character" w:styleId="Hyperlink">
    <w:name w:val="Hyperlink"/>
    <w:basedOn w:val="DefaultParagraphFont"/>
    <w:uiPriority w:val="99"/>
    <w:unhideWhenUsed/>
    <w:rsid w:val="00596FDA"/>
    <w:rPr>
      <w:color w:val="0000FF" w:themeColor="hyperlink"/>
      <w:u w:val="single"/>
    </w:rPr>
  </w:style>
  <w:style w:type="character" w:styleId="UnresolvedMention">
    <w:name w:val="Unresolved Mention"/>
    <w:basedOn w:val="DefaultParagraphFont"/>
    <w:uiPriority w:val="99"/>
    <w:semiHidden/>
    <w:unhideWhenUsed/>
    <w:rsid w:val="00596FDA"/>
    <w:rPr>
      <w:color w:val="605E5C"/>
      <w:shd w:val="clear" w:color="auto" w:fill="E1DFDD"/>
    </w:rPr>
  </w:style>
  <w:style w:type="character" w:styleId="Emphasis">
    <w:name w:val="Emphasis"/>
    <w:basedOn w:val="DefaultParagraphFont"/>
    <w:uiPriority w:val="20"/>
    <w:qFormat/>
    <w:rsid w:val="001F083C"/>
    <w:rPr>
      <w:i/>
      <w:iCs/>
    </w:rPr>
  </w:style>
  <w:style w:type="paragraph" w:customStyle="1" w:styleId="Normal1">
    <w:name w:val="Normal1"/>
    <w:rsid w:val="001F083C"/>
    <w:pPr>
      <w:widowControl/>
      <w:spacing w:after="160" w:line="259" w:lineRule="auto"/>
    </w:pPr>
    <w:rPr>
      <w:rFonts w:ascii="Calibri" w:eastAsia="Calibri" w:hAnsi="Calibri" w:cs="Calibri"/>
      <w:lang w:val="en-PH"/>
    </w:rPr>
  </w:style>
  <w:style w:type="character" w:styleId="PlaceholderText">
    <w:name w:val="Placeholder Text"/>
    <w:basedOn w:val="DefaultParagraphFont"/>
    <w:uiPriority w:val="99"/>
    <w:semiHidden/>
    <w:rsid w:val="007945FA"/>
    <w:rPr>
      <w:color w:val="808080"/>
    </w:rPr>
  </w:style>
  <w:style w:type="table" w:styleId="TableGrid">
    <w:name w:val="Table Grid"/>
    <w:basedOn w:val="TableNormal"/>
    <w:uiPriority w:val="39"/>
    <w:rsid w:val="00E2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0047239520902067" TargetMode="External"/><Relationship Id="rId3" Type="http://schemas.openxmlformats.org/officeDocument/2006/relationships/settings" Target="settings.xml"/><Relationship Id="rId7" Type="http://schemas.openxmlformats.org/officeDocument/2006/relationships/hyperlink" Target="https://doi.org/10.1080/02619768.2020.18096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3312</Words>
  <Characters>22163</Characters>
  <Application>Microsoft Office Word</Application>
  <DocSecurity>0</DocSecurity>
  <Lines>540</Lines>
  <Paragraphs>326</Paragraphs>
  <ScaleCrop>false</ScaleCrop>
  <HeadingPairs>
    <vt:vector size="2" baseType="variant">
      <vt:variant>
        <vt:lpstr>Title</vt:lpstr>
      </vt:variant>
      <vt:variant>
        <vt:i4>1</vt:i4>
      </vt:variant>
    </vt:vector>
  </HeadingPairs>
  <TitlesOfParts>
    <vt:vector size="1" baseType="lpstr">
      <vt:lpstr>Transitioning to Higher Education: An Assessment on the Readiness of Alternative Learning System (ALS) Graduates Pursuing Bachelor’s Degree</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to Higher Education: An Assessment on the Readiness of Alternative Learning System (ALS) Graduates Pursuing Bachelor’s Degree</dc:title>
  <dc:creator>Allera E. Perater</dc:creator>
  <cp:lastModifiedBy>JESEL AN ACUSAR</cp:lastModifiedBy>
  <cp:revision>5</cp:revision>
  <dcterms:created xsi:type="dcterms:W3CDTF">2026-04-17T10:03:00Z</dcterms:created>
  <dcterms:modified xsi:type="dcterms:W3CDTF">2026-04-17T14:07:00Z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2025-07-04T00:00:00Z</vt:filetime>
  </property>
  <property fmtid="{D5CDD505-2E9C-101B-9397-08002B2CF9AE}" pid="4" name="GrammarlyDocumentId">
    <vt:lpwstr>7447e6d6-cfc2-4c1a-bff4-adaa1017d00b</vt:lpwstr>
  </property>
</Properties>
</file>