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6F116" w14:textId="73D9D9ED" w:rsidR="00391829" w:rsidRPr="00DA2AAC" w:rsidRDefault="00391829" w:rsidP="00DA2AAC">
      <w:pPr>
        <w:spacing w:before="240" w:after="240"/>
        <w:jc w:val="center"/>
        <w:rPr>
          <w:rFonts w:ascii="Times New Roman" w:eastAsia="Times New Roman" w:hAnsi="Times New Roman" w:cs="Times New Roman"/>
          <w:sz w:val="32"/>
          <w:szCs w:val="32"/>
        </w:rPr>
      </w:pPr>
      <w:bookmarkStart w:id="0" w:name="_Hlk229509740"/>
      <w:bookmarkEnd w:id="0"/>
      <w:r w:rsidRPr="00DA2AAC">
        <w:rPr>
          <w:rFonts w:ascii="Times New Roman" w:eastAsia="Times New Roman" w:hAnsi="Times New Roman" w:cs="Times New Roman"/>
          <w:b/>
          <w:bCs/>
          <w:color w:val="000000"/>
          <w:sz w:val="32"/>
          <w:szCs w:val="32"/>
        </w:rPr>
        <w:t>Enhancing Reading Comprehension of Grade-9 Learners Using Multimodal Strategies</w:t>
      </w:r>
    </w:p>
    <w:p w14:paraId="175F34B2" w14:textId="66E07CBB" w:rsidR="00391829" w:rsidRPr="007821AE" w:rsidRDefault="00391829" w:rsidP="00D97720">
      <w:pPr>
        <w:spacing w:before="240" w:after="240" w:line="240" w:lineRule="auto"/>
        <w:jc w:val="center"/>
        <w:rPr>
          <w:rFonts w:ascii="Times New Roman" w:eastAsia="Times New Roman" w:hAnsi="Times New Roman" w:cs="Times New Roman"/>
          <w:i/>
          <w:iCs/>
          <w:sz w:val="24"/>
          <w:szCs w:val="24"/>
        </w:rPr>
      </w:pPr>
      <w:r w:rsidRPr="007821AE">
        <w:rPr>
          <w:rFonts w:ascii="Times New Roman" w:eastAsia="Times New Roman" w:hAnsi="Times New Roman" w:cs="Times New Roman"/>
          <w:i/>
          <w:iCs/>
          <w:color w:val="000000"/>
          <w:sz w:val="24"/>
          <w:szCs w:val="24"/>
        </w:rPr>
        <w:t xml:space="preserve">Ramos, </w:t>
      </w:r>
      <w:proofErr w:type="spellStart"/>
      <w:r w:rsidRPr="007821AE">
        <w:rPr>
          <w:rFonts w:ascii="Times New Roman" w:eastAsia="Times New Roman" w:hAnsi="Times New Roman" w:cs="Times New Roman"/>
          <w:i/>
          <w:iCs/>
          <w:color w:val="000000"/>
          <w:sz w:val="24"/>
          <w:szCs w:val="24"/>
        </w:rPr>
        <w:t>Wilgin</w:t>
      </w:r>
      <w:proofErr w:type="spellEnd"/>
      <w:r w:rsidRPr="007821AE">
        <w:rPr>
          <w:rFonts w:ascii="Times New Roman" w:eastAsia="Times New Roman" w:hAnsi="Times New Roman" w:cs="Times New Roman"/>
          <w:i/>
          <w:iCs/>
          <w:color w:val="000000"/>
          <w:sz w:val="24"/>
          <w:szCs w:val="24"/>
        </w:rPr>
        <w:t xml:space="preserve"> Pops M.</w:t>
      </w:r>
      <w:r w:rsidRPr="007821AE">
        <w:rPr>
          <w:rFonts w:ascii="Times New Roman" w:eastAsia="Times New Roman" w:hAnsi="Times New Roman" w:cs="Times New Roman"/>
          <w:i/>
          <w:iCs/>
          <w:sz w:val="24"/>
          <w:szCs w:val="24"/>
        </w:rPr>
        <w:t xml:space="preserve">, </w:t>
      </w:r>
      <w:r w:rsidRPr="007821AE">
        <w:rPr>
          <w:rFonts w:ascii="Times New Roman" w:eastAsia="Times New Roman" w:hAnsi="Times New Roman" w:cs="Times New Roman"/>
          <w:i/>
          <w:iCs/>
          <w:color w:val="000000"/>
          <w:sz w:val="24"/>
          <w:szCs w:val="24"/>
        </w:rPr>
        <w:t>Rodriguez, Uzzeiah Jean T.</w:t>
      </w:r>
      <w:r w:rsidRPr="007821AE">
        <w:rPr>
          <w:rFonts w:ascii="Times New Roman" w:eastAsia="Times New Roman" w:hAnsi="Times New Roman" w:cs="Times New Roman"/>
          <w:i/>
          <w:iCs/>
          <w:sz w:val="24"/>
          <w:szCs w:val="24"/>
        </w:rPr>
        <w:t xml:space="preserve">, </w:t>
      </w:r>
      <w:proofErr w:type="spellStart"/>
      <w:r w:rsidRPr="007821AE">
        <w:rPr>
          <w:rFonts w:ascii="Times New Roman" w:eastAsia="Times New Roman" w:hAnsi="Times New Roman" w:cs="Times New Roman"/>
          <w:i/>
          <w:iCs/>
          <w:color w:val="000000"/>
          <w:sz w:val="24"/>
          <w:szCs w:val="24"/>
        </w:rPr>
        <w:t>Sabellina</w:t>
      </w:r>
      <w:proofErr w:type="spellEnd"/>
      <w:r w:rsidRPr="007821AE">
        <w:rPr>
          <w:rFonts w:ascii="Times New Roman" w:eastAsia="Times New Roman" w:hAnsi="Times New Roman" w:cs="Times New Roman"/>
          <w:i/>
          <w:iCs/>
          <w:color w:val="000000"/>
          <w:sz w:val="24"/>
          <w:szCs w:val="24"/>
        </w:rPr>
        <w:t xml:space="preserve">, </w:t>
      </w:r>
      <w:proofErr w:type="spellStart"/>
      <w:r w:rsidRPr="007821AE">
        <w:rPr>
          <w:rFonts w:ascii="Times New Roman" w:eastAsia="Times New Roman" w:hAnsi="Times New Roman" w:cs="Times New Roman"/>
          <w:i/>
          <w:iCs/>
          <w:color w:val="000000"/>
          <w:sz w:val="24"/>
          <w:szCs w:val="24"/>
        </w:rPr>
        <w:t>Midauel</w:t>
      </w:r>
      <w:proofErr w:type="spellEnd"/>
      <w:r w:rsidRPr="007821AE">
        <w:rPr>
          <w:rFonts w:ascii="Times New Roman" w:eastAsia="Times New Roman" w:hAnsi="Times New Roman" w:cs="Times New Roman"/>
          <w:i/>
          <w:iCs/>
          <w:color w:val="000000"/>
          <w:sz w:val="24"/>
          <w:szCs w:val="24"/>
        </w:rPr>
        <w:t xml:space="preserve"> </w:t>
      </w:r>
      <w:proofErr w:type="spellStart"/>
      <w:r w:rsidRPr="007821AE">
        <w:rPr>
          <w:rFonts w:ascii="Times New Roman" w:eastAsia="Times New Roman" w:hAnsi="Times New Roman" w:cs="Times New Roman"/>
          <w:i/>
          <w:iCs/>
          <w:color w:val="000000"/>
          <w:sz w:val="24"/>
          <w:szCs w:val="24"/>
        </w:rPr>
        <w:t>Maymar</w:t>
      </w:r>
      <w:proofErr w:type="spellEnd"/>
      <w:r w:rsidRPr="007821AE">
        <w:rPr>
          <w:rFonts w:ascii="Times New Roman" w:eastAsia="Times New Roman" w:hAnsi="Times New Roman" w:cs="Times New Roman"/>
          <w:i/>
          <w:iCs/>
          <w:color w:val="000000"/>
          <w:sz w:val="24"/>
          <w:szCs w:val="24"/>
        </w:rPr>
        <w:t xml:space="preserve"> </w:t>
      </w:r>
      <w:proofErr w:type="spellStart"/>
      <w:r w:rsidRPr="007821AE">
        <w:rPr>
          <w:rFonts w:ascii="Times New Roman" w:eastAsia="Times New Roman" w:hAnsi="Times New Roman" w:cs="Times New Roman"/>
          <w:i/>
          <w:iCs/>
          <w:color w:val="000000"/>
          <w:sz w:val="24"/>
          <w:szCs w:val="24"/>
        </w:rPr>
        <w:t>Junet</w:t>
      </w:r>
      <w:proofErr w:type="spellEnd"/>
      <w:r w:rsidRPr="007821AE">
        <w:rPr>
          <w:rFonts w:ascii="Times New Roman" w:eastAsia="Times New Roman" w:hAnsi="Times New Roman" w:cs="Times New Roman"/>
          <w:i/>
          <w:iCs/>
          <w:color w:val="000000"/>
          <w:sz w:val="24"/>
          <w:szCs w:val="24"/>
        </w:rPr>
        <w:t xml:space="preserve"> B.</w:t>
      </w:r>
      <w:r w:rsidRPr="007821AE">
        <w:rPr>
          <w:rFonts w:ascii="Times New Roman" w:eastAsia="Times New Roman" w:hAnsi="Times New Roman" w:cs="Times New Roman"/>
          <w:i/>
          <w:iCs/>
          <w:sz w:val="24"/>
          <w:szCs w:val="24"/>
        </w:rPr>
        <w:t xml:space="preserve">, </w:t>
      </w:r>
      <w:r w:rsidRPr="007821AE">
        <w:rPr>
          <w:rFonts w:ascii="Times New Roman" w:eastAsia="Times New Roman" w:hAnsi="Times New Roman" w:cs="Times New Roman"/>
          <w:i/>
          <w:iCs/>
          <w:color w:val="000000"/>
          <w:sz w:val="24"/>
          <w:szCs w:val="24"/>
        </w:rPr>
        <w:t>San Pascual, Freshell L.</w:t>
      </w:r>
      <w:r w:rsidRPr="007821AE">
        <w:rPr>
          <w:rFonts w:ascii="Times New Roman" w:eastAsia="Times New Roman" w:hAnsi="Times New Roman" w:cs="Times New Roman"/>
          <w:i/>
          <w:iCs/>
          <w:sz w:val="24"/>
          <w:szCs w:val="24"/>
        </w:rPr>
        <w:t xml:space="preserve">, </w:t>
      </w:r>
      <w:proofErr w:type="spellStart"/>
      <w:r w:rsidRPr="007821AE">
        <w:rPr>
          <w:rFonts w:ascii="Times New Roman" w:eastAsia="Times New Roman" w:hAnsi="Times New Roman" w:cs="Times New Roman"/>
          <w:i/>
          <w:iCs/>
          <w:color w:val="000000"/>
          <w:sz w:val="24"/>
          <w:szCs w:val="24"/>
        </w:rPr>
        <w:t>Senarillos</w:t>
      </w:r>
      <w:proofErr w:type="spellEnd"/>
      <w:r w:rsidRPr="007821AE">
        <w:rPr>
          <w:rFonts w:ascii="Times New Roman" w:eastAsia="Times New Roman" w:hAnsi="Times New Roman" w:cs="Times New Roman"/>
          <w:i/>
          <w:iCs/>
          <w:color w:val="000000"/>
          <w:sz w:val="24"/>
          <w:szCs w:val="24"/>
        </w:rPr>
        <w:t>, Harold Kim</w:t>
      </w:r>
      <w:r w:rsidR="007374E6" w:rsidRPr="007821AE">
        <w:rPr>
          <w:rFonts w:ascii="Times New Roman" w:eastAsia="Times New Roman" w:hAnsi="Times New Roman" w:cs="Times New Roman"/>
          <w:i/>
          <w:iCs/>
          <w:color w:val="000000"/>
          <w:sz w:val="24"/>
          <w:szCs w:val="24"/>
        </w:rPr>
        <w:t>, Fernandez, Karen Mae S.</w:t>
      </w:r>
    </w:p>
    <w:p w14:paraId="069368E9" w14:textId="77777777" w:rsidR="00543817" w:rsidRDefault="00543817" w:rsidP="00D97720">
      <w:pPr>
        <w:spacing w:line="240" w:lineRule="auto"/>
        <w:rPr>
          <w:rFonts w:ascii="Times New Roman" w:eastAsia="Times New Roman" w:hAnsi="Times New Roman" w:cs="Times New Roman"/>
          <w:color w:val="000000"/>
          <w:sz w:val="24"/>
          <w:szCs w:val="24"/>
          <w:u w:val="single"/>
        </w:rPr>
        <w:sectPr w:rsidR="00543817" w:rsidSect="00543817">
          <w:footerReference w:type="default" r:id="rId7"/>
          <w:pgSz w:w="11906" w:h="16838"/>
          <w:pgMar w:top="1440" w:right="1080" w:bottom="1440" w:left="1080" w:header="720" w:footer="720" w:gutter="0"/>
          <w:pgNumType w:start="1"/>
          <w:cols w:space="720"/>
          <w:docGrid w:linePitch="299"/>
        </w:sectPr>
      </w:pPr>
    </w:p>
    <w:p w14:paraId="099A7EBC" w14:textId="6180002B" w:rsidR="00391829" w:rsidRPr="007821AE" w:rsidRDefault="00391829" w:rsidP="00D97720">
      <w:pPr>
        <w:spacing w:line="240" w:lineRule="auto"/>
        <w:rPr>
          <w:rFonts w:ascii="Times New Roman" w:eastAsia="Times New Roman" w:hAnsi="Times New Roman" w:cs="Times New Roman"/>
          <w:color w:val="000000"/>
          <w:sz w:val="24"/>
          <w:szCs w:val="24"/>
          <w:u w:val="single"/>
        </w:rPr>
      </w:pPr>
    </w:p>
    <w:p w14:paraId="2353798E" w14:textId="77777777" w:rsidR="00543817" w:rsidRDefault="00543817" w:rsidP="00D97720">
      <w:pPr>
        <w:spacing w:line="240" w:lineRule="auto"/>
        <w:jc w:val="center"/>
        <w:rPr>
          <w:rFonts w:ascii="Times New Roman" w:eastAsia="Times New Roman" w:hAnsi="Times New Roman" w:cs="Times New Roman"/>
          <w:color w:val="000000"/>
          <w:sz w:val="24"/>
          <w:szCs w:val="24"/>
          <w:u w:val="single"/>
        </w:rPr>
        <w:sectPr w:rsidR="00543817" w:rsidSect="00543817">
          <w:type w:val="continuous"/>
          <w:pgSz w:w="11906" w:h="16838"/>
          <w:pgMar w:top="1440" w:right="1080" w:bottom="1440" w:left="1080" w:header="720" w:footer="720" w:gutter="0"/>
          <w:pgNumType w:start="1"/>
          <w:cols w:num="2" w:space="720"/>
          <w:docGrid w:linePitch="299"/>
        </w:sectPr>
      </w:pPr>
    </w:p>
    <w:p w14:paraId="100B6AA7" w14:textId="602C6CB6" w:rsidR="00D97720" w:rsidRPr="00F37A4B" w:rsidRDefault="00391829" w:rsidP="00D97720">
      <w:pPr>
        <w:spacing w:line="240" w:lineRule="auto"/>
        <w:jc w:val="center"/>
        <w:rPr>
          <w:rFonts w:ascii="Times New Roman" w:eastAsia="Times New Roman" w:hAnsi="Times New Roman" w:cs="Times New Roman"/>
          <w:sz w:val="24"/>
          <w:szCs w:val="24"/>
          <w:u w:val="single"/>
        </w:rPr>
      </w:pPr>
      <w:r w:rsidRPr="00F37A4B">
        <w:rPr>
          <w:rFonts w:ascii="Times New Roman" w:eastAsia="Times New Roman" w:hAnsi="Times New Roman" w:cs="Times New Roman"/>
          <w:color w:val="000000"/>
          <w:sz w:val="24"/>
          <w:szCs w:val="24"/>
          <w:u w:val="single"/>
        </w:rPr>
        <w:t>ABSTRACT </w:t>
      </w:r>
    </w:p>
    <w:p w14:paraId="1A06AB2A" w14:textId="75014CD4" w:rsidR="00391829" w:rsidRPr="00DA2AAC" w:rsidRDefault="00391829" w:rsidP="00D97720">
      <w:pPr>
        <w:spacing w:line="240" w:lineRule="auto"/>
        <w:jc w:val="both"/>
        <w:rPr>
          <w:rFonts w:ascii="Times New Roman" w:eastAsia="Times New Roman" w:hAnsi="Times New Roman" w:cs="Times New Roman"/>
          <w:i/>
          <w:iCs/>
          <w:color w:val="000000"/>
          <w:sz w:val="24"/>
          <w:szCs w:val="24"/>
        </w:rPr>
      </w:pPr>
      <w:r w:rsidRPr="00DA2AAC">
        <w:rPr>
          <w:rFonts w:ascii="Times New Roman" w:eastAsia="Times New Roman" w:hAnsi="Times New Roman" w:cs="Times New Roman"/>
          <w:i/>
          <w:iCs/>
          <w:color w:val="000000"/>
          <w:sz w:val="24"/>
          <w:szCs w:val="24"/>
        </w:rPr>
        <w:t xml:space="preserve">This classroom-based action research investigated the effectiveness of multimodal strategies in enhancing the reading comprehension of Grade 9 learners at </w:t>
      </w:r>
      <w:proofErr w:type="spellStart"/>
      <w:r w:rsidRPr="00DA2AAC">
        <w:rPr>
          <w:rFonts w:ascii="Times New Roman" w:eastAsia="Times New Roman" w:hAnsi="Times New Roman" w:cs="Times New Roman"/>
          <w:i/>
          <w:iCs/>
          <w:color w:val="000000"/>
          <w:sz w:val="24"/>
          <w:szCs w:val="24"/>
        </w:rPr>
        <w:t>Lumbo</w:t>
      </w:r>
      <w:proofErr w:type="spellEnd"/>
      <w:r w:rsidRPr="00DA2AAC">
        <w:rPr>
          <w:rFonts w:ascii="Times New Roman" w:eastAsia="Times New Roman" w:hAnsi="Times New Roman" w:cs="Times New Roman"/>
          <w:i/>
          <w:iCs/>
          <w:color w:val="000000"/>
          <w:sz w:val="24"/>
          <w:szCs w:val="24"/>
        </w:rPr>
        <w:t xml:space="preserve"> Integrated School. Employing a quasi-experimental one-group pretest–posttest design, 44 purposively selected learners participated in a three-session intervention that integrated guided reading, video viewing, writing tasks, and role-playing activities. Pretest results revealed all learners at the Beginning level, with a mean score of 11.27, indicating serious comprehension difficulties. Following the intervention, learners demonstrated substantial improvement, with scores distributed across Developing, Approaching Proficiency, Proficient, and Advanced levels, and a mean score of 23.64 (Approaching Proficiency). Statistical analysis confirmed a significant difference between pretest and posttest scores (t = 17.9, p &lt; 0.001) and a very large effect size (Cohen’s d = 2.70). These findings highlight the effectiveness of multimodal strategies in improving comprehension by fostering engagement, accommodating diverse learning styles, and promoting deeper understanding of texts. The study recommends the consistent integration of multimodal approaches in reading instruction and targeted support for struggling learners to further enhance outcomes. Moreover, the results underscore the importance of designing interventions that combine visual, auditory, and kinesthetic elements to sustain learner motivation and maximize comprehension gains. Future studies are encouraged to analyze comprehension improvements across specific dimensions—such as literal, inferential, and evaluative understanding—to determine which aspects benefit most from multimodal instruction. Such analyses can refine targeted interventions, inform curriculum development, and contribute to sustained improvement in reading comprehension among secondary learners.</w:t>
      </w:r>
    </w:p>
    <w:p w14:paraId="4DED5F0B" w14:textId="77777777" w:rsidR="004E0A0E" w:rsidRPr="00DA2AAC" w:rsidRDefault="004E0A0E" w:rsidP="00D97720">
      <w:pPr>
        <w:spacing w:line="240" w:lineRule="auto"/>
        <w:jc w:val="both"/>
        <w:rPr>
          <w:rFonts w:ascii="Times New Roman" w:eastAsia="Times New Roman" w:hAnsi="Times New Roman" w:cs="Times New Roman"/>
          <w:i/>
          <w:iCs/>
          <w:sz w:val="24"/>
          <w:szCs w:val="24"/>
          <w:u w:val="single"/>
        </w:rPr>
      </w:pPr>
    </w:p>
    <w:p w14:paraId="707376BA" w14:textId="266416EB" w:rsidR="00391829" w:rsidRPr="00DA2AAC" w:rsidRDefault="00391829" w:rsidP="004E0A0E">
      <w:pPr>
        <w:spacing w:line="240" w:lineRule="auto"/>
        <w:jc w:val="both"/>
        <w:rPr>
          <w:rFonts w:ascii="Times New Roman" w:eastAsia="Times New Roman" w:hAnsi="Times New Roman" w:cs="Times New Roman"/>
          <w:i/>
          <w:iCs/>
          <w:sz w:val="24"/>
          <w:szCs w:val="24"/>
        </w:rPr>
      </w:pPr>
      <w:r w:rsidRPr="00DA2AAC">
        <w:rPr>
          <w:rFonts w:ascii="Times New Roman" w:eastAsia="Times New Roman" w:hAnsi="Times New Roman" w:cs="Times New Roman"/>
          <w:i/>
          <w:iCs/>
          <w:color w:val="000000"/>
          <w:sz w:val="24"/>
          <w:szCs w:val="24"/>
        </w:rPr>
        <w:t>Keywords: multimodal strategies, reading comprehension, visual learning, intervention, active learning </w:t>
      </w:r>
    </w:p>
    <w:p w14:paraId="289C040D" w14:textId="77777777" w:rsidR="00543817" w:rsidRDefault="00543817" w:rsidP="00D97720">
      <w:pPr>
        <w:spacing w:line="240" w:lineRule="auto"/>
        <w:jc w:val="center"/>
        <w:rPr>
          <w:rFonts w:ascii="Times New Roman" w:hAnsi="Times New Roman" w:cs="Times New Roman"/>
          <w:b/>
          <w:bCs/>
          <w:sz w:val="24"/>
          <w:szCs w:val="24"/>
        </w:rPr>
        <w:sectPr w:rsidR="00543817" w:rsidSect="00543817">
          <w:type w:val="continuous"/>
          <w:pgSz w:w="11906" w:h="16838"/>
          <w:pgMar w:top="1440" w:right="1080" w:bottom="1440" w:left="1080" w:header="720" w:footer="720" w:gutter="0"/>
          <w:pgNumType w:start="1"/>
          <w:cols w:space="720"/>
          <w:docGrid w:linePitch="299"/>
        </w:sectPr>
      </w:pPr>
    </w:p>
    <w:p w14:paraId="198D6D2A" w14:textId="546B0497" w:rsidR="00391829" w:rsidRPr="007821AE" w:rsidRDefault="00391829" w:rsidP="00D97720">
      <w:pPr>
        <w:spacing w:line="240" w:lineRule="auto"/>
        <w:jc w:val="center"/>
        <w:rPr>
          <w:rFonts w:ascii="Times New Roman" w:hAnsi="Times New Roman" w:cs="Times New Roman"/>
          <w:b/>
          <w:bCs/>
          <w:sz w:val="24"/>
          <w:szCs w:val="24"/>
        </w:rPr>
      </w:pPr>
    </w:p>
    <w:p w14:paraId="32010800" w14:textId="77777777" w:rsidR="00D87EA0" w:rsidRPr="007821AE" w:rsidRDefault="00D87EA0" w:rsidP="00D97720">
      <w:pPr>
        <w:spacing w:line="240" w:lineRule="auto"/>
        <w:jc w:val="center"/>
        <w:rPr>
          <w:rFonts w:ascii="Times New Roman" w:hAnsi="Times New Roman" w:cs="Times New Roman"/>
          <w:b/>
          <w:bCs/>
          <w:sz w:val="24"/>
          <w:szCs w:val="24"/>
        </w:rPr>
        <w:sectPr w:rsidR="00D87EA0" w:rsidRPr="007821AE" w:rsidSect="00543817">
          <w:type w:val="continuous"/>
          <w:pgSz w:w="11906" w:h="16838"/>
          <w:pgMar w:top="1440" w:right="1080" w:bottom="1440" w:left="1080" w:header="720" w:footer="720" w:gutter="0"/>
          <w:pgNumType w:start="1"/>
          <w:cols w:num="2" w:space="720"/>
          <w:docGrid w:linePitch="299"/>
        </w:sectPr>
      </w:pPr>
    </w:p>
    <w:p w14:paraId="50CB88BE" w14:textId="279FA170" w:rsidR="001C7FEE" w:rsidRPr="007821AE" w:rsidRDefault="00206C7E" w:rsidP="00D97720">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INTRODUCTION</w:t>
      </w:r>
    </w:p>
    <w:p w14:paraId="1C136E5E" w14:textId="7B2381D5" w:rsidR="00DA2AAC" w:rsidRPr="009C6C60" w:rsidRDefault="00DA2AAC" w:rsidP="009C6C60">
      <w:pPr>
        <w:keepNext/>
        <w:framePr w:dropCap="drop" w:lines="2" w:h="714" w:hRule="exact" w:wrap="around" w:vAnchor="text" w:hAnchor="page" w:x="1078" w:y="23"/>
        <w:spacing w:before="240" w:line="474" w:lineRule="exact"/>
        <w:jc w:val="both"/>
        <w:textAlignment w:val="baseline"/>
        <w:rPr>
          <w:rFonts w:ascii="Times New Roman" w:hAnsi="Times New Roman" w:cs="Times New Roman"/>
          <w:position w:val="-4"/>
          <w:sz w:val="58"/>
          <w:szCs w:val="24"/>
        </w:rPr>
      </w:pPr>
      <w:r w:rsidRPr="009C6C60">
        <w:rPr>
          <w:rFonts w:ascii="Times New Roman" w:hAnsi="Times New Roman" w:cs="Times New Roman"/>
          <w:position w:val="-4"/>
          <w:sz w:val="58"/>
          <w:szCs w:val="24"/>
        </w:rPr>
        <w:t>R</w:t>
      </w:r>
    </w:p>
    <w:p w14:paraId="4772B7DF" w14:textId="4864BB1F" w:rsidR="001C7FEE" w:rsidRPr="007821AE" w:rsidRDefault="00970555" w:rsidP="00DA2AAC">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eading</w:t>
      </w:r>
      <w:r w:rsidR="00206C7E" w:rsidRPr="007821AE">
        <w:rPr>
          <w:rFonts w:ascii="Times New Roman" w:hAnsi="Times New Roman" w:cs="Times New Roman"/>
          <w:sz w:val="24"/>
          <w:szCs w:val="24"/>
        </w:rPr>
        <w:t xml:space="preserve"> comprehension is a fundamental skill essential for learners’ academic success, as it enables them to understand, interpret, and respond to texts across five key dimensions: lexical, literal, inferential, applied, and evaluative comprehension. These dimensions guide learners from basic word recognition to </w:t>
      </w:r>
      <w:r w:rsidR="005119B2" w:rsidRPr="007821AE">
        <w:rPr>
          <w:rFonts w:ascii="Times New Roman" w:hAnsi="Times New Roman" w:cs="Times New Roman"/>
          <w:sz w:val="24"/>
          <w:szCs w:val="24"/>
        </w:rPr>
        <w:t>higher-order</w:t>
      </w:r>
      <w:r w:rsidR="00206C7E" w:rsidRPr="007821AE">
        <w:rPr>
          <w:rFonts w:ascii="Times New Roman" w:hAnsi="Times New Roman" w:cs="Times New Roman"/>
          <w:sz w:val="24"/>
          <w:szCs w:val="24"/>
        </w:rPr>
        <w:t xml:space="preserve"> thinking and critical engagement with texts. However, despite its importance, reading comprehension remains a persistent challenge among Filipino learners, particularly at the secondary level.</w:t>
      </w:r>
    </w:p>
    <w:p w14:paraId="1704B0DE" w14:textId="24ACB8E3" w:rsidR="001C7FEE" w:rsidRPr="007821AE" w:rsidRDefault="00D2203A" w:rsidP="00D97720">
      <w:pPr>
        <w:spacing w:before="240" w:after="24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3DA5D3" wp14:editId="0719F0F7">
                <wp:simplePos x="0" y="0"/>
                <wp:positionH relativeFrom="column">
                  <wp:posOffset>2924175</wp:posOffset>
                </wp:positionH>
                <wp:positionV relativeFrom="paragraph">
                  <wp:posOffset>669290</wp:posOffset>
                </wp:positionV>
                <wp:extent cx="304800" cy="238125"/>
                <wp:effectExtent l="0" t="0" r="0" b="9525"/>
                <wp:wrapNone/>
                <wp:docPr id="986225483" name="Text Box 2"/>
                <wp:cNvGraphicFramePr/>
                <a:graphic xmlns:a="http://schemas.openxmlformats.org/drawingml/2006/main">
                  <a:graphicData uri="http://schemas.microsoft.com/office/word/2010/wordprocessingShape">
                    <wps:wsp>
                      <wps:cNvSpPr txBox="1"/>
                      <wps:spPr>
                        <a:xfrm>
                          <a:off x="0" y="0"/>
                          <a:ext cx="304800" cy="238125"/>
                        </a:xfrm>
                        <a:prstGeom prst="rect">
                          <a:avLst/>
                        </a:prstGeom>
                        <a:solidFill>
                          <a:schemeClr val="lt1"/>
                        </a:solidFill>
                        <a:ln w="6350">
                          <a:noFill/>
                        </a:ln>
                      </wps:spPr>
                      <wps:txbx>
                        <w:txbxContent>
                          <w:p w14:paraId="16967134" w14:textId="33AE4CB9" w:rsidR="00D2203A" w:rsidRPr="00D2203A" w:rsidRDefault="00EB5C56">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 xml:space="preserve"> </w:t>
                            </w:r>
                            <w:r w:rsidR="00D2203A" w:rsidRPr="00D2203A">
                              <w:rPr>
                                <w:rFonts w:ascii="Times New Roman" w:hAnsi="Times New Roman" w:cs="Times New Roman"/>
                                <w:color w:val="595959" w:themeColor="text1" w:themeTint="A6"/>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3DA5D3" id="_x0000_t202" coordsize="21600,21600" o:spt="202" path="m,l,21600r21600,l21600,xe">
                <v:stroke joinstyle="miter"/>
                <v:path gradientshapeok="t" o:connecttype="rect"/>
              </v:shapetype>
              <v:shape id="Text Box 2" o:spid="_x0000_s1026" type="#_x0000_t202" style="position:absolute;left:0;text-align:left;margin-left:230.25pt;margin-top:52.7pt;width:24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" fillcolor="white [3201]" stroked="f" strokeweight=".5pt">
                <v:textbox>
                  <w:txbxContent>
                    <w:p w14:paraId="16967134" w14:textId="33AE4CB9" w:rsidR="00D2203A" w:rsidRPr="00D2203A" w:rsidRDefault="00EB5C56">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 xml:space="preserve"> </w:t>
                      </w:r>
                      <w:r w:rsidR="00D2203A" w:rsidRPr="00D2203A">
                        <w:rPr>
                          <w:rFonts w:ascii="Times New Roman" w:hAnsi="Times New Roman" w:cs="Times New Roman"/>
                          <w:color w:val="595959" w:themeColor="text1" w:themeTint="A6"/>
                          <w:sz w:val="24"/>
                          <w:szCs w:val="24"/>
                        </w:rPr>
                        <w:t>1</w:t>
                      </w:r>
                    </w:p>
                  </w:txbxContent>
                </v:textbox>
              </v:shape>
            </w:pict>
          </mc:Fallback>
        </mc:AlternateContent>
      </w:r>
      <w:r w:rsidR="00206C7E" w:rsidRPr="007821AE">
        <w:rPr>
          <w:rFonts w:ascii="Times New Roman" w:hAnsi="Times New Roman" w:cs="Times New Roman"/>
          <w:sz w:val="24"/>
          <w:szCs w:val="24"/>
        </w:rPr>
        <w:t xml:space="preserve">Globally, large-scale assessments such as the </w:t>
      </w:r>
      <w:proofErr w:type="spellStart"/>
      <w:r w:rsidR="00206C7E" w:rsidRPr="007821AE">
        <w:rPr>
          <w:rFonts w:ascii="Times New Roman" w:hAnsi="Times New Roman" w:cs="Times New Roman"/>
          <w:sz w:val="24"/>
          <w:szCs w:val="24"/>
        </w:rPr>
        <w:t>Programme</w:t>
      </w:r>
      <w:proofErr w:type="spellEnd"/>
      <w:r w:rsidR="00206C7E" w:rsidRPr="007821AE">
        <w:rPr>
          <w:rFonts w:ascii="Times New Roman" w:hAnsi="Times New Roman" w:cs="Times New Roman"/>
          <w:sz w:val="24"/>
          <w:szCs w:val="24"/>
        </w:rPr>
        <w:t xml:space="preserve"> for International Student </w:t>
      </w:r>
      <w:r w:rsidR="00206C7E" w:rsidRPr="007821AE">
        <w:rPr>
          <w:rFonts w:ascii="Times New Roman" w:hAnsi="Times New Roman" w:cs="Times New Roman"/>
          <w:sz w:val="24"/>
          <w:szCs w:val="24"/>
        </w:rPr>
        <w:t>Assessment (PISA) consistently report low reading proficiency among students in developing countries. In the Philippines, results from PISA and national assessments reveal that many learners fail to meet the minimum level of reading proficiency (</w:t>
      </w:r>
      <w:proofErr w:type="spellStart"/>
      <w:r w:rsidR="00206C7E" w:rsidRPr="007821AE">
        <w:rPr>
          <w:rFonts w:ascii="Times New Roman" w:hAnsi="Times New Roman" w:cs="Times New Roman"/>
          <w:sz w:val="24"/>
          <w:szCs w:val="24"/>
        </w:rPr>
        <w:t>Hewi</w:t>
      </w:r>
      <w:proofErr w:type="spellEnd"/>
      <w:r w:rsidR="00206C7E" w:rsidRPr="007821AE">
        <w:rPr>
          <w:rFonts w:ascii="Times New Roman" w:hAnsi="Times New Roman" w:cs="Times New Roman"/>
          <w:sz w:val="24"/>
          <w:szCs w:val="24"/>
        </w:rPr>
        <w:t xml:space="preserve"> &amp; Shaleh, 2020; Luzano, </w:t>
      </w:r>
      <w:proofErr w:type="spellStart"/>
      <w:r w:rsidR="00206C7E" w:rsidRPr="007821AE">
        <w:rPr>
          <w:rFonts w:ascii="Times New Roman" w:hAnsi="Times New Roman" w:cs="Times New Roman"/>
          <w:sz w:val="24"/>
          <w:szCs w:val="24"/>
        </w:rPr>
        <w:t>Binayao</w:t>
      </w:r>
      <w:proofErr w:type="spellEnd"/>
      <w:r w:rsidR="00206C7E" w:rsidRPr="007821AE">
        <w:rPr>
          <w:rFonts w:ascii="Times New Roman" w:hAnsi="Times New Roman" w:cs="Times New Roman"/>
          <w:sz w:val="24"/>
          <w:szCs w:val="24"/>
        </w:rPr>
        <w:t xml:space="preserve">, &amp; </w:t>
      </w:r>
      <w:proofErr w:type="spellStart"/>
      <w:r w:rsidR="00206C7E" w:rsidRPr="007821AE">
        <w:rPr>
          <w:rFonts w:ascii="Times New Roman" w:hAnsi="Times New Roman" w:cs="Times New Roman"/>
          <w:sz w:val="24"/>
          <w:szCs w:val="24"/>
        </w:rPr>
        <w:t>Peligrino</w:t>
      </w:r>
      <w:proofErr w:type="spellEnd"/>
      <w:r w:rsidR="00206C7E" w:rsidRPr="007821AE">
        <w:rPr>
          <w:rFonts w:ascii="Times New Roman" w:hAnsi="Times New Roman" w:cs="Times New Roman"/>
          <w:sz w:val="24"/>
          <w:szCs w:val="24"/>
        </w:rPr>
        <w:t>, 2024). This is further supported by data from the Department of Education, which indicates that a significant number of students struggle with reading comprehension tasks (Villanueva, 2022; Tortola, 2021). These findings highlight a critical issue, as poor reading comprehension can hinder academic performance across subject areas and limit future opportunities (Hemmings, Kay, &amp; Sharp, 2019).</w:t>
      </w:r>
    </w:p>
    <w:p w14:paraId="2A01F9BC" w14:textId="55611338" w:rsidR="001C7FEE" w:rsidRPr="007821AE" w:rsidRDefault="00206C7E" w:rsidP="00D97720">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lastRenderedPageBreak/>
        <w:t xml:space="preserve">At the classroom level, these challenges are evident among Grade 9 learners, who often </w:t>
      </w:r>
      <w:r w:rsidR="005F6C41" w:rsidRPr="007821AE">
        <w:rPr>
          <w:rFonts w:ascii="Times New Roman" w:hAnsi="Times New Roman" w:cs="Times New Roman"/>
          <w:sz w:val="24"/>
          <w:szCs w:val="24"/>
        </w:rPr>
        <w:t>struggle to identify key ideas, make inferences, and interpret</w:t>
      </w:r>
      <w:r w:rsidRPr="007821AE">
        <w:rPr>
          <w:rFonts w:ascii="Times New Roman" w:hAnsi="Times New Roman" w:cs="Times New Roman"/>
          <w:sz w:val="24"/>
          <w:szCs w:val="24"/>
        </w:rPr>
        <w:t xml:space="preserve"> texts. Studies suggest that such difficulties are influenced by multiple factors, including limited parental involvement, poor reading habits, and an inadequate home literacy environment (Berns, 2004; Estremera et al., 2018). Additionally, traditional teaching approaches that rely heavily on text-based instruction and rote learning fail to actively engage students or address diverse learning needs (Camino et al., 2025). As a result, learners become passive participants, which further limits the development of their comprehension skills.</w:t>
      </w:r>
    </w:p>
    <w:p w14:paraId="28D666E8" w14:textId="77777777" w:rsidR="001C7FEE" w:rsidRPr="007821AE" w:rsidRDefault="00206C7E" w:rsidP="00D97720">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To address these concerns, there is a growing need for more innovative and learner-centered instructional strategies. One effective approach is the use of multimodal strategies, which integrate various modes of learning such as reading, writing, visual representation, audio, and physical interaction. According to </w:t>
      </w:r>
      <w:proofErr w:type="spellStart"/>
      <w:r w:rsidRPr="007821AE">
        <w:rPr>
          <w:rFonts w:ascii="Times New Roman" w:hAnsi="Times New Roman" w:cs="Times New Roman"/>
          <w:sz w:val="24"/>
          <w:szCs w:val="24"/>
        </w:rPr>
        <w:t>Alhabshi</w:t>
      </w:r>
      <w:proofErr w:type="spellEnd"/>
      <w:r w:rsidRPr="007821AE">
        <w:rPr>
          <w:rFonts w:ascii="Times New Roman" w:hAnsi="Times New Roman" w:cs="Times New Roman"/>
          <w:sz w:val="24"/>
          <w:szCs w:val="24"/>
        </w:rPr>
        <w:t xml:space="preserve"> and Abdelaziz (2022), multimodal learning environments enhance reading comprehension by allowing learners to process information through multiple channels. These strategies include making connections, predicting, visualizing, questioning, inferring, retelling, and summarizing, all of which support deeper comprehension.</w:t>
      </w:r>
    </w:p>
    <w:p w14:paraId="4436A24E" w14:textId="77777777" w:rsidR="001C7FEE" w:rsidRPr="007821AE" w:rsidRDefault="00206C7E" w:rsidP="00D97720">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Moreover, multimodal instruction has been shown to improve both engagement and comprehension. </w:t>
      </w:r>
      <w:proofErr w:type="spellStart"/>
      <w:r w:rsidRPr="007821AE">
        <w:rPr>
          <w:rFonts w:ascii="Times New Roman" w:hAnsi="Times New Roman" w:cs="Times New Roman"/>
          <w:sz w:val="24"/>
          <w:szCs w:val="24"/>
        </w:rPr>
        <w:t>Angub</w:t>
      </w:r>
      <w:proofErr w:type="spellEnd"/>
      <w:r w:rsidRPr="007821AE">
        <w:rPr>
          <w:rFonts w:ascii="Times New Roman" w:hAnsi="Times New Roman" w:cs="Times New Roman"/>
          <w:sz w:val="24"/>
          <w:szCs w:val="24"/>
        </w:rPr>
        <w:t xml:space="preserve"> et al. (2025) found that integrating texts, images, and videos significantly enhances learners’ understanding at both word and text levels. Similarly, </w:t>
      </w:r>
      <w:proofErr w:type="spellStart"/>
      <w:r w:rsidRPr="007821AE">
        <w:rPr>
          <w:rFonts w:ascii="Times New Roman" w:hAnsi="Times New Roman" w:cs="Times New Roman"/>
          <w:sz w:val="24"/>
          <w:szCs w:val="24"/>
        </w:rPr>
        <w:t>Daulay</w:t>
      </w:r>
      <w:proofErr w:type="spellEnd"/>
      <w:r w:rsidRPr="007821AE">
        <w:rPr>
          <w:rFonts w:ascii="Times New Roman" w:hAnsi="Times New Roman" w:cs="Times New Roman"/>
          <w:sz w:val="24"/>
          <w:szCs w:val="24"/>
        </w:rPr>
        <w:t xml:space="preserve"> and Dewi (2025) emphasized that multimodal approaches facilitate learners' retention of information and foster meaningful learning experiences. These strategies also align with contemporary educational practices that promote differentiated instruction and active learning, making them suitable for addressing the diverse needs of today’s learners.</w:t>
      </w:r>
    </w:p>
    <w:p w14:paraId="7E5C7D18" w14:textId="63C8EBF0" w:rsidR="00463B24" w:rsidRPr="007821AE" w:rsidRDefault="00FD2F09" w:rsidP="00463B24">
      <w:pPr>
        <w:spacing w:before="240" w:after="24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E103EB7" wp14:editId="07326737">
                <wp:simplePos x="0" y="0"/>
                <wp:positionH relativeFrom="column">
                  <wp:posOffset>2912165</wp:posOffset>
                </wp:positionH>
                <wp:positionV relativeFrom="paragraph">
                  <wp:posOffset>800735</wp:posOffset>
                </wp:positionV>
                <wp:extent cx="333375" cy="366505"/>
                <wp:effectExtent l="0" t="0" r="9525" b="0"/>
                <wp:wrapNone/>
                <wp:docPr id="1955987839" name="Text Box 3"/>
                <wp:cNvGraphicFramePr/>
                <a:graphic xmlns:a="http://schemas.openxmlformats.org/drawingml/2006/main">
                  <a:graphicData uri="http://schemas.microsoft.com/office/word/2010/wordprocessingShape">
                    <wps:wsp>
                      <wps:cNvSpPr txBox="1"/>
                      <wps:spPr>
                        <a:xfrm>
                          <a:off x="0" y="0"/>
                          <a:ext cx="333375" cy="366505"/>
                        </a:xfrm>
                        <a:prstGeom prst="rect">
                          <a:avLst/>
                        </a:prstGeom>
                        <a:solidFill>
                          <a:schemeClr val="lt1"/>
                        </a:solidFill>
                        <a:ln w="6350">
                          <a:noFill/>
                        </a:ln>
                      </wps:spPr>
                      <wps:txbx>
                        <w:txbxContent>
                          <w:p w14:paraId="52360B7A" w14:textId="6A5814D3" w:rsidR="00FD2F09" w:rsidRPr="00FD2F09" w:rsidRDefault="00FD2F09">
                            <w:pPr>
                              <w:rPr>
                                <w:rFonts w:ascii="Times New Roman" w:hAnsi="Times New Roman" w:cs="Times New Roman"/>
                                <w:sz w:val="24"/>
                                <w:szCs w:val="24"/>
                              </w:rPr>
                            </w:pPr>
                            <w:r w:rsidRPr="00FD2F09">
                              <w:rPr>
                                <w:rFonts w:ascii="Times New Roman" w:hAnsi="Times New Roman" w:cs="Times New Roman"/>
                                <w:sz w:val="24"/>
                                <w:szCs w:val="24"/>
                              </w:rPr>
                              <w:t xml:space="preserve"> </w:t>
                            </w:r>
                            <w:r w:rsidRPr="00FD2F09">
                              <w:rPr>
                                <w:rFonts w:ascii="Times New Roman" w:hAnsi="Times New Roman" w:cs="Times New Roman"/>
                                <w:color w:val="595959" w:themeColor="text1" w:themeTint="A6"/>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3EB7" id="Text Box 3" o:spid="_x0000_s1027" type="#_x0000_t202" style="position:absolute;left:0;text-align:left;margin-left:229.3pt;margin-top:63.05pt;width:26.25pt;height:2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" fillcolor="white [3201]" stroked="f" strokeweight=".5pt">
                <v:textbox>
                  <w:txbxContent>
                    <w:p w14:paraId="52360B7A" w14:textId="6A5814D3" w:rsidR="00FD2F09" w:rsidRPr="00FD2F09" w:rsidRDefault="00FD2F09">
                      <w:pPr>
                        <w:rPr>
                          <w:rFonts w:ascii="Times New Roman" w:hAnsi="Times New Roman" w:cs="Times New Roman"/>
                          <w:sz w:val="24"/>
                          <w:szCs w:val="24"/>
                        </w:rPr>
                      </w:pPr>
                      <w:r w:rsidRPr="00FD2F09">
                        <w:rPr>
                          <w:rFonts w:ascii="Times New Roman" w:hAnsi="Times New Roman" w:cs="Times New Roman"/>
                          <w:sz w:val="24"/>
                          <w:szCs w:val="24"/>
                        </w:rPr>
                        <w:t xml:space="preserve"> </w:t>
                      </w:r>
                      <w:r w:rsidRPr="00FD2F09">
                        <w:rPr>
                          <w:rFonts w:ascii="Times New Roman" w:hAnsi="Times New Roman" w:cs="Times New Roman"/>
                          <w:color w:val="595959" w:themeColor="text1" w:themeTint="A6"/>
                          <w:sz w:val="24"/>
                          <w:szCs w:val="24"/>
                        </w:rPr>
                        <w:t>2</w:t>
                      </w:r>
                    </w:p>
                  </w:txbxContent>
                </v:textbox>
              </v:shape>
            </w:pict>
          </mc:Fallback>
        </mc:AlternateContent>
      </w:r>
      <w:r w:rsidR="00463B24" w:rsidRPr="007821AE">
        <w:rPr>
          <w:rFonts w:ascii="Times New Roman" w:hAnsi="Times New Roman" w:cs="Times New Roman"/>
          <w:sz w:val="24"/>
          <w:szCs w:val="24"/>
        </w:rPr>
        <w:t xml:space="preserve">Given these considerations, this study was conducted to address the reading </w:t>
      </w:r>
      <w:r w:rsidR="00463B24" w:rsidRPr="007821AE">
        <w:rPr>
          <w:rFonts w:ascii="Times New Roman" w:hAnsi="Times New Roman" w:cs="Times New Roman"/>
          <w:sz w:val="24"/>
          <w:szCs w:val="24"/>
        </w:rPr>
        <w:t xml:space="preserve">comprehension difficulties observed among Grade 9 learners at </w:t>
      </w:r>
      <w:proofErr w:type="spellStart"/>
      <w:r w:rsidR="00463B24" w:rsidRPr="007821AE">
        <w:rPr>
          <w:rFonts w:ascii="Times New Roman" w:hAnsi="Times New Roman" w:cs="Times New Roman"/>
          <w:sz w:val="24"/>
          <w:szCs w:val="24"/>
        </w:rPr>
        <w:t>Lumbo</w:t>
      </w:r>
      <w:proofErr w:type="spellEnd"/>
      <w:r w:rsidR="00463B24" w:rsidRPr="007821AE">
        <w:rPr>
          <w:rFonts w:ascii="Times New Roman" w:hAnsi="Times New Roman" w:cs="Times New Roman"/>
          <w:sz w:val="24"/>
          <w:szCs w:val="24"/>
        </w:rPr>
        <w:t xml:space="preserve"> Integrated School by examining the effectiveness of multimodal strategies such as guided reading, video viewing, writing tasks, and role-playing in improving students’ comprehension, which were selected to engage learners through visual, auditory, and kinesthetic modes, fostering active participation and a deeper understanding of texts. The findings of this study are expected to provide practical insights for teachers in selecting effective, engaging, and evidence-based instructional approaches that enhance learners’ comprehension skills and overall academic performance.</w:t>
      </w:r>
    </w:p>
    <w:p w14:paraId="59ED6489" w14:textId="2F8437C6" w:rsidR="001C7FEE" w:rsidRPr="007821AE" w:rsidRDefault="00206C7E" w:rsidP="00D97720">
      <w:pPr>
        <w:spacing w:before="240" w:after="240"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Statement of the Problem</w:t>
      </w:r>
    </w:p>
    <w:p w14:paraId="0336C5CC" w14:textId="53581733" w:rsidR="001C7FEE" w:rsidRPr="007821AE" w:rsidRDefault="00206C7E" w:rsidP="00D87EA0">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The study focused on enhancing the reading comprehension of </w:t>
      </w:r>
      <w:r w:rsidR="00D87EA0" w:rsidRPr="007821AE">
        <w:rPr>
          <w:rFonts w:ascii="Times New Roman" w:hAnsi="Times New Roman" w:cs="Times New Roman"/>
          <w:sz w:val="24"/>
          <w:szCs w:val="24"/>
        </w:rPr>
        <w:t>learners, using the Philippine Informal Reading Inventory (Phil-IRI) manual (2018) to analyze their reading comprehension levels</w:t>
      </w:r>
      <w:r w:rsidRPr="007821AE">
        <w:rPr>
          <w:rFonts w:ascii="Times New Roman" w:hAnsi="Times New Roman" w:cs="Times New Roman"/>
          <w:sz w:val="24"/>
          <w:szCs w:val="24"/>
        </w:rPr>
        <w:t>. Specifically, this paper aims to answer the following questions:</w:t>
      </w:r>
    </w:p>
    <w:p w14:paraId="674ED768" w14:textId="77777777" w:rsidR="001C7FEE" w:rsidRPr="007821AE" w:rsidRDefault="00206C7E" w:rsidP="00D97720">
      <w:pPr>
        <w:spacing w:line="240" w:lineRule="auto"/>
        <w:ind w:left="1080" w:hanging="360"/>
        <w:jc w:val="both"/>
        <w:rPr>
          <w:rFonts w:ascii="Times New Roman" w:hAnsi="Times New Roman" w:cs="Times New Roman"/>
          <w:sz w:val="24"/>
          <w:szCs w:val="24"/>
        </w:rPr>
      </w:pPr>
      <w:r w:rsidRPr="007821AE">
        <w:rPr>
          <w:rFonts w:ascii="Times New Roman" w:hAnsi="Times New Roman" w:cs="Times New Roman"/>
          <w:sz w:val="24"/>
          <w:szCs w:val="24"/>
        </w:rPr>
        <w:t>1. What is the level of students’ reading comprehension before and after the implementation of multi-modal strategies?</w:t>
      </w:r>
    </w:p>
    <w:p w14:paraId="2657F357" w14:textId="77777777" w:rsidR="0020565E" w:rsidRPr="007821AE" w:rsidRDefault="00206C7E" w:rsidP="00D97720">
      <w:pPr>
        <w:spacing w:line="240" w:lineRule="auto"/>
        <w:ind w:left="1080" w:hanging="360"/>
        <w:jc w:val="both"/>
        <w:rPr>
          <w:rFonts w:ascii="Times New Roman" w:hAnsi="Times New Roman" w:cs="Times New Roman"/>
          <w:sz w:val="24"/>
          <w:szCs w:val="24"/>
        </w:rPr>
      </w:pPr>
      <w:r w:rsidRPr="007821AE">
        <w:rPr>
          <w:rFonts w:ascii="Times New Roman" w:hAnsi="Times New Roman" w:cs="Times New Roman"/>
          <w:sz w:val="24"/>
          <w:szCs w:val="24"/>
        </w:rPr>
        <w:t>2. Is there a significant difference between the level of students’ reading comprehension before and after the implementation of multimodal strategies?</w:t>
      </w:r>
    </w:p>
    <w:p w14:paraId="1291BFB8" w14:textId="77777777" w:rsidR="00463B24" w:rsidRPr="007821AE" w:rsidRDefault="00463B24" w:rsidP="00DA2AAC">
      <w:pPr>
        <w:spacing w:line="240" w:lineRule="auto"/>
        <w:rPr>
          <w:rFonts w:ascii="Times New Roman" w:hAnsi="Times New Roman" w:cs="Times New Roman"/>
          <w:b/>
          <w:bCs/>
          <w:sz w:val="24"/>
          <w:szCs w:val="24"/>
        </w:rPr>
      </w:pPr>
    </w:p>
    <w:p w14:paraId="7FB8870E" w14:textId="5B7AD6DD" w:rsidR="001C7FEE" w:rsidRPr="007821AE" w:rsidRDefault="00206C7E" w:rsidP="00463B24">
      <w:pPr>
        <w:spacing w:line="240" w:lineRule="auto"/>
        <w:jc w:val="center"/>
        <w:rPr>
          <w:rFonts w:ascii="Times New Roman" w:hAnsi="Times New Roman" w:cs="Times New Roman"/>
          <w:sz w:val="24"/>
          <w:szCs w:val="24"/>
        </w:rPr>
      </w:pPr>
      <w:r w:rsidRPr="007821AE">
        <w:rPr>
          <w:rFonts w:ascii="Times New Roman" w:hAnsi="Times New Roman" w:cs="Times New Roman"/>
          <w:b/>
          <w:bCs/>
          <w:sz w:val="24"/>
          <w:szCs w:val="24"/>
        </w:rPr>
        <w:t>Hypothesis</w:t>
      </w:r>
    </w:p>
    <w:p w14:paraId="6E241886" w14:textId="51603DC8" w:rsidR="001C7FEE" w:rsidRPr="007821AE" w:rsidRDefault="00206C7E" w:rsidP="00463B24">
      <w:pPr>
        <w:spacing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There is no significant difference in learners' pre- and post-test reading comprehension scores before and after the implementation of multimodal strategies.</w:t>
      </w:r>
    </w:p>
    <w:p w14:paraId="751ADBF5" w14:textId="77777777" w:rsidR="009C6C60" w:rsidRDefault="009C6C60" w:rsidP="00543817">
      <w:pPr>
        <w:spacing w:line="240" w:lineRule="auto"/>
        <w:rPr>
          <w:rFonts w:ascii="Times New Roman" w:hAnsi="Times New Roman" w:cs="Times New Roman"/>
          <w:b/>
          <w:bCs/>
          <w:sz w:val="24"/>
          <w:szCs w:val="24"/>
        </w:rPr>
      </w:pPr>
    </w:p>
    <w:p w14:paraId="482707C7" w14:textId="1D9841A3" w:rsidR="001C7FEE" w:rsidRPr="007821AE" w:rsidRDefault="00206C7E" w:rsidP="00D97720">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METHODOLOGY</w:t>
      </w:r>
    </w:p>
    <w:p w14:paraId="22621946" w14:textId="77777777" w:rsidR="0020565E" w:rsidRPr="007821AE" w:rsidRDefault="0020565E" w:rsidP="00D97720">
      <w:pPr>
        <w:spacing w:line="240" w:lineRule="auto"/>
        <w:jc w:val="center"/>
        <w:rPr>
          <w:rFonts w:ascii="Times New Roman" w:hAnsi="Times New Roman" w:cs="Times New Roman"/>
          <w:b/>
          <w:bCs/>
          <w:sz w:val="24"/>
          <w:szCs w:val="24"/>
        </w:rPr>
      </w:pPr>
    </w:p>
    <w:p w14:paraId="1C623004" w14:textId="77777777" w:rsidR="001C7FEE" w:rsidRPr="007821AE" w:rsidRDefault="00206C7E" w:rsidP="00D97720">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Research Design</w:t>
      </w:r>
    </w:p>
    <w:p w14:paraId="7DD8D14E" w14:textId="77777777" w:rsidR="001C7FEE" w:rsidRPr="007821AE" w:rsidRDefault="00206C7E" w:rsidP="00D97720">
      <w:pPr>
        <w:spacing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This study utilized a quasi-experimental research design, specifically a one-group pretest–posttest design, to determine the effectiveness of multi-modal strategies in enhancing the reading comprehension of Grade 9 learners. A pre-test was administered before </w:t>
      </w:r>
      <w:r w:rsidRPr="007821AE">
        <w:rPr>
          <w:rFonts w:ascii="Times New Roman" w:hAnsi="Times New Roman" w:cs="Times New Roman"/>
          <w:sz w:val="24"/>
          <w:szCs w:val="24"/>
        </w:rPr>
        <w:lastRenderedPageBreak/>
        <w:t>the intervention, and a post-test was given after the implementation to measure any improvement in students’ comprehension.</w:t>
      </w:r>
    </w:p>
    <w:p w14:paraId="01E2A4F6" w14:textId="77777777" w:rsidR="001C7FEE" w:rsidRPr="007821AE" w:rsidRDefault="001C7FEE" w:rsidP="00D97720">
      <w:pPr>
        <w:spacing w:line="240" w:lineRule="auto"/>
        <w:ind w:firstLine="720"/>
        <w:jc w:val="both"/>
        <w:rPr>
          <w:rFonts w:ascii="Times New Roman" w:hAnsi="Times New Roman" w:cs="Times New Roman"/>
          <w:sz w:val="24"/>
          <w:szCs w:val="24"/>
        </w:rPr>
      </w:pPr>
    </w:p>
    <w:p w14:paraId="6EDF1C26" w14:textId="77777777" w:rsidR="001C7FEE" w:rsidRPr="007821AE" w:rsidRDefault="00206C7E" w:rsidP="00D97720">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Participants of the Study</w:t>
      </w:r>
    </w:p>
    <w:p w14:paraId="0047D326" w14:textId="77777777" w:rsidR="001C7FEE" w:rsidRPr="007821AE" w:rsidRDefault="00206C7E" w:rsidP="00D97720">
      <w:pPr>
        <w:spacing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The participants of the study were selected using purposive sampling. One Grade 9 section was intentionally chosen based on its accessibility and the observed reading comprehension difficulties of the learners. This group served as the participants for the implementation of the multi-modal strategies.</w:t>
      </w:r>
    </w:p>
    <w:p w14:paraId="5E7C0E3A" w14:textId="77777777" w:rsidR="001C7FEE" w:rsidRPr="007821AE" w:rsidRDefault="001C7FEE" w:rsidP="00D97720">
      <w:pPr>
        <w:spacing w:line="240" w:lineRule="auto"/>
        <w:ind w:firstLine="720"/>
        <w:jc w:val="both"/>
        <w:rPr>
          <w:rFonts w:ascii="Times New Roman" w:hAnsi="Times New Roman" w:cs="Times New Roman"/>
          <w:sz w:val="24"/>
          <w:szCs w:val="24"/>
        </w:rPr>
      </w:pPr>
    </w:p>
    <w:p w14:paraId="583AB477" w14:textId="77777777" w:rsidR="001C7FEE" w:rsidRPr="007821AE" w:rsidRDefault="00206C7E" w:rsidP="00D97720">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Research Instrument</w:t>
      </w:r>
    </w:p>
    <w:p w14:paraId="5F2A28F2" w14:textId="340FA6BC" w:rsidR="001C7FEE" w:rsidRPr="007821AE" w:rsidRDefault="00206C7E" w:rsidP="00D97720">
      <w:pPr>
        <w:spacing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To assess the effectiveness of the multimodal learning strategy, the researcher utilized pre-test and post-test instruments to determine whether there were significant changes in the students’ reading comprehension levels following the implementation of the multimodal learning strategy in the classroom. The pre- and post-tests were administered to the same set of learners. The questionnaire has undergone pilot-testing and reliability tests by a professional statistician. The questionnaire was found to be reliable based on the internal consistency tests (Kuder Richardson 20) results with a coefficient of 0.721. This means the test items show a moderate level of internal consistency. While it is not rated as “Good” or “Excellent,” it is generally acceptable for research purposes. </w:t>
      </w:r>
    </w:p>
    <w:p w14:paraId="56BF1CBF" w14:textId="37C23F4F" w:rsidR="0020565E" w:rsidRPr="007821AE" w:rsidRDefault="00206C7E" w:rsidP="00463B24">
      <w:pPr>
        <w:spacing w:line="240" w:lineRule="auto"/>
        <w:jc w:val="both"/>
        <w:rPr>
          <w:rFonts w:ascii="Times New Roman" w:hAnsi="Times New Roman" w:cs="Times New Roman"/>
          <w:sz w:val="24"/>
          <w:szCs w:val="24"/>
        </w:rPr>
      </w:pPr>
      <w:r w:rsidRPr="007821AE">
        <w:rPr>
          <w:rFonts w:ascii="Times New Roman" w:hAnsi="Times New Roman" w:cs="Times New Roman"/>
          <w:sz w:val="24"/>
          <w:szCs w:val="24"/>
        </w:rPr>
        <w:t xml:space="preserve"> </w:t>
      </w:r>
    </w:p>
    <w:p w14:paraId="35527794" w14:textId="77777777" w:rsidR="00463B24" w:rsidRPr="007821AE" w:rsidRDefault="00206C7E" w:rsidP="00463B24">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Data Gathering Procedures</w:t>
      </w:r>
    </w:p>
    <w:p w14:paraId="5F1FCD14" w14:textId="77777777" w:rsidR="007C20B6" w:rsidRPr="007821AE" w:rsidRDefault="007C20B6" w:rsidP="007C20B6">
      <w:pPr>
        <w:pStyle w:val="NormalWeb"/>
        <w:ind w:firstLine="720"/>
        <w:jc w:val="both"/>
      </w:pPr>
      <w:r w:rsidRPr="007821AE">
        <w:t xml:space="preserve">Before the implementation of the intervention at </w:t>
      </w:r>
      <w:proofErr w:type="spellStart"/>
      <w:r w:rsidRPr="007821AE">
        <w:t>Lumbo</w:t>
      </w:r>
      <w:proofErr w:type="spellEnd"/>
      <w:r w:rsidRPr="007821AE">
        <w:t xml:space="preserve"> Integrated School, researchers secured the communication letter addressed to the school principal. Afterwards, the selected students of the intervention received their individual consent letter to participate in the study. Pilot testing was implemented to validate the researchers’ intervention instrument and was interpreted by a professional statistician as a good instrument for the intervention.</w:t>
      </w:r>
    </w:p>
    <w:p w14:paraId="620B6E93" w14:textId="1874EDE3" w:rsidR="007C20B6" w:rsidRPr="007821AE" w:rsidRDefault="00FD2F09" w:rsidP="007C20B6">
      <w:pPr>
        <w:pStyle w:val="NormalWeb"/>
        <w:ind w:firstLine="720"/>
        <w:jc w:val="both"/>
      </w:pPr>
      <w:r>
        <w:rPr>
          <w:noProof/>
        </w:rPr>
        <mc:AlternateContent>
          <mc:Choice Requires="wps">
            <w:drawing>
              <wp:anchor distT="0" distB="0" distL="114300" distR="114300" simplePos="0" relativeHeight="251661312" behindDoc="0" locked="0" layoutInCell="1" allowOverlap="1" wp14:anchorId="58D6D2F6" wp14:editId="47B9DF6A">
                <wp:simplePos x="0" y="0"/>
                <wp:positionH relativeFrom="column">
                  <wp:posOffset>2862470</wp:posOffset>
                </wp:positionH>
                <wp:positionV relativeFrom="paragraph">
                  <wp:posOffset>746953</wp:posOffset>
                </wp:positionV>
                <wp:extent cx="390525" cy="384727"/>
                <wp:effectExtent l="0" t="0" r="9525" b="0"/>
                <wp:wrapNone/>
                <wp:docPr id="1599204741" name="Text Box 4"/>
                <wp:cNvGraphicFramePr/>
                <a:graphic xmlns:a="http://schemas.openxmlformats.org/drawingml/2006/main">
                  <a:graphicData uri="http://schemas.microsoft.com/office/word/2010/wordprocessingShape">
                    <wps:wsp>
                      <wps:cNvSpPr txBox="1"/>
                      <wps:spPr>
                        <a:xfrm>
                          <a:off x="0" y="0"/>
                          <a:ext cx="390525" cy="384727"/>
                        </a:xfrm>
                        <a:prstGeom prst="rect">
                          <a:avLst/>
                        </a:prstGeom>
                        <a:solidFill>
                          <a:schemeClr val="lt1"/>
                        </a:solidFill>
                        <a:ln w="6350">
                          <a:noFill/>
                        </a:ln>
                      </wps:spPr>
                      <wps:txbx>
                        <w:txbxContent>
                          <w:p w14:paraId="414B0DC8" w14:textId="40BCAF63" w:rsidR="00FD2F09" w:rsidRDefault="00FD2F09">
                            <w:r>
                              <w:rPr>
                                <w:rFonts w:ascii="Times New Roman" w:hAnsi="Times New Roman" w:cs="Times New Roman"/>
                                <w:color w:val="595959" w:themeColor="text1" w:themeTint="A6"/>
                                <w:sz w:val="24"/>
                                <w:szCs w:val="24"/>
                              </w:rPr>
                              <w:t xml:space="preserve"> </w:t>
                            </w:r>
                            <w:r w:rsidR="00EB5C56">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D2F6" id="Text Box 4" o:spid="_x0000_s1028" type="#_x0000_t202" style="position:absolute;left:0;text-align:left;margin-left:225.4pt;margin-top:58.8pt;width:30.75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" fillcolor="white [3201]" stroked="f" strokeweight=".5pt">
                <v:textbox>
                  <w:txbxContent>
                    <w:p w14:paraId="414B0DC8" w14:textId="40BCAF63" w:rsidR="00FD2F09" w:rsidRDefault="00FD2F09">
                      <w:r>
                        <w:rPr>
                          <w:rFonts w:ascii="Times New Roman" w:hAnsi="Times New Roman" w:cs="Times New Roman"/>
                          <w:color w:val="595959" w:themeColor="text1" w:themeTint="A6"/>
                          <w:sz w:val="24"/>
                          <w:szCs w:val="24"/>
                        </w:rPr>
                        <w:t xml:space="preserve"> </w:t>
                      </w:r>
                      <w:r w:rsidR="00EB5C56">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3</w:t>
                      </w:r>
                    </w:p>
                  </w:txbxContent>
                </v:textbox>
              </v:shape>
            </w:pict>
          </mc:Fallback>
        </mc:AlternateContent>
      </w:r>
      <w:r w:rsidR="007C20B6" w:rsidRPr="007821AE">
        <w:t xml:space="preserve">The data for this study were collected through the administration of a pre-test and </w:t>
      </w:r>
      <w:r w:rsidR="007C20B6" w:rsidRPr="007821AE">
        <w:t>post-test. First, the pre-test was given to the Grade 9 learners to determine their initial level of reading comprehension. After the pre-test, the researcher implemented the multi-modal strategies in the classroom, including reading activities, writing tasks, video viewing, and role-playing, which were conducted over a period of 3 class sessions. Upon completion of the intervention, a post-test was administered to assess the students’ reading comprehension after exposure to the multi-modal strategies. The scores from the pre-test and post-test were then collected, recorded, and prepared for analysis to determine any changes in the students’ reading comprehension levels.</w:t>
      </w:r>
    </w:p>
    <w:p w14:paraId="6B9DF656" w14:textId="1E9B78D6" w:rsidR="007C20B6" w:rsidRPr="007821AE" w:rsidRDefault="007C20B6" w:rsidP="007C20B6">
      <w:pPr>
        <w:pStyle w:val="NormalWeb"/>
        <w:ind w:firstLine="720"/>
        <w:jc w:val="both"/>
      </w:pPr>
      <w:r w:rsidRPr="007821AE">
        <w:t>This study utilized Descriptive statistics, such as the mean, frequency count, and percentage, to describe the data for the qualitative interpretation using the Philippine Informal Reading Inventory in terms of the learners’ reading comprehension level. The scores were also categorized into performance levels (e.g., independent, instructional, and frustration) for clearer interpretation. The data were tested under parametric assumptions and were found to be normally distributed with p = 0.073 using the Shapiro-Wilk Test; hence, parametric tests were utilized for the inferential statistics of this study.</w:t>
      </w:r>
    </w:p>
    <w:p w14:paraId="7F390A7F" w14:textId="5B6B5F30" w:rsidR="007C20B6" w:rsidRDefault="007C20B6" w:rsidP="007C20B6">
      <w:pPr>
        <w:pStyle w:val="NormalWeb"/>
        <w:ind w:firstLine="720"/>
        <w:jc w:val="both"/>
      </w:pPr>
      <w:r w:rsidRPr="007821AE">
        <w:t>To determine whether there is a significant difference between the two sets of scores, a paired sample t-test will be conducted using statistical software. This test will compare the pre-test and post-test means to evaluate if the observed improvements in performance are statistically significant, using a significance level of 0.05 as the criterion for decision-making. If the computed p-value is less than 0.05, the null hypothesis will be rejected, indicating that the intervention has a significant difference. Additionally, Cohen’s d Test will also be utilized to assess the effect size of the intervention, wherein an effect size greater than 0.80 indicates that the intervention has a large effect on the post-test scores.</w:t>
      </w:r>
    </w:p>
    <w:p w14:paraId="412FA6DA" w14:textId="77777777" w:rsidR="00970555" w:rsidRPr="007821AE" w:rsidRDefault="00970555" w:rsidP="007C20B6">
      <w:pPr>
        <w:pStyle w:val="NormalWeb"/>
        <w:ind w:firstLine="720"/>
        <w:jc w:val="both"/>
      </w:pPr>
    </w:p>
    <w:p w14:paraId="7D731E63" w14:textId="5CC7FCC5" w:rsidR="001C7FEE" w:rsidRPr="007821AE" w:rsidRDefault="00206C7E" w:rsidP="00D97720">
      <w:pPr>
        <w:spacing w:before="240" w:after="240"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lastRenderedPageBreak/>
        <w:t>RESULTS AND DISCUSSION</w:t>
      </w:r>
    </w:p>
    <w:p w14:paraId="4461BA99" w14:textId="5C20E10B" w:rsidR="001C7FEE" w:rsidRDefault="00594279" w:rsidP="00D97720">
      <w:pPr>
        <w:spacing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This study focuses on aiding the reading comprehension difficulty of the learners </w:t>
      </w:r>
      <w:r w:rsidR="00206C7E" w:rsidRPr="007821AE">
        <w:rPr>
          <w:rFonts w:ascii="Times New Roman" w:hAnsi="Times New Roman" w:cs="Times New Roman"/>
          <w:sz w:val="24"/>
          <w:szCs w:val="24"/>
        </w:rPr>
        <w:t>employ</w:t>
      </w:r>
      <w:r w:rsidRPr="007821AE">
        <w:rPr>
          <w:rFonts w:ascii="Times New Roman" w:hAnsi="Times New Roman" w:cs="Times New Roman"/>
          <w:sz w:val="24"/>
          <w:szCs w:val="24"/>
        </w:rPr>
        <w:t>ing</w:t>
      </w:r>
      <w:r w:rsidR="00206C7E" w:rsidRPr="007821AE">
        <w:rPr>
          <w:rFonts w:ascii="Times New Roman" w:hAnsi="Times New Roman" w:cs="Times New Roman"/>
          <w:sz w:val="24"/>
          <w:szCs w:val="24"/>
        </w:rPr>
        <w:t xml:space="preserve"> multimodal strategies, which include reading, viewing, writing, and dramatization, to cater to differentiated learning styles and enhance the learning engagement of the learners, which is important to improve their reading </w:t>
      </w:r>
      <w:r w:rsidR="00543817" w:rsidRPr="007821AE">
        <w:rPr>
          <w:rFonts w:ascii="Times New Roman" w:hAnsi="Times New Roman" w:cs="Times New Roman"/>
          <w:sz w:val="24"/>
          <w:szCs w:val="24"/>
        </w:rPr>
        <w:t>comprehension (</w:t>
      </w:r>
      <w:proofErr w:type="spellStart"/>
      <w:r w:rsidR="00206C7E" w:rsidRPr="007821AE">
        <w:rPr>
          <w:rFonts w:ascii="Times New Roman" w:hAnsi="Times New Roman" w:cs="Times New Roman"/>
          <w:sz w:val="24"/>
          <w:szCs w:val="24"/>
        </w:rPr>
        <w:t>Daulay</w:t>
      </w:r>
      <w:proofErr w:type="spellEnd"/>
      <w:r w:rsidR="00206C7E" w:rsidRPr="007821AE">
        <w:rPr>
          <w:rFonts w:ascii="Times New Roman" w:hAnsi="Times New Roman" w:cs="Times New Roman"/>
          <w:sz w:val="24"/>
          <w:szCs w:val="24"/>
        </w:rPr>
        <w:t xml:space="preserve"> &amp; Dewi, 2025).</w:t>
      </w:r>
    </w:p>
    <w:p w14:paraId="746659C1" w14:textId="77777777" w:rsidR="00970555" w:rsidRDefault="00970555" w:rsidP="00D97720">
      <w:pPr>
        <w:spacing w:line="240" w:lineRule="auto"/>
        <w:ind w:firstLine="720"/>
        <w:jc w:val="both"/>
        <w:rPr>
          <w:rFonts w:ascii="Times New Roman" w:hAnsi="Times New Roman" w:cs="Times New Roman"/>
          <w:sz w:val="24"/>
          <w:szCs w:val="24"/>
        </w:rPr>
      </w:pPr>
    </w:p>
    <w:p w14:paraId="0DD6E6F2" w14:textId="77777777" w:rsidR="00543817" w:rsidRPr="007821AE" w:rsidRDefault="00543817" w:rsidP="00D97720">
      <w:pPr>
        <w:spacing w:line="240" w:lineRule="auto"/>
        <w:ind w:firstLine="720"/>
        <w:jc w:val="both"/>
        <w:rPr>
          <w:rFonts w:ascii="Times New Roman" w:hAnsi="Times New Roman" w:cs="Times New Roman"/>
          <w:sz w:val="24"/>
          <w:szCs w:val="24"/>
        </w:rPr>
      </w:pPr>
    </w:p>
    <w:p w14:paraId="6CC302B0" w14:textId="22A1ED89" w:rsidR="005E7561" w:rsidRPr="007821AE" w:rsidRDefault="00206C7E" w:rsidP="00D97720">
      <w:pPr>
        <w:spacing w:after="16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The study adopted the </w:t>
      </w:r>
      <w:r w:rsidR="00594279" w:rsidRPr="007821AE">
        <w:rPr>
          <w:rFonts w:ascii="Times New Roman" w:hAnsi="Times New Roman" w:cs="Times New Roman"/>
          <w:sz w:val="24"/>
          <w:szCs w:val="24"/>
        </w:rPr>
        <w:t>Philippine Informal Reading Inventory (Phil‑IRI) 2018</w:t>
      </w:r>
      <w:r w:rsidRPr="007821AE">
        <w:rPr>
          <w:rFonts w:ascii="Times New Roman" w:hAnsi="Times New Roman" w:cs="Times New Roman"/>
          <w:sz w:val="24"/>
          <w:szCs w:val="24"/>
        </w:rPr>
        <w:t>, which was utilized for the qualitative interpretation of the level of reading comprehension. This interpretation is used to ensure accuracy and reliability in interpreting learners’ level of comprehension.</w:t>
      </w:r>
    </w:p>
    <w:p w14:paraId="2CAE4379" w14:textId="77777777" w:rsidR="00543817" w:rsidRDefault="00543817" w:rsidP="00D97720">
      <w:pPr>
        <w:spacing w:after="160" w:line="240" w:lineRule="auto"/>
        <w:jc w:val="center"/>
        <w:rPr>
          <w:rFonts w:ascii="Times New Roman" w:hAnsi="Times New Roman" w:cs="Times New Roman"/>
          <w:b/>
          <w:bCs/>
          <w:sz w:val="24"/>
          <w:szCs w:val="24"/>
          <w:u w:val="single"/>
        </w:rPr>
      </w:pPr>
    </w:p>
    <w:p w14:paraId="4D75FC63" w14:textId="56020F0B" w:rsidR="00543817" w:rsidRDefault="00543817" w:rsidP="00543817">
      <w:pPr>
        <w:spacing w:after="160" w:line="240" w:lineRule="auto"/>
        <w:rPr>
          <w:rFonts w:ascii="Times New Roman" w:hAnsi="Times New Roman" w:cs="Times New Roman"/>
          <w:b/>
          <w:bCs/>
          <w:sz w:val="24"/>
          <w:szCs w:val="24"/>
          <w:u w:val="single"/>
        </w:rPr>
        <w:sectPr w:rsidR="00543817" w:rsidSect="00543817">
          <w:type w:val="continuous"/>
          <w:pgSz w:w="11906" w:h="16838"/>
          <w:pgMar w:top="1440" w:right="1080" w:bottom="1440" w:left="1080" w:header="720" w:footer="720" w:gutter="0"/>
          <w:pgNumType w:start="1"/>
          <w:cols w:num="2" w:space="720"/>
          <w:docGrid w:linePitch="299"/>
        </w:sectPr>
      </w:pPr>
    </w:p>
    <w:p w14:paraId="26A6056E" w14:textId="2237B05F" w:rsidR="001C7FEE" w:rsidRPr="007821AE" w:rsidRDefault="00206C7E" w:rsidP="00D97720">
      <w:pPr>
        <w:spacing w:after="160" w:line="240" w:lineRule="auto"/>
        <w:jc w:val="center"/>
        <w:rPr>
          <w:rFonts w:ascii="Times New Roman" w:hAnsi="Times New Roman" w:cs="Times New Roman"/>
          <w:b/>
          <w:bCs/>
          <w:sz w:val="24"/>
          <w:szCs w:val="24"/>
          <w:u w:val="single"/>
        </w:rPr>
      </w:pPr>
      <w:r w:rsidRPr="007821AE">
        <w:rPr>
          <w:rFonts w:ascii="Times New Roman" w:hAnsi="Times New Roman" w:cs="Times New Roman"/>
          <w:b/>
          <w:bCs/>
          <w:sz w:val="24"/>
          <w:szCs w:val="24"/>
          <w:u w:val="single"/>
        </w:rPr>
        <w:t>Level of Learners’ Reading Comprehension Skills Before the Intervention</w:t>
      </w:r>
    </w:p>
    <w:p w14:paraId="113635E7" w14:textId="6A40D6B5" w:rsidR="00543817" w:rsidRPr="00314A11" w:rsidRDefault="00206C7E" w:rsidP="00314A11">
      <w:pPr>
        <w:spacing w:line="240" w:lineRule="auto"/>
        <w:jc w:val="both"/>
        <w:rPr>
          <w:rFonts w:ascii="Times New Roman" w:hAnsi="Times New Roman" w:cs="Times New Roman"/>
          <w:sz w:val="24"/>
          <w:szCs w:val="24"/>
        </w:rPr>
      </w:pPr>
      <w:r w:rsidRPr="007821AE">
        <w:rPr>
          <w:rFonts w:ascii="Times New Roman" w:hAnsi="Times New Roman" w:cs="Times New Roman"/>
          <w:sz w:val="24"/>
          <w:szCs w:val="24"/>
        </w:rPr>
        <w:t>Table 1</w:t>
      </w:r>
      <w:r w:rsidR="005F6C41" w:rsidRPr="007821AE">
        <w:rPr>
          <w:rFonts w:ascii="Times New Roman" w:hAnsi="Times New Roman" w:cs="Times New Roman"/>
          <w:sz w:val="24"/>
          <w:szCs w:val="24"/>
        </w:rPr>
        <w:t xml:space="preserve">. </w:t>
      </w:r>
      <w:r w:rsidRPr="007821AE">
        <w:rPr>
          <w:rFonts w:ascii="Times New Roman" w:hAnsi="Times New Roman" w:cs="Times New Roman"/>
          <w:sz w:val="24"/>
          <w:szCs w:val="24"/>
        </w:rPr>
        <w:t xml:space="preserve">Learners’ Level of Reading Comprehension Skills Before the Intervention </w:t>
      </w:r>
    </w:p>
    <w:p w14:paraId="65F46664" w14:textId="39FF463C" w:rsidR="00543817" w:rsidRDefault="00543817" w:rsidP="00314A11">
      <w:pPr>
        <w:spacing w:after="160" w:line="240" w:lineRule="auto"/>
        <w:jc w:val="center"/>
        <w:rPr>
          <w:rFonts w:ascii="Times New Roman" w:eastAsia="Times New Roman" w:hAnsi="Times New Roman" w:cs="Times New Roman"/>
          <w:b/>
          <w:bCs/>
          <w:color w:val="000000"/>
          <w:sz w:val="24"/>
          <w:szCs w:val="24"/>
          <w:lang w:val="en-PH"/>
        </w:rPr>
        <w:sectPr w:rsidR="00543817" w:rsidSect="00543817">
          <w:type w:val="continuous"/>
          <w:pgSz w:w="11906" w:h="16838"/>
          <w:pgMar w:top="1440" w:right="1080" w:bottom="1440" w:left="1080" w:header="720" w:footer="720" w:gutter="0"/>
          <w:pgNumType w:start="1"/>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1723"/>
        <w:gridCol w:w="1463"/>
        <w:gridCol w:w="1149"/>
        <w:gridCol w:w="695"/>
        <w:gridCol w:w="1546"/>
        <w:gridCol w:w="36"/>
        <w:gridCol w:w="3134"/>
      </w:tblGrid>
      <w:tr w:rsidR="00314A11" w:rsidRPr="000111CA" w14:paraId="2E7AE8CE" w14:textId="77777777" w:rsidTr="00314A11">
        <w:trPr>
          <w:trHeight w:val="675"/>
        </w:trPr>
        <w:tc>
          <w:tcPr>
            <w:tcW w:w="0" w:type="auto"/>
            <w:tcBorders>
              <w:top w:val="single" w:sz="6" w:space="0" w:color="7F7F7F"/>
              <w:bottom w:val="single" w:sz="6" w:space="0" w:color="7F7F7F"/>
            </w:tcBorders>
            <w:tcMar>
              <w:top w:w="0" w:type="dxa"/>
              <w:left w:w="100" w:type="dxa"/>
              <w:bottom w:w="0" w:type="dxa"/>
              <w:right w:w="100" w:type="dxa"/>
            </w:tcMar>
            <w:hideMark/>
          </w:tcPr>
          <w:p w14:paraId="276D9F16" w14:textId="298B742B"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Score Range</w:t>
            </w:r>
          </w:p>
        </w:tc>
        <w:tc>
          <w:tcPr>
            <w:tcW w:w="0" w:type="auto"/>
            <w:tcBorders>
              <w:top w:val="single" w:sz="6" w:space="0" w:color="7F7F7F"/>
              <w:bottom w:val="single" w:sz="6" w:space="0" w:color="7F7F7F"/>
            </w:tcBorders>
            <w:tcMar>
              <w:top w:w="0" w:type="dxa"/>
              <w:left w:w="100" w:type="dxa"/>
              <w:bottom w:w="0" w:type="dxa"/>
              <w:right w:w="100" w:type="dxa"/>
            </w:tcMar>
            <w:hideMark/>
          </w:tcPr>
          <w:p w14:paraId="337CD7E6"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Percentage Equivalent</w:t>
            </w:r>
          </w:p>
        </w:tc>
        <w:tc>
          <w:tcPr>
            <w:tcW w:w="0" w:type="auto"/>
            <w:tcBorders>
              <w:top w:val="single" w:sz="6" w:space="0" w:color="7F7F7F"/>
              <w:bottom w:val="single" w:sz="6" w:space="0" w:color="7F7F7F"/>
            </w:tcBorders>
            <w:tcMar>
              <w:top w:w="0" w:type="dxa"/>
              <w:left w:w="100" w:type="dxa"/>
              <w:bottom w:w="0" w:type="dxa"/>
              <w:right w:w="100" w:type="dxa"/>
            </w:tcMar>
            <w:hideMark/>
          </w:tcPr>
          <w:p w14:paraId="57736247"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Pre</w:t>
            </w:r>
            <w:r w:rsidRPr="000111CA">
              <w:rPr>
                <w:rFonts w:ascii="Times New Roman" w:eastAsia="Times New Roman" w:hAnsi="Times New Roman" w:cs="Times New Roman"/>
                <w:b/>
                <w:bCs/>
                <w:color w:val="000000"/>
                <w:sz w:val="18"/>
                <w:szCs w:val="18"/>
                <w:lang w:val="en-PH"/>
              </w:rPr>
              <w:noBreakHyphen/>
              <w:t>Test (n = 44)</w:t>
            </w:r>
          </w:p>
        </w:tc>
        <w:tc>
          <w:tcPr>
            <w:tcW w:w="0" w:type="auto"/>
            <w:tcBorders>
              <w:top w:val="single" w:sz="6" w:space="0" w:color="7F7F7F"/>
              <w:bottom w:val="single" w:sz="6" w:space="0" w:color="7F7F7F"/>
            </w:tcBorders>
            <w:tcMar>
              <w:top w:w="0" w:type="dxa"/>
              <w:left w:w="100" w:type="dxa"/>
              <w:bottom w:w="0" w:type="dxa"/>
              <w:right w:w="100" w:type="dxa"/>
            </w:tcMar>
            <w:hideMark/>
          </w:tcPr>
          <w:p w14:paraId="008E21D4"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w:t>
            </w:r>
          </w:p>
        </w:tc>
        <w:tc>
          <w:tcPr>
            <w:tcW w:w="0" w:type="auto"/>
            <w:tcBorders>
              <w:top w:val="single" w:sz="6" w:space="0" w:color="7F7F7F"/>
              <w:bottom w:val="single" w:sz="6" w:space="0" w:color="7F7F7F"/>
            </w:tcBorders>
            <w:tcMar>
              <w:top w:w="0" w:type="dxa"/>
              <w:left w:w="100" w:type="dxa"/>
              <w:bottom w:w="0" w:type="dxa"/>
              <w:right w:w="100" w:type="dxa"/>
            </w:tcMar>
            <w:hideMark/>
          </w:tcPr>
          <w:p w14:paraId="67B461EF"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Phil</w:t>
            </w:r>
            <w:r w:rsidRPr="000111CA">
              <w:rPr>
                <w:rFonts w:ascii="Times New Roman" w:eastAsia="Times New Roman" w:hAnsi="Times New Roman" w:cs="Times New Roman"/>
                <w:b/>
                <w:bCs/>
                <w:color w:val="000000"/>
                <w:sz w:val="18"/>
                <w:szCs w:val="18"/>
                <w:lang w:val="en-PH"/>
              </w:rPr>
              <w:noBreakHyphen/>
              <w:t>IRI Level</w:t>
            </w:r>
          </w:p>
        </w:tc>
        <w:tc>
          <w:tcPr>
            <w:tcW w:w="0" w:type="auto"/>
            <w:tcBorders>
              <w:top w:val="single" w:sz="6" w:space="0" w:color="7F7F7F"/>
              <w:bottom w:val="single" w:sz="6" w:space="0" w:color="7F7F7F"/>
            </w:tcBorders>
          </w:tcPr>
          <w:p w14:paraId="412E7A51" w14:textId="77777777" w:rsidR="00314A11" w:rsidRPr="000111CA" w:rsidRDefault="00314A11" w:rsidP="00314A11">
            <w:pPr>
              <w:spacing w:after="160" w:line="240" w:lineRule="auto"/>
              <w:jc w:val="center"/>
              <w:rPr>
                <w:rFonts w:ascii="Times New Roman" w:eastAsia="Times New Roman" w:hAnsi="Times New Roman" w:cs="Times New Roman"/>
                <w:b/>
                <w:bCs/>
                <w:color w:val="000000"/>
                <w:sz w:val="18"/>
                <w:szCs w:val="18"/>
                <w:lang w:val="en-PH"/>
              </w:rPr>
            </w:pPr>
          </w:p>
        </w:tc>
        <w:tc>
          <w:tcPr>
            <w:tcW w:w="0" w:type="auto"/>
            <w:tcBorders>
              <w:top w:val="single" w:sz="6" w:space="0" w:color="7F7F7F"/>
              <w:bottom w:val="single" w:sz="6" w:space="0" w:color="7F7F7F"/>
            </w:tcBorders>
            <w:tcMar>
              <w:top w:w="0" w:type="dxa"/>
              <w:left w:w="100" w:type="dxa"/>
              <w:bottom w:w="0" w:type="dxa"/>
              <w:right w:w="100" w:type="dxa"/>
            </w:tcMar>
            <w:hideMark/>
          </w:tcPr>
          <w:p w14:paraId="0E1DF634" w14:textId="33EA5E40"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Qualitative Interpretation</w:t>
            </w:r>
          </w:p>
        </w:tc>
      </w:tr>
      <w:tr w:rsidR="00314A11" w:rsidRPr="000111CA" w14:paraId="7D2F6459" w14:textId="77777777" w:rsidTr="00314A11">
        <w:trPr>
          <w:trHeight w:val="930"/>
        </w:trPr>
        <w:tc>
          <w:tcPr>
            <w:tcW w:w="0" w:type="auto"/>
            <w:tcBorders>
              <w:top w:val="single" w:sz="6" w:space="0" w:color="7F7F7F"/>
              <w:bottom w:val="single" w:sz="6" w:space="0" w:color="7F7F7F"/>
            </w:tcBorders>
            <w:tcMar>
              <w:top w:w="0" w:type="dxa"/>
              <w:left w:w="100" w:type="dxa"/>
              <w:bottom w:w="0" w:type="dxa"/>
              <w:right w:w="100" w:type="dxa"/>
            </w:tcMar>
            <w:hideMark/>
          </w:tcPr>
          <w:p w14:paraId="3C41FE5A"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23 – 28</w:t>
            </w:r>
          </w:p>
        </w:tc>
        <w:tc>
          <w:tcPr>
            <w:tcW w:w="0" w:type="auto"/>
            <w:tcBorders>
              <w:top w:val="single" w:sz="6" w:space="0" w:color="7F7F7F"/>
              <w:bottom w:val="single" w:sz="6" w:space="0" w:color="7F7F7F"/>
            </w:tcBorders>
            <w:tcMar>
              <w:top w:w="0" w:type="dxa"/>
              <w:left w:w="100" w:type="dxa"/>
              <w:bottom w:w="0" w:type="dxa"/>
              <w:right w:w="100" w:type="dxa"/>
            </w:tcMar>
            <w:hideMark/>
          </w:tcPr>
          <w:p w14:paraId="4AC7A287"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80 – 100 %</w:t>
            </w:r>
          </w:p>
        </w:tc>
        <w:tc>
          <w:tcPr>
            <w:tcW w:w="0" w:type="auto"/>
            <w:tcBorders>
              <w:top w:val="single" w:sz="6" w:space="0" w:color="7F7F7F"/>
              <w:bottom w:val="single" w:sz="6" w:space="0" w:color="7F7F7F"/>
            </w:tcBorders>
            <w:tcMar>
              <w:top w:w="0" w:type="dxa"/>
              <w:left w:w="100" w:type="dxa"/>
              <w:bottom w:w="0" w:type="dxa"/>
              <w:right w:w="100" w:type="dxa"/>
            </w:tcMar>
            <w:hideMark/>
          </w:tcPr>
          <w:p w14:paraId="67B2FB18"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0</w:t>
            </w:r>
          </w:p>
        </w:tc>
        <w:tc>
          <w:tcPr>
            <w:tcW w:w="0" w:type="auto"/>
            <w:tcBorders>
              <w:top w:val="single" w:sz="6" w:space="0" w:color="7F7F7F"/>
              <w:bottom w:val="single" w:sz="6" w:space="0" w:color="7F7F7F"/>
            </w:tcBorders>
            <w:tcMar>
              <w:top w:w="0" w:type="dxa"/>
              <w:left w:w="100" w:type="dxa"/>
              <w:bottom w:w="0" w:type="dxa"/>
              <w:right w:w="100" w:type="dxa"/>
            </w:tcMar>
            <w:hideMark/>
          </w:tcPr>
          <w:p w14:paraId="5857B0B1"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0.00</w:t>
            </w:r>
          </w:p>
        </w:tc>
        <w:tc>
          <w:tcPr>
            <w:tcW w:w="0" w:type="auto"/>
            <w:tcBorders>
              <w:top w:val="single" w:sz="6" w:space="0" w:color="7F7F7F"/>
              <w:bottom w:val="single" w:sz="6" w:space="0" w:color="7F7F7F"/>
            </w:tcBorders>
            <w:tcMar>
              <w:top w:w="0" w:type="dxa"/>
              <w:left w:w="100" w:type="dxa"/>
              <w:bottom w:w="0" w:type="dxa"/>
              <w:right w:w="100" w:type="dxa"/>
            </w:tcMar>
            <w:hideMark/>
          </w:tcPr>
          <w:p w14:paraId="37226280"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Independent</w:t>
            </w:r>
          </w:p>
        </w:tc>
        <w:tc>
          <w:tcPr>
            <w:tcW w:w="0" w:type="auto"/>
            <w:tcBorders>
              <w:top w:val="single" w:sz="6" w:space="0" w:color="7F7F7F"/>
              <w:bottom w:val="single" w:sz="6" w:space="0" w:color="7F7F7F"/>
            </w:tcBorders>
          </w:tcPr>
          <w:p w14:paraId="2C7F52EB" w14:textId="77777777" w:rsidR="00314A11" w:rsidRPr="000111CA" w:rsidRDefault="00314A11" w:rsidP="00314A11">
            <w:pPr>
              <w:spacing w:after="160" w:line="240" w:lineRule="auto"/>
              <w:jc w:val="center"/>
              <w:rPr>
                <w:rFonts w:ascii="Times New Roman" w:eastAsia="Times New Roman" w:hAnsi="Times New Roman" w:cs="Times New Roman"/>
                <w:color w:val="000000"/>
                <w:sz w:val="18"/>
                <w:szCs w:val="18"/>
                <w:lang w:val="en-PH"/>
              </w:rPr>
            </w:pPr>
          </w:p>
        </w:tc>
        <w:tc>
          <w:tcPr>
            <w:tcW w:w="0" w:type="auto"/>
            <w:tcBorders>
              <w:top w:val="single" w:sz="6" w:space="0" w:color="7F7F7F"/>
              <w:bottom w:val="single" w:sz="6" w:space="0" w:color="7F7F7F"/>
            </w:tcBorders>
            <w:tcMar>
              <w:top w:w="0" w:type="dxa"/>
              <w:left w:w="100" w:type="dxa"/>
              <w:bottom w:w="0" w:type="dxa"/>
              <w:right w:w="100" w:type="dxa"/>
            </w:tcMar>
            <w:hideMark/>
          </w:tcPr>
          <w:p w14:paraId="3D298711" w14:textId="2F1750B1"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The learner can read and understand the text without help.</w:t>
            </w:r>
          </w:p>
        </w:tc>
      </w:tr>
      <w:tr w:rsidR="00314A11" w:rsidRPr="000111CA" w14:paraId="257C75B9" w14:textId="77777777" w:rsidTr="00314A11">
        <w:trPr>
          <w:trHeight w:val="930"/>
        </w:trPr>
        <w:tc>
          <w:tcPr>
            <w:tcW w:w="0" w:type="auto"/>
            <w:tcBorders>
              <w:top w:val="single" w:sz="6" w:space="0" w:color="7F7F7F"/>
              <w:bottom w:val="single" w:sz="6" w:space="0" w:color="7F7F7F"/>
            </w:tcBorders>
            <w:tcMar>
              <w:top w:w="0" w:type="dxa"/>
              <w:left w:w="100" w:type="dxa"/>
              <w:bottom w:w="0" w:type="dxa"/>
              <w:right w:w="100" w:type="dxa"/>
            </w:tcMar>
            <w:hideMark/>
          </w:tcPr>
          <w:p w14:paraId="1E29ADFC"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16 – 22</w:t>
            </w:r>
          </w:p>
        </w:tc>
        <w:tc>
          <w:tcPr>
            <w:tcW w:w="0" w:type="auto"/>
            <w:tcBorders>
              <w:top w:val="single" w:sz="6" w:space="0" w:color="7F7F7F"/>
              <w:bottom w:val="single" w:sz="6" w:space="0" w:color="7F7F7F"/>
            </w:tcBorders>
            <w:tcMar>
              <w:top w:w="0" w:type="dxa"/>
              <w:left w:w="100" w:type="dxa"/>
              <w:bottom w:w="0" w:type="dxa"/>
              <w:right w:w="100" w:type="dxa"/>
            </w:tcMar>
            <w:hideMark/>
          </w:tcPr>
          <w:p w14:paraId="40045591"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59 – 79 %</w:t>
            </w:r>
          </w:p>
        </w:tc>
        <w:tc>
          <w:tcPr>
            <w:tcW w:w="0" w:type="auto"/>
            <w:tcBorders>
              <w:top w:val="single" w:sz="6" w:space="0" w:color="7F7F7F"/>
              <w:bottom w:val="single" w:sz="6" w:space="0" w:color="7F7F7F"/>
            </w:tcBorders>
            <w:tcMar>
              <w:top w:w="0" w:type="dxa"/>
              <w:left w:w="100" w:type="dxa"/>
              <w:bottom w:w="0" w:type="dxa"/>
              <w:right w:w="100" w:type="dxa"/>
            </w:tcMar>
            <w:hideMark/>
          </w:tcPr>
          <w:p w14:paraId="01537E49"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0</w:t>
            </w:r>
          </w:p>
        </w:tc>
        <w:tc>
          <w:tcPr>
            <w:tcW w:w="0" w:type="auto"/>
            <w:tcBorders>
              <w:top w:val="single" w:sz="6" w:space="0" w:color="7F7F7F"/>
              <w:bottom w:val="single" w:sz="6" w:space="0" w:color="7F7F7F"/>
            </w:tcBorders>
            <w:tcMar>
              <w:top w:w="0" w:type="dxa"/>
              <w:left w:w="100" w:type="dxa"/>
              <w:bottom w:w="0" w:type="dxa"/>
              <w:right w:w="100" w:type="dxa"/>
            </w:tcMar>
            <w:hideMark/>
          </w:tcPr>
          <w:p w14:paraId="7B206B7E"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0.00</w:t>
            </w:r>
          </w:p>
        </w:tc>
        <w:tc>
          <w:tcPr>
            <w:tcW w:w="0" w:type="auto"/>
            <w:tcBorders>
              <w:top w:val="single" w:sz="6" w:space="0" w:color="7F7F7F"/>
              <w:bottom w:val="single" w:sz="6" w:space="0" w:color="7F7F7F"/>
            </w:tcBorders>
            <w:tcMar>
              <w:top w:w="0" w:type="dxa"/>
              <w:left w:w="100" w:type="dxa"/>
              <w:bottom w:w="0" w:type="dxa"/>
              <w:right w:w="100" w:type="dxa"/>
            </w:tcMar>
            <w:hideMark/>
          </w:tcPr>
          <w:p w14:paraId="25C8AABA"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Instructional</w:t>
            </w:r>
          </w:p>
        </w:tc>
        <w:tc>
          <w:tcPr>
            <w:tcW w:w="0" w:type="auto"/>
            <w:tcBorders>
              <w:top w:val="single" w:sz="6" w:space="0" w:color="7F7F7F"/>
              <w:bottom w:val="single" w:sz="6" w:space="0" w:color="7F7F7F"/>
            </w:tcBorders>
          </w:tcPr>
          <w:p w14:paraId="3B44DBC8" w14:textId="77777777" w:rsidR="00314A11" w:rsidRPr="000111CA" w:rsidRDefault="00314A11" w:rsidP="00314A11">
            <w:pPr>
              <w:spacing w:after="160" w:line="240" w:lineRule="auto"/>
              <w:jc w:val="center"/>
              <w:rPr>
                <w:rFonts w:ascii="Times New Roman" w:eastAsia="Times New Roman" w:hAnsi="Times New Roman" w:cs="Times New Roman"/>
                <w:color w:val="000000"/>
                <w:sz w:val="18"/>
                <w:szCs w:val="18"/>
                <w:lang w:val="en-PH"/>
              </w:rPr>
            </w:pPr>
          </w:p>
        </w:tc>
        <w:tc>
          <w:tcPr>
            <w:tcW w:w="0" w:type="auto"/>
            <w:tcBorders>
              <w:top w:val="single" w:sz="6" w:space="0" w:color="7F7F7F"/>
              <w:bottom w:val="single" w:sz="6" w:space="0" w:color="7F7F7F"/>
            </w:tcBorders>
            <w:tcMar>
              <w:top w:w="0" w:type="dxa"/>
              <w:left w:w="100" w:type="dxa"/>
              <w:bottom w:w="0" w:type="dxa"/>
              <w:right w:w="100" w:type="dxa"/>
            </w:tcMar>
            <w:hideMark/>
          </w:tcPr>
          <w:p w14:paraId="1E4A5A71" w14:textId="2B9CD930"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The learner can understand the text with teacher guidance or support.</w:t>
            </w:r>
          </w:p>
        </w:tc>
      </w:tr>
      <w:tr w:rsidR="00314A11" w:rsidRPr="000111CA" w14:paraId="4D3E7DC4" w14:textId="77777777" w:rsidTr="00314A11">
        <w:trPr>
          <w:trHeight w:val="757"/>
        </w:trPr>
        <w:tc>
          <w:tcPr>
            <w:tcW w:w="0" w:type="auto"/>
            <w:tcBorders>
              <w:top w:val="single" w:sz="6" w:space="0" w:color="7F7F7F"/>
              <w:bottom w:val="single" w:sz="6" w:space="0" w:color="7F7F7F"/>
            </w:tcBorders>
            <w:tcMar>
              <w:top w:w="0" w:type="dxa"/>
              <w:left w:w="100" w:type="dxa"/>
              <w:bottom w:w="0" w:type="dxa"/>
              <w:right w:w="100" w:type="dxa"/>
            </w:tcMar>
            <w:hideMark/>
          </w:tcPr>
          <w:p w14:paraId="32BCF76D"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15 and below</w:t>
            </w:r>
          </w:p>
        </w:tc>
        <w:tc>
          <w:tcPr>
            <w:tcW w:w="0" w:type="auto"/>
            <w:tcBorders>
              <w:top w:val="single" w:sz="6" w:space="0" w:color="7F7F7F"/>
              <w:bottom w:val="single" w:sz="6" w:space="0" w:color="7F7F7F"/>
            </w:tcBorders>
            <w:tcMar>
              <w:top w:w="0" w:type="dxa"/>
              <w:left w:w="100" w:type="dxa"/>
              <w:bottom w:w="0" w:type="dxa"/>
              <w:right w:w="100" w:type="dxa"/>
            </w:tcMar>
            <w:hideMark/>
          </w:tcPr>
          <w:p w14:paraId="166CD370"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58 % and </w:t>
            </w:r>
          </w:p>
          <w:p w14:paraId="67F8240F"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below</w:t>
            </w:r>
          </w:p>
        </w:tc>
        <w:tc>
          <w:tcPr>
            <w:tcW w:w="0" w:type="auto"/>
            <w:tcBorders>
              <w:top w:val="single" w:sz="6" w:space="0" w:color="7F7F7F"/>
              <w:bottom w:val="single" w:sz="6" w:space="0" w:color="7F7F7F"/>
            </w:tcBorders>
            <w:tcMar>
              <w:top w:w="0" w:type="dxa"/>
              <w:left w:w="100" w:type="dxa"/>
              <w:bottom w:w="0" w:type="dxa"/>
              <w:right w:w="100" w:type="dxa"/>
            </w:tcMar>
            <w:hideMark/>
          </w:tcPr>
          <w:p w14:paraId="358C5261"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44</w:t>
            </w:r>
          </w:p>
        </w:tc>
        <w:tc>
          <w:tcPr>
            <w:tcW w:w="0" w:type="auto"/>
            <w:tcBorders>
              <w:top w:val="single" w:sz="6" w:space="0" w:color="7F7F7F"/>
              <w:bottom w:val="single" w:sz="6" w:space="0" w:color="7F7F7F"/>
            </w:tcBorders>
            <w:tcMar>
              <w:top w:w="0" w:type="dxa"/>
              <w:left w:w="100" w:type="dxa"/>
              <w:bottom w:w="0" w:type="dxa"/>
              <w:right w:w="100" w:type="dxa"/>
            </w:tcMar>
            <w:hideMark/>
          </w:tcPr>
          <w:p w14:paraId="63412189"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100.00</w:t>
            </w:r>
          </w:p>
        </w:tc>
        <w:tc>
          <w:tcPr>
            <w:tcW w:w="0" w:type="auto"/>
            <w:tcBorders>
              <w:top w:val="single" w:sz="6" w:space="0" w:color="7F7F7F"/>
              <w:bottom w:val="single" w:sz="6" w:space="0" w:color="7F7F7F"/>
            </w:tcBorders>
            <w:tcMar>
              <w:top w:w="0" w:type="dxa"/>
              <w:left w:w="100" w:type="dxa"/>
              <w:bottom w:w="0" w:type="dxa"/>
              <w:right w:w="100" w:type="dxa"/>
            </w:tcMar>
            <w:hideMark/>
          </w:tcPr>
          <w:p w14:paraId="54B07DDA"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Frustration</w:t>
            </w:r>
          </w:p>
        </w:tc>
        <w:tc>
          <w:tcPr>
            <w:tcW w:w="0" w:type="auto"/>
            <w:tcBorders>
              <w:top w:val="single" w:sz="6" w:space="0" w:color="7F7F7F"/>
              <w:bottom w:val="single" w:sz="6" w:space="0" w:color="7F7F7F"/>
            </w:tcBorders>
          </w:tcPr>
          <w:p w14:paraId="17F53E2F" w14:textId="77777777" w:rsidR="00314A11" w:rsidRPr="000111CA" w:rsidRDefault="00314A11" w:rsidP="00314A11">
            <w:pPr>
              <w:spacing w:after="160" w:line="240" w:lineRule="auto"/>
              <w:jc w:val="center"/>
              <w:rPr>
                <w:rFonts w:ascii="Times New Roman" w:eastAsia="Times New Roman" w:hAnsi="Times New Roman" w:cs="Times New Roman"/>
                <w:color w:val="000000"/>
                <w:sz w:val="18"/>
                <w:szCs w:val="18"/>
                <w:lang w:val="en-PH"/>
              </w:rPr>
            </w:pPr>
          </w:p>
        </w:tc>
        <w:tc>
          <w:tcPr>
            <w:tcW w:w="0" w:type="auto"/>
            <w:tcBorders>
              <w:top w:val="single" w:sz="6" w:space="0" w:color="7F7F7F"/>
              <w:bottom w:val="single" w:sz="6" w:space="0" w:color="7F7F7F"/>
            </w:tcBorders>
            <w:tcMar>
              <w:top w:w="0" w:type="dxa"/>
              <w:left w:w="100" w:type="dxa"/>
              <w:bottom w:w="0" w:type="dxa"/>
              <w:right w:w="100" w:type="dxa"/>
            </w:tcMar>
            <w:hideMark/>
          </w:tcPr>
          <w:p w14:paraId="11D9026B" w14:textId="5BB05D39"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The learner has difficulty understanding the text even with assistance.</w:t>
            </w:r>
          </w:p>
        </w:tc>
      </w:tr>
      <w:tr w:rsidR="00314A11" w:rsidRPr="000111CA" w14:paraId="6B253917" w14:textId="77777777" w:rsidTr="00314A11">
        <w:trPr>
          <w:trHeight w:val="435"/>
        </w:trPr>
        <w:tc>
          <w:tcPr>
            <w:tcW w:w="0" w:type="auto"/>
            <w:tcBorders>
              <w:top w:val="single" w:sz="6" w:space="0" w:color="7F7F7F"/>
              <w:bottom w:val="single" w:sz="6" w:space="0" w:color="7F7F7F"/>
            </w:tcBorders>
            <w:tcMar>
              <w:top w:w="0" w:type="dxa"/>
              <w:left w:w="100" w:type="dxa"/>
              <w:bottom w:w="0" w:type="dxa"/>
              <w:right w:w="100" w:type="dxa"/>
            </w:tcMar>
            <w:hideMark/>
          </w:tcPr>
          <w:p w14:paraId="716B9933"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Total</w:t>
            </w:r>
          </w:p>
        </w:tc>
        <w:tc>
          <w:tcPr>
            <w:tcW w:w="0" w:type="auto"/>
            <w:tcBorders>
              <w:top w:val="single" w:sz="6" w:space="0" w:color="7F7F7F"/>
              <w:bottom w:val="single" w:sz="6" w:space="0" w:color="7F7F7F"/>
            </w:tcBorders>
            <w:tcMar>
              <w:top w:w="0" w:type="dxa"/>
              <w:left w:w="100" w:type="dxa"/>
              <w:bottom w:w="0" w:type="dxa"/>
              <w:right w:w="100" w:type="dxa"/>
            </w:tcMar>
            <w:hideMark/>
          </w:tcPr>
          <w:p w14:paraId="47E120EE"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w:t>
            </w:r>
          </w:p>
        </w:tc>
        <w:tc>
          <w:tcPr>
            <w:tcW w:w="0" w:type="auto"/>
            <w:tcBorders>
              <w:top w:val="single" w:sz="6" w:space="0" w:color="7F7F7F"/>
              <w:bottom w:val="single" w:sz="6" w:space="0" w:color="7F7F7F"/>
            </w:tcBorders>
            <w:tcMar>
              <w:top w:w="0" w:type="dxa"/>
              <w:left w:w="100" w:type="dxa"/>
              <w:bottom w:w="0" w:type="dxa"/>
              <w:right w:w="100" w:type="dxa"/>
            </w:tcMar>
            <w:hideMark/>
          </w:tcPr>
          <w:p w14:paraId="22B9176A"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44</w:t>
            </w:r>
          </w:p>
        </w:tc>
        <w:tc>
          <w:tcPr>
            <w:tcW w:w="0" w:type="auto"/>
            <w:tcBorders>
              <w:top w:val="single" w:sz="6" w:space="0" w:color="7F7F7F"/>
              <w:bottom w:val="single" w:sz="6" w:space="0" w:color="7F7F7F"/>
            </w:tcBorders>
            <w:tcMar>
              <w:top w:w="0" w:type="dxa"/>
              <w:left w:w="100" w:type="dxa"/>
              <w:bottom w:w="0" w:type="dxa"/>
              <w:right w:w="100" w:type="dxa"/>
            </w:tcMar>
            <w:hideMark/>
          </w:tcPr>
          <w:p w14:paraId="31C405E4"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100.00</w:t>
            </w:r>
          </w:p>
        </w:tc>
        <w:tc>
          <w:tcPr>
            <w:tcW w:w="0" w:type="auto"/>
            <w:tcBorders>
              <w:top w:val="single" w:sz="6" w:space="0" w:color="7F7F7F"/>
              <w:bottom w:val="single" w:sz="6" w:space="0" w:color="7F7F7F"/>
            </w:tcBorders>
            <w:tcMar>
              <w:top w:w="0" w:type="dxa"/>
              <w:left w:w="100" w:type="dxa"/>
              <w:bottom w:w="0" w:type="dxa"/>
              <w:right w:w="100" w:type="dxa"/>
            </w:tcMar>
            <w:hideMark/>
          </w:tcPr>
          <w:p w14:paraId="4822C123"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w:t>
            </w:r>
          </w:p>
        </w:tc>
        <w:tc>
          <w:tcPr>
            <w:tcW w:w="0" w:type="auto"/>
            <w:tcBorders>
              <w:top w:val="single" w:sz="6" w:space="0" w:color="7F7F7F"/>
              <w:bottom w:val="single" w:sz="6" w:space="0" w:color="7F7F7F"/>
            </w:tcBorders>
          </w:tcPr>
          <w:p w14:paraId="00797F87" w14:textId="77777777" w:rsidR="00314A11" w:rsidRPr="000111CA" w:rsidRDefault="00314A11" w:rsidP="00314A11">
            <w:pPr>
              <w:spacing w:after="160" w:line="240" w:lineRule="auto"/>
              <w:jc w:val="center"/>
              <w:rPr>
                <w:rFonts w:ascii="Times New Roman" w:eastAsia="Times New Roman" w:hAnsi="Times New Roman" w:cs="Times New Roman"/>
                <w:color w:val="000000"/>
                <w:sz w:val="18"/>
                <w:szCs w:val="18"/>
                <w:lang w:val="en-PH"/>
              </w:rPr>
            </w:pPr>
          </w:p>
        </w:tc>
        <w:tc>
          <w:tcPr>
            <w:tcW w:w="0" w:type="auto"/>
            <w:tcBorders>
              <w:top w:val="single" w:sz="6" w:space="0" w:color="7F7F7F"/>
              <w:bottom w:val="single" w:sz="6" w:space="0" w:color="7F7F7F"/>
            </w:tcBorders>
            <w:tcMar>
              <w:top w:w="0" w:type="dxa"/>
              <w:left w:w="100" w:type="dxa"/>
              <w:bottom w:w="0" w:type="dxa"/>
              <w:right w:w="100" w:type="dxa"/>
            </w:tcMar>
            <w:hideMark/>
          </w:tcPr>
          <w:p w14:paraId="7858363A" w14:textId="365F48D2"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w:t>
            </w:r>
          </w:p>
        </w:tc>
      </w:tr>
      <w:tr w:rsidR="00314A11" w:rsidRPr="000111CA" w14:paraId="79D167AE" w14:textId="77777777" w:rsidTr="00314A11">
        <w:trPr>
          <w:trHeight w:val="435"/>
        </w:trPr>
        <w:tc>
          <w:tcPr>
            <w:tcW w:w="0" w:type="auto"/>
            <w:tcBorders>
              <w:top w:val="single" w:sz="6" w:space="0" w:color="7F7F7F"/>
              <w:bottom w:val="single" w:sz="6" w:space="0" w:color="7F7F7F"/>
            </w:tcBorders>
            <w:tcMar>
              <w:top w:w="0" w:type="dxa"/>
              <w:left w:w="100" w:type="dxa"/>
              <w:bottom w:w="0" w:type="dxa"/>
              <w:right w:w="100" w:type="dxa"/>
            </w:tcMar>
            <w:hideMark/>
          </w:tcPr>
          <w:p w14:paraId="0E0C2876"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Overall Mean Score</w:t>
            </w:r>
          </w:p>
        </w:tc>
        <w:tc>
          <w:tcPr>
            <w:tcW w:w="0" w:type="auto"/>
            <w:tcBorders>
              <w:top w:val="single" w:sz="6" w:space="0" w:color="7F7F7F"/>
              <w:bottom w:val="single" w:sz="6" w:space="0" w:color="7F7F7F"/>
            </w:tcBorders>
            <w:tcMar>
              <w:top w:w="0" w:type="dxa"/>
              <w:left w:w="100" w:type="dxa"/>
              <w:bottom w:w="0" w:type="dxa"/>
              <w:right w:w="100" w:type="dxa"/>
            </w:tcMar>
            <w:hideMark/>
          </w:tcPr>
          <w:p w14:paraId="0378E926"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w:t>
            </w:r>
          </w:p>
        </w:tc>
        <w:tc>
          <w:tcPr>
            <w:tcW w:w="0" w:type="auto"/>
            <w:tcBorders>
              <w:top w:val="single" w:sz="6" w:space="0" w:color="7F7F7F"/>
              <w:bottom w:val="single" w:sz="6" w:space="0" w:color="7F7F7F"/>
            </w:tcBorders>
            <w:tcMar>
              <w:top w:w="0" w:type="dxa"/>
              <w:left w:w="100" w:type="dxa"/>
              <w:bottom w:w="0" w:type="dxa"/>
              <w:right w:w="100" w:type="dxa"/>
            </w:tcMar>
            <w:hideMark/>
          </w:tcPr>
          <w:p w14:paraId="509505B6"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11.27</w:t>
            </w:r>
          </w:p>
        </w:tc>
        <w:tc>
          <w:tcPr>
            <w:tcW w:w="0" w:type="auto"/>
            <w:tcBorders>
              <w:top w:val="single" w:sz="6" w:space="0" w:color="7F7F7F"/>
              <w:bottom w:val="single" w:sz="6" w:space="0" w:color="7F7F7F"/>
            </w:tcBorders>
            <w:tcMar>
              <w:top w:w="0" w:type="dxa"/>
              <w:left w:w="100" w:type="dxa"/>
              <w:bottom w:w="0" w:type="dxa"/>
              <w:right w:w="100" w:type="dxa"/>
            </w:tcMar>
            <w:hideMark/>
          </w:tcPr>
          <w:p w14:paraId="0008E5B9"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w:t>
            </w:r>
          </w:p>
        </w:tc>
        <w:tc>
          <w:tcPr>
            <w:tcW w:w="0" w:type="auto"/>
            <w:tcBorders>
              <w:top w:val="single" w:sz="6" w:space="0" w:color="7F7F7F"/>
              <w:bottom w:val="single" w:sz="6" w:space="0" w:color="7F7F7F"/>
            </w:tcBorders>
            <w:tcMar>
              <w:top w:w="0" w:type="dxa"/>
              <w:left w:w="100" w:type="dxa"/>
              <w:bottom w:w="0" w:type="dxa"/>
              <w:right w:w="100" w:type="dxa"/>
            </w:tcMar>
            <w:hideMark/>
          </w:tcPr>
          <w:p w14:paraId="70618C12" w14:textId="77777777"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b/>
                <w:bCs/>
                <w:color w:val="000000"/>
                <w:sz w:val="18"/>
                <w:szCs w:val="18"/>
                <w:lang w:val="en-PH"/>
              </w:rPr>
              <w:t>Frustration Level</w:t>
            </w:r>
          </w:p>
        </w:tc>
        <w:tc>
          <w:tcPr>
            <w:tcW w:w="0" w:type="auto"/>
            <w:tcBorders>
              <w:top w:val="single" w:sz="6" w:space="0" w:color="7F7F7F"/>
              <w:bottom w:val="single" w:sz="6" w:space="0" w:color="7F7F7F"/>
            </w:tcBorders>
          </w:tcPr>
          <w:p w14:paraId="2BCC95EA" w14:textId="77777777" w:rsidR="00314A11" w:rsidRPr="000111CA" w:rsidRDefault="00314A11" w:rsidP="00314A11">
            <w:pPr>
              <w:spacing w:after="160" w:line="240" w:lineRule="auto"/>
              <w:jc w:val="center"/>
              <w:rPr>
                <w:rFonts w:ascii="Times New Roman" w:eastAsia="Times New Roman" w:hAnsi="Times New Roman" w:cs="Times New Roman"/>
                <w:color w:val="000000"/>
                <w:sz w:val="18"/>
                <w:szCs w:val="18"/>
                <w:lang w:val="en-PH"/>
              </w:rPr>
            </w:pPr>
          </w:p>
        </w:tc>
        <w:tc>
          <w:tcPr>
            <w:tcW w:w="0" w:type="auto"/>
            <w:tcBorders>
              <w:top w:val="single" w:sz="6" w:space="0" w:color="7F7F7F"/>
              <w:bottom w:val="single" w:sz="6" w:space="0" w:color="7F7F7F"/>
            </w:tcBorders>
            <w:tcMar>
              <w:top w:w="0" w:type="dxa"/>
              <w:left w:w="100" w:type="dxa"/>
              <w:bottom w:w="0" w:type="dxa"/>
              <w:right w:w="100" w:type="dxa"/>
            </w:tcMar>
            <w:hideMark/>
          </w:tcPr>
          <w:p w14:paraId="694792A3" w14:textId="501E0C59" w:rsidR="00314A11" w:rsidRPr="000111CA" w:rsidRDefault="00314A11" w:rsidP="00314A11">
            <w:pPr>
              <w:spacing w:after="160" w:line="240" w:lineRule="auto"/>
              <w:jc w:val="center"/>
              <w:rPr>
                <w:rFonts w:ascii="Times New Roman" w:eastAsia="Times New Roman" w:hAnsi="Times New Roman" w:cs="Times New Roman"/>
                <w:sz w:val="18"/>
                <w:szCs w:val="18"/>
                <w:lang w:val="en-PH"/>
              </w:rPr>
            </w:pPr>
            <w:r w:rsidRPr="000111CA">
              <w:rPr>
                <w:rFonts w:ascii="Times New Roman" w:eastAsia="Times New Roman" w:hAnsi="Times New Roman" w:cs="Times New Roman"/>
                <w:color w:val="000000"/>
                <w:sz w:val="18"/>
                <w:szCs w:val="18"/>
                <w:lang w:val="en-PH"/>
              </w:rPr>
              <w:t>—</w:t>
            </w:r>
          </w:p>
        </w:tc>
      </w:tr>
    </w:tbl>
    <w:p w14:paraId="30CC21C1" w14:textId="63A47229" w:rsidR="00543817" w:rsidRPr="00543817" w:rsidRDefault="00314A11" w:rsidP="00314A11">
      <w:pPr>
        <w:spacing w:line="240" w:lineRule="auto"/>
        <w:rPr>
          <w:rFonts w:ascii="Times New Roman" w:hAnsi="Times New Roman" w:cs="Times New Roman"/>
          <w:sz w:val="24"/>
          <w:szCs w:val="24"/>
        </w:rPr>
        <w:sectPr w:rsidR="00543817" w:rsidRPr="00543817" w:rsidSect="00543817">
          <w:type w:val="continuous"/>
          <w:pgSz w:w="11906" w:h="16838"/>
          <w:pgMar w:top="1440" w:right="1080" w:bottom="1440" w:left="1080" w:header="720" w:footer="720" w:gutter="0"/>
          <w:pgNumType w:start="1"/>
          <w:cols w:space="720"/>
          <w:docGrid w:linePitch="299"/>
        </w:sect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1BAEAEC" wp14:editId="38DC0FFD">
                <wp:simplePos x="0" y="0"/>
                <wp:positionH relativeFrom="column">
                  <wp:posOffset>-49696</wp:posOffset>
                </wp:positionH>
                <wp:positionV relativeFrom="paragraph">
                  <wp:posOffset>6267</wp:posOffset>
                </wp:positionV>
                <wp:extent cx="5496284" cy="288235"/>
                <wp:effectExtent l="0" t="0" r="9525" b="0"/>
                <wp:wrapNone/>
                <wp:docPr id="314239998" name="Text Box 12"/>
                <wp:cNvGraphicFramePr/>
                <a:graphic xmlns:a="http://schemas.openxmlformats.org/drawingml/2006/main">
                  <a:graphicData uri="http://schemas.microsoft.com/office/word/2010/wordprocessingShape">
                    <wps:wsp>
                      <wps:cNvSpPr txBox="1"/>
                      <wps:spPr>
                        <a:xfrm>
                          <a:off x="0" y="0"/>
                          <a:ext cx="5496284" cy="288235"/>
                        </a:xfrm>
                        <a:prstGeom prst="rect">
                          <a:avLst/>
                        </a:prstGeom>
                        <a:solidFill>
                          <a:schemeClr val="lt1"/>
                        </a:solidFill>
                        <a:ln w="6350">
                          <a:noFill/>
                        </a:ln>
                      </wps:spPr>
                      <wps:txbx>
                        <w:txbxContent>
                          <w:p w14:paraId="068AE5F4" w14:textId="77777777" w:rsidR="00314A11" w:rsidRPr="007821AE" w:rsidRDefault="00314A11" w:rsidP="00314A11">
                            <w:pPr>
                              <w:spacing w:after="160" w:line="240" w:lineRule="auto"/>
                              <w:rPr>
                                <w:rFonts w:ascii="Times New Roman" w:hAnsi="Times New Roman" w:cs="Times New Roman"/>
                                <w:i/>
                                <w:iCs/>
                                <w:sz w:val="24"/>
                                <w:szCs w:val="24"/>
                              </w:rPr>
                            </w:pPr>
                            <w:r w:rsidRPr="007821AE">
                              <w:rPr>
                                <w:rFonts w:ascii="Times New Roman" w:hAnsi="Times New Roman" w:cs="Times New Roman"/>
                                <w:i/>
                                <w:iCs/>
                                <w:sz w:val="24"/>
                                <w:szCs w:val="24"/>
                              </w:rPr>
                              <w:t>Interpretation based on the Philippine Informal Reading Inventory (Phil‑IRI, 2018).</w:t>
                            </w:r>
                          </w:p>
                          <w:p w14:paraId="3C2ECD0E" w14:textId="77777777" w:rsidR="00314A11" w:rsidRDefault="00314A11" w:rsidP="00314A1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AEAEC" id="Text Box 12" o:spid="_x0000_s1029" type="#_x0000_t202" style="position:absolute;margin-left:-3.9pt;margin-top:.5pt;width:432.8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QOMgIAAFs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" fillcolor="white [3201]" stroked="f" strokeweight=".5pt">
                <v:textbox>
                  <w:txbxContent>
                    <w:p w14:paraId="068AE5F4" w14:textId="77777777" w:rsidR="00314A11" w:rsidRPr="007821AE" w:rsidRDefault="00314A11" w:rsidP="00314A11">
                      <w:pPr>
                        <w:spacing w:after="160" w:line="240" w:lineRule="auto"/>
                        <w:rPr>
                          <w:rFonts w:ascii="Times New Roman" w:hAnsi="Times New Roman" w:cs="Times New Roman"/>
                          <w:i/>
                          <w:iCs/>
                          <w:sz w:val="24"/>
                          <w:szCs w:val="24"/>
                        </w:rPr>
                      </w:pPr>
                      <w:r w:rsidRPr="007821AE">
                        <w:rPr>
                          <w:rFonts w:ascii="Times New Roman" w:hAnsi="Times New Roman" w:cs="Times New Roman"/>
                          <w:i/>
                          <w:iCs/>
                          <w:sz w:val="24"/>
                          <w:szCs w:val="24"/>
                        </w:rPr>
                        <w:t>Interpretation based on the Philippine Informal Reading Inventory (Phil‑IRI, 2018).</w:t>
                      </w:r>
                    </w:p>
                    <w:p w14:paraId="3C2ECD0E" w14:textId="77777777" w:rsidR="00314A11" w:rsidRDefault="00314A11" w:rsidP="00314A11">
                      <w:pPr>
                        <w:spacing w:line="240" w:lineRule="auto"/>
                      </w:pPr>
                    </w:p>
                  </w:txbxContent>
                </v:textbox>
              </v:shape>
            </w:pict>
          </mc:Fallback>
        </mc:AlternateContent>
      </w:r>
    </w:p>
    <w:p w14:paraId="4C7229AE" w14:textId="6313BF91" w:rsidR="001C7FEE" w:rsidRPr="007821AE" w:rsidRDefault="001C7FEE" w:rsidP="00314A11">
      <w:pPr>
        <w:spacing w:after="160" w:line="240" w:lineRule="auto"/>
        <w:rPr>
          <w:rFonts w:ascii="Times New Roman" w:hAnsi="Times New Roman" w:cs="Times New Roman"/>
          <w:i/>
          <w:iCs/>
          <w:sz w:val="24"/>
          <w:szCs w:val="24"/>
        </w:rPr>
      </w:pPr>
    </w:p>
    <w:p w14:paraId="7EC0F814" w14:textId="77777777" w:rsidR="00543817" w:rsidRDefault="00543817" w:rsidP="00D97720">
      <w:pPr>
        <w:pStyle w:val="NormalWeb"/>
        <w:jc w:val="both"/>
        <w:sectPr w:rsidR="00543817" w:rsidSect="00543817">
          <w:type w:val="continuous"/>
          <w:pgSz w:w="11906" w:h="16838"/>
          <w:pgMar w:top="1440" w:right="1080" w:bottom="1440" w:left="1080" w:header="720" w:footer="720" w:gutter="0"/>
          <w:pgNumType w:start="1"/>
          <w:cols w:space="720"/>
          <w:docGrid w:linePitch="299"/>
        </w:sectPr>
      </w:pPr>
    </w:p>
    <w:p w14:paraId="6EB93A48" w14:textId="42602D91" w:rsidR="009123F2" w:rsidRPr="007821AE" w:rsidRDefault="009123F2" w:rsidP="00D97720">
      <w:pPr>
        <w:pStyle w:val="NormalWeb"/>
        <w:jc w:val="both"/>
      </w:pPr>
      <w:r w:rsidRPr="007821AE">
        <w:tab/>
        <w:t xml:space="preserve">Table 1 presents the learners’ level of reading comprehension before the implementation of multimodal strategies, interpreted using the </w:t>
      </w:r>
      <w:r w:rsidRPr="007821AE">
        <w:rPr>
          <w:rStyle w:val="whitespace-normal"/>
        </w:rPr>
        <w:t>Philippine Informal Reading Inventory</w:t>
      </w:r>
      <w:r w:rsidRPr="007821AE">
        <w:t>. The results reveal that all forty-four Grade 9 learners (100 %) were classified under the Frustration level, with a mean score of 11.27. None of the participants reached the Instructional or Independent levels, signifying that their comprehension skills were far below the expected proficiency for their grade level.</w:t>
      </w:r>
    </w:p>
    <w:p w14:paraId="52FDD3F7" w14:textId="7EE97E85" w:rsidR="009123F2" w:rsidRPr="007821AE" w:rsidRDefault="009123F2" w:rsidP="00D97720">
      <w:pPr>
        <w:pStyle w:val="NormalWeb"/>
        <w:ind w:firstLine="720"/>
        <w:jc w:val="both"/>
      </w:pPr>
      <w:r w:rsidRPr="007821AE">
        <w:t xml:space="preserve">This indicates that the learners experienced serious difficulty in understanding grade-level texts even with teacher assistance. This finding reflects the persistent reading challenges among Filipino learners </w:t>
      </w:r>
      <w:r w:rsidRPr="007821AE">
        <w:t xml:space="preserve">documented in national and international assessments. The </w:t>
      </w:r>
      <w:proofErr w:type="spellStart"/>
      <w:r w:rsidRPr="007821AE">
        <w:t>Programme</w:t>
      </w:r>
      <w:proofErr w:type="spellEnd"/>
      <w:r w:rsidRPr="007821AE">
        <w:t xml:space="preserve"> for International Student Assessment (PISA, 2018 and 2022) reported that only 24 % of Filipino 15-year-olds achieved at least Level 2 proficiency in reading, highlighting widespread comprehension difficulties (Camino et al., 2025; OECD, 2019). Similarly, Villanueva (2022) and Tortola (2021) noted that secondary learners often struggle with inferential and evaluative comprehension due to limited exposure to interactive reading experiences and insufficient home literacy support.</w:t>
      </w:r>
    </w:p>
    <w:p w14:paraId="6EB995A7" w14:textId="5EA7B544" w:rsidR="009123F2" w:rsidRPr="007821AE" w:rsidRDefault="00EB5C56" w:rsidP="00D97720">
      <w:pPr>
        <w:pStyle w:val="NormalWeb"/>
        <w:ind w:firstLine="720"/>
        <w:jc w:val="both"/>
      </w:pPr>
      <w:r>
        <w:rPr>
          <w:noProof/>
        </w:rPr>
        <mc:AlternateContent>
          <mc:Choice Requires="wps">
            <w:drawing>
              <wp:anchor distT="0" distB="0" distL="114300" distR="114300" simplePos="0" relativeHeight="251662336" behindDoc="0" locked="0" layoutInCell="1" allowOverlap="1" wp14:anchorId="49E8B7D0" wp14:editId="654D1F0B">
                <wp:simplePos x="0" y="0"/>
                <wp:positionH relativeFrom="column">
                  <wp:posOffset>-456086</wp:posOffset>
                </wp:positionH>
                <wp:positionV relativeFrom="paragraph">
                  <wp:posOffset>1019560</wp:posOffset>
                </wp:positionV>
                <wp:extent cx="381000" cy="314304"/>
                <wp:effectExtent l="0" t="0" r="0" b="0"/>
                <wp:wrapNone/>
                <wp:docPr id="1140865447" name="Text Box 5"/>
                <wp:cNvGraphicFramePr/>
                <a:graphic xmlns:a="http://schemas.openxmlformats.org/drawingml/2006/main">
                  <a:graphicData uri="http://schemas.microsoft.com/office/word/2010/wordprocessingShape">
                    <wps:wsp>
                      <wps:cNvSpPr txBox="1"/>
                      <wps:spPr>
                        <a:xfrm>
                          <a:off x="0" y="0"/>
                          <a:ext cx="381000" cy="314304"/>
                        </a:xfrm>
                        <a:prstGeom prst="rect">
                          <a:avLst/>
                        </a:prstGeom>
                        <a:solidFill>
                          <a:schemeClr val="lt1"/>
                        </a:solidFill>
                        <a:ln w="6350">
                          <a:noFill/>
                        </a:ln>
                      </wps:spPr>
                      <wps:txbx>
                        <w:txbxContent>
                          <w:p w14:paraId="777993E8" w14:textId="58987A4F" w:rsidR="00FD2F09" w:rsidRPr="00D2203A" w:rsidRDefault="00FD2F09" w:rsidP="00FD2F09">
                            <w:pPr>
                              <w:rPr>
                                <w:rFonts w:ascii="Times New Roman" w:hAnsi="Times New Roman" w:cs="Times New Roman"/>
                                <w:color w:val="595959" w:themeColor="text1" w:themeTint="A6"/>
                                <w:sz w:val="24"/>
                                <w:szCs w:val="24"/>
                              </w:rPr>
                            </w:pPr>
                            <w:r>
                              <w:t xml:space="preserve"> </w:t>
                            </w:r>
                            <w:r>
                              <w:rPr>
                                <w:rFonts w:ascii="Times New Roman" w:hAnsi="Times New Roman" w:cs="Times New Roman"/>
                                <w:color w:val="595959" w:themeColor="text1" w:themeTint="A6"/>
                                <w:sz w:val="24"/>
                                <w:szCs w:val="24"/>
                              </w:rPr>
                              <w:t>4</w:t>
                            </w:r>
                          </w:p>
                          <w:p w14:paraId="2C1904A8" w14:textId="0E2C2EC9" w:rsidR="00FD2F09" w:rsidRDefault="00FD2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8B7D0" id="Text Box 5" o:spid="_x0000_s1030" type="#_x0000_t202" style="position:absolute;left:0;text-align:left;margin-left:-35.9pt;margin-top:80.3pt;width:30pt;height:2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" fillcolor="white [3201]" stroked="f" strokeweight=".5pt">
                <v:textbox>
                  <w:txbxContent>
                    <w:p w14:paraId="777993E8" w14:textId="58987A4F" w:rsidR="00FD2F09" w:rsidRPr="00D2203A" w:rsidRDefault="00FD2F09" w:rsidP="00FD2F09">
                      <w:pPr>
                        <w:rPr>
                          <w:rFonts w:ascii="Times New Roman" w:hAnsi="Times New Roman" w:cs="Times New Roman"/>
                          <w:color w:val="595959" w:themeColor="text1" w:themeTint="A6"/>
                          <w:sz w:val="24"/>
                          <w:szCs w:val="24"/>
                        </w:rPr>
                      </w:pPr>
                      <w:r>
                        <w:t xml:space="preserve"> </w:t>
                      </w:r>
                      <w:r>
                        <w:rPr>
                          <w:rFonts w:ascii="Times New Roman" w:hAnsi="Times New Roman" w:cs="Times New Roman"/>
                          <w:color w:val="595959" w:themeColor="text1" w:themeTint="A6"/>
                          <w:sz w:val="24"/>
                          <w:szCs w:val="24"/>
                        </w:rPr>
                        <w:t>4</w:t>
                      </w:r>
                    </w:p>
                    <w:p w14:paraId="2C1904A8" w14:textId="0E2C2EC9" w:rsidR="00FD2F09" w:rsidRDefault="00FD2F09"/>
                  </w:txbxContent>
                </v:textbox>
              </v:shape>
            </w:pict>
          </mc:Fallback>
        </mc:AlternateContent>
      </w:r>
      <w:r w:rsidR="009123F2" w:rsidRPr="007821AE">
        <w:t xml:space="preserve">The uniform classification of learners under the Frustration level suggests systemic issues in reading instruction. According to Hemmings, Kay, and Sharp (2019), traditional </w:t>
      </w:r>
      <w:r w:rsidR="009123F2" w:rsidRPr="007821AE">
        <w:lastRenderedPageBreak/>
        <w:t xml:space="preserve">text-based teaching approaches that rely heavily on rote learning fail to engage students cognitively, resulting in poor comprehension outcomes. Tomlinson (2017) and Hattie (2018) further emphasize that when instruction does not cater to diverse learning styles, students remain passive recipients of information rather than active constructors of meaning. This aligns with </w:t>
      </w:r>
      <w:proofErr w:type="spellStart"/>
      <w:r w:rsidR="009123F2" w:rsidRPr="007821AE">
        <w:t>Librea</w:t>
      </w:r>
      <w:proofErr w:type="spellEnd"/>
      <w:r w:rsidR="009123F2" w:rsidRPr="007821AE">
        <w:t xml:space="preserve"> et al. (2023), who found that learners exposed primarily to print-only materials tend to develop shallow reading habits and limited inferential skills.</w:t>
      </w:r>
    </w:p>
    <w:p w14:paraId="64F9EF62" w14:textId="77777777" w:rsidR="00970555" w:rsidRDefault="007C20B6" w:rsidP="009C6C60">
      <w:pPr>
        <w:spacing w:after="16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Moreover, the prevalence of Frustration-level performance underscores the need for differentiated and multimodal instruction. </w:t>
      </w:r>
      <w:proofErr w:type="spellStart"/>
      <w:r w:rsidRPr="007821AE">
        <w:rPr>
          <w:rFonts w:ascii="Times New Roman" w:hAnsi="Times New Roman" w:cs="Times New Roman"/>
          <w:sz w:val="24"/>
          <w:szCs w:val="24"/>
        </w:rPr>
        <w:t>Alhabshi</w:t>
      </w:r>
      <w:proofErr w:type="spellEnd"/>
      <w:r w:rsidRPr="007821AE">
        <w:rPr>
          <w:rFonts w:ascii="Times New Roman" w:hAnsi="Times New Roman" w:cs="Times New Roman"/>
          <w:sz w:val="24"/>
          <w:szCs w:val="24"/>
        </w:rPr>
        <w:t xml:space="preserve"> and Abdelaziz (2022) and </w:t>
      </w:r>
      <w:proofErr w:type="spellStart"/>
      <w:r w:rsidRPr="007821AE">
        <w:rPr>
          <w:rFonts w:ascii="Times New Roman" w:hAnsi="Times New Roman" w:cs="Times New Roman"/>
          <w:sz w:val="24"/>
          <w:szCs w:val="24"/>
        </w:rPr>
        <w:t>Daulay</w:t>
      </w:r>
      <w:proofErr w:type="spellEnd"/>
      <w:r w:rsidRPr="007821AE">
        <w:rPr>
          <w:rFonts w:ascii="Times New Roman" w:hAnsi="Times New Roman" w:cs="Times New Roman"/>
          <w:sz w:val="24"/>
          <w:szCs w:val="24"/>
        </w:rPr>
        <w:t xml:space="preserve"> and Dewi (2025) argue that multimodal </w:t>
      </w:r>
    </w:p>
    <w:p w14:paraId="7726837E" w14:textId="77777777" w:rsidR="00314A11" w:rsidRDefault="007C20B6" w:rsidP="00970555">
      <w:pPr>
        <w:spacing w:after="160" w:line="240" w:lineRule="auto"/>
        <w:jc w:val="both"/>
        <w:rPr>
          <w:rFonts w:ascii="Times New Roman" w:hAnsi="Times New Roman" w:cs="Times New Roman"/>
          <w:sz w:val="24"/>
          <w:szCs w:val="24"/>
        </w:rPr>
      </w:pPr>
      <w:r w:rsidRPr="007821AE">
        <w:rPr>
          <w:rFonts w:ascii="Times New Roman" w:hAnsi="Times New Roman" w:cs="Times New Roman"/>
          <w:sz w:val="24"/>
          <w:szCs w:val="24"/>
        </w:rPr>
        <w:t xml:space="preserve">strategies integrating visual, auditory, and kinesthetic elements can significantly enhance </w:t>
      </w:r>
    </w:p>
    <w:p w14:paraId="39EEFB1C" w14:textId="3AE4D0AE" w:rsidR="007821AE" w:rsidRDefault="007C20B6" w:rsidP="00970555">
      <w:pPr>
        <w:spacing w:after="160" w:line="240" w:lineRule="auto"/>
        <w:jc w:val="both"/>
        <w:rPr>
          <w:rFonts w:ascii="Times New Roman" w:hAnsi="Times New Roman" w:cs="Times New Roman"/>
          <w:sz w:val="24"/>
          <w:szCs w:val="24"/>
        </w:rPr>
      </w:pPr>
      <w:r w:rsidRPr="007821AE">
        <w:rPr>
          <w:rFonts w:ascii="Times New Roman" w:hAnsi="Times New Roman" w:cs="Times New Roman"/>
          <w:sz w:val="24"/>
          <w:szCs w:val="24"/>
        </w:rPr>
        <w:t xml:space="preserve">comprehension by engaging multiple cognitive pathways, while </w:t>
      </w:r>
      <w:proofErr w:type="spellStart"/>
      <w:r w:rsidRPr="007821AE">
        <w:rPr>
          <w:rFonts w:ascii="Times New Roman" w:hAnsi="Times New Roman" w:cs="Times New Roman"/>
          <w:sz w:val="24"/>
          <w:szCs w:val="24"/>
        </w:rPr>
        <w:t>Angub</w:t>
      </w:r>
      <w:proofErr w:type="spellEnd"/>
      <w:r w:rsidRPr="007821AE">
        <w:rPr>
          <w:rFonts w:ascii="Times New Roman" w:hAnsi="Times New Roman" w:cs="Times New Roman"/>
          <w:sz w:val="24"/>
          <w:szCs w:val="24"/>
        </w:rPr>
        <w:t xml:space="preserve"> et al. (2025) observed that multimodal learning environments foster active participation and improve comprehension at both literal and inferential levels. In summary, the pre-test results reveal that the learners were at the lowest level of reading comprehension according to the Philippine Informal Reading Inventory, highlighting the urgent need for innovative, inclusive, and multimodal instructional strategies to move learners from Frustration toward Instructional and Independent levels and contribute to the Department of Education’s ongoing efforts to strengthen literacy among Filipino secondary students.</w:t>
      </w:r>
    </w:p>
    <w:p w14:paraId="51BBF147" w14:textId="77777777" w:rsidR="00970555" w:rsidRDefault="00970555" w:rsidP="009C6C60">
      <w:pPr>
        <w:spacing w:after="160" w:line="240" w:lineRule="auto"/>
        <w:ind w:firstLine="720"/>
        <w:jc w:val="both"/>
        <w:rPr>
          <w:rFonts w:ascii="Times New Roman" w:hAnsi="Times New Roman" w:cs="Times New Roman"/>
          <w:b/>
          <w:bCs/>
          <w:sz w:val="24"/>
          <w:szCs w:val="24"/>
          <w:u w:val="single"/>
        </w:rPr>
      </w:pPr>
    </w:p>
    <w:p w14:paraId="5D3C89B7" w14:textId="77777777" w:rsidR="009C6C60" w:rsidRPr="007821AE" w:rsidRDefault="009C6C60" w:rsidP="009C6C60">
      <w:pPr>
        <w:spacing w:after="160" w:line="240" w:lineRule="auto"/>
        <w:ind w:firstLine="720"/>
        <w:jc w:val="both"/>
        <w:rPr>
          <w:rFonts w:ascii="Times New Roman" w:hAnsi="Times New Roman" w:cs="Times New Roman"/>
          <w:b/>
          <w:bCs/>
          <w:sz w:val="24"/>
          <w:szCs w:val="24"/>
          <w:u w:val="single"/>
        </w:rPr>
      </w:pPr>
    </w:p>
    <w:p w14:paraId="2828577B" w14:textId="77777777" w:rsidR="00543817" w:rsidRDefault="00543817" w:rsidP="00D97720">
      <w:pPr>
        <w:spacing w:after="160" w:line="240" w:lineRule="auto"/>
        <w:jc w:val="center"/>
        <w:rPr>
          <w:rFonts w:ascii="Times New Roman" w:hAnsi="Times New Roman" w:cs="Times New Roman"/>
          <w:b/>
          <w:bCs/>
          <w:sz w:val="24"/>
          <w:szCs w:val="24"/>
          <w:u w:val="single"/>
        </w:rPr>
        <w:sectPr w:rsidR="00543817" w:rsidSect="000111CA">
          <w:footerReference w:type="default" r:id="rId8"/>
          <w:type w:val="continuous"/>
          <w:pgSz w:w="11906" w:h="16838"/>
          <w:pgMar w:top="1440" w:right="1080" w:bottom="1440" w:left="1080" w:header="720" w:footer="720" w:gutter="0"/>
          <w:pgNumType w:start="1"/>
          <w:cols w:num="2" w:space="720"/>
          <w:docGrid w:linePitch="299"/>
        </w:sectPr>
      </w:pPr>
    </w:p>
    <w:p w14:paraId="382105AF" w14:textId="4556A5ED" w:rsidR="001C7FEE" w:rsidRPr="007821AE" w:rsidRDefault="00206C7E" w:rsidP="00D97720">
      <w:pPr>
        <w:spacing w:after="160" w:line="240" w:lineRule="auto"/>
        <w:jc w:val="center"/>
        <w:rPr>
          <w:rFonts w:ascii="Times New Roman" w:hAnsi="Times New Roman" w:cs="Times New Roman"/>
          <w:b/>
          <w:bCs/>
          <w:sz w:val="24"/>
          <w:szCs w:val="24"/>
          <w:u w:val="single"/>
        </w:rPr>
      </w:pPr>
      <w:r w:rsidRPr="007821AE">
        <w:rPr>
          <w:rFonts w:ascii="Times New Roman" w:hAnsi="Times New Roman" w:cs="Times New Roman"/>
          <w:b/>
          <w:bCs/>
          <w:sz w:val="24"/>
          <w:szCs w:val="24"/>
          <w:u w:val="single"/>
        </w:rPr>
        <w:t>Level of Learners’ Reading Comprehension Skills After the Intervention</w:t>
      </w:r>
    </w:p>
    <w:p w14:paraId="502CDED9" w14:textId="5AB05CCB" w:rsidR="00543817" w:rsidRPr="00314A11" w:rsidRDefault="00206C7E" w:rsidP="00314A11">
      <w:pPr>
        <w:spacing w:line="240" w:lineRule="auto"/>
        <w:jc w:val="both"/>
        <w:rPr>
          <w:rFonts w:ascii="Times New Roman" w:hAnsi="Times New Roman" w:cs="Times New Roman"/>
          <w:i/>
          <w:iCs/>
          <w:sz w:val="24"/>
          <w:szCs w:val="24"/>
        </w:rPr>
        <w:sectPr w:rsidR="00543817" w:rsidRPr="00314A11" w:rsidSect="00543817">
          <w:type w:val="continuous"/>
          <w:pgSz w:w="11906" w:h="16838"/>
          <w:pgMar w:top="1440" w:right="1080" w:bottom="1440" w:left="1080" w:header="720" w:footer="720" w:gutter="0"/>
          <w:pgNumType w:start="1"/>
          <w:cols w:space="720"/>
          <w:docGrid w:linePitch="299"/>
        </w:sectPr>
      </w:pPr>
      <w:r w:rsidRPr="007821AE">
        <w:rPr>
          <w:rFonts w:ascii="Times New Roman" w:hAnsi="Times New Roman" w:cs="Times New Roman"/>
          <w:sz w:val="24"/>
          <w:szCs w:val="24"/>
        </w:rPr>
        <w:t xml:space="preserve">Table 2. </w:t>
      </w:r>
      <w:r w:rsidRPr="007821AE">
        <w:rPr>
          <w:rFonts w:ascii="Times New Roman" w:hAnsi="Times New Roman" w:cs="Times New Roman"/>
          <w:i/>
          <w:iCs/>
          <w:sz w:val="24"/>
          <w:szCs w:val="24"/>
        </w:rPr>
        <w:t>Learners’ Level of Reading Comprehension Skills After Interventio</w:t>
      </w:r>
      <w:r w:rsidR="00314A11">
        <w:rPr>
          <w:rFonts w:ascii="Times New Roman" w:hAnsi="Times New Roman" w:cs="Times New Roman"/>
          <w:i/>
          <w:iCs/>
          <w:sz w:val="24"/>
          <w:szCs w:val="24"/>
        </w:rPr>
        <w:t>n</w:t>
      </w:r>
    </w:p>
    <w:tbl>
      <w:tblPr>
        <w:tblStyle w:val="a1"/>
        <w:tblpPr w:leftFromText="180" w:rightFromText="180" w:vertAnchor="text" w:horzAnchor="margin" w:tblpY="118"/>
        <w:tblW w:w="97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0"/>
        <w:gridCol w:w="1513"/>
        <w:gridCol w:w="1547"/>
        <w:gridCol w:w="12"/>
        <w:gridCol w:w="796"/>
        <w:gridCol w:w="2469"/>
        <w:gridCol w:w="2022"/>
      </w:tblGrid>
      <w:tr w:rsidR="007821AE" w:rsidRPr="000111CA" w14:paraId="7AC25B16" w14:textId="77777777" w:rsidTr="00970555">
        <w:trPr>
          <w:trHeight w:val="32"/>
        </w:trPr>
        <w:tc>
          <w:tcPr>
            <w:tcW w:w="1400" w:type="dxa"/>
            <w:tcBorders>
              <w:top w:val="single" w:sz="6" w:space="0" w:color="7F7F7F"/>
              <w:left w:val="nil"/>
              <w:bottom w:val="single" w:sz="6" w:space="0" w:color="7F7F7F"/>
              <w:right w:val="nil"/>
            </w:tcBorders>
            <w:tcMar>
              <w:top w:w="0" w:type="dxa"/>
              <w:left w:w="100" w:type="dxa"/>
              <w:bottom w:w="0" w:type="dxa"/>
              <w:right w:w="100" w:type="dxa"/>
            </w:tcMar>
          </w:tcPr>
          <w:p w14:paraId="40A1A325" w14:textId="2EB0D01E"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Score Range</w:t>
            </w:r>
          </w:p>
        </w:tc>
        <w:tc>
          <w:tcPr>
            <w:tcW w:w="1513" w:type="dxa"/>
            <w:tcBorders>
              <w:top w:val="single" w:sz="6" w:space="0" w:color="7F7F7F"/>
              <w:left w:val="nil"/>
              <w:bottom w:val="single" w:sz="6" w:space="0" w:color="7F7F7F"/>
              <w:right w:val="nil"/>
            </w:tcBorders>
            <w:tcMar>
              <w:top w:w="0" w:type="dxa"/>
              <w:left w:w="100" w:type="dxa"/>
              <w:bottom w:w="0" w:type="dxa"/>
              <w:right w:w="100" w:type="dxa"/>
            </w:tcMar>
          </w:tcPr>
          <w:p w14:paraId="13FC97F0"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Percentage Equivalent</w:t>
            </w:r>
          </w:p>
        </w:tc>
        <w:tc>
          <w:tcPr>
            <w:tcW w:w="1547" w:type="dxa"/>
            <w:tcBorders>
              <w:top w:val="single" w:sz="6" w:space="0" w:color="7F7F7F"/>
              <w:left w:val="nil"/>
              <w:bottom w:val="single" w:sz="6" w:space="0" w:color="7F7F7F"/>
              <w:right w:val="nil"/>
            </w:tcBorders>
            <w:tcMar>
              <w:top w:w="0" w:type="dxa"/>
              <w:left w:w="100" w:type="dxa"/>
              <w:bottom w:w="0" w:type="dxa"/>
              <w:right w:w="100" w:type="dxa"/>
            </w:tcMar>
          </w:tcPr>
          <w:p w14:paraId="5C5D8F54"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Post‑Test (n = 44)</w:t>
            </w:r>
          </w:p>
        </w:tc>
        <w:tc>
          <w:tcPr>
            <w:tcW w:w="808" w:type="dxa"/>
            <w:gridSpan w:val="2"/>
            <w:tcBorders>
              <w:top w:val="single" w:sz="6" w:space="0" w:color="7F7F7F"/>
              <w:left w:val="nil"/>
              <w:bottom w:val="single" w:sz="6" w:space="0" w:color="7F7F7F"/>
              <w:right w:val="nil"/>
            </w:tcBorders>
            <w:tcMar>
              <w:top w:w="0" w:type="dxa"/>
              <w:left w:w="100" w:type="dxa"/>
              <w:bottom w:w="0" w:type="dxa"/>
              <w:right w:w="100" w:type="dxa"/>
            </w:tcMar>
          </w:tcPr>
          <w:p w14:paraId="0C506BC0"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w:t>
            </w:r>
          </w:p>
        </w:tc>
        <w:tc>
          <w:tcPr>
            <w:tcW w:w="2469" w:type="dxa"/>
            <w:tcBorders>
              <w:top w:val="single" w:sz="6" w:space="0" w:color="7F7F7F"/>
              <w:left w:val="nil"/>
              <w:bottom w:val="single" w:sz="6" w:space="0" w:color="7F7F7F"/>
              <w:right w:val="nil"/>
            </w:tcBorders>
            <w:tcMar>
              <w:top w:w="0" w:type="dxa"/>
              <w:left w:w="100" w:type="dxa"/>
              <w:bottom w:w="0" w:type="dxa"/>
              <w:right w:w="100" w:type="dxa"/>
            </w:tcMar>
          </w:tcPr>
          <w:p w14:paraId="04425D40"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Phil‑IRI Level</w:t>
            </w:r>
          </w:p>
        </w:tc>
        <w:tc>
          <w:tcPr>
            <w:tcW w:w="2022" w:type="dxa"/>
            <w:tcBorders>
              <w:top w:val="single" w:sz="6" w:space="0" w:color="7F7F7F"/>
              <w:left w:val="nil"/>
              <w:bottom w:val="single" w:sz="6" w:space="0" w:color="7F7F7F"/>
              <w:right w:val="nil"/>
            </w:tcBorders>
            <w:tcMar>
              <w:top w:w="0" w:type="dxa"/>
              <w:left w:w="100" w:type="dxa"/>
              <w:bottom w:w="0" w:type="dxa"/>
              <w:right w:w="100" w:type="dxa"/>
            </w:tcMar>
          </w:tcPr>
          <w:p w14:paraId="01001215"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Qualitative Interpretation</w:t>
            </w:r>
          </w:p>
        </w:tc>
      </w:tr>
      <w:tr w:rsidR="007821AE" w:rsidRPr="000111CA" w14:paraId="3F54DF59" w14:textId="77777777" w:rsidTr="00970555">
        <w:trPr>
          <w:trHeight w:val="31"/>
        </w:trPr>
        <w:tc>
          <w:tcPr>
            <w:tcW w:w="1400" w:type="dxa"/>
            <w:tcBorders>
              <w:top w:val="nil"/>
              <w:left w:val="nil"/>
              <w:bottom w:val="single" w:sz="6" w:space="0" w:color="7F7F7F"/>
              <w:right w:val="nil"/>
            </w:tcBorders>
            <w:tcMar>
              <w:top w:w="0" w:type="dxa"/>
              <w:left w:w="100" w:type="dxa"/>
              <w:bottom w:w="0" w:type="dxa"/>
              <w:right w:w="100" w:type="dxa"/>
            </w:tcMar>
          </w:tcPr>
          <w:p w14:paraId="0D2D4253"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23 – 28</w:t>
            </w:r>
          </w:p>
        </w:tc>
        <w:tc>
          <w:tcPr>
            <w:tcW w:w="1513" w:type="dxa"/>
            <w:tcBorders>
              <w:top w:val="nil"/>
              <w:left w:val="nil"/>
              <w:bottom w:val="single" w:sz="6" w:space="0" w:color="7F7F7F"/>
              <w:right w:val="nil"/>
            </w:tcBorders>
            <w:tcMar>
              <w:top w:w="0" w:type="dxa"/>
              <w:left w:w="100" w:type="dxa"/>
              <w:bottom w:w="0" w:type="dxa"/>
              <w:right w:w="100" w:type="dxa"/>
            </w:tcMar>
          </w:tcPr>
          <w:p w14:paraId="1C561563"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80 – 100 %</w:t>
            </w:r>
          </w:p>
        </w:tc>
        <w:tc>
          <w:tcPr>
            <w:tcW w:w="1559" w:type="dxa"/>
            <w:gridSpan w:val="2"/>
            <w:tcBorders>
              <w:top w:val="nil"/>
              <w:left w:val="nil"/>
              <w:bottom w:val="single" w:sz="6" w:space="0" w:color="7F7F7F"/>
              <w:right w:val="nil"/>
            </w:tcBorders>
            <w:tcMar>
              <w:top w:w="0" w:type="dxa"/>
              <w:left w:w="100" w:type="dxa"/>
              <w:bottom w:w="0" w:type="dxa"/>
              <w:right w:w="100" w:type="dxa"/>
            </w:tcMar>
          </w:tcPr>
          <w:p w14:paraId="2D7F4963"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32</w:t>
            </w:r>
          </w:p>
        </w:tc>
        <w:tc>
          <w:tcPr>
            <w:tcW w:w="796" w:type="dxa"/>
            <w:tcBorders>
              <w:top w:val="nil"/>
              <w:left w:val="nil"/>
              <w:bottom w:val="single" w:sz="6" w:space="0" w:color="7F7F7F"/>
              <w:right w:val="nil"/>
            </w:tcBorders>
            <w:tcMar>
              <w:top w:w="0" w:type="dxa"/>
              <w:left w:w="100" w:type="dxa"/>
              <w:bottom w:w="0" w:type="dxa"/>
              <w:right w:w="100" w:type="dxa"/>
            </w:tcMar>
          </w:tcPr>
          <w:p w14:paraId="072F2D51"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72.73</w:t>
            </w:r>
          </w:p>
        </w:tc>
        <w:tc>
          <w:tcPr>
            <w:tcW w:w="2469" w:type="dxa"/>
            <w:tcBorders>
              <w:top w:val="nil"/>
              <w:left w:val="nil"/>
              <w:bottom w:val="single" w:sz="6" w:space="0" w:color="7F7F7F"/>
              <w:right w:val="nil"/>
            </w:tcBorders>
            <w:tcMar>
              <w:top w:w="0" w:type="dxa"/>
              <w:left w:w="100" w:type="dxa"/>
              <w:bottom w:w="0" w:type="dxa"/>
              <w:right w:w="100" w:type="dxa"/>
            </w:tcMar>
          </w:tcPr>
          <w:p w14:paraId="37EA2171"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Independent</w:t>
            </w:r>
          </w:p>
        </w:tc>
        <w:tc>
          <w:tcPr>
            <w:tcW w:w="2022" w:type="dxa"/>
            <w:tcBorders>
              <w:top w:val="nil"/>
              <w:left w:val="nil"/>
              <w:bottom w:val="single" w:sz="6" w:space="0" w:color="7F7F7F"/>
              <w:right w:val="nil"/>
            </w:tcBorders>
            <w:tcMar>
              <w:top w:w="0" w:type="dxa"/>
              <w:left w:w="100" w:type="dxa"/>
              <w:bottom w:w="0" w:type="dxa"/>
              <w:right w:w="100" w:type="dxa"/>
            </w:tcMar>
          </w:tcPr>
          <w:p w14:paraId="2C11BB8D"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The learner can read and understand the text without help.</w:t>
            </w:r>
          </w:p>
        </w:tc>
      </w:tr>
      <w:tr w:rsidR="007821AE" w:rsidRPr="000111CA" w14:paraId="6A60B8B6" w14:textId="77777777" w:rsidTr="00970555">
        <w:trPr>
          <w:trHeight w:val="39"/>
        </w:trPr>
        <w:tc>
          <w:tcPr>
            <w:tcW w:w="1400" w:type="dxa"/>
            <w:tcBorders>
              <w:top w:val="nil"/>
              <w:left w:val="nil"/>
              <w:bottom w:val="nil"/>
              <w:right w:val="nil"/>
            </w:tcBorders>
            <w:tcMar>
              <w:top w:w="0" w:type="dxa"/>
              <w:left w:w="100" w:type="dxa"/>
              <w:bottom w:w="0" w:type="dxa"/>
              <w:right w:w="100" w:type="dxa"/>
            </w:tcMar>
          </w:tcPr>
          <w:p w14:paraId="36092BFB"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16 – 22</w:t>
            </w:r>
          </w:p>
        </w:tc>
        <w:tc>
          <w:tcPr>
            <w:tcW w:w="1513" w:type="dxa"/>
            <w:tcBorders>
              <w:top w:val="nil"/>
              <w:left w:val="nil"/>
              <w:bottom w:val="nil"/>
              <w:right w:val="nil"/>
            </w:tcBorders>
            <w:tcMar>
              <w:top w:w="0" w:type="dxa"/>
              <w:left w:w="100" w:type="dxa"/>
              <w:bottom w:w="0" w:type="dxa"/>
              <w:right w:w="100" w:type="dxa"/>
            </w:tcMar>
          </w:tcPr>
          <w:p w14:paraId="18E8FD13"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59 – 79 %</w:t>
            </w:r>
          </w:p>
        </w:tc>
        <w:tc>
          <w:tcPr>
            <w:tcW w:w="1559" w:type="dxa"/>
            <w:gridSpan w:val="2"/>
            <w:tcBorders>
              <w:top w:val="nil"/>
              <w:left w:val="nil"/>
              <w:bottom w:val="nil"/>
              <w:right w:val="nil"/>
            </w:tcBorders>
            <w:tcMar>
              <w:top w:w="0" w:type="dxa"/>
              <w:left w:w="100" w:type="dxa"/>
              <w:bottom w:w="0" w:type="dxa"/>
              <w:right w:w="100" w:type="dxa"/>
            </w:tcMar>
          </w:tcPr>
          <w:p w14:paraId="3D4180EB"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3</w:t>
            </w:r>
          </w:p>
        </w:tc>
        <w:tc>
          <w:tcPr>
            <w:tcW w:w="796" w:type="dxa"/>
            <w:tcBorders>
              <w:top w:val="nil"/>
              <w:left w:val="nil"/>
              <w:bottom w:val="nil"/>
              <w:right w:val="nil"/>
            </w:tcBorders>
            <w:tcMar>
              <w:top w:w="0" w:type="dxa"/>
              <w:left w:w="100" w:type="dxa"/>
              <w:bottom w:w="0" w:type="dxa"/>
              <w:right w:w="100" w:type="dxa"/>
            </w:tcMar>
          </w:tcPr>
          <w:p w14:paraId="14FB87FF"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6.82</w:t>
            </w:r>
          </w:p>
        </w:tc>
        <w:tc>
          <w:tcPr>
            <w:tcW w:w="2469" w:type="dxa"/>
            <w:tcBorders>
              <w:top w:val="nil"/>
              <w:left w:val="nil"/>
              <w:bottom w:val="nil"/>
              <w:right w:val="nil"/>
            </w:tcBorders>
            <w:tcMar>
              <w:top w:w="0" w:type="dxa"/>
              <w:left w:w="100" w:type="dxa"/>
              <w:bottom w:w="0" w:type="dxa"/>
              <w:right w:w="100" w:type="dxa"/>
            </w:tcMar>
          </w:tcPr>
          <w:p w14:paraId="109D0633"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Instructional</w:t>
            </w:r>
          </w:p>
        </w:tc>
        <w:tc>
          <w:tcPr>
            <w:tcW w:w="2022" w:type="dxa"/>
            <w:tcBorders>
              <w:top w:val="nil"/>
              <w:left w:val="nil"/>
              <w:bottom w:val="nil"/>
              <w:right w:val="nil"/>
            </w:tcBorders>
            <w:tcMar>
              <w:top w:w="0" w:type="dxa"/>
              <w:left w:w="100" w:type="dxa"/>
              <w:bottom w:w="0" w:type="dxa"/>
              <w:right w:w="100" w:type="dxa"/>
            </w:tcMar>
          </w:tcPr>
          <w:p w14:paraId="73038DB8"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The learner can understand the text with teacher guidance or support.</w:t>
            </w:r>
          </w:p>
        </w:tc>
      </w:tr>
      <w:tr w:rsidR="007821AE" w:rsidRPr="000111CA" w14:paraId="3A211862" w14:textId="77777777" w:rsidTr="00970555">
        <w:trPr>
          <w:trHeight w:val="40"/>
        </w:trPr>
        <w:tc>
          <w:tcPr>
            <w:tcW w:w="1400" w:type="dxa"/>
            <w:tcBorders>
              <w:top w:val="single" w:sz="6" w:space="0" w:color="7F7F7F"/>
              <w:left w:val="nil"/>
              <w:bottom w:val="single" w:sz="6" w:space="0" w:color="7F7F7F"/>
              <w:right w:val="nil"/>
            </w:tcBorders>
            <w:tcMar>
              <w:top w:w="0" w:type="dxa"/>
              <w:left w:w="100" w:type="dxa"/>
              <w:bottom w:w="0" w:type="dxa"/>
              <w:right w:w="100" w:type="dxa"/>
            </w:tcMar>
          </w:tcPr>
          <w:p w14:paraId="1B9B1B7A"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15 and below</w:t>
            </w:r>
          </w:p>
        </w:tc>
        <w:tc>
          <w:tcPr>
            <w:tcW w:w="1513" w:type="dxa"/>
            <w:tcBorders>
              <w:top w:val="single" w:sz="6" w:space="0" w:color="7F7F7F"/>
              <w:left w:val="nil"/>
              <w:bottom w:val="single" w:sz="6" w:space="0" w:color="7F7F7F"/>
              <w:right w:val="nil"/>
            </w:tcBorders>
            <w:tcMar>
              <w:top w:w="0" w:type="dxa"/>
              <w:left w:w="100" w:type="dxa"/>
              <w:bottom w:w="0" w:type="dxa"/>
              <w:right w:w="100" w:type="dxa"/>
            </w:tcMar>
          </w:tcPr>
          <w:p w14:paraId="2879C661"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58 % and below</w:t>
            </w:r>
          </w:p>
        </w:tc>
        <w:tc>
          <w:tcPr>
            <w:tcW w:w="1559" w:type="dxa"/>
            <w:gridSpan w:val="2"/>
            <w:tcBorders>
              <w:top w:val="single" w:sz="6" w:space="0" w:color="7F7F7F"/>
              <w:left w:val="nil"/>
              <w:bottom w:val="single" w:sz="6" w:space="0" w:color="7F7F7F"/>
              <w:right w:val="nil"/>
            </w:tcBorders>
            <w:tcMar>
              <w:top w:w="0" w:type="dxa"/>
              <w:left w:w="100" w:type="dxa"/>
              <w:bottom w:w="0" w:type="dxa"/>
              <w:right w:w="100" w:type="dxa"/>
            </w:tcMar>
          </w:tcPr>
          <w:p w14:paraId="62BC2D69"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9</w:t>
            </w:r>
          </w:p>
        </w:tc>
        <w:tc>
          <w:tcPr>
            <w:tcW w:w="796" w:type="dxa"/>
            <w:tcBorders>
              <w:top w:val="single" w:sz="6" w:space="0" w:color="7F7F7F"/>
              <w:left w:val="nil"/>
              <w:bottom w:val="single" w:sz="6" w:space="0" w:color="7F7F7F"/>
              <w:right w:val="nil"/>
            </w:tcBorders>
            <w:tcMar>
              <w:top w:w="0" w:type="dxa"/>
              <w:left w:w="100" w:type="dxa"/>
              <w:bottom w:w="0" w:type="dxa"/>
              <w:right w:w="100" w:type="dxa"/>
            </w:tcMar>
          </w:tcPr>
          <w:p w14:paraId="6826FB7F"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20.45</w:t>
            </w:r>
          </w:p>
        </w:tc>
        <w:tc>
          <w:tcPr>
            <w:tcW w:w="2469" w:type="dxa"/>
            <w:tcBorders>
              <w:top w:val="single" w:sz="6" w:space="0" w:color="7F7F7F"/>
              <w:left w:val="nil"/>
              <w:bottom w:val="single" w:sz="6" w:space="0" w:color="7F7F7F"/>
              <w:right w:val="nil"/>
            </w:tcBorders>
            <w:tcMar>
              <w:top w:w="0" w:type="dxa"/>
              <w:left w:w="100" w:type="dxa"/>
              <w:bottom w:w="0" w:type="dxa"/>
              <w:right w:w="100" w:type="dxa"/>
            </w:tcMar>
          </w:tcPr>
          <w:p w14:paraId="3A8B159F"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Frustration</w:t>
            </w:r>
          </w:p>
        </w:tc>
        <w:tc>
          <w:tcPr>
            <w:tcW w:w="2022" w:type="dxa"/>
            <w:tcBorders>
              <w:top w:val="single" w:sz="6" w:space="0" w:color="7F7F7F"/>
              <w:left w:val="nil"/>
              <w:bottom w:val="single" w:sz="6" w:space="0" w:color="7F7F7F"/>
              <w:right w:val="nil"/>
            </w:tcBorders>
            <w:tcMar>
              <w:top w:w="0" w:type="dxa"/>
              <w:left w:w="100" w:type="dxa"/>
              <w:bottom w:w="0" w:type="dxa"/>
              <w:right w:w="100" w:type="dxa"/>
            </w:tcMar>
          </w:tcPr>
          <w:p w14:paraId="04C9507A"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The learner has difficulty understanding the text even with assistance.</w:t>
            </w:r>
          </w:p>
        </w:tc>
      </w:tr>
      <w:tr w:rsidR="007821AE" w:rsidRPr="000111CA" w14:paraId="25939439" w14:textId="77777777" w:rsidTr="00970555">
        <w:trPr>
          <w:trHeight w:val="22"/>
        </w:trPr>
        <w:tc>
          <w:tcPr>
            <w:tcW w:w="1400" w:type="dxa"/>
            <w:tcBorders>
              <w:top w:val="nil"/>
              <w:left w:val="nil"/>
              <w:bottom w:val="nil"/>
              <w:right w:val="nil"/>
            </w:tcBorders>
            <w:tcMar>
              <w:top w:w="0" w:type="dxa"/>
              <w:left w:w="100" w:type="dxa"/>
              <w:bottom w:w="0" w:type="dxa"/>
              <w:right w:w="100" w:type="dxa"/>
            </w:tcMar>
          </w:tcPr>
          <w:p w14:paraId="22B14D0E"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Total</w:t>
            </w:r>
          </w:p>
        </w:tc>
        <w:tc>
          <w:tcPr>
            <w:tcW w:w="1513" w:type="dxa"/>
            <w:tcBorders>
              <w:top w:val="nil"/>
              <w:left w:val="nil"/>
              <w:bottom w:val="nil"/>
              <w:right w:val="nil"/>
            </w:tcBorders>
            <w:tcMar>
              <w:top w:w="0" w:type="dxa"/>
              <w:left w:w="100" w:type="dxa"/>
              <w:bottom w:w="0" w:type="dxa"/>
              <w:right w:w="100" w:type="dxa"/>
            </w:tcMar>
          </w:tcPr>
          <w:p w14:paraId="06E5E9AE"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w:t>
            </w:r>
          </w:p>
        </w:tc>
        <w:tc>
          <w:tcPr>
            <w:tcW w:w="1559" w:type="dxa"/>
            <w:gridSpan w:val="2"/>
            <w:tcBorders>
              <w:top w:val="nil"/>
              <w:left w:val="nil"/>
              <w:bottom w:val="nil"/>
              <w:right w:val="nil"/>
            </w:tcBorders>
            <w:tcMar>
              <w:top w:w="0" w:type="dxa"/>
              <w:left w:w="100" w:type="dxa"/>
              <w:bottom w:w="0" w:type="dxa"/>
              <w:right w:w="100" w:type="dxa"/>
            </w:tcMar>
          </w:tcPr>
          <w:p w14:paraId="3D4278A6"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44</w:t>
            </w:r>
          </w:p>
        </w:tc>
        <w:tc>
          <w:tcPr>
            <w:tcW w:w="796" w:type="dxa"/>
            <w:tcBorders>
              <w:top w:val="nil"/>
              <w:left w:val="nil"/>
              <w:bottom w:val="nil"/>
              <w:right w:val="nil"/>
            </w:tcBorders>
            <w:tcMar>
              <w:top w:w="0" w:type="dxa"/>
              <w:left w:w="100" w:type="dxa"/>
              <w:bottom w:w="0" w:type="dxa"/>
              <w:right w:w="100" w:type="dxa"/>
            </w:tcMar>
          </w:tcPr>
          <w:p w14:paraId="3A1B5A3D"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100.00</w:t>
            </w:r>
          </w:p>
        </w:tc>
        <w:tc>
          <w:tcPr>
            <w:tcW w:w="2469" w:type="dxa"/>
            <w:tcBorders>
              <w:top w:val="nil"/>
              <w:left w:val="nil"/>
              <w:bottom w:val="nil"/>
              <w:right w:val="nil"/>
            </w:tcBorders>
            <w:tcMar>
              <w:top w:w="0" w:type="dxa"/>
              <w:left w:w="100" w:type="dxa"/>
              <w:bottom w:w="0" w:type="dxa"/>
              <w:right w:w="100" w:type="dxa"/>
            </w:tcMar>
          </w:tcPr>
          <w:p w14:paraId="46619925"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w:t>
            </w:r>
          </w:p>
        </w:tc>
        <w:tc>
          <w:tcPr>
            <w:tcW w:w="2022" w:type="dxa"/>
            <w:tcBorders>
              <w:top w:val="nil"/>
              <w:left w:val="nil"/>
              <w:bottom w:val="nil"/>
              <w:right w:val="nil"/>
            </w:tcBorders>
            <w:tcMar>
              <w:top w:w="0" w:type="dxa"/>
              <w:left w:w="100" w:type="dxa"/>
              <w:bottom w:w="0" w:type="dxa"/>
              <w:right w:w="100" w:type="dxa"/>
            </w:tcMar>
          </w:tcPr>
          <w:p w14:paraId="293D091E"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w:t>
            </w:r>
          </w:p>
        </w:tc>
      </w:tr>
      <w:tr w:rsidR="007821AE" w:rsidRPr="000111CA" w14:paraId="66BEF7E0" w14:textId="77777777" w:rsidTr="00970555">
        <w:trPr>
          <w:trHeight w:val="29"/>
        </w:trPr>
        <w:tc>
          <w:tcPr>
            <w:tcW w:w="1400" w:type="dxa"/>
            <w:tcBorders>
              <w:top w:val="single" w:sz="6" w:space="0" w:color="7F7F7F"/>
              <w:left w:val="nil"/>
              <w:bottom w:val="single" w:sz="6" w:space="0" w:color="7F7F7F"/>
              <w:right w:val="nil"/>
            </w:tcBorders>
            <w:tcMar>
              <w:top w:w="0" w:type="dxa"/>
              <w:left w:w="100" w:type="dxa"/>
              <w:bottom w:w="0" w:type="dxa"/>
              <w:right w:w="100" w:type="dxa"/>
            </w:tcMar>
          </w:tcPr>
          <w:p w14:paraId="29AA1DC2" w14:textId="77777777" w:rsidR="007821AE" w:rsidRPr="000111CA" w:rsidRDefault="007821AE" w:rsidP="007821AE">
            <w:pPr>
              <w:spacing w:after="160" w:line="240" w:lineRule="auto"/>
              <w:jc w:val="center"/>
              <w:rPr>
                <w:rFonts w:ascii="Times New Roman" w:hAnsi="Times New Roman" w:cs="Times New Roman"/>
                <w:sz w:val="18"/>
                <w:szCs w:val="18"/>
              </w:rPr>
            </w:pPr>
            <w:proofErr w:type="gramStart"/>
            <w:r w:rsidRPr="000111CA">
              <w:rPr>
                <w:rFonts w:ascii="Times New Roman" w:hAnsi="Times New Roman" w:cs="Times New Roman"/>
                <w:sz w:val="18"/>
                <w:szCs w:val="18"/>
              </w:rPr>
              <w:t>Overall  Mean</w:t>
            </w:r>
            <w:proofErr w:type="gramEnd"/>
            <w:r w:rsidRPr="000111CA">
              <w:rPr>
                <w:rFonts w:ascii="Times New Roman" w:hAnsi="Times New Roman" w:cs="Times New Roman"/>
                <w:sz w:val="18"/>
                <w:szCs w:val="18"/>
              </w:rPr>
              <w:t> Score</w:t>
            </w:r>
          </w:p>
        </w:tc>
        <w:tc>
          <w:tcPr>
            <w:tcW w:w="1513" w:type="dxa"/>
            <w:tcBorders>
              <w:top w:val="single" w:sz="6" w:space="0" w:color="7F7F7F"/>
              <w:left w:val="nil"/>
              <w:bottom w:val="single" w:sz="6" w:space="0" w:color="7F7F7F"/>
              <w:right w:val="nil"/>
            </w:tcBorders>
            <w:tcMar>
              <w:top w:w="0" w:type="dxa"/>
              <w:left w:w="100" w:type="dxa"/>
              <w:bottom w:w="0" w:type="dxa"/>
              <w:right w:w="100" w:type="dxa"/>
            </w:tcMar>
          </w:tcPr>
          <w:p w14:paraId="7E446727"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w:t>
            </w:r>
          </w:p>
        </w:tc>
        <w:tc>
          <w:tcPr>
            <w:tcW w:w="1559" w:type="dxa"/>
            <w:gridSpan w:val="2"/>
            <w:tcBorders>
              <w:top w:val="single" w:sz="6" w:space="0" w:color="7F7F7F"/>
              <w:left w:val="nil"/>
              <w:bottom w:val="single" w:sz="6" w:space="0" w:color="7F7F7F"/>
              <w:right w:val="nil"/>
            </w:tcBorders>
            <w:tcMar>
              <w:top w:w="0" w:type="dxa"/>
              <w:left w:w="100" w:type="dxa"/>
              <w:bottom w:w="0" w:type="dxa"/>
              <w:right w:w="100" w:type="dxa"/>
            </w:tcMar>
          </w:tcPr>
          <w:p w14:paraId="21362E8B"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23.64</w:t>
            </w:r>
          </w:p>
        </w:tc>
        <w:tc>
          <w:tcPr>
            <w:tcW w:w="796" w:type="dxa"/>
            <w:tcBorders>
              <w:top w:val="single" w:sz="6" w:space="0" w:color="7F7F7F"/>
              <w:left w:val="nil"/>
              <w:bottom w:val="single" w:sz="6" w:space="0" w:color="7F7F7F"/>
              <w:right w:val="nil"/>
            </w:tcBorders>
            <w:tcMar>
              <w:top w:w="0" w:type="dxa"/>
              <w:left w:w="100" w:type="dxa"/>
              <w:bottom w:w="0" w:type="dxa"/>
              <w:right w:w="100" w:type="dxa"/>
            </w:tcMar>
          </w:tcPr>
          <w:p w14:paraId="36A44936"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w:t>
            </w:r>
          </w:p>
        </w:tc>
        <w:tc>
          <w:tcPr>
            <w:tcW w:w="2469" w:type="dxa"/>
            <w:tcBorders>
              <w:top w:val="single" w:sz="6" w:space="0" w:color="7F7F7F"/>
              <w:left w:val="nil"/>
              <w:bottom w:val="single" w:sz="6" w:space="0" w:color="7F7F7F"/>
              <w:right w:val="nil"/>
            </w:tcBorders>
            <w:tcMar>
              <w:top w:w="0" w:type="dxa"/>
              <w:left w:w="100" w:type="dxa"/>
              <w:bottom w:w="0" w:type="dxa"/>
              <w:right w:w="100" w:type="dxa"/>
            </w:tcMar>
          </w:tcPr>
          <w:p w14:paraId="579977BB" w14:textId="77777777" w:rsidR="007821AE" w:rsidRPr="000111CA" w:rsidRDefault="007821AE" w:rsidP="007821AE">
            <w:pPr>
              <w:spacing w:after="160" w:line="240" w:lineRule="auto"/>
              <w:jc w:val="center"/>
              <w:rPr>
                <w:rFonts w:ascii="Times New Roman" w:hAnsi="Times New Roman" w:cs="Times New Roman"/>
                <w:sz w:val="18"/>
                <w:szCs w:val="18"/>
              </w:rPr>
            </w:pPr>
            <w:proofErr w:type="gramStart"/>
            <w:r w:rsidRPr="000111CA">
              <w:rPr>
                <w:rFonts w:ascii="Times New Roman" w:hAnsi="Times New Roman" w:cs="Times New Roman"/>
                <w:sz w:val="18"/>
                <w:szCs w:val="18"/>
              </w:rPr>
              <w:t>Approaching  Independent</w:t>
            </w:r>
            <w:proofErr w:type="gramEnd"/>
            <w:r w:rsidRPr="000111CA">
              <w:rPr>
                <w:rFonts w:ascii="Times New Roman" w:hAnsi="Times New Roman" w:cs="Times New Roman"/>
                <w:sz w:val="18"/>
                <w:szCs w:val="18"/>
              </w:rPr>
              <w:t>  Level</w:t>
            </w:r>
          </w:p>
        </w:tc>
        <w:tc>
          <w:tcPr>
            <w:tcW w:w="2022" w:type="dxa"/>
            <w:tcBorders>
              <w:top w:val="single" w:sz="6" w:space="0" w:color="7F7F7F"/>
              <w:left w:val="nil"/>
              <w:bottom w:val="single" w:sz="6" w:space="0" w:color="7F7F7F"/>
              <w:right w:val="nil"/>
            </w:tcBorders>
            <w:tcMar>
              <w:top w:w="0" w:type="dxa"/>
              <w:left w:w="100" w:type="dxa"/>
              <w:bottom w:w="0" w:type="dxa"/>
              <w:right w:w="100" w:type="dxa"/>
            </w:tcMar>
          </w:tcPr>
          <w:p w14:paraId="359315FA" w14:textId="77777777" w:rsidR="007821AE" w:rsidRPr="000111CA" w:rsidRDefault="007821AE" w:rsidP="007821AE">
            <w:pPr>
              <w:spacing w:after="160" w:line="240" w:lineRule="auto"/>
              <w:jc w:val="center"/>
              <w:rPr>
                <w:rFonts w:ascii="Times New Roman" w:hAnsi="Times New Roman" w:cs="Times New Roman"/>
                <w:sz w:val="18"/>
                <w:szCs w:val="18"/>
              </w:rPr>
            </w:pPr>
            <w:r w:rsidRPr="000111CA">
              <w:rPr>
                <w:rFonts w:ascii="Times New Roman" w:hAnsi="Times New Roman" w:cs="Times New Roman"/>
                <w:sz w:val="18"/>
                <w:szCs w:val="18"/>
              </w:rPr>
              <w:t>—</w:t>
            </w:r>
          </w:p>
        </w:tc>
      </w:tr>
    </w:tbl>
    <w:p w14:paraId="552B5962" w14:textId="77777777" w:rsidR="00543817" w:rsidRDefault="00543817" w:rsidP="00D97720">
      <w:pPr>
        <w:spacing w:after="160" w:line="240" w:lineRule="auto"/>
        <w:jc w:val="both"/>
        <w:rPr>
          <w:rFonts w:ascii="Times New Roman" w:hAnsi="Times New Roman" w:cs="Times New Roman"/>
          <w:i/>
          <w:iCs/>
          <w:sz w:val="24"/>
          <w:szCs w:val="24"/>
        </w:rPr>
        <w:sectPr w:rsidR="00543817" w:rsidSect="00543817">
          <w:type w:val="continuous"/>
          <w:pgSz w:w="11906" w:h="16838"/>
          <w:pgMar w:top="1440" w:right="1080" w:bottom="1440" w:left="1080" w:header="720" w:footer="720" w:gutter="0"/>
          <w:pgNumType w:start="1"/>
          <w:cols w:num="2" w:space="720"/>
          <w:docGrid w:linePitch="299"/>
        </w:sectPr>
      </w:pPr>
    </w:p>
    <w:p w14:paraId="53E167D0" w14:textId="43D7AC46" w:rsidR="00970555" w:rsidRPr="00970555" w:rsidRDefault="00206C7E" w:rsidP="00970555">
      <w:pPr>
        <w:spacing w:after="160" w:line="240" w:lineRule="auto"/>
        <w:jc w:val="both"/>
        <w:rPr>
          <w:rFonts w:ascii="Times New Roman" w:hAnsi="Times New Roman" w:cs="Times New Roman"/>
          <w:i/>
          <w:iCs/>
          <w:sz w:val="24"/>
          <w:szCs w:val="24"/>
        </w:rPr>
        <w:sectPr w:rsidR="00970555" w:rsidRPr="00970555" w:rsidSect="00543817">
          <w:type w:val="continuous"/>
          <w:pgSz w:w="11906" w:h="16838"/>
          <w:pgMar w:top="1440" w:right="1080" w:bottom="1440" w:left="1080" w:header="720" w:footer="720" w:gutter="0"/>
          <w:pgNumType w:start="1"/>
          <w:cols w:space="720"/>
          <w:docGrid w:linePitch="299"/>
        </w:sectPr>
      </w:pPr>
      <w:r w:rsidRPr="007821AE">
        <w:rPr>
          <w:rFonts w:ascii="Times New Roman" w:hAnsi="Times New Roman" w:cs="Times New Roman"/>
          <w:i/>
          <w:iCs/>
          <w:sz w:val="24"/>
          <w:szCs w:val="24"/>
        </w:rPr>
        <w:t>Interpretation based on the Philippine Informal Reading Inventory (Phil‑IRI, 201</w:t>
      </w:r>
      <w:r w:rsidR="00970555">
        <w:rPr>
          <w:rFonts w:ascii="Times New Roman" w:hAnsi="Times New Roman" w:cs="Times New Roman"/>
          <w:i/>
          <w:iCs/>
          <w:sz w:val="24"/>
          <w:szCs w:val="24"/>
        </w:rPr>
        <w:t>8)</w:t>
      </w:r>
    </w:p>
    <w:p w14:paraId="18C1792B" w14:textId="15DB6907" w:rsidR="00970555" w:rsidRPr="00970555" w:rsidRDefault="00970555" w:rsidP="00970555">
      <w:pPr>
        <w:rPr>
          <w:lang w:val="en-PH"/>
        </w:rPr>
        <w:sectPr w:rsidR="00970555" w:rsidRPr="00970555" w:rsidSect="000111CA">
          <w:type w:val="continuous"/>
          <w:pgSz w:w="11906" w:h="16838"/>
          <w:pgMar w:top="1440" w:right="1080" w:bottom="1440" w:left="1080" w:header="720" w:footer="720" w:gutter="0"/>
          <w:pgNumType w:start="1"/>
          <w:cols w:space="720"/>
          <w:docGrid w:linePitch="299"/>
        </w:sectPr>
      </w:pPr>
    </w:p>
    <w:p w14:paraId="36A6B8AA" w14:textId="252B4191" w:rsidR="00A978C3" w:rsidRPr="007821AE" w:rsidRDefault="00FD2F09" w:rsidP="00970555">
      <w:pPr>
        <w:pStyle w:val="NormalWeb"/>
        <w:spacing w:before="0" w:beforeAutospacing="0"/>
        <w:ind w:firstLine="720"/>
        <w:jc w:val="both"/>
      </w:pPr>
      <w:r>
        <w:rPr>
          <w:noProof/>
        </w:rPr>
        <mc:AlternateContent>
          <mc:Choice Requires="wps">
            <w:drawing>
              <wp:anchor distT="0" distB="0" distL="114300" distR="114300" simplePos="0" relativeHeight="251663360" behindDoc="0" locked="0" layoutInCell="1" allowOverlap="1" wp14:anchorId="077F2814" wp14:editId="36F95CDF">
                <wp:simplePos x="0" y="0"/>
                <wp:positionH relativeFrom="column">
                  <wp:posOffset>2872409</wp:posOffset>
                </wp:positionH>
                <wp:positionV relativeFrom="paragraph">
                  <wp:posOffset>1645727</wp:posOffset>
                </wp:positionV>
                <wp:extent cx="409575" cy="357229"/>
                <wp:effectExtent l="0" t="0" r="9525" b="5080"/>
                <wp:wrapNone/>
                <wp:docPr id="1374067898" name="Text Box 6"/>
                <wp:cNvGraphicFramePr/>
                <a:graphic xmlns:a="http://schemas.openxmlformats.org/drawingml/2006/main">
                  <a:graphicData uri="http://schemas.microsoft.com/office/word/2010/wordprocessingShape">
                    <wps:wsp>
                      <wps:cNvSpPr txBox="1"/>
                      <wps:spPr>
                        <a:xfrm>
                          <a:off x="0" y="0"/>
                          <a:ext cx="409575" cy="357229"/>
                        </a:xfrm>
                        <a:prstGeom prst="rect">
                          <a:avLst/>
                        </a:prstGeom>
                        <a:solidFill>
                          <a:schemeClr val="lt1"/>
                        </a:solidFill>
                        <a:ln w="6350">
                          <a:noFill/>
                        </a:ln>
                      </wps:spPr>
                      <wps:txbx>
                        <w:txbxContent>
                          <w:p w14:paraId="3A94D9A1" w14:textId="6CBB48A8" w:rsidR="00FD2F09" w:rsidRDefault="00FD2F09">
                            <w:r>
                              <w:rPr>
                                <w:rFonts w:ascii="Times New Roman" w:hAnsi="Times New Roman" w:cs="Times New Roman"/>
                                <w:color w:val="595959" w:themeColor="text1" w:themeTint="A6"/>
                                <w:sz w:val="24"/>
                                <w:szCs w:val="24"/>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F2814" id="Text Box 6" o:spid="_x0000_s1031" type="#_x0000_t202" style="position:absolute;left:0;text-align:left;margin-left:226.15pt;margin-top:129.6pt;width:32.25pt;height:2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3MMAIAAFo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" fillcolor="white [3201]" stroked="f" strokeweight=".5pt">
                <v:textbox>
                  <w:txbxContent>
                    <w:p w14:paraId="3A94D9A1" w14:textId="6CBB48A8" w:rsidR="00FD2F09" w:rsidRDefault="00FD2F09">
                      <w:r>
                        <w:rPr>
                          <w:rFonts w:ascii="Times New Roman" w:hAnsi="Times New Roman" w:cs="Times New Roman"/>
                          <w:color w:val="595959" w:themeColor="text1" w:themeTint="A6"/>
                          <w:sz w:val="24"/>
                          <w:szCs w:val="24"/>
                        </w:rPr>
                        <w:t xml:space="preserve">  5</w:t>
                      </w:r>
                    </w:p>
                  </w:txbxContent>
                </v:textbox>
              </v:shape>
            </w:pict>
          </mc:Fallback>
        </mc:AlternateContent>
      </w:r>
      <w:r w:rsidR="00A978C3" w:rsidRPr="007821AE">
        <w:t xml:space="preserve">Table 2 presents the learners’ level of reading comprehension after the implementation of multimodal strategies, interpreted using the </w:t>
      </w:r>
      <w:r w:rsidR="00A978C3" w:rsidRPr="007821AE">
        <w:rPr>
          <w:rStyle w:val="whitespace-normal"/>
        </w:rPr>
        <w:t>Philippine Informal Reading Inventory</w:t>
      </w:r>
      <w:r w:rsidR="00A978C3" w:rsidRPr="007821AE">
        <w:t xml:space="preserve">. The results reveal a remarkable improvement in learners’ performance. Before the intervention, all </w:t>
      </w:r>
      <w:r w:rsidR="00A978C3" w:rsidRPr="007821AE">
        <w:t xml:space="preserve">participants were at the Frustration level, but after the multimodal intervention, most learners progressed to the Instructional and Independent levels, demonstrating their ability to comprehend texts with minimal or no teacher support. Specifically, 72.73 % of learners reached the </w:t>
      </w:r>
      <w:proofErr w:type="gramStart"/>
      <w:r w:rsidR="00A978C3" w:rsidRPr="007821AE">
        <w:t>Independent</w:t>
      </w:r>
      <w:proofErr w:type="gramEnd"/>
      <w:r w:rsidR="00A978C3" w:rsidRPr="007821AE">
        <w:t xml:space="preserve"> level, 6.82 % attained </w:t>
      </w:r>
      <w:r w:rsidR="00A978C3" w:rsidRPr="007821AE">
        <w:lastRenderedPageBreak/>
        <w:t>the Instructional level, and only 20.45 % remained at the Frustration level. The overall mean score of 23.64 corresponds to the Approaching Independent level, signifying substantial growth in reading comprehension.</w:t>
      </w:r>
    </w:p>
    <w:p w14:paraId="35072E72" w14:textId="5466FAE6" w:rsidR="00A978C3" w:rsidRPr="007821AE" w:rsidRDefault="00A978C3" w:rsidP="00D97720">
      <w:pPr>
        <w:pStyle w:val="NormalWeb"/>
        <w:ind w:firstLine="720"/>
        <w:jc w:val="both"/>
      </w:pPr>
      <w:r w:rsidRPr="007821AE">
        <w:t xml:space="preserve">This improvement aligns with recent findings emphasizing the effectiveness of multimodal and active learning approaches in literacy development. According to </w:t>
      </w:r>
      <w:proofErr w:type="spellStart"/>
      <w:r w:rsidRPr="007821AE">
        <w:t>Alhabshi</w:t>
      </w:r>
      <w:proofErr w:type="spellEnd"/>
      <w:r w:rsidRPr="007821AE">
        <w:t xml:space="preserve"> and Abdelaziz (2022), multimodal instruction enhances comprehension by engaging learners through visual, auditory, and kinesthetic channels, allowing them to process information more deeply. Similarly, </w:t>
      </w:r>
      <w:proofErr w:type="spellStart"/>
      <w:r w:rsidRPr="007821AE">
        <w:t>Angub</w:t>
      </w:r>
      <w:proofErr w:type="spellEnd"/>
      <w:r w:rsidRPr="007821AE">
        <w:t xml:space="preserve"> et al. (2025) found that integrating texts, images, and videos significantly improves learners’ understanding at both word and text levels. These results are consistent with </w:t>
      </w:r>
      <w:proofErr w:type="spellStart"/>
      <w:r w:rsidRPr="007821AE">
        <w:t>Daulay</w:t>
      </w:r>
      <w:proofErr w:type="spellEnd"/>
      <w:r w:rsidRPr="007821AE">
        <w:t xml:space="preserve"> and Dewi (2025), who reported that multimodal strategies foster retention and meaningful learning experiences by connecting abstract ideas to concrete representations.</w:t>
      </w:r>
    </w:p>
    <w:p w14:paraId="6F8D9956" w14:textId="0DB43BAD" w:rsidR="00A978C3" w:rsidRPr="007821AE" w:rsidRDefault="00A978C3" w:rsidP="00D97720">
      <w:pPr>
        <w:pStyle w:val="NormalWeb"/>
        <w:ind w:firstLine="720"/>
        <w:jc w:val="both"/>
      </w:pPr>
      <w:r w:rsidRPr="007821AE">
        <w:t xml:space="preserve">The shift from Frustration to Instructional and Independent levels reflects the principles of differentiated instruction and learner engagement highlighted by Tomlinson (2017) and Hattie (2018). Both scholars emphasize that when instruction </w:t>
      </w:r>
      <w:r w:rsidRPr="007821AE">
        <w:t>accommodates diverse learning styles, students demonstrate higher motivation and cognitive engagement, leading to measurable gains in comprehension. In the Philippine context, Villanueva (2022) and Tortola (2021) similarly noted that active, multimodal approaches are essential for addressing persistent reading challenges among secondary learners.</w:t>
      </w:r>
    </w:p>
    <w:p w14:paraId="1B8101AF" w14:textId="77777777" w:rsidR="000111CA" w:rsidRDefault="00A978C3" w:rsidP="000111CA">
      <w:pPr>
        <w:pStyle w:val="NormalWeb"/>
        <w:ind w:firstLine="720"/>
        <w:jc w:val="both"/>
      </w:pPr>
      <w:r w:rsidRPr="007821AE">
        <w:t xml:space="preserve">Moreover, the results support OECD (2019) and Camino et al. (2025), who observed that Filipino learners often struggle with inferential and evaluative comprehension due to limited exposure to interactive reading experiences. The present study’s outcomes suggest that multimodal strategies can effectively bridge this gap by promoting active participation and critical thinking. Learners who engaged in guided reading, video viewing, writing tasks, and role-playing were able to construct meaning collaboratively, thereby improving their comprehension across literal, inferential, and evaluative dimensions. Overall, the findings affirm that multimodal strategies are powerful tools for enhancing reading comprehension and support the </w:t>
      </w:r>
      <w:r w:rsidRPr="007821AE">
        <w:rPr>
          <w:rStyle w:val="whitespace-normal"/>
        </w:rPr>
        <w:t>Department of Education</w:t>
      </w:r>
      <w:r w:rsidRPr="007821AE">
        <w:t>’s goal of improving literacy outcomes through evidence-based, inclusive practices</w:t>
      </w:r>
      <w:r w:rsidR="00970555">
        <w:t>.</w:t>
      </w:r>
    </w:p>
    <w:p w14:paraId="58DF1ECD" w14:textId="232B09F5" w:rsidR="00970555" w:rsidRDefault="00970555" w:rsidP="000111CA">
      <w:pPr>
        <w:pStyle w:val="NormalWeb"/>
        <w:ind w:firstLine="720"/>
        <w:jc w:val="both"/>
        <w:sectPr w:rsidR="00970555" w:rsidSect="000111CA">
          <w:footerReference w:type="default" r:id="rId9"/>
          <w:type w:val="continuous"/>
          <w:pgSz w:w="11906" w:h="16838"/>
          <w:pgMar w:top="1440" w:right="1080" w:bottom="1440" w:left="1080" w:header="720" w:footer="720" w:gutter="0"/>
          <w:pgNumType w:start="1"/>
          <w:cols w:num="2" w:space="720"/>
          <w:docGrid w:linePitch="299"/>
        </w:sectPr>
      </w:pPr>
    </w:p>
    <w:p w14:paraId="6EE12974" w14:textId="77777777" w:rsidR="00970555" w:rsidRDefault="00970555" w:rsidP="000111CA">
      <w:pPr>
        <w:spacing w:line="240" w:lineRule="auto"/>
        <w:jc w:val="center"/>
        <w:rPr>
          <w:rFonts w:ascii="Times New Roman" w:hAnsi="Times New Roman" w:cs="Times New Roman"/>
          <w:b/>
          <w:bCs/>
          <w:sz w:val="24"/>
          <w:szCs w:val="24"/>
          <w:u w:val="single"/>
        </w:rPr>
      </w:pPr>
    </w:p>
    <w:p w14:paraId="7E87E05E" w14:textId="4529C7C2" w:rsidR="001C7FEE" w:rsidRPr="007821AE" w:rsidRDefault="00206C7E" w:rsidP="000111CA">
      <w:pPr>
        <w:spacing w:line="240" w:lineRule="auto"/>
        <w:jc w:val="center"/>
        <w:rPr>
          <w:rFonts w:ascii="Times New Roman" w:hAnsi="Times New Roman" w:cs="Times New Roman"/>
          <w:b/>
          <w:bCs/>
          <w:sz w:val="24"/>
          <w:szCs w:val="24"/>
          <w:u w:val="single"/>
        </w:rPr>
      </w:pPr>
      <w:r w:rsidRPr="007821AE">
        <w:rPr>
          <w:rFonts w:ascii="Times New Roman" w:hAnsi="Times New Roman" w:cs="Times New Roman"/>
          <w:b/>
          <w:bCs/>
          <w:sz w:val="24"/>
          <w:szCs w:val="24"/>
          <w:u w:val="single"/>
        </w:rPr>
        <w:t>Comparison of Test Scores Before and After Intervention</w:t>
      </w:r>
    </w:p>
    <w:p w14:paraId="59CE0EA7" w14:textId="77777777" w:rsidR="000111CA" w:rsidRDefault="000111CA" w:rsidP="000111CA">
      <w:pPr>
        <w:spacing w:line="240" w:lineRule="auto"/>
        <w:jc w:val="both"/>
        <w:rPr>
          <w:rFonts w:ascii="Times New Roman" w:hAnsi="Times New Roman" w:cs="Times New Roman"/>
          <w:sz w:val="24"/>
          <w:szCs w:val="24"/>
        </w:rPr>
        <w:sectPr w:rsidR="000111CA" w:rsidSect="000111CA">
          <w:type w:val="continuous"/>
          <w:pgSz w:w="11906" w:h="16838"/>
          <w:pgMar w:top="1440" w:right="1080" w:bottom="1440" w:left="1080" w:header="720" w:footer="720" w:gutter="0"/>
          <w:pgNumType w:start="1"/>
          <w:cols w:space="720"/>
          <w:docGrid w:linePitch="299"/>
        </w:sectPr>
      </w:pPr>
    </w:p>
    <w:p w14:paraId="2C69E917" w14:textId="16B737A4" w:rsidR="000111CA" w:rsidRDefault="00206C7E" w:rsidP="000111CA">
      <w:pPr>
        <w:spacing w:line="240" w:lineRule="auto"/>
        <w:jc w:val="both"/>
        <w:rPr>
          <w:rFonts w:ascii="Times New Roman" w:hAnsi="Times New Roman" w:cs="Times New Roman"/>
          <w:sz w:val="24"/>
          <w:szCs w:val="24"/>
        </w:rPr>
        <w:sectPr w:rsidR="000111CA" w:rsidSect="00543817">
          <w:type w:val="continuous"/>
          <w:pgSz w:w="11906" w:h="16838"/>
          <w:pgMar w:top="1440" w:right="1080" w:bottom="1440" w:left="1080" w:header="720" w:footer="720" w:gutter="0"/>
          <w:pgNumType w:start="1"/>
          <w:cols w:num="2" w:space="720"/>
          <w:docGrid w:linePitch="299"/>
        </w:sectPr>
      </w:pPr>
      <w:r w:rsidRPr="007821AE">
        <w:rPr>
          <w:rFonts w:ascii="Times New Roman" w:hAnsi="Times New Roman" w:cs="Times New Roman"/>
          <w:sz w:val="24"/>
          <w:szCs w:val="24"/>
        </w:rPr>
        <w:t xml:space="preserve">  </w:t>
      </w:r>
    </w:p>
    <w:p w14:paraId="3DB76B7D" w14:textId="5114F78E" w:rsidR="001C7FEE" w:rsidRPr="007821AE" w:rsidRDefault="00206C7E" w:rsidP="000111CA">
      <w:pPr>
        <w:spacing w:line="240" w:lineRule="auto"/>
        <w:jc w:val="both"/>
        <w:rPr>
          <w:rFonts w:ascii="Times New Roman" w:hAnsi="Times New Roman" w:cs="Times New Roman"/>
          <w:sz w:val="24"/>
          <w:szCs w:val="24"/>
        </w:rPr>
      </w:pPr>
      <w:r w:rsidRPr="007821AE">
        <w:rPr>
          <w:rFonts w:ascii="Times New Roman" w:hAnsi="Times New Roman" w:cs="Times New Roman"/>
          <w:sz w:val="24"/>
          <w:szCs w:val="24"/>
        </w:rPr>
        <w:t xml:space="preserve">This section presents the comparison of test scores before and after intervention, using the Paired T-Test. </w:t>
      </w:r>
    </w:p>
    <w:p w14:paraId="3F7DFEFA" w14:textId="77777777" w:rsidR="000111CA" w:rsidRDefault="000111CA" w:rsidP="007821AE">
      <w:pPr>
        <w:spacing w:line="240" w:lineRule="auto"/>
        <w:jc w:val="center"/>
        <w:rPr>
          <w:rFonts w:ascii="Times New Roman" w:hAnsi="Times New Roman" w:cs="Times New Roman"/>
          <w:b/>
          <w:bCs/>
          <w:sz w:val="24"/>
          <w:szCs w:val="24"/>
        </w:rPr>
        <w:sectPr w:rsidR="000111CA" w:rsidSect="000111CA">
          <w:type w:val="continuous"/>
          <w:pgSz w:w="11906" w:h="16838"/>
          <w:pgMar w:top="1440" w:right="1080" w:bottom="1440" w:left="1080" w:header="720" w:footer="720" w:gutter="0"/>
          <w:pgNumType w:start="1"/>
          <w:cols w:space="720"/>
          <w:docGrid w:linePitch="299"/>
        </w:sectPr>
      </w:pPr>
    </w:p>
    <w:tbl>
      <w:tblPr>
        <w:tblStyle w:val="a2"/>
        <w:tblpPr w:leftFromText="180" w:rightFromText="180" w:vertAnchor="text" w:horzAnchor="margin" w:tblpY="363"/>
        <w:tblW w:w="9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60"/>
        <w:gridCol w:w="3425"/>
        <w:gridCol w:w="2925"/>
      </w:tblGrid>
      <w:tr w:rsidR="000111CA" w:rsidRPr="007821AE" w14:paraId="6BE61A82" w14:textId="77777777" w:rsidTr="006D41FE">
        <w:trPr>
          <w:trHeight w:val="182"/>
        </w:trPr>
        <w:tc>
          <w:tcPr>
            <w:tcW w:w="3460" w:type="dxa"/>
            <w:tcBorders>
              <w:top w:val="single" w:sz="6" w:space="0" w:color="7F7F7F"/>
              <w:left w:val="nil"/>
              <w:bottom w:val="single" w:sz="6" w:space="0" w:color="7F7F7F"/>
              <w:right w:val="nil"/>
            </w:tcBorders>
            <w:tcMar>
              <w:top w:w="0" w:type="dxa"/>
              <w:left w:w="100" w:type="dxa"/>
              <w:bottom w:w="0" w:type="dxa"/>
              <w:right w:w="100" w:type="dxa"/>
            </w:tcMar>
          </w:tcPr>
          <w:p w14:paraId="61165DC2"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Category</w:t>
            </w:r>
          </w:p>
        </w:tc>
        <w:tc>
          <w:tcPr>
            <w:tcW w:w="3425" w:type="dxa"/>
            <w:tcBorders>
              <w:top w:val="single" w:sz="6" w:space="0" w:color="7F7F7F"/>
              <w:left w:val="nil"/>
              <w:bottom w:val="single" w:sz="6" w:space="0" w:color="7F7F7F"/>
              <w:right w:val="nil"/>
            </w:tcBorders>
            <w:tcMar>
              <w:top w:w="0" w:type="dxa"/>
              <w:left w:w="100" w:type="dxa"/>
              <w:bottom w:w="0" w:type="dxa"/>
              <w:right w:w="100" w:type="dxa"/>
            </w:tcMar>
          </w:tcPr>
          <w:p w14:paraId="3217C042"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Pretest</w:t>
            </w:r>
          </w:p>
        </w:tc>
        <w:tc>
          <w:tcPr>
            <w:tcW w:w="2925" w:type="dxa"/>
            <w:tcBorders>
              <w:top w:val="single" w:sz="6" w:space="0" w:color="7F7F7F"/>
              <w:left w:val="nil"/>
              <w:bottom w:val="single" w:sz="6" w:space="0" w:color="7F7F7F"/>
              <w:right w:val="nil"/>
            </w:tcBorders>
            <w:tcMar>
              <w:top w:w="0" w:type="dxa"/>
              <w:left w:w="100" w:type="dxa"/>
              <w:bottom w:w="0" w:type="dxa"/>
              <w:right w:w="100" w:type="dxa"/>
            </w:tcMar>
          </w:tcPr>
          <w:p w14:paraId="54376337"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Posttest</w:t>
            </w:r>
          </w:p>
        </w:tc>
      </w:tr>
      <w:tr w:rsidR="000111CA" w:rsidRPr="007821AE" w14:paraId="20EFD75C" w14:textId="77777777" w:rsidTr="006D41FE">
        <w:trPr>
          <w:trHeight w:val="182"/>
        </w:trPr>
        <w:tc>
          <w:tcPr>
            <w:tcW w:w="3460" w:type="dxa"/>
            <w:tcBorders>
              <w:top w:val="nil"/>
              <w:left w:val="nil"/>
              <w:bottom w:val="single" w:sz="6" w:space="0" w:color="7F7F7F"/>
              <w:right w:val="nil"/>
            </w:tcBorders>
            <w:tcMar>
              <w:top w:w="0" w:type="dxa"/>
              <w:left w:w="100" w:type="dxa"/>
              <w:bottom w:w="0" w:type="dxa"/>
              <w:right w:w="100" w:type="dxa"/>
            </w:tcMar>
          </w:tcPr>
          <w:p w14:paraId="7593CBC8"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Mean Score</w:t>
            </w:r>
          </w:p>
        </w:tc>
        <w:tc>
          <w:tcPr>
            <w:tcW w:w="3425" w:type="dxa"/>
            <w:tcBorders>
              <w:top w:val="nil"/>
              <w:left w:val="nil"/>
              <w:bottom w:val="single" w:sz="6" w:space="0" w:color="7F7F7F"/>
              <w:right w:val="nil"/>
            </w:tcBorders>
            <w:tcMar>
              <w:top w:w="0" w:type="dxa"/>
              <w:left w:w="100" w:type="dxa"/>
              <w:bottom w:w="0" w:type="dxa"/>
              <w:right w:w="100" w:type="dxa"/>
            </w:tcMar>
          </w:tcPr>
          <w:p w14:paraId="41FDC0DA"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11.27</w:t>
            </w:r>
          </w:p>
        </w:tc>
        <w:tc>
          <w:tcPr>
            <w:tcW w:w="2925" w:type="dxa"/>
            <w:tcBorders>
              <w:top w:val="nil"/>
              <w:left w:val="nil"/>
              <w:bottom w:val="single" w:sz="6" w:space="0" w:color="7F7F7F"/>
              <w:right w:val="nil"/>
            </w:tcBorders>
            <w:tcMar>
              <w:top w:w="0" w:type="dxa"/>
              <w:left w:w="100" w:type="dxa"/>
              <w:bottom w:w="0" w:type="dxa"/>
              <w:right w:w="100" w:type="dxa"/>
            </w:tcMar>
          </w:tcPr>
          <w:p w14:paraId="3EDC3526"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23.64</w:t>
            </w:r>
          </w:p>
        </w:tc>
      </w:tr>
      <w:tr w:rsidR="000111CA" w:rsidRPr="007821AE" w14:paraId="1269122D" w14:textId="77777777" w:rsidTr="006D41FE">
        <w:trPr>
          <w:trHeight w:val="182"/>
        </w:trPr>
        <w:tc>
          <w:tcPr>
            <w:tcW w:w="3460" w:type="dxa"/>
            <w:tcBorders>
              <w:top w:val="nil"/>
              <w:left w:val="nil"/>
              <w:bottom w:val="nil"/>
              <w:right w:val="nil"/>
            </w:tcBorders>
            <w:tcMar>
              <w:top w:w="0" w:type="dxa"/>
              <w:left w:w="100" w:type="dxa"/>
              <w:bottom w:w="0" w:type="dxa"/>
              <w:right w:w="100" w:type="dxa"/>
            </w:tcMar>
          </w:tcPr>
          <w:p w14:paraId="2C25B51F"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Qualitative Level</w:t>
            </w:r>
          </w:p>
        </w:tc>
        <w:tc>
          <w:tcPr>
            <w:tcW w:w="3425" w:type="dxa"/>
            <w:tcBorders>
              <w:top w:val="nil"/>
              <w:left w:val="nil"/>
              <w:bottom w:val="nil"/>
              <w:right w:val="nil"/>
            </w:tcBorders>
            <w:tcMar>
              <w:top w:w="0" w:type="dxa"/>
              <w:left w:w="100" w:type="dxa"/>
              <w:bottom w:w="0" w:type="dxa"/>
              <w:right w:w="100" w:type="dxa"/>
            </w:tcMar>
          </w:tcPr>
          <w:p w14:paraId="3DA231CA"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Frustration</w:t>
            </w:r>
          </w:p>
        </w:tc>
        <w:tc>
          <w:tcPr>
            <w:tcW w:w="2925" w:type="dxa"/>
            <w:tcBorders>
              <w:top w:val="nil"/>
              <w:left w:val="nil"/>
              <w:bottom w:val="nil"/>
              <w:right w:val="nil"/>
            </w:tcBorders>
            <w:tcMar>
              <w:top w:w="0" w:type="dxa"/>
              <w:left w:w="100" w:type="dxa"/>
              <w:bottom w:w="0" w:type="dxa"/>
              <w:right w:w="100" w:type="dxa"/>
            </w:tcMar>
          </w:tcPr>
          <w:p w14:paraId="125CEFD2"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Independent</w:t>
            </w:r>
          </w:p>
        </w:tc>
      </w:tr>
      <w:tr w:rsidR="000111CA" w:rsidRPr="007821AE" w14:paraId="35C70D49" w14:textId="77777777" w:rsidTr="006D41FE">
        <w:trPr>
          <w:trHeight w:val="182"/>
        </w:trPr>
        <w:tc>
          <w:tcPr>
            <w:tcW w:w="3460" w:type="dxa"/>
            <w:tcBorders>
              <w:top w:val="single" w:sz="6" w:space="0" w:color="7F7F7F"/>
              <w:left w:val="nil"/>
              <w:bottom w:val="single" w:sz="6" w:space="0" w:color="7F7F7F"/>
              <w:right w:val="nil"/>
            </w:tcBorders>
            <w:tcMar>
              <w:top w:w="0" w:type="dxa"/>
              <w:left w:w="100" w:type="dxa"/>
              <w:bottom w:w="0" w:type="dxa"/>
              <w:right w:w="100" w:type="dxa"/>
            </w:tcMar>
          </w:tcPr>
          <w:p w14:paraId="63EAF561"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T (43)</w:t>
            </w:r>
          </w:p>
        </w:tc>
        <w:tc>
          <w:tcPr>
            <w:tcW w:w="3425" w:type="dxa"/>
            <w:tcBorders>
              <w:top w:val="single" w:sz="6" w:space="0" w:color="7F7F7F"/>
              <w:left w:val="nil"/>
              <w:bottom w:val="single" w:sz="6" w:space="0" w:color="7F7F7F"/>
              <w:right w:val="nil"/>
            </w:tcBorders>
            <w:tcMar>
              <w:top w:w="0" w:type="dxa"/>
              <w:left w:w="100" w:type="dxa"/>
              <w:bottom w:w="0" w:type="dxa"/>
              <w:right w:w="100" w:type="dxa"/>
            </w:tcMar>
          </w:tcPr>
          <w:p w14:paraId="47D46A72"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 xml:space="preserve"> -</w:t>
            </w:r>
          </w:p>
        </w:tc>
        <w:tc>
          <w:tcPr>
            <w:tcW w:w="2925" w:type="dxa"/>
            <w:tcBorders>
              <w:top w:val="single" w:sz="6" w:space="0" w:color="7F7F7F"/>
              <w:left w:val="nil"/>
              <w:bottom w:val="single" w:sz="6" w:space="0" w:color="7F7F7F"/>
              <w:right w:val="nil"/>
            </w:tcBorders>
            <w:tcMar>
              <w:top w:w="0" w:type="dxa"/>
              <w:left w:w="100" w:type="dxa"/>
              <w:bottom w:w="0" w:type="dxa"/>
              <w:right w:w="100" w:type="dxa"/>
            </w:tcMar>
          </w:tcPr>
          <w:p w14:paraId="3B0479F2"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17.90 (Significant)</w:t>
            </w:r>
          </w:p>
        </w:tc>
      </w:tr>
      <w:tr w:rsidR="000111CA" w:rsidRPr="007821AE" w14:paraId="0D28DB55" w14:textId="77777777" w:rsidTr="006D41FE">
        <w:trPr>
          <w:trHeight w:val="182"/>
        </w:trPr>
        <w:tc>
          <w:tcPr>
            <w:tcW w:w="3460" w:type="dxa"/>
            <w:tcBorders>
              <w:top w:val="nil"/>
              <w:left w:val="nil"/>
              <w:bottom w:val="nil"/>
              <w:right w:val="nil"/>
            </w:tcBorders>
            <w:tcMar>
              <w:top w:w="0" w:type="dxa"/>
              <w:left w:w="100" w:type="dxa"/>
              <w:bottom w:w="0" w:type="dxa"/>
              <w:right w:w="100" w:type="dxa"/>
            </w:tcMar>
          </w:tcPr>
          <w:p w14:paraId="3055713A"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P-value</w:t>
            </w:r>
          </w:p>
        </w:tc>
        <w:tc>
          <w:tcPr>
            <w:tcW w:w="3425" w:type="dxa"/>
            <w:tcBorders>
              <w:top w:val="nil"/>
              <w:left w:val="nil"/>
              <w:bottom w:val="nil"/>
              <w:right w:val="nil"/>
            </w:tcBorders>
            <w:tcMar>
              <w:top w:w="0" w:type="dxa"/>
              <w:left w:w="100" w:type="dxa"/>
              <w:bottom w:w="0" w:type="dxa"/>
              <w:right w:w="100" w:type="dxa"/>
            </w:tcMar>
          </w:tcPr>
          <w:p w14:paraId="58E59164"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 xml:space="preserve"> -</w:t>
            </w:r>
          </w:p>
        </w:tc>
        <w:tc>
          <w:tcPr>
            <w:tcW w:w="2925" w:type="dxa"/>
            <w:tcBorders>
              <w:top w:val="nil"/>
              <w:left w:val="nil"/>
              <w:bottom w:val="nil"/>
              <w:right w:val="nil"/>
            </w:tcBorders>
            <w:tcMar>
              <w:top w:w="0" w:type="dxa"/>
              <w:left w:w="100" w:type="dxa"/>
              <w:bottom w:w="0" w:type="dxa"/>
              <w:right w:w="100" w:type="dxa"/>
            </w:tcMar>
          </w:tcPr>
          <w:p w14:paraId="7A078291"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0.001 (Reject Ho)</w:t>
            </w:r>
          </w:p>
        </w:tc>
      </w:tr>
      <w:tr w:rsidR="000111CA" w:rsidRPr="007821AE" w14:paraId="304A40B6" w14:textId="77777777" w:rsidTr="006D41FE">
        <w:trPr>
          <w:trHeight w:val="182"/>
        </w:trPr>
        <w:tc>
          <w:tcPr>
            <w:tcW w:w="3460" w:type="dxa"/>
            <w:tcBorders>
              <w:top w:val="single" w:sz="6" w:space="0" w:color="7F7F7F"/>
              <w:left w:val="nil"/>
              <w:bottom w:val="single" w:sz="6" w:space="0" w:color="7F7F7F"/>
              <w:right w:val="nil"/>
            </w:tcBorders>
            <w:tcMar>
              <w:top w:w="0" w:type="dxa"/>
              <w:left w:w="100" w:type="dxa"/>
              <w:bottom w:w="0" w:type="dxa"/>
              <w:right w:w="100" w:type="dxa"/>
            </w:tcMar>
          </w:tcPr>
          <w:p w14:paraId="7372F9A8" w14:textId="77777777" w:rsidR="000111CA" w:rsidRPr="007821AE" w:rsidRDefault="000111CA" w:rsidP="000111CA">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Effect Size (Cohen’s d)</w:t>
            </w:r>
          </w:p>
        </w:tc>
        <w:tc>
          <w:tcPr>
            <w:tcW w:w="3425" w:type="dxa"/>
            <w:tcBorders>
              <w:top w:val="single" w:sz="6" w:space="0" w:color="7F7F7F"/>
              <w:left w:val="nil"/>
              <w:bottom w:val="single" w:sz="6" w:space="0" w:color="7F7F7F"/>
              <w:right w:val="nil"/>
            </w:tcBorders>
            <w:tcMar>
              <w:top w:w="0" w:type="dxa"/>
              <w:left w:w="100" w:type="dxa"/>
              <w:bottom w:w="0" w:type="dxa"/>
              <w:right w:w="100" w:type="dxa"/>
            </w:tcMar>
          </w:tcPr>
          <w:p w14:paraId="1CE0A190"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 xml:space="preserve"> -</w:t>
            </w:r>
          </w:p>
        </w:tc>
        <w:tc>
          <w:tcPr>
            <w:tcW w:w="2925" w:type="dxa"/>
            <w:tcBorders>
              <w:top w:val="single" w:sz="6" w:space="0" w:color="7F7F7F"/>
              <w:left w:val="nil"/>
              <w:bottom w:val="single" w:sz="6" w:space="0" w:color="7F7F7F"/>
              <w:right w:val="nil"/>
            </w:tcBorders>
            <w:tcMar>
              <w:top w:w="0" w:type="dxa"/>
              <w:left w:w="100" w:type="dxa"/>
              <w:bottom w:w="0" w:type="dxa"/>
              <w:right w:w="100" w:type="dxa"/>
            </w:tcMar>
          </w:tcPr>
          <w:p w14:paraId="70A2CAC8" w14:textId="77777777" w:rsidR="000111CA" w:rsidRPr="007821AE" w:rsidRDefault="000111CA" w:rsidP="000111CA">
            <w:pPr>
              <w:spacing w:line="240" w:lineRule="auto"/>
              <w:jc w:val="center"/>
              <w:rPr>
                <w:rFonts w:ascii="Times New Roman" w:hAnsi="Times New Roman" w:cs="Times New Roman"/>
                <w:sz w:val="24"/>
                <w:szCs w:val="24"/>
              </w:rPr>
            </w:pPr>
            <w:r w:rsidRPr="007821AE">
              <w:rPr>
                <w:rFonts w:ascii="Times New Roman" w:hAnsi="Times New Roman" w:cs="Times New Roman"/>
                <w:sz w:val="24"/>
                <w:szCs w:val="24"/>
              </w:rPr>
              <w:t>2.70 (Very Large Effect)</w:t>
            </w:r>
          </w:p>
        </w:tc>
      </w:tr>
    </w:tbl>
    <w:p w14:paraId="40A35F45" w14:textId="77777777" w:rsidR="001C7FEE" w:rsidRPr="007821AE" w:rsidRDefault="00206C7E" w:rsidP="00D97720">
      <w:pPr>
        <w:spacing w:after="160" w:line="240" w:lineRule="auto"/>
        <w:rPr>
          <w:rFonts w:ascii="Times New Roman" w:hAnsi="Times New Roman" w:cs="Times New Roman"/>
          <w:sz w:val="24"/>
          <w:szCs w:val="24"/>
        </w:rPr>
      </w:pPr>
      <w:r w:rsidRPr="007821AE">
        <w:rPr>
          <w:rFonts w:ascii="Times New Roman" w:hAnsi="Times New Roman" w:cs="Times New Roman"/>
          <w:b/>
          <w:bCs/>
          <w:sz w:val="24"/>
          <w:szCs w:val="24"/>
        </w:rPr>
        <w:t>Table 3.</w:t>
      </w:r>
      <w:r w:rsidRPr="007821AE">
        <w:rPr>
          <w:rFonts w:ascii="Times New Roman" w:hAnsi="Times New Roman" w:cs="Times New Roman"/>
          <w:sz w:val="24"/>
          <w:szCs w:val="24"/>
        </w:rPr>
        <w:t xml:space="preserve"> </w:t>
      </w:r>
      <w:r w:rsidRPr="007821AE">
        <w:rPr>
          <w:rFonts w:ascii="Times New Roman" w:hAnsi="Times New Roman" w:cs="Times New Roman"/>
          <w:i/>
          <w:iCs/>
          <w:sz w:val="24"/>
          <w:szCs w:val="24"/>
        </w:rPr>
        <w:t>Test of Difference Between the Post-Test and Pre-Test Scores</w:t>
      </w:r>
    </w:p>
    <w:p w14:paraId="17FFE510" w14:textId="6998E6EA" w:rsidR="001C7FEE" w:rsidRPr="007821AE" w:rsidRDefault="00206C7E" w:rsidP="00D97720">
      <w:pPr>
        <w:spacing w:after="160" w:line="240" w:lineRule="auto"/>
        <w:rPr>
          <w:rFonts w:ascii="Times New Roman" w:hAnsi="Times New Roman" w:cs="Times New Roman"/>
          <w:i/>
          <w:iCs/>
          <w:sz w:val="24"/>
          <w:szCs w:val="24"/>
        </w:rPr>
      </w:pPr>
      <w:r w:rsidRPr="007821AE">
        <w:rPr>
          <w:rFonts w:ascii="Times New Roman" w:hAnsi="Times New Roman" w:cs="Times New Roman"/>
          <w:i/>
          <w:iCs/>
          <w:sz w:val="24"/>
          <w:szCs w:val="24"/>
        </w:rPr>
        <w:t>Interpretation based on the Philippine Informal Reading Inventory (Phil‑IRI, 2018).</w:t>
      </w:r>
    </w:p>
    <w:p w14:paraId="7A413FD8" w14:textId="77777777" w:rsidR="000111CA" w:rsidRDefault="000111CA" w:rsidP="00D97720">
      <w:pPr>
        <w:spacing w:after="160" w:line="240" w:lineRule="auto"/>
        <w:jc w:val="both"/>
        <w:rPr>
          <w:rFonts w:ascii="Times New Roman" w:hAnsi="Times New Roman" w:cs="Times New Roman"/>
          <w:sz w:val="24"/>
          <w:szCs w:val="24"/>
        </w:rPr>
        <w:sectPr w:rsidR="000111CA" w:rsidSect="000111CA">
          <w:type w:val="continuous"/>
          <w:pgSz w:w="11906" w:h="16838"/>
          <w:pgMar w:top="1440" w:right="1080" w:bottom="1440" w:left="1080" w:header="720" w:footer="720" w:gutter="0"/>
          <w:pgNumType w:start="1"/>
          <w:cols w:space="720"/>
          <w:docGrid w:linePitch="299"/>
        </w:sectPr>
      </w:pPr>
    </w:p>
    <w:p w14:paraId="4F035813" w14:textId="74BF0DDB" w:rsidR="001C7FEE" w:rsidRPr="007821AE" w:rsidRDefault="00FD2F09" w:rsidP="00D97720">
      <w:pPr>
        <w:spacing w:after="16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B1DC4C7" wp14:editId="27888F4E">
                <wp:simplePos x="0" y="0"/>
                <wp:positionH relativeFrom="column">
                  <wp:posOffset>2862470</wp:posOffset>
                </wp:positionH>
                <wp:positionV relativeFrom="paragraph">
                  <wp:posOffset>1359977</wp:posOffset>
                </wp:positionV>
                <wp:extent cx="400050" cy="327963"/>
                <wp:effectExtent l="0" t="0" r="0" b="0"/>
                <wp:wrapNone/>
                <wp:docPr id="17327889" name="Text Box 7"/>
                <wp:cNvGraphicFramePr/>
                <a:graphic xmlns:a="http://schemas.openxmlformats.org/drawingml/2006/main">
                  <a:graphicData uri="http://schemas.microsoft.com/office/word/2010/wordprocessingShape">
                    <wps:wsp>
                      <wps:cNvSpPr txBox="1"/>
                      <wps:spPr>
                        <a:xfrm>
                          <a:off x="0" y="0"/>
                          <a:ext cx="400050" cy="327963"/>
                        </a:xfrm>
                        <a:prstGeom prst="rect">
                          <a:avLst/>
                        </a:prstGeom>
                        <a:solidFill>
                          <a:schemeClr val="lt1"/>
                        </a:solidFill>
                        <a:ln w="6350">
                          <a:noFill/>
                        </a:ln>
                      </wps:spPr>
                      <wps:txbx>
                        <w:txbxContent>
                          <w:p w14:paraId="231C7A25" w14:textId="7C704096" w:rsidR="00FD2F09" w:rsidRDefault="00FD2F09">
                            <w:r>
                              <w:rPr>
                                <w:rFonts w:ascii="Times New Roman" w:hAnsi="Times New Roman" w:cs="Times New Roman"/>
                                <w:color w:val="595959" w:themeColor="text1" w:themeTint="A6"/>
                                <w:sz w:val="24"/>
                                <w:szCs w:val="24"/>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DC4C7" id="Text Box 7" o:spid="_x0000_s1032" type="#_x0000_t202" style="position:absolute;left:0;text-align:left;margin-left:225.4pt;margin-top:107.1pt;width:31.5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" fillcolor="white [3201]" stroked="f" strokeweight=".5pt">
                <v:textbox>
                  <w:txbxContent>
                    <w:p w14:paraId="231C7A25" w14:textId="7C704096" w:rsidR="00FD2F09" w:rsidRDefault="00FD2F09">
                      <w:r>
                        <w:rPr>
                          <w:rFonts w:ascii="Times New Roman" w:hAnsi="Times New Roman" w:cs="Times New Roman"/>
                          <w:color w:val="595959" w:themeColor="text1" w:themeTint="A6"/>
                          <w:sz w:val="24"/>
                          <w:szCs w:val="24"/>
                        </w:rPr>
                        <w:t xml:space="preserve">  6</w:t>
                      </w:r>
                    </w:p>
                  </w:txbxContent>
                </v:textbox>
              </v:shape>
            </w:pict>
          </mc:Fallback>
        </mc:AlternateContent>
      </w:r>
      <w:r w:rsidR="00206C7E" w:rsidRPr="007821AE">
        <w:rPr>
          <w:rFonts w:ascii="Times New Roman" w:hAnsi="Times New Roman" w:cs="Times New Roman"/>
          <w:sz w:val="24"/>
          <w:szCs w:val="24"/>
        </w:rPr>
        <w:t xml:space="preserve">   </w:t>
      </w:r>
      <w:r w:rsidR="00206C7E" w:rsidRPr="007821AE">
        <w:rPr>
          <w:rFonts w:ascii="Times New Roman" w:hAnsi="Times New Roman" w:cs="Times New Roman"/>
          <w:sz w:val="24"/>
          <w:szCs w:val="24"/>
        </w:rPr>
        <w:tab/>
        <w:t xml:space="preserve">The results of the study clearly demonstrate the effectiveness of multimodal strategies in improving the reading comprehension of Grade 9 learners at </w:t>
      </w:r>
      <w:proofErr w:type="spellStart"/>
      <w:r w:rsidR="00206C7E" w:rsidRPr="007821AE">
        <w:rPr>
          <w:rFonts w:ascii="Times New Roman" w:hAnsi="Times New Roman" w:cs="Times New Roman"/>
          <w:sz w:val="24"/>
          <w:szCs w:val="24"/>
        </w:rPr>
        <w:t>Lumbo</w:t>
      </w:r>
      <w:proofErr w:type="spellEnd"/>
      <w:r w:rsidR="00206C7E" w:rsidRPr="007821AE">
        <w:rPr>
          <w:rFonts w:ascii="Times New Roman" w:hAnsi="Times New Roman" w:cs="Times New Roman"/>
          <w:sz w:val="24"/>
          <w:szCs w:val="24"/>
        </w:rPr>
        <w:t xml:space="preserve"> Integrated School. Before the intervention, all forty‑four participants were </w:t>
      </w:r>
      <w:r w:rsidR="00206C7E" w:rsidRPr="007821AE">
        <w:rPr>
          <w:rFonts w:ascii="Times New Roman" w:hAnsi="Times New Roman" w:cs="Times New Roman"/>
          <w:sz w:val="24"/>
          <w:szCs w:val="24"/>
        </w:rPr>
        <w:t>classified under the Frustration level based on the</w:t>
      </w:r>
      <w:r w:rsidR="00EB5C56">
        <w:rPr>
          <w:rFonts w:ascii="Times New Roman" w:hAnsi="Times New Roman" w:cs="Times New Roman"/>
          <w:sz w:val="24"/>
          <w:szCs w:val="24"/>
        </w:rPr>
        <w:t xml:space="preserve"> </w:t>
      </w:r>
      <w:r w:rsidR="00206C7E" w:rsidRPr="007821AE">
        <w:rPr>
          <w:rFonts w:ascii="Times New Roman" w:hAnsi="Times New Roman" w:cs="Times New Roman"/>
          <w:sz w:val="24"/>
          <w:szCs w:val="24"/>
        </w:rPr>
        <w:t xml:space="preserve">Philippine Informal Reading Inventory (Phil‑IRI, 2018), indicating that they experienced serious difficulty in understanding grade‑level texts even with assistance. After the </w:t>
      </w:r>
      <w:r w:rsidR="00206C7E" w:rsidRPr="007821AE">
        <w:rPr>
          <w:rFonts w:ascii="Times New Roman" w:hAnsi="Times New Roman" w:cs="Times New Roman"/>
          <w:sz w:val="24"/>
          <w:szCs w:val="24"/>
        </w:rPr>
        <w:lastRenderedPageBreak/>
        <w:t>implementation of guided reading, video viewing, writing tasks, and role‑playing, learners progressed to the Instructional and Independent levels, showing substantial improvement in their ability to comprehend texts with or without teacher support.</w:t>
      </w:r>
    </w:p>
    <w:p w14:paraId="4E56B2C2" w14:textId="77777777" w:rsidR="001C7FEE" w:rsidRPr="007821AE" w:rsidRDefault="00206C7E" w:rsidP="00D97720">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The paired sample </w:t>
      </w:r>
      <w:r w:rsidRPr="007821AE">
        <w:rPr>
          <w:rFonts w:ascii="Times New Roman" w:hAnsi="Times New Roman" w:cs="Times New Roman"/>
          <w:i/>
          <w:iCs/>
          <w:sz w:val="24"/>
          <w:szCs w:val="24"/>
        </w:rPr>
        <w:t>t</w:t>
      </w:r>
      <w:r w:rsidRPr="007821AE">
        <w:rPr>
          <w:rFonts w:ascii="Times New Roman" w:hAnsi="Times New Roman" w:cs="Times New Roman"/>
          <w:sz w:val="24"/>
          <w:szCs w:val="24"/>
        </w:rPr>
        <w:t>‑test revealed a statistically significant difference between pre‑test and post‑test scores (</w:t>
      </w:r>
      <w:proofErr w:type="gramStart"/>
      <w:r w:rsidRPr="007821AE">
        <w:rPr>
          <w:rFonts w:ascii="Times New Roman" w:hAnsi="Times New Roman" w:cs="Times New Roman"/>
          <w:i/>
          <w:iCs/>
          <w:sz w:val="24"/>
          <w:szCs w:val="24"/>
        </w:rPr>
        <w:t>t</w:t>
      </w:r>
      <w:r w:rsidRPr="007821AE">
        <w:rPr>
          <w:rFonts w:ascii="Times New Roman" w:hAnsi="Times New Roman" w:cs="Times New Roman"/>
          <w:sz w:val="24"/>
          <w:szCs w:val="24"/>
        </w:rPr>
        <w:t>(</w:t>
      </w:r>
      <w:proofErr w:type="gramEnd"/>
      <w:r w:rsidRPr="007821AE">
        <w:rPr>
          <w:rFonts w:ascii="Times New Roman" w:hAnsi="Times New Roman" w:cs="Times New Roman"/>
          <w:sz w:val="24"/>
          <w:szCs w:val="24"/>
        </w:rPr>
        <w:t>43) = 17.90, </w:t>
      </w:r>
      <w:r w:rsidRPr="007821AE">
        <w:rPr>
          <w:rFonts w:ascii="Times New Roman" w:hAnsi="Times New Roman" w:cs="Times New Roman"/>
          <w:i/>
          <w:iCs/>
          <w:sz w:val="24"/>
          <w:szCs w:val="24"/>
        </w:rPr>
        <w:t>p</w:t>
      </w:r>
      <w:r w:rsidRPr="007821AE">
        <w:rPr>
          <w:rFonts w:ascii="Times New Roman" w:hAnsi="Times New Roman" w:cs="Times New Roman"/>
          <w:sz w:val="24"/>
          <w:szCs w:val="24"/>
        </w:rPr>
        <w:t xml:space="preserve"> &lt; 0.001), confirming that the improvement was not due to chance. The computed Cohen’s d = 2.70 indicates a </w:t>
      </w:r>
      <w:r w:rsidRPr="007821AE">
        <w:rPr>
          <w:rFonts w:ascii="Times New Roman" w:hAnsi="Times New Roman" w:cs="Times New Roman"/>
          <w:i/>
          <w:iCs/>
          <w:sz w:val="24"/>
          <w:szCs w:val="24"/>
        </w:rPr>
        <w:t>very large effect size</w:t>
      </w:r>
      <w:r w:rsidRPr="007821AE">
        <w:rPr>
          <w:rFonts w:ascii="Times New Roman" w:hAnsi="Times New Roman" w:cs="Times New Roman"/>
          <w:sz w:val="24"/>
          <w:szCs w:val="24"/>
        </w:rPr>
        <w:t>, signifying that the multimodal intervention had a strong and meaningful impact on learners’ reading comprehension performance.</w:t>
      </w:r>
    </w:p>
    <w:p w14:paraId="6F149EDB" w14:textId="77777777" w:rsidR="001C7FEE" w:rsidRPr="007821AE" w:rsidRDefault="00206C7E" w:rsidP="00D97720">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 xml:space="preserve">This outcome supports the findings of </w:t>
      </w:r>
      <w:proofErr w:type="spellStart"/>
      <w:r w:rsidRPr="007821AE">
        <w:rPr>
          <w:rFonts w:ascii="Times New Roman" w:hAnsi="Times New Roman" w:cs="Times New Roman"/>
          <w:sz w:val="24"/>
          <w:szCs w:val="24"/>
        </w:rPr>
        <w:t>Daulay</w:t>
      </w:r>
      <w:proofErr w:type="spellEnd"/>
      <w:r w:rsidRPr="007821AE">
        <w:rPr>
          <w:rFonts w:ascii="Times New Roman" w:hAnsi="Times New Roman" w:cs="Times New Roman"/>
          <w:sz w:val="24"/>
          <w:szCs w:val="24"/>
        </w:rPr>
        <w:t> and Dewi (2025), who emphasized that multimodal approaches enhance comprehension by engaging learners through multiple sensory channels. By integrating visual, auditory, and kinesthetic modes, the intervention allowed students to process information more deeply and connect ideas across different contexts. The shift from the Frustration level to Instructional and Independent levels suggests that multimodal strategies not only address surface‑level comprehension but also foster higher‑order thinking skills such as inference, application, and evaluation.</w:t>
      </w:r>
    </w:p>
    <w:p w14:paraId="0D565260" w14:textId="5AD23483" w:rsidR="00206C7E" w:rsidRPr="007821AE" w:rsidRDefault="00206C7E" w:rsidP="00D97720">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Furthermore, the results affirm that active and differentiated instruction can transform passive reading habits into interactive learning experiences. Learners became more engaged and confident in interpreting texts, which aligns with contemporary educational frameworks advocating for inclusive and learner‑centered approaches. The significant gains observed imply that consistent integration of multimodal strategies in reading instruction can help bridge comprehension gaps and support diverse learners in achieving proficiency as defined by the Phil‑IRI standards.</w:t>
      </w:r>
    </w:p>
    <w:p w14:paraId="30B45512" w14:textId="77777777" w:rsidR="00EB5C56" w:rsidRDefault="00EB5C56" w:rsidP="00D97720">
      <w:pPr>
        <w:spacing w:before="240" w:line="240" w:lineRule="auto"/>
        <w:jc w:val="center"/>
        <w:rPr>
          <w:rFonts w:ascii="Times New Roman" w:hAnsi="Times New Roman" w:cs="Times New Roman"/>
          <w:b/>
          <w:bCs/>
          <w:sz w:val="24"/>
          <w:szCs w:val="24"/>
        </w:rPr>
      </w:pPr>
    </w:p>
    <w:p w14:paraId="53A8C841" w14:textId="608385E4" w:rsidR="0020565E" w:rsidRPr="007821AE" w:rsidRDefault="00206C7E" w:rsidP="00D97720">
      <w:pPr>
        <w:spacing w:before="240"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Conclusion</w:t>
      </w:r>
    </w:p>
    <w:p w14:paraId="10F1D4B9" w14:textId="77777777" w:rsidR="00D97720" w:rsidRPr="007821AE" w:rsidRDefault="00D97720" w:rsidP="00D97720">
      <w:pPr>
        <w:pStyle w:val="NormalWeb"/>
        <w:ind w:firstLine="720"/>
        <w:jc w:val="both"/>
      </w:pPr>
      <w:r w:rsidRPr="007821AE">
        <w:t>The results show that before the intervention, all learners were at the Beginning level of reading comprehension, indicating serious difficulty in understanding grade-level texts. The low pre-test mean score confirms that learners lacked essential comprehension skills across different domains, emphasizing the need for immediate and effective instructional support.</w:t>
      </w:r>
    </w:p>
    <w:p w14:paraId="287A73C2" w14:textId="77777777" w:rsidR="00D97720" w:rsidRPr="007821AE" w:rsidRDefault="00D97720" w:rsidP="00D97720">
      <w:pPr>
        <w:pStyle w:val="NormalWeb"/>
        <w:ind w:firstLine="720"/>
        <w:jc w:val="both"/>
      </w:pPr>
      <w:r w:rsidRPr="007821AE">
        <w:t>After the implementation of multimodal strategies, learners demonstrated substantial improvement, with most progressing to Developing, Approaching Proficiency, Proficient, and Advanced levels. The increase in the mean score to Approaching Proficiency indicates that the intervention successfully enhanced learners’ comprehension skills, although a small group remained at the Beginning level. The significant difference between pre-test and post-test scores, along with a very large effect size, confirms that the multimodal strategies were highly effective in improving reading comprehension and promoting better engagement and learning outcomes among the students.</w:t>
      </w:r>
    </w:p>
    <w:p w14:paraId="70343639" w14:textId="57E464DC" w:rsidR="001C7FEE" w:rsidRPr="007821AE" w:rsidRDefault="00D97720" w:rsidP="00EE4A17">
      <w:pPr>
        <w:pStyle w:val="NormalWeb"/>
        <w:ind w:firstLine="720"/>
        <w:jc w:val="both"/>
      </w:pPr>
      <w:r w:rsidRPr="007821AE">
        <w:t xml:space="preserve">According to Nguyen et al. (2022), involving children in multimodal learning experiences is important since learning styles lack strong evidence of effectiveness and are often difficult to test. </w:t>
      </w:r>
      <w:proofErr w:type="spellStart"/>
      <w:r w:rsidRPr="007821AE">
        <w:t>Shaidullina</w:t>
      </w:r>
      <w:proofErr w:type="spellEnd"/>
      <w:r w:rsidRPr="007821AE">
        <w:t xml:space="preserve"> et al. (2023) also emphasized considering various learning patterns or techniques to accommodate students’ unique knowledge acquisition.</w:t>
      </w:r>
      <w:r w:rsidR="004E0A0E" w:rsidRPr="007821AE">
        <w:t xml:space="preserve"> Multimodal strategies elevated all learners from Beginning level to significantly higher proficiency levels, proving a very large effect size and the strong impact of multimodal learning on reading comprehension.</w:t>
      </w:r>
    </w:p>
    <w:p w14:paraId="1E11265D" w14:textId="77777777" w:rsidR="001C7FEE" w:rsidRPr="007821AE" w:rsidRDefault="00206C7E" w:rsidP="00D97720">
      <w:pPr>
        <w:spacing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Recommendation</w:t>
      </w:r>
    </w:p>
    <w:p w14:paraId="38278421" w14:textId="5AB2E8B0" w:rsidR="00EE4A17" w:rsidRPr="007821AE" w:rsidRDefault="00232C5E" w:rsidP="00D97720">
      <w:pPr>
        <w:pStyle w:val="NormalWeb"/>
        <w:ind w:firstLine="720"/>
        <w:jc w:val="both"/>
      </w:pPr>
      <w:r>
        <w:rPr>
          <w:noProof/>
        </w:rPr>
        <mc:AlternateContent>
          <mc:Choice Requires="wps">
            <w:drawing>
              <wp:anchor distT="0" distB="0" distL="114300" distR="114300" simplePos="0" relativeHeight="251665408" behindDoc="0" locked="0" layoutInCell="1" allowOverlap="1" wp14:anchorId="1C95806E" wp14:editId="3A2049D8">
                <wp:simplePos x="0" y="0"/>
                <wp:positionH relativeFrom="column">
                  <wp:posOffset>-465454</wp:posOffset>
                </wp:positionH>
                <wp:positionV relativeFrom="paragraph">
                  <wp:posOffset>1365885</wp:posOffset>
                </wp:positionV>
                <wp:extent cx="419100" cy="352425"/>
                <wp:effectExtent l="0" t="0" r="0" b="9525"/>
                <wp:wrapNone/>
                <wp:docPr id="1182183973" name="Text Box 8"/>
                <wp:cNvGraphicFramePr/>
                <a:graphic xmlns:a="http://schemas.openxmlformats.org/drawingml/2006/main">
                  <a:graphicData uri="http://schemas.microsoft.com/office/word/2010/wordprocessingShape">
                    <wps:wsp>
                      <wps:cNvSpPr txBox="1"/>
                      <wps:spPr>
                        <a:xfrm>
                          <a:off x="0" y="0"/>
                          <a:ext cx="419100" cy="352425"/>
                        </a:xfrm>
                        <a:prstGeom prst="rect">
                          <a:avLst/>
                        </a:prstGeom>
                        <a:solidFill>
                          <a:schemeClr val="lt1"/>
                        </a:solidFill>
                        <a:ln w="6350">
                          <a:noFill/>
                        </a:ln>
                      </wps:spPr>
                      <wps:txbx>
                        <w:txbxContent>
                          <w:p w14:paraId="77A03E80" w14:textId="2565CCA9" w:rsidR="00232C5E" w:rsidRDefault="00232C5E" w:rsidP="00232C5E">
                            <w:r>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7</w:t>
                            </w:r>
                          </w:p>
                          <w:p w14:paraId="422398D6" w14:textId="77777777" w:rsidR="00232C5E" w:rsidRDefault="00232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806E" id="Text Box 8" o:spid="_x0000_s1033" type="#_x0000_t202" style="position:absolute;left:0;text-align:left;margin-left:-36.65pt;margin-top:107.55pt;width:33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" fillcolor="white [3201]" stroked="f" strokeweight=".5pt">
                <v:textbox>
                  <w:txbxContent>
                    <w:p w14:paraId="77A03E80" w14:textId="2565CCA9" w:rsidR="00232C5E" w:rsidRDefault="00232C5E" w:rsidP="00232C5E">
                      <w:r>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7</w:t>
                      </w:r>
                    </w:p>
                    <w:p w14:paraId="422398D6" w14:textId="77777777" w:rsidR="00232C5E" w:rsidRDefault="00232C5E"/>
                  </w:txbxContent>
                </v:textbox>
              </v:shape>
            </w:pict>
          </mc:Fallback>
        </mc:AlternateContent>
      </w:r>
      <w:r w:rsidR="00EE4A17" w:rsidRPr="007821AE">
        <w:t xml:space="preserve">It is recommended that teachers consistently use multimodal strategies in reading instruction, including visual, auditory, and kinesthetic activities such as videos, graphic organizers, and dramatization. </w:t>
      </w:r>
      <w:proofErr w:type="spellStart"/>
      <w:r w:rsidR="00EE4A17" w:rsidRPr="007821AE">
        <w:lastRenderedPageBreak/>
        <w:t>Gilakjani</w:t>
      </w:r>
      <w:proofErr w:type="spellEnd"/>
      <w:r w:rsidR="00EE4A17" w:rsidRPr="007821AE">
        <w:t xml:space="preserve"> (2016) states that multimodal approaches significantly improve reading comprehension by allowing learners to process information through multiple channels and increasing engagement. In addition, further studies may focus on literal, inferential, lexical, applied, and evaluative comprehension (</w:t>
      </w:r>
      <w:proofErr w:type="spellStart"/>
      <w:r w:rsidR="00EE4A17" w:rsidRPr="007821AE">
        <w:t>Tolibas</w:t>
      </w:r>
      <w:proofErr w:type="spellEnd"/>
      <w:r w:rsidR="00EE4A17" w:rsidRPr="007821AE">
        <w:t>, 2025) to narrow down the target category of reading comprehension and arrive at a more focused intervention.</w:t>
      </w:r>
    </w:p>
    <w:p w14:paraId="4DEFE2E5" w14:textId="7BD1BC08" w:rsidR="00D97720" w:rsidRPr="007821AE" w:rsidRDefault="00D97720" w:rsidP="00D97720">
      <w:pPr>
        <w:pStyle w:val="NormalWeb"/>
        <w:ind w:firstLine="720"/>
        <w:jc w:val="both"/>
      </w:pPr>
      <w:r w:rsidRPr="007821AE">
        <w:t>Targeted support must be provided to learners who remain at the Beginning level. Teachers should implement differentiated instruction, small-group remediation, and guided reading sessions to address specific comprehension gaps. Liu et al. (2018) also stated that struggling readers benefit from explicit, scaffolded instruction and individualized interventions that focus on both basic and higher-order comprehension skills.</w:t>
      </w:r>
    </w:p>
    <w:p w14:paraId="06E0469C" w14:textId="45958652" w:rsidR="00D97720" w:rsidRPr="007821AE" w:rsidRDefault="00D97720" w:rsidP="00D97720">
      <w:pPr>
        <w:pStyle w:val="NormalWeb"/>
        <w:ind w:firstLine="720"/>
        <w:jc w:val="both"/>
      </w:pPr>
      <w:r w:rsidRPr="007821AE">
        <w:t xml:space="preserve">The implementation period should be extended </w:t>
      </w:r>
      <w:r w:rsidR="007C20B6" w:rsidRPr="007821AE">
        <w:t xml:space="preserve">and consider the </w:t>
      </w:r>
      <w:r w:rsidRPr="007821AE">
        <w:t xml:space="preserve">duration of the intervention program so learners can absorb the essence of the strategies implemented, with better results perceived to be gathered. According to Basman, </w:t>
      </w:r>
      <w:proofErr w:type="spellStart"/>
      <w:r w:rsidRPr="007821AE">
        <w:t>Tanajura</w:t>
      </w:r>
      <w:proofErr w:type="spellEnd"/>
      <w:r w:rsidRPr="007821AE">
        <w:t xml:space="preserve">, and </w:t>
      </w:r>
      <w:proofErr w:type="spellStart"/>
      <w:r w:rsidRPr="007821AE">
        <w:t>Escarlos</w:t>
      </w:r>
      <w:proofErr w:type="spellEnd"/>
      <w:r w:rsidRPr="007821AE">
        <w:t xml:space="preserve"> (2025), programs with longer structured </w:t>
      </w:r>
      <w:r w:rsidR="007C20B6" w:rsidRPr="007821AE">
        <w:t>interventions</w:t>
      </w:r>
      <w:r w:rsidRPr="007821AE">
        <w:t xml:space="preserve"> resulted in more accurate measurement of learner outcomes. This also aligns with Behavioral Reinforcement, also known as Operant Conditioning of </w:t>
      </w:r>
      <w:r w:rsidRPr="007821AE">
        <w:rPr>
          <w:rStyle w:val="whitespace-normal"/>
        </w:rPr>
        <w:t>B. F. Skinner</w:t>
      </w:r>
      <w:r w:rsidRPr="007821AE">
        <w:t xml:space="preserve"> (1938), where consistent exposure produces sustained engagement.</w:t>
      </w:r>
    </w:p>
    <w:p w14:paraId="14A76709" w14:textId="1AD4236A" w:rsidR="000111CA" w:rsidRPr="000111CA" w:rsidRDefault="00EE4A17" w:rsidP="000111CA">
      <w:pPr>
        <w:spacing w:before="240" w:after="240" w:line="240" w:lineRule="auto"/>
        <w:ind w:firstLine="720"/>
        <w:jc w:val="both"/>
        <w:rPr>
          <w:rFonts w:ascii="Times New Roman" w:hAnsi="Times New Roman" w:cs="Times New Roman"/>
          <w:sz w:val="24"/>
          <w:szCs w:val="24"/>
        </w:rPr>
      </w:pPr>
      <w:r w:rsidRPr="007821AE">
        <w:rPr>
          <w:rFonts w:ascii="Times New Roman" w:hAnsi="Times New Roman" w:cs="Times New Roman"/>
          <w:sz w:val="24"/>
          <w:szCs w:val="24"/>
        </w:rPr>
        <w:t>Additionally, school administrators should support teachers through regular professional development and by providing access to appropriate instructional materials and technology</w:t>
      </w:r>
      <w:r w:rsidR="00D87EA0" w:rsidRPr="007821AE">
        <w:rPr>
          <w:rFonts w:ascii="Times New Roman" w:hAnsi="Times New Roman" w:cs="Times New Roman"/>
          <w:sz w:val="24"/>
          <w:szCs w:val="24"/>
        </w:rPr>
        <w:t xml:space="preserve">, </w:t>
      </w:r>
      <w:r w:rsidRPr="007821AE">
        <w:rPr>
          <w:rFonts w:ascii="Times New Roman" w:hAnsi="Times New Roman" w:cs="Times New Roman"/>
          <w:sz w:val="24"/>
          <w:szCs w:val="24"/>
        </w:rPr>
        <w:t xml:space="preserve">as supported by Kress (2018) and Walsh (2017), who stated that training in multimodal literacy and access to digital tools significantly enhance teaching effectiveness and student outcomes. Future researchers are encouraged to conduct further studies on the long-term effects of multimodal strategies and explore their impact on other language skills and different learner groups (Yi &amp; Choi, 2019; Ajayi, 2021), emphasizing sustained and </w:t>
      </w:r>
      <w:r w:rsidRPr="007821AE">
        <w:rPr>
          <w:rFonts w:ascii="Times New Roman" w:hAnsi="Times New Roman" w:cs="Times New Roman"/>
          <w:sz w:val="24"/>
          <w:szCs w:val="24"/>
        </w:rPr>
        <w:t>context-based investigations to strengthen the evidence on multimodal instruction and its role in improving literacy in diverse educational settings.</w:t>
      </w:r>
    </w:p>
    <w:p w14:paraId="36936378" w14:textId="67C7A769" w:rsidR="001C7FEE" w:rsidRPr="007821AE" w:rsidRDefault="00206C7E" w:rsidP="00970555">
      <w:pPr>
        <w:spacing w:after="160" w:line="240" w:lineRule="auto"/>
        <w:jc w:val="center"/>
        <w:rPr>
          <w:rFonts w:ascii="Times New Roman" w:hAnsi="Times New Roman" w:cs="Times New Roman"/>
          <w:b/>
          <w:bCs/>
          <w:sz w:val="24"/>
          <w:szCs w:val="24"/>
        </w:rPr>
      </w:pPr>
      <w:r w:rsidRPr="007821AE">
        <w:rPr>
          <w:rFonts w:ascii="Times New Roman" w:hAnsi="Times New Roman" w:cs="Times New Roman"/>
          <w:b/>
          <w:bCs/>
          <w:sz w:val="24"/>
          <w:szCs w:val="24"/>
        </w:rPr>
        <w:t>REFERENCES</w:t>
      </w:r>
    </w:p>
    <w:p w14:paraId="03D91269"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Alhabshi, S., &amp; Abdelaziz, A. (2022). </w:t>
      </w:r>
      <w:r w:rsidRPr="007821AE">
        <w:rPr>
          <w:i/>
          <w:iCs/>
          <w:color w:val="000000"/>
        </w:rPr>
        <w:t>Multimodal learning environments and their impact on reading comprehension: A pedagogical perspective</w:t>
      </w:r>
      <w:r w:rsidRPr="007821AE">
        <w:rPr>
          <w:color w:val="000000"/>
        </w:rPr>
        <w:t xml:space="preserve">. </w:t>
      </w:r>
      <w:r w:rsidRPr="007821AE">
        <w:rPr>
          <w:i/>
          <w:iCs/>
          <w:color w:val="000000"/>
        </w:rPr>
        <w:t>Journal of Educational Research and Practice, 12</w:t>
      </w:r>
      <w:r w:rsidRPr="007821AE">
        <w:rPr>
          <w:color w:val="000000"/>
        </w:rPr>
        <w:t>(3), 45–58.</w:t>
      </w:r>
    </w:p>
    <w:p w14:paraId="39A401B7"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Alhadshi, W., &amp; Abdelaziz, H. A. (2022). </w:t>
      </w:r>
      <w:r w:rsidRPr="007821AE">
        <w:rPr>
          <w:i/>
          <w:iCs/>
          <w:color w:val="000000"/>
        </w:rPr>
        <w:t>Developing a multimodal interactive learning environment to enhance the reading comprehension of Grade 4 students in UAE public schools</w:t>
      </w:r>
      <w:r w:rsidRPr="007821AE">
        <w:rPr>
          <w:color w:val="000000"/>
        </w:rPr>
        <w:t xml:space="preserve">. </w:t>
      </w:r>
      <w:r w:rsidRPr="007821AE">
        <w:rPr>
          <w:i/>
          <w:iCs/>
          <w:color w:val="000000"/>
        </w:rPr>
        <w:t>International Journal of Learning, Teaching and Educational Research, 21</w:t>
      </w:r>
      <w:r w:rsidRPr="007821AE">
        <w:rPr>
          <w:color w:val="000000"/>
        </w:rPr>
        <w:t>(1), 1–17.</w:t>
      </w:r>
    </w:p>
    <w:p w14:paraId="63E28C77" w14:textId="1B15DF98" w:rsidR="005119B2" w:rsidRPr="007821AE" w:rsidRDefault="005119B2" w:rsidP="00D97720">
      <w:pPr>
        <w:pStyle w:val="NormalWeb"/>
        <w:spacing w:before="240" w:beforeAutospacing="0" w:after="240" w:afterAutospacing="0"/>
        <w:ind w:left="720" w:hanging="720"/>
        <w:jc w:val="both"/>
      </w:pPr>
      <w:r w:rsidRPr="007821AE">
        <w:rPr>
          <w:color w:val="000000"/>
        </w:rPr>
        <w:t xml:space="preserve">Ajayi, L. (2021). </w:t>
      </w:r>
      <w:r w:rsidRPr="007821AE">
        <w:rPr>
          <w:i/>
          <w:iCs/>
          <w:color w:val="000000"/>
        </w:rPr>
        <w:t>Innovative approaches in English-language arts: How two teachers teach high school students to use multimodal resources for interpretation of Romeo and Juliet and Macbeth</w:t>
      </w:r>
      <w:r w:rsidRPr="007821AE">
        <w:rPr>
          <w:color w:val="000000"/>
        </w:rPr>
        <w:t xml:space="preserve">. </w:t>
      </w:r>
      <w:r w:rsidRPr="007821AE">
        <w:rPr>
          <w:i/>
          <w:iCs/>
          <w:color w:val="000000"/>
        </w:rPr>
        <w:t>Journal of Language Teaching, 16</w:t>
      </w:r>
      <w:r w:rsidRPr="007821AE">
        <w:rPr>
          <w:color w:val="000000"/>
        </w:rPr>
        <w:t>(1). ERIC.</w:t>
      </w:r>
      <w:r w:rsidRPr="007821AE">
        <w:t xml:space="preserve"> https://eric.ed.gov/?id=EJ1289442</w:t>
      </w:r>
    </w:p>
    <w:p w14:paraId="053399E9" w14:textId="77777777" w:rsidR="005119B2" w:rsidRPr="007821AE" w:rsidRDefault="005119B2" w:rsidP="00D97720">
      <w:pPr>
        <w:pStyle w:val="NormalWeb"/>
        <w:spacing w:before="240" w:beforeAutospacing="0" w:after="240" w:afterAutospacing="0"/>
        <w:ind w:left="720" w:hanging="720"/>
        <w:jc w:val="both"/>
      </w:pPr>
      <w:proofErr w:type="spellStart"/>
      <w:r w:rsidRPr="007821AE">
        <w:rPr>
          <w:color w:val="000000"/>
        </w:rPr>
        <w:t>Angub</w:t>
      </w:r>
      <w:proofErr w:type="spellEnd"/>
      <w:r w:rsidRPr="007821AE">
        <w:rPr>
          <w:color w:val="000000"/>
        </w:rPr>
        <w:t xml:space="preserve">, R., Cruz, M., &amp; Gutierrez, L. (2025). </w:t>
      </w:r>
      <w:r w:rsidRPr="007821AE">
        <w:rPr>
          <w:i/>
          <w:iCs/>
          <w:color w:val="000000"/>
        </w:rPr>
        <w:t>Integrating texts, images, and videos to enhance reading comprehension among secondary learners</w:t>
      </w:r>
      <w:r w:rsidRPr="007821AE">
        <w:rPr>
          <w:color w:val="000000"/>
        </w:rPr>
        <w:t xml:space="preserve">. </w:t>
      </w:r>
      <w:r w:rsidRPr="007821AE">
        <w:rPr>
          <w:i/>
          <w:iCs/>
          <w:color w:val="000000"/>
        </w:rPr>
        <w:t>Philippine Journal of Language Education, 18</w:t>
      </w:r>
      <w:r w:rsidRPr="007821AE">
        <w:rPr>
          <w:color w:val="000000"/>
        </w:rPr>
        <w:t>(2), 101–115.</w:t>
      </w:r>
    </w:p>
    <w:p w14:paraId="27A4299B" w14:textId="060CE64E" w:rsidR="005119B2" w:rsidRPr="007821AE" w:rsidRDefault="005119B2" w:rsidP="00D97720">
      <w:pPr>
        <w:pStyle w:val="NormalWeb"/>
        <w:spacing w:before="240" w:beforeAutospacing="0" w:after="240" w:afterAutospacing="0"/>
        <w:ind w:left="720" w:hanging="720"/>
        <w:jc w:val="both"/>
      </w:pPr>
      <w:proofErr w:type="spellStart"/>
      <w:r w:rsidRPr="007821AE">
        <w:rPr>
          <w:color w:val="000000"/>
        </w:rPr>
        <w:t>Angub</w:t>
      </w:r>
      <w:proofErr w:type="spellEnd"/>
      <w:r w:rsidRPr="007821AE">
        <w:rPr>
          <w:color w:val="000000"/>
        </w:rPr>
        <w:t xml:space="preserve">, V. L. C., Evangelista, J. C. C., </w:t>
      </w:r>
      <w:proofErr w:type="spellStart"/>
      <w:r w:rsidRPr="007821AE">
        <w:rPr>
          <w:color w:val="000000"/>
        </w:rPr>
        <w:t>Bacali</w:t>
      </w:r>
      <w:proofErr w:type="spellEnd"/>
      <w:r w:rsidRPr="007821AE">
        <w:rPr>
          <w:color w:val="000000"/>
        </w:rPr>
        <w:t xml:space="preserve">, A. C., Mateo, L. C., </w:t>
      </w:r>
      <w:proofErr w:type="spellStart"/>
      <w:r w:rsidRPr="007821AE">
        <w:rPr>
          <w:color w:val="000000"/>
        </w:rPr>
        <w:t>Baawa</w:t>
      </w:r>
      <w:proofErr w:type="spellEnd"/>
      <w:r w:rsidRPr="007821AE">
        <w:rPr>
          <w:color w:val="000000"/>
        </w:rPr>
        <w:t>, S. P., &amp; Tay-</w:t>
      </w:r>
      <w:proofErr w:type="spellStart"/>
      <w:r w:rsidRPr="007821AE">
        <w:rPr>
          <w:color w:val="000000"/>
        </w:rPr>
        <w:t>Eo</w:t>
      </w:r>
      <w:proofErr w:type="spellEnd"/>
      <w:r w:rsidRPr="007821AE">
        <w:rPr>
          <w:color w:val="000000"/>
        </w:rPr>
        <w:t xml:space="preserve">, N. B. (2025). </w:t>
      </w:r>
      <w:r w:rsidRPr="007821AE">
        <w:rPr>
          <w:i/>
          <w:iCs/>
          <w:color w:val="000000"/>
        </w:rPr>
        <w:t>Multimodal reading program to aid San Mateo National High School’s Grade 7 students in improving reading competency</w:t>
      </w:r>
      <w:r w:rsidRPr="007821AE">
        <w:rPr>
          <w:color w:val="000000"/>
        </w:rPr>
        <w:t xml:space="preserve">. </w:t>
      </w:r>
      <w:r w:rsidRPr="007821AE">
        <w:rPr>
          <w:i/>
          <w:iCs/>
          <w:color w:val="000000"/>
        </w:rPr>
        <w:t>Journal of Exceptional Multidisciplinary Research, 2</w:t>
      </w:r>
      <w:r w:rsidRPr="007821AE">
        <w:rPr>
          <w:color w:val="000000"/>
        </w:rPr>
        <w:t>(2), 1–7.</w:t>
      </w:r>
      <w:r w:rsidRPr="007821AE">
        <w:t xml:space="preserve"> https://doi.org/10.69739/jemr.v2i2.710</w:t>
      </w:r>
    </w:p>
    <w:p w14:paraId="5FDCEE5B" w14:textId="1EE0EAB9" w:rsidR="005119B2" w:rsidRPr="007821AE" w:rsidRDefault="00232C5E" w:rsidP="00D97720">
      <w:pPr>
        <w:pStyle w:val="NormalWeb"/>
        <w:spacing w:before="240" w:beforeAutospacing="0" w:after="240" w:afterAutospacing="0"/>
        <w:ind w:left="720" w:hanging="720"/>
        <w:jc w:val="both"/>
      </w:pPr>
      <w:r>
        <w:rPr>
          <w:noProof/>
          <w:color w:val="000000"/>
        </w:rPr>
        <mc:AlternateContent>
          <mc:Choice Requires="wps">
            <w:drawing>
              <wp:anchor distT="0" distB="0" distL="114300" distR="114300" simplePos="0" relativeHeight="251666432" behindDoc="0" locked="0" layoutInCell="1" allowOverlap="1" wp14:anchorId="35997055" wp14:editId="32818828">
                <wp:simplePos x="0" y="0"/>
                <wp:positionH relativeFrom="column">
                  <wp:posOffset>-455930</wp:posOffset>
                </wp:positionH>
                <wp:positionV relativeFrom="paragraph">
                  <wp:posOffset>678815</wp:posOffset>
                </wp:positionV>
                <wp:extent cx="428625" cy="295275"/>
                <wp:effectExtent l="0" t="0" r="9525" b="9525"/>
                <wp:wrapNone/>
                <wp:docPr id="1393758871" name="Text Box 9"/>
                <wp:cNvGraphicFramePr/>
                <a:graphic xmlns:a="http://schemas.openxmlformats.org/drawingml/2006/main">
                  <a:graphicData uri="http://schemas.microsoft.com/office/word/2010/wordprocessingShape">
                    <wps:wsp>
                      <wps:cNvSpPr txBox="1"/>
                      <wps:spPr>
                        <a:xfrm>
                          <a:off x="0" y="0"/>
                          <a:ext cx="428625" cy="295275"/>
                        </a:xfrm>
                        <a:prstGeom prst="rect">
                          <a:avLst/>
                        </a:prstGeom>
                        <a:solidFill>
                          <a:schemeClr val="lt1"/>
                        </a:solidFill>
                        <a:ln w="6350">
                          <a:noFill/>
                        </a:ln>
                      </wps:spPr>
                      <wps:txbx>
                        <w:txbxContent>
                          <w:p w14:paraId="58CD88F6" w14:textId="4EB055D9" w:rsidR="00232C5E" w:rsidRDefault="00232C5E" w:rsidP="00232C5E">
                            <w:r>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8</w:t>
                            </w:r>
                          </w:p>
                          <w:p w14:paraId="7771017A" w14:textId="77777777" w:rsidR="00232C5E" w:rsidRDefault="00232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97055" id="Text Box 9" o:spid="_x0000_s1034" type="#_x0000_t202" style="position:absolute;left:0;text-align:left;margin-left:-35.9pt;margin-top:53.45pt;width:33.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" fillcolor="white [3201]" stroked="f" strokeweight=".5pt">
                <v:textbox>
                  <w:txbxContent>
                    <w:p w14:paraId="58CD88F6" w14:textId="4EB055D9" w:rsidR="00232C5E" w:rsidRDefault="00232C5E" w:rsidP="00232C5E">
                      <w:r>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8</w:t>
                      </w:r>
                    </w:p>
                    <w:p w14:paraId="7771017A" w14:textId="77777777" w:rsidR="00232C5E" w:rsidRDefault="00232C5E"/>
                  </w:txbxContent>
                </v:textbox>
              </v:shape>
            </w:pict>
          </mc:Fallback>
        </mc:AlternateContent>
      </w:r>
      <w:r w:rsidR="005119B2" w:rsidRPr="007821AE">
        <w:rPr>
          <w:color w:val="000000"/>
        </w:rPr>
        <w:t xml:space="preserve">Basman, L. J. S., </w:t>
      </w:r>
      <w:proofErr w:type="spellStart"/>
      <w:r w:rsidR="005119B2" w:rsidRPr="007821AE">
        <w:rPr>
          <w:color w:val="000000"/>
        </w:rPr>
        <w:t>Tañajura</w:t>
      </w:r>
      <w:proofErr w:type="spellEnd"/>
      <w:r w:rsidR="005119B2" w:rsidRPr="007821AE">
        <w:rPr>
          <w:color w:val="000000"/>
        </w:rPr>
        <w:t xml:space="preserve">, J. S., &amp; </w:t>
      </w:r>
      <w:proofErr w:type="spellStart"/>
      <w:r w:rsidR="005119B2" w:rsidRPr="007821AE">
        <w:rPr>
          <w:color w:val="000000"/>
        </w:rPr>
        <w:t>Escarlos</w:t>
      </w:r>
      <w:proofErr w:type="spellEnd"/>
      <w:r w:rsidR="005119B2" w:rsidRPr="007821AE">
        <w:rPr>
          <w:color w:val="000000"/>
        </w:rPr>
        <w:t xml:space="preserve">, G. S. (2025). </w:t>
      </w:r>
      <w:r w:rsidR="005119B2" w:rsidRPr="007821AE">
        <w:rPr>
          <w:i/>
          <w:iCs/>
          <w:color w:val="000000"/>
        </w:rPr>
        <w:t xml:space="preserve">Educational program </w:t>
      </w:r>
      <w:r w:rsidR="005119B2" w:rsidRPr="007821AE">
        <w:rPr>
          <w:i/>
          <w:iCs/>
          <w:color w:val="000000"/>
        </w:rPr>
        <w:lastRenderedPageBreak/>
        <w:t>implementation through behavioral and cognitive frameworks: Grounding practice in operant conditioning and social cognitive theory</w:t>
      </w:r>
      <w:r w:rsidR="005119B2" w:rsidRPr="007821AE">
        <w:rPr>
          <w:color w:val="000000"/>
        </w:rPr>
        <w:t xml:space="preserve">. </w:t>
      </w:r>
      <w:r w:rsidR="005119B2" w:rsidRPr="007821AE">
        <w:rPr>
          <w:i/>
          <w:iCs/>
          <w:color w:val="000000"/>
        </w:rPr>
        <w:t>International Journal of Research and Innovation in Social Science, 9</w:t>
      </w:r>
      <w:r w:rsidR="005119B2" w:rsidRPr="007821AE">
        <w:rPr>
          <w:color w:val="000000"/>
        </w:rPr>
        <w:t>(10), 4635–4642.</w:t>
      </w:r>
    </w:p>
    <w:p w14:paraId="39B10B1A"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Berns, R. (2004). </w:t>
      </w:r>
      <w:r w:rsidRPr="007821AE">
        <w:rPr>
          <w:i/>
          <w:iCs/>
          <w:color w:val="000000"/>
        </w:rPr>
        <w:t>Child, family, school, community: Socialization and support</w:t>
      </w:r>
      <w:r w:rsidRPr="007821AE">
        <w:rPr>
          <w:color w:val="000000"/>
        </w:rPr>
        <w:t>. Thomson Learning.</w:t>
      </w:r>
    </w:p>
    <w:p w14:paraId="5803A974"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Camino, A. J., Laro, B. A., Reyes, C. A. T., &amp; </w:t>
      </w:r>
      <w:proofErr w:type="spellStart"/>
      <w:r w:rsidRPr="007821AE">
        <w:rPr>
          <w:color w:val="000000"/>
        </w:rPr>
        <w:t>Pingot</w:t>
      </w:r>
      <w:proofErr w:type="spellEnd"/>
      <w:r w:rsidRPr="007821AE">
        <w:rPr>
          <w:color w:val="000000"/>
        </w:rPr>
        <w:t xml:space="preserve">, L. P. S. (2025). </w:t>
      </w:r>
      <w:r w:rsidRPr="007821AE">
        <w:rPr>
          <w:i/>
          <w:iCs/>
          <w:color w:val="000000"/>
        </w:rPr>
        <w:t>Enhancing reading comprehension in Filipino among Grade 3 learners through the multisensory approach</w:t>
      </w:r>
      <w:r w:rsidRPr="007821AE">
        <w:rPr>
          <w:color w:val="000000"/>
        </w:rPr>
        <w:t xml:space="preserve">. </w:t>
      </w:r>
      <w:r w:rsidRPr="007821AE">
        <w:rPr>
          <w:i/>
          <w:iCs/>
          <w:color w:val="000000"/>
        </w:rPr>
        <w:t>Asian Journal of Education and Social Studies, 14</w:t>
      </w:r>
      <w:r w:rsidRPr="007821AE">
        <w:rPr>
          <w:color w:val="000000"/>
        </w:rPr>
        <w:t>(2), 140–212.</w:t>
      </w:r>
    </w:p>
    <w:p w14:paraId="1F88AC25" w14:textId="726641B2" w:rsidR="005119B2" w:rsidRPr="007821AE" w:rsidRDefault="005119B2" w:rsidP="00D97720">
      <w:pPr>
        <w:pStyle w:val="NormalWeb"/>
        <w:spacing w:before="240" w:beforeAutospacing="0" w:after="240" w:afterAutospacing="0"/>
        <w:ind w:left="720" w:hanging="720"/>
        <w:jc w:val="both"/>
      </w:pPr>
      <w:r w:rsidRPr="007821AE">
        <w:rPr>
          <w:color w:val="000000"/>
        </w:rPr>
        <w:t xml:space="preserve">Camino, J., </w:t>
      </w:r>
      <w:proofErr w:type="spellStart"/>
      <w:r w:rsidRPr="007821AE">
        <w:rPr>
          <w:color w:val="000000"/>
        </w:rPr>
        <w:t>Tolibas</w:t>
      </w:r>
      <w:proofErr w:type="spellEnd"/>
      <w:r w:rsidRPr="007821AE">
        <w:rPr>
          <w:color w:val="000000"/>
        </w:rPr>
        <w:t xml:space="preserve">, M., &amp; Casinto, R. (2025). </w:t>
      </w:r>
      <w:r w:rsidRPr="007821AE">
        <w:rPr>
          <w:i/>
          <w:iCs/>
          <w:color w:val="000000"/>
        </w:rPr>
        <w:t>Reading literacy and comprehension challenges among Filipino learners: Insights from PISA 2022</w:t>
      </w:r>
      <w:r w:rsidRPr="007821AE">
        <w:rPr>
          <w:color w:val="000000"/>
        </w:rPr>
        <w:t xml:space="preserve">. </w:t>
      </w:r>
      <w:r w:rsidRPr="007821AE">
        <w:rPr>
          <w:i/>
          <w:iCs/>
          <w:color w:val="000000"/>
        </w:rPr>
        <w:t>Psychology and Education: A Multidisciplinary Journal, 42</w:t>
      </w:r>
      <w:r w:rsidRPr="007821AE">
        <w:rPr>
          <w:color w:val="000000"/>
        </w:rPr>
        <w:t>(10), 1400–1417.</w:t>
      </w:r>
      <w:r w:rsidRPr="007821AE">
        <w:t xml:space="preserve"> https://doi.org/10.70838/pemj.421005</w:t>
      </w:r>
    </w:p>
    <w:p w14:paraId="5940DB96" w14:textId="2AD0221F" w:rsidR="005119B2" w:rsidRPr="007821AE" w:rsidRDefault="005119B2" w:rsidP="00D97720">
      <w:pPr>
        <w:pStyle w:val="NormalWeb"/>
        <w:spacing w:before="240" w:beforeAutospacing="0" w:after="240" w:afterAutospacing="0"/>
        <w:ind w:left="720" w:hanging="720"/>
        <w:jc w:val="both"/>
      </w:pPr>
      <w:r w:rsidRPr="007821AE">
        <w:rPr>
          <w:color w:val="000000"/>
        </w:rPr>
        <w:t xml:space="preserve">Casinto, C. D. (2025). </w:t>
      </w:r>
      <w:r w:rsidRPr="007821AE">
        <w:rPr>
          <w:i/>
          <w:iCs/>
          <w:color w:val="000000"/>
        </w:rPr>
        <w:t>The teaching and learning of reading: Its challenges, strategies, and effectiveness in the Philippine context: A systematic review</w:t>
      </w:r>
      <w:r w:rsidRPr="007821AE">
        <w:rPr>
          <w:color w:val="000000"/>
        </w:rPr>
        <w:t xml:space="preserve">. </w:t>
      </w:r>
      <w:r w:rsidRPr="007821AE">
        <w:rPr>
          <w:i/>
          <w:iCs/>
          <w:color w:val="000000"/>
        </w:rPr>
        <w:t>International Journal of Language and Literary Studies, 7</w:t>
      </w:r>
      <w:r w:rsidRPr="007821AE">
        <w:rPr>
          <w:color w:val="000000"/>
        </w:rPr>
        <w:t>(5), 345–356.</w:t>
      </w:r>
      <w:r w:rsidRPr="007821AE">
        <w:t xml:space="preserve"> https://doi.org/10.36892/ijlls.v7i5.2344</w:t>
      </w:r>
    </w:p>
    <w:p w14:paraId="2834E2A9"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Dalton, B., &amp; Proctor, C. P. (2008). </w:t>
      </w:r>
      <w:r w:rsidRPr="007821AE">
        <w:rPr>
          <w:i/>
          <w:iCs/>
          <w:color w:val="000000"/>
        </w:rPr>
        <w:t>The changing landscape of literacy in the 21st century</w:t>
      </w:r>
      <w:r w:rsidRPr="007821AE">
        <w:rPr>
          <w:color w:val="000000"/>
        </w:rPr>
        <w:t xml:space="preserve">. </w:t>
      </w:r>
      <w:r w:rsidRPr="007821AE">
        <w:rPr>
          <w:i/>
          <w:iCs/>
          <w:color w:val="000000"/>
        </w:rPr>
        <w:t>Journal of Adolescent &amp; Adult Literacy, 51</w:t>
      </w:r>
      <w:r w:rsidRPr="007821AE">
        <w:rPr>
          <w:color w:val="000000"/>
        </w:rPr>
        <w:t>(3), 226–232.</w:t>
      </w:r>
    </w:p>
    <w:p w14:paraId="0FE826B8" w14:textId="2C633C49" w:rsidR="005119B2" w:rsidRPr="007821AE" w:rsidRDefault="005119B2" w:rsidP="00D97720">
      <w:pPr>
        <w:pStyle w:val="NormalWeb"/>
        <w:spacing w:before="240" w:beforeAutospacing="0" w:after="240" w:afterAutospacing="0"/>
        <w:ind w:left="720" w:hanging="720"/>
        <w:jc w:val="both"/>
      </w:pPr>
      <w:proofErr w:type="spellStart"/>
      <w:r w:rsidRPr="007821AE">
        <w:rPr>
          <w:color w:val="000000"/>
        </w:rPr>
        <w:t>Daulay</w:t>
      </w:r>
      <w:proofErr w:type="spellEnd"/>
      <w:r w:rsidRPr="007821AE">
        <w:rPr>
          <w:color w:val="000000"/>
        </w:rPr>
        <w:t xml:space="preserve">, E., &amp; Dewi, U. (2025). </w:t>
      </w:r>
      <w:r w:rsidRPr="007821AE">
        <w:rPr>
          <w:i/>
          <w:iCs/>
          <w:color w:val="000000"/>
        </w:rPr>
        <w:t>Reading comprehension through multimodal literacy approach for English education</w:t>
      </w:r>
      <w:r w:rsidRPr="007821AE">
        <w:rPr>
          <w:color w:val="000000"/>
        </w:rPr>
        <w:t xml:space="preserve">. </w:t>
      </w:r>
      <w:r w:rsidRPr="007821AE">
        <w:rPr>
          <w:i/>
          <w:iCs/>
          <w:color w:val="000000"/>
        </w:rPr>
        <w:t>Eternal: English Teaching Journal, 16</w:t>
      </w:r>
      <w:r w:rsidRPr="007821AE">
        <w:rPr>
          <w:color w:val="000000"/>
        </w:rPr>
        <w:t>(2), 397–404.</w:t>
      </w:r>
      <w:r w:rsidRPr="007821AE">
        <w:t xml:space="preserve"> https://doi.org/10.26877/eternal.v16i2.1910</w:t>
      </w:r>
    </w:p>
    <w:p w14:paraId="58221298" w14:textId="582B9945" w:rsidR="005119B2" w:rsidRPr="007821AE" w:rsidRDefault="00232C5E" w:rsidP="00D97720">
      <w:pPr>
        <w:pStyle w:val="NormalWeb"/>
        <w:spacing w:before="240" w:beforeAutospacing="0" w:after="240" w:afterAutospacing="0"/>
        <w:ind w:left="720" w:hanging="720"/>
        <w:jc w:val="both"/>
      </w:pPr>
      <w:r>
        <w:rPr>
          <w:noProof/>
          <w:color w:val="000000"/>
        </w:rPr>
        <mc:AlternateContent>
          <mc:Choice Requires="wps">
            <w:drawing>
              <wp:anchor distT="0" distB="0" distL="114300" distR="114300" simplePos="0" relativeHeight="251667456" behindDoc="0" locked="0" layoutInCell="1" allowOverlap="1" wp14:anchorId="1BA3CC6D" wp14:editId="6A130C8C">
                <wp:simplePos x="0" y="0"/>
                <wp:positionH relativeFrom="column">
                  <wp:posOffset>2847975</wp:posOffset>
                </wp:positionH>
                <wp:positionV relativeFrom="paragraph">
                  <wp:posOffset>726440</wp:posOffset>
                </wp:positionV>
                <wp:extent cx="466725" cy="361950"/>
                <wp:effectExtent l="0" t="0" r="9525" b="0"/>
                <wp:wrapNone/>
                <wp:docPr id="537096713" name="Text Box 10"/>
                <wp:cNvGraphicFramePr/>
                <a:graphic xmlns:a="http://schemas.openxmlformats.org/drawingml/2006/main">
                  <a:graphicData uri="http://schemas.microsoft.com/office/word/2010/wordprocessingShape">
                    <wps:wsp>
                      <wps:cNvSpPr txBox="1"/>
                      <wps:spPr>
                        <a:xfrm>
                          <a:off x="0" y="0"/>
                          <a:ext cx="466725" cy="361950"/>
                        </a:xfrm>
                        <a:prstGeom prst="rect">
                          <a:avLst/>
                        </a:prstGeom>
                        <a:solidFill>
                          <a:schemeClr val="lt1"/>
                        </a:solidFill>
                        <a:ln w="6350">
                          <a:noFill/>
                        </a:ln>
                      </wps:spPr>
                      <wps:txbx>
                        <w:txbxContent>
                          <w:p w14:paraId="70249AC5" w14:textId="4A967BDC" w:rsidR="00232C5E" w:rsidRDefault="00232C5E">
                            <w:r>
                              <w:rPr>
                                <w:rFonts w:ascii="Times New Roman" w:hAnsi="Times New Roman" w:cs="Times New Roman"/>
                                <w:color w:val="595959" w:themeColor="text1" w:themeTint="A6"/>
                                <w:sz w:val="24"/>
                                <w:szCs w:val="24"/>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3CC6D" id="Text Box 10" o:spid="_x0000_s1035" type="#_x0000_t202" style="position:absolute;left:0;text-align:left;margin-left:224.25pt;margin-top:57.2pt;width:36.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wcMAIAAFo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" fillcolor="white [3201]" stroked="f" strokeweight=".5pt">
                <v:textbox>
                  <w:txbxContent>
                    <w:p w14:paraId="70249AC5" w14:textId="4A967BDC" w:rsidR="00232C5E" w:rsidRDefault="00232C5E">
                      <w:r>
                        <w:rPr>
                          <w:rFonts w:ascii="Times New Roman" w:hAnsi="Times New Roman" w:cs="Times New Roman"/>
                          <w:color w:val="595959" w:themeColor="text1" w:themeTint="A6"/>
                          <w:sz w:val="24"/>
                          <w:szCs w:val="24"/>
                        </w:rPr>
                        <w:t xml:space="preserve">  9</w:t>
                      </w:r>
                    </w:p>
                  </w:txbxContent>
                </v:textbox>
              </v:shape>
            </w:pict>
          </mc:Fallback>
        </mc:AlternateContent>
      </w:r>
      <w:proofErr w:type="spellStart"/>
      <w:r w:rsidR="005119B2" w:rsidRPr="007821AE">
        <w:rPr>
          <w:color w:val="000000"/>
        </w:rPr>
        <w:t>Daulay</w:t>
      </w:r>
      <w:proofErr w:type="spellEnd"/>
      <w:r w:rsidR="005119B2" w:rsidRPr="007821AE">
        <w:rPr>
          <w:color w:val="000000"/>
        </w:rPr>
        <w:t xml:space="preserve">, N., &amp; Dewi, R. (2025). </w:t>
      </w:r>
      <w:r w:rsidR="005119B2" w:rsidRPr="007821AE">
        <w:rPr>
          <w:i/>
          <w:iCs/>
          <w:color w:val="000000"/>
        </w:rPr>
        <w:t xml:space="preserve">Multimodal approaches in language learning: </w:t>
      </w:r>
      <w:r w:rsidR="005119B2" w:rsidRPr="007821AE">
        <w:rPr>
          <w:i/>
          <w:iCs/>
          <w:color w:val="000000"/>
        </w:rPr>
        <w:t>Enhancing comprehension and retention through visual and auditory integration</w:t>
      </w:r>
      <w:r w:rsidR="005119B2" w:rsidRPr="007821AE">
        <w:rPr>
          <w:color w:val="000000"/>
        </w:rPr>
        <w:t xml:space="preserve">. </w:t>
      </w:r>
      <w:r w:rsidR="005119B2" w:rsidRPr="007821AE">
        <w:rPr>
          <w:i/>
          <w:iCs/>
          <w:color w:val="000000"/>
        </w:rPr>
        <w:t>International Journal of Applied Linguistics and Education, 7</w:t>
      </w:r>
      <w:r w:rsidR="005119B2" w:rsidRPr="007821AE">
        <w:rPr>
          <w:color w:val="000000"/>
        </w:rPr>
        <w:t>(1), 56–70.</w:t>
      </w:r>
    </w:p>
    <w:p w14:paraId="2E304270"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Estremera, M., Villanueva, R., &amp; Tortola, J. (2018). </w:t>
      </w:r>
      <w:r w:rsidRPr="007821AE">
        <w:rPr>
          <w:i/>
          <w:iCs/>
          <w:color w:val="000000"/>
        </w:rPr>
        <w:t>Home literacy environment and reading habits among Filipino adolescents</w:t>
      </w:r>
      <w:r w:rsidRPr="007821AE">
        <w:rPr>
          <w:color w:val="000000"/>
        </w:rPr>
        <w:t xml:space="preserve">. </w:t>
      </w:r>
      <w:r w:rsidRPr="007821AE">
        <w:rPr>
          <w:i/>
          <w:iCs/>
          <w:color w:val="000000"/>
        </w:rPr>
        <w:t>Philippine Educational Research Journal, 5</w:t>
      </w:r>
      <w:r w:rsidRPr="007821AE">
        <w:rPr>
          <w:color w:val="000000"/>
        </w:rPr>
        <w:t>(2), 33–47.</w:t>
      </w:r>
    </w:p>
    <w:p w14:paraId="0C7187C6" w14:textId="58959FC3" w:rsidR="005119B2" w:rsidRPr="007821AE" w:rsidRDefault="005119B2" w:rsidP="00D97720">
      <w:pPr>
        <w:pStyle w:val="NormalWeb"/>
        <w:spacing w:before="240" w:beforeAutospacing="0" w:after="240" w:afterAutospacing="0"/>
        <w:ind w:left="720" w:hanging="720"/>
        <w:jc w:val="both"/>
      </w:pPr>
      <w:r w:rsidRPr="007821AE">
        <w:rPr>
          <w:color w:val="000000"/>
        </w:rPr>
        <w:t xml:space="preserve">Gumber, P. (2023). </w:t>
      </w:r>
      <w:r w:rsidRPr="007821AE">
        <w:rPr>
          <w:i/>
          <w:iCs/>
          <w:color w:val="000000"/>
        </w:rPr>
        <w:t>Role of reading and listening in effective communication: An analytical study</w:t>
      </w:r>
      <w:r w:rsidRPr="007821AE">
        <w:rPr>
          <w:color w:val="000000"/>
        </w:rPr>
        <w:t xml:space="preserve">. </w:t>
      </w:r>
      <w:r w:rsidRPr="007821AE">
        <w:rPr>
          <w:i/>
          <w:iCs/>
          <w:color w:val="000000"/>
        </w:rPr>
        <w:t>Elementary Education Online, 20</w:t>
      </w:r>
      <w:r w:rsidRPr="007821AE">
        <w:rPr>
          <w:color w:val="000000"/>
        </w:rPr>
        <w:t>(6), 4982–4987.</w:t>
      </w:r>
      <w:r w:rsidRPr="007821AE">
        <w:t xml:space="preserve"> https://ilkogretim-online.org/index.php/pub/article/view/4178</w:t>
      </w:r>
    </w:p>
    <w:p w14:paraId="7A727C89"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Hemmings, B., Kay, R., &amp; Sharp, J. (2019a). </w:t>
      </w:r>
      <w:r w:rsidRPr="007821AE">
        <w:rPr>
          <w:i/>
          <w:iCs/>
          <w:color w:val="000000"/>
        </w:rPr>
        <w:t>Reading comprehension and academic performance: A longitudinal analysis</w:t>
      </w:r>
      <w:r w:rsidRPr="007821AE">
        <w:rPr>
          <w:color w:val="000000"/>
        </w:rPr>
        <w:t xml:space="preserve">. </w:t>
      </w:r>
      <w:r w:rsidRPr="007821AE">
        <w:rPr>
          <w:i/>
          <w:iCs/>
          <w:color w:val="000000"/>
        </w:rPr>
        <w:t>Educational Psychology, 39</w:t>
      </w:r>
      <w:r w:rsidRPr="007821AE">
        <w:rPr>
          <w:color w:val="000000"/>
        </w:rPr>
        <w:t>(4), 512–526.</w:t>
      </w:r>
    </w:p>
    <w:p w14:paraId="15208A29" w14:textId="7CA2C042" w:rsidR="005119B2" w:rsidRPr="007821AE" w:rsidRDefault="005119B2" w:rsidP="00D97720">
      <w:pPr>
        <w:pStyle w:val="NormalWeb"/>
        <w:spacing w:before="240" w:beforeAutospacing="0" w:after="240" w:afterAutospacing="0"/>
        <w:ind w:left="720" w:hanging="720"/>
        <w:jc w:val="both"/>
      </w:pPr>
      <w:r w:rsidRPr="007821AE">
        <w:rPr>
          <w:color w:val="000000"/>
        </w:rPr>
        <w:t xml:space="preserve">Hemmings, B., Kay, R., &amp; Sharp, J. (2019b). </w:t>
      </w:r>
      <w:r w:rsidRPr="007821AE">
        <w:rPr>
          <w:i/>
          <w:iCs/>
          <w:color w:val="000000"/>
        </w:rPr>
        <w:t>The long-term effects of literacy deficiencies on academic and career success</w:t>
      </w:r>
      <w:r w:rsidRPr="007821AE">
        <w:rPr>
          <w:color w:val="000000"/>
        </w:rPr>
        <w:t xml:space="preserve">. </w:t>
      </w:r>
      <w:r w:rsidRPr="007821AE">
        <w:rPr>
          <w:i/>
          <w:iCs/>
          <w:color w:val="000000"/>
        </w:rPr>
        <w:t>International Journal of Educational Development, 68</w:t>
      </w:r>
      <w:r w:rsidRPr="007821AE">
        <w:rPr>
          <w:color w:val="000000"/>
        </w:rPr>
        <w:t>, 1–9.</w:t>
      </w:r>
      <w:r w:rsidRPr="007821AE">
        <w:t xml:space="preserve"> https://doi.org/10.1016/j.ijedudev.2019.102233</w:t>
      </w:r>
    </w:p>
    <w:p w14:paraId="1C60FA13" w14:textId="1A807926" w:rsidR="005119B2" w:rsidRPr="007821AE" w:rsidRDefault="005119B2" w:rsidP="00D97720">
      <w:pPr>
        <w:pStyle w:val="NormalWeb"/>
        <w:spacing w:before="240" w:beforeAutospacing="0" w:after="240" w:afterAutospacing="0"/>
        <w:ind w:left="720" w:hanging="720"/>
        <w:jc w:val="both"/>
      </w:pPr>
      <w:proofErr w:type="spellStart"/>
      <w:r w:rsidRPr="007821AE">
        <w:rPr>
          <w:color w:val="000000"/>
        </w:rPr>
        <w:t>Hewi</w:t>
      </w:r>
      <w:proofErr w:type="spellEnd"/>
      <w:r w:rsidRPr="007821AE">
        <w:rPr>
          <w:color w:val="000000"/>
        </w:rPr>
        <w:t xml:space="preserve">, L., &amp; Shaleh, M. (2020). </w:t>
      </w:r>
      <w:r w:rsidRPr="007821AE">
        <w:rPr>
          <w:i/>
          <w:iCs/>
          <w:color w:val="000000"/>
        </w:rPr>
        <w:t>The impact of PISA results on education policy: A global perspective</w:t>
      </w:r>
      <w:r w:rsidRPr="007821AE">
        <w:rPr>
          <w:color w:val="000000"/>
        </w:rPr>
        <w:t xml:space="preserve">. </w:t>
      </w:r>
      <w:r w:rsidRPr="007821AE">
        <w:rPr>
          <w:i/>
          <w:iCs/>
          <w:color w:val="000000"/>
        </w:rPr>
        <w:t>Journal of Education Research and Evaluation, 4</w:t>
      </w:r>
      <w:r w:rsidRPr="007821AE">
        <w:rPr>
          <w:color w:val="000000"/>
        </w:rPr>
        <w:t>(3), 243–250.</w:t>
      </w:r>
      <w:r w:rsidRPr="007821AE">
        <w:t xml:space="preserve"> https://doi.org/10.23887/jere.v4i3.25810</w:t>
      </w:r>
    </w:p>
    <w:p w14:paraId="4F6660B3" w14:textId="77777777" w:rsidR="005119B2" w:rsidRPr="007821AE" w:rsidRDefault="005119B2" w:rsidP="00D97720">
      <w:pPr>
        <w:pStyle w:val="NormalWeb"/>
        <w:spacing w:before="240" w:beforeAutospacing="0" w:after="240" w:afterAutospacing="0"/>
        <w:ind w:left="720" w:hanging="720"/>
        <w:jc w:val="both"/>
      </w:pPr>
      <w:proofErr w:type="spellStart"/>
      <w:r w:rsidRPr="007821AE">
        <w:rPr>
          <w:color w:val="000000"/>
        </w:rPr>
        <w:t>Hewi</w:t>
      </w:r>
      <w:proofErr w:type="spellEnd"/>
      <w:r w:rsidRPr="007821AE">
        <w:rPr>
          <w:color w:val="000000"/>
        </w:rPr>
        <w:t xml:space="preserve">, N., &amp; Shaleh, M. (2020). </w:t>
      </w:r>
      <w:r w:rsidRPr="007821AE">
        <w:rPr>
          <w:i/>
          <w:iCs/>
          <w:color w:val="000000"/>
        </w:rPr>
        <w:t>Reading proficiency and literacy development in Southeast Asia: Lessons from PISA</w:t>
      </w:r>
      <w:r w:rsidRPr="007821AE">
        <w:rPr>
          <w:color w:val="000000"/>
        </w:rPr>
        <w:t xml:space="preserve">. </w:t>
      </w:r>
      <w:r w:rsidRPr="007821AE">
        <w:rPr>
          <w:i/>
          <w:iCs/>
          <w:color w:val="000000"/>
        </w:rPr>
        <w:t>International Journal of Educational Studies, 14</w:t>
      </w:r>
      <w:r w:rsidRPr="007821AE">
        <w:rPr>
          <w:color w:val="000000"/>
        </w:rPr>
        <w:t>(2), 88–97.</w:t>
      </w:r>
    </w:p>
    <w:p w14:paraId="25989CE7"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Kress, G. (2010). </w:t>
      </w:r>
      <w:r w:rsidRPr="007821AE">
        <w:rPr>
          <w:i/>
          <w:iCs/>
          <w:color w:val="000000"/>
        </w:rPr>
        <w:t>Multimodality: A social semiotic approach to contemporary communication</w:t>
      </w:r>
      <w:r w:rsidRPr="007821AE">
        <w:rPr>
          <w:color w:val="000000"/>
        </w:rPr>
        <w:t>. Routledge.</w:t>
      </w:r>
    </w:p>
    <w:p w14:paraId="6AC816A4" w14:textId="1DC9CD5F" w:rsidR="005119B2" w:rsidRPr="007821AE" w:rsidRDefault="005119B2" w:rsidP="00D97720">
      <w:pPr>
        <w:pStyle w:val="NormalWeb"/>
        <w:spacing w:before="240" w:beforeAutospacing="0" w:after="240" w:afterAutospacing="0"/>
        <w:ind w:left="720" w:hanging="720"/>
        <w:jc w:val="both"/>
      </w:pPr>
      <w:proofErr w:type="spellStart"/>
      <w:r w:rsidRPr="007821AE">
        <w:rPr>
          <w:color w:val="000000"/>
        </w:rPr>
        <w:lastRenderedPageBreak/>
        <w:t>Librea</w:t>
      </w:r>
      <w:proofErr w:type="spellEnd"/>
      <w:r w:rsidRPr="007821AE">
        <w:rPr>
          <w:color w:val="000000"/>
        </w:rPr>
        <w:t xml:space="preserve">, N. K., Luciano, A. M., Sacamay, M. L., Libres, M. D., &amp; Cabanilla, A., Jr. (2023). </w:t>
      </w:r>
      <w:r w:rsidRPr="007821AE">
        <w:rPr>
          <w:i/>
          <w:iCs/>
          <w:color w:val="000000"/>
        </w:rPr>
        <w:t>Low reading literacy skills of elementary pupils in the Philippines: Systematic review</w:t>
      </w:r>
      <w:r w:rsidRPr="007821AE">
        <w:rPr>
          <w:color w:val="000000"/>
        </w:rPr>
        <w:t xml:space="preserve">. </w:t>
      </w:r>
      <w:r w:rsidRPr="007821AE">
        <w:rPr>
          <w:i/>
          <w:iCs/>
          <w:color w:val="000000"/>
        </w:rPr>
        <w:t>International Journal for Research in Applied Science and Engineering Technology (IJRASET)</w:t>
      </w:r>
      <w:r w:rsidRPr="007821AE">
        <w:rPr>
          <w:color w:val="000000"/>
        </w:rPr>
        <w:t>.</w:t>
      </w:r>
      <w:r w:rsidRPr="007821AE">
        <w:t xml:space="preserve"> https://doi.org/10.22214/ijraset.2023.49480</w:t>
      </w:r>
    </w:p>
    <w:p w14:paraId="191991C8"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Luzano, A., </w:t>
      </w:r>
      <w:proofErr w:type="spellStart"/>
      <w:r w:rsidRPr="007821AE">
        <w:rPr>
          <w:color w:val="000000"/>
        </w:rPr>
        <w:t>Binayao</w:t>
      </w:r>
      <w:proofErr w:type="spellEnd"/>
      <w:r w:rsidRPr="007821AE">
        <w:rPr>
          <w:color w:val="000000"/>
        </w:rPr>
        <w:t xml:space="preserve">, C., &amp; </w:t>
      </w:r>
      <w:proofErr w:type="spellStart"/>
      <w:r w:rsidRPr="007821AE">
        <w:rPr>
          <w:color w:val="000000"/>
        </w:rPr>
        <w:t>Peligrino</w:t>
      </w:r>
      <w:proofErr w:type="spellEnd"/>
      <w:r w:rsidRPr="007821AE">
        <w:rPr>
          <w:color w:val="000000"/>
        </w:rPr>
        <w:t xml:space="preserve">, J. (2024). </w:t>
      </w:r>
      <w:r w:rsidRPr="007821AE">
        <w:rPr>
          <w:i/>
          <w:iCs/>
          <w:color w:val="000000"/>
        </w:rPr>
        <w:t>National reading proficiency trends among Filipino learners: A comparative analysis of PISA and DepEd assessments</w:t>
      </w:r>
      <w:r w:rsidRPr="007821AE">
        <w:rPr>
          <w:color w:val="000000"/>
        </w:rPr>
        <w:t xml:space="preserve">. </w:t>
      </w:r>
      <w:r w:rsidRPr="007821AE">
        <w:rPr>
          <w:i/>
          <w:iCs/>
          <w:color w:val="000000"/>
        </w:rPr>
        <w:t>Philippine Journal of Educational Measurement, 11</w:t>
      </w:r>
      <w:r w:rsidRPr="007821AE">
        <w:rPr>
          <w:color w:val="000000"/>
        </w:rPr>
        <w:t>(1), 67–82.</w:t>
      </w:r>
    </w:p>
    <w:p w14:paraId="04FA7768"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Luzano, J., </w:t>
      </w:r>
      <w:proofErr w:type="spellStart"/>
      <w:r w:rsidRPr="007821AE">
        <w:rPr>
          <w:color w:val="000000"/>
        </w:rPr>
        <w:t>Binayao</w:t>
      </w:r>
      <w:proofErr w:type="spellEnd"/>
      <w:r w:rsidRPr="007821AE">
        <w:rPr>
          <w:color w:val="000000"/>
        </w:rPr>
        <w:t xml:space="preserve">, R., &amp; </w:t>
      </w:r>
      <w:proofErr w:type="spellStart"/>
      <w:r w:rsidRPr="007821AE">
        <w:rPr>
          <w:color w:val="000000"/>
        </w:rPr>
        <w:t>Peligrino</w:t>
      </w:r>
      <w:proofErr w:type="spellEnd"/>
      <w:r w:rsidRPr="007821AE">
        <w:rPr>
          <w:color w:val="000000"/>
        </w:rPr>
        <w:t xml:space="preserve">, M. (2024). </w:t>
      </w:r>
      <w:r w:rsidRPr="007821AE">
        <w:rPr>
          <w:i/>
          <w:iCs/>
          <w:color w:val="000000"/>
        </w:rPr>
        <w:t>Literacy challenges in Southeast Asia: A comparative study of reading comprehension levels</w:t>
      </w:r>
      <w:r w:rsidRPr="007821AE">
        <w:rPr>
          <w:color w:val="000000"/>
        </w:rPr>
        <w:t xml:space="preserve">. </w:t>
      </w:r>
      <w:r w:rsidRPr="007821AE">
        <w:rPr>
          <w:i/>
          <w:iCs/>
          <w:color w:val="000000"/>
        </w:rPr>
        <w:t>Asian Journal of Education and Social Studies, 12</w:t>
      </w:r>
      <w:r w:rsidRPr="007821AE">
        <w:rPr>
          <w:color w:val="000000"/>
        </w:rPr>
        <w:t>(4), 55–67.</w:t>
      </w:r>
    </w:p>
    <w:p w14:paraId="17C38AC7" w14:textId="5D993EA4" w:rsidR="005119B2" w:rsidRPr="007821AE" w:rsidRDefault="005119B2" w:rsidP="00D97720">
      <w:pPr>
        <w:pStyle w:val="NormalWeb"/>
        <w:spacing w:before="240" w:beforeAutospacing="0" w:after="240" w:afterAutospacing="0"/>
        <w:ind w:left="720" w:hanging="720"/>
        <w:jc w:val="both"/>
      </w:pPr>
      <w:r w:rsidRPr="007821AE">
        <w:rPr>
          <w:color w:val="000000"/>
        </w:rPr>
        <w:t xml:space="preserve">Machete, T., </w:t>
      </w:r>
      <w:proofErr w:type="spellStart"/>
      <w:r w:rsidRPr="007821AE">
        <w:rPr>
          <w:color w:val="000000"/>
        </w:rPr>
        <w:t>Motlhaka</w:t>
      </w:r>
      <w:proofErr w:type="spellEnd"/>
      <w:r w:rsidRPr="007821AE">
        <w:rPr>
          <w:color w:val="000000"/>
        </w:rPr>
        <w:t xml:space="preserve">, H., &amp; Chauke, T. (2025). </w:t>
      </w:r>
      <w:r w:rsidRPr="007821AE">
        <w:rPr>
          <w:i/>
          <w:iCs/>
          <w:color w:val="000000"/>
        </w:rPr>
        <w:t>Effects of multimodal texts on Grade 7 learners’ intensive reading of literature texts in English first additional language classroom</w:t>
      </w:r>
      <w:r w:rsidRPr="007821AE">
        <w:rPr>
          <w:color w:val="000000"/>
        </w:rPr>
        <w:t xml:space="preserve">. </w:t>
      </w:r>
      <w:r w:rsidRPr="007821AE">
        <w:rPr>
          <w:i/>
          <w:iCs/>
          <w:color w:val="000000"/>
        </w:rPr>
        <w:t>Journal of Education and Learning Technology, 6</w:t>
      </w:r>
      <w:r w:rsidRPr="007821AE">
        <w:rPr>
          <w:color w:val="000000"/>
        </w:rPr>
        <w:t>(11), 1191–1200.</w:t>
      </w:r>
      <w:r w:rsidRPr="007821AE">
        <w:t xml:space="preserve"> https://doi.org/10.38159/jelt.202561110</w:t>
      </w:r>
    </w:p>
    <w:p w14:paraId="43AFBE66"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Mayer, R. E. (2009). </w:t>
      </w:r>
      <w:r w:rsidRPr="007821AE">
        <w:rPr>
          <w:i/>
          <w:iCs/>
          <w:color w:val="000000"/>
        </w:rPr>
        <w:t>Multimedia learning</w:t>
      </w:r>
      <w:r w:rsidRPr="007821AE">
        <w:rPr>
          <w:color w:val="000000"/>
        </w:rPr>
        <w:t xml:space="preserve"> (2nd ed.). Cambridge University Press.</w:t>
      </w:r>
    </w:p>
    <w:p w14:paraId="48281B2F" w14:textId="67D8A318" w:rsidR="005119B2" w:rsidRPr="007821AE" w:rsidRDefault="005119B2" w:rsidP="00D97720">
      <w:pPr>
        <w:pStyle w:val="NormalWeb"/>
        <w:spacing w:before="240" w:beforeAutospacing="0" w:after="240" w:afterAutospacing="0"/>
        <w:ind w:left="720" w:hanging="720"/>
        <w:jc w:val="both"/>
      </w:pPr>
      <w:proofErr w:type="spellStart"/>
      <w:r w:rsidRPr="007821AE">
        <w:rPr>
          <w:color w:val="000000"/>
        </w:rPr>
        <w:t>Organisation</w:t>
      </w:r>
      <w:proofErr w:type="spellEnd"/>
      <w:r w:rsidRPr="007821AE">
        <w:rPr>
          <w:color w:val="000000"/>
        </w:rPr>
        <w:t xml:space="preserve"> for Economic Co-operation and Development. (2019). </w:t>
      </w:r>
      <w:r w:rsidRPr="007821AE">
        <w:rPr>
          <w:i/>
          <w:iCs/>
          <w:color w:val="000000"/>
        </w:rPr>
        <w:t>PISA 2018 results</w:t>
      </w:r>
      <w:r w:rsidRPr="007821AE">
        <w:rPr>
          <w:color w:val="000000"/>
        </w:rPr>
        <w:t xml:space="preserve"> (Vols. I–III). OECD Publishing.</w:t>
      </w:r>
      <w:r w:rsidRPr="007821AE">
        <w:t xml:space="preserve"> https://www.oecd.org/pisa/publications/pisa-2018-results.htm</w:t>
      </w:r>
    </w:p>
    <w:p w14:paraId="45A7A288"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Skinner, B. F. (1938). </w:t>
      </w:r>
      <w:r w:rsidRPr="007821AE">
        <w:rPr>
          <w:i/>
          <w:iCs/>
          <w:color w:val="000000"/>
        </w:rPr>
        <w:t>The behavior of organisms: An experimental analysis</w:t>
      </w:r>
      <w:r w:rsidRPr="007821AE">
        <w:rPr>
          <w:color w:val="000000"/>
        </w:rPr>
        <w:t>. Appleton-Century-Crofts.</w:t>
      </w:r>
    </w:p>
    <w:p w14:paraId="4B1307AF" w14:textId="4C466BD5" w:rsidR="005119B2" w:rsidRPr="007821AE" w:rsidRDefault="00232C5E" w:rsidP="00D97720">
      <w:pPr>
        <w:pStyle w:val="NormalWeb"/>
        <w:spacing w:before="240" w:beforeAutospacing="0" w:after="240" w:afterAutospacing="0"/>
        <w:ind w:left="720" w:hanging="720"/>
        <w:jc w:val="both"/>
      </w:pPr>
      <w:r>
        <w:rPr>
          <w:noProof/>
          <w:color w:val="000000"/>
        </w:rPr>
        <mc:AlternateContent>
          <mc:Choice Requires="wps">
            <w:drawing>
              <wp:anchor distT="0" distB="0" distL="114300" distR="114300" simplePos="0" relativeHeight="251668480" behindDoc="0" locked="0" layoutInCell="1" allowOverlap="1" wp14:anchorId="44A3A604" wp14:editId="0996B428">
                <wp:simplePos x="0" y="0"/>
                <wp:positionH relativeFrom="column">
                  <wp:posOffset>2867025</wp:posOffset>
                </wp:positionH>
                <wp:positionV relativeFrom="paragraph">
                  <wp:posOffset>707390</wp:posOffset>
                </wp:positionV>
                <wp:extent cx="419100" cy="323850"/>
                <wp:effectExtent l="0" t="0" r="0" b="0"/>
                <wp:wrapNone/>
                <wp:docPr id="1011628882" name="Text Box 11"/>
                <wp:cNvGraphicFramePr/>
                <a:graphic xmlns:a="http://schemas.openxmlformats.org/drawingml/2006/main">
                  <a:graphicData uri="http://schemas.microsoft.com/office/word/2010/wordprocessingShape">
                    <wps:wsp>
                      <wps:cNvSpPr txBox="1"/>
                      <wps:spPr>
                        <a:xfrm>
                          <a:off x="0" y="0"/>
                          <a:ext cx="419100" cy="323850"/>
                        </a:xfrm>
                        <a:prstGeom prst="rect">
                          <a:avLst/>
                        </a:prstGeom>
                        <a:solidFill>
                          <a:schemeClr val="lt1"/>
                        </a:solidFill>
                        <a:ln w="6350">
                          <a:noFill/>
                        </a:ln>
                      </wps:spPr>
                      <wps:txbx>
                        <w:txbxContent>
                          <w:p w14:paraId="18823B29" w14:textId="6E4BC2DF" w:rsidR="00232C5E" w:rsidRDefault="00232C5E" w:rsidP="00232C5E">
                            <w:r>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10</w:t>
                            </w:r>
                          </w:p>
                          <w:p w14:paraId="4EFAB58F" w14:textId="77777777" w:rsidR="00232C5E" w:rsidRDefault="00232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A3A604" id="Text Box 11" o:spid="_x0000_s1036" type="#_x0000_t202" style="position:absolute;left:0;text-align:left;margin-left:225.75pt;margin-top:55.7pt;width:33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PsLgIAAFsEAAAOAAAAZHJzL2Uyb0RvYy54bWysVEtv2zAMvg/YfxB0Xxwna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" fillcolor="white [3201]" stroked="f" strokeweight=".5pt">
                <v:textbox>
                  <w:txbxContent>
                    <w:p w14:paraId="18823B29" w14:textId="6E4BC2DF" w:rsidR="00232C5E" w:rsidRDefault="00232C5E" w:rsidP="00232C5E">
                      <w:r>
                        <w:rPr>
                          <w:rFonts w:ascii="Times New Roman" w:hAnsi="Times New Roman" w:cs="Times New Roman"/>
                          <w:color w:val="595959" w:themeColor="text1" w:themeTint="A6"/>
                          <w:sz w:val="24"/>
                          <w:szCs w:val="24"/>
                        </w:rPr>
                        <w:t xml:space="preserve">  </w:t>
                      </w:r>
                      <w:r>
                        <w:rPr>
                          <w:rFonts w:ascii="Times New Roman" w:hAnsi="Times New Roman" w:cs="Times New Roman"/>
                          <w:color w:val="595959" w:themeColor="text1" w:themeTint="A6"/>
                          <w:sz w:val="24"/>
                          <w:szCs w:val="24"/>
                        </w:rPr>
                        <w:t>10</w:t>
                      </w:r>
                    </w:p>
                    <w:p w14:paraId="4EFAB58F" w14:textId="77777777" w:rsidR="00232C5E" w:rsidRDefault="00232C5E"/>
                  </w:txbxContent>
                </v:textbox>
              </v:shape>
            </w:pict>
          </mc:Fallback>
        </mc:AlternateContent>
      </w:r>
      <w:proofErr w:type="spellStart"/>
      <w:r w:rsidR="005119B2" w:rsidRPr="007821AE">
        <w:rPr>
          <w:color w:val="000000"/>
        </w:rPr>
        <w:t>Tolibas</w:t>
      </w:r>
      <w:proofErr w:type="spellEnd"/>
      <w:r w:rsidR="005119B2" w:rsidRPr="007821AE">
        <w:rPr>
          <w:color w:val="000000"/>
        </w:rPr>
        <w:t xml:space="preserve">, M. C. J. (2025). </w:t>
      </w:r>
      <w:r w:rsidR="005119B2" w:rsidRPr="007821AE">
        <w:rPr>
          <w:i/>
          <w:iCs/>
          <w:color w:val="000000"/>
        </w:rPr>
        <w:t xml:space="preserve">Assessing the reading skills of intermediate graders using the </w:t>
      </w:r>
      <w:r w:rsidR="005119B2" w:rsidRPr="007821AE">
        <w:rPr>
          <w:i/>
          <w:iCs/>
          <w:color w:val="000000"/>
        </w:rPr>
        <w:t>Philippine Informal Reading Inventory (Phil-IRI): Insights for teachers</w:t>
      </w:r>
      <w:r w:rsidR="005119B2" w:rsidRPr="007821AE">
        <w:rPr>
          <w:color w:val="000000"/>
        </w:rPr>
        <w:t xml:space="preserve">. </w:t>
      </w:r>
      <w:r w:rsidR="005119B2" w:rsidRPr="007821AE">
        <w:rPr>
          <w:i/>
          <w:iCs/>
          <w:color w:val="000000"/>
        </w:rPr>
        <w:t>International Journal of Education Humanities and Social Science, 8</w:t>
      </w:r>
      <w:r w:rsidR="005119B2" w:rsidRPr="007821AE">
        <w:rPr>
          <w:color w:val="000000"/>
        </w:rPr>
        <w:t>(1), 87–99.</w:t>
      </w:r>
      <w:r w:rsidR="005119B2" w:rsidRPr="007821AE">
        <w:t xml:space="preserve"> https://doi.org/10.54922/IJEHSS.2025.0887</w:t>
      </w:r>
    </w:p>
    <w:p w14:paraId="341A9AF8"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Tortola, J. (2021). </w:t>
      </w:r>
      <w:r w:rsidRPr="007821AE">
        <w:rPr>
          <w:i/>
          <w:iCs/>
          <w:color w:val="000000"/>
        </w:rPr>
        <w:t>Reading comprehension difficulties among Filipino students: Causes and interventions</w:t>
      </w:r>
      <w:r w:rsidRPr="007821AE">
        <w:rPr>
          <w:color w:val="000000"/>
        </w:rPr>
        <w:t xml:space="preserve">. </w:t>
      </w:r>
      <w:r w:rsidRPr="007821AE">
        <w:rPr>
          <w:i/>
          <w:iCs/>
          <w:color w:val="000000"/>
        </w:rPr>
        <w:t>Philippine Educational Review, 8</w:t>
      </w:r>
      <w:r w:rsidRPr="007821AE">
        <w:rPr>
          <w:color w:val="000000"/>
        </w:rPr>
        <w:t>(2), 45–59.</w:t>
      </w:r>
    </w:p>
    <w:p w14:paraId="7BB7E020"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Villanueva, R. (2022a). </w:t>
      </w:r>
      <w:r w:rsidRPr="007821AE">
        <w:rPr>
          <w:i/>
          <w:iCs/>
          <w:color w:val="000000"/>
        </w:rPr>
        <w:t>DepEd reading assessment report: Addressing comprehension gaps in secondary education</w:t>
      </w:r>
      <w:r w:rsidRPr="007821AE">
        <w:rPr>
          <w:color w:val="000000"/>
        </w:rPr>
        <w:t xml:space="preserve">. </w:t>
      </w:r>
      <w:r w:rsidRPr="007821AE">
        <w:rPr>
          <w:i/>
          <w:iCs/>
          <w:color w:val="000000"/>
        </w:rPr>
        <w:t>Department of Education Research Bulletin, 4</w:t>
      </w:r>
      <w:r w:rsidRPr="007821AE">
        <w:rPr>
          <w:color w:val="000000"/>
        </w:rPr>
        <w:t>(3), 12–19.</w:t>
      </w:r>
    </w:p>
    <w:p w14:paraId="581E2921"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Villanueva, R. (2022b). </w:t>
      </w:r>
      <w:r w:rsidRPr="007821AE">
        <w:rPr>
          <w:i/>
          <w:iCs/>
          <w:color w:val="000000"/>
        </w:rPr>
        <w:t>Teacher preparedness and reading comprehension outcomes in Philippine classrooms</w:t>
      </w:r>
      <w:r w:rsidRPr="007821AE">
        <w:rPr>
          <w:color w:val="000000"/>
        </w:rPr>
        <w:t xml:space="preserve">. </w:t>
      </w:r>
      <w:r w:rsidRPr="007821AE">
        <w:rPr>
          <w:i/>
          <w:iCs/>
          <w:color w:val="000000"/>
        </w:rPr>
        <w:t>Philippine Journal of Language and Literacy Education, 5</w:t>
      </w:r>
      <w:r w:rsidRPr="007821AE">
        <w:rPr>
          <w:color w:val="000000"/>
        </w:rPr>
        <w:t>(2), 101–115.</w:t>
      </w:r>
    </w:p>
    <w:p w14:paraId="181CBA6C" w14:textId="77777777" w:rsidR="005119B2" w:rsidRPr="007821AE" w:rsidRDefault="005119B2" w:rsidP="00D97720">
      <w:pPr>
        <w:pStyle w:val="NormalWeb"/>
        <w:spacing w:before="240" w:beforeAutospacing="0" w:after="240" w:afterAutospacing="0"/>
        <w:ind w:left="720" w:hanging="720"/>
        <w:jc w:val="both"/>
      </w:pPr>
      <w:r w:rsidRPr="007821AE">
        <w:rPr>
          <w:color w:val="000000"/>
        </w:rPr>
        <w:t xml:space="preserve">Vygotsky, L. S. (1978). </w:t>
      </w:r>
      <w:r w:rsidRPr="007821AE">
        <w:rPr>
          <w:i/>
          <w:iCs/>
          <w:color w:val="000000"/>
        </w:rPr>
        <w:t>Mind in society: The development of higher psychological processes</w:t>
      </w:r>
      <w:r w:rsidRPr="007821AE">
        <w:rPr>
          <w:color w:val="000000"/>
        </w:rPr>
        <w:t>. Harvard University Press.</w:t>
      </w:r>
    </w:p>
    <w:p w14:paraId="25B99D2E" w14:textId="77777777" w:rsidR="001C7FEE" w:rsidRPr="007821AE" w:rsidRDefault="001C7FEE" w:rsidP="00D97720">
      <w:pPr>
        <w:spacing w:line="240" w:lineRule="auto"/>
        <w:rPr>
          <w:rFonts w:ascii="Times New Roman" w:hAnsi="Times New Roman" w:cs="Times New Roman"/>
          <w:b/>
          <w:bCs/>
          <w:sz w:val="24"/>
          <w:szCs w:val="24"/>
        </w:rPr>
      </w:pPr>
    </w:p>
    <w:sectPr w:rsidR="001C7FEE" w:rsidRPr="007821AE" w:rsidSect="00543817">
      <w:footerReference w:type="default" r:id="rId10"/>
      <w:type w:val="continuous"/>
      <w:pgSz w:w="11906" w:h="16838"/>
      <w:pgMar w:top="1440" w:right="1080" w:bottom="1440" w:left="1080" w:header="720" w:footer="720"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6875A" w14:textId="77777777" w:rsidR="000D25B3" w:rsidRDefault="000D25B3" w:rsidP="009B6BBC">
      <w:pPr>
        <w:spacing w:line="240" w:lineRule="auto"/>
      </w:pPr>
      <w:r>
        <w:separator/>
      </w:r>
    </w:p>
  </w:endnote>
  <w:endnote w:type="continuationSeparator" w:id="0">
    <w:p w14:paraId="7C877123" w14:textId="77777777" w:rsidR="000D25B3" w:rsidRDefault="000D25B3" w:rsidP="009B6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2FB944F-54AC-495E-BD0F-ADA42C3A487D}"/>
  </w:font>
  <w:font w:name="Cambria">
    <w:panose1 w:val="02040503050406030204"/>
    <w:charset w:val="00"/>
    <w:family w:val="roman"/>
    <w:pitch w:val="variable"/>
    <w:sig w:usb0="E00006FF" w:usb1="420024FF" w:usb2="02000000" w:usb3="00000000" w:csb0="0000019F" w:csb1="00000000"/>
    <w:embedRegular r:id="rId2" w:fontKey="{41E8752A-9C56-41A4-8377-AE13ADB9F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2B688" w14:textId="138E2265" w:rsidR="00195AE7" w:rsidRDefault="00195AE7" w:rsidP="00D2203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AF19" w14:textId="56094EF6" w:rsidR="00195AE7" w:rsidRDefault="00195AE7" w:rsidP="00D2203A">
    <w:pPr>
      <w:pStyle w:val="Footer"/>
    </w:pPr>
  </w:p>
  <w:p w14:paraId="5752458C" w14:textId="77777777" w:rsidR="00195AE7" w:rsidRDefault="00195A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E8E29" w14:textId="2F3DDB96" w:rsidR="00195AE7" w:rsidRDefault="00195AE7">
    <w:pPr>
      <w:pStyle w:val="Footer"/>
      <w:jc w:val="center"/>
    </w:pPr>
  </w:p>
  <w:p w14:paraId="51B082FA" w14:textId="77777777" w:rsidR="00195AE7" w:rsidRDefault="00195A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6234B" w14:textId="6CEAB3AC" w:rsidR="00D2203A" w:rsidRDefault="00D2203A">
    <w:pPr>
      <w:pStyle w:val="Footer"/>
      <w:jc w:val="center"/>
    </w:pPr>
  </w:p>
  <w:p w14:paraId="3C339C7A" w14:textId="763AC26D" w:rsidR="00195AE7" w:rsidRDefault="00195AE7" w:rsidP="00D2203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734DE" w14:textId="77777777" w:rsidR="000D25B3" w:rsidRDefault="000D25B3" w:rsidP="009B6BBC">
      <w:pPr>
        <w:spacing w:line="240" w:lineRule="auto"/>
      </w:pPr>
      <w:r>
        <w:separator/>
      </w:r>
    </w:p>
  </w:footnote>
  <w:footnote w:type="continuationSeparator" w:id="0">
    <w:p w14:paraId="4DF42A30" w14:textId="77777777" w:rsidR="000D25B3" w:rsidRDefault="000D25B3" w:rsidP="009B6B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A156D"/>
    <w:multiLevelType w:val="hybridMultilevel"/>
    <w:tmpl w:val="4A1C9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583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EE"/>
    <w:rsid w:val="000111CA"/>
    <w:rsid w:val="000D25B3"/>
    <w:rsid w:val="00110A90"/>
    <w:rsid w:val="00195AE7"/>
    <w:rsid w:val="001C7FEE"/>
    <w:rsid w:val="0020565E"/>
    <w:rsid w:val="00206C7E"/>
    <w:rsid w:val="00232C5E"/>
    <w:rsid w:val="00233BBC"/>
    <w:rsid w:val="002E4D14"/>
    <w:rsid w:val="00314A11"/>
    <w:rsid w:val="00391829"/>
    <w:rsid w:val="00463B24"/>
    <w:rsid w:val="00464E59"/>
    <w:rsid w:val="004E0A0E"/>
    <w:rsid w:val="005119B2"/>
    <w:rsid w:val="00543817"/>
    <w:rsid w:val="00594279"/>
    <w:rsid w:val="005D3677"/>
    <w:rsid w:val="005E7561"/>
    <w:rsid w:val="005F6C41"/>
    <w:rsid w:val="006B5181"/>
    <w:rsid w:val="006D41FE"/>
    <w:rsid w:val="00725BD8"/>
    <w:rsid w:val="007374E6"/>
    <w:rsid w:val="007821AE"/>
    <w:rsid w:val="007C20B6"/>
    <w:rsid w:val="00825BB7"/>
    <w:rsid w:val="008F14DD"/>
    <w:rsid w:val="009123F2"/>
    <w:rsid w:val="00970555"/>
    <w:rsid w:val="009B6BBC"/>
    <w:rsid w:val="009C6C60"/>
    <w:rsid w:val="009E5AB0"/>
    <w:rsid w:val="00A978C3"/>
    <w:rsid w:val="00C63912"/>
    <w:rsid w:val="00D2203A"/>
    <w:rsid w:val="00D577B3"/>
    <w:rsid w:val="00D87EA0"/>
    <w:rsid w:val="00D97720"/>
    <w:rsid w:val="00DA2AAC"/>
    <w:rsid w:val="00E2543C"/>
    <w:rsid w:val="00EB5C56"/>
    <w:rsid w:val="00EE4A17"/>
    <w:rsid w:val="00F05C70"/>
    <w:rsid w:val="00F37A4B"/>
    <w:rsid w:val="00FD2F0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38BC0"/>
  <w15:docId w15:val="{CAF22274-E836-4109-963A-23FF30EA3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5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NormalWeb">
    <w:name w:val="Normal (Web)"/>
    <w:basedOn w:val="Normal"/>
    <w:uiPriority w:val="99"/>
    <w:unhideWhenUsed/>
    <w:rsid w:val="005119B2"/>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Hyperlink">
    <w:name w:val="Hyperlink"/>
    <w:basedOn w:val="DefaultParagraphFont"/>
    <w:uiPriority w:val="99"/>
    <w:semiHidden/>
    <w:unhideWhenUsed/>
    <w:rsid w:val="005119B2"/>
    <w:rPr>
      <w:color w:val="0000FF"/>
      <w:u w:val="single"/>
    </w:rPr>
  </w:style>
  <w:style w:type="paragraph" w:styleId="Header">
    <w:name w:val="header"/>
    <w:basedOn w:val="Normal"/>
    <w:link w:val="HeaderChar"/>
    <w:uiPriority w:val="99"/>
    <w:unhideWhenUsed/>
    <w:rsid w:val="009B6BBC"/>
    <w:pPr>
      <w:tabs>
        <w:tab w:val="center" w:pos="4680"/>
        <w:tab w:val="right" w:pos="9360"/>
      </w:tabs>
      <w:spacing w:line="240" w:lineRule="auto"/>
    </w:pPr>
  </w:style>
  <w:style w:type="character" w:customStyle="1" w:styleId="HeaderChar">
    <w:name w:val="Header Char"/>
    <w:basedOn w:val="DefaultParagraphFont"/>
    <w:link w:val="Header"/>
    <w:uiPriority w:val="99"/>
    <w:rsid w:val="009B6BBC"/>
  </w:style>
  <w:style w:type="paragraph" w:styleId="Footer">
    <w:name w:val="footer"/>
    <w:basedOn w:val="Normal"/>
    <w:link w:val="FooterChar"/>
    <w:uiPriority w:val="99"/>
    <w:unhideWhenUsed/>
    <w:rsid w:val="009B6BBC"/>
    <w:pPr>
      <w:tabs>
        <w:tab w:val="center" w:pos="4680"/>
        <w:tab w:val="right" w:pos="9360"/>
      </w:tabs>
      <w:spacing w:line="240" w:lineRule="auto"/>
    </w:pPr>
  </w:style>
  <w:style w:type="character" w:customStyle="1" w:styleId="FooterChar">
    <w:name w:val="Footer Char"/>
    <w:basedOn w:val="DefaultParagraphFont"/>
    <w:link w:val="Footer"/>
    <w:uiPriority w:val="99"/>
    <w:rsid w:val="009B6BBC"/>
  </w:style>
  <w:style w:type="character" w:customStyle="1" w:styleId="whitespace-normal">
    <w:name w:val="whitespace-normal"/>
    <w:basedOn w:val="DefaultParagraphFont"/>
    <w:rsid w:val="00233BBC"/>
  </w:style>
  <w:style w:type="character" w:styleId="Strong">
    <w:name w:val="Strong"/>
    <w:basedOn w:val="DefaultParagraphFont"/>
    <w:uiPriority w:val="22"/>
    <w:qFormat/>
    <w:rsid w:val="00912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8580">
      <w:bodyDiv w:val="1"/>
      <w:marLeft w:val="0"/>
      <w:marRight w:val="0"/>
      <w:marTop w:val="0"/>
      <w:marBottom w:val="0"/>
      <w:divBdr>
        <w:top w:val="none" w:sz="0" w:space="0" w:color="auto"/>
        <w:left w:val="none" w:sz="0" w:space="0" w:color="auto"/>
        <w:bottom w:val="none" w:sz="0" w:space="0" w:color="auto"/>
        <w:right w:val="none" w:sz="0" w:space="0" w:color="auto"/>
      </w:divBdr>
      <w:divsChild>
        <w:div w:id="187371881">
          <w:marLeft w:val="0"/>
          <w:marRight w:val="0"/>
          <w:marTop w:val="0"/>
          <w:marBottom w:val="0"/>
          <w:divBdr>
            <w:top w:val="none" w:sz="0" w:space="0" w:color="auto"/>
            <w:left w:val="none" w:sz="0" w:space="0" w:color="auto"/>
            <w:bottom w:val="none" w:sz="0" w:space="0" w:color="auto"/>
            <w:right w:val="none" w:sz="0" w:space="0" w:color="auto"/>
          </w:divBdr>
          <w:divsChild>
            <w:div w:id="496312322">
              <w:marLeft w:val="0"/>
              <w:marRight w:val="0"/>
              <w:marTop w:val="0"/>
              <w:marBottom w:val="0"/>
              <w:divBdr>
                <w:top w:val="none" w:sz="0" w:space="0" w:color="auto"/>
                <w:left w:val="none" w:sz="0" w:space="0" w:color="auto"/>
                <w:bottom w:val="none" w:sz="0" w:space="0" w:color="auto"/>
                <w:right w:val="none" w:sz="0" w:space="0" w:color="auto"/>
              </w:divBdr>
              <w:divsChild>
                <w:div w:id="659621369">
                  <w:marLeft w:val="0"/>
                  <w:marRight w:val="0"/>
                  <w:marTop w:val="0"/>
                  <w:marBottom w:val="0"/>
                  <w:divBdr>
                    <w:top w:val="none" w:sz="0" w:space="0" w:color="auto"/>
                    <w:left w:val="none" w:sz="0" w:space="0" w:color="auto"/>
                    <w:bottom w:val="none" w:sz="0" w:space="0" w:color="auto"/>
                    <w:right w:val="none" w:sz="0" w:space="0" w:color="auto"/>
                  </w:divBdr>
                  <w:divsChild>
                    <w:div w:id="315883891">
                      <w:marLeft w:val="0"/>
                      <w:marRight w:val="0"/>
                      <w:marTop w:val="0"/>
                      <w:marBottom w:val="0"/>
                      <w:divBdr>
                        <w:top w:val="none" w:sz="0" w:space="0" w:color="auto"/>
                        <w:left w:val="none" w:sz="0" w:space="0" w:color="auto"/>
                        <w:bottom w:val="none" w:sz="0" w:space="0" w:color="auto"/>
                        <w:right w:val="none" w:sz="0" w:space="0" w:color="auto"/>
                      </w:divBdr>
                      <w:divsChild>
                        <w:div w:id="1106459145">
                          <w:marLeft w:val="0"/>
                          <w:marRight w:val="0"/>
                          <w:marTop w:val="0"/>
                          <w:marBottom w:val="0"/>
                          <w:divBdr>
                            <w:top w:val="none" w:sz="0" w:space="0" w:color="auto"/>
                            <w:left w:val="none" w:sz="0" w:space="0" w:color="auto"/>
                            <w:bottom w:val="none" w:sz="0" w:space="0" w:color="auto"/>
                            <w:right w:val="none" w:sz="0" w:space="0" w:color="auto"/>
                          </w:divBdr>
                          <w:divsChild>
                            <w:div w:id="1877346316">
                              <w:marLeft w:val="0"/>
                              <w:marRight w:val="0"/>
                              <w:marTop w:val="0"/>
                              <w:marBottom w:val="0"/>
                              <w:divBdr>
                                <w:top w:val="none" w:sz="0" w:space="0" w:color="auto"/>
                                <w:left w:val="none" w:sz="0" w:space="0" w:color="auto"/>
                                <w:bottom w:val="none" w:sz="0" w:space="0" w:color="auto"/>
                                <w:right w:val="none" w:sz="0" w:space="0" w:color="auto"/>
                              </w:divBdr>
                              <w:divsChild>
                                <w:div w:id="1032002344">
                                  <w:marLeft w:val="0"/>
                                  <w:marRight w:val="0"/>
                                  <w:marTop w:val="0"/>
                                  <w:marBottom w:val="0"/>
                                  <w:divBdr>
                                    <w:top w:val="none" w:sz="0" w:space="0" w:color="auto"/>
                                    <w:left w:val="none" w:sz="0" w:space="0" w:color="auto"/>
                                    <w:bottom w:val="none" w:sz="0" w:space="0" w:color="auto"/>
                                    <w:right w:val="none" w:sz="0" w:space="0" w:color="auto"/>
                                  </w:divBdr>
                                  <w:divsChild>
                                    <w:div w:id="1158040172">
                                      <w:marLeft w:val="0"/>
                                      <w:marRight w:val="0"/>
                                      <w:marTop w:val="0"/>
                                      <w:marBottom w:val="0"/>
                                      <w:divBdr>
                                        <w:top w:val="none" w:sz="0" w:space="0" w:color="auto"/>
                                        <w:left w:val="none" w:sz="0" w:space="0" w:color="auto"/>
                                        <w:bottom w:val="none" w:sz="0" w:space="0" w:color="auto"/>
                                        <w:right w:val="none" w:sz="0" w:space="0" w:color="auto"/>
                                      </w:divBdr>
                                      <w:divsChild>
                                        <w:div w:id="5779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06630">
      <w:bodyDiv w:val="1"/>
      <w:marLeft w:val="0"/>
      <w:marRight w:val="0"/>
      <w:marTop w:val="0"/>
      <w:marBottom w:val="0"/>
      <w:divBdr>
        <w:top w:val="none" w:sz="0" w:space="0" w:color="auto"/>
        <w:left w:val="none" w:sz="0" w:space="0" w:color="auto"/>
        <w:bottom w:val="none" w:sz="0" w:space="0" w:color="auto"/>
        <w:right w:val="none" w:sz="0" w:space="0" w:color="auto"/>
      </w:divBdr>
    </w:div>
    <w:div w:id="607733264">
      <w:bodyDiv w:val="1"/>
      <w:marLeft w:val="0"/>
      <w:marRight w:val="0"/>
      <w:marTop w:val="0"/>
      <w:marBottom w:val="0"/>
      <w:divBdr>
        <w:top w:val="none" w:sz="0" w:space="0" w:color="auto"/>
        <w:left w:val="none" w:sz="0" w:space="0" w:color="auto"/>
        <w:bottom w:val="none" w:sz="0" w:space="0" w:color="auto"/>
        <w:right w:val="none" w:sz="0" w:space="0" w:color="auto"/>
      </w:divBdr>
      <w:divsChild>
        <w:div w:id="487401699">
          <w:marLeft w:val="0"/>
          <w:marRight w:val="0"/>
          <w:marTop w:val="0"/>
          <w:marBottom w:val="0"/>
          <w:divBdr>
            <w:top w:val="none" w:sz="0" w:space="0" w:color="auto"/>
            <w:left w:val="none" w:sz="0" w:space="0" w:color="auto"/>
            <w:bottom w:val="none" w:sz="0" w:space="0" w:color="auto"/>
            <w:right w:val="none" w:sz="0" w:space="0" w:color="auto"/>
          </w:divBdr>
          <w:divsChild>
            <w:div w:id="1561556891">
              <w:marLeft w:val="0"/>
              <w:marRight w:val="0"/>
              <w:marTop w:val="0"/>
              <w:marBottom w:val="0"/>
              <w:divBdr>
                <w:top w:val="none" w:sz="0" w:space="0" w:color="auto"/>
                <w:left w:val="none" w:sz="0" w:space="0" w:color="auto"/>
                <w:bottom w:val="none" w:sz="0" w:space="0" w:color="auto"/>
                <w:right w:val="none" w:sz="0" w:space="0" w:color="auto"/>
              </w:divBdr>
              <w:divsChild>
                <w:div w:id="562256277">
                  <w:marLeft w:val="0"/>
                  <w:marRight w:val="0"/>
                  <w:marTop w:val="0"/>
                  <w:marBottom w:val="0"/>
                  <w:divBdr>
                    <w:top w:val="none" w:sz="0" w:space="0" w:color="auto"/>
                    <w:left w:val="none" w:sz="0" w:space="0" w:color="auto"/>
                    <w:bottom w:val="none" w:sz="0" w:space="0" w:color="auto"/>
                    <w:right w:val="none" w:sz="0" w:space="0" w:color="auto"/>
                  </w:divBdr>
                  <w:divsChild>
                    <w:div w:id="1152939714">
                      <w:marLeft w:val="0"/>
                      <w:marRight w:val="0"/>
                      <w:marTop w:val="0"/>
                      <w:marBottom w:val="0"/>
                      <w:divBdr>
                        <w:top w:val="none" w:sz="0" w:space="0" w:color="auto"/>
                        <w:left w:val="none" w:sz="0" w:space="0" w:color="auto"/>
                        <w:bottom w:val="none" w:sz="0" w:space="0" w:color="auto"/>
                        <w:right w:val="none" w:sz="0" w:space="0" w:color="auto"/>
                      </w:divBdr>
                      <w:divsChild>
                        <w:div w:id="499082362">
                          <w:marLeft w:val="0"/>
                          <w:marRight w:val="0"/>
                          <w:marTop w:val="0"/>
                          <w:marBottom w:val="0"/>
                          <w:divBdr>
                            <w:top w:val="none" w:sz="0" w:space="0" w:color="auto"/>
                            <w:left w:val="none" w:sz="0" w:space="0" w:color="auto"/>
                            <w:bottom w:val="none" w:sz="0" w:space="0" w:color="auto"/>
                            <w:right w:val="none" w:sz="0" w:space="0" w:color="auto"/>
                          </w:divBdr>
                          <w:divsChild>
                            <w:div w:id="1080368524">
                              <w:marLeft w:val="0"/>
                              <w:marRight w:val="0"/>
                              <w:marTop w:val="0"/>
                              <w:marBottom w:val="0"/>
                              <w:divBdr>
                                <w:top w:val="none" w:sz="0" w:space="0" w:color="auto"/>
                                <w:left w:val="none" w:sz="0" w:space="0" w:color="auto"/>
                                <w:bottom w:val="none" w:sz="0" w:space="0" w:color="auto"/>
                                <w:right w:val="none" w:sz="0" w:space="0" w:color="auto"/>
                              </w:divBdr>
                              <w:divsChild>
                                <w:div w:id="949899655">
                                  <w:marLeft w:val="0"/>
                                  <w:marRight w:val="0"/>
                                  <w:marTop w:val="0"/>
                                  <w:marBottom w:val="0"/>
                                  <w:divBdr>
                                    <w:top w:val="none" w:sz="0" w:space="0" w:color="auto"/>
                                    <w:left w:val="none" w:sz="0" w:space="0" w:color="auto"/>
                                    <w:bottom w:val="none" w:sz="0" w:space="0" w:color="auto"/>
                                    <w:right w:val="none" w:sz="0" w:space="0" w:color="auto"/>
                                  </w:divBdr>
                                  <w:divsChild>
                                    <w:div w:id="1745713969">
                                      <w:marLeft w:val="0"/>
                                      <w:marRight w:val="0"/>
                                      <w:marTop w:val="0"/>
                                      <w:marBottom w:val="0"/>
                                      <w:divBdr>
                                        <w:top w:val="none" w:sz="0" w:space="0" w:color="auto"/>
                                        <w:left w:val="none" w:sz="0" w:space="0" w:color="auto"/>
                                        <w:bottom w:val="none" w:sz="0" w:space="0" w:color="auto"/>
                                        <w:right w:val="none" w:sz="0" w:space="0" w:color="auto"/>
                                      </w:divBdr>
                                      <w:divsChild>
                                        <w:div w:id="1516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665170">
      <w:bodyDiv w:val="1"/>
      <w:marLeft w:val="0"/>
      <w:marRight w:val="0"/>
      <w:marTop w:val="0"/>
      <w:marBottom w:val="0"/>
      <w:divBdr>
        <w:top w:val="none" w:sz="0" w:space="0" w:color="auto"/>
        <w:left w:val="none" w:sz="0" w:space="0" w:color="auto"/>
        <w:bottom w:val="none" w:sz="0" w:space="0" w:color="auto"/>
        <w:right w:val="none" w:sz="0" w:space="0" w:color="auto"/>
      </w:divBdr>
      <w:divsChild>
        <w:div w:id="1242712567">
          <w:marLeft w:val="0"/>
          <w:marRight w:val="0"/>
          <w:marTop w:val="0"/>
          <w:marBottom w:val="0"/>
          <w:divBdr>
            <w:top w:val="none" w:sz="0" w:space="0" w:color="auto"/>
            <w:left w:val="none" w:sz="0" w:space="0" w:color="auto"/>
            <w:bottom w:val="none" w:sz="0" w:space="0" w:color="auto"/>
            <w:right w:val="none" w:sz="0" w:space="0" w:color="auto"/>
          </w:divBdr>
          <w:divsChild>
            <w:div w:id="777871505">
              <w:marLeft w:val="0"/>
              <w:marRight w:val="0"/>
              <w:marTop w:val="0"/>
              <w:marBottom w:val="0"/>
              <w:divBdr>
                <w:top w:val="none" w:sz="0" w:space="0" w:color="auto"/>
                <w:left w:val="none" w:sz="0" w:space="0" w:color="auto"/>
                <w:bottom w:val="none" w:sz="0" w:space="0" w:color="auto"/>
                <w:right w:val="none" w:sz="0" w:space="0" w:color="auto"/>
              </w:divBdr>
              <w:divsChild>
                <w:div w:id="1603341931">
                  <w:marLeft w:val="0"/>
                  <w:marRight w:val="0"/>
                  <w:marTop w:val="0"/>
                  <w:marBottom w:val="0"/>
                  <w:divBdr>
                    <w:top w:val="none" w:sz="0" w:space="0" w:color="auto"/>
                    <w:left w:val="none" w:sz="0" w:space="0" w:color="auto"/>
                    <w:bottom w:val="none" w:sz="0" w:space="0" w:color="auto"/>
                    <w:right w:val="none" w:sz="0" w:space="0" w:color="auto"/>
                  </w:divBdr>
                  <w:divsChild>
                    <w:div w:id="1547987975">
                      <w:marLeft w:val="0"/>
                      <w:marRight w:val="0"/>
                      <w:marTop w:val="0"/>
                      <w:marBottom w:val="0"/>
                      <w:divBdr>
                        <w:top w:val="none" w:sz="0" w:space="0" w:color="auto"/>
                        <w:left w:val="none" w:sz="0" w:space="0" w:color="auto"/>
                        <w:bottom w:val="none" w:sz="0" w:space="0" w:color="auto"/>
                        <w:right w:val="none" w:sz="0" w:space="0" w:color="auto"/>
                      </w:divBdr>
                      <w:divsChild>
                        <w:div w:id="779762938">
                          <w:marLeft w:val="0"/>
                          <w:marRight w:val="0"/>
                          <w:marTop w:val="0"/>
                          <w:marBottom w:val="0"/>
                          <w:divBdr>
                            <w:top w:val="none" w:sz="0" w:space="0" w:color="auto"/>
                            <w:left w:val="none" w:sz="0" w:space="0" w:color="auto"/>
                            <w:bottom w:val="none" w:sz="0" w:space="0" w:color="auto"/>
                            <w:right w:val="none" w:sz="0" w:space="0" w:color="auto"/>
                          </w:divBdr>
                          <w:divsChild>
                            <w:div w:id="1113403003">
                              <w:marLeft w:val="0"/>
                              <w:marRight w:val="0"/>
                              <w:marTop w:val="0"/>
                              <w:marBottom w:val="0"/>
                              <w:divBdr>
                                <w:top w:val="none" w:sz="0" w:space="0" w:color="auto"/>
                                <w:left w:val="none" w:sz="0" w:space="0" w:color="auto"/>
                                <w:bottom w:val="none" w:sz="0" w:space="0" w:color="auto"/>
                                <w:right w:val="none" w:sz="0" w:space="0" w:color="auto"/>
                              </w:divBdr>
                              <w:divsChild>
                                <w:div w:id="1497842084">
                                  <w:marLeft w:val="0"/>
                                  <w:marRight w:val="0"/>
                                  <w:marTop w:val="0"/>
                                  <w:marBottom w:val="0"/>
                                  <w:divBdr>
                                    <w:top w:val="none" w:sz="0" w:space="0" w:color="auto"/>
                                    <w:left w:val="none" w:sz="0" w:space="0" w:color="auto"/>
                                    <w:bottom w:val="none" w:sz="0" w:space="0" w:color="auto"/>
                                    <w:right w:val="none" w:sz="0" w:space="0" w:color="auto"/>
                                  </w:divBdr>
                                  <w:divsChild>
                                    <w:div w:id="1992832773">
                                      <w:marLeft w:val="0"/>
                                      <w:marRight w:val="0"/>
                                      <w:marTop w:val="0"/>
                                      <w:marBottom w:val="0"/>
                                      <w:divBdr>
                                        <w:top w:val="none" w:sz="0" w:space="0" w:color="auto"/>
                                        <w:left w:val="none" w:sz="0" w:space="0" w:color="auto"/>
                                        <w:bottom w:val="none" w:sz="0" w:space="0" w:color="auto"/>
                                        <w:right w:val="none" w:sz="0" w:space="0" w:color="auto"/>
                                      </w:divBdr>
                                      <w:divsChild>
                                        <w:div w:id="10831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239877">
      <w:bodyDiv w:val="1"/>
      <w:marLeft w:val="0"/>
      <w:marRight w:val="0"/>
      <w:marTop w:val="0"/>
      <w:marBottom w:val="0"/>
      <w:divBdr>
        <w:top w:val="none" w:sz="0" w:space="0" w:color="auto"/>
        <w:left w:val="none" w:sz="0" w:space="0" w:color="auto"/>
        <w:bottom w:val="none" w:sz="0" w:space="0" w:color="auto"/>
        <w:right w:val="none" w:sz="0" w:space="0" w:color="auto"/>
      </w:divBdr>
    </w:div>
    <w:div w:id="1491024148">
      <w:bodyDiv w:val="1"/>
      <w:marLeft w:val="0"/>
      <w:marRight w:val="0"/>
      <w:marTop w:val="0"/>
      <w:marBottom w:val="0"/>
      <w:divBdr>
        <w:top w:val="none" w:sz="0" w:space="0" w:color="auto"/>
        <w:left w:val="none" w:sz="0" w:space="0" w:color="auto"/>
        <w:bottom w:val="none" w:sz="0" w:space="0" w:color="auto"/>
        <w:right w:val="none" w:sz="0" w:space="0" w:color="auto"/>
      </w:divBdr>
    </w:div>
    <w:div w:id="1512601927">
      <w:bodyDiv w:val="1"/>
      <w:marLeft w:val="0"/>
      <w:marRight w:val="0"/>
      <w:marTop w:val="0"/>
      <w:marBottom w:val="0"/>
      <w:divBdr>
        <w:top w:val="none" w:sz="0" w:space="0" w:color="auto"/>
        <w:left w:val="none" w:sz="0" w:space="0" w:color="auto"/>
        <w:bottom w:val="none" w:sz="0" w:space="0" w:color="auto"/>
        <w:right w:val="none" w:sz="0" w:space="0" w:color="auto"/>
      </w:divBdr>
      <w:divsChild>
        <w:div w:id="282856624">
          <w:marLeft w:val="0"/>
          <w:marRight w:val="0"/>
          <w:marTop w:val="0"/>
          <w:marBottom w:val="0"/>
          <w:divBdr>
            <w:top w:val="none" w:sz="0" w:space="0" w:color="auto"/>
            <w:left w:val="none" w:sz="0" w:space="0" w:color="auto"/>
            <w:bottom w:val="none" w:sz="0" w:space="0" w:color="auto"/>
            <w:right w:val="none" w:sz="0" w:space="0" w:color="auto"/>
          </w:divBdr>
          <w:divsChild>
            <w:div w:id="1178422204">
              <w:marLeft w:val="0"/>
              <w:marRight w:val="0"/>
              <w:marTop w:val="0"/>
              <w:marBottom w:val="0"/>
              <w:divBdr>
                <w:top w:val="none" w:sz="0" w:space="0" w:color="auto"/>
                <w:left w:val="none" w:sz="0" w:space="0" w:color="auto"/>
                <w:bottom w:val="none" w:sz="0" w:space="0" w:color="auto"/>
                <w:right w:val="none" w:sz="0" w:space="0" w:color="auto"/>
              </w:divBdr>
              <w:divsChild>
                <w:div w:id="1724014193">
                  <w:marLeft w:val="0"/>
                  <w:marRight w:val="0"/>
                  <w:marTop w:val="0"/>
                  <w:marBottom w:val="0"/>
                  <w:divBdr>
                    <w:top w:val="none" w:sz="0" w:space="0" w:color="auto"/>
                    <w:left w:val="none" w:sz="0" w:space="0" w:color="auto"/>
                    <w:bottom w:val="none" w:sz="0" w:space="0" w:color="auto"/>
                    <w:right w:val="none" w:sz="0" w:space="0" w:color="auto"/>
                  </w:divBdr>
                  <w:divsChild>
                    <w:div w:id="1369180653">
                      <w:marLeft w:val="0"/>
                      <w:marRight w:val="0"/>
                      <w:marTop w:val="0"/>
                      <w:marBottom w:val="0"/>
                      <w:divBdr>
                        <w:top w:val="none" w:sz="0" w:space="0" w:color="auto"/>
                        <w:left w:val="none" w:sz="0" w:space="0" w:color="auto"/>
                        <w:bottom w:val="none" w:sz="0" w:space="0" w:color="auto"/>
                        <w:right w:val="none" w:sz="0" w:space="0" w:color="auto"/>
                      </w:divBdr>
                      <w:divsChild>
                        <w:div w:id="1053772010">
                          <w:marLeft w:val="0"/>
                          <w:marRight w:val="0"/>
                          <w:marTop w:val="0"/>
                          <w:marBottom w:val="0"/>
                          <w:divBdr>
                            <w:top w:val="none" w:sz="0" w:space="0" w:color="auto"/>
                            <w:left w:val="none" w:sz="0" w:space="0" w:color="auto"/>
                            <w:bottom w:val="none" w:sz="0" w:space="0" w:color="auto"/>
                            <w:right w:val="none" w:sz="0" w:space="0" w:color="auto"/>
                          </w:divBdr>
                          <w:divsChild>
                            <w:div w:id="258872476">
                              <w:marLeft w:val="0"/>
                              <w:marRight w:val="0"/>
                              <w:marTop w:val="0"/>
                              <w:marBottom w:val="0"/>
                              <w:divBdr>
                                <w:top w:val="none" w:sz="0" w:space="0" w:color="auto"/>
                                <w:left w:val="none" w:sz="0" w:space="0" w:color="auto"/>
                                <w:bottom w:val="none" w:sz="0" w:space="0" w:color="auto"/>
                                <w:right w:val="none" w:sz="0" w:space="0" w:color="auto"/>
                              </w:divBdr>
                              <w:divsChild>
                                <w:div w:id="928735529">
                                  <w:marLeft w:val="0"/>
                                  <w:marRight w:val="0"/>
                                  <w:marTop w:val="0"/>
                                  <w:marBottom w:val="0"/>
                                  <w:divBdr>
                                    <w:top w:val="none" w:sz="0" w:space="0" w:color="auto"/>
                                    <w:left w:val="none" w:sz="0" w:space="0" w:color="auto"/>
                                    <w:bottom w:val="none" w:sz="0" w:space="0" w:color="auto"/>
                                    <w:right w:val="none" w:sz="0" w:space="0" w:color="auto"/>
                                  </w:divBdr>
                                  <w:divsChild>
                                    <w:div w:id="1804033018">
                                      <w:marLeft w:val="0"/>
                                      <w:marRight w:val="0"/>
                                      <w:marTop w:val="0"/>
                                      <w:marBottom w:val="0"/>
                                      <w:divBdr>
                                        <w:top w:val="none" w:sz="0" w:space="0" w:color="auto"/>
                                        <w:left w:val="none" w:sz="0" w:space="0" w:color="auto"/>
                                        <w:bottom w:val="none" w:sz="0" w:space="0" w:color="auto"/>
                                        <w:right w:val="none" w:sz="0" w:space="0" w:color="auto"/>
                                      </w:divBdr>
                                      <w:divsChild>
                                        <w:div w:id="15314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153657">
      <w:bodyDiv w:val="1"/>
      <w:marLeft w:val="0"/>
      <w:marRight w:val="0"/>
      <w:marTop w:val="0"/>
      <w:marBottom w:val="0"/>
      <w:divBdr>
        <w:top w:val="none" w:sz="0" w:space="0" w:color="auto"/>
        <w:left w:val="none" w:sz="0" w:space="0" w:color="auto"/>
        <w:bottom w:val="none" w:sz="0" w:space="0" w:color="auto"/>
        <w:right w:val="none" w:sz="0" w:space="0" w:color="auto"/>
      </w:divBdr>
    </w:div>
    <w:div w:id="1706249999">
      <w:bodyDiv w:val="1"/>
      <w:marLeft w:val="0"/>
      <w:marRight w:val="0"/>
      <w:marTop w:val="0"/>
      <w:marBottom w:val="0"/>
      <w:divBdr>
        <w:top w:val="none" w:sz="0" w:space="0" w:color="auto"/>
        <w:left w:val="none" w:sz="0" w:space="0" w:color="auto"/>
        <w:bottom w:val="none" w:sz="0" w:space="0" w:color="auto"/>
        <w:right w:val="none" w:sz="0" w:space="0" w:color="auto"/>
      </w:divBdr>
      <w:divsChild>
        <w:div w:id="829752780">
          <w:marLeft w:val="0"/>
          <w:marRight w:val="0"/>
          <w:marTop w:val="0"/>
          <w:marBottom w:val="0"/>
          <w:divBdr>
            <w:top w:val="none" w:sz="0" w:space="0" w:color="auto"/>
            <w:left w:val="none" w:sz="0" w:space="0" w:color="auto"/>
            <w:bottom w:val="none" w:sz="0" w:space="0" w:color="auto"/>
            <w:right w:val="none" w:sz="0" w:space="0" w:color="auto"/>
          </w:divBdr>
          <w:divsChild>
            <w:div w:id="1417744003">
              <w:marLeft w:val="0"/>
              <w:marRight w:val="0"/>
              <w:marTop w:val="0"/>
              <w:marBottom w:val="0"/>
              <w:divBdr>
                <w:top w:val="none" w:sz="0" w:space="0" w:color="auto"/>
                <w:left w:val="none" w:sz="0" w:space="0" w:color="auto"/>
                <w:bottom w:val="none" w:sz="0" w:space="0" w:color="auto"/>
                <w:right w:val="none" w:sz="0" w:space="0" w:color="auto"/>
              </w:divBdr>
              <w:divsChild>
                <w:div w:id="1376735657">
                  <w:marLeft w:val="0"/>
                  <w:marRight w:val="0"/>
                  <w:marTop w:val="0"/>
                  <w:marBottom w:val="0"/>
                  <w:divBdr>
                    <w:top w:val="none" w:sz="0" w:space="0" w:color="auto"/>
                    <w:left w:val="none" w:sz="0" w:space="0" w:color="auto"/>
                    <w:bottom w:val="none" w:sz="0" w:space="0" w:color="auto"/>
                    <w:right w:val="none" w:sz="0" w:space="0" w:color="auto"/>
                  </w:divBdr>
                  <w:divsChild>
                    <w:div w:id="136151034">
                      <w:marLeft w:val="0"/>
                      <w:marRight w:val="0"/>
                      <w:marTop w:val="0"/>
                      <w:marBottom w:val="0"/>
                      <w:divBdr>
                        <w:top w:val="none" w:sz="0" w:space="0" w:color="auto"/>
                        <w:left w:val="none" w:sz="0" w:space="0" w:color="auto"/>
                        <w:bottom w:val="none" w:sz="0" w:space="0" w:color="auto"/>
                        <w:right w:val="none" w:sz="0" w:space="0" w:color="auto"/>
                      </w:divBdr>
                      <w:divsChild>
                        <w:div w:id="1730224798">
                          <w:marLeft w:val="0"/>
                          <w:marRight w:val="0"/>
                          <w:marTop w:val="0"/>
                          <w:marBottom w:val="0"/>
                          <w:divBdr>
                            <w:top w:val="none" w:sz="0" w:space="0" w:color="auto"/>
                            <w:left w:val="none" w:sz="0" w:space="0" w:color="auto"/>
                            <w:bottom w:val="none" w:sz="0" w:space="0" w:color="auto"/>
                            <w:right w:val="none" w:sz="0" w:space="0" w:color="auto"/>
                          </w:divBdr>
                          <w:divsChild>
                            <w:div w:id="1330215887">
                              <w:marLeft w:val="0"/>
                              <w:marRight w:val="0"/>
                              <w:marTop w:val="0"/>
                              <w:marBottom w:val="0"/>
                              <w:divBdr>
                                <w:top w:val="none" w:sz="0" w:space="0" w:color="auto"/>
                                <w:left w:val="none" w:sz="0" w:space="0" w:color="auto"/>
                                <w:bottom w:val="none" w:sz="0" w:space="0" w:color="auto"/>
                                <w:right w:val="none" w:sz="0" w:space="0" w:color="auto"/>
                              </w:divBdr>
                              <w:divsChild>
                                <w:div w:id="1595746659">
                                  <w:marLeft w:val="0"/>
                                  <w:marRight w:val="0"/>
                                  <w:marTop w:val="0"/>
                                  <w:marBottom w:val="0"/>
                                  <w:divBdr>
                                    <w:top w:val="none" w:sz="0" w:space="0" w:color="auto"/>
                                    <w:left w:val="none" w:sz="0" w:space="0" w:color="auto"/>
                                    <w:bottom w:val="none" w:sz="0" w:space="0" w:color="auto"/>
                                    <w:right w:val="none" w:sz="0" w:space="0" w:color="auto"/>
                                  </w:divBdr>
                                  <w:divsChild>
                                    <w:div w:id="1636249926">
                                      <w:marLeft w:val="0"/>
                                      <w:marRight w:val="0"/>
                                      <w:marTop w:val="0"/>
                                      <w:marBottom w:val="0"/>
                                      <w:divBdr>
                                        <w:top w:val="none" w:sz="0" w:space="0" w:color="auto"/>
                                        <w:left w:val="none" w:sz="0" w:space="0" w:color="auto"/>
                                        <w:bottom w:val="none" w:sz="0" w:space="0" w:color="auto"/>
                                        <w:right w:val="none" w:sz="0" w:space="0" w:color="auto"/>
                                      </w:divBdr>
                                      <w:divsChild>
                                        <w:div w:id="6043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113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4837</Words>
  <Characters>27577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Uzzeiah Jean Rodriguez</cp:lastModifiedBy>
  <cp:revision>2</cp:revision>
  <cp:lastPrinted>2026-05-13T14:27:00Z</cp:lastPrinted>
  <dcterms:created xsi:type="dcterms:W3CDTF">2026-05-13T15:12:00Z</dcterms:created>
  <dcterms:modified xsi:type="dcterms:W3CDTF">2026-05-13T15:12:00Z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d7b89676-e365-4a7e-8b54-cc4b2f8db303</vt:lpwstr>
  </property>
</Properties>
</file>