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0188F">
      <w:pPr>
        <w:jc w:val="center"/>
        <w:rPr>
          <w:rFonts w:ascii="Garamond" w:hAnsi="Garamond" w:cs="Garamond"/>
          <w:color w:val="181717" w:themeColor="background2" w:themeShade="1A"/>
          <w:sz w:val="28"/>
          <w:szCs w:val="28"/>
        </w:rPr>
      </w:pPr>
      <w:r>
        <w:rPr>
          <w:rFonts w:ascii="Garamond" w:hAnsi="Garamond" w:cs="Garamond"/>
          <w:color w:val="181717" w:themeColor="background2" w:themeShade="1A"/>
          <w:sz w:val="28"/>
          <w:szCs w:val="28"/>
        </w:rPr>
        <w:t>Globalization and Performance of Small and Medium-Scale Business</w:t>
      </w:r>
      <w:r>
        <w:rPr>
          <w:rFonts w:ascii="Garamond" w:hAnsi="Garamond" w:cs="Garamond"/>
          <w:color w:val="FF0000"/>
          <w:sz w:val="28"/>
          <w:szCs w:val="28"/>
        </w:rPr>
        <w:t>es</w:t>
      </w:r>
      <w:r>
        <w:rPr>
          <w:rFonts w:ascii="Garamond" w:hAnsi="Garamond" w:cs="Garamond"/>
          <w:color w:val="181717" w:themeColor="background2" w:themeShade="1A"/>
          <w:sz w:val="28"/>
          <w:szCs w:val="28"/>
        </w:rPr>
        <w:t xml:space="preserve"> in Kwara State</w:t>
      </w:r>
      <w:r>
        <w:rPr>
          <w:rFonts w:ascii="Garamond" w:hAnsi="Garamond" w:cs="Garamond"/>
          <w:color w:val="FF0000"/>
          <w:sz w:val="28"/>
          <w:szCs w:val="28"/>
        </w:rPr>
        <w:t>,</w:t>
      </w:r>
      <w:r>
        <w:rPr>
          <w:rFonts w:ascii="Garamond" w:hAnsi="Garamond" w:cs="Garamond"/>
          <w:color w:val="181717" w:themeColor="background2" w:themeShade="1A"/>
          <w:sz w:val="28"/>
          <w:szCs w:val="28"/>
        </w:rPr>
        <w:t xml:space="preserve"> North-Central Nigeria</w:t>
      </w:r>
    </w:p>
    <w:p w14:paraId="263AFA18">
      <w:pPr>
        <w:jc w:val="center"/>
        <w:rPr>
          <w:rFonts w:ascii="Garamond" w:hAnsi="Garamond" w:cs="Garamond"/>
          <w:color w:val="181717" w:themeColor="background2" w:themeShade="1A"/>
        </w:rPr>
      </w:pPr>
    </w:p>
    <w:p w14:paraId="3F9943E2">
      <w:pPr>
        <w:jc w:val="center"/>
        <w:rPr>
          <w:rFonts w:ascii="Garamond" w:hAnsi="Garamond" w:cs="Garamond"/>
        </w:rPr>
      </w:pPr>
      <w:r>
        <w:rPr>
          <w:rFonts w:ascii="Garamond" w:hAnsi="Garamond" w:cs="Garamond"/>
        </w:rPr>
        <w:t/>
      </w:r>
    </w:p>
    <w:p w14:paraId="75CE14C8">
      <w:pPr>
        <w:jc w:val="center"/>
        <w:rPr>
          <w:rFonts w:ascii="Garamond" w:hAnsi="Garamond" w:cs="Garamond"/>
        </w:rPr>
      </w:pPr>
      <w:r>
        <w:rPr>
          <w:rFonts w:ascii="Garamond" w:hAnsi="Garamond" w:cs="Garamond"/>
        </w:rPr>
        <w:t/>
      </w:r>
    </w:p>
    <w:p w14:paraId="7E003B22">
      <w:pPr>
        <w:jc w:val="center"/>
        <w:rPr>
          <w:rFonts w:ascii="Garamond" w:hAnsi="Garamond" w:cs="Garamond"/>
        </w:rPr>
      </w:pPr>
      <w:r>
        <w:rPr>
          <w:rFonts w:ascii="Garamond" w:hAnsi="Garamond" w:cs="Garamond"/>
        </w:rPr>
        <w:t/>
      </w:r>
    </w:p>
    <w:p w14:paraId="69E97891">
      <w:pPr>
        <w:jc w:val="center"/>
        <w:rPr>
          <w:rFonts w:ascii="Garamond" w:hAnsi="Garamond" w:cs="Garamond"/>
        </w:rPr>
      </w:pPr>
      <w:r>
        <w:rPr>
          <w:rFonts w:ascii="Garamond" w:hAnsi="Garamond" w:cs="Garamond"/>
        </w:rPr>
        <w:t/>
      </w:r>
    </w:p>
    <w:p w14:paraId="3CC33E33">
      <w:pPr>
        <w:jc w:val="center"/>
        <w:rPr>
          <w:rFonts w:ascii="Garamond" w:hAnsi="Garamond" w:cs="Garamond"/>
        </w:rPr>
      </w:pPr>
      <w:r>
        <w:rPr>
          <w:rFonts w:ascii="Garamond" w:hAnsi="Garamond" w:cs="Garamond"/>
        </w:rPr>
        <w:t xml:space="preserve"/>
      </w:r>
      <w:r>
        <w:fldChar w:fldCharType="begin"/>
      </w:r>
      <w:r>
        <w:instrText xml:space="preserve"> HYPERLINK "mailto:ibrahim.hamzat@kwasu.edu.ng" </w:instrText>
      </w:r>
      <w:r>
        <w:fldChar w:fldCharType="separate"/>
      </w:r>
      <w:r>
        <w:rPr>
          <w:rStyle w:val="14"/>
          <w:rFonts w:ascii="Garamond" w:hAnsi="Garamond" w:cs="Garamond"/>
        </w:rPr>
        <w:t/>
      </w:r>
      <w:r>
        <w:rPr>
          <w:rStyle w:val="14"/>
          <w:rFonts w:ascii="Garamond" w:hAnsi="Garamond" w:cs="Garamond"/>
        </w:rPr>
        <w:fldChar w:fldCharType="end"/>
      </w:r>
    </w:p>
    <w:p w14:paraId="2935F71B">
      <w:pPr>
        <w:jc w:val="center"/>
        <w:rPr>
          <w:rFonts w:ascii="Garamond" w:hAnsi="Garamond" w:cs="Garamond"/>
        </w:rPr>
      </w:pPr>
      <w:r>
        <w:rPr>
          <w:rFonts w:ascii="Garamond" w:hAnsi="Garamond" w:cs="Garamond"/>
        </w:rPr>
        <w:t/>
      </w:r>
    </w:p>
    <w:p w14:paraId="758FECE6">
      <w:pPr>
        <w:spacing w:line="240" w:lineRule="auto"/>
        <w:jc w:val="both"/>
        <w:rPr>
          <w:rFonts w:ascii="Garamond" w:hAnsi="Garamond"/>
          <w:b/>
          <w:bCs/>
        </w:rPr>
      </w:pPr>
      <w:r>
        <w:rPr>
          <w:rFonts w:ascii="Garamond" w:hAnsi="Garamond"/>
          <w:b/>
          <w:bCs/>
        </w:rPr>
        <w:t>Abstract</w:t>
      </w:r>
    </w:p>
    <w:p w14:paraId="68CDE3F9">
      <w:pPr>
        <w:spacing w:line="240" w:lineRule="auto"/>
        <w:jc w:val="both"/>
        <w:rPr>
          <w:rFonts w:ascii="Garamond" w:hAnsi="Garamond"/>
          <w:i/>
          <w:iCs/>
        </w:rPr>
      </w:pPr>
      <w:r>
        <w:rPr>
          <w:rFonts w:ascii="Garamond" w:hAnsi="Garamond"/>
          <w:i/>
          <w:iCs/>
        </w:rPr>
        <w:t>The relationship between globalization and SMEs' performance focused on how SMEs affect the world's perception of itself as a global village. North</w:t>
      </w:r>
      <w:r>
        <w:rPr>
          <w:rFonts w:hint="default" w:ascii="Garamond" w:hAnsi="Garamond"/>
          <w:i/>
          <w:iCs/>
          <w:lang w:val="en-US"/>
        </w:rPr>
        <w:t>-</w:t>
      </w:r>
      <w:r>
        <w:rPr>
          <w:rFonts w:ascii="Garamond" w:hAnsi="Garamond"/>
          <w:i/>
          <w:iCs/>
        </w:rPr>
        <w:t>central Nigerian SMEs have not yet benefited from globalization.</w:t>
      </w:r>
      <w:r>
        <w:rPr>
          <w:rFonts w:hint="default" w:ascii="Garamond" w:hAnsi="Garamond"/>
          <w:i/>
          <w:iCs/>
          <w:lang w:val="en-US"/>
        </w:rPr>
        <w:t xml:space="preserve"> The study e</w:t>
      </w:r>
      <w:r>
        <w:rPr>
          <w:rFonts w:ascii="Garamond" w:hAnsi="Garamond"/>
          <w:i/>
          <w:iCs/>
        </w:rPr>
        <w:t>xamin</w:t>
      </w:r>
      <w:r>
        <w:rPr>
          <w:rFonts w:hint="default" w:ascii="Garamond" w:hAnsi="Garamond"/>
          <w:i/>
          <w:iCs/>
          <w:lang w:val="en-US"/>
        </w:rPr>
        <w:t>es</w:t>
      </w:r>
      <w:r>
        <w:rPr>
          <w:rFonts w:ascii="Garamond" w:hAnsi="Garamond"/>
          <w:i/>
          <w:iCs/>
        </w:rPr>
        <w:t xml:space="preserve"> how globalization affected the performance of SMEs in Kwara State, Nigeria. The Survey research approach</w:t>
      </w:r>
      <w:r>
        <w:rPr>
          <w:rFonts w:hint="default" w:ascii="Garamond" w:hAnsi="Garamond"/>
          <w:i/>
          <w:iCs/>
          <w:lang w:val="en-US"/>
        </w:rPr>
        <w:t xml:space="preserve"> with adoption of questionnaire</w:t>
      </w:r>
      <w:r>
        <w:rPr>
          <w:rFonts w:ascii="Garamond" w:hAnsi="Garamond"/>
          <w:i/>
          <w:iCs/>
        </w:rPr>
        <w:t xml:space="preserve"> </w:t>
      </w:r>
      <w:r>
        <w:rPr>
          <w:rFonts w:hint="default" w:ascii="Garamond" w:hAnsi="Garamond"/>
          <w:i/>
          <w:iCs/>
          <w:lang w:val="en-US"/>
        </w:rPr>
        <w:t xml:space="preserve">was </w:t>
      </w:r>
      <w:r>
        <w:rPr>
          <w:rFonts w:ascii="Garamond" w:hAnsi="Garamond"/>
          <w:i/>
          <w:iCs/>
        </w:rPr>
        <w:t>used</w:t>
      </w:r>
      <w:r>
        <w:rPr>
          <w:rFonts w:hint="default" w:ascii="Garamond" w:hAnsi="Garamond"/>
          <w:i/>
          <w:iCs/>
          <w:lang w:val="en-US"/>
        </w:rPr>
        <w:t xml:space="preserve"> in the process of investigation</w:t>
      </w:r>
      <w:r>
        <w:rPr>
          <w:rFonts w:ascii="Garamond" w:hAnsi="Garamond"/>
          <w:i/>
          <w:iCs/>
        </w:rPr>
        <w:t xml:space="preserve">. It </w:t>
      </w:r>
      <w:r>
        <w:rPr>
          <w:rFonts w:hint="default" w:ascii="Garamond" w:hAnsi="Garamond"/>
          <w:i/>
          <w:iCs/>
          <w:lang w:val="en-US"/>
        </w:rPr>
        <w:t xml:space="preserve">also used </w:t>
      </w:r>
      <w:r>
        <w:rPr>
          <w:rFonts w:ascii="Garamond" w:hAnsi="Garamond"/>
          <w:i/>
          <w:iCs/>
        </w:rPr>
        <w:t>focus groups for interviews</w:t>
      </w:r>
      <w:r>
        <w:rPr>
          <w:rFonts w:hint="default" w:ascii="Garamond" w:hAnsi="Garamond"/>
          <w:i/>
          <w:iCs/>
          <w:lang w:val="en-US"/>
        </w:rPr>
        <w:t xml:space="preserve"> for the qualitative data</w:t>
      </w:r>
      <w:r>
        <w:rPr>
          <w:rFonts w:ascii="Garamond" w:hAnsi="Garamond"/>
          <w:i/>
          <w:iCs/>
        </w:rPr>
        <w:t xml:space="preserve"> and a standardized questionnaire with a five-point Likert scale to collect </w:t>
      </w:r>
      <w:r>
        <w:rPr>
          <w:rFonts w:hint="default" w:ascii="Garamond" w:hAnsi="Garamond"/>
          <w:i/>
          <w:iCs/>
          <w:lang w:val="en-US"/>
        </w:rPr>
        <w:t>quantitati ve data</w:t>
      </w:r>
      <w:r>
        <w:rPr>
          <w:rFonts w:ascii="Garamond" w:hAnsi="Garamond"/>
          <w:i/>
          <w:iCs/>
        </w:rPr>
        <w:t>.</w:t>
      </w:r>
      <w:r>
        <w:rPr>
          <w:rFonts w:hint="default" w:ascii="Garamond" w:hAnsi="Garamond"/>
          <w:i/>
          <w:iCs/>
          <w:lang w:val="en-US"/>
        </w:rPr>
        <w:t xml:space="preserve"> </w:t>
      </w:r>
      <w:r>
        <w:rPr>
          <w:rFonts w:ascii="Garamond" w:hAnsi="Garamond"/>
          <w:i/>
          <w:iCs/>
        </w:rPr>
        <w:t>Additionally, 360 of the 5268 SMEs in the chosen study locations were included in the sample. With the help of Nvivo and SPSS version 22, it employs both descriptive and inferential statistics to examine its data utilizing multiple regression analysis. The study found that there was a significant impact of technological innovation on profitability in hypothesis one (1), with an f-value of 13.51 for the mean square regression to the mean square residual, an R-value of.377, and a significance level of.000. The researchers were compelled to conclude that economic integration significantly affects SMEs' market share because hypothesis two (2) also showed an R-value of.556 and a significance level of.000. With an R-value of.520, a significant level of.000, a mean square of 0.193, and a variability in the dependent variable of 86.330, hypothesis three (3) demonstrates that tele-migration affects SMEs. The final and fourth hypotheses were likewise below the 5% error threshold. With an R-value of.497 and a significance level of.000, the product quality was significantly explained by all variables. After evaluating every factor taken into account, the study came to the conclusion that globalization has a substantially favorable impact on the performance of SMEs in the chosen states of North-Central Nigeria. Therefore, the study suggests that SMEs' management should be aggressive in conducting business outside of their physical location through outsourcing, tele-migration, and other market destinations. Additionally, SMEs' operations necessitated focusing on their core competencies. To improve the quality of their products or services, SMEs must confer with other supporting services.</w:t>
      </w:r>
    </w:p>
    <w:p w14:paraId="4D2B0F44">
      <w:pPr>
        <w:spacing w:line="240" w:lineRule="auto"/>
        <w:jc w:val="both"/>
        <w:rPr>
          <w:rFonts w:ascii="Garamond" w:hAnsi="Garamond"/>
        </w:rPr>
      </w:pPr>
    </w:p>
    <w:p w14:paraId="68EBE815">
      <w:pPr>
        <w:jc w:val="both"/>
        <w:rPr>
          <w:rFonts w:ascii="Garamond" w:hAnsi="Garamond" w:cs="Garamond"/>
          <w:b/>
          <w:bCs/>
          <w:i/>
          <w:iCs/>
          <w:color w:val="404040"/>
        </w:rPr>
      </w:pPr>
      <w:r>
        <w:rPr>
          <w:rStyle w:val="16"/>
          <w:rFonts w:ascii="Garamond" w:hAnsi="Garamond" w:cs="Garamond"/>
          <w:i/>
          <w:iCs/>
          <w:color w:val="404040"/>
        </w:rPr>
        <w:t>Keywords</w:t>
      </w:r>
      <w:r>
        <w:rPr>
          <w:rFonts w:ascii="Garamond" w:hAnsi="Garamond" w:cs="Garamond"/>
          <w:b/>
          <w:bCs/>
          <w:i/>
          <w:iCs/>
          <w:color w:val="404040"/>
        </w:rPr>
        <w:t>: Globalization, Economic integration,  Tele-migration and outsourcing</w:t>
      </w:r>
    </w:p>
    <w:p w14:paraId="2CB7DFD3">
      <w:pPr>
        <w:spacing w:line="240" w:lineRule="auto"/>
        <w:jc w:val="both"/>
        <w:rPr>
          <w:rFonts w:ascii="Garamond" w:hAnsi="Garamond"/>
        </w:rPr>
      </w:pPr>
    </w:p>
    <w:p w14:paraId="6695475B">
      <w:pPr>
        <w:spacing w:line="240" w:lineRule="auto"/>
        <w:jc w:val="both"/>
        <w:rPr>
          <w:rFonts w:ascii="Garamond" w:hAnsi="Garamond"/>
        </w:rPr>
      </w:pPr>
    </w:p>
    <w:p w14:paraId="1E8AD510">
      <w:pPr>
        <w:spacing w:line="240" w:lineRule="auto"/>
        <w:jc w:val="both"/>
        <w:rPr>
          <w:rFonts w:ascii="Garamond" w:hAnsi="Garamond"/>
        </w:rPr>
      </w:pPr>
    </w:p>
    <w:p w14:paraId="01851079">
      <w:pPr>
        <w:spacing w:line="240" w:lineRule="auto"/>
        <w:jc w:val="both"/>
        <w:rPr>
          <w:rFonts w:ascii="Garamond" w:hAnsi="Garamond"/>
        </w:rPr>
      </w:pPr>
    </w:p>
    <w:p w14:paraId="24711B16">
      <w:pPr>
        <w:numPr>
          <w:ilvl w:val="0"/>
          <w:numId w:val="1"/>
        </w:numPr>
        <w:spacing w:after="0" w:line="240" w:lineRule="auto"/>
        <w:jc w:val="both"/>
        <w:rPr>
          <w:rFonts w:ascii="Garamond" w:hAnsi="Garamond" w:cs="Garamond"/>
          <w:b/>
          <w:bCs/>
          <w:sz w:val="28"/>
          <w:szCs w:val="28"/>
        </w:rPr>
      </w:pPr>
      <w:r>
        <w:rPr>
          <w:rFonts w:ascii="Garamond" w:hAnsi="Garamond" w:cs="Garamond"/>
          <w:b/>
          <w:bCs/>
          <w:sz w:val="28"/>
          <w:szCs w:val="28"/>
        </w:rPr>
        <w:t>Introduction</w:t>
      </w:r>
    </w:p>
    <w:p w14:paraId="6F6DD424">
      <w:pPr>
        <w:spacing w:line="240" w:lineRule="auto"/>
        <w:jc w:val="both"/>
        <w:rPr>
          <w:rFonts w:ascii="Garamond" w:hAnsi="Garamond"/>
        </w:rPr>
      </w:pPr>
    </w:p>
    <w:p w14:paraId="211A02FE">
      <w:pPr>
        <w:spacing w:line="240" w:lineRule="auto"/>
        <w:ind w:firstLine="720" w:firstLineChars="0"/>
        <w:jc w:val="both"/>
        <w:rPr>
          <w:rFonts w:ascii="Garamond" w:hAnsi="Garamond"/>
        </w:rPr>
      </w:pPr>
      <w:r>
        <w:rPr>
          <w:rFonts w:ascii="Garamond" w:hAnsi="Garamond"/>
        </w:rPr>
        <w:t>Globalization has emerged as a key factor influencing corporate operations worldwide and reshaping economic landscapes in an interconnected and interdependent world. Small and medium-sized businesses (SMEs), which are seen as the foundation of most economies, are crucial for promoting economic expansion, creating jobs, and lowering poverty. SMEs contribute to local development and livelihoods in underdeveloped nations, acting as the vital fuel that propels global economies forward. The most populous nation in Africa, Nigeria, has a thriving economy, with each of its many regions feeling the effects of globalization in a unique way (Akyuz &amp; Opusunju, 2019). Small and Medium Enterprises (SMEs) plays a key role in economic development as they have been the main source of employment generation and output growth in developing and developed countries (Love and Roper, 2013). They comprise the majority of enterprises globally and have a significant impact on the creation of jobs, the supply of products and services, raising living standards, and the GDP of nations (OECD, 2000). Therefore, in both developed and developing nations, SMEs play a significant role in national development.</w:t>
      </w:r>
    </w:p>
    <w:p w14:paraId="03010AB9">
      <w:pPr>
        <w:spacing w:line="240" w:lineRule="auto"/>
        <w:ind w:firstLine="720" w:firstLineChars="0"/>
        <w:jc w:val="both"/>
        <w:rPr>
          <w:rFonts w:ascii="Garamond" w:hAnsi="Garamond"/>
        </w:rPr>
      </w:pPr>
      <w:r>
        <w:rPr>
          <w:rFonts w:ascii="Garamond" w:hAnsi="Garamond"/>
        </w:rPr>
        <w:t>Because developed nations have an advantage over other nations in terms of technological advancement, economic integration, which arises as a result of globalization and leads to trade openness, or the interdependence of one economy on another for mutual benefit, is on the rise and is primarily utilized by them. The majority of developing countries, including Nigeria, have also shown remarkable use of technology to conduct business, particularly in the financial sector. However, there has been little success in the area of small and medium-sized enterprises (SMEs) whose primary focus is on non-utilization of technology (Oladimeji &amp; Muhammed, 2017). Similar to how information and computer technology fueled globalization in the early 1990s, tele-migration played a significant role in making manufacturing digitalization a reality.The reality on the ground is that small and medium-sized businesses in developing nations seem to gain less in terms of efficiency and fewer benefits due to the low level of technical advancement in less developed economies. For SMEs, the availability of accessible and reasonably priced funding continues to be a major challenge. Although international investments are made possible by globalization, many businesses have limited growth prospects due to the difficulty of obtaining funding on favourable terms (Oladimeji, Ebodaghe &amp; Shobayo, 2017).</w:t>
      </w:r>
    </w:p>
    <w:p w14:paraId="1D1BC377">
      <w:pPr>
        <w:spacing w:line="240" w:lineRule="auto"/>
        <w:ind w:firstLine="720" w:firstLineChars="0"/>
        <w:jc w:val="both"/>
        <w:rPr>
          <w:rFonts w:ascii="Garamond" w:hAnsi="Garamond"/>
        </w:rPr>
      </w:pPr>
      <w:r>
        <w:rPr>
          <w:rFonts w:ascii="Garamond" w:hAnsi="Garamond"/>
        </w:rPr>
        <w:t>Nigeria's North-Central area, which includes states like Niger, Kwara, Kogi, Benue, Nasarawa, and Plateau, has a rich cultural legacy and enormous economic potential. Though globalization opens doors to new markets, technological advancements, and foreign investments, it also presents SMEs with increased competition, market volatility, and policy uncertainties. Like many other regions of the world, this area faces both opportunities and challenges arising from the complex forces of globalization. In light of this, the study aims to investigate how globalization has affected the performance of small and medium-sized enterprises in Nigeria's north-central region. by analyzing the unique effects of globalization on North-central Nigerian SMEs' performance.</w:t>
      </w:r>
    </w:p>
    <w:p w14:paraId="68057C44">
      <w:pPr>
        <w:spacing w:line="240" w:lineRule="auto"/>
        <w:jc w:val="both"/>
        <w:rPr>
          <w:rFonts w:ascii="Garamond" w:hAnsi="Garamond" w:cs="Garamond"/>
          <w:b/>
          <w:bCs/>
          <w:sz w:val="28"/>
          <w:szCs w:val="28"/>
        </w:rPr>
      </w:pPr>
      <w:r>
        <w:rPr>
          <w:rFonts w:ascii="Garamond" w:hAnsi="Garamond" w:cs="Garamond"/>
          <w:b/>
          <w:bCs/>
          <w:sz w:val="28"/>
          <w:szCs w:val="28"/>
        </w:rPr>
        <w:t>2.0 Literature Review</w:t>
      </w:r>
    </w:p>
    <w:p w14:paraId="399549C6">
      <w:pPr>
        <w:pStyle w:val="37"/>
        <w:jc w:val="both"/>
        <w:rPr>
          <w:rFonts w:ascii="Garamond" w:hAnsi="Garamond" w:cs="Times New Roman"/>
        </w:rPr>
      </w:pPr>
      <w:r>
        <w:rPr>
          <w:rStyle w:val="16"/>
          <w:rFonts w:hint="default" w:ascii="Garamond" w:hAnsi="Garamond" w:cs="Times New Roman"/>
          <w:lang w:val="en-US"/>
        </w:rPr>
        <w:t>1</w:t>
      </w:r>
      <w:r>
        <w:rPr>
          <w:rStyle w:val="16"/>
          <w:rFonts w:ascii="Garamond" w:hAnsi="Garamond" w:cs="Times New Roman"/>
        </w:rPr>
        <w:t>. Conceptualizing Globalization</w:t>
      </w:r>
    </w:p>
    <w:p w14:paraId="19115E0C">
      <w:pPr>
        <w:spacing w:line="240" w:lineRule="auto"/>
        <w:ind w:firstLine="720" w:firstLineChars="0"/>
        <w:jc w:val="both"/>
        <w:rPr>
          <w:rFonts w:ascii="Garamond" w:hAnsi="Garamond"/>
        </w:rPr>
      </w:pPr>
      <w:r>
        <w:rPr>
          <w:rFonts w:ascii="Garamond" w:hAnsi="Garamond"/>
        </w:rPr>
        <w:t>One of the most contentious and complex ideas in modern social science is globalization. In general, it refers to the intensification of cross-border flows of people, capital, ideas, goods, and services that result in a greater degree of global interconnection. There is, however, no agreement on its meaning in the literature. While some academics define globalization as the strengthening of international social relations (Giddens, 1990), others define it as the compression of time and space (Harvey, 1989). According to Robertson (1992), globalization has both material integration and global consciousness, which reflect its cultural and economic aspects. The interdisciplinary character of globalization, which includes political science, economics, sociology, and cultural studies, is highlighted by this definitional diversity.</w:t>
      </w:r>
    </w:p>
    <w:p w14:paraId="04E75F66">
      <w:pPr>
        <w:pStyle w:val="37"/>
        <w:jc w:val="both"/>
        <w:rPr>
          <w:rFonts w:ascii="Garamond" w:hAnsi="Garamond" w:cs="Times New Roman"/>
          <w:b/>
          <w:bCs/>
        </w:rPr>
      </w:pPr>
      <w:r>
        <w:rPr>
          <w:rStyle w:val="16"/>
          <w:rFonts w:ascii="Garamond" w:hAnsi="Garamond" w:cs="Times New Roman"/>
        </w:rPr>
        <w:t>Major Theoretical Perspectives</w:t>
      </w:r>
    </w:p>
    <w:p w14:paraId="3B437591">
      <w:pPr>
        <w:pStyle w:val="37"/>
        <w:numPr>
          <w:ilvl w:val="0"/>
          <w:numId w:val="2"/>
        </w:numPr>
        <w:jc w:val="both"/>
        <w:rPr>
          <w:rStyle w:val="16"/>
          <w:rFonts w:ascii="Garamond" w:hAnsi="Garamond" w:cs="Times New Roman"/>
        </w:rPr>
      </w:pPr>
      <w:r>
        <w:rPr>
          <w:rStyle w:val="16"/>
          <w:rFonts w:ascii="Garamond" w:hAnsi="Garamond" w:cs="Times New Roman"/>
        </w:rPr>
        <w:t>Hyperglobalist Perspective</w:t>
      </w:r>
    </w:p>
    <w:p w14:paraId="7708CC9B">
      <w:pPr>
        <w:spacing w:after="0" w:line="240" w:lineRule="auto"/>
        <w:jc w:val="both"/>
        <w:rPr>
          <w:rFonts w:ascii="Garamond" w:hAnsi="Garamond" w:eastAsia="Times New Roman" w:cs="Times New Roman"/>
          <w:kern w:val="0"/>
          <w14:ligatures w14:val="none"/>
        </w:rPr>
      </w:pPr>
    </w:p>
    <w:p w14:paraId="0FB88561">
      <w:pPr>
        <w:spacing w:after="0" w:line="240" w:lineRule="auto"/>
        <w:ind w:firstLine="720" w:firstLineChars="0"/>
        <w:jc w:val="both"/>
        <w:rPr>
          <w:rFonts w:ascii="Garamond" w:hAnsi="Garamond" w:eastAsia="Times New Roman" w:cs="Times New Roman"/>
          <w:kern w:val="0"/>
          <w14:ligatures w14:val="none"/>
        </w:rPr>
      </w:pPr>
      <w:r>
        <w:rPr>
          <w:rFonts w:ascii="Garamond" w:hAnsi="Garamond" w:eastAsia="Times New Roman" w:cs="Times New Roman"/>
          <w:kern w:val="0"/>
          <w14:ligatures w14:val="none"/>
        </w:rPr>
        <w:t>Globalization, according to hyperglobalists like Ohmae (1990), Friedman (2005), and Levitt (1983), symbolizes a borderless world where national economies are becoming less and less significant. They contend that global processes are dominated by market forces, which promote wealth, efficiency, and economic integration. In a similar vein, Castells (1996) highlights the rise of the network society, where digital technologies facilitate international social and economic integration. But this viewpoint is criticized for: Exaggerating the nation-state's demise, ignoring disparities in global involvement, and assuming that globalization will benefit everyone.</w:t>
      </w:r>
    </w:p>
    <w:p w14:paraId="3D49A5AD">
      <w:pPr>
        <w:pStyle w:val="15"/>
        <w:jc w:val="both"/>
        <w:rPr>
          <w:rFonts w:ascii="Garamond" w:hAnsi="Garamond" w:cs="Garamond"/>
        </w:rPr>
      </w:pPr>
      <w:r>
        <w:rPr>
          <w:rStyle w:val="16"/>
          <w:rFonts w:ascii="Garamond" w:hAnsi="Garamond" w:cs="Garamond"/>
        </w:rPr>
        <w:t>b. Sceptical Perspective</w:t>
      </w:r>
    </w:p>
    <w:p w14:paraId="73CEFBEB">
      <w:pPr>
        <w:pStyle w:val="37"/>
        <w:ind w:firstLine="720" w:firstLineChars="0"/>
        <w:jc w:val="both"/>
        <w:rPr>
          <w:rFonts w:ascii="Garamond" w:hAnsi="Garamond" w:cs="Times New Roman"/>
        </w:rPr>
      </w:pPr>
      <w:r>
        <w:rPr>
          <w:rFonts w:ascii="Garamond" w:hAnsi="Garamond" w:cs="Times New Roman"/>
        </w:rPr>
        <w:t>Critics like Wade (1996) and Hirst and Thompson (1999) contend that globalization is exaggerated and that the global economy is still primarily regionalized rather than completely globalized. They insist that investment and trade are concentrated in specific areas. Economic policy is still largely in the control of national governments. While sceptics provide a helpful remedy, detractors contend that: They ignore emerging forms of global interdependence and undervalue technological change.</w:t>
      </w:r>
    </w:p>
    <w:p w14:paraId="62FFA678">
      <w:pPr>
        <w:pStyle w:val="15"/>
        <w:jc w:val="both"/>
        <w:rPr>
          <w:rFonts w:ascii="Garamond" w:hAnsi="Garamond" w:cs="Garamond"/>
        </w:rPr>
      </w:pPr>
      <w:r>
        <w:rPr>
          <w:rStyle w:val="16"/>
          <w:rFonts w:ascii="Garamond" w:hAnsi="Garamond" w:cs="Garamond"/>
        </w:rPr>
        <w:t>c. Transformationalist Perspective</w:t>
      </w:r>
    </w:p>
    <w:p w14:paraId="746BC142">
      <w:pPr>
        <w:spacing w:line="240" w:lineRule="auto"/>
        <w:ind w:firstLine="720" w:firstLineChars="0"/>
        <w:jc w:val="both"/>
        <w:rPr>
          <w:rFonts w:ascii="Garamond" w:hAnsi="Garamond"/>
        </w:rPr>
      </w:pPr>
      <w:r>
        <w:rPr>
          <w:rFonts w:ascii="Garamond" w:hAnsi="Garamond"/>
        </w:rPr>
        <w:t>Globalization, according to transformationalists like Held and McGrew (2000), Giddens (1990), and Beck (2000), is a historically unprecedented yet uneven process that restructures economies, cultures, and nations. This viewpoint emphasizes: The nation-state is changing rather than vanishing; global governance is becoming more complex; and integration and fragmentation coexist. Although this viewpoint is generally acknowledged, it is criticized for: Lack of obvious predictive power and conceptual ambiguity</w:t>
      </w:r>
    </w:p>
    <w:p w14:paraId="0C334AB3">
      <w:pPr>
        <w:pStyle w:val="15"/>
        <w:jc w:val="both"/>
        <w:rPr>
          <w:rFonts w:ascii="Garamond" w:hAnsi="Garamond"/>
        </w:rPr>
      </w:pPr>
      <w:r>
        <w:rPr>
          <w:rStyle w:val="16"/>
          <w:rFonts w:ascii="Garamond" w:hAnsi="Garamond" w:cs="Garamond"/>
        </w:rPr>
        <w:t>d. Cultural and Sociological Perspectives</w:t>
      </w:r>
    </w:p>
    <w:p w14:paraId="2CAF3A8D">
      <w:pPr>
        <w:spacing w:line="240" w:lineRule="auto"/>
        <w:ind w:firstLine="720" w:firstLineChars="0"/>
        <w:jc w:val="both"/>
        <w:rPr>
          <w:rFonts w:ascii="Garamond" w:hAnsi="Garamond"/>
        </w:rPr>
      </w:pPr>
      <w:r>
        <w:rPr>
          <w:rFonts w:ascii="Garamond" w:hAnsi="Garamond"/>
        </w:rPr>
        <w:t>Sociological and cultural viewpoints are also used to analyze globalization. Appadurai (1996) highlights cultural fluxes and diversity by characterizing globalization as a collection of global "scapes" (ethnoscapes, mediascapes, financescapes). Global cities have a key role in structuring economic globalization, according to Sassen (2001). The uneven effects of globalization, especially social exclusion, are highlighted by Bauman (1998). Additionally, globalization is conceptualized by Scholte (2005) as deterritorialization, in which social relationships transcend national borders. Although these viewpoints emphasize non-economic aspects, they are criticized for lacking quantifiable factual frameworks and undervaluing economic structures</w:t>
      </w:r>
    </w:p>
    <w:p w14:paraId="76EF52C2">
      <w:pPr>
        <w:pStyle w:val="15"/>
        <w:jc w:val="both"/>
        <w:rPr>
          <w:rStyle w:val="16"/>
          <w:rFonts w:ascii="Garamond" w:hAnsi="Garamond" w:cs="Garamond"/>
        </w:rPr>
      </w:pPr>
    </w:p>
    <w:p w14:paraId="7AB91F64">
      <w:pPr>
        <w:pStyle w:val="15"/>
        <w:jc w:val="both"/>
        <w:rPr>
          <w:rStyle w:val="16"/>
          <w:rFonts w:ascii="Garamond" w:hAnsi="Garamond" w:cs="Garamond"/>
        </w:rPr>
      </w:pPr>
      <w:r>
        <w:rPr>
          <w:rStyle w:val="16"/>
          <w:rFonts w:ascii="Garamond" w:hAnsi="Garamond" w:cs="Garamond"/>
        </w:rPr>
        <w:t>e. Governance and Political Dimensions</w:t>
      </w:r>
    </w:p>
    <w:p w14:paraId="45807FC9">
      <w:pPr>
        <w:pStyle w:val="15"/>
        <w:ind w:firstLine="720" w:firstLineChars="0"/>
        <w:jc w:val="both"/>
        <w:rPr>
          <w:rFonts w:ascii="Garamond" w:hAnsi="Garamond"/>
        </w:rPr>
      </w:pPr>
      <w:r>
        <w:rPr>
          <w:rFonts w:ascii="Garamond" w:hAnsi="Garamond"/>
        </w:rPr>
        <w:t>State sovereignty and governance are significantly impacted by globalization. The intricate connection of international politics is shown by Keohane and Nye (2000). Globalization, according to Strange (1996), transfers power from states to markets. Furthermore, the rise of global governance outside of nation-states is highlighted by Rosenau (1997). These viewpoints show how governance systems are altered by globalization, although they frequently ignore governance issues in emerging economies and concentrate on industrialized nations.</w:t>
      </w:r>
    </w:p>
    <w:p w14:paraId="128FD54F">
      <w:pPr>
        <w:pStyle w:val="15"/>
        <w:jc w:val="both"/>
        <w:rPr>
          <w:rFonts w:ascii="Garamond" w:hAnsi="Garamond"/>
          <w:b/>
          <w:bCs/>
        </w:rPr>
      </w:pPr>
      <w:r>
        <w:rPr>
          <w:rStyle w:val="16"/>
          <w:rFonts w:hint="default" w:ascii="Garamond" w:hAnsi="Garamond"/>
          <w:b/>
          <w:bCs/>
          <w:lang w:val="en-US"/>
        </w:rPr>
        <w:t>2</w:t>
      </w:r>
      <w:r>
        <w:rPr>
          <w:rStyle w:val="16"/>
          <w:rFonts w:ascii="Garamond" w:hAnsi="Garamond"/>
          <w:b/>
          <w:bCs/>
        </w:rPr>
        <w:t>. Conceptual Foundations of Economic Integration</w:t>
      </w:r>
    </w:p>
    <w:p w14:paraId="39514C05">
      <w:pPr>
        <w:pStyle w:val="15"/>
        <w:ind w:firstLine="720" w:firstLineChars="0"/>
        <w:jc w:val="both"/>
        <w:rPr>
          <w:rFonts w:ascii="Garamond" w:hAnsi="Garamond"/>
        </w:rPr>
      </w:pPr>
      <w:r>
        <w:rPr>
          <w:rFonts w:ascii="Garamond" w:hAnsi="Garamond"/>
        </w:rPr>
        <w:t>The process of removing trade barriers and coordinating economic policies to create greater interdependence and welfare advantages is known as economic integration. According to early conceptualizations by Balassa (1961), integration is a multi-phase process that includes economic union, free trade area, customs union, common market, and total integration. The idea of comparative advantage, which emphasizes efficiency advantages from specialization, was developed by scientists like David Ricardo (1817), building on prior theories of international trade. Nonetheless, the analysis of how policy coordination affects both member and non-member economies has led to the development of the current theory of economic integration as a separate science.</w:t>
      </w:r>
    </w:p>
    <w:p w14:paraId="094B3029">
      <w:pPr>
        <w:pStyle w:val="15"/>
        <w:jc w:val="both"/>
        <w:rPr>
          <w:rFonts w:ascii="Garamond" w:hAnsi="Garamond"/>
          <w:b/>
          <w:bCs/>
        </w:rPr>
      </w:pPr>
      <w:r>
        <w:rPr>
          <w:rStyle w:val="16"/>
          <w:rFonts w:ascii="Garamond" w:hAnsi="Garamond" w:cs="Garamond" w:eastAsiaTheme="minorEastAsia"/>
          <w:b/>
          <w:bCs/>
        </w:rPr>
        <w:t>a. Classical Theories of Economic Integration</w:t>
      </w:r>
    </w:p>
    <w:p w14:paraId="24835064">
      <w:pPr>
        <w:spacing w:beforeAutospacing="1" w:afterAutospacing="1" w:line="240" w:lineRule="auto"/>
        <w:jc w:val="both"/>
        <w:rPr>
          <w:rFonts w:ascii="Garamond" w:hAnsi="Garamond" w:eastAsia="SimSun" w:cs="Garamond"/>
          <w:b/>
          <w:bCs/>
          <w:lang w:bidi="ar"/>
        </w:rPr>
      </w:pPr>
      <w:r>
        <w:rPr>
          <w:rStyle w:val="16"/>
          <w:rFonts w:ascii="Garamond" w:hAnsi="Garamond" w:cs="Garamond" w:eastAsiaTheme="minorEastAsia"/>
          <w:b/>
          <w:bCs/>
          <w:kern w:val="0"/>
          <w:lang w:eastAsia="zh-CN"/>
        </w:rPr>
        <w:t>Customs Union Theory</w:t>
      </w:r>
    </w:p>
    <w:p w14:paraId="44E1287A">
      <w:pPr>
        <w:pStyle w:val="15"/>
        <w:ind w:firstLine="720" w:firstLineChars="0"/>
        <w:jc w:val="both"/>
        <w:rPr>
          <w:rFonts w:ascii="Garamond" w:hAnsi="Garamond"/>
        </w:rPr>
      </w:pPr>
      <w:r>
        <w:rPr>
          <w:rFonts w:ascii="Garamond" w:hAnsi="Garamond"/>
        </w:rPr>
        <w:t>Jacob Viner (1950) is credited for laying the traditional groundwork for economic integration by introducing the ideas of trade diversion and trade creation. These notions remain crucial to analyzing welfare consequences of integration arrangements. Scholars like Meade (1955), Lipsey (1957), and Johnson (1960) advanced welfare analysis under imperfect competition and dynamic situations, further refining Viner's approach. Balassa (1961) highlighted the growth implications of integration, especially through market expansion and economies of scale, and synthesised these contributions into a single framework.</w:t>
      </w:r>
    </w:p>
    <w:p w14:paraId="2DD560F5">
      <w:pPr>
        <w:pStyle w:val="15"/>
        <w:jc w:val="both"/>
        <w:rPr>
          <w:rFonts w:ascii="Garamond" w:hAnsi="Garamond"/>
          <w:b/>
          <w:bCs/>
        </w:rPr>
      </w:pPr>
      <w:r>
        <w:rPr>
          <w:rStyle w:val="16"/>
          <w:rFonts w:ascii="Garamond" w:hAnsi="Garamond" w:cs="Garamond" w:eastAsiaTheme="minorEastAsia"/>
          <w:b/>
          <w:bCs/>
        </w:rPr>
        <w:t>b. Structuralist and Development Perspectives</w:t>
      </w:r>
    </w:p>
    <w:p w14:paraId="3EFAD7C2">
      <w:pPr>
        <w:spacing w:after="0" w:line="240" w:lineRule="auto"/>
        <w:ind w:firstLine="720" w:firstLineChars="0"/>
        <w:jc w:val="both"/>
        <w:rPr>
          <w:rFonts w:ascii="Garamond" w:hAnsi="Garamond" w:eastAsia="Times New Roman" w:cs="Times New Roman"/>
          <w:kern w:val="0"/>
          <w14:ligatures w14:val="none"/>
        </w:rPr>
      </w:pPr>
      <w:r>
        <w:rPr>
          <w:rFonts w:ascii="Garamond" w:hAnsi="Garamond" w:eastAsia="Times New Roman" w:cs="Times New Roman"/>
          <w:kern w:val="0"/>
          <w14:ligatures w14:val="none"/>
        </w:rPr>
        <w:t>A critical viewpoint was introduced by development economists including Prebisch (1950), Singer (1950), Myrdal (1957), Lewis (1954), Hirschman (1958), and Nurkse (1953). These academics: questioned the advantages of trade liberalization for all, emphasized the necessity of regional integration among developing nations and highlighted structural limitations in developing economies. Their efforts had an impact on integration strategies like regional cooperation in Latin America and Africa, and import substitution industrialization (ISI).</w:t>
      </w:r>
    </w:p>
    <w:p w14:paraId="1E82BC8B">
      <w:pPr>
        <w:numPr>
          <w:ilvl w:val="0"/>
          <w:numId w:val="3"/>
        </w:numPr>
        <w:spacing w:beforeAutospacing="1" w:after="0" w:afterAutospacing="1" w:line="240" w:lineRule="auto"/>
        <w:jc w:val="both"/>
        <w:rPr>
          <w:rFonts w:ascii="Garamond" w:hAnsi="Garamond" w:eastAsia="Segoe UI" w:cs="Garamond"/>
          <w:lang w:bidi="ar"/>
        </w:rPr>
      </w:pPr>
      <w:r>
        <w:rPr>
          <w:rStyle w:val="16"/>
          <w:rFonts w:ascii="Garamond" w:hAnsi="Garamond" w:cs="Garamond" w:eastAsiaTheme="minorEastAsia"/>
          <w:b w:val="0"/>
          <w:bCs w:val="0"/>
          <w:kern w:val="0"/>
          <w:lang w:eastAsia="zh-CN"/>
        </w:rPr>
        <w:t>Political Economy of Integration</w:t>
      </w:r>
    </w:p>
    <w:p w14:paraId="70F26F04">
      <w:pPr>
        <w:spacing w:after="0" w:line="240" w:lineRule="auto"/>
        <w:jc w:val="both"/>
        <w:rPr>
          <w:rFonts w:ascii="Garamond" w:hAnsi="Garamond" w:eastAsia="Times New Roman" w:cs="Times New Roman"/>
          <w:kern w:val="0"/>
          <w14:ligatures w14:val="none"/>
        </w:rPr>
      </w:pPr>
      <w:r>
        <w:rPr>
          <w:rFonts w:ascii="Garamond" w:hAnsi="Garamond" w:eastAsia="Times New Roman" w:cs="Times New Roman"/>
          <w:kern w:val="0"/>
          <w14:ligatures w14:val="none"/>
        </w:rPr>
        <w:t>Numerous academics, including Positive and negative integration by Tinbergen (1965), transactionalism by Deutsch (1957), neofunctionalism by Haas (1958) and Schmitter (1970), intergovernmentalism by Moravcsik (1993), and multi-level governance by Hooghe and Marks (2001). These viewpoints emphasize that economic integration is: Driven by institutions, governance structures, and group decision-making; it is not only economic but also political. The focus of contemporary writing has switched to global value chains (GVCs) and "deep integration."</w:t>
      </w:r>
    </w:p>
    <w:p w14:paraId="78EFF1BA">
      <w:pPr>
        <w:numPr>
          <w:ilvl w:val="0"/>
          <w:numId w:val="3"/>
        </w:numPr>
        <w:spacing w:beforeAutospacing="1" w:after="0" w:afterAutospacing="1" w:line="240" w:lineRule="auto"/>
        <w:jc w:val="both"/>
        <w:rPr>
          <w:rFonts w:ascii="Garamond" w:hAnsi="Garamond" w:eastAsia="Segoe UI" w:cs="Garamond"/>
          <w:lang w:bidi="ar"/>
        </w:rPr>
      </w:pPr>
      <w:r>
        <w:rPr>
          <w:rStyle w:val="16"/>
          <w:rFonts w:ascii="Garamond" w:hAnsi="Garamond" w:cs="Garamond" w:eastAsiaTheme="minorEastAsia"/>
          <w:b w:val="0"/>
          <w:bCs w:val="0"/>
          <w:kern w:val="0"/>
          <w:lang w:eastAsia="zh-CN"/>
        </w:rPr>
        <w:t>Global Value Chain Approach</w:t>
      </w:r>
    </w:p>
    <w:p w14:paraId="51CC966F">
      <w:pPr>
        <w:spacing w:after="0" w:line="240" w:lineRule="auto"/>
        <w:ind w:firstLine="720" w:firstLineChars="0"/>
        <w:jc w:val="both"/>
        <w:rPr>
          <w:rFonts w:ascii="Garamond" w:hAnsi="Garamond" w:eastAsia="Times New Roman" w:cs="Times New Roman"/>
          <w:kern w:val="0"/>
          <w14:ligatures w14:val="none"/>
        </w:rPr>
      </w:pPr>
      <w:r>
        <w:rPr>
          <w:rFonts w:ascii="Garamond" w:hAnsi="Garamond" w:eastAsia="Times New Roman" w:cs="Times New Roman"/>
          <w:kern w:val="0"/>
          <w14:ligatures w14:val="none"/>
        </w:rPr>
        <w:t>Antràs (2020), Pietrobelli, Rabellotti, and Van Assche (2021), Kano, Tsang, and Yeung (2020), and Borin, Mancini, and Taglioni (2025). emphasized the following: International production fragmentation, task integration as opposed to product integration, Multinational corporations' influence on integration. Participation in GVC increases access to markets and technology, but it also entails concerns including inequality and susceptibility to outside shocks. Deep Trade Contracts: Researchers like Ruta (2017) and others highlight the importance of: Non-tariff measures, regulatory harmonization, and institutional frameworks. However, there have been numerous criticisms of contemporary literature lately, including the undervaluation of labor and social impacts, the overemphasis on efficiency gains, and the lack of actual data from emerging economies.</w:t>
      </w:r>
    </w:p>
    <w:p w14:paraId="06498C39">
      <w:pPr>
        <w:pStyle w:val="15"/>
        <w:ind w:firstLine="720" w:firstLineChars="0"/>
        <w:jc w:val="both"/>
        <w:rPr>
          <w:rFonts w:ascii="Garamond" w:hAnsi="Garamond"/>
        </w:rPr>
      </w:pPr>
      <w:r>
        <w:rPr>
          <w:rFonts w:ascii="Garamond" w:hAnsi="Garamond"/>
        </w:rPr>
        <w:t>From trade-based static analysis to intricate, multi-layered frameworks encompassing institutions, production networks, and globalization dynamics, the literature on economic integration clearly shows a progression. Modern scholars like Krugman, Antràs, Kano, and Yeung have expanded the scope to include global value chains and deep integration, while classical scholars like Viner, Meade, and Balassa provided fundamental insights.</w:t>
      </w:r>
    </w:p>
    <w:p w14:paraId="2E7534A2">
      <w:pPr>
        <w:pStyle w:val="15"/>
        <w:numPr>
          <w:ilvl w:val="0"/>
          <w:numId w:val="1"/>
        </w:numPr>
        <w:ind w:left="0" w:leftChars="0" w:firstLine="0" w:firstLineChars="0"/>
        <w:jc w:val="both"/>
        <w:rPr>
          <w:rFonts w:ascii="Garamond" w:hAnsi="Garamond"/>
        </w:rPr>
      </w:pPr>
      <w:r>
        <w:rPr>
          <w:rStyle w:val="16"/>
          <w:rFonts w:ascii="Garamond" w:hAnsi="Garamond"/>
        </w:rPr>
        <w:t>Conceptualising Telemigration</w:t>
      </w:r>
    </w:p>
    <w:p w14:paraId="02C96D9D">
      <w:pPr>
        <w:spacing w:after="0" w:line="240" w:lineRule="auto"/>
        <w:ind w:firstLine="720" w:firstLineChars="0"/>
        <w:jc w:val="both"/>
        <w:rPr>
          <w:rFonts w:ascii="Garamond" w:hAnsi="Garamond" w:eastAsia="Times New Roman" w:cs="Times New Roman"/>
          <w:kern w:val="0"/>
          <w14:ligatures w14:val="none"/>
        </w:rPr>
      </w:pPr>
      <w:r>
        <w:rPr>
          <w:rFonts w:ascii="Garamond" w:hAnsi="Garamond" w:eastAsia="Times New Roman" w:cs="Times New Roman"/>
          <w:kern w:val="0"/>
          <w14:ligatures w14:val="none"/>
        </w:rPr>
        <w:t>The term "telemigration," which refers to the cross-border provision of labor services via digital technology, is a relatively new idea in international economics and labor studies. It explains a scenario in which people remain physically in their native nation yet work for employers abroad. Baldwin (2019) popularized the idea, and Baldwin and Dingel (2021) expanded on it by framing telemigration as a type of service trade made possible by digital technologies. In a similar vein, telemigration is conceptualized by Tsapenko and Grishin (2022) as virtual labor migration in which workers transcend "digital borders" as opposed to physical ones. Thus, telemigration signifies a change in labor mobility from physical migration to virtual mobility, radically altering international labor markets.</w:t>
      </w:r>
    </w:p>
    <w:p w14:paraId="132653CB">
      <w:pPr>
        <w:pStyle w:val="15"/>
        <w:jc w:val="both"/>
        <w:rPr>
          <w:rFonts w:ascii="Garamond" w:hAnsi="Garamond"/>
          <w:b/>
          <w:bCs/>
        </w:rPr>
      </w:pPr>
      <w:r>
        <w:rPr>
          <w:rStyle w:val="16"/>
          <w:rFonts w:ascii="Garamond" w:hAnsi="Garamond" w:cs="Garamond"/>
          <w:b/>
          <w:bCs/>
        </w:rPr>
        <w:t>Theoretical Foundations of Tele-migration</w:t>
      </w:r>
    </w:p>
    <w:p w14:paraId="4069428D">
      <w:pPr>
        <w:pStyle w:val="15"/>
        <w:jc w:val="both"/>
        <w:rPr>
          <w:rFonts w:ascii="Garamond" w:hAnsi="Garamond"/>
          <w:b/>
        </w:rPr>
      </w:pPr>
      <w:r>
        <w:rPr>
          <w:rStyle w:val="16"/>
          <w:rFonts w:ascii="Garamond" w:hAnsi="Garamond" w:cs="Garamond"/>
        </w:rPr>
        <w:t>a. Trade and Comparative Advantage Frameworks</w:t>
      </w:r>
    </w:p>
    <w:p w14:paraId="2C1577A5">
      <w:pPr>
        <w:pStyle w:val="15"/>
        <w:ind w:firstLine="720" w:firstLineChars="0"/>
        <w:jc w:val="both"/>
        <w:rPr>
          <w:rFonts w:ascii="Garamond" w:hAnsi="Garamond"/>
        </w:rPr>
      </w:pPr>
      <w:r>
        <w:rPr>
          <w:rFonts w:ascii="Garamond" w:hAnsi="Garamond"/>
        </w:rPr>
        <w:t>Both traditional and contemporary trade theory serve as the theoretical foundation for telemigration: Comparative advantage by Ricardo (1817) Heckscher–Ohlin (Heckscher, 1919; Ohlin, 1933): factor endowments, Grossman and Rossi-Hansberg (2008): trade in tasks Baldwin and Dingel (2021) expand on these theories by viewing telemigration as the offshoring of tasks rather than products, highlighting the significance of reduced trade costs in services.</w:t>
      </w:r>
    </w:p>
    <w:p w14:paraId="6A485D0A">
      <w:pPr>
        <w:pStyle w:val="15"/>
        <w:jc w:val="both"/>
        <w:rPr>
          <w:rFonts w:ascii="Garamond" w:hAnsi="Garamond"/>
        </w:rPr>
      </w:pPr>
      <w:r>
        <w:rPr>
          <w:rStyle w:val="16"/>
          <w:rFonts w:ascii="Garamond" w:hAnsi="Garamond" w:cs="Garamond"/>
        </w:rPr>
        <w:t>b. Telemigration as Virtual Labour Mobility</w:t>
      </w:r>
    </w:p>
    <w:p w14:paraId="78335FF1">
      <w:pPr>
        <w:pStyle w:val="15"/>
        <w:ind w:firstLine="720" w:firstLineChars="0"/>
        <w:jc w:val="both"/>
        <w:rPr>
          <w:rFonts w:ascii="Garamond" w:hAnsi="Garamond"/>
        </w:rPr>
      </w:pPr>
      <w:r>
        <w:rPr>
          <w:rFonts w:ascii="Garamond" w:hAnsi="Garamond"/>
        </w:rPr>
        <w:t>The literature on labor markets and technological development is also expanded upon by telemigration: Autor, Levy, and Murnane (2003) discussed task-based labor analysis; Blinder (2007) discussed the offshorability of occupations; and Frey and Osborne (2017) discussed the automation susceptibility of employment. These studies set the foundation for telemigration by demonstrating how some jobs can be completed remotely. Researchers like Graham and Anwar (2019), Kässi and Lehdonvirta (2018), and Lehdonvirta (2018) have studied online labor platforms that enable telemigration and cross-border remote work. Furthermore, Andersen and Spanger (2024) highlight platform-mediated labor systems when examining the relationship between gig work and migration and international labor dynamics.</w:t>
      </w:r>
    </w:p>
    <w:p w14:paraId="6AF35A95">
      <w:pPr>
        <w:pStyle w:val="15"/>
        <w:ind w:firstLine="720" w:firstLineChars="0"/>
        <w:jc w:val="both"/>
        <w:rPr>
          <w:rFonts w:ascii="Garamond" w:hAnsi="Garamond"/>
        </w:rPr>
      </w:pPr>
      <w:r>
        <w:rPr>
          <w:rFonts w:ascii="Garamond" w:hAnsi="Garamond"/>
        </w:rPr>
        <w:t>M</w:t>
      </w:r>
      <w:r>
        <w:rPr>
          <w:rFonts w:hint="default" w:ascii="Garamond" w:hAnsi="Garamond"/>
          <w:lang w:val="en-US"/>
        </w:rPr>
        <w:t>any</w:t>
      </w:r>
      <w:r>
        <w:rPr>
          <w:rFonts w:ascii="Garamond" w:hAnsi="Garamond"/>
        </w:rPr>
        <w:t xml:space="preserve"> people are framing telemigration as a type of virtual migration: Jakubowski (2025) discusses the digital transformation of cross-border labor markets; Nikolaiets et al. (2023) discuss "virtual labor migrants" and hybrid work models; and Tsapenko and Grishin (2022) discuss telemigration as part of larger mobility developments. These studies stress that telemigration: lessens geographical restrictions, permits real-time worldwide labor involvement, and modifies the definition of the workplace.</w:t>
      </w:r>
    </w:p>
    <w:p w14:paraId="570FB79F">
      <w:pPr>
        <w:pStyle w:val="15"/>
        <w:ind w:firstLine="720" w:firstLineChars="0"/>
        <w:jc w:val="both"/>
        <w:rPr>
          <w:rFonts w:ascii="Garamond" w:hAnsi="Garamond"/>
        </w:rPr>
      </w:pPr>
      <w:r>
        <w:rPr>
          <w:rFonts w:ascii="Garamond" w:hAnsi="Garamond"/>
        </w:rPr>
        <w:t>The impact of telemigration has been the subject of recent empirical research. Baldwin and Dingel (2021) demonstrate that although telemigration flows are dependent on pay differentials and the volume of service trade, their overall influence is still small because of structural limitations. In their analysis of cross-border remote labor, Mieri</w:t>
      </w:r>
      <w:r>
        <w:t>ʻ</w:t>
      </w:r>
      <w:r>
        <w:rPr>
          <w:rFonts w:ascii="Garamond" w:hAnsi="Garamond"/>
        </w:rPr>
        <w:t xml:space="preserve">a and </w:t>
      </w:r>
      <w:r>
        <w:rPr>
          <w:rFonts w:ascii="Garamond" w:hAnsi="Garamond" w:cs="Garamond"/>
        </w:rPr>
        <w:t>Šū</w:t>
      </w:r>
      <w:r>
        <w:rPr>
          <w:rFonts w:ascii="Garamond" w:hAnsi="Garamond"/>
        </w:rPr>
        <w:t>pule (2024) demonstrate how it can lessen brain drain in nations that send migrants. Y</w:t>
      </w:r>
      <w:r>
        <w:rPr>
          <w:rFonts w:ascii="Garamond" w:hAnsi="Garamond" w:cs="Garamond"/>
        </w:rPr>
        <w:t>ü</w:t>
      </w:r>
      <w:r>
        <w:rPr>
          <w:rFonts w:ascii="Garamond" w:hAnsi="Garamond"/>
        </w:rPr>
        <w:t>cel (2024) highlights the effects of telemigration on labor rights and organizational structures while connecting it to offshoring and industrial relations.According to actual data, telemigration is increasing quickly as a result of the COVID-19 epidemic and digitalization. It is nevertheless dispersed unevenly across industries and geographical areas, which has a big impact on national labor markets.</w:t>
      </w:r>
    </w:p>
    <w:p w14:paraId="79CFD77B">
      <w:pPr>
        <w:pStyle w:val="15"/>
        <w:numPr>
          <w:numId w:val="0"/>
        </w:numPr>
        <w:ind w:leftChars="0"/>
        <w:jc w:val="both"/>
        <w:rPr>
          <w:rStyle w:val="16"/>
          <w:rFonts w:ascii="Garamond" w:hAnsi="Garamond"/>
          <w:b w:val="0"/>
          <w:bCs w:val="0"/>
        </w:rPr>
      </w:pPr>
      <w:r>
        <w:rPr>
          <w:rStyle w:val="16"/>
          <w:rFonts w:hint="default" w:ascii="Garamond" w:hAnsi="Garamond" w:cs="Garamond" w:eastAsiaTheme="minorEastAsia"/>
          <w:lang w:val="en-US"/>
        </w:rPr>
        <w:t>4.</w:t>
      </w:r>
      <w:r>
        <w:rPr>
          <w:rStyle w:val="16"/>
          <w:rFonts w:ascii="Garamond" w:hAnsi="Garamond" w:cs="Garamond" w:eastAsiaTheme="minorEastAsia"/>
        </w:rPr>
        <w:t>Conceptualisation of Outsourcing</w:t>
      </w:r>
    </w:p>
    <w:p w14:paraId="4F79E8F3">
      <w:pPr>
        <w:spacing w:after="0" w:line="240" w:lineRule="auto"/>
        <w:ind w:firstLine="720" w:firstLineChars="0"/>
        <w:jc w:val="both"/>
        <w:rPr>
          <w:rFonts w:ascii="Garamond" w:hAnsi="Garamond" w:eastAsia="Times New Roman" w:cs="Times New Roman"/>
          <w:kern w:val="0"/>
          <w14:ligatures w14:val="none"/>
        </w:rPr>
      </w:pPr>
      <w:r>
        <w:rPr>
          <w:rFonts w:ascii="Garamond" w:hAnsi="Garamond" w:eastAsia="Times New Roman" w:cs="Times New Roman"/>
          <w:kern w:val="0"/>
          <w14:ligatures w14:val="none"/>
        </w:rPr>
        <w:t>Outsourcing is roughly characterized as the transfer of previously internal organisational operations to external providers. It is a fundamental strategic choice about the firm's boundaries, especially the "make-or-buy" option. Although outsourcing's current form is ingrained in global production systems and service economies, early conceptualizations link it to industrial subcontracting processes. Outsourcing is emphasized by academics like Venkatesan (1992), Quél in and Duhamel (2003), Jacobs et al. (2007), and Beckman and Rosenfield (2008) as a way to increase productivity, adaptability, and competitiveness.</w:t>
      </w:r>
    </w:p>
    <w:p w14:paraId="48ADA7D0">
      <w:pPr>
        <w:pStyle w:val="15"/>
        <w:jc w:val="both"/>
        <w:rPr>
          <w:rFonts w:ascii="Garamond" w:hAnsi="Garamond"/>
        </w:rPr>
      </w:pPr>
      <w:r>
        <w:rPr>
          <w:rStyle w:val="16"/>
          <w:rFonts w:ascii="Garamond" w:hAnsi="Garamond" w:cs="Garamond" w:eastAsiaTheme="minorEastAsia"/>
        </w:rPr>
        <w:t>Theoretical Foundations of Outsourcing</w:t>
      </w:r>
    </w:p>
    <w:p w14:paraId="490BB0DA">
      <w:pPr>
        <w:numPr>
          <w:ilvl w:val="0"/>
          <w:numId w:val="4"/>
        </w:numPr>
        <w:spacing w:beforeAutospacing="1" w:after="0" w:afterAutospacing="1" w:line="240" w:lineRule="auto"/>
        <w:jc w:val="both"/>
        <w:rPr>
          <w:rFonts w:ascii="Garamond" w:hAnsi="Garamond" w:eastAsia="SimSun" w:cs="Garamond"/>
          <w:b/>
          <w:bCs/>
          <w:lang w:bidi="ar"/>
        </w:rPr>
      </w:pPr>
      <w:r>
        <w:rPr>
          <w:rStyle w:val="16"/>
          <w:rFonts w:ascii="Garamond" w:hAnsi="Garamond" w:cs="Garamond" w:eastAsiaTheme="minorEastAsia"/>
          <w:b w:val="0"/>
          <w:bCs w:val="0"/>
          <w:kern w:val="0"/>
          <w:lang w:eastAsia="zh-CN"/>
        </w:rPr>
        <w:t>Transaction Cost Economics (TCE)</w:t>
      </w:r>
    </w:p>
    <w:p w14:paraId="08618D1D">
      <w:pPr>
        <w:spacing w:after="0" w:line="240" w:lineRule="auto"/>
        <w:ind w:firstLine="720" w:firstLineChars="0"/>
        <w:jc w:val="both"/>
        <w:rPr>
          <w:rFonts w:ascii="Garamond" w:hAnsi="Garamond" w:eastAsia="Times New Roman" w:cs="Times New Roman"/>
          <w:kern w:val="0"/>
          <w14:ligatures w14:val="none"/>
        </w:rPr>
      </w:pPr>
      <w:r>
        <w:rPr>
          <w:rFonts w:ascii="Garamond" w:hAnsi="Garamond" w:eastAsia="Times New Roman" w:cs="Times New Roman"/>
          <w:kern w:val="0"/>
          <w14:ligatures w14:val="none"/>
        </w:rPr>
        <w:t>Transaction Cost Economics (TCE), which was created by: According to Coase (1937) and Williamson (1975, 1985), TCE defines outsourcing choices as attempts to reduce transaction costs, such as contracting, monitoring, and enforcement expenses. According to Williamson (2007), depending on the level of uncertainty, asset specificity, and transaction frequency, businesses can choose between market transactions (outsourcing), hybrid arrangements, and hierarchical control (internalization). Although the TCE offers a robust analytical framework, it is criticized for: Overemphasizing cost effectiveness, ignoring strategy and capacity factors, and presuming logical decision-making</w:t>
      </w:r>
    </w:p>
    <w:p w14:paraId="53DAEACF">
      <w:pPr>
        <w:spacing w:after="0" w:line="240" w:lineRule="auto"/>
        <w:jc w:val="both"/>
        <w:rPr>
          <w:rFonts w:ascii="Garamond" w:hAnsi="Garamond" w:eastAsia="Times New Roman" w:cs="Times New Roman"/>
          <w:kern w:val="0"/>
          <w14:ligatures w14:val="none"/>
        </w:rPr>
      </w:pPr>
    </w:p>
    <w:p w14:paraId="184DEB09">
      <w:pPr>
        <w:numPr>
          <w:ilvl w:val="0"/>
          <w:numId w:val="4"/>
        </w:numPr>
        <w:spacing w:beforeAutospacing="1" w:after="0" w:afterAutospacing="1" w:line="240" w:lineRule="auto"/>
        <w:jc w:val="both"/>
        <w:rPr>
          <w:rFonts w:ascii="Garamond" w:hAnsi="Garamond" w:eastAsia="SimSun" w:cs="Garamond"/>
          <w:b/>
          <w:bCs/>
          <w:lang w:bidi="ar"/>
        </w:rPr>
      </w:pPr>
      <w:r>
        <w:rPr>
          <w:rStyle w:val="16"/>
          <w:rFonts w:ascii="Garamond" w:hAnsi="Garamond" w:cs="Garamond" w:eastAsiaTheme="minorEastAsia"/>
          <w:b w:val="0"/>
          <w:bCs w:val="0"/>
          <w:kern w:val="0"/>
          <w:lang w:eastAsia="zh-CN"/>
        </w:rPr>
        <w:t>Resource-Based View (RBV)</w:t>
      </w:r>
    </w:p>
    <w:p w14:paraId="3032FD34">
      <w:pPr>
        <w:spacing w:after="0" w:line="240" w:lineRule="auto"/>
        <w:ind w:firstLine="720" w:firstLineChars="0"/>
        <w:jc w:val="both"/>
        <w:rPr>
          <w:rFonts w:ascii="Garamond" w:hAnsi="Garamond" w:eastAsia="Times New Roman" w:cs="Times New Roman"/>
          <w:kern w:val="0"/>
          <w14:ligatures w14:val="none"/>
        </w:rPr>
      </w:pPr>
      <w:r>
        <w:rPr>
          <w:rFonts w:ascii="Garamond" w:hAnsi="Garamond" w:eastAsia="Times New Roman" w:cs="Times New Roman"/>
          <w:kern w:val="0"/>
          <w14:ligatures w14:val="none"/>
        </w:rPr>
        <w:t>According to the Resource-Based View (RBV), which is linked to Penrose (1959), Wernerfelt (1984), and Barney (1991), businesses should outsource non-core tasks so they may concentrate on their core skills and strategic assets. According to the RBV, decisions about outsourcing are influenced by both the need to increase competitive advantage through specialized competencies and cost considerations. Although RBV enhances TCE, it is criticized for: Conceptual ambiguity and the challenge of distinguishing between core and non-core activities.</w:t>
      </w:r>
    </w:p>
    <w:p w14:paraId="33ACC621">
      <w:pPr>
        <w:numPr>
          <w:ilvl w:val="0"/>
          <w:numId w:val="4"/>
        </w:numPr>
        <w:spacing w:beforeAutospacing="1" w:after="0" w:afterAutospacing="1" w:line="240" w:lineRule="auto"/>
        <w:jc w:val="both"/>
        <w:rPr>
          <w:rFonts w:ascii="Garamond" w:hAnsi="Garamond" w:eastAsia="SimSun" w:cs="Garamond"/>
          <w:b/>
          <w:bCs/>
          <w:lang w:bidi="ar"/>
        </w:rPr>
      </w:pPr>
      <w:r>
        <w:rPr>
          <w:rStyle w:val="16"/>
          <w:rFonts w:ascii="Garamond" w:hAnsi="Garamond" w:cs="Garamond" w:eastAsiaTheme="minorEastAsia"/>
          <w:b w:val="0"/>
          <w:bCs w:val="0"/>
          <w:kern w:val="0"/>
          <w:lang w:eastAsia="zh-CN"/>
        </w:rPr>
        <w:t>Integrated Theoretical Perspectives</w:t>
      </w:r>
    </w:p>
    <w:p w14:paraId="6BB244BF">
      <w:pPr>
        <w:spacing w:after="0" w:line="240" w:lineRule="auto"/>
        <w:ind w:firstLine="720" w:firstLineChars="0"/>
        <w:jc w:val="both"/>
        <w:rPr>
          <w:rFonts w:ascii="Garamond" w:hAnsi="Garamond" w:eastAsia="Times New Roman" w:cs="Times New Roman"/>
          <w:kern w:val="0"/>
          <w14:ligatures w14:val="none"/>
        </w:rPr>
      </w:pPr>
      <w:r>
        <w:rPr>
          <w:rFonts w:ascii="Garamond" w:hAnsi="Garamond" w:eastAsia="Times New Roman" w:cs="Times New Roman"/>
          <w:kern w:val="0"/>
          <w14:ligatures w14:val="none"/>
        </w:rPr>
        <w:t>Neves, Hamacher, and Scavarda (2014) show that TCE and RBV jointly explain outsourcing decisions; Grant (2005) and Porter (1985) emphasize strategic positioning and value chain analysis; and McIvor (2005) integrates TCE, RBV, industry, and relational perspectives. Furthermore, there is conflicting empirical evidence regarding outsourcing and firm performance outcomes. Outsourcing and business performance are positively correlated, especially for non-core operations, according to Lahiri et al. (2022). Muo and Ochieng (2023) point out contradictory data that have different effects based on industry, technique, and context. Both advantages and risks, such as operational vulnerabilities and efficiency improvements, are highlighted by Franco, Rodrigues, and Silva (2021).</w:t>
      </w:r>
    </w:p>
    <w:p w14:paraId="735463BC">
      <w:pPr>
        <w:spacing w:after="283" w:line="240" w:lineRule="auto"/>
        <w:jc w:val="both"/>
        <w:rPr>
          <w:rFonts w:ascii="Garamond" w:hAnsi="Garamond" w:cs="Garamond"/>
          <w:b/>
          <w:bCs/>
        </w:rPr>
      </w:pPr>
    </w:p>
    <w:p w14:paraId="05AB5FA2">
      <w:pPr>
        <w:spacing w:after="283" w:line="240" w:lineRule="auto"/>
        <w:jc w:val="both"/>
        <w:rPr>
          <w:rFonts w:ascii="Garamond" w:hAnsi="Garamond" w:cs="Garamond"/>
          <w:b/>
          <w:bCs/>
        </w:rPr>
      </w:pPr>
      <w:r>
        <w:rPr>
          <w:rFonts w:ascii="Garamond" w:hAnsi="Garamond" w:cs="Garamond"/>
          <w:b/>
          <w:bCs/>
        </w:rPr>
        <w:t>3 Methodology</w:t>
      </w:r>
    </w:p>
    <w:p w14:paraId="41590668">
      <w:pPr>
        <w:spacing w:after="283" w:line="240" w:lineRule="auto"/>
        <w:ind w:firstLine="720" w:firstLineChars="0"/>
        <w:jc w:val="both"/>
        <w:rPr>
          <w:rFonts w:ascii="Garamond" w:hAnsi="Garamond" w:cs="Garamond"/>
          <w:color w:val="181717" w:themeColor="background2" w:themeShade="1A"/>
        </w:rPr>
      </w:pPr>
      <w:r>
        <w:rPr>
          <w:rFonts w:ascii="Garamond" w:hAnsi="Garamond" w:cs="Garamond"/>
          <w:color w:val="181717" w:themeColor="background2" w:themeShade="1A"/>
        </w:rPr>
        <w:t>Due to its predictive behaviour and fact-finding inquiries, a descriptive survey methodology was chosen (Kothari, 2004). The study used focus groups and questionnaires to gather data from key players (SMEs) in the chosen industries</w:t>
      </w:r>
      <w:r>
        <w:rPr>
          <w:rFonts w:hint="default" w:ascii="Garamond" w:hAnsi="Garamond" w:cs="Garamond"/>
          <w:color w:val="181717" w:themeColor="background2" w:themeShade="1A"/>
          <w:lang w:val="en-US"/>
        </w:rPr>
        <w:t xml:space="preserve"> across the state involved</w:t>
      </w:r>
      <w:r>
        <w:rPr>
          <w:rFonts w:ascii="Garamond" w:hAnsi="Garamond" w:cs="Garamond"/>
          <w:color w:val="181717" w:themeColor="background2" w:themeShade="1A"/>
        </w:rPr>
        <w:t>. There are more than 5268 small and medium-sized businesses in Nigeria, according to data from the National Bureau of Statistics (NBS). The cluster of particular SMEs in Kwara State's local government was the subject of the study. EPIinfo Statcalc software was used to collect the 360-degree sample. Convergent validity tests were performed on the instrument, and the results were all above (.50 average), which is consistent with Chin (1998). In the same vein, the reliability of the instruments was assessed, and all the outcomes aligned with Venkatesh (2000), who recommended a minimum Cronbach’s Alpha coefficient of 0.70. Both descriptive and inferential statistics are used in this investigation. In particular, the biodata was analysed using simple frequency analysis, which presented the frequency information about the respondents using tables and percentages. However, the data produced by using multiple regression analysis was examined using inferential statistics.</w:t>
      </w:r>
    </w:p>
    <w:p w14:paraId="6DD6256B">
      <w:pPr>
        <w:jc w:val="both"/>
        <w:rPr>
          <w:rFonts w:ascii="Garamond" w:hAnsi="Garamond" w:cs="Garamond"/>
          <w:b/>
        </w:rPr>
      </w:pPr>
      <w:r>
        <w:rPr>
          <w:rFonts w:ascii="Garamond" w:hAnsi="Garamond" w:cs="Garamond"/>
          <w:b/>
        </w:rPr>
        <w:t>MODEL SPECIFICATION</w:t>
      </w:r>
    </w:p>
    <w:p w14:paraId="4B665B81">
      <w:pPr>
        <w:ind w:firstLine="720" w:firstLineChars="0"/>
        <w:jc w:val="both"/>
        <w:rPr>
          <w:rFonts w:ascii="Garamond" w:hAnsi="Garamond" w:cs="Garamond"/>
        </w:rPr>
      </w:pPr>
      <w:r>
        <w:rPr>
          <w:rFonts w:ascii="Garamond" w:hAnsi="Garamond" w:cs="Garamond"/>
        </w:rPr>
        <w:t>To exam the globalization on the performance of SMEs, we specify the regression model</w:t>
      </w:r>
    </w:p>
    <w:p w14:paraId="30D1316A">
      <w:pPr>
        <w:jc w:val="both"/>
        <w:rPr>
          <w:rFonts w:ascii="Garamond" w:hAnsi="Garamond" w:cs="Garamond"/>
        </w:rPr>
      </w:pPr>
      <w:r>
        <w:rPr>
          <w:rFonts w:ascii="Garamond" w:hAnsi="Garamond" w:cs="Garamond"/>
        </w:rPr>
        <w:t>Y = a0 + β1x</w:t>
      </w:r>
      <w:r>
        <w:rPr>
          <w:rFonts w:ascii="Garamond" w:hAnsi="Garamond" w:cs="Garamond"/>
          <w:vertAlign w:val="subscript"/>
        </w:rPr>
        <w:t>1</w:t>
      </w:r>
      <w:r>
        <w:rPr>
          <w:rFonts w:ascii="Garamond" w:hAnsi="Garamond" w:cs="Garamond"/>
        </w:rPr>
        <w:t xml:space="preserve"> + β2x</w:t>
      </w:r>
      <w:r>
        <w:rPr>
          <w:rFonts w:ascii="Garamond" w:hAnsi="Garamond" w:cs="Garamond"/>
          <w:vertAlign w:val="subscript"/>
        </w:rPr>
        <w:t>2</w:t>
      </w:r>
      <w:r>
        <w:rPr>
          <w:rFonts w:ascii="Garamond" w:hAnsi="Garamond" w:cs="Garamond"/>
        </w:rPr>
        <w:t xml:space="preserve"> + β3x</w:t>
      </w:r>
      <w:r>
        <w:rPr>
          <w:rFonts w:ascii="Garamond" w:hAnsi="Garamond" w:cs="Garamond"/>
          <w:vertAlign w:val="subscript"/>
        </w:rPr>
        <w:t>3</w:t>
      </w:r>
      <w:r>
        <w:rPr>
          <w:rFonts w:ascii="Garamond" w:hAnsi="Garamond" w:cs="Garamond"/>
        </w:rPr>
        <w:t xml:space="preserve"> + β4x</w:t>
      </w:r>
      <w:r>
        <w:rPr>
          <w:rFonts w:ascii="Garamond" w:hAnsi="Garamond" w:cs="Garamond"/>
          <w:vertAlign w:val="subscript"/>
        </w:rPr>
        <w:t>4</w:t>
      </w:r>
      <w:r>
        <w:rPr>
          <w:rFonts w:ascii="Garamond" w:hAnsi="Garamond" w:cs="Garamond"/>
        </w:rPr>
        <w:t xml:space="preserve"> + e</w:t>
      </w:r>
    </w:p>
    <w:p w14:paraId="64618945">
      <w:pPr>
        <w:jc w:val="both"/>
        <w:rPr>
          <w:rFonts w:ascii="Garamond" w:hAnsi="Garamond" w:eastAsia="Times New Roman" w:cs="Garamond"/>
        </w:rPr>
      </w:pPr>
      <w:r>
        <w:rPr>
          <w:rFonts w:ascii="Garamond" w:hAnsi="Garamond" w:eastAsia="Times New Roman" w:cs="Garamond"/>
        </w:rPr>
        <w:t>Where:</w:t>
      </w:r>
    </w:p>
    <w:p w14:paraId="0CDC0D23">
      <w:pPr>
        <w:numPr>
          <w:ilvl w:val="0"/>
          <w:numId w:val="5"/>
        </w:numPr>
        <w:spacing w:before="100" w:beforeAutospacing="1" w:after="100" w:afterAutospacing="1" w:line="240" w:lineRule="auto"/>
        <w:jc w:val="both"/>
        <w:rPr>
          <w:rFonts w:ascii="Garamond" w:hAnsi="Garamond" w:eastAsia="Times New Roman" w:cs="Garamond"/>
        </w:rPr>
      </w:pPr>
      <w:r>
        <w:rPr>
          <w:rFonts w:ascii="Garamond" w:hAnsi="Garamond" w:eastAsia="Times New Roman" w:cs="Garamond"/>
        </w:rPr>
        <w:t>PSMEs = Performance of SMEs (measured by profits, market share, customer and retention.)</w:t>
      </w:r>
    </w:p>
    <w:p w14:paraId="70F0AEDC">
      <w:pPr>
        <w:numPr>
          <w:ilvl w:val="0"/>
          <w:numId w:val="5"/>
        </w:numPr>
        <w:spacing w:before="100" w:beforeAutospacing="1" w:after="100" w:afterAutospacing="1" w:line="240" w:lineRule="auto"/>
        <w:jc w:val="both"/>
        <w:rPr>
          <w:rFonts w:ascii="Garamond" w:hAnsi="Garamond" w:eastAsia="Times New Roman" w:cs="Garamond"/>
        </w:rPr>
      </w:pPr>
      <w:r>
        <w:rPr>
          <w:rFonts w:ascii="Garamond" w:hAnsi="Garamond" w:eastAsia="Times New Roman" w:cs="Garamond"/>
        </w:rPr>
        <w:t>TECH INN = Technology innovation</w:t>
      </w:r>
    </w:p>
    <w:p w14:paraId="5C712222">
      <w:pPr>
        <w:numPr>
          <w:ilvl w:val="0"/>
          <w:numId w:val="5"/>
        </w:numPr>
        <w:spacing w:before="100" w:beforeAutospacing="1" w:after="100" w:afterAutospacing="1" w:line="240" w:lineRule="auto"/>
        <w:jc w:val="both"/>
        <w:rPr>
          <w:rFonts w:ascii="Garamond" w:hAnsi="Garamond" w:eastAsia="Times New Roman" w:cs="Garamond"/>
        </w:rPr>
      </w:pPr>
      <w:r>
        <w:rPr>
          <w:rFonts w:ascii="Garamond" w:hAnsi="Garamond" w:eastAsia="Times New Roman" w:cs="Garamond"/>
        </w:rPr>
        <w:t>MKT = Market share (proportion of customer in the population)</w:t>
      </w:r>
    </w:p>
    <w:p w14:paraId="7B376810">
      <w:pPr>
        <w:numPr>
          <w:ilvl w:val="0"/>
          <w:numId w:val="5"/>
        </w:numPr>
        <w:spacing w:before="100" w:beforeAutospacing="1" w:after="100" w:afterAutospacing="1" w:line="240" w:lineRule="auto"/>
        <w:jc w:val="both"/>
        <w:rPr>
          <w:rFonts w:ascii="Garamond" w:hAnsi="Garamond" w:eastAsia="Times New Roman" w:cs="Garamond"/>
        </w:rPr>
      </w:pPr>
      <w:r>
        <w:rPr>
          <w:rFonts w:ascii="Garamond" w:hAnsi="Garamond" w:eastAsia="Times New Roman" w:cs="Garamond"/>
        </w:rPr>
        <w:t>CUST. = Customer retention.</w:t>
      </w:r>
    </w:p>
    <w:p w14:paraId="17A0155E">
      <w:pPr>
        <w:numPr>
          <w:ilvl w:val="0"/>
          <w:numId w:val="5"/>
        </w:numPr>
        <w:spacing w:before="100" w:beforeAutospacing="1" w:after="100" w:afterAutospacing="1" w:line="240" w:lineRule="auto"/>
        <w:jc w:val="both"/>
        <w:rPr>
          <w:rFonts w:ascii="Garamond" w:hAnsi="Garamond" w:eastAsia="Times New Roman" w:cs="Garamond"/>
        </w:rPr>
      </w:pPr>
      <w:r>
        <w:rPr>
          <w:rFonts w:ascii="Garamond" w:hAnsi="Garamond" w:eastAsia="Times New Roman" w:cs="Garamond"/>
          <w:b/>
        </w:rPr>
        <w:t>α</w:t>
      </w:r>
      <w:r>
        <w:rPr>
          <w:rFonts w:ascii="Garamond" w:hAnsi="Garamond" w:eastAsia="Times New Roman" w:cs="Garamond"/>
        </w:rPr>
        <w:t xml:space="preserve"> = Intercept</w:t>
      </w:r>
    </w:p>
    <w:p w14:paraId="73606BD2">
      <w:pPr>
        <w:numPr>
          <w:ilvl w:val="0"/>
          <w:numId w:val="5"/>
        </w:numPr>
        <w:spacing w:before="100" w:beforeAutospacing="1" w:after="100" w:afterAutospacing="1" w:line="240" w:lineRule="auto"/>
        <w:jc w:val="both"/>
        <w:rPr>
          <w:rFonts w:ascii="Garamond" w:hAnsi="Garamond" w:eastAsia="Times New Roman" w:cs="Garamond"/>
        </w:rPr>
      </w:pPr>
      <w:r>
        <w:rPr>
          <w:rFonts w:ascii="Garamond" w:hAnsi="Garamond" w:eastAsia="Times New Roman" w:cs="Garamond"/>
          <w:b/>
        </w:rPr>
        <w:t>β</w:t>
      </w:r>
      <w:r>
        <w:rPr>
          <w:rFonts w:ascii="Garamond" w:hAnsi="Garamond" w:eastAsia="Times New Roman" w:cs="Garamond"/>
          <w:b/>
          <w:vertAlign w:val="subscript"/>
        </w:rPr>
        <w:t>1</w:t>
      </w:r>
      <w:r>
        <w:rPr>
          <w:rFonts w:ascii="Garamond" w:hAnsi="Garamond" w:eastAsia="Times New Roman" w:cs="Garamond"/>
          <w:b/>
        </w:rPr>
        <w:t>, β</w:t>
      </w:r>
      <w:r>
        <w:rPr>
          <w:rFonts w:ascii="Garamond" w:hAnsi="Garamond" w:eastAsia="Times New Roman" w:cs="Garamond"/>
          <w:b/>
          <w:vertAlign w:val="subscript"/>
        </w:rPr>
        <w:t xml:space="preserve">2, </w:t>
      </w:r>
      <w:r>
        <w:rPr>
          <w:rFonts w:ascii="Garamond" w:hAnsi="Garamond" w:eastAsia="Times New Roman" w:cs="Garamond"/>
          <w:b/>
        </w:rPr>
        <w:t>β</w:t>
      </w:r>
      <w:r>
        <w:rPr>
          <w:rFonts w:ascii="Garamond" w:hAnsi="Garamond" w:eastAsia="Times New Roman" w:cs="Garamond"/>
          <w:b/>
          <w:vertAlign w:val="subscript"/>
        </w:rPr>
        <w:t xml:space="preserve">3, </w:t>
      </w:r>
      <w:r>
        <w:rPr>
          <w:rFonts w:ascii="Garamond" w:hAnsi="Garamond" w:eastAsia="Times New Roman" w:cs="Garamond"/>
          <w:b/>
        </w:rPr>
        <w:t>β</w:t>
      </w:r>
      <w:r>
        <w:rPr>
          <w:rFonts w:ascii="Garamond" w:hAnsi="Garamond" w:eastAsia="Times New Roman" w:cs="Garamond"/>
          <w:b/>
          <w:vertAlign w:val="subscript"/>
        </w:rPr>
        <w:t xml:space="preserve">4, </w:t>
      </w:r>
      <w:r>
        <w:rPr>
          <w:rFonts w:ascii="Garamond" w:hAnsi="Garamond" w:eastAsia="Times New Roman" w:cs="Garamond"/>
          <w:b/>
        </w:rPr>
        <w:t>β</w:t>
      </w:r>
      <w:r>
        <w:rPr>
          <w:rFonts w:ascii="Garamond" w:hAnsi="Garamond" w:eastAsia="Times New Roman" w:cs="Garamond"/>
          <w:b/>
          <w:vertAlign w:val="subscript"/>
        </w:rPr>
        <w:t>5</w:t>
      </w:r>
      <w:r>
        <w:rPr>
          <w:rFonts w:ascii="Times New Roman" w:hAnsi="Times New Roman" w:eastAsia="Times New Roman" w:cs="Times New Roman"/>
        </w:rPr>
        <w:t>​</w:t>
      </w:r>
      <w:r>
        <w:rPr>
          <w:rFonts w:ascii="Garamond" w:hAnsi="Garamond" w:eastAsia="Times New Roman" w:cs="Garamond"/>
        </w:rPr>
        <w:t xml:space="preserve"> = Coefficients measuring the effect of each independent variable on educational outcomes</w:t>
      </w:r>
    </w:p>
    <w:p w14:paraId="55154BBA">
      <w:pPr>
        <w:numPr>
          <w:ilvl w:val="0"/>
          <w:numId w:val="5"/>
        </w:numPr>
        <w:spacing w:before="100" w:beforeAutospacing="1" w:after="100" w:afterAutospacing="1" w:line="240" w:lineRule="auto"/>
        <w:jc w:val="both"/>
        <w:rPr>
          <w:rFonts w:ascii="Garamond" w:hAnsi="Garamond" w:eastAsia="Times New Roman" w:cs="Garamond"/>
        </w:rPr>
      </w:pPr>
      <w:r>
        <w:rPr>
          <w:rFonts w:ascii="Cambria" w:hAnsi="Cambria" w:eastAsia="Times New Roman" w:cs="Cambria"/>
          <w:b/>
        </w:rPr>
        <w:t>ϵ</w:t>
      </w:r>
      <w:r>
        <w:rPr>
          <w:rFonts w:ascii="Garamond" w:hAnsi="Garamond" w:eastAsia="Times New Roman" w:cs="Garamond"/>
          <w:b/>
        </w:rPr>
        <w:t>i</w:t>
      </w:r>
      <w:r>
        <w:rPr>
          <w:rFonts w:ascii="Garamond" w:hAnsi="Garamond" w:eastAsia="Times New Roman" w:cs="Garamond"/>
        </w:rPr>
        <w:t xml:space="preserve"> = Error term capturing unobserved factors</w:t>
      </w:r>
    </w:p>
    <w:p w14:paraId="2D0702E7">
      <w:pPr>
        <w:numPr>
          <w:ilvl w:val="0"/>
          <w:numId w:val="6"/>
        </w:numPr>
        <w:spacing w:after="0" w:line="240" w:lineRule="auto"/>
        <w:jc w:val="both"/>
        <w:rPr>
          <w:rFonts w:ascii="Garamond" w:hAnsi="Garamond" w:eastAsia="Times New Roman" w:cs="Garamond"/>
          <w:b/>
          <w:bCs/>
        </w:rPr>
      </w:pPr>
      <w:r>
        <w:rPr>
          <w:rFonts w:ascii="Garamond" w:hAnsi="Garamond" w:eastAsia="Times New Roman" w:cs="Garamond"/>
          <w:b/>
          <w:bCs/>
        </w:rPr>
        <w:t>Data Analysis</w:t>
      </w:r>
    </w:p>
    <w:p w14:paraId="010713B7">
      <w:pPr>
        <w:jc w:val="both"/>
        <w:rPr>
          <w:rFonts w:ascii="Garamond" w:hAnsi="Garamond" w:eastAsia="Times New Roman" w:cs="Garamond"/>
          <w:b/>
          <w:bCs/>
        </w:rPr>
      </w:pPr>
    </w:p>
    <w:p w14:paraId="21A8FA0B">
      <w:pPr>
        <w:autoSpaceDE w:val="0"/>
        <w:autoSpaceDN w:val="0"/>
        <w:adjustRightInd w:val="0"/>
        <w:jc w:val="both"/>
        <w:rPr>
          <w:rFonts w:ascii="Garamond" w:hAnsi="Garamond" w:cs="Garamond"/>
          <w:b/>
          <w:bCs/>
        </w:rPr>
      </w:pPr>
      <w:r>
        <w:rPr>
          <w:rFonts w:ascii="Garamond" w:hAnsi="Garamond" w:cs="Garamond"/>
          <w:b/>
          <w:bCs/>
        </w:rPr>
        <w:t>Hypothesis testing</w:t>
      </w:r>
    </w:p>
    <w:p w14:paraId="4540DD43">
      <w:pPr>
        <w:ind w:left="540" w:hanging="540"/>
        <w:jc w:val="both"/>
        <w:rPr>
          <w:rFonts w:ascii="Garamond" w:hAnsi="Garamond" w:cs="Garamond"/>
        </w:rPr>
      </w:pPr>
      <w:r>
        <w:rPr>
          <w:rFonts w:ascii="Garamond" w:hAnsi="Garamond" w:cs="Garamond"/>
          <w:b/>
          <w:bCs/>
        </w:rPr>
        <w:t>HO</w:t>
      </w:r>
      <w:r>
        <w:rPr>
          <w:rFonts w:ascii="Garamond" w:hAnsi="Garamond" w:cs="Garamond"/>
          <w:b/>
          <w:bCs/>
          <w:vertAlign w:val="subscript"/>
        </w:rPr>
        <w:t>1</w:t>
      </w:r>
      <w:r>
        <w:rPr>
          <w:rFonts w:ascii="Garamond" w:hAnsi="Garamond" w:cs="Garamond"/>
          <w:b/>
          <w:bCs/>
        </w:rPr>
        <w:t>: Globalization</w:t>
      </w:r>
      <w:r>
        <w:rPr>
          <w:rFonts w:ascii="Garamond" w:hAnsi="Garamond" w:cs="Garamond"/>
        </w:rPr>
        <w:t xml:space="preserve"> has no significant effect on the performance of </w:t>
      </w:r>
      <w:r>
        <w:rPr>
          <w:rFonts w:ascii="Garamond" w:hAnsi="Garamond" w:cs="Garamond"/>
          <w:bCs/>
        </w:rPr>
        <w:t xml:space="preserve">small-scale business </w:t>
      </w:r>
      <w:r>
        <w:rPr>
          <w:rFonts w:ascii="Garamond" w:hAnsi="Garamond" w:cs="Garamond"/>
        </w:rPr>
        <w:t xml:space="preserve">profitability in Nigeria. </w:t>
      </w:r>
    </w:p>
    <w:tbl>
      <w:tblPr>
        <w:tblStyle w:val="12"/>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6"/>
        <w:gridCol w:w="1140"/>
        <w:gridCol w:w="1208"/>
        <w:gridCol w:w="1634"/>
        <w:gridCol w:w="1634"/>
        <w:gridCol w:w="1418"/>
      </w:tblGrid>
      <w:tr w14:paraId="49A23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20" w:type="dxa"/>
            <w:gridSpan w:val="6"/>
            <w:tcBorders>
              <w:top w:val="nil"/>
              <w:left w:val="nil"/>
              <w:bottom w:val="single" w:color="auto" w:sz="4" w:space="0"/>
              <w:right w:val="nil"/>
            </w:tcBorders>
            <w:shd w:val="clear" w:color="auto" w:fill="FFFFFF"/>
            <w:vAlign w:val="center"/>
          </w:tcPr>
          <w:p w14:paraId="7E7E2D70">
            <w:pPr>
              <w:autoSpaceDE w:val="0"/>
              <w:autoSpaceDN w:val="0"/>
              <w:adjustRightInd w:val="0"/>
              <w:ind w:right="60"/>
              <w:jc w:val="both"/>
              <w:rPr>
                <w:rFonts w:ascii="Garamond" w:hAnsi="Garamond" w:cs="Garamond"/>
                <w:vertAlign w:val="superscript"/>
              </w:rPr>
            </w:pPr>
            <w:r>
              <w:rPr>
                <w:rFonts w:ascii="Garamond" w:hAnsi="Garamond" w:cs="Garamond"/>
                <w:b/>
                <w:bCs/>
              </w:rPr>
              <w:t>Table 1.1</w:t>
            </w:r>
            <w:r>
              <w:rPr>
                <w:rFonts w:ascii="Garamond" w:hAnsi="Garamond" w:cs="Garamond"/>
              </w:rPr>
              <w:t xml:space="preserve"> Model Summary</w:t>
            </w:r>
            <w:r>
              <w:rPr>
                <w:rFonts w:ascii="Garamond" w:hAnsi="Garamond" w:cs="Garamond"/>
                <w:vertAlign w:val="superscript"/>
              </w:rPr>
              <w:t>b</w:t>
            </w:r>
          </w:p>
        </w:tc>
      </w:tr>
      <w:tr w14:paraId="06C55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86" w:type="dxa"/>
            <w:tcBorders>
              <w:top w:val="single" w:color="auto" w:sz="4" w:space="0"/>
              <w:left w:val="single" w:color="auto" w:sz="4" w:space="0"/>
              <w:bottom w:val="single" w:color="auto" w:sz="4" w:space="0"/>
              <w:right w:val="single" w:color="auto" w:sz="4" w:space="0"/>
            </w:tcBorders>
            <w:shd w:val="clear" w:color="auto" w:fill="FFFFFF"/>
            <w:vAlign w:val="bottom"/>
          </w:tcPr>
          <w:p w14:paraId="6E25C08A">
            <w:pPr>
              <w:autoSpaceDE w:val="0"/>
              <w:autoSpaceDN w:val="0"/>
              <w:adjustRightInd w:val="0"/>
              <w:ind w:left="60" w:right="60"/>
              <w:jc w:val="both"/>
              <w:rPr>
                <w:rFonts w:ascii="Garamond" w:hAnsi="Garamond" w:cs="Garamond"/>
              </w:rPr>
            </w:pPr>
            <w:r>
              <w:rPr>
                <w:rFonts w:ascii="Garamond" w:hAnsi="Garamond" w:cs="Garamond"/>
              </w:rPr>
              <w:t>Model</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bottom"/>
          </w:tcPr>
          <w:p w14:paraId="395851CA">
            <w:pPr>
              <w:autoSpaceDE w:val="0"/>
              <w:autoSpaceDN w:val="0"/>
              <w:adjustRightInd w:val="0"/>
              <w:ind w:left="60" w:right="60"/>
              <w:jc w:val="both"/>
              <w:rPr>
                <w:rFonts w:ascii="Garamond" w:hAnsi="Garamond" w:cs="Garamond"/>
              </w:rPr>
            </w:pPr>
            <w:r>
              <w:rPr>
                <w:rFonts w:ascii="Garamond" w:hAnsi="Garamond" w:cs="Garamond"/>
              </w:rPr>
              <w:t>R</w:t>
            </w:r>
          </w:p>
        </w:tc>
        <w:tc>
          <w:tcPr>
            <w:tcW w:w="1208" w:type="dxa"/>
            <w:tcBorders>
              <w:top w:val="single" w:color="auto" w:sz="4" w:space="0"/>
              <w:left w:val="single" w:color="auto" w:sz="4" w:space="0"/>
              <w:bottom w:val="single" w:color="auto" w:sz="4" w:space="0"/>
              <w:right w:val="single" w:color="auto" w:sz="4" w:space="0"/>
            </w:tcBorders>
            <w:shd w:val="clear" w:color="auto" w:fill="FFFFFF"/>
            <w:vAlign w:val="bottom"/>
          </w:tcPr>
          <w:p w14:paraId="0C467C57">
            <w:pPr>
              <w:autoSpaceDE w:val="0"/>
              <w:autoSpaceDN w:val="0"/>
              <w:adjustRightInd w:val="0"/>
              <w:ind w:left="60" w:right="60"/>
              <w:jc w:val="both"/>
              <w:rPr>
                <w:rFonts w:ascii="Garamond" w:hAnsi="Garamond" w:cs="Garamond"/>
              </w:rPr>
            </w:pPr>
            <w:r>
              <w:rPr>
                <w:rFonts w:ascii="Garamond" w:hAnsi="Garamond" w:cs="Garamond"/>
              </w:rPr>
              <w:t>R Square</w:t>
            </w:r>
          </w:p>
        </w:tc>
        <w:tc>
          <w:tcPr>
            <w:tcW w:w="1634" w:type="dxa"/>
            <w:tcBorders>
              <w:top w:val="single" w:color="auto" w:sz="4" w:space="0"/>
              <w:left w:val="single" w:color="auto" w:sz="4" w:space="0"/>
              <w:bottom w:val="single" w:color="auto" w:sz="4" w:space="0"/>
              <w:right w:val="single" w:color="auto" w:sz="4" w:space="0"/>
            </w:tcBorders>
            <w:shd w:val="clear" w:color="auto" w:fill="FFFFFF"/>
            <w:vAlign w:val="bottom"/>
          </w:tcPr>
          <w:p w14:paraId="071CD3CD">
            <w:pPr>
              <w:autoSpaceDE w:val="0"/>
              <w:autoSpaceDN w:val="0"/>
              <w:adjustRightInd w:val="0"/>
              <w:ind w:left="60" w:right="60"/>
              <w:jc w:val="both"/>
              <w:rPr>
                <w:rFonts w:ascii="Garamond" w:hAnsi="Garamond" w:cs="Garamond"/>
              </w:rPr>
            </w:pPr>
            <w:r>
              <w:rPr>
                <w:rFonts w:ascii="Garamond" w:hAnsi="Garamond" w:cs="Garamond"/>
              </w:rPr>
              <w:t>Adjusted R Square</w:t>
            </w:r>
          </w:p>
        </w:tc>
        <w:tc>
          <w:tcPr>
            <w:tcW w:w="1634" w:type="dxa"/>
            <w:tcBorders>
              <w:top w:val="single" w:color="auto" w:sz="4" w:space="0"/>
              <w:left w:val="single" w:color="auto" w:sz="4" w:space="0"/>
              <w:bottom w:val="single" w:color="auto" w:sz="4" w:space="0"/>
              <w:right w:val="single" w:color="auto" w:sz="4" w:space="0"/>
            </w:tcBorders>
            <w:shd w:val="clear" w:color="auto" w:fill="FFFFFF"/>
            <w:vAlign w:val="bottom"/>
          </w:tcPr>
          <w:p w14:paraId="77F609CE">
            <w:pPr>
              <w:autoSpaceDE w:val="0"/>
              <w:autoSpaceDN w:val="0"/>
              <w:adjustRightInd w:val="0"/>
              <w:ind w:left="60" w:right="60"/>
              <w:jc w:val="both"/>
              <w:rPr>
                <w:rFonts w:ascii="Garamond" w:hAnsi="Garamond" w:cs="Garamond"/>
              </w:rPr>
            </w:pPr>
            <w:r>
              <w:rPr>
                <w:rFonts w:ascii="Garamond" w:hAnsi="Garamond" w:cs="Garamond"/>
              </w:rPr>
              <w:t>Std. Error of the Estimate</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bottom"/>
          </w:tcPr>
          <w:p w14:paraId="34E315BA">
            <w:pPr>
              <w:autoSpaceDE w:val="0"/>
              <w:autoSpaceDN w:val="0"/>
              <w:adjustRightInd w:val="0"/>
              <w:ind w:left="60" w:right="60"/>
              <w:jc w:val="both"/>
              <w:rPr>
                <w:rFonts w:ascii="Garamond" w:hAnsi="Garamond" w:cs="Garamond"/>
              </w:rPr>
            </w:pPr>
            <w:r>
              <w:rPr>
                <w:rFonts w:ascii="Garamond" w:hAnsi="Garamond" w:cs="Garamond"/>
              </w:rPr>
              <w:t>Durbin-Watson</w:t>
            </w:r>
          </w:p>
        </w:tc>
      </w:tr>
      <w:tr w14:paraId="67776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86" w:type="dxa"/>
            <w:tcBorders>
              <w:top w:val="single" w:color="auto" w:sz="4" w:space="0"/>
              <w:left w:val="single" w:color="auto" w:sz="4" w:space="0"/>
              <w:bottom w:val="single" w:color="auto" w:sz="4" w:space="0"/>
              <w:right w:val="single" w:color="auto" w:sz="4" w:space="0"/>
            </w:tcBorders>
            <w:shd w:val="clear" w:color="auto" w:fill="E0E0E0"/>
          </w:tcPr>
          <w:p w14:paraId="5CB4399B">
            <w:pPr>
              <w:autoSpaceDE w:val="0"/>
              <w:autoSpaceDN w:val="0"/>
              <w:adjustRightInd w:val="0"/>
              <w:ind w:left="60" w:right="60"/>
              <w:jc w:val="both"/>
              <w:rPr>
                <w:rFonts w:ascii="Garamond" w:hAnsi="Garamond" w:cs="Garamond"/>
              </w:rPr>
            </w:pPr>
            <w:r>
              <w:rPr>
                <w:rFonts w:ascii="Garamond" w:hAnsi="Garamond" w:cs="Garamond"/>
              </w:rPr>
              <w:t>1</w:t>
            </w:r>
          </w:p>
        </w:tc>
        <w:tc>
          <w:tcPr>
            <w:tcW w:w="1140" w:type="dxa"/>
            <w:tcBorders>
              <w:top w:val="single" w:color="auto" w:sz="4" w:space="0"/>
              <w:left w:val="single" w:color="auto" w:sz="4" w:space="0"/>
              <w:bottom w:val="single" w:color="auto" w:sz="4" w:space="0"/>
              <w:right w:val="single" w:color="auto" w:sz="4" w:space="0"/>
            </w:tcBorders>
            <w:shd w:val="clear" w:color="auto" w:fill="FFFFFF"/>
          </w:tcPr>
          <w:p w14:paraId="0912E912">
            <w:pPr>
              <w:autoSpaceDE w:val="0"/>
              <w:autoSpaceDN w:val="0"/>
              <w:adjustRightInd w:val="0"/>
              <w:ind w:left="60" w:right="60"/>
              <w:jc w:val="both"/>
              <w:rPr>
                <w:rFonts w:ascii="Garamond" w:hAnsi="Garamond" w:cs="Garamond"/>
              </w:rPr>
            </w:pPr>
            <w:r>
              <w:rPr>
                <w:rFonts w:ascii="Garamond" w:hAnsi="Garamond" w:cs="Garamond"/>
              </w:rPr>
              <w:t>.377</w:t>
            </w:r>
            <w:r>
              <w:rPr>
                <w:rFonts w:ascii="Garamond" w:hAnsi="Garamond" w:cs="Garamond"/>
                <w:vertAlign w:val="superscript"/>
              </w:rPr>
              <w:t>a</w:t>
            </w:r>
          </w:p>
        </w:tc>
        <w:tc>
          <w:tcPr>
            <w:tcW w:w="1208" w:type="dxa"/>
            <w:tcBorders>
              <w:top w:val="single" w:color="auto" w:sz="4" w:space="0"/>
              <w:left w:val="single" w:color="auto" w:sz="4" w:space="0"/>
              <w:bottom w:val="single" w:color="auto" w:sz="4" w:space="0"/>
              <w:right w:val="single" w:color="auto" w:sz="4" w:space="0"/>
            </w:tcBorders>
            <w:shd w:val="clear" w:color="auto" w:fill="FFFFFF"/>
          </w:tcPr>
          <w:p w14:paraId="35841162">
            <w:pPr>
              <w:autoSpaceDE w:val="0"/>
              <w:autoSpaceDN w:val="0"/>
              <w:adjustRightInd w:val="0"/>
              <w:ind w:left="60" w:right="60"/>
              <w:jc w:val="both"/>
              <w:rPr>
                <w:rFonts w:ascii="Garamond" w:hAnsi="Garamond" w:cs="Garamond"/>
              </w:rPr>
            </w:pPr>
            <w:r>
              <w:rPr>
                <w:rFonts w:ascii="Garamond" w:hAnsi="Garamond" w:cs="Garamond"/>
              </w:rPr>
              <w:t>.142</w:t>
            </w:r>
          </w:p>
        </w:tc>
        <w:tc>
          <w:tcPr>
            <w:tcW w:w="1634" w:type="dxa"/>
            <w:tcBorders>
              <w:top w:val="single" w:color="auto" w:sz="4" w:space="0"/>
              <w:left w:val="single" w:color="auto" w:sz="4" w:space="0"/>
              <w:bottom w:val="single" w:color="auto" w:sz="4" w:space="0"/>
              <w:right w:val="single" w:color="auto" w:sz="4" w:space="0"/>
            </w:tcBorders>
            <w:shd w:val="clear" w:color="auto" w:fill="FFFFFF"/>
          </w:tcPr>
          <w:p w14:paraId="269BBF22">
            <w:pPr>
              <w:autoSpaceDE w:val="0"/>
              <w:autoSpaceDN w:val="0"/>
              <w:adjustRightInd w:val="0"/>
              <w:ind w:left="60" w:right="60"/>
              <w:jc w:val="both"/>
              <w:rPr>
                <w:rFonts w:ascii="Garamond" w:hAnsi="Garamond" w:cs="Garamond"/>
              </w:rPr>
            </w:pPr>
            <w:r>
              <w:rPr>
                <w:rFonts w:ascii="Garamond" w:hAnsi="Garamond" w:cs="Garamond"/>
              </w:rPr>
              <w:t>.132</w:t>
            </w:r>
          </w:p>
        </w:tc>
        <w:tc>
          <w:tcPr>
            <w:tcW w:w="1634" w:type="dxa"/>
            <w:tcBorders>
              <w:top w:val="single" w:color="auto" w:sz="4" w:space="0"/>
              <w:left w:val="single" w:color="auto" w:sz="4" w:space="0"/>
              <w:bottom w:val="single" w:color="auto" w:sz="4" w:space="0"/>
              <w:right w:val="single" w:color="auto" w:sz="4" w:space="0"/>
            </w:tcBorders>
            <w:shd w:val="clear" w:color="auto" w:fill="FFFFFF"/>
          </w:tcPr>
          <w:p w14:paraId="40004FB9">
            <w:pPr>
              <w:autoSpaceDE w:val="0"/>
              <w:autoSpaceDN w:val="0"/>
              <w:adjustRightInd w:val="0"/>
              <w:ind w:left="60" w:right="60"/>
              <w:jc w:val="both"/>
              <w:rPr>
                <w:rFonts w:ascii="Garamond" w:hAnsi="Garamond" w:cs="Garamond"/>
              </w:rPr>
            </w:pPr>
            <w:r>
              <w:rPr>
                <w:rFonts w:ascii="Garamond" w:hAnsi="Garamond" w:cs="Garamond"/>
              </w:rPr>
              <w:t>.38448</w:t>
            </w:r>
          </w:p>
        </w:tc>
        <w:tc>
          <w:tcPr>
            <w:tcW w:w="1418" w:type="dxa"/>
            <w:tcBorders>
              <w:top w:val="single" w:color="auto" w:sz="4" w:space="0"/>
              <w:left w:val="single" w:color="auto" w:sz="4" w:space="0"/>
              <w:bottom w:val="single" w:color="auto" w:sz="4" w:space="0"/>
              <w:right w:val="single" w:color="auto" w:sz="4" w:space="0"/>
            </w:tcBorders>
            <w:shd w:val="clear" w:color="auto" w:fill="FFFFFF"/>
          </w:tcPr>
          <w:p w14:paraId="66FF33E9">
            <w:pPr>
              <w:autoSpaceDE w:val="0"/>
              <w:autoSpaceDN w:val="0"/>
              <w:adjustRightInd w:val="0"/>
              <w:ind w:left="60" w:right="60"/>
              <w:jc w:val="both"/>
              <w:rPr>
                <w:rFonts w:ascii="Garamond" w:hAnsi="Garamond" w:cs="Garamond"/>
              </w:rPr>
            </w:pPr>
            <w:r>
              <w:rPr>
                <w:rFonts w:ascii="Garamond" w:hAnsi="Garamond" w:cs="Garamond"/>
              </w:rPr>
              <w:t>1.645</w:t>
            </w:r>
          </w:p>
        </w:tc>
      </w:tr>
      <w:tr w14:paraId="75A32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20" w:type="dxa"/>
            <w:gridSpan w:val="6"/>
            <w:tcBorders>
              <w:top w:val="single" w:color="auto" w:sz="4" w:space="0"/>
              <w:left w:val="nil"/>
              <w:bottom w:val="nil"/>
              <w:right w:val="nil"/>
            </w:tcBorders>
            <w:shd w:val="clear" w:color="auto" w:fill="FFFFFF"/>
          </w:tcPr>
          <w:p w14:paraId="6B5D4EC1">
            <w:pPr>
              <w:autoSpaceDE w:val="0"/>
              <w:autoSpaceDN w:val="0"/>
              <w:adjustRightInd w:val="0"/>
              <w:ind w:left="60" w:right="60"/>
              <w:jc w:val="both"/>
              <w:rPr>
                <w:rFonts w:ascii="Garamond" w:hAnsi="Garamond" w:cs="Garamond"/>
              </w:rPr>
            </w:pPr>
            <w:r>
              <w:rPr>
                <w:rFonts w:ascii="Garamond" w:hAnsi="Garamond" w:cs="Garamond"/>
              </w:rPr>
              <w:t>a. Predictors: (Constant), Trialability, Integration of Technology, Compatibility, Complexity</w:t>
            </w:r>
          </w:p>
        </w:tc>
      </w:tr>
      <w:tr w14:paraId="66A31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20" w:type="dxa"/>
            <w:gridSpan w:val="6"/>
            <w:tcBorders>
              <w:top w:val="nil"/>
              <w:left w:val="nil"/>
              <w:bottom w:val="nil"/>
              <w:right w:val="nil"/>
            </w:tcBorders>
            <w:shd w:val="clear" w:color="auto" w:fill="FFFFFF"/>
          </w:tcPr>
          <w:p w14:paraId="0F5FBB5A">
            <w:pPr>
              <w:autoSpaceDE w:val="0"/>
              <w:autoSpaceDN w:val="0"/>
              <w:adjustRightInd w:val="0"/>
              <w:ind w:left="60" w:right="60"/>
              <w:jc w:val="both"/>
              <w:rPr>
                <w:rFonts w:ascii="Garamond" w:hAnsi="Garamond" w:cs="Garamond"/>
              </w:rPr>
            </w:pPr>
            <w:r>
              <w:rPr>
                <w:rFonts w:ascii="Garamond" w:hAnsi="Garamond" w:cs="Garamond"/>
              </w:rPr>
              <w:t>b. Dependent Variable: Profitability</w:t>
            </w:r>
          </w:p>
        </w:tc>
      </w:tr>
    </w:tbl>
    <w:p w14:paraId="4158052B">
      <w:pPr>
        <w:autoSpaceDE w:val="0"/>
        <w:autoSpaceDN w:val="0"/>
        <w:adjustRightInd w:val="0"/>
        <w:ind w:firstLine="720" w:firstLineChars="0"/>
        <w:jc w:val="both"/>
        <w:rPr>
          <w:rFonts w:ascii="Garamond" w:hAnsi="Garamond" w:cs="Garamond"/>
        </w:rPr>
      </w:pPr>
    </w:p>
    <w:p w14:paraId="6E98B5D6">
      <w:pPr>
        <w:autoSpaceDE w:val="0"/>
        <w:autoSpaceDN w:val="0"/>
        <w:adjustRightInd w:val="0"/>
        <w:ind w:firstLine="720" w:firstLineChars="0"/>
        <w:jc w:val="both"/>
        <w:rPr>
          <w:rFonts w:ascii="Garamond" w:hAnsi="Garamond" w:cs="Garamond"/>
        </w:rPr>
      </w:pPr>
      <w:r>
        <w:rPr>
          <w:rFonts w:ascii="Garamond" w:hAnsi="Garamond" w:cs="Garamond"/>
        </w:rPr>
        <w:t>The model summary presented in Table 1.1 indicates a multiple regression between the profitability of small firms in Kwara State and the proxy of technological innovation. The R-value was 0.377, the R2 value was 0.142, and the standard error was 0.38448, according to Table 1.1. Additionally, the model showed that there was no multi-collinearity, with a Durbin Watson value of 1.645. The R-value shows that technological innovation's trialability, compatibility, complexity, and integration all have an impact on small enterprises' profitability. This suggests that a 38% increase in profitability would result from a unit rise in any of the proxies. Factors not included in this study accounted for the remaining 62%.</w:t>
      </w:r>
    </w:p>
    <w:p w14:paraId="059A0A1A">
      <w:pPr>
        <w:autoSpaceDE w:val="0"/>
        <w:autoSpaceDN w:val="0"/>
        <w:adjustRightInd w:val="0"/>
        <w:ind w:firstLine="720" w:firstLineChars="0"/>
        <w:jc w:val="both"/>
        <w:rPr>
          <w:rFonts w:ascii="Garamond" w:hAnsi="Garamond" w:cs="Garamond"/>
        </w:rPr>
      </w:pPr>
    </w:p>
    <w:p w14:paraId="5094CFB8">
      <w:pPr>
        <w:autoSpaceDE w:val="0"/>
        <w:autoSpaceDN w:val="0"/>
        <w:adjustRightInd w:val="0"/>
        <w:ind w:firstLine="720" w:firstLineChars="0"/>
        <w:jc w:val="both"/>
        <w:rPr>
          <w:rFonts w:ascii="Garamond" w:hAnsi="Garamond" w:cs="Garamond"/>
        </w:rPr>
      </w:pPr>
    </w:p>
    <w:p w14:paraId="14092EB8">
      <w:pPr>
        <w:autoSpaceDE w:val="0"/>
        <w:autoSpaceDN w:val="0"/>
        <w:adjustRightInd w:val="0"/>
        <w:jc w:val="both"/>
        <w:rPr>
          <w:rFonts w:ascii="Garamond" w:hAnsi="Garamond" w:cs="Garamond"/>
        </w:rPr>
      </w:pPr>
    </w:p>
    <w:p w14:paraId="5700F304">
      <w:pPr>
        <w:autoSpaceDE w:val="0"/>
        <w:autoSpaceDN w:val="0"/>
        <w:adjustRightInd w:val="0"/>
        <w:jc w:val="both"/>
        <w:rPr>
          <w:rFonts w:ascii="Garamond" w:hAnsi="Garamond" w:cs="Garamond"/>
        </w:rPr>
      </w:pPr>
    </w:p>
    <w:tbl>
      <w:tblPr>
        <w:tblStyle w:val="12"/>
        <w:tblW w:w="82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4"/>
        <w:gridCol w:w="1324"/>
        <w:gridCol w:w="1513"/>
        <w:gridCol w:w="1056"/>
        <w:gridCol w:w="1450"/>
        <w:gridCol w:w="1056"/>
        <w:gridCol w:w="1067"/>
      </w:tblGrid>
      <w:tr w14:paraId="45FA0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1" w:hRule="atLeast"/>
        </w:trPr>
        <w:tc>
          <w:tcPr>
            <w:tcW w:w="8220" w:type="dxa"/>
            <w:gridSpan w:val="7"/>
            <w:tcBorders>
              <w:top w:val="nil"/>
              <w:left w:val="nil"/>
              <w:bottom w:val="single" w:color="auto" w:sz="4" w:space="0"/>
              <w:right w:val="nil"/>
            </w:tcBorders>
            <w:shd w:val="clear" w:color="auto" w:fill="FFFFFF"/>
            <w:vAlign w:val="center"/>
          </w:tcPr>
          <w:p w14:paraId="7384BAAA">
            <w:pPr>
              <w:autoSpaceDE w:val="0"/>
              <w:autoSpaceDN w:val="0"/>
              <w:adjustRightInd w:val="0"/>
              <w:ind w:left="60" w:right="60"/>
              <w:jc w:val="both"/>
              <w:rPr>
                <w:rFonts w:ascii="Garamond" w:hAnsi="Garamond" w:cs="Garamond"/>
                <w:b/>
                <w:bCs/>
              </w:rPr>
            </w:pPr>
            <w:r>
              <w:rPr>
                <w:rFonts w:ascii="Garamond" w:hAnsi="Garamond" w:cs="Garamond"/>
              </w:rPr>
              <w:t xml:space="preserve"> </w:t>
            </w:r>
            <w:r>
              <w:rPr>
                <w:rFonts w:ascii="Garamond" w:hAnsi="Garamond" w:cs="Garamond"/>
                <w:b/>
                <w:bCs/>
              </w:rPr>
              <w:t>Table 1.2 ANOVA</w:t>
            </w:r>
            <w:r>
              <w:rPr>
                <w:rFonts w:ascii="Garamond" w:hAnsi="Garamond" w:cs="Garamond"/>
                <w:b/>
                <w:bCs/>
                <w:vertAlign w:val="superscript"/>
              </w:rPr>
              <w:t>a</w:t>
            </w:r>
          </w:p>
        </w:tc>
      </w:tr>
      <w:tr w14:paraId="3B433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0" w:hRule="atLeast"/>
        </w:trPr>
        <w:tc>
          <w:tcPr>
            <w:tcW w:w="2078"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244DB241">
            <w:pPr>
              <w:autoSpaceDE w:val="0"/>
              <w:autoSpaceDN w:val="0"/>
              <w:adjustRightInd w:val="0"/>
              <w:ind w:left="60" w:right="60"/>
              <w:jc w:val="both"/>
              <w:rPr>
                <w:rFonts w:ascii="Garamond" w:hAnsi="Garamond" w:cs="Garamond"/>
              </w:rPr>
            </w:pPr>
            <w:r>
              <w:rPr>
                <w:rFonts w:ascii="Garamond" w:hAnsi="Garamond" w:cs="Garamond"/>
              </w:rPr>
              <w:t>Model</w:t>
            </w:r>
          </w:p>
        </w:tc>
        <w:tc>
          <w:tcPr>
            <w:tcW w:w="1513" w:type="dxa"/>
            <w:tcBorders>
              <w:top w:val="single" w:color="auto" w:sz="4" w:space="0"/>
              <w:left w:val="single" w:color="auto" w:sz="4" w:space="0"/>
              <w:bottom w:val="single" w:color="auto" w:sz="4" w:space="0"/>
              <w:right w:val="single" w:color="auto" w:sz="4" w:space="0"/>
            </w:tcBorders>
            <w:shd w:val="clear" w:color="auto" w:fill="FFFFFF"/>
            <w:vAlign w:val="bottom"/>
          </w:tcPr>
          <w:p w14:paraId="53BC3264">
            <w:pPr>
              <w:autoSpaceDE w:val="0"/>
              <w:autoSpaceDN w:val="0"/>
              <w:adjustRightInd w:val="0"/>
              <w:ind w:left="60" w:right="60"/>
              <w:jc w:val="both"/>
              <w:rPr>
                <w:rFonts w:ascii="Garamond" w:hAnsi="Garamond" w:cs="Garamond"/>
              </w:rPr>
            </w:pPr>
            <w:r>
              <w:rPr>
                <w:rFonts w:ascii="Garamond" w:hAnsi="Garamond" w:cs="Garamond"/>
              </w:rPr>
              <w:t>Sum of Squares</w:t>
            </w:r>
          </w:p>
        </w:tc>
        <w:tc>
          <w:tcPr>
            <w:tcW w:w="1056" w:type="dxa"/>
            <w:tcBorders>
              <w:top w:val="single" w:color="auto" w:sz="4" w:space="0"/>
              <w:left w:val="single" w:color="auto" w:sz="4" w:space="0"/>
              <w:bottom w:val="single" w:color="auto" w:sz="4" w:space="0"/>
              <w:right w:val="single" w:color="auto" w:sz="4" w:space="0"/>
            </w:tcBorders>
            <w:shd w:val="clear" w:color="auto" w:fill="FFFFFF"/>
            <w:vAlign w:val="bottom"/>
          </w:tcPr>
          <w:p w14:paraId="75E60ACE">
            <w:pPr>
              <w:autoSpaceDE w:val="0"/>
              <w:autoSpaceDN w:val="0"/>
              <w:adjustRightInd w:val="0"/>
              <w:ind w:left="60" w:right="60"/>
              <w:jc w:val="both"/>
              <w:rPr>
                <w:rFonts w:ascii="Garamond" w:hAnsi="Garamond" w:cs="Garamond"/>
              </w:rPr>
            </w:pPr>
            <w:r>
              <w:rPr>
                <w:rFonts w:ascii="Garamond" w:hAnsi="Garamond" w:cs="Garamond"/>
              </w:rPr>
              <w:t>Df</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bottom"/>
          </w:tcPr>
          <w:p w14:paraId="153970EE">
            <w:pPr>
              <w:autoSpaceDE w:val="0"/>
              <w:autoSpaceDN w:val="0"/>
              <w:adjustRightInd w:val="0"/>
              <w:ind w:left="60" w:right="60"/>
              <w:jc w:val="both"/>
              <w:rPr>
                <w:rFonts w:ascii="Garamond" w:hAnsi="Garamond" w:cs="Garamond"/>
              </w:rPr>
            </w:pPr>
            <w:r>
              <w:rPr>
                <w:rFonts w:ascii="Garamond" w:hAnsi="Garamond" w:cs="Garamond"/>
              </w:rPr>
              <w:t>Mean Square</w:t>
            </w:r>
          </w:p>
        </w:tc>
        <w:tc>
          <w:tcPr>
            <w:tcW w:w="1056" w:type="dxa"/>
            <w:tcBorders>
              <w:top w:val="single" w:color="auto" w:sz="4" w:space="0"/>
              <w:left w:val="single" w:color="auto" w:sz="4" w:space="0"/>
              <w:bottom w:val="single" w:color="auto" w:sz="4" w:space="0"/>
              <w:right w:val="single" w:color="auto" w:sz="4" w:space="0"/>
            </w:tcBorders>
            <w:shd w:val="clear" w:color="auto" w:fill="FFFFFF"/>
            <w:vAlign w:val="bottom"/>
          </w:tcPr>
          <w:p w14:paraId="57AE2A1C">
            <w:pPr>
              <w:autoSpaceDE w:val="0"/>
              <w:autoSpaceDN w:val="0"/>
              <w:adjustRightInd w:val="0"/>
              <w:ind w:left="60" w:right="60"/>
              <w:jc w:val="both"/>
              <w:rPr>
                <w:rFonts w:ascii="Garamond" w:hAnsi="Garamond" w:cs="Garamond"/>
              </w:rPr>
            </w:pPr>
            <w:r>
              <w:rPr>
                <w:rFonts w:ascii="Garamond" w:hAnsi="Garamond" w:cs="Garamond"/>
              </w:rPr>
              <w:t>F</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14:paraId="4F92513B">
            <w:pPr>
              <w:autoSpaceDE w:val="0"/>
              <w:autoSpaceDN w:val="0"/>
              <w:adjustRightInd w:val="0"/>
              <w:ind w:left="60" w:right="60"/>
              <w:jc w:val="both"/>
              <w:rPr>
                <w:rFonts w:ascii="Garamond" w:hAnsi="Garamond" w:cs="Garamond"/>
              </w:rPr>
            </w:pPr>
            <w:r>
              <w:rPr>
                <w:rFonts w:ascii="Garamond" w:hAnsi="Garamond" w:cs="Garamond"/>
              </w:rPr>
              <w:t>Sig.</w:t>
            </w:r>
          </w:p>
        </w:tc>
      </w:tr>
      <w:tr w14:paraId="742C8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0" w:hRule="atLeast"/>
        </w:trPr>
        <w:tc>
          <w:tcPr>
            <w:tcW w:w="754" w:type="dxa"/>
            <w:vMerge w:val="restart"/>
            <w:tcBorders>
              <w:top w:val="single" w:color="auto" w:sz="4" w:space="0"/>
              <w:left w:val="single" w:color="auto" w:sz="4" w:space="0"/>
              <w:bottom w:val="single" w:color="auto" w:sz="4" w:space="0"/>
              <w:right w:val="single" w:color="auto" w:sz="4" w:space="0"/>
            </w:tcBorders>
            <w:shd w:val="clear" w:color="auto" w:fill="E0E0E0"/>
          </w:tcPr>
          <w:p w14:paraId="1C5CCD88">
            <w:pPr>
              <w:autoSpaceDE w:val="0"/>
              <w:autoSpaceDN w:val="0"/>
              <w:adjustRightInd w:val="0"/>
              <w:ind w:left="60" w:right="60"/>
              <w:jc w:val="both"/>
              <w:rPr>
                <w:rFonts w:ascii="Garamond" w:hAnsi="Garamond" w:cs="Garamond"/>
              </w:rPr>
            </w:pPr>
            <w:r>
              <w:rPr>
                <w:rFonts w:ascii="Garamond" w:hAnsi="Garamond" w:cs="Garamond"/>
              </w:rPr>
              <w:t>1</w:t>
            </w:r>
          </w:p>
        </w:tc>
        <w:tc>
          <w:tcPr>
            <w:tcW w:w="1324" w:type="dxa"/>
            <w:tcBorders>
              <w:top w:val="single" w:color="auto" w:sz="4" w:space="0"/>
              <w:left w:val="single" w:color="auto" w:sz="4" w:space="0"/>
              <w:bottom w:val="single" w:color="auto" w:sz="4" w:space="0"/>
              <w:right w:val="single" w:color="auto" w:sz="4" w:space="0"/>
            </w:tcBorders>
            <w:shd w:val="clear" w:color="auto" w:fill="E0E0E0"/>
          </w:tcPr>
          <w:p w14:paraId="2F459261">
            <w:pPr>
              <w:autoSpaceDE w:val="0"/>
              <w:autoSpaceDN w:val="0"/>
              <w:adjustRightInd w:val="0"/>
              <w:ind w:left="60" w:right="60"/>
              <w:jc w:val="both"/>
              <w:rPr>
                <w:rFonts w:ascii="Garamond" w:hAnsi="Garamond" w:cs="Garamond"/>
              </w:rPr>
            </w:pPr>
            <w:r>
              <w:rPr>
                <w:rFonts w:ascii="Garamond" w:hAnsi="Garamond" w:cs="Garamond"/>
              </w:rPr>
              <w:t>Regression</w:t>
            </w:r>
          </w:p>
        </w:tc>
        <w:tc>
          <w:tcPr>
            <w:tcW w:w="1513" w:type="dxa"/>
            <w:tcBorders>
              <w:top w:val="single" w:color="auto" w:sz="4" w:space="0"/>
              <w:left w:val="single" w:color="auto" w:sz="4" w:space="0"/>
              <w:bottom w:val="single" w:color="auto" w:sz="4" w:space="0"/>
              <w:right w:val="single" w:color="auto" w:sz="4" w:space="0"/>
            </w:tcBorders>
            <w:shd w:val="clear" w:color="auto" w:fill="FFFFFF"/>
          </w:tcPr>
          <w:p w14:paraId="1B0D6104">
            <w:pPr>
              <w:autoSpaceDE w:val="0"/>
              <w:autoSpaceDN w:val="0"/>
              <w:adjustRightInd w:val="0"/>
              <w:ind w:left="60" w:right="60"/>
              <w:jc w:val="both"/>
              <w:rPr>
                <w:rFonts w:ascii="Garamond" w:hAnsi="Garamond" w:cs="Garamond"/>
              </w:rPr>
            </w:pPr>
            <w:r>
              <w:rPr>
                <w:rFonts w:ascii="Garamond" w:hAnsi="Garamond" w:cs="Garamond"/>
              </w:rPr>
              <w:t>7.993</w:t>
            </w:r>
          </w:p>
        </w:tc>
        <w:tc>
          <w:tcPr>
            <w:tcW w:w="1056" w:type="dxa"/>
            <w:tcBorders>
              <w:top w:val="single" w:color="auto" w:sz="4" w:space="0"/>
              <w:left w:val="single" w:color="auto" w:sz="4" w:space="0"/>
              <w:bottom w:val="single" w:color="auto" w:sz="4" w:space="0"/>
              <w:right w:val="single" w:color="auto" w:sz="4" w:space="0"/>
            </w:tcBorders>
            <w:shd w:val="clear" w:color="auto" w:fill="FFFFFF"/>
          </w:tcPr>
          <w:p w14:paraId="6B4F9EC2">
            <w:pPr>
              <w:autoSpaceDE w:val="0"/>
              <w:autoSpaceDN w:val="0"/>
              <w:adjustRightInd w:val="0"/>
              <w:ind w:left="60" w:right="60"/>
              <w:jc w:val="both"/>
              <w:rPr>
                <w:rFonts w:ascii="Garamond" w:hAnsi="Garamond" w:cs="Garamond"/>
              </w:rPr>
            </w:pPr>
            <w:r>
              <w:rPr>
                <w:rFonts w:ascii="Garamond" w:hAnsi="Garamond" w:cs="Garamond"/>
              </w:rPr>
              <w:t>4</w:t>
            </w:r>
          </w:p>
        </w:tc>
        <w:tc>
          <w:tcPr>
            <w:tcW w:w="1450" w:type="dxa"/>
            <w:tcBorders>
              <w:top w:val="single" w:color="auto" w:sz="4" w:space="0"/>
              <w:left w:val="single" w:color="auto" w:sz="4" w:space="0"/>
              <w:bottom w:val="single" w:color="auto" w:sz="4" w:space="0"/>
              <w:right w:val="single" w:color="auto" w:sz="4" w:space="0"/>
            </w:tcBorders>
            <w:shd w:val="clear" w:color="auto" w:fill="FFFFFF"/>
          </w:tcPr>
          <w:p w14:paraId="688A5D2E">
            <w:pPr>
              <w:autoSpaceDE w:val="0"/>
              <w:autoSpaceDN w:val="0"/>
              <w:adjustRightInd w:val="0"/>
              <w:ind w:left="60" w:right="60"/>
              <w:jc w:val="both"/>
              <w:rPr>
                <w:rFonts w:ascii="Garamond" w:hAnsi="Garamond" w:cs="Garamond"/>
              </w:rPr>
            </w:pPr>
            <w:r>
              <w:rPr>
                <w:rFonts w:ascii="Garamond" w:hAnsi="Garamond" w:cs="Garamond"/>
              </w:rPr>
              <w:t>1.998</w:t>
            </w:r>
          </w:p>
        </w:tc>
        <w:tc>
          <w:tcPr>
            <w:tcW w:w="1056" w:type="dxa"/>
            <w:tcBorders>
              <w:top w:val="single" w:color="auto" w:sz="4" w:space="0"/>
              <w:left w:val="single" w:color="auto" w:sz="4" w:space="0"/>
              <w:bottom w:val="single" w:color="auto" w:sz="4" w:space="0"/>
              <w:right w:val="single" w:color="auto" w:sz="4" w:space="0"/>
            </w:tcBorders>
            <w:shd w:val="clear" w:color="auto" w:fill="FFFFFF"/>
          </w:tcPr>
          <w:p w14:paraId="1F258C59">
            <w:pPr>
              <w:autoSpaceDE w:val="0"/>
              <w:autoSpaceDN w:val="0"/>
              <w:adjustRightInd w:val="0"/>
              <w:ind w:left="60" w:right="60"/>
              <w:jc w:val="both"/>
              <w:rPr>
                <w:rFonts w:ascii="Garamond" w:hAnsi="Garamond" w:cs="Garamond"/>
              </w:rPr>
            </w:pPr>
            <w:r>
              <w:rPr>
                <w:rFonts w:ascii="Garamond" w:hAnsi="Garamond" w:cs="Garamond"/>
              </w:rPr>
              <w:t>13.517</w:t>
            </w:r>
          </w:p>
        </w:tc>
        <w:tc>
          <w:tcPr>
            <w:tcW w:w="1067" w:type="dxa"/>
            <w:tcBorders>
              <w:top w:val="single" w:color="auto" w:sz="4" w:space="0"/>
              <w:left w:val="single" w:color="auto" w:sz="4" w:space="0"/>
              <w:bottom w:val="single" w:color="auto" w:sz="4" w:space="0"/>
              <w:right w:val="single" w:color="auto" w:sz="4" w:space="0"/>
            </w:tcBorders>
            <w:shd w:val="clear" w:color="auto" w:fill="FFFFFF"/>
          </w:tcPr>
          <w:p w14:paraId="7E85F59D">
            <w:pPr>
              <w:autoSpaceDE w:val="0"/>
              <w:autoSpaceDN w:val="0"/>
              <w:adjustRightInd w:val="0"/>
              <w:ind w:left="60" w:right="60"/>
              <w:jc w:val="both"/>
              <w:rPr>
                <w:rFonts w:ascii="Garamond" w:hAnsi="Garamond" w:cs="Garamond"/>
              </w:rPr>
            </w:pPr>
            <w:r>
              <w:rPr>
                <w:rFonts w:ascii="Garamond" w:hAnsi="Garamond" w:cs="Garamond"/>
              </w:rPr>
              <w:t>.000</w:t>
            </w:r>
            <w:r>
              <w:rPr>
                <w:rFonts w:ascii="Garamond" w:hAnsi="Garamond" w:cs="Garamond"/>
                <w:vertAlign w:val="superscript"/>
              </w:rPr>
              <w:t>b</w:t>
            </w:r>
          </w:p>
        </w:tc>
      </w:tr>
      <w:tr w14:paraId="64CBA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0" w:hRule="atLeast"/>
        </w:trPr>
        <w:tc>
          <w:tcPr>
            <w:tcW w:w="754" w:type="dxa"/>
            <w:vMerge w:val="continue"/>
            <w:tcBorders>
              <w:top w:val="single" w:color="auto" w:sz="4" w:space="0"/>
              <w:left w:val="single" w:color="auto" w:sz="4" w:space="0"/>
              <w:bottom w:val="single" w:color="auto" w:sz="4" w:space="0"/>
              <w:right w:val="single" w:color="auto" w:sz="4" w:space="0"/>
            </w:tcBorders>
            <w:shd w:val="clear" w:color="auto" w:fill="E0E0E0"/>
          </w:tcPr>
          <w:p w14:paraId="6C1A1667">
            <w:pPr>
              <w:autoSpaceDE w:val="0"/>
              <w:autoSpaceDN w:val="0"/>
              <w:adjustRightInd w:val="0"/>
              <w:jc w:val="both"/>
              <w:rPr>
                <w:rFonts w:ascii="Garamond" w:hAnsi="Garamond" w:cs="Garamond"/>
              </w:rPr>
            </w:pPr>
          </w:p>
        </w:tc>
        <w:tc>
          <w:tcPr>
            <w:tcW w:w="1324" w:type="dxa"/>
            <w:tcBorders>
              <w:top w:val="single" w:color="auto" w:sz="4" w:space="0"/>
              <w:left w:val="single" w:color="auto" w:sz="4" w:space="0"/>
              <w:bottom w:val="single" w:color="auto" w:sz="4" w:space="0"/>
              <w:right w:val="single" w:color="auto" w:sz="4" w:space="0"/>
            </w:tcBorders>
            <w:shd w:val="clear" w:color="auto" w:fill="E0E0E0"/>
          </w:tcPr>
          <w:p w14:paraId="3FDA6B5F">
            <w:pPr>
              <w:autoSpaceDE w:val="0"/>
              <w:autoSpaceDN w:val="0"/>
              <w:adjustRightInd w:val="0"/>
              <w:ind w:left="60" w:right="60"/>
              <w:jc w:val="both"/>
              <w:rPr>
                <w:rFonts w:ascii="Garamond" w:hAnsi="Garamond" w:cs="Garamond"/>
              </w:rPr>
            </w:pPr>
            <w:r>
              <w:rPr>
                <w:rFonts w:ascii="Garamond" w:hAnsi="Garamond" w:cs="Garamond"/>
              </w:rPr>
              <w:t>Residual</w:t>
            </w:r>
          </w:p>
        </w:tc>
        <w:tc>
          <w:tcPr>
            <w:tcW w:w="1513" w:type="dxa"/>
            <w:tcBorders>
              <w:top w:val="single" w:color="auto" w:sz="4" w:space="0"/>
              <w:left w:val="single" w:color="auto" w:sz="4" w:space="0"/>
              <w:bottom w:val="single" w:color="auto" w:sz="4" w:space="0"/>
              <w:right w:val="single" w:color="auto" w:sz="4" w:space="0"/>
            </w:tcBorders>
            <w:shd w:val="clear" w:color="auto" w:fill="FFFFFF"/>
          </w:tcPr>
          <w:p w14:paraId="39560264">
            <w:pPr>
              <w:autoSpaceDE w:val="0"/>
              <w:autoSpaceDN w:val="0"/>
              <w:adjustRightInd w:val="0"/>
              <w:ind w:left="60" w:right="60"/>
              <w:jc w:val="both"/>
              <w:rPr>
                <w:rFonts w:ascii="Garamond" w:hAnsi="Garamond" w:cs="Garamond"/>
              </w:rPr>
            </w:pPr>
            <w:r>
              <w:rPr>
                <w:rFonts w:ascii="Garamond" w:hAnsi="Garamond" w:cs="Garamond"/>
              </w:rPr>
              <w:t>48.190</w:t>
            </w:r>
          </w:p>
        </w:tc>
        <w:tc>
          <w:tcPr>
            <w:tcW w:w="1056" w:type="dxa"/>
            <w:tcBorders>
              <w:top w:val="single" w:color="auto" w:sz="4" w:space="0"/>
              <w:left w:val="single" w:color="auto" w:sz="4" w:space="0"/>
              <w:bottom w:val="single" w:color="auto" w:sz="4" w:space="0"/>
              <w:right w:val="single" w:color="auto" w:sz="4" w:space="0"/>
            </w:tcBorders>
            <w:shd w:val="clear" w:color="auto" w:fill="FFFFFF"/>
          </w:tcPr>
          <w:p w14:paraId="33A678DE">
            <w:pPr>
              <w:autoSpaceDE w:val="0"/>
              <w:autoSpaceDN w:val="0"/>
              <w:adjustRightInd w:val="0"/>
              <w:ind w:left="60" w:right="60"/>
              <w:jc w:val="both"/>
              <w:rPr>
                <w:rFonts w:ascii="Garamond" w:hAnsi="Garamond" w:cs="Garamond"/>
              </w:rPr>
            </w:pPr>
            <w:r>
              <w:rPr>
                <w:rFonts w:ascii="Garamond" w:hAnsi="Garamond" w:cs="Garamond"/>
              </w:rPr>
              <w:t>326</w:t>
            </w:r>
          </w:p>
        </w:tc>
        <w:tc>
          <w:tcPr>
            <w:tcW w:w="1450" w:type="dxa"/>
            <w:tcBorders>
              <w:top w:val="single" w:color="auto" w:sz="4" w:space="0"/>
              <w:left w:val="single" w:color="auto" w:sz="4" w:space="0"/>
              <w:bottom w:val="single" w:color="auto" w:sz="4" w:space="0"/>
              <w:right w:val="single" w:color="auto" w:sz="4" w:space="0"/>
            </w:tcBorders>
            <w:shd w:val="clear" w:color="auto" w:fill="FFFFFF"/>
          </w:tcPr>
          <w:p w14:paraId="14779B84">
            <w:pPr>
              <w:autoSpaceDE w:val="0"/>
              <w:autoSpaceDN w:val="0"/>
              <w:adjustRightInd w:val="0"/>
              <w:ind w:left="60" w:right="60"/>
              <w:jc w:val="both"/>
              <w:rPr>
                <w:rFonts w:ascii="Garamond" w:hAnsi="Garamond" w:cs="Garamond"/>
              </w:rPr>
            </w:pPr>
            <w:r>
              <w:rPr>
                <w:rFonts w:ascii="Garamond" w:hAnsi="Garamond" w:cs="Garamond"/>
              </w:rPr>
              <w:t>.148</w:t>
            </w:r>
          </w:p>
        </w:tc>
        <w:tc>
          <w:tcPr>
            <w:tcW w:w="1056" w:type="dxa"/>
            <w:tcBorders>
              <w:top w:val="single" w:color="auto" w:sz="4" w:space="0"/>
              <w:left w:val="single" w:color="auto" w:sz="4" w:space="0"/>
              <w:bottom w:val="single" w:color="auto" w:sz="4" w:space="0"/>
              <w:right w:val="single" w:color="auto" w:sz="4" w:space="0"/>
            </w:tcBorders>
            <w:shd w:val="clear" w:color="auto" w:fill="FFFFFF"/>
            <w:vAlign w:val="center"/>
          </w:tcPr>
          <w:p w14:paraId="4B95D9A4">
            <w:pPr>
              <w:autoSpaceDE w:val="0"/>
              <w:autoSpaceDN w:val="0"/>
              <w:adjustRightInd w:val="0"/>
              <w:jc w:val="both"/>
              <w:rPr>
                <w:rFonts w:ascii="Garamond" w:hAnsi="Garamond" w:cs="Garamond"/>
              </w:rPr>
            </w:pPr>
          </w:p>
        </w:tc>
        <w:tc>
          <w:tcPr>
            <w:tcW w:w="1067" w:type="dxa"/>
            <w:tcBorders>
              <w:top w:val="single" w:color="auto" w:sz="4" w:space="0"/>
              <w:left w:val="single" w:color="auto" w:sz="4" w:space="0"/>
              <w:bottom w:val="single" w:color="auto" w:sz="4" w:space="0"/>
              <w:right w:val="single" w:color="auto" w:sz="4" w:space="0"/>
            </w:tcBorders>
            <w:shd w:val="clear" w:color="auto" w:fill="FFFFFF"/>
            <w:vAlign w:val="center"/>
          </w:tcPr>
          <w:p w14:paraId="4ECB3561">
            <w:pPr>
              <w:autoSpaceDE w:val="0"/>
              <w:autoSpaceDN w:val="0"/>
              <w:adjustRightInd w:val="0"/>
              <w:jc w:val="both"/>
              <w:rPr>
                <w:rFonts w:ascii="Garamond" w:hAnsi="Garamond" w:cs="Garamond"/>
              </w:rPr>
            </w:pPr>
          </w:p>
        </w:tc>
      </w:tr>
      <w:tr w14:paraId="060DD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0" w:hRule="atLeast"/>
        </w:trPr>
        <w:tc>
          <w:tcPr>
            <w:tcW w:w="754" w:type="dxa"/>
            <w:vMerge w:val="continue"/>
            <w:tcBorders>
              <w:top w:val="single" w:color="auto" w:sz="4" w:space="0"/>
              <w:left w:val="single" w:color="auto" w:sz="4" w:space="0"/>
              <w:bottom w:val="single" w:color="auto" w:sz="4" w:space="0"/>
              <w:right w:val="single" w:color="auto" w:sz="4" w:space="0"/>
            </w:tcBorders>
            <w:shd w:val="clear" w:color="auto" w:fill="E0E0E0"/>
          </w:tcPr>
          <w:p w14:paraId="746DB8E8">
            <w:pPr>
              <w:autoSpaceDE w:val="0"/>
              <w:autoSpaceDN w:val="0"/>
              <w:adjustRightInd w:val="0"/>
              <w:jc w:val="both"/>
              <w:rPr>
                <w:rFonts w:ascii="Garamond" w:hAnsi="Garamond" w:cs="Garamond"/>
              </w:rPr>
            </w:pPr>
          </w:p>
        </w:tc>
        <w:tc>
          <w:tcPr>
            <w:tcW w:w="1324" w:type="dxa"/>
            <w:tcBorders>
              <w:top w:val="single" w:color="auto" w:sz="4" w:space="0"/>
              <w:left w:val="single" w:color="auto" w:sz="4" w:space="0"/>
              <w:bottom w:val="single" w:color="auto" w:sz="4" w:space="0"/>
              <w:right w:val="single" w:color="auto" w:sz="4" w:space="0"/>
            </w:tcBorders>
            <w:shd w:val="clear" w:color="auto" w:fill="E0E0E0"/>
          </w:tcPr>
          <w:p w14:paraId="305B9C69">
            <w:pPr>
              <w:autoSpaceDE w:val="0"/>
              <w:autoSpaceDN w:val="0"/>
              <w:adjustRightInd w:val="0"/>
              <w:ind w:left="60" w:right="60"/>
              <w:jc w:val="both"/>
              <w:rPr>
                <w:rFonts w:ascii="Garamond" w:hAnsi="Garamond" w:cs="Garamond"/>
              </w:rPr>
            </w:pPr>
            <w:r>
              <w:rPr>
                <w:rFonts w:ascii="Garamond" w:hAnsi="Garamond" w:cs="Garamond"/>
              </w:rPr>
              <w:t>Total</w:t>
            </w:r>
          </w:p>
        </w:tc>
        <w:tc>
          <w:tcPr>
            <w:tcW w:w="1513" w:type="dxa"/>
            <w:tcBorders>
              <w:top w:val="single" w:color="auto" w:sz="4" w:space="0"/>
              <w:left w:val="single" w:color="auto" w:sz="4" w:space="0"/>
              <w:bottom w:val="single" w:color="auto" w:sz="4" w:space="0"/>
              <w:right w:val="single" w:color="auto" w:sz="4" w:space="0"/>
            </w:tcBorders>
            <w:shd w:val="clear" w:color="auto" w:fill="FFFFFF"/>
          </w:tcPr>
          <w:p w14:paraId="458C32FF">
            <w:pPr>
              <w:autoSpaceDE w:val="0"/>
              <w:autoSpaceDN w:val="0"/>
              <w:adjustRightInd w:val="0"/>
              <w:ind w:left="60" w:right="60"/>
              <w:jc w:val="both"/>
              <w:rPr>
                <w:rFonts w:ascii="Garamond" w:hAnsi="Garamond" w:cs="Garamond"/>
              </w:rPr>
            </w:pPr>
            <w:r>
              <w:rPr>
                <w:rFonts w:ascii="Garamond" w:hAnsi="Garamond" w:cs="Garamond"/>
              </w:rPr>
              <w:t>56.183</w:t>
            </w:r>
          </w:p>
        </w:tc>
        <w:tc>
          <w:tcPr>
            <w:tcW w:w="1056" w:type="dxa"/>
            <w:tcBorders>
              <w:top w:val="single" w:color="auto" w:sz="4" w:space="0"/>
              <w:left w:val="single" w:color="auto" w:sz="4" w:space="0"/>
              <w:bottom w:val="single" w:color="auto" w:sz="4" w:space="0"/>
              <w:right w:val="single" w:color="auto" w:sz="4" w:space="0"/>
            </w:tcBorders>
            <w:shd w:val="clear" w:color="auto" w:fill="FFFFFF"/>
          </w:tcPr>
          <w:p w14:paraId="2E8D4C16">
            <w:pPr>
              <w:autoSpaceDE w:val="0"/>
              <w:autoSpaceDN w:val="0"/>
              <w:adjustRightInd w:val="0"/>
              <w:ind w:left="60" w:right="60"/>
              <w:jc w:val="both"/>
              <w:rPr>
                <w:rFonts w:ascii="Garamond" w:hAnsi="Garamond" w:cs="Garamond"/>
              </w:rPr>
            </w:pPr>
            <w:r>
              <w:rPr>
                <w:rFonts w:ascii="Garamond" w:hAnsi="Garamond" w:cs="Garamond"/>
              </w:rPr>
              <w:t>330</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7DACAD99">
            <w:pPr>
              <w:autoSpaceDE w:val="0"/>
              <w:autoSpaceDN w:val="0"/>
              <w:adjustRightInd w:val="0"/>
              <w:jc w:val="both"/>
              <w:rPr>
                <w:rFonts w:ascii="Garamond" w:hAnsi="Garamond" w:cs="Garamond"/>
              </w:rPr>
            </w:pPr>
          </w:p>
        </w:tc>
        <w:tc>
          <w:tcPr>
            <w:tcW w:w="1056" w:type="dxa"/>
            <w:tcBorders>
              <w:top w:val="single" w:color="auto" w:sz="4" w:space="0"/>
              <w:left w:val="single" w:color="auto" w:sz="4" w:space="0"/>
              <w:bottom w:val="single" w:color="auto" w:sz="4" w:space="0"/>
              <w:right w:val="single" w:color="auto" w:sz="4" w:space="0"/>
            </w:tcBorders>
            <w:shd w:val="clear" w:color="auto" w:fill="FFFFFF"/>
            <w:vAlign w:val="center"/>
          </w:tcPr>
          <w:p w14:paraId="648CBCF8">
            <w:pPr>
              <w:autoSpaceDE w:val="0"/>
              <w:autoSpaceDN w:val="0"/>
              <w:adjustRightInd w:val="0"/>
              <w:jc w:val="both"/>
              <w:rPr>
                <w:rFonts w:ascii="Garamond" w:hAnsi="Garamond" w:cs="Garamond"/>
              </w:rPr>
            </w:pPr>
          </w:p>
        </w:tc>
        <w:tc>
          <w:tcPr>
            <w:tcW w:w="1067" w:type="dxa"/>
            <w:tcBorders>
              <w:top w:val="single" w:color="auto" w:sz="4" w:space="0"/>
              <w:left w:val="single" w:color="auto" w:sz="4" w:space="0"/>
              <w:bottom w:val="single" w:color="auto" w:sz="4" w:space="0"/>
              <w:right w:val="single" w:color="auto" w:sz="4" w:space="0"/>
            </w:tcBorders>
            <w:shd w:val="clear" w:color="auto" w:fill="FFFFFF"/>
            <w:vAlign w:val="center"/>
          </w:tcPr>
          <w:p w14:paraId="063A4FA3">
            <w:pPr>
              <w:autoSpaceDE w:val="0"/>
              <w:autoSpaceDN w:val="0"/>
              <w:adjustRightInd w:val="0"/>
              <w:jc w:val="both"/>
              <w:rPr>
                <w:rFonts w:ascii="Garamond" w:hAnsi="Garamond" w:cs="Garamond"/>
              </w:rPr>
            </w:pPr>
          </w:p>
        </w:tc>
      </w:tr>
      <w:tr w14:paraId="0C8F4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0" w:hRule="atLeast"/>
        </w:trPr>
        <w:tc>
          <w:tcPr>
            <w:tcW w:w="8220" w:type="dxa"/>
            <w:gridSpan w:val="7"/>
            <w:tcBorders>
              <w:top w:val="single" w:color="auto" w:sz="4" w:space="0"/>
              <w:left w:val="nil"/>
              <w:bottom w:val="nil"/>
              <w:right w:val="nil"/>
            </w:tcBorders>
            <w:shd w:val="clear" w:color="auto" w:fill="FFFFFF"/>
          </w:tcPr>
          <w:p w14:paraId="5BD81AF6">
            <w:pPr>
              <w:autoSpaceDE w:val="0"/>
              <w:autoSpaceDN w:val="0"/>
              <w:adjustRightInd w:val="0"/>
              <w:ind w:left="60" w:right="60"/>
              <w:jc w:val="both"/>
              <w:rPr>
                <w:rFonts w:ascii="Garamond" w:hAnsi="Garamond" w:cs="Garamond"/>
              </w:rPr>
            </w:pPr>
            <w:r>
              <w:rPr>
                <w:rFonts w:ascii="Garamond" w:hAnsi="Garamond" w:cs="Garamond"/>
              </w:rPr>
              <w:t>a. Dependent Variable: Profitability</w:t>
            </w:r>
          </w:p>
        </w:tc>
      </w:tr>
      <w:tr w14:paraId="55E46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56" w:hRule="atLeast"/>
        </w:trPr>
        <w:tc>
          <w:tcPr>
            <w:tcW w:w="8220" w:type="dxa"/>
            <w:gridSpan w:val="7"/>
            <w:tcBorders>
              <w:top w:val="nil"/>
              <w:left w:val="nil"/>
              <w:bottom w:val="nil"/>
              <w:right w:val="nil"/>
            </w:tcBorders>
            <w:shd w:val="clear" w:color="auto" w:fill="FFFFFF"/>
          </w:tcPr>
          <w:p w14:paraId="6EF55C57">
            <w:pPr>
              <w:autoSpaceDE w:val="0"/>
              <w:autoSpaceDN w:val="0"/>
              <w:adjustRightInd w:val="0"/>
              <w:ind w:left="60" w:right="60"/>
              <w:jc w:val="both"/>
              <w:rPr>
                <w:rFonts w:ascii="Garamond" w:hAnsi="Garamond" w:cs="Garamond"/>
              </w:rPr>
            </w:pPr>
            <w:r>
              <w:rPr>
                <w:rFonts w:ascii="Garamond" w:hAnsi="Garamond" w:cs="Garamond"/>
              </w:rPr>
              <w:t>b. Predictors: (Constant), trialability, Technology Innovation, Compatibility, Complexity</w:t>
            </w:r>
          </w:p>
        </w:tc>
      </w:tr>
    </w:tbl>
    <w:p w14:paraId="374F061E">
      <w:pPr>
        <w:autoSpaceDE w:val="0"/>
        <w:autoSpaceDN w:val="0"/>
        <w:adjustRightInd w:val="0"/>
        <w:jc w:val="both"/>
        <w:rPr>
          <w:rFonts w:ascii="Garamond" w:hAnsi="Garamond" w:cs="Garamond"/>
        </w:rPr>
      </w:pPr>
    </w:p>
    <w:p w14:paraId="72F4C528">
      <w:pPr>
        <w:autoSpaceDE w:val="0"/>
        <w:autoSpaceDN w:val="0"/>
        <w:adjustRightInd w:val="0"/>
        <w:ind w:firstLine="720"/>
        <w:jc w:val="both"/>
        <w:rPr>
          <w:rFonts w:ascii="Garamond" w:hAnsi="Garamond" w:cs="Garamond"/>
        </w:rPr>
      </w:pPr>
      <w:r>
        <w:rPr>
          <w:rFonts w:ascii="Garamond" w:hAnsi="Garamond" w:cs="Garamond"/>
        </w:rPr>
        <w:t>The results of an analysis of variance (ANOVA) for the dependent variable "Profitability" with four predictors are shown in Table 1.2 above: "trialability," "Innovation of Technology," "Compatibility," and "Complexity." The regression model explains 7.993 percent of the overall variability. The number of predictors is indicated by the model's four degrees of freedom. The sum of squares is divided by the degree of freedom to determine the mean square. It is 1.998 here. The mean square regression divided by the mean square residual yields the F-value. It is 13.517 in this instance. The statistical significance of the F-value is measured by the significance value (p-value). A highly significant association between the predictors and the dependent variable is indicated by the "b" significance level, which is incredibly low (".000"). After taking the regression model into consideration, the remaining unexplained variability or error is 48.190. The total number of observations less the degrees of freedom in the regression model equals the residual degree of freedom, which is 326. The sum of squares is divided by the degree of freedom to determine the mean square. It is 0.148 in this case. The dependent variable has a total variability of 56.183.</w:t>
      </w:r>
    </w:p>
    <w:p w14:paraId="1CE28414">
      <w:pPr>
        <w:spacing w:after="283" w:line="240" w:lineRule="auto"/>
        <w:ind w:firstLine="720" w:firstLineChars="0"/>
        <w:jc w:val="both"/>
        <w:rPr>
          <w:rFonts w:ascii="Garamond" w:hAnsi="Garamond" w:cs="Garamond"/>
        </w:rPr>
      </w:pPr>
      <w:r>
        <w:rPr>
          <w:rFonts w:ascii="Garamond" w:hAnsi="Garamond" w:cs="Garamond"/>
        </w:rPr>
        <w:t>The ANOVA table shows that the regression model, which includes the predictors "trialability," "Integration of Technology," "Compatibility," and "Complexity," significantly explains the variation in the dependent variable "Profitability." The low p-value (".000") in the regression section shows how the factors work together to help the model predict profitability. The remaining unexplained variability or error is displayed in the residual section.</w:t>
      </w:r>
    </w:p>
    <w:p w14:paraId="70481CAE">
      <w:pPr>
        <w:autoSpaceDE w:val="0"/>
        <w:autoSpaceDN w:val="0"/>
        <w:adjustRightInd w:val="0"/>
        <w:jc w:val="both"/>
        <w:rPr>
          <w:rFonts w:ascii="Garamond" w:hAnsi="Garamond" w:cs="Garamond"/>
        </w:rPr>
      </w:pPr>
    </w:p>
    <w:p w14:paraId="77702594">
      <w:pPr>
        <w:autoSpaceDE w:val="0"/>
        <w:autoSpaceDN w:val="0"/>
        <w:adjustRightInd w:val="0"/>
        <w:jc w:val="both"/>
        <w:rPr>
          <w:rFonts w:ascii="Garamond" w:hAnsi="Garamond" w:cs="Garamond"/>
        </w:rPr>
      </w:pPr>
    </w:p>
    <w:p w14:paraId="54AA7808">
      <w:pPr>
        <w:autoSpaceDE w:val="0"/>
        <w:autoSpaceDN w:val="0"/>
        <w:adjustRightInd w:val="0"/>
        <w:jc w:val="both"/>
        <w:rPr>
          <w:rFonts w:ascii="Garamond" w:hAnsi="Garamond" w:cs="Garamond"/>
        </w:rPr>
      </w:pPr>
    </w:p>
    <w:p w14:paraId="2AA42E95">
      <w:pPr>
        <w:autoSpaceDE w:val="0"/>
        <w:autoSpaceDN w:val="0"/>
        <w:adjustRightInd w:val="0"/>
        <w:jc w:val="both"/>
        <w:rPr>
          <w:rFonts w:ascii="Garamond" w:hAnsi="Garamond" w:cs="Garamond"/>
        </w:rPr>
      </w:pPr>
    </w:p>
    <w:p w14:paraId="578CE170">
      <w:pPr>
        <w:autoSpaceDE w:val="0"/>
        <w:autoSpaceDN w:val="0"/>
        <w:adjustRightInd w:val="0"/>
        <w:jc w:val="both"/>
        <w:rPr>
          <w:rFonts w:ascii="Garamond" w:hAnsi="Garamond" w:cs="Garamond"/>
        </w:rPr>
      </w:pPr>
    </w:p>
    <w:tbl>
      <w:tblPr>
        <w:tblStyle w:val="12"/>
        <w:tblW w:w="953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2"/>
        <w:gridCol w:w="2448"/>
        <w:gridCol w:w="1365"/>
        <w:gridCol w:w="1365"/>
        <w:gridCol w:w="1506"/>
        <w:gridCol w:w="1050"/>
        <w:gridCol w:w="1053"/>
      </w:tblGrid>
      <w:tr w14:paraId="0B7F3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29" w:hRule="atLeast"/>
        </w:trPr>
        <w:tc>
          <w:tcPr>
            <w:tcW w:w="9539" w:type="dxa"/>
            <w:gridSpan w:val="7"/>
            <w:tcBorders>
              <w:top w:val="nil"/>
              <w:left w:val="nil"/>
              <w:bottom w:val="single" w:color="auto" w:sz="4" w:space="0"/>
              <w:right w:val="nil"/>
            </w:tcBorders>
            <w:shd w:val="clear" w:color="auto" w:fill="FFFFFF"/>
            <w:vAlign w:val="center"/>
          </w:tcPr>
          <w:p w14:paraId="19812BEF">
            <w:pPr>
              <w:autoSpaceDE w:val="0"/>
              <w:autoSpaceDN w:val="0"/>
              <w:adjustRightInd w:val="0"/>
              <w:ind w:left="60" w:right="60"/>
              <w:jc w:val="both"/>
              <w:rPr>
                <w:rFonts w:ascii="Garamond" w:hAnsi="Garamond" w:cs="Garamond"/>
                <w:b/>
                <w:bCs/>
              </w:rPr>
            </w:pPr>
            <w:r>
              <w:rPr>
                <w:rFonts w:ascii="Garamond" w:hAnsi="Garamond" w:cs="Garamond"/>
                <w:b/>
                <w:bCs/>
              </w:rPr>
              <w:t>Table 1.3  Coefficients</w:t>
            </w:r>
            <w:r>
              <w:rPr>
                <w:rFonts w:ascii="Garamond" w:hAnsi="Garamond" w:cs="Garamond"/>
                <w:b/>
                <w:bCs/>
                <w:vertAlign w:val="superscript"/>
              </w:rPr>
              <w:t>a</w:t>
            </w:r>
          </w:p>
        </w:tc>
      </w:tr>
      <w:tr w14:paraId="42453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74" w:hRule="atLeast"/>
        </w:trPr>
        <w:tc>
          <w:tcPr>
            <w:tcW w:w="320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bottom"/>
          </w:tcPr>
          <w:p w14:paraId="2AB5ED66">
            <w:pPr>
              <w:autoSpaceDE w:val="0"/>
              <w:autoSpaceDN w:val="0"/>
              <w:adjustRightInd w:val="0"/>
              <w:ind w:left="60" w:right="60"/>
              <w:jc w:val="both"/>
              <w:rPr>
                <w:rFonts w:ascii="Garamond" w:hAnsi="Garamond" w:cs="Garamond"/>
                <w:b/>
                <w:bCs/>
              </w:rPr>
            </w:pPr>
            <w:r>
              <w:rPr>
                <w:rFonts w:ascii="Garamond" w:hAnsi="Garamond" w:cs="Garamond"/>
                <w:b/>
                <w:bCs/>
              </w:rPr>
              <w:t>Model</w:t>
            </w:r>
          </w:p>
        </w:tc>
        <w:tc>
          <w:tcPr>
            <w:tcW w:w="2730"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20613DD8">
            <w:pPr>
              <w:autoSpaceDE w:val="0"/>
              <w:autoSpaceDN w:val="0"/>
              <w:adjustRightInd w:val="0"/>
              <w:ind w:left="60" w:right="60"/>
              <w:jc w:val="both"/>
              <w:rPr>
                <w:rFonts w:ascii="Garamond" w:hAnsi="Garamond" w:cs="Garamond"/>
              </w:rPr>
            </w:pPr>
            <w:r>
              <w:rPr>
                <w:rFonts w:ascii="Garamond" w:hAnsi="Garamond" w:cs="Garamond"/>
              </w:rPr>
              <w:t>Unstandardized Coefficients</w:t>
            </w:r>
          </w:p>
        </w:tc>
        <w:tc>
          <w:tcPr>
            <w:tcW w:w="1506" w:type="dxa"/>
            <w:tcBorders>
              <w:top w:val="single" w:color="auto" w:sz="4" w:space="0"/>
              <w:left w:val="single" w:color="auto" w:sz="4" w:space="0"/>
              <w:bottom w:val="single" w:color="auto" w:sz="4" w:space="0"/>
              <w:right w:val="single" w:color="auto" w:sz="4" w:space="0"/>
            </w:tcBorders>
            <w:shd w:val="clear" w:color="auto" w:fill="FFFFFF"/>
            <w:vAlign w:val="bottom"/>
          </w:tcPr>
          <w:p w14:paraId="4D8E4E80">
            <w:pPr>
              <w:autoSpaceDE w:val="0"/>
              <w:autoSpaceDN w:val="0"/>
              <w:adjustRightInd w:val="0"/>
              <w:ind w:left="60" w:right="60"/>
              <w:jc w:val="both"/>
              <w:rPr>
                <w:rFonts w:ascii="Garamond" w:hAnsi="Garamond" w:cs="Garamond"/>
              </w:rPr>
            </w:pPr>
            <w:r>
              <w:rPr>
                <w:rFonts w:ascii="Garamond" w:hAnsi="Garamond" w:cs="Garamond"/>
              </w:rPr>
              <w:t>Standardized Coefficients</w:t>
            </w:r>
          </w:p>
        </w:tc>
        <w:tc>
          <w:tcPr>
            <w:tcW w:w="1050" w:type="dxa"/>
            <w:vMerge w:val="restart"/>
            <w:tcBorders>
              <w:top w:val="single" w:color="auto" w:sz="4" w:space="0"/>
              <w:left w:val="single" w:color="auto" w:sz="4" w:space="0"/>
              <w:bottom w:val="single" w:color="auto" w:sz="4" w:space="0"/>
              <w:right w:val="single" w:color="auto" w:sz="4" w:space="0"/>
            </w:tcBorders>
            <w:shd w:val="clear" w:color="auto" w:fill="FFFFFF"/>
            <w:vAlign w:val="bottom"/>
          </w:tcPr>
          <w:p w14:paraId="676665D4">
            <w:pPr>
              <w:autoSpaceDE w:val="0"/>
              <w:autoSpaceDN w:val="0"/>
              <w:adjustRightInd w:val="0"/>
              <w:ind w:left="60" w:right="60"/>
              <w:jc w:val="both"/>
              <w:rPr>
                <w:rFonts w:ascii="Garamond" w:hAnsi="Garamond" w:cs="Garamond"/>
              </w:rPr>
            </w:pPr>
            <w:r>
              <w:rPr>
                <w:rFonts w:ascii="Garamond" w:hAnsi="Garamond" w:cs="Garamond"/>
              </w:rPr>
              <w:t>T</w:t>
            </w:r>
          </w:p>
        </w:tc>
        <w:tc>
          <w:tcPr>
            <w:tcW w:w="1050" w:type="dxa"/>
            <w:vMerge w:val="restart"/>
            <w:tcBorders>
              <w:top w:val="single" w:color="auto" w:sz="4" w:space="0"/>
              <w:left w:val="single" w:color="auto" w:sz="4" w:space="0"/>
              <w:bottom w:val="single" w:color="auto" w:sz="4" w:space="0"/>
              <w:right w:val="single" w:color="auto" w:sz="4" w:space="0"/>
            </w:tcBorders>
            <w:shd w:val="clear" w:color="auto" w:fill="FFFFFF"/>
            <w:vAlign w:val="bottom"/>
          </w:tcPr>
          <w:p w14:paraId="5E5D7458">
            <w:pPr>
              <w:autoSpaceDE w:val="0"/>
              <w:autoSpaceDN w:val="0"/>
              <w:adjustRightInd w:val="0"/>
              <w:ind w:left="60" w:right="60"/>
              <w:jc w:val="both"/>
              <w:rPr>
                <w:rFonts w:ascii="Garamond" w:hAnsi="Garamond" w:cs="Garamond"/>
              </w:rPr>
            </w:pPr>
            <w:r>
              <w:rPr>
                <w:rFonts w:ascii="Garamond" w:hAnsi="Garamond" w:cs="Garamond"/>
              </w:rPr>
              <w:t>Sig.</w:t>
            </w:r>
          </w:p>
        </w:tc>
      </w:tr>
      <w:tr w14:paraId="2CE41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0" w:hRule="atLeast"/>
        </w:trPr>
        <w:tc>
          <w:tcPr>
            <w:tcW w:w="320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bottom"/>
          </w:tcPr>
          <w:p w14:paraId="74655F93">
            <w:pPr>
              <w:autoSpaceDE w:val="0"/>
              <w:autoSpaceDN w:val="0"/>
              <w:adjustRightInd w:val="0"/>
              <w:jc w:val="both"/>
              <w:rPr>
                <w:rFonts w:ascii="Garamond" w:hAnsi="Garamond" w:cs="Garamond"/>
              </w:rPr>
            </w:pPr>
          </w:p>
        </w:tc>
        <w:tc>
          <w:tcPr>
            <w:tcW w:w="1365" w:type="dxa"/>
            <w:tcBorders>
              <w:top w:val="single" w:color="auto" w:sz="4" w:space="0"/>
              <w:left w:val="single" w:color="auto" w:sz="4" w:space="0"/>
              <w:bottom w:val="single" w:color="auto" w:sz="4" w:space="0"/>
              <w:right w:val="single" w:color="auto" w:sz="4" w:space="0"/>
            </w:tcBorders>
            <w:shd w:val="clear" w:color="auto" w:fill="FFFFFF"/>
            <w:vAlign w:val="bottom"/>
          </w:tcPr>
          <w:p w14:paraId="7010759F">
            <w:pPr>
              <w:autoSpaceDE w:val="0"/>
              <w:autoSpaceDN w:val="0"/>
              <w:adjustRightInd w:val="0"/>
              <w:ind w:left="60" w:right="60"/>
              <w:jc w:val="both"/>
              <w:rPr>
                <w:rFonts w:ascii="Garamond" w:hAnsi="Garamond" w:cs="Garamond"/>
              </w:rPr>
            </w:pPr>
            <w:r>
              <w:rPr>
                <w:rFonts w:ascii="Garamond" w:hAnsi="Garamond" w:cs="Garamond"/>
              </w:rPr>
              <w:t>B</w:t>
            </w:r>
          </w:p>
        </w:tc>
        <w:tc>
          <w:tcPr>
            <w:tcW w:w="1365" w:type="dxa"/>
            <w:tcBorders>
              <w:top w:val="single" w:color="auto" w:sz="4" w:space="0"/>
              <w:left w:val="single" w:color="auto" w:sz="4" w:space="0"/>
              <w:bottom w:val="single" w:color="auto" w:sz="4" w:space="0"/>
              <w:right w:val="single" w:color="auto" w:sz="4" w:space="0"/>
            </w:tcBorders>
            <w:shd w:val="clear" w:color="auto" w:fill="FFFFFF"/>
            <w:vAlign w:val="bottom"/>
          </w:tcPr>
          <w:p w14:paraId="427D5244">
            <w:pPr>
              <w:autoSpaceDE w:val="0"/>
              <w:autoSpaceDN w:val="0"/>
              <w:adjustRightInd w:val="0"/>
              <w:ind w:left="60" w:right="60"/>
              <w:jc w:val="both"/>
              <w:rPr>
                <w:rFonts w:ascii="Garamond" w:hAnsi="Garamond" w:cs="Garamond"/>
              </w:rPr>
            </w:pPr>
            <w:r>
              <w:rPr>
                <w:rFonts w:ascii="Garamond" w:hAnsi="Garamond" w:cs="Garamond"/>
              </w:rPr>
              <w:t>Std. Error</w:t>
            </w:r>
          </w:p>
        </w:tc>
        <w:tc>
          <w:tcPr>
            <w:tcW w:w="1506" w:type="dxa"/>
            <w:tcBorders>
              <w:top w:val="single" w:color="auto" w:sz="4" w:space="0"/>
              <w:left w:val="single" w:color="auto" w:sz="4" w:space="0"/>
              <w:bottom w:val="single" w:color="auto" w:sz="4" w:space="0"/>
              <w:right w:val="single" w:color="auto" w:sz="4" w:space="0"/>
            </w:tcBorders>
            <w:shd w:val="clear" w:color="auto" w:fill="FFFFFF"/>
            <w:vAlign w:val="bottom"/>
          </w:tcPr>
          <w:p w14:paraId="5CC9DE22">
            <w:pPr>
              <w:autoSpaceDE w:val="0"/>
              <w:autoSpaceDN w:val="0"/>
              <w:adjustRightInd w:val="0"/>
              <w:ind w:left="60" w:right="60"/>
              <w:jc w:val="both"/>
              <w:rPr>
                <w:rFonts w:ascii="Garamond" w:hAnsi="Garamond" w:cs="Garamond"/>
              </w:rPr>
            </w:pPr>
            <w:r>
              <w:rPr>
                <w:rFonts w:ascii="Garamond" w:hAnsi="Garamond" w:cs="Garamond"/>
              </w:rPr>
              <w:t>Beta</w:t>
            </w: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14:paraId="475B999D">
            <w:pPr>
              <w:autoSpaceDE w:val="0"/>
              <w:autoSpaceDN w:val="0"/>
              <w:adjustRightInd w:val="0"/>
              <w:jc w:val="both"/>
              <w:rPr>
                <w:rFonts w:ascii="Garamond" w:hAnsi="Garamond" w:cs="Garamond"/>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14:paraId="2020FF05">
            <w:pPr>
              <w:autoSpaceDE w:val="0"/>
              <w:autoSpaceDN w:val="0"/>
              <w:adjustRightInd w:val="0"/>
              <w:jc w:val="both"/>
              <w:rPr>
                <w:rFonts w:ascii="Garamond" w:hAnsi="Garamond" w:cs="Garamond"/>
              </w:rPr>
            </w:pPr>
          </w:p>
        </w:tc>
      </w:tr>
      <w:tr w14:paraId="697FF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29" w:hRule="atLeast"/>
        </w:trPr>
        <w:tc>
          <w:tcPr>
            <w:tcW w:w="752" w:type="dxa"/>
            <w:vMerge w:val="restart"/>
            <w:tcBorders>
              <w:top w:val="single" w:color="auto" w:sz="4" w:space="0"/>
              <w:left w:val="single" w:color="auto" w:sz="4" w:space="0"/>
              <w:bottom w:val="single" w:color="auto" w:sz="4" w:space="0"/>
              <w:right w:val="single" w:color="auto" w:sz="4" w:space="0"/>
            </w:tcBorders>
            <w:shd w:val="clear" w:color="auto" w:fill="E0E0E0"/>
          </w:tcPr>
          <w:p w14:paraId="44EA7069">
            <w:pPr>
              <w:autoSpaceDE w:val="0"/>
              <w:autoSpaceDN w:val="0"/>
              <w:adjustRightInd w:val="0"/>
              <w:ind w:left="60" w:right="60"/>
              <w:jc w:val="both"/>
              <w:rPr>
                <w:rFonts w:ascii="Garamond" w:hAnsi="Garamond" w:cs="Garamond"/>
              </w:rPr>
            </w:pPr>
            <w:r>
              <w:rPr>
                <w:rFonts w:ascii="Garamond" w:hAnsi="Garamond" w:cs="Garamond"/>
              </w:rPr>
              <w:t>1</w:t>
            </w:r>
          </w:p>
        </w:tc>
        <w:tc>
          <w:tcPr>
            <w:tcW w:w="2448" w:type="dxa"/>
            <w:tcBorders>
              <w:top w:val="single" w:color="auto" w:sz="4" w:space="0"/>
              <w:left w:val="single" w:color="auto" w:sz="4" w:space="0"/>
              <w:bottom w:val="single" w:color="auto" w:sz="4" w:space="0"/>
              <w:right w:val="single" w:color="auto" w:sz="4" w:space="0"/>
            </w:tcBorders>
            <w:shd w:val="clear" w:color="auto" w:fill="E0E0E0"/>
          </w:tcPr>
          <w:p w14:paraId="70E741B6">
            <w:pPr>
              <w:autoSpaceDE w:val="0"/>
              <w:autoSpaceDN w:val="0"/>
              <w:adjustRightInd w:val="0"/>
              <w:ind w:left="60" w:right="60"/>
              <w:jc w:val="both"/>
              <w:rPr>
                <w:rFonts w:ascii="Garamond" w:hAnsi="Garamond" w:cs="Garamond"/>
              </w:rPr>
            </w:pPr>
            <w:r>
              <w:rPr>
                <w:rFonts w:ascii="Garamond" w:hAnsi="Garamond" w:cs="Garamond"/>
              </w:rPr>
              <w:t>(Constant)</w:t>
            </w:r>
          </w:p>
        </w:tc>
        <w:tc>
          <w:tcPr>
            <w:tcW w:w="1365" w:type="dxa"/>
            <w:tcBorders>
              <w:top w:val="single" w:color="auto" w:sz="4" w:space="0"/>
              <w:left w:val="single" w:color="auto" w:sz="4" w:space="0"/>
              <w:bottom w:val="single" w:color="auto" w:sz="4" w:space="0"/>
              <w:right w:val="single" w:color="auto" w:sz="4" w:space="0"/>
            </w:tcBorders>
            <w:shd w:val="clear" w:color="auto" w:fill="FFFFFF"/>
          </w:tcPr>
          <w:p w14:paraId="72D0CD96">
            <w:pPr>
              <w:autoSpaceDE w:val="0"/>
              <w:autoSpaceDN w:val="0"/>
              <w:adjustRightInd w:val="0"/>
              <w:ind w:left="60" w:right="60"/>
              <w:jc w:val="both"/>
              <w:rPr>
                <w:rFonts w:ascii="Garamond" w:hAnsi="Garamond" w:cs="Garamond"/>
              </w:rPr>
            </w:pPr>
            <w:r>
              <w:rPr>
                <w:rFonts w:ascii="Garamond" w:hAnsi="Garamond" w:cs="Garamond"/>
              </w:rPr>
              <w:t>2.766</w:t>
            </w:r>
          </w:p>
        </w:tc>
        <w:tc>
          <w:tcPr>
            <w:tcW w:w="1365" w:type="dxa"/>
            <w:tcBorders>
              <w:top w:val="single" w:color="auto" w:sz="4" w:space="0"/>
              <w:left w:val="single" w:color="auto" w:sz="4" w:space="0"/>
              <w:bottom w:val="single" w:color="auto" w:sz="4" w:space="0"/>
              <w:right w:val="single" w:color="auto" w:sz="4" w:space="0"/>
            </w:tcBorders>
            <w:shd w:val="clear" w:color="auto" w:fill="FFFFFF"/>
          </w:tcPr>
          <w:p w14:paraId="4F6BF80A">
            <w:pPr>
              <w:autoSpaceDE w:val="0"/>
              <w:autoSpaceDN w:val="0"/>
              <w:adjustRightInd w:val="0"/>
              <w:ind w:left="60" w:right="60"/>
              <w:jc w:val="both"/>
              <w:rPr>
                <w:rFonts w:ascii="Garamond" w:hAnsi="Garamond" w:cs="Garamond"/>
              </w:rPr>
            </w:pPr>
            <w:r>
              <w:rPr>
                <w:rFonts w:ascii="Garamond" w:hAnsi="Garamond" w:cs="Garamond"/>
              </w:rPr>
              <w:t>.228</w:t>
            </w:r>
          </w:p>
        </w:tc>
        <w:tc>
          <w:tcPr>
            <w:tcW w:w="1506" w:type="dxa"/>
            <w:tcBorders>
              <w:top w:val="single" w:color="auto" w:sz="4" w:space="0"/>
              <w:left w:val="single" w:color="auto" w:sz="4" w:space="0"/>
              <w:bottom w:val="single" w:color="auto" w:sz="4" w:space="0"/>
              <w:right w:val="single" w:color="auto" w:sz="4" w:space="0"/>
            </w:tcBorders>
            <w:shd w:val="clear" w:color="auto" w:fill="FFFFFF"/>
            <w:vAlign w:val="center"/>
          </w:tcPr>
          <w:p w14:paraId="7C177DE8">
            <w:pPr>
              <w:autoSpaceDE w:val="0"/>
              <w:autoSpaceDN w:val="0"/>
              <w:adjustRightInd w:val="0"/>
              <w:jc w:val="both"/>
              <w:rPr>
                <w:rFonts w:ascii="Garamond" w:hAnsi="Garamond" w:cs="Garamond"/>
              </w:rPr>
            </w:pPr>
          </w:p>
        </w:tc>
        <w:tc>
          <w:tcPr>
            <w:tcW w:w="1050" w:type="dxa"/>
            <w:tcBorders>
              <w:top w:val="single" w:color="auto" w:sz="4" w:space="0"/>
              <w:left w:val="single" w:color="auto" w:sz="4" w:space="0"/>
              <w:bottom w:val="single" w:color="auto" w:sz="4" w:space="0"/>
              <w:right w:val="single" w:color="auto" w:sz="4" w:space="0"/>
            </w:tcBorders>
            <w:shd w:val="clear" w:color="auto" w:fill="FFFFFF"/>
          </w:tcPr>
          <w:p w14:paraId="2C462B2A">
            <w:pPr>
              <w:autoSpaceDE w:val="0"/>
              <w:autoSpaceDN w:val="0"/>
              <w:adjustRightInd w:val="0"/>
              <w:ind w:left="60" w:right="60"/>
              <w:jc w:val="both"/>
              <w:rPr>
                <w:rFonts w:ascii="Garamond" w:hAnsi="Garamond" w:cs="Garamond"/>
              </w:rPr>
            </w:pPr>
            <w:r>
              <w:rPr>
                <w:rFonts w:ascii="Garamond" w:hAnsi="Garamond" w:cs="Garamond"/>
              </w:rPr>
              <w:t>12.118</w:t>
            </w:r>
          </w:p>
        </w:tc>
        <w:tc>
          <w:tcPr>
            <w:tcW w:w="1050" w:type="dxa"/>
            <w:tcBorders>
              <w:top w:val="single" w:color="auto" w:sz="4" w:space="0"/>
              <w:left w:val="single" w:color="auto" w:sz="4" w:space="0"/>
              <w:bottom w:val="single" w:color="auto" w:sz="4" w:space="0"/>
              <w:right w:val="single" w:color="auto" w:sz="4" w:space="0"/>
            </w:tcBorders>
            <w:shd w:val="clear" w:color="auto" w:fill="FFFFFF"/>
          </w:tcPr>
          <w:p w14:paraId="1AF2A3BB">
            <w:pPr>
              <w:autoSpaceDE w:val="0"/>
              <w:autoSpaceDN w:val="0"/>
              <w:adjustRightInd w:val="0"/>
              <w:ind w:left="60" w:right="60"/>
              <w:jc w:val="both"/>
              <w:rPr>
                <w:rFonts w:ascii="Garamond" w:hAnsi="Garamond" w:cs="Garamond"/>
              </w:rPr>
            </w:pPr>
            <w:r>
              <w:rPr>
                <w:rFonts w:ascii="Garamond" w:hAnsi="Garamond" w:cs="Garamond"/>
              </w:rPr>
              <w:t>.000</w:t>
            </w:r>
          </w:p>
        </w:tc>
      </w:tr>
      <w:tr w14:paraId="0900DF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0" w:hRule="atLeast"/>
        </w:trPr>
        <w:tc>
          <w:tcPr>
            <w:tcW w:w="752" w:type="dxa"/>
            <w:vMerge w:val="continue"/>
            <w:tcBorders>
              <w:top w:val="single" w:color="auto" w:sz="4" w:space="0"/>
              <w:left w:val="single" w:color="auto" w:sz="4" w:space="0"/>
              <w:bottom w:val="single" w:color="auto" w:sz="4" w:space="0"/>
              <w:right w:val="single" w:color="auto" w:sz="4" w:space="0"/>
            </w:tcBorders>
            <w:shd w:val="clear" w:color="auto" w:fill="E0E0E0"/>
          </w:tcPr>
          <w:p w14:paraId="6E0B48BC">
            <w:pPr>
              <w:autoSpaceDE w:val="0"/>
              <w:autoSpaceDN w:val="0"/>
              <w:adjustRightInd w:val="0"/>
              <w:jc w:val="both"/>
              <w:rPr>
                <w:rFonts w:ascii="Garamond" w:hAnsi="Garamond" w:cs="Garamond"/>
              </w:rPr>
            </w:pPr>
          </w:p>
        </w:tc>
        <w:tc>
          <w:tcPr>
            <w:tcW w:w="2448" w:type="dxa"/>
            <w:tcBorders>
              <w:top w:val="single" w:color="auto" w:sz="4" w:space="0"/>
              <w:left w:val="single" w:color="auto" w:sz="4" w:space="0"/>
              <w:bottom w:val="single" w:color="auto" w:sz="4" w:space="0"/>
              <w:right w:val="single" w:color="auto" w:sz="4" w:space="0"/>
            </w:tcBorders>
            <w:shd w:val="clear" w:color="auto" w:fill="E0E0E0"/>
          </w:tcPr>
          <w:p w14:paraId="41F2407E">
            <w:pPr>
              <w:autoSpaceDE w:val="0"/>
              <w:autoSpaceDN w:val="0"/>
              <w:adjustRightInd w:val="0"/>
              <w:ind w:left="60" w:right="60"/>
              <w:jc w:val="both"/>
              <w:rPr>
                <w:rFonts w:ascii="Garamond" w:hAnsi="Garamond" w:cs="Garamond"/>
              </w:rPr>
            </w:pPr>
            <w:r>
              <w:rPr>
                <w:rFonts w:ascii="Garamond" w:hAnsi="Garamond" w:cs="Garamond"/>
              </w:rPr>
              <w:t>Innovation  Technology</w:t>
            </w:r>
          </w:p>
        </w:tc>
        <w:tc>
          <w:tcPr>
            <w:tcW w:w="1365" w:type="dxa"/>
            <w:tcBorders>
              <w:top w:val="single" w:color="auto" w:sz="4" w:space="0"/>
              <w:left w:val="single" w:color="auto" w:sz="4" w:space="0"/>
              <w:bottom w:val="single" w:color="auto" w:sz="4" w:space="0"/>
              <w:right w:val="single" w:color="auto" w:sz="4" w:space="0"/>
            </w:tcBorders>
            <w:shd w:val="clear" w:color="auto" w:fill="FFFFFF"/>
          </w:tcPr>
          <w:p w14:paraId="05A106B5">
            <w:pPr>
              <w:autoSpaceDE w:val="0"/>
              <w:autoSpaceDN w:val="0"/>
              <w:adjustRightInd w:val="0"/>
              <w:ind w:left="60" w:right="60"/>
              <w:jc w:val="both"/>
              <w:rPr>
                <w:rFonts w:ascii="Garamond" w:hAnsi="Garamond" w:cs="Garamond"/>
              </w:rPr>
            </w:pPr>
            <w:r>
              <w:rPr>
                <w:rFonts w:ascii="Garamond" w:hAnsi="Garamond" w:cs="Garamond"/>
              </w:rPr>
              <w:t>.061</w:t>
            </w:r>
          </w:p>
        </w:tc>
        <w:tc>
          <w:tcPr>
            <w:tcW w:w="1365" w:type="dxa"/>
            <w:tcBorders>
              <w:top w:val="single" w:color="auto" w:sz="4" w:space="0"/>
              <w:left w:val="single" w:color="auto" w:sz="4" w:space="0"/>
              <w:bottom w:val="single" w:color="auto" w:sz="4" w:space="0"/>
              <w:right w:val="single" w:color="auto" w:sz="4" w:space="0"/>
            </w:tcBorders>
            <w:shd w:val="clear" w:color="auto" w:fill="FFFFFF"/>
          </w:tcPr>
          <w:p w14:paraId="0D8AF492">
            <w:pPr>
              <w:autoSpaceDE w:val="0"/>
              <w:autoSpaceDN w:val="0"/>
              <w:adjustRightInd w:val="0"/>
              <w:ind w:left="60" w:right="60"/>
              <w:jc w:val="both"/>
              <w:rPr>
                <w:rFonts w:ascii="Garamond" w:hAnsi="Garamond" w:cs="Garamond"/>
              </w:rPr>
            </w:pPr>
            <w:r>
              <w:rPr>
                <w:rFonts w:ascii="Garamond" w:hAnsi="Garamond" w:cs="Garamond"/>
              </w:rPr>
              <w:t>.039</w:t>
            </w:r>
          </w:p>
        </w:tc>
        <w:tc>
          <w:tcPr>
            <w:tcW w:w="1506" w:type="dxa"/>
            <w:tcBorders>
              <w:top w:val="single" w:color="auto" w:sz="4" w:space="0"/>
              <w:left w:val="single" w:color="auto" w:sz="4" w:space="0"/>
              <w:bottom w:val="single" w:color="auto" w:sz="4" w:space="0"/>
              <w:right w:val="single" w:color="auto" w:sz="4" w:space="0"/>
            </w:tcBorders>
            <w:shd w:val="clear" w:color="auto" w:fill="FFFFFF"/>
          </w:tcPr>
          <w:p w14:paraId="26D53BF7">
            <w:pPr>
              <w:autoSpaceDE w:val="0"/>
              <w:autoSpaceDN w:val="0"/>
              <w:adjustRightInd w:val="0"/>
              <w:ind w:left="60" w:right="60"/>
              <w:jc w:val="both"/>
              <w:rPr>
                <w:rFonts w:ascii="Garamond" w:hAnsi="Garamond" w:cs="Garamond"/>
              </w:rPr>
            </w:pPr>
            <w:r>
              <w:rPr>
                <w:rFonts w:ascii="Garamond" w:hAnsi="Garamond" w:cs="Garamond"/>
              </w:rPr>
              <w:t>.088</w:t>
            </w:r>
          </w:p>
        </w:tc>
        <w:tc>
          <w:tcPr>
            <w:tcW w:w="1050" w:type="dxa"/>
            <w:tcBorders>
              <w:top w:val="single" w:color="auto" w:sz="4" w:space="0"/>
              <w:left w:val="single" w:color="auto" w:sz="4" w:space="0"/>
              <w:bottom w:val="single" w:color="auto" w:sz="4" w:space="0"/>
              <w:right w:val="single" w:color="auto" w:sz="4" w:space="0"/>
            </w:tcBorders>
            <w:shd w:val="clear" w:color="auto" w:fill="FFFFFF"/>
          </w:tcPr>
          <w:p w14:paraId="5D6A2BAD">
            <w:pPr>
              <w:autoSpaceDE w:val="0"/>
              <w:autoSpaceDN w:val="0"/>
              <w:adjustRightInd w:val="0"/>
              <w:ind w:left="60" w:right="60"/>
              <w:jc w:val="both"/>
              <w:rPr>
                <w:rFonts w:ascii="Garamond" w:hAnsi="Garamond" w:cs="Garamond"/>
              </w:rPr>
            </w:pPr>
            <w:r>
              <w:rPr>
                <w:rFonts w:ascii="Garamond" w:hAnsi="Garamond" w:cs="Garamond"/>
              </w:rPr>
              <w:t>1.542</w:t>
            </w:r>
          </w:p>
        </w:tc>
        <w:tc>
          <w:tcPr>
            <w:tcW w:w="1050" w:type="dxa"/>
            <w:tcBorders>
              <w:top w:val="single" w:color="auto" w:sz="4" w:space="0"/>
              <w:left w:val="single" w:color="auto" w:sz="4" w:space="0"/>
              <w:bottom w:val="single" w:color="auto" w:sz="4" w:space="0"/>
              <w:right w:val="single" w:color="auto" w:sz="4" w:space="0"/>
            </w:tcBorders>
            <w:shd w:val="clear" w:color="auto" w:fill="FFFFFF"/>
          </w:tcPr>
          <w:p w14:paraId="4D1A677C">
            <w:pPr>
              <w:autoSpaceDE w:val="0"/>
              <w:autoSpaceDN w:val="0"/>
              <w:adjustRightInd w:val="0"/>
              <w:ind w:left="60" w:right="60"/>
              <w:jc w:val="both"/>
              <w:rPr>
                <w:rFonts w:ascii="Garamond" w:hAnsi="Garamond" w:cs="Garamond"/>
              </w:rPr>
            </w:pPr>
            <w:r>
              <w:rPr>
                <w:rFonts w:ascii="Garamond" w:hAnsi="Garamond" w:cs="Garamond"/>
              </w:rPr>
              <w:t>.124</w:t>
            </w:r>
          </w:p>
        </w:tc>
      </w:tr>
      <w:tr w14:paraId="25AE5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0" w:hRule="atLeast"/>
        </w:trPr>
        <w:tc>
          <w:tcPr>
            <w:tcW w:w="752" w:type="dxa"/>
            <w:vMerge w:val="continue"/>
            <w:tcBorders>
              <w:top w:val="single" w:color="auto" w:sz="4" w:space="0"/>
              <w:left w:val="single" w:color="auto" w:sz="4" w:space="0"/>
              <w:bottom w:val="single" w:color="auto" w:sz="4" w:space="0"/>
              <w:right w:val="single" w:color="auto" w:sz="4" w:space="0"/>
            </w:tcBorders>
            <w:shd w:val="clear" w:color="auto" w:fill="E0E0E0"/>
          </w:tcPr>
          <w:p w14:paraId="018B4171">
            <w:pPr>
              <w:autoSpaceDE w:val="0"/>
              <w:autoSpaceDN w:val="0"/>
              <w:adjustRightInd w:val="0"/>
              <w:jc w:val="both"/>
              <w:rPr>
                <w:rFonts w:ascii="Garamond" w:hAnsi="Garamond" w:cs="Garamond"/>
              </w:rPr>
            </w:pPr>
          </w:p>
        </w:tc>
        <w:tc>
          <w:tcPr>
            <w:tcW w:w="2448" w:type="dxa"/>
            <w:tcBorders>
              <w:top w:val="single" w:color="auto" w:sz="4" w:space="0"/>
              <w:left w:val="single" w:color="auto" w:sz="4" w:space="0"/>
              <w:bottom w:val="single" w:color="auto" w:sz="4" w:space="0"/>
              <w:right w:val="single" w:color="auto" w:sz="4" w:space="0"/>
            </w:tcBorders>
            <w:shd w:val="clear" w:color="auto" w:fill="E0E0E0"/>
          </w:tcPr>
          <w:p w14:paraId="565A3CE7">
            <w:pPr>
              <w:autoSpaceDE w:val="0"/>
              <w:autoSpaceDN w:val="0"/>
              <w:adjustRightInd w:val="0"/>
              <w:ind w:left="60" w:right="60"/>
              <w:jc w:val="both"/>
              <w:rPr>
                <w:rFonts w:ascii="Garamond" w:hAnsi="Garamond" w:cs="Garamond"/>
              </w:rPr>
            </w:pPr>
            <w:r>
              <w:rPr>
                <w:rFonts w:ascii="Garamond" w:hAnsi="Garamond" w:cs="Garamond"/>
              </w:rPr>
              <w:t>Compatibility</w:t>
            </w:r>
          </w:p>
        </w:tc>
        <w:tc>
          <w:tcPr>
            <w:tcW w:w="1365" w:type="dxa"/>
            <w:tcBorders>
              <w:top w:val="single" w:color="auto" w:sz="4" w:space="0"/>
              <w:left w:val="single" w:color="auto" w:sz="4" w:space="0"/>
              <w:bottom w:val="single" w:color="auto" w:sz="4" w:space="0"/>
              <w:right w:val="single" w:color="auto" w:sz="4" w:space="0"/>
            </w:tcBorders>
            <w:shd w:val="clear" w:color="auto" w:fill="FFFFFF"/>
          </w:tcPr>
          <w:p w14:paraId="5EDF543E">
            <w:pPr>
              <w:autoSpaceDE w:val="0"/>
              <w:autoSpaceDN w:val="0"/>
              <w:adjustRightInd w:val="0"/>
              <w:ind w:left="60" w:right="60"/>
              <w:jc w:val="both"/>
              <w:rPr>
                <w:rFonts w:ascii="Garamond" w:hAnsi="Garamond" w:cs="Garamond"/>
              </w:rPr>
            </w:pPr>
            <w:r>
              <w:rPr>
                <w:rFonts w:ascii="Garamond" w:hAnsi="Garamond" w:cs="Garamond"/>
              </w:rPr>
              <w:t>.216</w:t>
            </w:r>
          </w:p>
        </w:tc>
        <w:tc>
          <w:tcPr>
            <w:tcW w:w="1365" w:type="dxa"/>
            <w:tcBorders>
              <w:top w:val="single" w:color="auto" w:sz="4" w:space="0"/>
              <w:left w:val="single" w:color="auto" w:sz="4" w:space="0"/>
              <w:bottom w:val="single" w:color="auto" w:sz="4" w:space="0"/>
              <w:right w:val="single" w:color="auto" w:sz="4" w:space="0"/>
            </w:tcBorders>
            <w:shd w:val="clear" w:color="auto" w:fill="FFFFFF"/>
          </w:tcPr>
          <w:p w14:paraId="38AFAA29">
            <w:pPr>
              <w:autoSpaceDE w:val="0"/>
              <w:autoSpaceDN w:val="0"/>
              <w:adjustRightInd w:val="0"/>
              <w:ind w:left="60" w:right="60"/>
              <w:jc w:val="both"/>
              <w:rPr>
                <w:rFonts w:ascii="Garamond" w:hAnsi="Garamond" w:cs="Garamond"/>
              </w:rPr>
            </w:pPr>
            <w:r>
              <w:rPr>
                <w:rFonts w:ascii="Garamond" w:hAnsi="Garamond" w:cs="Garamond"/>
              </w:rPr>
              <w:t>.049</w:t>
            </w:r>
          </w:p>
        </w:tc>
        <w:tc>
          <w:tcPr>
            <w:tcW w:w="1506" w:type="dxa"/>
            <w:tcBorders>
              <w:top w:val="single" w:color="auto" w:sz="4" w:space="0"/>
              <w:left w:val="single" w:color="auto" w:sz="4" w:space="0"/>
              <w:bottom w:val="single" w:color="auto" w:sz="4" w:space="0"/>
              <w:right w:val="single" w:color="auto" w:sz="4" w:space="0"/>
            </w:tcBorders>
            <w:shd w:val="clear" w:color="auto" w:fill="FFFFFF"/>
          </w:tcPr>
          <w:p w14:paraId="461FC65A">
            <w:pPr>
              <w:autoSpaceDE w:val="0"/>
              <w:autoSpaceDN w:val="0"/>
              <w:adjustRightInd w:val="0"/>
              <w:ind w:left="60" w:right="60"/>
              <w:jc w:val="both"/>
              <w:rPr>
                <w:rFonts w:ascii="Garamond" w:hAnsi="Garamond" w:cs="Garamond"/>
              </w:rPr>
            </w:pPr>
            <w:r>
              <w:rPr>
                <w:rFonts w:ascii="Garamond" w:hAnsi="Garamond" w:cs="Garamond"/>
              </w:rPr>
              <w:t>.264</w:t>
            </w:r>
          </w:p>
        </w:tc>
        <w:tc>
          <w:tcPr>
            <w:tcW w:w="1050" w:type="dxa"/>
            <w:tcBorders>
              <w:top w:val="single" w:color="auto" w:sz="4" w:space="0"/>
              <w:left w:val="single" w:color="auto" w:sz="4" w:space="0"/>
              <w:bottom w:val="single" w:color="auto" w:sz="4" w:space="0"/>
              <w:right w:val="single" w:color="auto" w:sz="4" w:space="0"/>
            </w:tcBorders>
            <w:shd w:val="clear" w:color="auto" w:fill="FFFFFF"/>
          </w:tcPr>
          <w:p w14:paraId="4C095445">
            <w:pPr>
              <w:autoSpaceDE w:val="0"/>
              <w:autoSpaceDN w:val="0"/>
              <w:adjustRightInd w:val="0"/>
              <w:ind w:left="60" w:right="60"/>
              <w:jc w:val="both"/>
              <w:rPr>
                <w:rFonts w:ascii="Garamond" w:hAnsi="Garamond" w:cs="Garamond"/>
              </w:rPr>
            </w:pPr>
            <w:r>
              <w:rPr>
                <w:rFonts w:ascii="Garamond" w:hAnsi="Garamond" w:cs="Garamond"/>
              </w:rPr>
              <w:t>4.421</w:t>
            </w:r>
          </w:p>
        </w:tc>
        <w:tc>
          <w:tcPr>
            <w:tcW w:w="1050" w:type="dxa"/>
            <w:tcBorders>
              <w:top w:val="single" w:color="auto" w:sz="4" w:space="0"/>
              <w:left w:val="single" w:color="auto" w:sz="4" w:space="0"/>
              <w:bottom w:val="single" w:color="auto" w:sz="4" w:space="0"/>
              <w:right w:val="single" w:color="auto" w:sz="4" w:space="0"/>
            </w:tcBorders>
            <w:shd w:val="clear" w:color="auto" w:fill="FFFFFF"/>
          </w:tcPr>
          <w:p w14:paraId="1CF2B249">
            <w:pPr>
              <w:autoSpaceDE w:val="0"/>
              <w:autoSpaceDN w:val="0"/>
              <w:adjustRightInd w:val="0"/>
              <w:ind w:left="60" w:right="60"/>
              <w:jc w:val="both"/>
              <w:rPr>
                <w:rFonts w:ascii="Garamond" w:hAnsi="Garamond" w:cs="Garamond"/>
              </w:rPr>
            </w:pPr>
            <w:r>
              <w:rPr>
                <w:rFonts w:ascii="Garamond" w:hAnsi="Garamond" w:cs="Garamond"/>
              </w:rPr>
              <w:t>.000</w:t>
            </w:r>
          </w:p>
        </w:tc>
      </w:tr>
      <w:tr w14:paraId="20F57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0" w:hRule="atLeast"/>
        </w:trPr>
        <w:tc>
          <w:tcPr>
            <w:tcW w:w="752" w:type="dxa"/>
            <w:vMerge w:val="continue"/>
            <w:tcBorders>
              <w:top w:val="single" w:color="auto" w:sz="4" w:space="0"/>
              <w:left w:val="single" w:color="auto" w:sz="4" w:space="0"/>
              <w:bottom w:val="single" w:color="auto" w:sz="4" w:space="0"/>
              <w:right w:val="single" w:color="auto" w:sz="4" w:space="0"/>
            </w:tcBorders>
            <w:shd w:val="clear" w:color="auto" w:fill="E0E0E0"/>
          </w:tcPr>
          <w:p w14:paraId="2D6B64DC">
            <w:pPr>
              <w:autoSpaceDE w:val="0"/>
              <w:autoSpaceDN w:val="0"/>
              <w:adjustRightInd w:val="0"/>
              <w:jc w:val="both"/>
              <w:rPr>
                <w:rFonts w:ascii="Garamond" w:hAnsi="Garamond" w:cs="Garamond"/>
              </w:rPr>
            </w:pPr>
          </w:p>
        </w:tc>
        <w:tc>
          <w:tcPr>
            <w:tcW w:w="2448" w:type="dxa"/>
            <w:tcBorders>
              <w:top w:val="single" w:color="auto" w:sz="4" w:space="0"/>
              <w:left w:val="single" w:color="auto" w:sz="4" w:space="0"/>
              <w:bottom w:val="single" w:color="auto" w:sz="4" w:space="0"/>
              <w:right w:val="single" w:color="auto" w:sz="4" w:space="0"/>
            </w:tcBorders>
            <w:shd w:val="clear" w:color="auto" w:fill="E0E0E0"/>
          </w:tcPr>
          <w:p w14:paraId="0C090D0A">
            <w:pPr>
              <w:autoSpaceDE w:val="0"/>
              <w:autoSpaceDN w:val="0"/>
              <w:adjustRightInd w:val="0"/>
              <w:ind w:left="60" w:right="60"/>
              <w:jc w:val="both"/>
              <w:rPr>
                <w:rFonts w:ascii="Garamond" w:hAnsi="Garamond" w:cs="Garamond"/>
              </w:rPr>
            </w:pPr>
            <w:r>
              <w:rPr>
                <w:rFonts w:ascii="Garamond" w:hAnsi="Garamond" w:cs="Garamond"/>
              </w:rPr>
              <w:t>Complexity</w:t>
            </w:r>
          </w:p>
        </w:tc>
        <w:tc>
          <w:tcPr>
            <w:tcW w:w="1365" w:type="dxa"/>
            <w:tcBorders>
              <w:top w:val="single" w:color="auto" w:sz="4" w:space="0"/>
              <w:left w:val="single" w:color="auto" w:sz="4" w:space="0"/>
              <w:bottom w:val="single" w:color="auto" w:sz="4" w:space="0"/>
              <w:right w:val="single" w:color="auto" w:sz="4" w:space="0"/>
            </w:tcBorders>
            <w:shd w:val="clear" w:color="auto" w:fill="FFFFFF"/>
          </w:tcPr>
          <w:p w14:paraId="5245E630">
            <w:pPr>
              <w:autoSpaceDE w:val="0"/>
              <w:autoSpaceDN w:val="0"/>
              <w:adjustRightInd w:val="0"/>
              <w:ind w:left="60" w:right="60"/>
              <w:jc w:val="both"/>
              <w:rPr>
                <w:rFonts w:ascii="Garamond" w:hAnsi="Garamond" w:cs="Garamond"/>
              </w:rPr>
            </w:pPr>
            <w:r>
              <w:rPr>
                <w:rFonts w:ascii="Garamond" w:hAnsi="Garamond" w:cs="Garamond"/>
              </w:rPr>
              <w:t>.123</w:t>
            </w:r>
          </w:p>
        </w:tc>
        <w:tc>
          <w:tcPr>
            <w:tcW w:w="1365" w:type="dxa"/>
            <w:tcBorders>
              <w:top w:val="single" w:color="auto" w:sz="4" w:space="0"/>
              <w:left w:val="single" w:color="auto" w:sz="4" w:space="0"/>
              <w:bottom w:val="single" w:color="auto" w:sz="4" w:space="0"/>
              <w:right w:val="single" w:color="auto" w:sz="4" w:space="0"/>
            </w:tcBorders>
            <w:shd w:val="clear" w:color="auto" w:fill="FFFFFF"/>
          </w:tcPr>
          <w:p w14:paraId="5E9CAA0F">
            <w:pPr>
              <w:autoSpaceDE w:val="0"/>
              <w:autoSpaceDN w:val="0"/>
              <w:adjustRightInd w:val="0"/>
              <w:ind w:left="60" w:right="60"/>
              <w:jc w:val="both"/>
              <w:rPr>
                <w:rFonts w:ascii="Garamond" w:hAnsi="Garamond" w:cs="Garamond"/>
              </w:rPr>
            </w:pPr>
            <w:r>
              <w:rPr>
                <w:rFonts w:ascii="Garamond" w:hAnsi="Garamond" w:cs="Garamond"/>
              </w:rPr>
              <w:t>.041</w:t>
            </w:r>
          </w:p>
        </w:tc>
        <w:tc>
          <w:tcPr>
            <w:tcW w:w="1506" w:type="dxa"/>
            <w:tcBorders>
              <w:top w:val="single" w:color="auto" w:sz="4" w:space="0"/>
              <w:left w:val="single" w:color="auto" w:sz="4" w:space="0"/>
              <w:bottom w:val="single" w:color="auto" w:sz="4" w:space="0"/>
              <w:right w:val="single" w:color="auto" w:sz="4" w:space="0"/>
            </w:tcBorders>
            <w:shd w:val="clear" w:color="auto" w:fill="FFFFFF"/>
          </w:tcPr>
          <w:p w14:paraId="3B34ED7F">
            <w:pPr>
              <w:autoSpaceDE w:val="0"/>
              <w:autoSpaceDN w:val="0"/>
              <w:adjustRightInd w:val="0"/>
              <w:ind w:left="60" w:right="60"/>
              <w:jc w:val="both"/>
              <w:rPr>
                <w:rFonts w:ascii="Garamond" w:hAnsi="Garamond" w:cs="Garamond"/>
              </w:rPr>
            </w:pPr>
            <w:r>
              <w:rPr>
                <w:rFonts w:ascii="Garamond" w:hAnsi="Garamond" w:cs="Garamond"/>
              </w:rPr>
              <w:t>.183</w:t>
            </w:r>
          </w:p>
        </w:tc>
        <w:tc>
          <w:tcPr>
            <w:tcW w:w="1050" w:type="dxa"/>
            <w:tcBorders>
              <w:top w:val="single" w:color="auto" w:sz="4" w:space="0"/>
              <w:left w:val="single" w:color="auto" w:sz="4" w:space="0"/>
              <w:bottom w:val="single" w:color="auto" w:sz="4" w:space="0"/>
              <w:right w:val="single" w:color="auto" w:sz="4" w:space="0"/>
            </w:tcBorders>
            <w:shd w:val="clear" w:color="auto" w:fill="FFFFFF"/>
          </w:tcPr>
          <w:p w14:paraId="7887F820">
            <w:pPr>
              <w:autoSpaceDE w:val="0"/>
              <w:autoSpaceDN w:val="0"/>
              <w:adjustRightInd w:val="0"/>
              <w:ind w:left="60" w:right="60"/>
              <w:jc w:val="both"/>
              <w:rPr>
                <w:rFonts w:ascii="Garamond" w:hAnsi="Garamond" w:cs="Garamond"/>
              </w:rPr>
            </w:pPr>
            <w:r>
              <w:rPr>
                <w:rFonts w:ascii="Garamond" w:hAnsi="Garamond" w:cs="Garamond"/>
              </w:rPr>
              <w:t>3.002</w:t>
            </w:r>
          </w:p>
        </w:tc>
        <w:tc>
          <w:tcPr>
            <w:tcW w:w="1050" w:type="dxa"/>
            <w:tcBorders>
              <w:top w:val="single" w:color="auto" w:sz="4" w:space="0"/>
              <w:left w:val="single" w:color="auto" w:sz="4" w:space="0"/>
              <w:bottom w:val="single" w:color="auto" w:sz="4" w:space="0"/>
              <w:right w:val="single" w:color="auto" w:sz="4" w:space="0"/>
            </w:tcBorders>
            <w:shd w:val="clear" w:color="auto" w:fill="FFFFFF"/>
          </w:tcPr>
          <w:p w14:paraId="1346DF69">
            <w:pPr>
              <w:autoSpaceDE w:val="0"/>
              <w:autoSpaceDN w:val="0"/>
              <w:adjustRightInd w:val="0"/>
              <w:ind w:left="60" w:right="60"/>
              <w:jc w:val="both"/>
              <w:rPr>
                <w:rFonts w:ascii="Garamond" w:hAnsi="Garamond" w:cs="Garamond"/>
              </w:rPr>
            </w:pPr>
            <w:r>
              <w:rPr>
                <w:rFonts w:ascii="Garamond" w:hAnsi="Garamond" w:cs="Garamond"/>
              </w:rPr>
              <w:t>.003</w:t>
            </w:r>
          </w:p>
        </w:tc>
      </w:tr>
      <w:tr w14:paraId="48755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0" w:hRule="atLeast"/>
        </w:trPr>
        <w:tc>
          <w:tcPr>
            <w:tcW w:w="752" w:type="dxa"/>
            <w:vMerge w:val="continue"/>
            <w:tcBorders>
              <w:top w:val="single" w:color="auto" w:sz="4" w:space="0"/>
              <w:left w:val="single" w:color="auto" w:sz="4" w:space="0"/>
              <w:bottom w:val="single" w:color="auto" w:sz="4" w:space="0"/>
              <w:right w:val="single" w:color="auto" w:sz="4" w:space="0"/>
            </w:tcBorders>
            <w:shd w:val="clear" w:color="auto" w:fill="E0E0E0"/>
          </w:tcPr>
          <w:p w14:paraId="03A28AC8">
            <w:pPr>
              <w:autoSpaceDE w:val="0"/>
              <w:autoSpaceDN w:val="0"/>
              <w:adjustRightInd w:val="0"/>
              <w:jc w:val="both"/>
              <w:rPr>
                <w:rFonts w:ascii="Garamond" w:hAnsi="Garamond" w:cs="Garamond"/>
              </w:rPr>
            </w:pPr>
          </w:p>
        </w:tc>
        <w:tc>
          <w:tcPr>
            <w:tcW w:w="2448" w:type="dxa"/>
            <w:tcBorders>
              <w:top w:val="single" w:color="auto" w:sz="4" w:space="0"/>
              <w:left w:val="single" w:color="auto" w:sz="4" w:space="0"/>
              <w:bottom w:val="single" w:color="auto" w:sz="4" w:space="0"/>
              <w:right w:val="single" w:color="auto" w:sz="4" w:space="0"/>
            </w:tcBorders>
            <w:shd w:val="clear" w:color="auto" w:fill="E0E0E0"/>
          </w:tcPr>
          <w:p w14:paraId="0DB2D2C8">
            <w:pPr>
              <w:autoSpaceDE w:val="0"/>
              <w:autoSpaceDN w:val="0"/>
              <w:adjustRightInd w:val="0"/>
              <w:ind w:left="60" w:right="60"/>
              <w:jc w:val="both"/>
              <w:rPr>
                <w:rFonts w:ascii="Garamond" w:hAnsi="Garamond" w:cs="Garamond"/>
              </w:rPr>
            </w:pPr>
            <w:r>
              <w:rPr>
                <w:rFonts w:ascii="Garamond" w:hAnsi="Garamond" w:cs="Garamond"/>
              </w:rPr>
              <w:t>Trailability</w:t>
            </w:r>
          </w:p>
        </w:tc>
        <w:tc>
          <w:tcPr>
            <w:tcW w:w="1365" w:type="dxa"/>
            <w:tcBorders>
              <w:top w:val="single" w:color="auto" w:sz="4" w:space="0"/>
              <w:left w:val="single" w:color="auto" w:sz="4" w:space="0"/>
              <w:bottom w:val="single" w:color="auto" w:sz="4" w:space="0"/>
              <w:right w:val="single" w:color="auto" w:sz="4" w:space="0"/>
            </w:tcBorders>
            <w:shd w:val="clear" w:color="auto" w:fill="FFFFFF"/>
          </w:tcPr>
          <w:p w14:paraId="204CF802">
            <w:pPr>
              <w:autoSpaceDE w:val="0"/>
              <w:autoSpaceDN w:val="0"/>
              <w:adjustRightInd w:val="0"/>
              <w:ind w:left="60" w:right="60"/>
              <w:jc w:val="both"/>
              <w:rPr>
                <w:rFonts w:ascii="Garamond" w:hAnsi="Garamond" w:cs="Garamond"/>
              </w:rPr>
            </w:pPr>
            <w:r>
              <w:rPr>
                <w:rFonts w:ascii="Garamond" w:hAnsi="Garamond" w:cs="Garamond"/>
              </w:rPr>
              <w:t>-.035</w:t>
            </w:r>
          </w:p>
        </w:tc>
        <w:tc>
          <w:tcPr>
            <w:tcW w:w="1365" w:type="dxa"/>
            <w:tcBorders>
              <w:top w:val="single" w:color="auto" w:sz="4" w:space="0"/>
              <w:left w:val="single" w:color="auto" w:sz="4" w:space="0"/>
              <w:bottom w:val="single" w:color="auto" w:sz="4" w:space="0"/>
              <w:right w:val="single" w:color="auto" w:sz="4" w:space="0"/>
            </w:tcBorders>
            <w:shd w:val="clear" w:color="auto" w:fill="FFFFFF"/>
          </w:tcPr>
          <w:p w14:paraId="43D324CA">
            <w:pPr>
              <w:autoSpaceDE w:val="0"/>
              <w:autoSpaceDN w:val="0"/>
              <w:adjustRightInd w:val="0"/>
              <w:ind w:left="60" w:right="60"/>
              <w:jc w:val="both"/>
              <w:rPr>
                <w:rFonts w:ascii="Garamond" w:hAnsi="Garamond" w:cs="Garamond"/>
              </w:rPr>
            </w:pPr>
            <w:r>
              <w:rPr>
                <w:rFonts w:ascii="Garamond" w:hAnsi="Garamond" w:cs="Garamond"/>
              </w:rPr>
              <w:t>.032</w:t>
            </w:r>
          </w:p>
        </w:tc>
        <w:tc>
          <w:tcPr>
            <w:tcW w:w="1506" w:type="dxa"/>
            <w:tcBorders>
              <w:top w:val="single" w:color="auto" w:sz="4" w:space="0"/>
              <w:left w:val="single" w:color="auto" w:sz="4" w:space="0"/>
              <w:bottom w:val="single" w:color="auto" w:sz="4" w:space="0"/>
              <w:right w:val="single" w:color="auto" w:sz="4" w:space="0"/>
            </w:tcBorders>
            <w:shd w:val="clear" w:color="auto" w:fill="FFFFFF"/>
          </w:tcPr>
          <w:p w14:paraId="16373ED7">
            <w:pPr>
              <w:autoSpaceDE w:val="0"/>
              <w:autoSpaceDN w:val="0"/>
              <w:adjustRightInd w:val="0"/>
              <w:ind w:left="60" w:right="60"/>
              <w:jc w:val="both"/>
              <w:rPr>
                <w:rFonts w:ascii="Garamond" w:hAnsi="Garamond" w:cs="Garamond"/>
              </w:rPr>
            </w:pPr>
            <w:r>
              <w:rPr>
                <w:rFonts w:ascii="Garamond" w:hAnsi="Garamond" w:cs="Garamond"/>
              </w:rPr>
              <w:t>-.067</w:t>
            </w:r>
          </w:p>
        </w:tc>
        <w:tc>
          <w:tcPr>
            <w:tcW w:w="1050" w:type="dxa"/>
            <w:tcBorders>
              <w:top w:val="single" w:color="auto" w:sz="4" w:space="0"/>
              <w:left w:val="single" w:color="auto" w:sz="4" w:space="0"/>
              <w:bottom w:val="single" w:color="auto" w:sz="4" w:space="0"/>
              <w:right w:val="single" w:color="auto" w:sz="4" w:space="0"/>
            </w:tcBorders>
            <w:shd w:val="clear" w:color="auto" w:fill="FFFFFF"/>
          </w:tcPr>
          <w:p w14:paraId="60726F55">
            <w:pPr>
              <w:autoSpaceDE w:val="0"/>
              <w:autoSpaceDN w:val="0"/>
              <w:adjustRightInd w:val="0"/>
              <w:ind w:left="60" w:right="60"/>
              <w:jc w:val="both"/>
              <w:rPr>
                <w:rFonts w:ascii="Garamond" w:hAnsi="Garamond" w:cs="Garamond"/>
              </w:rPr>
            </w:pPr>
            <w:r>
              <w:rPr>
                <w:rFonts w:ascii="Garamond" w:hAnsi="Garamond" w:cs="Garamond"/>
              </w:rPr>
              <w:t>-1.093</w:t>
            </w:r>
          </w:p>
        </w:tc>
        <w:tc>
          <w:tcPr>
            <w:tcW w:w="1050" w:type="dxa"/>
            <w:tcBorders>
              <w:top w:val="single" w:color="auto" w:sz="4" w:space="0"/>
              <w:left w:val="single" w:color="auto" w:sz="4" w:space="0"/>
              <w:bottom w:val="single" w:color="auto" w:sz="4" w:space="0"/>
              <w:right w:val="single" w:color="auto" w:sz="4" w:space="0"/>
            </w:tcBorders>
            <w:shd w:val="clear" w:color="auto" w:fill="FFFFFF"/>
          </w:tcPr>
          <w:p w14:paraId="2125F6AF">
            <w:pPr>
              <w:autoSpaceDE w:val="0"/>
              <w:autoSpaceDN w:val="0"/>
              <w:adjustRightInd w:val="0"/>
              <w:ind w:left="60" w:right="60"/>
              <w:jc w:val="both"/>
              <w:rPr>
                <w:rFonts w:ascii="Garamond" w:hAnsi="Garamond" w:cs="Garamond"/>
              </w:rPr>
            </w:pPr>
            <w:r>
              <w:rPr>
                <w:rFonts w:ascii="Garamond" w:hAnsi="Garamond" w:cs="Garamond"/>
              </w:rPr>
              <w:t>.275</w:t>
            </w:r>
          </w:p>
        </w:tc>
      </w:tr>
      <w:tr w14:paraId="17BCB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29" w:hRule="atLeast"/>
        </w:trPr>
        <w:tc>
          <w:tcPr>
            <w:tcW w:w="9539" w:type="dxa"/>
            <w:gridSpan w:val="7"/>
            <w:tcBorders>
              <w:top w:val="single" w:color="auto" w:sz="4" w:space="0"/>
              <w:left w:val="nil"/>
              <w:bottom w:val="nil"/>
              <w:right w:val="nil"/>
            </w:tcBorders>
            <w:shd w:val="clear" w:color="auto" w:fill="FFFFFF"/>
          </w:tcPr>
          <w:p w14:paraId="5803756D">
            <w:pPr>
              <w:autoSpaceDE w:val="0"/>
              <w:autoSpaceDN w:val="0"/>
              <w:adjustRightInd w:val="0"/>
              <w:ind w:left="60" w:right="60"/>
              <w:jc w:val="both"/>
              <w:rPr>
                <w:rFonts w:ascii="Garamond" w:hAnsi="Garamond" w:cs="Garamond"/>
              </w:rPr>
            </w:pPr>
            <w:r>
              <w:rPr>
                <w:rFonts w:ascii="Garamond" w:hAnsi="Garamond" w:cs="Garamond"/>
              </w:rPr>
              <w:t>a. Dependent Variable: Profitability</w:t>
            </w:r>
          </w:p>
        </w:tc>
      </w:tr>
    </w:tbl>
    <w:p w14:paraId="3F02B0C1">
      <w:pPr>
        <w:autoSpaceDE w:val="0"/>
        <w:autoSpaceDN w:val="0"/>
        <w:adjustRightInd w:val="0"/>
        <w:jc w:val="both"/>
        <w:rPr>
          <w:rFonts w:ascii="Garamond" w:hAnsi="Garamond" w:cs="Garamond"/>
        </w:rPr>
      </w:pPr>
    </w:p>
    <w:p w14:paraId="6543AB29">
      <w:pPr>
        <w:autoSpaceDE w:val="0"/>
        <w:autoSpaceDN w:val="0"/>
        <w:adjustRightInd w:val="0"/>
        <w:jc w:val="both"/>
        <w:rPr>
          <w:rFonts w:ascii="Garamond" w:hAnsi="Garamond" w:cs="Garamond"/>
        </w:rPr>
      </w:pPr>
    </w:p>
    <w:p w14:paraId="700A35EF">
      <w:pPr>
        <w:autoSpaceDE w:val="0"/>
        <w:autoSpaceDN w:val="0"/>
        <w:adjustRightInd w:val="0"/>
        <w:jc w:val="both"/>
        <w:rPr>
          <w:rFonts w:ascii="Garamond" w:hAnsi="Garamond" w:cs="Garamond"/>
        </w:rPr>
      </w:pPr>
      <w:r>
        <w:rPr>
          <w:rFonts w:ascii="Garamond" w:hAnsi="Garamond" w:cs="Garamond"/>
        </w:rPr>
        <w:drawing>
          <wp:inline distT="0" distB="0" distL="0" distR="0">
            <wp:extent cx="5943600" cy="3514725"/>
            <wp:effectExtent l="0" t="0" r="0" b="3175"/>
            <wp:docPr id="1988372139" name="Picture 1988372139" descr="A picture containing diagram, plot, lin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372139" name="Picture 1988372139" descr="A picture containing diagram, plot, lin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43600" cy="3514725"/>
                    </a:xfrm>
                    <a:prstGeom prst="rect">
                      <a:avLst/>
                    </a:prstGeom>
                    <a:noFill/>
                    <a:ln>
                      <a:noFill/>
                    </a:ln>
                  </pic:spPr>
                </pic:pic>
              </a:graphicData>
            </a:graphic>
          </wp:inline>
        </w:drawing>
      </w:r>
    </w:p>
    <w:p w14:paraId="52C3FD32">
      <w:pPr>
        <w:autoSpaceDE w:val="0"/>
        <w:autoSpaceDN w:val="0"/>
        <w:adjustRightInd w:val="0"/>
        <w:jc w:val="both"/>
        <w:rPr>
          <w:rFonts w:ascii="Garamond" w:hAnsi="Garamond" w:cs="Garamond"/>
        </w:rPr>
      </w:pPr>
    </w:p>
    <w:p w14:paraId="43D54C3E">
      <w:pPr>
        <w:autoSpaceDE w:val="0"/>
        <w:autoSpaceDN w:val="0"/>
        <w:adjustRightInd w:val="0"/>
        <w:jc w:val="both"/>
        <w:rPr>
          <w:rFonts w:ascii="Garamond" w:hAnsi="Garamond" w:cs="Garamond"/>
        </w:rPr>
      </w:pPr>
      <w:r>
        <w:rPr>
          <w:rFonts w:ascii="Garamond" w:hAnsi="Garamond" w:cs="Garamond"/>
        </w:rPr>
        <w:t>Figure 4.2</w:t>
      </w:r>
    </w:p>
    <w:p w14:paraId="68DAC1A2">
      <w:pPr>
        <w:autoSpaceDE w:val="0"/>
        <w:autoSpaceDN w:val="0"/>
        <w:adjustRightInd w:val="0"/>
        <w:jc w:val="both"/>
        <w:rPr>
          <w:rFonts w:ascii="Garamond" w:hAnsi="Garamond" w:cs="Garamond"/>
        </w:rPr>
      </w:pPr>
    </w:p>
    <w:p w14:paraId="2B435F43">
      <w:pPr>
        <w:autoSpaceDE w:val="0"/>
        <w:autoSpaceDN w:val="0"/>
        <w:adjustRightInd w:val="0"/>
        <w:jc w:val="both"/>
        <w:rPr>
          <w:rFonts w:ascii="Garamond" w:hAnsi="Garamond" w:cs="Garamond"/>
        </w:rPr>
      </w:pPr>
      <w:r>
        <w:rPr>
          <w:rFonts w:ascii="Garamond" w:hAnsi="Garamond" w:cs="Garamond"/>
        </w:rPr>
        <w:drawing>
          <wp:inline distT="0" distB="0" distL="0" distR="0">
            <wp:extent cx="5943600" cy="3495675"/>
            <wp:effectExtent l="0" t="0" r="0" b="9525"/>
            <wp:docPr id="1290755139" name="Picture 1290755139" descr="A picture containing text,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55139" name="Picture 1290755139" descr="A picture containing text, line, diagram, plo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3600" cy="3495675"/>
                    </a:xfrm>
                    <a:prstGeom prst="rect">
                      <a:avLst/>
                    </a:prstGeom>
                    <a:noFill/>
                    <a:ln>
                      <a:noFill/>
                    </a:ln>
                  </pic:spPr>
                </pic:pic>
              </a:graphicData>
            </a:graphic>
          </wp:inline>
        </w:drawing>
      </w:r>
    </w:p>
    <w:p w14:paraId="52AA4709">
      <w:pPr>
        <w:jc w:val="both"/>
        <w:rPr>
          <w:rFonts w:ascii="Garamond" w:hAnsi="Garamond" w:cs="Garamond"/>
          <w:b/>
          <w:bCs/>
        </w:rPr>
      </w:pPr>
    </w:p>
    <w:p w14:paraId="2BD44797">
      <w:pPr>
        <w:autoSpaceDE w:val="0"/>
        <w:autoSpaceDN w:val="0"/>
        <w:adjustRightInd w:val="0"/>
        <w:ind w:firstLine="720"/>
        <w:jc w:val="both"/>
        <w:rPr>
          <w:rFonts w:ascii="Garamond" w:hAnsi="Garamond" w:cs="Garamond"/>
        </w:rPr>
      </w:pPr>
      <w:r>
        <w:rPr>
          <w:rFonts w:ascii="Garamond" w:hAnsi="Garamond" w:cs="Garamond"/>
        </w:rPr>
        <w:t>The coefficients for the regression model with the dependent variable "Profitability" and the predictors "Integration of Technology," "Compatibility," "Complexity," and "Trialability" are shown in Table 1.4 above. The regression equation's constant term is 2.766. The constant term's standard error is 0.228. The significance of 12.118 is measured by the t-value. The constant term is statistically significant because its significance level (p-value) is incredibly low (".000").</w:t>
      </w:r>
    </w:p>
    <w:p w14:paraId="2947C51D">
      <w:pPr>
        <w:autoSpaceDE w:val="0"/>
        <w:autoSpaceDN w:val="0"/>
        <w:adjustRightInd w:val="0"/>
        <w:ind w:firstLine="720"/>
        <w:jc w:val="both"/>
        <w:rPr>
          <w:rFonts w:ascii="Garamond" w:hAnsi="Garamond" w:cs="Garamond"/>
        </w:rPr>
      </w:pPr>
      <w:r>
        <w:rPr>
          <w:rFonts w:ascii="Garamond" w:hAnsi="Garamond" w:cs="Garamond"/>
        </w:rPr>
        <w:t>Technology Integration: Unstandardized Coefficient (B): The "Integration of Technology" predictor's unstandardized coefficient is 0.061. The "Integration of Technology" coefficient has a standard error of 0.039. and Standardized Coefficient (Beta): when the variables are standardized, the standardized coefficient shows the predictor's impact. It is 0.088 in this case. The "Integration of Technology" predictor has a t-value of 1.542. Significance (Sig.): At a traditional significance level (e.g., 0.05), the "Integration of Technology" predictor's p-value of 0.124 is not statistically significant.</w:t>
      </w:r>
    </w:p>
    <w:p w14:paraId="3BB6F2A2">
      <w:pPr>
        <w:autoSpaceDE w:val="0"/>
        <w:autoSpaceDN w:val="0"/>
        <w:adjustRightInd w:val="0"/>
        <w:ind w:firstLine="720"/>
        <w:jc w:val="both"/>
        <w:rPr>
          <w:rFonts w:ascii="Garamond" w:hAnsi="Garamond" w:cs="Garamond"/>
        </w:rPr>
      </w:pPr>
      <w:r>
        <w:rPr>
          <w:rFonts w:ascii="Garamond" w:hAnsi="Garamond" w:cs="Garamond"/>
        </w:rPr>
        <w:t>Additionally, compatibility: unstandardized Coefficient (B): The "Compatibility" predictor's unstandardized coefficient is 0.216. Standard Error: The "Compatibility" coefficient's standard error is 0.049. Standardized Coefficient (Beta): The "Compatibility" standardized coefficient is 0.264. The "Compatibility" predictor has a t-value of 4.421. The "Compatibility" predictor's p-value is incredibly low (".000"), showing statistical significance (Sig.).</w:t>
      </w:r>
    </w:p>
    <w:p w14:paraId="045086DC">
      <w:pPr>
        <w:autoSpaceDE w:val="0"/>
        <w:autoSpaceDN w:val="0"/>
        <w:adjustRightInd w:val="0"/>
        <w:ind w:firstLine="720"/>
        <w:jc w:val="both"/>
        <w:rPr>
          <w:rFonts w:ascii="Garamond" w:hAnsi="Garamond" w:cs="Garamond"/>
        </w:rPr>
      </w:pPr>
      <w:r>
        <w:rPr>
          <w:rFonts w:ascii="Garamond" w:hAnsi="Garamond" w:cs="Garamond"/>
        </w:rPr>
        <w:t>Unstandardized Coefficient (B): The "Complexity" predictor's unstandardized coefficient is 0.123. Standard Error: The "Complexity" coefficient's standard error is 0.041. Standardized Coefficient (Beta): The "Complexity" standardized coefficient is 0.183. The t-value The "Complexity" predictor has a t-value of 3.002. Significance (Sig.): The "Complexity" predictor's p-value of 0.003 indicates statistical significance.</w:t>
      </w:r>
    </w:p>
    <w:p w14:paraId="6E83D4F3">
      <w:pPr>
        <w:autoSpaceDE w:val="0"/>
        <w:autoSpaceDN w:val="0"/>
        <w:adjustRightInd w:val="0"/>
        <w:ind w:firstLine="720"/>
        <w:jc w:val="both"/>
        <w:rPr>
          <w:rFonts w:ascii="Garamond" w:hAnsi="Garamond" w:cs="Garamond"/>
        </w:rPr>
      </w:pPr>
      <w:r>
        <w:rPr>
          <w:rFonts w:ascii="Garamond" w:hAnsi="Garamond" w:cs="Garamond"/>
        </w:rPr>
        <w:t>Trialability: unstandardized Coefficient (B): The "trialability" predictor's unstandardized coefficient is -0.035. Standard Error: The "trialability" coefficient's standard error is 0.032. Standardized Coefficient (Beta): "trialability" has a standardized coefficient of -0.067. The "Trialability" predictor's t-value is -1.093, and its significance (Sig.) is 0.275, indicating that it is not statistically significant.</w:t>
      </w:r>
    </w:p>
    <w:p w14:paraId="20BE3E89">
      <w:pPr>
        <w:spacing w:after="283"/>
        <w:ind w:firstLine="720" w:firstLineChars="0"/>
        <w:jc w:val="both"/>
        <w:rPr>
          <w:rFonts w:ascii="Garamond" w:hAnsi="Garamond" w:cs="Garamond"/>
        </w:rPr>
      </w:pPr>
      <w:r>
        <w:rPr>
          <w:rFonts w:ascii="Garamond" w:hAnsi="Garamond" w:cs="Garamond"/>
        </w:rPr>
        <w:t>The links between the predictors and the dependent variable are revealed by the coefficients. The "Compatibility" and "Complexity" variables have statistically significant positive associations with "Profitability." Additionally, the constant term has statistical significance. However, based on their p, the "Integration of Technology" and "trialability" predictions don't seem to have statistically significant connections with "Profitability." According to the level of significance (P=0.000), the alternative hypothesis is accepted, and the null hypothesis is rejected overall. Furthermore, the regression data's linearity and normality were shown in figures 4.1 and 4.2.</w:t>
      </w:r>
    </w:p>
    <w:p w14:paraId="3920A1A2">
      <w:pPr>
        <w:numPr>
          <w:ilvl w:val="0"/>
          <w:numId w:val="6"/>
        </w:numPr>
        <w:autoSpaceDE w:val="0"/>
        <w:autoSpaceDN w:val="0"/>
        <w:adjustRightInd w:val="0"/>
        <w:spacing w:after="0" w:line="240" w:lineRule="auto"/>
        <w:jc w:val="both"/>
        <w:rPr>
          <w:rFonts w:ascii="Garamond" w:hAnsi="Garamond" w:cs="Garamond"/>
          <w:b/>
          <w:bCs/>
        </w:rPr>
      </w:pPr>
      <w:r>
        <w:rPr>
          <w:rFonts w:ascii="Garamond" w:hAnsi="Garamond" w:cs="Garamond"/>
          <w:b/>
          <w:bCs/>
        </w:rPr>
        <w:t>Findings, Conclusion and Recommendation</w:t>
      </w:r>
    </w:p>
    <w:p w14:paraId="33E58976">
      <w:pPr>
        <w:autoSpaceDE w:val="0"/>
        <w:autoSpaceDN w:val="0"/>
        <w:adjustRightInd w:val="0"/>
        <w:jc w:val="both"/>
        <w:rPr>
          <w:rFonts w:ascii="Garamond" w:hAnsi="Garamond" w:cs="Garamond"/>
          <w:b/>
          <w:bCs/>
        </w:rPr>
      </w:pPr>
    </w:p>
    <w:p w14:paraId="254B4087">
      <w:pPr>
        <w:ind w:firstLine="720"/>
        <w:jc w:val="both"/>
        <w:rPr>
          <w:rFonts w:ascii="Garamond" w:hAnsi="Garamond" w:cs="Garamond"/>
        </w:rPr>
      </w:pPr>
      <w:bookmarkStart w:id="0" w:name="_Hlk120425507"/>
      <w:r>
        <w:rPr>
          <w:rFonts w:ascii="Garamond" w:hAnsi="Garamond" w:cs="Garamond"/>
        </w:rPr>
        <w:t>This study's primary goal was to evaluate how globalization has affected SMEs' performance in Kwara State, Nigeria. The results of the study's quantitative and qualitative components were presented in this section, which addressed the research question. Four themes were used to better investigate this thematically. The answers from the questionnaire copies that were examined using demographic data, inferential statistics, and focus group discussions revealed the conclusions. The results were supported by literature and empirical analysis.</w:t>
      </w:r>
    </w:p>
    <w:bookmarkEnd w:id="0"/>
    <w:p w14:paraId="7DE4DB18">
      <w:pPr>
        <w:ind w:firstLine="720"/>
        <w:jc w:val="both"/>
        <w:rPr>
          <w:rFonts w:ascii="Garamond" w:hAnsi="Garamond" w:cs="Garamond"/>
        </w:rPr>
      </w:pPr>
      <w:r>
        <w:rPr>
          <w:rFonts w:ascii="Garamond" w:hAnsi="Garamond" w:cs="Garamond"/>
        </w:rPr>
        <w:t>Regarding the first research question, the study found that technology innovation has a major impact on SMEs' profitability. The results of the regression study showed that the profitability of SMEs in the chosen states of Kwara State, Nigeria, was positively correlated with technological innovation. This is consistent with the findings of Bala Subrahmanya's (2011) study, which highlighted the significance of innovation in business performance for the expansion of SMEs' sales. He also supported the idea that innovation and factor inputs allow businesses to attain greater economic performance in the form of increased growth and sales turnover, and that company performance is decided in turns by innovation sales. Furthermore, according to Ayyagari's (2022) research, a company can operate successfully and efficiently through the implementation of technology. Additionally, the thematic analysis showed that the different groups agreed on how performance is impacted by technology dissemination. Participants' opinions regarding the ubiquity of technological advancement were identical.</w:t>
      </w:r>
    </w:p>
    <w:p w14:paraId="07420150">
      <w:pPr>
        <w:jc w:val="both"/>
        <w:rPr>
          <w:rFonts w:ascii="Garamond" w:hAnsi="Garamond" w:cs="Garamond"/>
          <w:b/>
          <w:bCs/>
        </w:rPr>
      </w:pPr>
      <w:r>
        <w:rPr>
          <w:rFonts w:ascii="Garamond" w:hAnsi="Garamond" w:cs="Garamond"/>
          <w:b/>
          <w:bCs/>
        </w:rPr>
        <w:t>5.2 Conclusion</w:t>
      </w:r>
    </w:p>
    <w:p w14:paraId="50081785">
      <w:pPr>
        <w:jc w:val="both"/>
        <w:rPr>
          <w:rFonts w:ascii="Garamond" w:hAnsi="Garamond" w:cs="Garamond"/>
        </w:rPr>
      </w:pPr>
      <w:r>
        <w:rPr>
          <w:rFonts w:ascii="Garamond" w:hAnsi="Garamond" w:cs="Garamond"/>
        </w:rPr>
        <w:t xml:space="preserve"> </w:t>
      </w:r>
      <w:r>
        <w:rPr>
          <w:rFonts w:ascii="Garamond" w:hAnsi="Garamond" w:cs="Garamond"/>
        </w:rPr>
        <w:tab/>
      </w:r>
      <w:r>
        <w:rPr>
          <w:rFonts w:ascii="Garamond" w:hAnsi="Garamond" w:cs="Garamond"/>
        </w:rPr>
        <w:t>The study has shown that adopting technological innovations such as compatibility, complexity, and observability can increase SMEs' profitability. Additionally, businesses can increase their market share through economic integration, foreign direct investment, trade liberalization, openness, import, and export. The cost of production can be accomplished by tele-migration which boosts the efficiency of the company enterprise. While focusing on the company's core capabilities, SMEs can achieve high-quality goods by outsourcing technical know-how to professionals.</w:t>
      </w:r>
    </w:p>
    <w:p w14:paraId="4C305D21">
      <w:pPr>
        <w:jc w:val="both"/>
        <w:rPr>
          <w:rFonts w:ascii="Garamond" w:hAnsi="Garamond" w:cs="Garamond"/>
          <w:b/>
          <w:bCs/>
        </w:rPr>
      </w:pPr>
      <w:r>
        <w:rPr>
          <w:rFonts w:ascii="Garamond" w:hAnsi="Garamond" w:cs="Garamond"/>
          <w:b/>
          <w:bCs/>
        </w:rPr>
        <w:t>5.3 Recommendations</w:t>
      </w:r>
    </w:p>
    <w:p w14:paraId="28BC7AED">
      <w:pPr>
        <w:ind w:firstLine="1076" w:firstLineChars="0"/>
        <w:jc w:val="both"/>
        <w:rPr>
          <w:rFonts w:ascii="Garamond" w:hAnsi="Garamond" w:cs="Garamond"/>
        </w:rPr>
      </w:pPr>
      <w:r>
        <w:rPr>
          <w:rFonts w:ascii="Garamond" w:hAnsi="Garamond" w:cs="Garamond"/>
        </w:rPr>
        <w:t>In order to increase their profitability, small and medium-sized businesses should embrace technological innovation using capital-intensive and other contemporary equipment, according to the study's findings and recommendations. Thus, Nigerian SMEs ought to make a:</w:t>
      </w:r>
    </w:p>
    <w:p w14:paraId="3DB7FA66">
      <w:pPr>
        <w:jc w:val="both"/>
        <w:rPr>
          <w:rFonts w:ascii="Garamond" w:hAnsi="Garamond" w:cs="Garamond"/>
        </w:rPr>
      </w:pPr>
      <w:r>
        <w:rPr>
          <w:rFonts w:ascii="Garamond" w:hAnsi="Garamond" w:cs="Garamond"/>
        </w:rPr>
        <w:t xml:space="preserve">1. Coordinated effort to teach and retrain staff members on the use of innovative technologies in the operations of SMEs in the chosen state and beyond. </w:t>
      </w:r>
    </w:p>
    <w:p w14:paraId="1BE2E364">
      <w:pPr>
        <w:jc w:val="both"/>
        <w:rPr>
          <w:rFonts w:ascii="Garamond" w:hAnsi="Garamond" w:cs="Garamond"/>
        </w:rPr>
      </w:pPr>
      <w:r>
        <w:rPr>
          <w:rFonts w:ascii="Garamond" w:hAnsi="Garamond" w:cs="Garamond"/>
        </w:rPr>
        <w:t xml:space="preserve">2. To reach more market destinations both domestically and internationally, management of SMEs should be aggressive in conducting business beyond their physical location through export, foreign direct investment, and operational diversification. </w:t>
      </w:r>
    </w:p>
    <w:p w14:paraId="304FDF55">
      <w:pPr>
        <w:jc w:val="both"/>
        <w:rPr>
          <w:rFonts w:ascii="Garamond" w:hAnsi="Garamond" w:cs="Garamond"/>
        </w:rPr>
      </w:pPr>
      <w:r>
        <w:rPr>
          <w:rFonts w:ascii="Garamond" w:hAnsi="Garamond" w:cs="Garamond"/>
        </w:rPr>
        <w:t>3. SMEs' operations necessitated focusing on their core competencies. To improve the quality of their products or services, SMEs must confer with other supporting services.</w:t>
      </w:r>
    </w:p>
    <w:p w14:paraId="46FFCF6E">
      <w:pPr>
        <w:jc w:val="both"/>
        <w:rPr>
          <w:rFonts w:ascii="Garamond" w:hAnsi="Garamond" w:cs="Garamond"/>
          <w:b/>
          <w:bCs/>
        </w:rPr>
      </w:pPr>
    </w:p>
    <w:p w14:paraId="467A0342">
      <w:pPr>
        <w:spacing w:after="283"/>
        <w:jc w:val="both"/>
        <w:rPr>
          <w:rFonts w:ascii="Garamond" w:hAnsi="Garamond" w:cs="Garamond"/>
          <w:color w:val="181717" w:themeColor="background2" w:themeShade="1A"/>
        </w:rPr>
      </w:pPr>
    </w:p>
    <w:p w14:paraId="1215A511">
      <w:pPr>
        <w:spacing w:after="283"/>
        <w:jc w:val="both"/>
        <w:rPr>
          <w:rFonts w:ascii="Garamond" w:hAnsi="Garamond" w:cs="Garamond"/>
          <w:color w:val="181717" w:themeColor="background2" w:themeShade="1A"/>
        </w:rPr>
      </w:pPr>
    </w:p>
    <w:p w14:paraId="7F90BD88">
      <w:pPr>
        <w:spacing w:after="283"/>
        <w:ind w:firstLine="720"/>
        <w:jc w:val="both"/>
        <w:rPr>
          <w:rFonts w:ascii="Garamond" w:hAnsi="Garamond" w:cs="Garamond"/>
          <w:color w:val="181717" w:themeColor="background2" w:themeShade="1A"/>
        </w:rPr>
      </w:pPr>
    </w:p>
    <w:p w14:paraId="6E9359FA">
      <w:pPr>
        <w:spacing w:after="283"/>
        <w:ind w:firstLine="720"/>
        <w:jc w:val="both"/>
        <w:rPr>
          <w:rFonts w:ascii="Garamond" w:hAnsi="Garamond" w:cs="Garamond"/>
          <w:color w:val="181717" w:themeColor="background2" w:themeShade="1A"/>
        </w:rPr>
      </w:pPr>
    </w:p>
    <w:p w14:paraId="413B7760">
      <w:pPr>
        <w:spacing w:after="0" w:line="240" w:lineRule="auto"/>
        <w:rPr>
          <w:rFonts w:ascii="Garamond" w:hAnsi="Garamond" w:eastAsia="Times New Roman" w:cs="Times New Roman"/>
          <w:kern w:val="0"/>
          <w14:ligatures w14:val="none"/>
        </w:rPr>
      </w:pPr>
    </w:p>
    <w:p w14:paraId="307FD8CC">
      <w:pPr>
        <w:spacing w:after="0" w:line="240" w:lineRule="auto"/>
        <w:rPr>
          <w:rFonts w:ascii="Garamond" w:hAnsi="Garamond" w:eastAsia="Times New Roman" w:cs="Times New Roman"/>
          <w:kern w:val="0"/>
          <w14:ligatures w14:val="none"/>
        </w:rPr>
      </w:pPr>
    </w:p>
    <w:p w14:paraId="62F944D2">
      <w:pPr>
        <w:pStyle w:val="15"/>
        <w:rPr>
          <w:rFonts w:ascii="Garamond" w:hAnsi="Garamond"/>
        </w:rPr>
      </w:pPr>
    </w:p>
    <w:p w14:paraId="5A08D0E7">
      <w:pPr>
        <w:pStyle w:val="15"/>
        <w:rPr>
          <w:rFonts w:ascii="Garamond" w:hAnsi="Garamond"/>
        </w:rPr>
      </w:pPr>
    </w:p>
    <w:p w14:paraId="6CE328BC">
      <w:pPr>
        <w:pStyle w:val="15"/>
        <w:rPr>
          <w:rFonts w:ascii="Garamond" w:hAnsi="Garamond"/>
        </w:rPr>
      </w:pPr>
    </w:p>
    <w:p w14:paraId="510DADB7">
      <w:pPr>
        <w:jc w:val="both"/>
        <w:rPr>
          <w:rStyle w:val="16"/>
          <w:rFonts w:ascii="Garamond" w:hAnsi="Garamond" w:cs="Garamond"/>
        </w:rPr>
      </w:pPr>
    </w:p>
    <w:p w14:paraId="2C3B6E1A">
      <w:pPr>
        <w:jc w:val="both"/>
        <w:rPr>
          <w:rStyle w:val="16"/>
          <w:rFonts w:ascii="Garamond" w:hAnsi="Garamond" w:cs="Garamond"/>
        </w:rPr>
      </w:pPr>
    </w:p>
    <w:p w14:paraId="46FA6384">
      <w:pPr>
        <w:jc w:val="both"/>
        <w:rPr>
          <w:rStyle w:val="16"/>
          <w:rFonts w:ascii="Garamond" w:hAnsi="Garamond" w:cs="Garamond"/>
        </w:rPr>
      </w:pPr>
    </w:p>
    <w:p w14:paraId="59F4B46E">
      <w:pPr>
        <w:jc w:val="both"/>
        <w:rPr>
          <w:rStyle w:val="16"/>
          <w:rFonts w:ascii="Garamond" w:hAnsi="Garamond" w:cs="Garamond"/>
        </w:rPr>
      </w:pPr>
      <w:bookmarkStart w:id="1" w:name="_GoBack"/>
      <w:bookmarkEnd w:id="1"/>
    </w:p>
    <w:p w14:paraId="16F89734">
      <w:pPr>
        <w:jc w:val="both"/>
        <w:rPr>
          <w:rFonts w:ascii="Garamond" w:hAnsi="Garamond" w:cs="Garamond"/>
        </w:rPr>
      </w:pPr>
      <w:r>
        <w:rPr>
          <w:rStyle w:val="16"/>
          <w:rFonts w:ascii="Garamond" w:hAnsi="Garamond" w:cs="Garamond"/>
        </w:rPr>
        <w:t xml:space="preserve">References </w:t>
      </w:r>
    </w:p>
    <w:p w14:paraId="59CD6D60">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Akyuz, Y., &amp; Opusunju, M. (2019). Globalization and SMEs in Nigeria. </w:t>
      </w:r>
    </w:p>
    <w:p w14:paraId="38E9D14B">
      <w:pPr>
        <w:spacing w:beforeAutospacing="1" w:afterAutospacing="1" w:line="200" w:lineRule="atLeast"/>
        <w:jc w:val="both"/>
        <w:rPr>
          <w:rFonts w:ascii="Garamond" w:hAnsi="Garamond" w:eastAsia="SimSun" w:cs="Garamond"/>
          <w:lang w:bidi="ar"/>
        </w:rPr>
      </w:pPr>
      <w:r>
        <w:rPr>
          <w:rFonts w:ascii="Garamond" w:hAnsi="Garamond" w:eastAsia="Segoe UI" w:cs="Garamond"/>
          <w:kern w:val="0"/>
          <w:lang w:eastAsia="zh-CN" w:bidi="ar"/>
        </w:rPr>
        <w:t xml:space="preserve">Appadurai, A. (1996). </w:t>
      </w:r>
      <w:r>
        <w:rPr>
          <w:rStyle w:val="13"/>
          <w:rFonts w:ascii="Garamond" w:hAnsi="Garamond" w:eastAsia="Segoe UI" w:cs="Garamond"/>
          <w:kern w:val="0"/>
          <w:lang w:eastAsia="zh-CN"/>
        </w:rPr>
        <w:t>Modernity at large: Cultural dimensions of globalization</w:t>
      </w:r>
      <w:r>
        <w:rPr>
          <w:rFonts w:ascii="Garamond" w:hAnsi="Garamond" w:eastAsia="Segoe UI" w:cs="Garamond"/>
          <w:kern w:val="0"/>
          <w:lang w:eastAsia="zh-CN" w:bidi="ar"/>
        </w:rPr>
        <w:t xml:space="preserve">. </w:t>
      </w:r>
      <w:r>
        <w:rPr>
          <w:rFonts w:ascii="Garamond" w:hAnsi="Garamond" w:eastAsia="Segoe UI" w:cs="Garamond"/>
          <w:kern w:val="0"/>
          <w:lang w:eastAsia="zh-CN" w:bidi="ar"/>
        </w:rPr>
        <w:tab/>
      </w:r>
      <w:r>
        <w:rPr>
          <w:rFonts w:ascii="Garamond" w:hAnsi="Garamond" w:eastAsia="Segoe UI" w:cs="Garamond"/>
          <w:kern w:val="0"/>
          <w:lang w:eastAsia="zh-CN" w:bidi="ar"/>
        </w:rPr>
        <w:t xml:space="preserve">Minneapolis, MN: University of Minnesota Press. </w:t>
      </w:r>
    </w:p>
    <w:p w14:paraId="7D0F06C7">
      <w:pPr>
        <w:spacing w:beforeAutospacing="1" w:afterAutospacing="1" w:line="200" w:lineRule="atLeast"/>
        <w:jc w:val="both"/>
        <w:rPr>
          <w:rFonts w:ascii="Garamond" w:hAnsi="Garamond" w:eastAsia="SimSun" w:cs="Garamond"/>
          <w:lang w:bidi="ar"/>
        </w:rPr>
      </w:pPr>
      <w:r>
        <w:rPr>
          <w:rFonts w:ascii="Garamond" w:hAnsi="Garamond" w:eastAsia="Segoe UI" w:cs="Garamond"/>
          <w:kern w:val="0"/>
          <w:lang w:eastAsia="zh-CN" w:bidi="ar"/>
        </w:rPr>
        <w:t xml:space="preserve">Autor, D. H., Levy, F., &amp; Murnane, R. J. (2003). The skill content of recent technological </w:t>
      </w:r>
      <w:r>
        <w:rPr>
          <w:rFonts w:ascii="Garamond" w:hAnsi="Garamond" w:eastAsia="Segoe UI" w:cs="Garamond"/>
          <w:kern w:val="0"/>
          <w:lang w:eastAsia="zh-CN" w:bidi="ar"/>
        </w:rPr>
        <w:tab/>
      </w:r>
      <w:r>
        <w:rPr>
          <w:rFonts w:ascii="Garamond" w:hAnsi="Garamond" w:eastAsia="Segoe UI" w:cs="Garamond"/>
          <w:kern w:val="0"/>
          <w:lang w:eastAsia="zh-CN" w:bidi="ar"/>
        </w:rPr>
        <w:t xml:space="preserve">change. </w:t>
      </w:r>
      <w:r>
        <w:rPr>
          <w:rStyle w:val="13"/>
          <w:rFonts w:ascii="Garamond" w:hAnsi="Garamond" w:eastAsia="Segoe UI" w:cs="Garamond"/>
          <w:i w:val="0"/>
          <w:iCs w:val="0"/>
          <w:kern w:val="0"/>
          <w:lang w:eastAsia="zh-CN"/>
        </w:rPr>
        <w:t xml:space="preserve">Quarterly Journal of Economics, </w:t>
      </w:r>
      <w:r>
        <w:rPr>
          <w:rStyle w:val="13"/>
          <w:rFonts w:ascii="Garamond" w:hAnsi="Garamond" w:eastAsia="Segoe UI" w:cs="Garamond"/>
          <w:kern w:val="0"/>
          <w:lang w:eastAsia="zh-CN"/>
        </w:rPr>
        <w:t>118</w:t>
      </w:r>
      <w:r>
        <w:rPr>
          <w:rFonts w:ascii="Garamond" w:hAnsi="Garamond" w:eastAsia="Segoe UI" w:cs="Garamond"/>
          <w:kern w:val="0"/>
          <w:lang w:eastAsia="zh-CN" w:bidi="ar"/>
        </w:rPr>
        <w:t xml:space="preserve">(4), 1279–1333. </w:t>
      </w:r>
    </w:p>
    <w:p w14:paraId="44840D02">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Balassa, B. (1961). </w:t>
      </w:r>
      <w:r>
        <w:rPr>
          <w:rStyle w:val="13"/>
          <w:rFonts w:ascii="Garamond" w:hAnsi="Garamond" w:eastAsia="Segoe UI" w:cs="Garamond"/>
          <w:kern w:val="0"/>
          <w:lang w:eastAsia="zh-CN"/>
        </w:rPr>
        <w:t>The theory of economic integration</w:t>
      </w:r>
      <w:r>
        <w:rPr>
          <w:rFonts w:ascii="Garamond" w:hAnsi="Garamond" w:eastAsia="Segoe UI" w:cs="Garamond"/>
          <w:kern w:val="0"/>
          <w:lang w:eastAsia="zh-CN" w:bidi="ar"/>
        </w:rPr>
        <w:t xml:space="preserve">. London: Allen &amp; Unwin. </w:t>
      </w:r>
    </w:p>
    <w:p w14:paraId="18F3E45D">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Baldwin, R. (2019). </w:t>
      </w:r>
      <w:r>
        <w:rPr>
          <w:rStyle w:val="13"/>
          <w:rFonts w:ascii="Garamond" w:hAnsi="Garamond" w:eastAsia="Segoe UI" w:cs="Garamond"/>
          <w:kern w:val="0"/>
          <w:lang w:eastAsia="zh-CN"/>
        </w:rPr>
        <w:t>The globotics upheaval</w:t>
      </w:r>
      <w:r>
        <w:rPr>
          <w:rFonts w:ascii="Garamond" w:hAnsi="Garamond" w:eastAsia="Segoe UI" w:cs="Garamond"/>
          <w:kern w:val="0"/>
          <w:lang w:eastAsia="zh-CN" w:bidi="ar"/>
        </w:rPr>
        <w:t xml:space="preserve">. Oxford: Oxford University Press. </w:t>
      </w:r>
    </w:p>
    <w:p w14:paraId="5F8C8712">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Baldwin, R., &amp; Dingel, J. I. (2021). Telemigration and the future of work. </w:t>
      </w:r>
      <w:r>
        <w:rPr>
          <w:rStyle w:val="13"/>
          <w:rFonts w:ascii="Garamond" w:hAnsi="Garamond" w:eastAsia="Segoe UI" w:cs="Garamond"/>
          <w:i w:val="0"/>
          <w:iCs w:val="0"/>
          <w:kern w:val="0"/>
          <w:lang w:eastAsia="zh-CN"/>
        </w:rPr>
        <w:t xml:space="preserve">Journal of </w:t>
      </w:r>
      <w:r>
        <w:rPr>
          <w:rStyle w:val="13"/>
          <w:rFonts w:ascii="Garamond" w:hAnsi="Garamond" w:eastAsia="Segoe UI" w:cs="Garamond"/>
          <w:i w:val="0"/>
          <w:iCs w:val="0"/>
          <w:kern w:val="0"/>
          <w:lang w:eastAsia="zh-CN"/>
        </w:rPr>
        <w:tab/>
      </w:r>
      <w:r>
        <w:rPr>
          <w:rStyle w:val="13"/>
          <w:rFonts w:ascii="Garamond" w:hAnsi="Garamond" w:eastAsia="Segoe UI" w:cs="Garamond"/>
          <w:i w:val="0"/>
          <w:iCs w:val="0"/>
          <w:kern w:val="0"/>
          <w:lang w:eastAsia="zh-CN"/>
        </w:rPr>
        <w:t>Economic Perspectives</w:t>
      </w:r>
      <w:r>
        <w:rPr>
          <w:rStyle w:val="13"/>
          <w:rFonts w:ascii="Garamond" w:hAnsi="Garamond" w:eastAsia="Segoe UI" w:cs="Garamond"/>
          <w:kern w:val="0"/>
          <w:lang w:eastAsia="zh-CN"/>
        </w:rPr>
        <w:t>, 35</w:t>
      </w:r>
      <w:r>
        <w:rPr>
          <w:rFonts w:ascii="Garamond" w:hAnsi="Garamond" w:eastAsia="Segoe UI" w:cs="Garamond"/>
          <w:kern w:val="0"/>
          <w:lang w:eastAsia="zh-CN" w:bidi="ar"/>
        </w:rPr>
        <w:t xml:space="preserve">(4), 1–20. </w:t>
      </w:r>
    </w:p>
    <w:p w14:paraId="2D269BBA">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Barney, J. (1991). Firm resources and sustained competitive advantage. </w:t>
      </w:r>
      <w:r>
        <w:rPr>
          <w:rStyle w:val="13"/>
          <w:rFonts w:ascii="Garamond" w:hAnsi="Garamond" w:eastAsia="Segoe UI" w:cs="Garamond"/>
          <w:i w:val="0"/>
          <w:iCs w:val="0"/>
          <w:kern w:val="0"/>
          <w:lang w:eastAsia="zh-CN"/>
        </w:rPr>
        <w:t xml:space="preserve">Journal of </w:t>
      </w:r>
      <w:r>
        <w:rPr>
          <w:rStyle w:val="13"/>
          <w:rFonts w:ascii="Garamond" w:hAnsi="Garamond" w:eastAsia="Segoe UI" w:cs="Garamond"/>
          <w:i w:val="0"/>
          <w:iCs w:val="0"/>
          <w:kern w:val="0"/>
          <w:lang w:eastAsia="zh-CN"/>
        </w:rPr>
        <w:tab/>
      </w:r>
      <w:r>
        <w:rPr>
          <w:rStyle w:val="13"/>
          <w:rFonts w:ascii="Garamond" w:hAnsi="Garamond" w:eastAsia="Segoe UI" w:cs="Garamond"/>
          <w:i w:val="0"/>
          <w:iCs w:val="0"/>
          <w:kern w:val="0"/>
          <w:lang w:eastAsia="zh-CN"/>
        </w:rPr>
        <w:t>Management,</w:t>
      </w:r>
      <w:r>
        <w:rPr>
          <w:rStyle w:val="13"/>
          <w:rFonts w:ascii="Garamond" w:hAnsi="Garamond" w:eastAsia="Segoe UI" w:cs="Garamond"/>
          <w:kern w:val="0"/>
          <w:lang w:eastAsia="zh-CN"/>
        </w:rPr>
        <w:t xml:space="preserve"> 17</w:t>
      </w:r>
      <w:r>
        <w:rPr>
          <w:rFonts w:ascii="Garamond" w:hAnsi="Garamond" w:eastAsia="Segoe UI" w:cs="Garamond"/>
          <w:kern w:val="0"/>
          <w:lang w:eastAsia="zh-CN" w:bidi="ar"/>
        </w:rPr>
        <w:t xml:space="preserve">(1), 99–120. </w:t>
      </w:r>
    </w:p>
    <w:p w14:paraId="3D30EE69">
      <w:pPr>
        <w:spacing w:beforeAutospacing="1" w:afterAutospacing="1" w:line="200" w:lineRule="atLeast"/>
        <w:jc w:val="both"/>
        <w:rPr>
          <w:rFonts w:ascii="Garamond" w:hAnsi="Garamond" w:eastAsia="SimSun" w:cs="Garamond"/>
          <w:lang w:bidi="ar"/>
        </w:rPr>
      </w:pPr>
      <w:r>
        <w:rPr>
          <w:rFonts w:ascii="Garamond" w:hAnsi="Garamond" w:eastAsia="Segoe UI" w:cs="Garamond"/>
          <w:kern w:val="0"/>
          <w:lang w:eastAsia="zh-CN" w:bidi="ar"/>
        </w:rPr>
        <w:t xml:space="preserve">Bauman, Z. (1998). </w:t>
      </w:r>
      <w:r>
        <w:rPr>
          <w:rStyle w:val="13"/>
          <w:rFonts w:ascii="Garamond" w:hAnsi="Garamond" w:eastAsia="Segoe UI" w:cs="Garamond"/>
          <w:kern w:val="0"/>
          <w:lang w:eastAsia="zh-CN"/>
        </w:rPr>
        <w:t>Globalization: The human consequences</w:t>
      </w:r>
      <w:r>
        <w:rPr>
          <w:rFonts w:ascii="Garamond" w:hAnsi="Garamond" w:eastAsia="Segoe UI" w:cs="Garamond"/>
          <w:kern w:val="0"/>
          <w:lang w:eastAsia="zh-CN" w:bidi="ar"/>
        </w:rPr>
        <w:t xml:space="preserve">. New York, NY: Columbia </w:t>
      </w:r>
      <w:r>
        <w:rPr>
          <w:rFonts w:ascii="Garamond" w:hAnsi="Garamond" w:eastAsia="Segoe UI" w:cs="Garamond"/>
          <w:kern w:val="0"/>
          <w:lang w:eastAsia="zh-CN" w:bidi="ar"/>
        </w:rPr>
        <w:tab/>
      </w:r>
      <w:r>
        <w:rPr>
          <w:rFonts w:ascii="Garamond" w:hAnsi="Garamond" w:eastAsia="Segoe UI" w:cs="Garamond"/>
          <w:kern w:val="0"/>
          <w:lang w:eastAsia="zh-CN" w:bidi="ar"/>
        </w:rPr>
        <w:t xml:space="preserve">University Press. Beck, U. (2000). </w:t>
      </w:r>
      <w:r>
        <w:rPr>
          <w:rStyle w:val="13"/>
          <w:rFonts w:ascii="Garamond" w:hAnsi="Garamond" w:eastAsia="Segoe UI" w:cs="Garamond"/>
          <w:kern w:val="0"/>
          <w:lang w:eastAsia="zh-CN"/>
        </w:rPr>
        <w:t>What is globalization?</w:t>
      </w:r>
      <w:r>
        <w:rPr>
          <w:rFonts w:ascii="Garamond" w:hAnsi="Garamond" w:eastAsia="Segoe UI" w:cs="Garamond"/>
          <w:kern w:val="0"/>
          <w:lang w:eastAsia="zh-CN" w:bidi="ar"/>
        </w:rPr>
        <w:t xml:space="preserve"> Cambridge: Polity Press. </w:t>
      </w:r>
    </w:p>
    <w:p w14:paraId="193702B2">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Blinder, A. S. (2007). How many US jobs might be offshorable? </w:t>
      </w:r>
      <w:r>
        <w:rPr>
          <w:rStyle w:val="13"/>
          <w:rFonts w:ascii="Garamond" w:hAnsi="Garamond" w:eastAsia="Segoe UI" w:cs="Garamond"/>
          <w:kern w:val="0"/>
          <w:lang w:eastAsia="zh-CN"/>
        </w:rPr>
        <w:t>World Economics, 10</w:t>
      </w:r>
      <w:r>
        <w:rPr>
          <w:rFonts w:ascii="Garamond" w:hAnsi="Garamond" w:eastAsia="Segoe UI" w:cs="Garamond"/>
          <w:kern w:val="0"/>
          <w:lang w:eastAsia="zh-CN" w:bidi="ar"/>
        </w:rPr>
        <w:t xml:space="preserve">(2), </w:t>
      </w:r>
      <w:r>
        <w:rPr>
          <w:rFonts w:ascii="Garamond" w:hAnsi="Garamond" w:eastAsia="Segoe UI" w:cs="Garamond"/>
          <w:kern w:val="0"/>
          <w:lang w:eastAsia="zh-CN" w:bidi="ar"/>
        </w:rPr>
        <w:tab/>
      </w:r>
      <w:r>
        <w:rPr>
          <w:rFonts w:ascii="Garamond" w:hAnsi="Garamond" w:eastAsia="Segoe UI" w:cs="Garamond"/>
          <w:kern w:val="0"/>
          <w:lang w:eastAsia="zh-CN" w:bidi="ar"/>
        </w:rPr>
        <w:t xml:space="preserve">41–78. </w:t>
      </w:r>
    </w:p>
    <w:p w14:paraId="6E6F2441">
      <w:pPr>
        <w:spacing w:beforeAutospacing="1" w:afterAutospacing="1" w:line="200" w:lineRule="atLeast"/>
        <w:jc w:val="both"/>
        <w:rPr>
          <w:rFonts w:ascii="Garamond" w:hAnsi="Garamond" w:eastAsia="SimSun" w:cs="Garamond"/>
          <w:lang w:bidi="ar"/>
        </w:rPr>
      </w:pPr>
      <w:r>
        <w:rPr>
          <w:rFonts w:ascii="Garamond" w:hAnsi="Garamond" w:eastAsia="Segoe UI" w:cs="Garamond"/>
          <w:kern w:val="0"/>
          <w:lang w:eastAsia="zh-CN" w:bidi="ar"/>
        </w:rPr>
        <w:t xml:space="preserve">Castells, M. (1996). </w:t>
      </w:r>
      <w:r>
        <w:rPr>
          <w:rStyle w:val="13"/>
          <w:rFonts w:ascii="Garamond" w:hAnsi="Garamond" w:eastAsia="Segoe UI" w:cs="Garamond"/>
          <w:kern w:val="0"/>
          <w:lang w:eastAsia="zh-CN"/>
        </w:rPr>
        <w:t>The rise of the network society</w:t>
      </w:r>
      <w:r>
        <w:rPr>
          <w:rFonts w:ascii="Garamond" w:hAnsi="Garamond" w:eastAsia="Segoe UI" w:cs="Garamond"/>
          <w:kern w:val="0"/>
          <w:lang w:eastAsia="zh-CN" w:bidi="ar"/>
        </w:rPr>
        <w:t xml:space="preserve">. Oxford: Blackwell. Friedman, T. L. </w:t>
      </w:r>
      <w:r>
        <w:rPr>
          <w:rFonts w:ascii="Garamond" w:hAnsi="Garamond" w:eastAsia="Segoe UI" w:cs="Garamond"/>
          <w:kern w:val="0"/>
          <w:lang w:eastAsia="zh-CN" w:bidi="ar"/>
        </w:rPr>
        <w:tab/>
      </w:r>
      <w:r>
        <w:rPr>
          <w:rFonts w:ascii="Garamond" w:hAnsi="Garamond" w:eastAsia="Segoe UI" w:cs="Garamond"/>
          <w:kern w:val="0"/>
          <w:lang w:eastAsia="zh-CN" w:bidi="ar"/>
        </w:rPr>
        <w:t xml:space="preserve">(2005). </w:t>
      </w:r>
      <w:r>
        <w:rPr>
          <w:rStyle w:val="13"/>
          <w:rFonts w:ascii="Garamond" w:hAnsi="Garamond" w:eastAsia="Segoe UI" w:cs="Garamond"/>
          <w:kern w:val="0"/>
          <w:lang w:eastAsia="zh-CN"/>
        </w:rPr>
        <w:t>The world is flat: A brief history of the twenty-first century</w:t>
      </w:r>
      <w:r>
        <w:rPr>
          <w:rFonts w:ascii="Garamond" w:hAnsi="Garamond" w:eastAsia="Segoe UI" w:cs="Garamond"/>
          <w:kern w:val="0"/>
          <w:lang w:eastAsia="zh-CN" w:bidi="ar"/>
        </w:rPr>
        <w:t xml:space="preserve">. New York, </w:t>
      </w:r>
      <w:r>
        <w:rPr>
          <w:rFonts w:ascii="Garamond" w:hAnsi="Garamond" w:eastAsia="Segoe UI" w:cs="Garamond"/>
          <w:kern w:val="0"/>
          <w:lang w:eastAsia="zh-CN" w:bidi="ar"/>
        </w:rPr>
        <w:tab/>
      </w:r>
      <w:r>
        <w:rPr>
          <w:rFonts w:ascii="Garamond" w:hAnsi="Garamond" w:eastAsia="Segoe UI" w:cs="Garamond"/>
          <w:kern w:val="0"/>
          <w:lang w:eastAsia="zh-CN" w:bidi="ar"/>
        </w:rPr>
        <w:t xml:space="preserve">NY: Farrar, Straus and Giroux. </w:t>
      </w:r>
    </w:p>
    <w:p w14:paraId="38CEB74B">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Chin, W. W. (1998). The partial least squares approach to structural equation modelling. </w:t>
      </w:r>
    </w:p>
    <w:p w14:paraId="6D5A7E74">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Coase, R. H. (1937). The nature of the firm. </w:t>
      </w:r>
      <w:r>
        <w:rPr>
          <w:rStyle w:val="13"/>
          <w:rFonts w:ascii="Garamond" w:hAnsi="Garamond" w:eastAsia="Segoe UI" w:cs="Garamond"/>
          <w:kern w:val="0"/>
          <w:lang w:eastAsia="zh-CN"/>
        </w:rPr>
        <w:t>Economica, 4</w:t>
      </w:r>
      <w:r>
        <w:rPr>
          <w:rFonts w:ascii="Garamond" w:hAnsi="Garamond" w:eastAsia="Segoe UI" w:cs="Garamond"/>
          <w:kern w:val="0"/>
          <w:lang w:eastAsia="zh-CN" w:bidi="ar"/>
        </w:rPr>
        <w:t xml:space="preserve">(16), 386–405. </w:t>
      </w:r>
    </w:p>
    <w:p w14:paraId="43B2098C">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Frey, C. B., &amp; Osborne, M. A. (2017). The future of employment. </w:t>
      </w:r>
      <w:r>
        <w:rPr>
          <w:rStyle w:val="13"/>
          <w:rFonts w:ascii="Garamond" w:hAnsi="Garamond" w:eastAsia="Segoe UI" w:cs="Garamond"/>
          <w:kern w:val="0"/>
          <w:lang w:eastAsia="zh-CN"/>
        </w:rPr>
        <w:t xml:space="preserve">Technological </w:t>
      </w:r>
      <w:r>
        <w:rPr>
          <w:rStyle w:val="13"/>
          <w:rFonts w:ascii="Garamond" w:hAnsi="Garamond" w:eastAsia="Segoe UI" w:cs="Garamond"/>
          <w:kern w:val="0"/>
          <w:lang w:eastAsia="zh-CN"/>
        </w:rPr>
        <w:tab/>
      </w:r>
      <w:r>
        <w:rPr>
          <w:rStyle w:val="13"/>
          <w:rFonts w:ascii="Garamond" w:hAnsi="Garamond" w:eastAsia="Segoe UI" w:cs="Garamond"/>
          <w:kern w:val="0"/>
          <w:lang w:eastAsia="zh-CN"/>
        </w:rPr>
        <w:t>Forecasting and Social Change, 114</w:t>
      </w:r>
      <w:r>
        <w:rPr>
          <w:rFonts w:ascii="Garamond" w:hAnsi="Garamond" w:eastAsia="Segoe UI" w:cs="Garamond"/>
          <w:kern w:val="0"/>
          <w:lang w:eastAsia="zh-CN" w:bidi="ar"/>
        </w:rPr>
        <w:t>, 254–280.</w:t>
      </w:r>
    </w:p>
    <w:p w14:paraId="20251ECC">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Giddens, A. (1990). </w:t>
      </w:r>
      <w:r>
        <w:rPr>
          <w:rStyle w:val="13"/>
          <w:rFonts w:ascii="Garamond" w:hAnsi="Garamond" w:eastAsia="Segoe UI" w:cs="Garamond"/>
          <w:kern w:val="0"/>
          <w:lang w:eastAsia="zh-CN"/>
        </w:rPr>
        <w:t>The consequences of modernity</w:t>
      </w:r>
      <w:r>
        <w:rPr>
          <w:rFonts w:ascii="Garamond" w:hAnsi="Garamond" w:eastAsia="Segoe UI" w:cs="Garamond"/>
          <w:kern w:val="0"/>
          <w:lang w:eastAsia="zh-CN" w:bidi="ar"/>
        </w:rPr>
        <w:t xml:space="preserve">. Cambridge: Polity Press. </w:t>
      </w:r>
    </w:p>
    <w:p w14:paraId="4B1B30E8">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Graham, M., &amp; Anwar, M. A. (2019). The global gig economy. </w:t>
      </w:r>
      <w:r>
        <w:rPr>
          <w:rStyle w:val="13"/>
          <w:rFonts w:ascii="Garamond" w:hAnsi="Garamond" w:eastAsia="Segoe UI" w:cs="Garamond"/>
          <w:kern w:val="0"/>
          <w:lang w:eastAsia="zh-CN"/>
        </w:rPr>
        <w:t xml:space="preserve">Development and Change, </w:t>
      </w:r>
      <w:r>
        <w:rPr>
          <w:rStyle w:val="13"/>
          <w:rFonts w:ascii="Garamond" w:hAnsi="Garamond" w:eastAsia="Segoe UI" w:cs="Garamond"/>
          <w:kern w:val="0"/>
          <w:lang w:eastAsia="zh-CN"/>
        </w:rPr>
        <w:tab/>
      </w:r>
      <w:r>
        <w:rPr>
          <w:rStyle w:val="13"/>
          <w:rFonts w:ascii="Garamond" w:hAnsi="Garamond" w:eastAsia="Segoe UI" w:cs="Garamond"/>
          <w:kern w:val="0"/>
          <w:lang w:eastAsia="zh-CN"/>
        </w:rPr>
        <w:t>50</w:t>
      </w:r>
      <w:r>
        <w:rPr>
          <w:rFonts w:ascii="Garamond" w:hAnsi="Garamond" w:eastAsia="Segoe UI" w:cs="Garamond"/>
          <w:kern w:val="0"/>
          <w:lang w:eastAsia="zh-CN" w:bidi="ar"/>
        </w:rPr>
        <w:t xml:space="preserve">(2), 367–388. </w:t>
      </w:r>
    </w:p>
    <w:p w14:paraId="6D3001FB">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Grant, R. M. (2005). </w:t>
      </w:r>
      <w:r>
        <w:rPr>
          <w:rStyle w:val="13"/>
          <w:rFonts w:ascii="Garamond" w:hAnsi="Garamond" w:eastAsia="Segoe UI" w:cs="Garamond"/>
          <w:kern w:val="0"/>
          <w:lang w:eastAsia="zh-CN"/>
        </w:rPr>
        <w:t>Contemporary strategy analysis</w:t>
      </w:r>
      <w:r>
        <w:rPr>
          <w:rFonts w:ascii="Garamond" w:hAnsi="Garamond" w:eastAsia="Segoe UI" w:cs="Garamond"/>
          <w:kern w:val="0"/>
          <w:lang w:eastAsia="zh-CN" w:bidi="ar"/>
        </w:rPr>
        <w:t xml:space="preserve"> (5th ed.). Oxford: Blackwell. </w:t>
      </w:r>
    </w:p>
    <w:p w14:paraId="65C8E1E2">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Harvey, D. (1989). </w:t>
      </w:r>
      <w:r>
        <w:rPr>
          <w:rStyle w:val="13"/>
          <w:rFonts w:ascii="Garamond" w:hAnsi="Garamond" w:eastAsia="Segoe UI" w:cs="Garamond"/>
          <w:kern w:val="0"/>
          <w:lang w:eastAsia="zh-CN"/>
        </w:rPr>
        <w:t>The condition of postmodernity</w:t>
      </w:r>
      <w:r>
        <w:rPr>
          <w:rFonts w:ascii="Garamond" w:hAnsi="Garamond" w:eastAsia="Segoe UI" w:cs="Garamond"/>
          <w:kern w:val="0"/>
          <w:lang w:eastAsia="zh-CN" w:bidi="ar"/>
        </w:rPr>
        <w:t xml:space="preserve">. Oxford: Blackwell. </w:t>
      </w:r>
    </w:p>
    <w:p w14:paraId="668E83ED">
      <w:pPr>
        <w:spacing w:beforeAutospacing="1" w:afterAutospacing="1" w:line="200" w:lineRule="atLeast"/>
        <w:jc w:val="both"/>
        <w:rPr>
          <w:rFonts w:ascii="Garamond" w:hAnsi="Garamond" w:eastAsia="SimSun" w:cs="Garamond"/>
          <w:lang w:bidi="ar"/>
        </w:rPr>
      </w:pPr>
      <w:r>
        <w:rPr>
          <w:rFonts w:ascii="Garamond" w:hAnsi="Garamond" w:eastAsia="Segoe UI" w:cs="Garamond"/>
          <w:kern w:val="0"/>
          <w:lang w:eastAsia="zh-CN" w:bidi="ar"/>
        </w:rPr>
        <w:t xml:space="preserve">Held, D., &amp; McGrew, A. (2000). </w:t>
      </w:r>
      <w:r>
        <w:rPr>
          <w:rStyle w:val="13"/>
          <w:rFonts w:ascii="Garamond" w:hAnsi="Garamond" w:eastAsia="Segoe UI" w:cs="Garamond"/>
          <w:kern w:val="0"/>
          <w:lang w:eastAsia="zh-CN"/>
        </w:rPr>
        <w:t>The global transformations reader</w:t>
      </w:r>
      <w:r>
        <w:rPr>
          <w:rFonts w:ascii="Garamond" w:hAnsi="Garamond" w:eastAsia="Segoe UI" w:cs="Garamond"/>
          <w:kern w:val="0"/>
          <w:lang w:eastAsia="zh-CN" w:bidi="ar"/>
        </w:rPr>
        <w:t xml:space="preserve">. Cambridge: Polity </w:t>
      </w:r>
      <w:r>
        <w:rPr>
          <w:rFonts w:ascii="Garamond" w:hAnsi="Garamond" w:eastAsia="Segoe UI" w:cs="Garamond"/>
          <w:kern w:val="0"/>
          <w:lang w:eastAsia="zh-CN" w:bidi="ar"/>
        </w:rPr>
        <w:tab/>
      </w:r>
      <w:r>
        <w:rPr>
          <w:rFonts w:ascii="Garamond" w:hAnsi="Garamond" w:eastAsia="Segoe UI" w:cs="Garamond"/>
          <w:kern w:val="0"/>
          <w:lang w:eastAsia="zh-CN" w:bidi="ar"/>
        </w:rPr>
        <w:t xml:space="preserve">Press. </w:t>
      </w:r>
    </w:p>
    <w:p w14:paraId="0467F95D">
      <w:pPr>
        <w:spacing w:beforeAutospacing="1" w:afterAutospacing="1" w:line="200" w:lineRule="atLeast"/>
        <w:jc w:val="both"/>
        <w:rPr>
          <w:rFonts w:ascii="Garamond" w:hAnsi="Garamond" w:eastAsia="SimSun" w:cs="Garamond"/>
          <w:lang w:bidi="ar"/>
        </w:rPr>
      </w:pPr>
      <w:r>
        <w:rPr>
          <w:rFonts w:ascii="Garamond" w:hAnsi="Garamond" w:eastAsia="Segoe UI" w:cs="Garamond"/>
          <w:kern w:val="0"/>
          <w:lang w:eastAsia="zh-CN" w:bidi="ar"/>
        </w:rPr>
        <w:t xml:space="preserve">Hirschman, A. O. (1958). </w:t>
      </w:r>
      <w:r>
        <w:rPr>
          <w:rStyle w:val="13"/>
          <w:rFonts w:ascii="Garamond" w:hAnsi="Garamond" w:eastAsia="Segoe UI" w:cs="Garamond"/>
          <w:kern w:val="0"/>
          <w:lang w:eastAsia="zh-CN"/>
        </w:rPr>
        <w:t>The strategy of economic development</w:t>
      </w:r>
      <w:r>
        <w:rPr>
          <w:rFonts w:ascii="Garamond" w:hAnsi="Garamond" w:eastAsia="Segoe UI" w:cs="Garamond"/>
          <w:kern w:val="0"/>
          <w:lang w:eastAsia="zh-CN" w:bidi="ar"/>
        </w:rPr>
        <w:t xml:space="preserve">. New Haven, CT: Yale University Press. </w:t>
      </w:r>
    </w:p>
    <w:p w14:paraId="23D6053B">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Hirst, P., &amp; Thompson, G. (1999). </w:t>
      </w:r>
      <w:r>
        <w:rPr>
          <w:rStyle w:val="13"/>
          <w:rFonts w:ascii="Garamond" w:hAnsi="Garamond" w:eastAsia="Segoe UI" w:cs="Garamond"/>
          <w:kern w:val="0"/>
          <w:lang w:eastAsia="zh-CN"/>
        </w:rPr>
        <w:t>Globalization in question</w:t>
      </w:r>
      <w:r>
        <w:rPr>
          <w:rFonts w:ascii="Garamond" w:hAnsi="Garamond" w:eastAsia="Segoe UI" w:cs="Garamond"/>
          <w:kern w:val="0"/>
          <w:lang w:eastAsia="zh-CN" w:bidi="ar"/>
        </w:rPr>
        <w:t xml:space="preserve"> (2nd ed.). Cambridge: Polity </w:t>
      </w:r>
      <w:r>
        <w:rPr>
          <w:rFonts w:ascii="Garamond" w:hAnsi="Garamond" w:eastAsia="Segoe UI" w:cs="Garamond"/>
          <w:kern w:val="0"/>
          <w:lang w:eastAsia="zh-CN" w:bidi="ar"/>
        </w:rPr>
        <w:tab/>
      </w:r>
      <w:r>
        <w:rPr>
          <w:rFonts w:ascii="Garamond" w:hAnsi="Garamond" w:eastAsia="Segoe UI" w:cs="Garamond"/>
          <w:kern w:val="0"/>
          <w:lang w:eastAsia="zh-CN" w:bidi="ar"/>
        </w:rPr>
        <w:t xml:space="preserve">Press. </w:t>
      </w:r>
    </w:p>
    <w:p w14:paraId="649374DC">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Johnson, H. G. (1960). The cost of protection and economic integration. </w:t>
      </w:r>
      <w:r>
        <w:rPr>
          <w:rStyle w:val="13"/>
          <w:rFonts w:ascii="Garamond" w:hAnsi="Garamond" w:eastAsia="Segoe UI" w:cs="Garamond"/>
          <w:i w:val="0"/>
          <w:iCs w:val="0"/>
          <w:kern w:val="0"/>
          <w:lang w:eastAsia="zh-CN"/>
        </w:rPr>
        <w:t xml:space="preserve">The Economic </w:t>
      </w:r>
      <w:r>
        <w:rPr>
          <w:rStyle w:val="13"/>
          <w:rFonts w:ascii="Garamond" w:hAnsi="Garamond" w:eastAsia="Segoe UI" w:cs="Garamond"/>
          <w:i w:val="0"/>
          <w:iCs w:val="0"/>
          <w:kern w:val="0"/>
          <w:lang w:eastAsia="zh-CN"/>
        </w:rPr>
        <w:tab/>
      </w:r>
      <w:r>
        <w:rPr>
          <w:rStyle w:val="13"/>
          <w:rFonts w:ascii="Garamond" w:hAnsi="Garamond" w:eastAsia="Segoe UI" w:cs="Garamond"/>
          <w:i w:val="0"/>
          <w:iCs w:val="0"/>
          <w:kern w:val="0"/>
          <w:lang w:eastAsia="zh-CN"/>
        </w:rPr>
        <w:t xml:space="preserve">Journal, </w:t>
      </w:r>
      <w:r>
        <w:rPr>
          <w:rStyle w:val="13"/>
          <w:rFonts w:ascii="Garamond" w:hAnsi="Garamond" w:eastAsia="Segoe UI" w:cs="Garamond"/>
          <w:kern w:val="0"/>
          <w:lang w:eastAsia="zh-CN"/>
        </w:rPr>
        <w:t>70</w:t>
      </w:r>
      <w:r>
        <w:rPr>
          <w:rFonts w:ascii="Garamond" w:hAnsi="Garamond" w:eastAsia="Segoe UI" w:cs="Garamond"/>
          <w:kern w:val="0"/>
          <w:lang w:eastAsia="zh-CN" w:bidi="ar"/>
        </w:rPr>
        <w:t xml:space="preserve">(280), 847–849. </w:t>
      </w:r>
    </w:p>
    <w:p w14:paraId="07F70041">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Kässi, O., &amp; Lehdonvirta, V. (2018). Online labour index. </w:t>
      </w:r>
      <w:r>
        <w:rPr>
          <w:rStyle w:val="13"/>
          <w:rFonts w:ascii="Garamond" w:hAnsi="Garamond" w:eastAsia="Segoe UI" w:cs="Garamond"/>
          <w:kern w:val="0"/>
          <w:lang w:eastAsia="zh-CN"/>
        </w:rPr>
        <w:t>Big Data &amp; Society, 5</w:t>
      </w:r>
      <w:r>
        <w:rPr>
          <w:rFonts w:ascii="Garamond" w:hAnsi="Garamond" w:eastAsia="Segoe UI" w:cs="Garamond"/>
          <w:kern w:val="0"/>
          <w:lang w:eastAsia="zh-CN" w:bidi="ar"/>
        </w:rPr>
        <w:t xml:space="preserve">(2). </w:t>
      </w:r>
    </w:p>
    <w:p w14:paraId="29D17968">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Keohane, R. O., &amp; Nye, J. S. (2000). </w:t>
      </w:r>
      <w:r>
        <w:rPr>
          <w:rStyle w:val="13"/>
          <w:rFonts w:ascii="Garamond" w:hAnsi="Garamond" w:eastAsia="Segoe UI" w:cs="Garamond"/>
          <w:kern w:val="0"/>
          <w:lang w:eastAsia="zh-CN"/>
        </w:rPr>
        <w:t>Power and interdependence</w:t>
      </w:r>
      <w:r>
        <w:rPr>
          <w:rFonts w:ascii="Garamond" w:hAnsi="Garamond" w:eastAsia="Segoe UI" w:cs="Garamond"/>
          <w:kern w:val="0"/>
          <w:lang w:eastAsia="zh-CN" w:bidi="ar"/>
        </w:rPr>
        <w:t xml:space="preserve"> (3rd ed.). New York, </w:t>
      </w:r>
      <w:r>
        <w:rPr>
          <w:rFonts w:ascii="Garamond" w:hAnsi="Garamond" w:eastAsia="Segoe UI" w:cs="Garamond"/>
          <w:kern w:val="0"/>
          <w:lang w:eastAsia="zh-CN" w:bidi="ar"/>
        </w:rPr>
        <w:tab/>
      </w:r>
      <w:r>
        <w:rPr>
          <w:rFonts w:ascii="Garamond" w:hAnsi="Garamond" w:eastAsia="Segoe UI" w:cs="Garamond"/>
          <w:kern w:val="0"/>
          <w:lang w:eastAsia="zh-CN" w:bidi="ar"/>
        </w:rPr>
        <w:t>NY: Longman.</w:t>
      </w:r>
    </w:p>
    <w:p w14:paraId="642B62AC">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Kothari, C. R. (2004). </w:t>
      </w:r>
      <w:r>
        <w:rPr>
          <w:rStyle w:val="13"/>
          <w:rFonts w:ascii="Garamond" w:hAnsi="Garamond" w:eastAsia="Segoe UI" w:cs="Garamond"/>
          <w:kern w:val="0"/>
          <w:lang w:eastAsia="zh-CN"/>
        </w:rPr>
        <w:t>Research methodology: Methods and techniques</w:t>
      </w:r>
      <w:r>
        <w:rPr>
          <w:rFonts w:ascii="Garamond" w:hAnsi="Garamond" w:eastAsia="Segoe UI" w:cs="Garamond"/>
          <w:kern w:val="0"/>
          <w:lang w:eastAsia="zh-CN" w:bidi="ar"/>
        </w:rPr>
        <w:t xml:space="preserve"> (2nd ed.). New </w:t>
      </w:r>
      <w:r>
        <w:rPr>
          <w:rFonts w:ascii="Garamond" w:hAnsi="Garamond" w:eastAsia="Segoe UI" w:cs="Garamond"/>
          <w:kern w:val="0"/>
          <w:lang w:eastAsia="zh-CN" w:bidi="ar"/>
        </w:rPr>
        <w:tab/>
      </w:r>
      <w:r>
        <w:rPr>
          <w:rFonts w:ascii="Garamond" w:hAnsi="Garamond" w:eastAsia="Segoe UI" w:cs="Garamond"/>
          <w:kern w:val="0"/>
          <w:lang w:eastAsia="zh-CN" w:bidi="ar"/>
        </w:rPr>
        <w:t>Delhi: New Age International.</w:t>
      </w:r>
    </w:p>
    <w:p w14:paraId="6F753CCB">
      <w:pPr>
        <w:spacing w:beforeAutospacing="1" w:afterAutospacing="1" w:line="200" w:lineRule="atLeast"/>
        <w:jc w:val="both"/>
        <w:rPr>
          <w:rFonts w:ascii="Garamond" w:hAnsi="Garamond" w:eastAsia="SimSun" w:cs="Garamond"/>
          <w:lang w:bidi="ar"/>
        </w:rPr>
      </w:pPr>
      <w:r>
        <w:rPr>
          <w:rFonts w:ascii="Garamond" w:hAnsi="Garamond" w:eastAsia="Segoe UI" w:cs="Garamond"/>
          <w:kern w:val="0"/>
          <w:lang w:eastAsia="zh-CN" w:bidi="ar"/>
        </w:rPr>
        <w:t xml:space="preserve">Lewis, W. A. (1954). Economic development with unlimited supplies of labour. </w:t>
      </w:r>
      <w:r>
        <w:rPr>
          <w:rFonts w:ascii="Garamond" w:hAnsi="Garamond" w:eastAsia="Segoe UI" w:cs="Garamond"/>
          <w:kern w:val="0"/>
          <w:lang w:eastAsia="zh-CN" w:bidi="ar"/>
        </w:rPr>
        <w:tab/>
      </w:r>
      <w:r>
        <w:rPr>
          <w:rStyle w:val="13"/>
          <w:rFonts w:ascii="Garamond" w:hAnsi="Garamond" w:eastAsia="Segoe UI" w:cs="Garamond"/>
          <w:kern w:val="0"/>
          <w:lang w:eastAsia="zh-CN"/>
        </w:rPr>
        <w:t>Manchester School, 22</w:t>
      </w:r>
      <w:r>
        <w:rPr>
          <w:rFonts w:ascii="Garamond" w:hAnsi="Garamond" w:eastAsia="Segoe UI" w:cs="Garamond"/>
          <w:kern w:val="0"/>
          <w:lang w:eastAsia="zh-CN" w:bidi="ar"/>
        </w:rPr>
        <w:t xml:space="preserve">(2), 139–191. </w:t>
      </w:r>
    </w:p>
    <w:p w14:paraId="7FAA2F8E">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Lipsey, R. G. (1957). The theory of customs unions: Trade diversion and welfare. </w:t>
      </w:r>
      <w:r>
        <w:rPr>
          <w:rFonts w:ascii="Garamond" w:hAnsi="Garamond" w:eastAsia="Segoe UI" w:cs="Garamond"/>
          <w:kern w:val="0"/>
          <w:lang w:eastAsia="zh-CN" w:bidi="ar"/>
        </w:rPr>
        <w:tab/>
      </w:r>
      <w:r>
        <w:rPr>
          <w:rFonts w:ascii="Garamond" w:hAnsi="Garamond" w:eastAsia="Segoe UI" w:cs="Garamond"/>
          <w:kern w:val="0"/>
          <w:lang w:eastAsia="zh-CN" w:bidi="ar"/>
        </w:rPr>
        <w:tab/>
      </w:r>
      <w:r>
        <w:rPr>
          <w:rStyle w:val="13"/>
          <w:rFonts w:ascii="Garamond" w:hAnsi="Garamond" w:eastAsia="Segoe UI" w:cs="Garamond"/>
          <w:kern w:val="0"/>
          <w:lang w:eastAsia="zh-CN"/>
        </w:rPr>
        <w:t>Economica, 24</w:t>
      </w:r>
      <w:r>
        <w:rPr>
          <w:rFonts w:ascii="Garamond" w:hAnsi="Garamond" w:eastAsia="Segoe UI" w:cs="Garamond"/>
          <w:kern w:val="0"/>
          <w:lang w:eastAsia="zh-CN" w:bidi="ar"/>
        </w:rPr>
        <w:t>(93), 40–46.</w:t>
      </w:r>
    </w:p>
    <w:p w14:paraId="3EEF4582">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Love, J. H., &amp; Roper, S. (2013). SME innovation and growth. </w:t>
      </w:r>
      <w:r>
        <w:rPr>
          <w:rStyle w:val="13"/>
          <w:rFonts w:ascii="Garamond" w:hAnsi="Garamond" w:eastAsia="Segoe UI" w:cs="Garamond"/>
          <w:kern w:val="0"/>
          <w:lang w:eastAsia="zh-CN"/>
        </w:rPr>
        <w:t xml:space="preserve">Small Business Economics, </w:t>
      </w:r>
      <w:r>
        <w:rPr>
          <w:rStyle w:val="13"/>
          <w:rFonts w:ascii="Garamond" w:hAnsi="Garamond" w:eastAsia="Segoe UI" w:cs="Garamond"/>
          <w:kern w:val="0"/>
          <w:lang w:eastAsia="zh-CN"/>
        </w:rPr>
        <w:tab/>
      </w:r>
      <w:r>
        <w:rPr>
          <w:rStyle w:val="13"/>
          <w:rFonts w:ascii="Garamond" w:hAnsi="Garamond" w:eastAsia="Segoe UI" w:cs="Garamond"/>
          <w:kern w:val="0"/>
          <w:lang w:eastAsia="zh-CN"/>
        </w:rPr>
        <w:t>41</w:t>
      </w:r>
      <w:r>
        <w:rPr>
          <w:rFonts w:ascii="Garamond" w:hAnsi="Garamond" w:eastAsia="Segoe UI" w:cs="Garamond"/>
          <w:kern w:val="0"/>
          <w:lang w:eastAsia="zh-CN" w:bidi="ar"/>
        </w:rPr>
        <w:t xml:space="preserve">(3), 551–570. </w:t>
      </w:r>
    </w:p>
    <w:p w14:paraId="7C4A6DDB">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Meade, J. E. (1955). </w:t>
      </w:r>
      <w:r>
        <w:rPr>
          <w:rStyle w:val="13"/>
          <w:rFonts w:ascii="Garamond" w:hAnsi="Garamond" w:eastAsia="Segoe UI" w:cs="Garamond"/>
          <w:kern w:val="0"/>
          <w:lang w:eastAsia="zh-CN"/>
        </w:rPr>
        <w:t>The theory of customs unions</w:t>
      </w:r>
      <w:r>
        <w:rPr>
          <w:rFonts w:ascii="Garamond" w:hAnsi="Garamond" w:eastAsia="Segoe UI" w:cs="Garamond"/>
          <w:kern w:val="0"/>
          <w:lang w:eastAsia="zh-CN" w:bidi="ar"/>
        </w:rPr>
        <w:t xml:space="preserve">. Amsterdam: North-Holland. </w:t>
      </w:r>
    </w:p>
    <w:p w14:paraId="4E655E66">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Myrdal, G. (1957). </w:t>
      </w:r>
      <w:r>
        <w:rPr>
          <w:rStyle w:val="13"/>
          <w:rFonts w:ascii="Garamond" w:hAnsi="Garamond" w:eastAsia="Segoe UI" w:cs="Garamond"/>
          <w:kern w:val="0"/>
          <w:lang w:eastAsia="zh-CN"/>
        </w:rPr>
        <w:t>Economic theory and underdeveloped regions</w:t>
      </w:r>
      <w:r>
        <w:rPr>
          <w:rFonts w:ascii="Garamond" w:hAnsi="Garamond" w:eastAsia="Segoe UI" w:cs="Garamond"/>
          <w:kern w:val="0"/>
          <w:lang w:eastAsia="zh-CN" w:bidi="ar"/>
        </w:rPr>
        <w:t xml:space="preserve">. London: Duckworth. </w:t>
      </w:r>
    </w:p>
    <w:p w14:paraId="21E34201">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Nurkse, R. (1953). </w:t>
      </w:r>
      <w:r>
        <w:rPr>
          <w:rStyle w:val="13"/>
          <w:rFonts w:ascii="Garamond" w:hAnsi="Garamond" w:eastAsia="Segoe UI" w:cs="Garamond"/>
          <w:kern w:val="0"/>
          <w:lang w:eastAsia="zh-CN"/>
        </w:rPr>
        <w:t>Problems of capital formation in underdeveloped countries</w:t>
      </w:r>
      <w:r>
        <w:rPr>
          <w:rFonts w:ascii="Garamond" w:hAnsi="Garamond" w:eastAsia="Segoe UI" w:cs="Garamond"/>
          <w:kern w:val="0"/>
          <w:lang w:eastAsia="zh-CN" w:bidi="ar"/>
        </w:rPr>
        <w:t xml:space="preserve">. Oxford: </w:t>
      </w:r>
      <w:r>
        <w:rPr>
          <w:rFonts w:ascii="Garamond" w:hAnsi="Garamond" w:eastAsia="Segoe UI" w:cs="Garamond"/>
          <w:kern w:val="0"/>
          <w:lang w:eastAsia="zh-CN" w:bidi="ar"/>
        </w:rPr>
        <w:tab/>
      </w:r>
      <w:r>
        <w:rPr>
          <w:rFonts w:ascii="Garamond" w:hAnsi="Garamond" w:eastAsia="Segoe UI" w:cs="Garamond"/>
          <w:kern w:val="0"/>
          <w:lang w:eastAsia="zh-CN" w:bidi="ar"/>
        </w:rPr>
        <w:t>Oxford University Press.</w:t>
      </w:r>
    </w:p>
    <w:p w14:paraId="2667D6C3">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OECD. (2000). </w:t>
      </w:r>
      <w:r>
        <w:rPr>
          <w:rStyle w:val="13"/>
          <w:rFonts w:ascii="Garamond" w:hAnsi="Garamond" w:eastAsia="Segoe UI" w:cs="Garamond"/>
          <w:kern w:val="0"/>
          <w:lang w:eastAsia="zh-CN"/>
        </w:rPr>
        <w:t>Small and medium enterprise outlook</w:t>
      </w:r>
      <w:r>
        <w:rPr>
          <w:rFonts w:ascii="Garamond" w:hAnsi="Garamond" w:eastAsia="Segoe UI" w:cs="Garamond"/>
          <w:kern w:val="0"/>
          <w:lang w:eastAsia="zh-CN" w:bidi="ar"/>
        </w:rPr>
        <w:t xml:space="preserve">. Paris: OECD Publishing. </w:t>
      </w:r>
    </w:p>
    <w:p w14:paraId="78A6CBBB">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Ohmae, K. (1990). </w:t>
      </w:r>
      <w:r>
        <w:rPr>
          <w:rStyle w:val="13"/>
          <w:rFonts w:ascii="Garamond" w:hAnsi="Garamond" w:eastAsia="Segoe UI" w:cs="Garamond"/>
          <w:kern w:val="0"/>
          <w:lang w:eastAsia="zh-CN"/>
        </w:rPr>
        <w:t>The borderless world</w:t>
      </w:r>
      <w:r>
        <w:rPr>
          <w:rFonts w:ascii="Garamond" w:hAnsi="Garamond" w:eastAsia="Segoe UI" w:cs="Garamond"/>
          <w:kern w:val="0"/>
          <w:lang w:eastAsia="zh-CN" w:bidi="ar"/>
        </w:rPr>
        <w:t xml:space="preserve">. New York, NY: HarperCollins. </w:t>
      </w:r>
    </w:p>
    <w:p w14:paraId="31E2BD6B">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Oladimeji, M. S., &amp; Muhammed, A. (2017). Technology adoption and SMEs. </w:t>
      </w:r>
    </w:p>
    <w:p w14:paraId="62898EB5">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Penrose, E. T. (1959). </w:t>
      </w:r>
      <w:r>
        <w:rPr>
          <w:rStyle w:val="13"/>
          <w:rFonts w:ascii="Garamond" w:hAnsi="Garamond" w:eastAsia="Segoe UI" w:cs="Garamond"/>
          <w:kern w:val="0"/>
          <w:lang w:eastAsia="zh-CN"/>
        </w:rPr>
        <w:t>The theory of the growth of the firm</w:t>
      </w:r>
      <w:r>
        <w:rPr>
          <w:rFonts w:ascii="Garamond" w:hAnsi="Garamond" w:eastAsia="Segoe UI" w:cs="Garamond"/>
          <w:kern w:val="0"/>
          <w:lang w:eastAsia="zh-CN" w:bidi="ar"/>
        </w:rPr>
        <w:t xml:space="preserve">. Oxford: Blackwell. </w:t>
      </w:r>
    </w:p>
    <w:p w14:paraId="5234919D">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Porter, M. E. (1985). </w:t>
      </w:r>
      <w:r>
        <w:rPr>
          <w:rStyle w:val="13"/>
          <w:rFonts w:ascii="Garamond" w:hAnsi="Garamond" w:eastAsia="Segoe UI" w:cs="Garamond"/>
          <w:kern w:val="0"/>
          <w:lang w:eastAsia="zh-CN"/>
        </w:rPr>
        <w:t>Competitive advantage</w:t>
      </w:r>
      <w:r>
        <w:rPr>
          <w:rFonts w:ascii="Garamond" w:hAnsi="Garamond" w:eastAsia="Segoe UI" w:cs="Garamond"/>
          <w:kern w:val="0"/>
          <w:lang w:eastAsia="zh-CN" w:bidi="ar"/>
        </w:rPr>
        <w:t xml:space="preserve">. New York, NY: Free Press. </w:t>
      </w:r>
    </w:p>
    <w:p w14:paraId="45C32866">
      <w:pPr>
        <w:spacing w:beforeAutospacing="1" w:afterAutospacing="1" w:line="200" w:lineRule="atLeast"/>
        <w:jc w:val="both"/>
        <w:rPr>
          <w:rFonts w:ascii="Garamond" w:hAnsi="Garamond" w:cs="Garamond"/>
        </w:rPr>
      </w:pPr>
      <w:r>
        <w:rPr>
          <w:rFonts w:ascii="Garamond" w:hAnsi="Garamond" w:eastAsia="Segoe UI" w:cs="Garamond"/>
          <w:kern w:val="0"/>
          <w:lang w:eastAsia="zh-CN" w:bidi="ar"/>
        </w:rPr>
        <w:t xml:space="preserve">Prebisch, R. (1950). </w:t>
      </w:r>
      <w:r>
        <w:rPr>
          <w:rStyle w:val="13"/>
          <w:rFonts w:ascii="Garamond" w:hAnsi="Garamond" w:eastAsia="Segoe UI" w:cs="Garamond"/>
          <w:kern w:val="0"/>
          <w:lang w:eastAsia="zh-CN"/>
        </w:rPr>
        <w:t xml:space="preserve">The economic development of Latin America and its principal </w:t>
      </w:r>
      <w:r>
        <w:rPr>
          <w:rStyle w:val="13"/>
          <w:rFonts w:ascii="Garamond" w:hAnsi="Garamond" w:eastAsia="Segoe UI" w:cs="Garamond"/>
          <w:kern w:val="0"/>
          <w:lang w:eastAsia="zh-CN"/>
        </w:rPr>
        <w:tab/>
      </w:r>
      <w:r>
        <w:rPr>
          <w:rStyle w:val="13"/>
          <w:rFonts w:ascii="Garamond" w:hAnsi="Garamond" w:eastAsia="Segoe UI" w:cs="Garamond"/>
          <w:kern w:val="0"/>
          <w:lang w:eastAsia="zh-CN"/>
        </w:rPr>
        <w:t>problems</w:t>
      </w:r>
      <w:r>
        <w:rPr>
          <w:rFonts w:ascii="Garamond" w:hAnsi="Garamond" w:eastAsia="Segoe UI" w:cs="Garamond"/>
          <w:kern w:val="0"/>
          <w:lang w:eastAsia="zh-CN" w:bidi="ar"/>
        </w:rPr>
        <w:t>. New York, NY: United Nations.</w:t>
      </w:r>
    </w:p>
    <w:p w14:paraId="6AF1AE43">
      <w:pPr>
        <w:spacing w:beforeAutospacing="1" w:afterAutospacing="1" w:line="200" w:lineRule="atLeast"/>
        <w:jc w:val="both"/>
        <w:rPr>
          <w:rFonts w:ascii="Garamond" w:hAnsi="Garamond" w:eastAsia="SimSun" w:cs="Garamond"/>
          <w:lang w:bidi="ar"/>
        </w:rPr>
      </w:pPr>
      <w:r>
        <w:rPr>
          <w:rFonts w:ascii="Garamond" w:hAnsi="Garamond" w:eastAsia="Segoe UI" w:cs="Garamond"/>
          <w:kern w:val="0"/>
          <w:lang w:eastAsia="zh-CN" w:bidi="ar"/>
        </w:rPr>
        <w:t xml:space="preserve">Ricardo, D. (1817). </w:t>
      </w:r>
      <w:r>
        <w:rPr>
          <w:rStyle w:val="13"/>
          <w:rFonts w:ascii="Garamond" w:hAnsi="Garamond" w:eastAsia="Segoe UI" w:cs="Garamond"/>
          <w:kern w:val="0"/>
          <w:lang w:eastAsia="zh-CN"/>
        </w:rPr>
        <w:t>On the principles of political economy and taxation</w:t>
      </w:r>
      <w:r>
        <w:rPr>
          <w:rFonts w:ascii="Garamond" w:hAnsi="Garamond" w:eastAsia="Segoe UI" w:cs="Garamond"/>
          <w:kern w:val="0"/>
          <w:lang w:eastAsia="zh-CN" w:bidi="ar"/>
        </w:rPr>
        <w:t xml:space="preserve">. London: John </w:t>
      </w:r>
      <w:r>
        <w:rPr>
          <w:rFonts w:ascii="Garamond" w:hAnsi="Garamond" w:eastAsia="Segoe UI" w:cs="Garamond"/>
          <w:kern w:val="0"/>
          <w:lang w:eastAsia="zh-CN" w:bidi="ar"/>
        </w:rPr>
        <w:tab/>
      </w:r>
      <w:r>
        <w:rPr>
          <w:rFonts w:ascii="Garamond" w:hAnsi="Garamond" w:eastAsia="Segoe UI" w:cs="Garamond"/>
          <w:kern w:val="0"/>
          <w:lang w:eastAsia="zh-CN" w:bidi="ar"/>
        </w:rPr>
        <w:t xml:space="preserve">Murray. </w:t>
      </w:r>
    </w:p>
    <w:p w14:paraId="54B73F0B">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Robertson, R. (1992). </w:t>
      </w:r>
      <w:r>
        <w:rPr>
          <w:rStyle w:val="13"/>
          <w:rFonts w:ascii="Garamond" w:hAnsi="Garamond" w:eastAsia="Segoe UI" w:cs="Garamond"/>
          <w:kern w:val="0"/>
          <w:lang w:eastAsia="zh-CN"/>
        </w:rPr>
        <w:t>Globalization: Social theory and global culture</w:t>
      </w:r>
      <w:r>
        <w:rPr>
          <w:rFonts w:ascii="Garamond" w:hAnsi="Garamond" w:eastAsia="Segoe UI" w:cs="Garamond"/>
          <w:kern w:val="0"/>
          <w:lang w:eastAsia="zh-CN" w:bidi="ar"/>
        </w:rPr>
        <w:t xml:space="preserve">. London: Sage. </w:t>
      </w:r>
    </w:p>
    <w:p w14:paraId="14FA68D5">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Rosenau, J. N. (1997). </w:t>
      </w:r>
      <w:r>
        <w:rPr>
          <w:rStyle w:val="13"/>
          <w:rFonts w:ascii="Garamond" w:hAnsi="Garamond" w:eastAsia="Segoe UI" w:cs="Garamond"/>
          <w:kern w:val="0"/>
          <w:lang w:eastAsia="zh-CN"/>
        </w:rPr>
        <w:t>Along the domestic-foreign frontier</w:t>
      </w:r>
      <w:r>
        <w:rPr>
          <w:rFonts w:ascii="Garamond" w:hAnsi="Garamond" w:eastAsia="Segoe UI" w:cs="Garamond"/>
          <w:kern w:val="0"/>
          <w:lang w:eastAsia="zh-CN" w:bidi="ar"/>
        </w:rPr>
        <w:t xml:space="preserve">. Cambridge: Cambridge </w:t>
      </w:r>
      <w:r>
        <w:rPr>
          <w:rFonts w:ascii="Garamond" w:hAnsi="Garamond" w:eastAsia="Segoe UI" w:cs="Garamond"/>
          <w:kern w:val="0"/>
          <w:lang w:eastAsia="zh-CN" w:bidi="ar"/>
        </w:rPr>
        <w:tab/>
      </w:r>
      <w:r>
        <w:rPr>
          <w:rFonts w:ascii="Garamond" w:hAnsi="Garamond" w:eastAsia="Segoe UI" w:cs="Garamond"/>
          <w:kern w:val="0"/>
          <w:lang w:eastAsia="zh-CN" w:bidi="ar"/>
        </w:rPr>
        <w:t xml:space="preserve">University Press. </w:t>
      </w:r>
    </w:p>
    <w:p w14:paraId="65947311">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Sassen, S. (2001). </w:t>
      </w:r>
      <w:r>
        <w:rPr>
          <w:rStyle w:val="13"/>
          <w:rFonts w:ascii="Garamond" w:hAnsi="Garamond" w:eastAsia="Segoe UI" w:cs="Garamond"/>
          <w:kern w:val="0"/>
          <w:lang w:eastAsia="zh-CN"/>
        </w:rPr>
        <w:t>The global city</w:t>
      </w:r>
      <w:r>
        <w:rPr>
          <w:rFonts w:ascii="Garamond" w:hAnsi="Garamond" w:eastAsia="Segoe UI" w:cs="Garamond"/>
          <w:kern w:val="0"/>
          <w:lang w:eastAsia="zh-CN" w:bidi="ar"/>
        </w:rPr>
        <w:t xml:space="preserve"> (2nd ed.). Princeton, NJ: Princeton University Press. </w:t>
      </w:r>
    </w:p>
    <w:p w14:paraId="0B0F3C27">
      <w:pPr>
        <w:spacing w:beforeAutospacing="1" w:afterAutospacing="1" w:line="200" w:lineRule="atLeast"/>
        <w:jc w:val="both"/>
        <w:rPr>
          <w:rFonts w:ascii="Garamond" w:hAnsi="Garamond" w:eastAsia="SimSun" w:cs="Garamond"/>
          <w:lang w:bidi="ar"/>
        </w:rPr>
      </w:pPr>
      <w:r>
        <w:rPr>
          <w:rFonts w:ascii="Garamond" w:hAnsi="Garamond" w:eastAsia="Segoe UI" w:cs="Garamond"/>
          <w:kern w:val="0"/>
          <w:lang w:eastAsia="zh-CN" w:bidi="ar"/>
        </w:rPr>
        <w:t xml:space="preserve">Scholte, J. A. (2005). </w:t>
      </w:r>
      <w:r>
        <w:rPr>
          <w:rStyle w:val="13"/>
          <w:rFonts w:ascii="Garamond" w:hAnsi="Garamond" w:eastAsia="Segoe UI" w:cs="Garamond"/>
          <w:kern w:val="0"/>
          <w:lang w:eastAsia="zh-CN"/>
        </w:rPr>
        <w:t>Globalization: A critical introduction</w:t>
      </w:r>
      <w:r>
        <w:rPr>
          <w:rFonts w:ascii="Garamond" w:hAnsi="Garamond" w:eastAsia="Segoe UI" w:cs="Garamond"/>
          <w:kern w:val="0"/>
          <w:lang w:eastAsia="zh-CN" w:bidi="ar"/>
        </w:rPr>
        <w:t xml:space="preserve"> (2nd ed.). Basingstoke: </w:t>
      </w:r>
      <w:r>
        <w:rPr>
          <w:rFonts w:ascii="Garamond" w:hAnsi="Garamond" w:eastAsia="Segoe UI" w:cs="Garamond"/>
          <w:kern w:val="0"/>
          <w:lang w:eastAsia="zh-CN" w:bidi="ar"/>
        </w:rPr>
        <w:tab/>
      </w:r>
      <w:r>
        <w:rPr>
          <w:rFonts w:ascii="Garamond" w:hAnsi="Garamond" w:eastAsia="Segoe UI" w:cs="Garamond"/>
          <w:kern w:val="0"/>
          <w:lang w:eastAsia="zh-CN" w:bidi="ar"/>
        </w:rPr>
        <w:t xml:space="preserve">Palgrave Macmillan. </w:t>
      </w:r>
    </w:p>
    <w:p w14:paraId="62836A00">
      <w:pPr>
        <w:spacing w:line="200" w:lineRule="atLeast"/>
        <w:jc w:val="both"/>
        <w:rPr>
          <w:rFonts w:ascii="Garamond" w:hAnsi="Garamond" w:cs="Garamond"/>
        </w:rPr>
      </w:pPr>
      <w:r>
        <w:rPr>
          <w:rFonts w:ascii="Garamond" w:hAnsi="Garamond" w:eastAsia="Segoe UI" w:cs="Garamond"/>
        </w:rPr>
        <w:t xml:space="preserve">Singer, H. W. (1950). The distribution of gains between investing and borrowing </w:t>
      </w:r>
      <w:r>
        <w:rPr>
          <w:rFonts w:ascii="Garamond" w:hAnsi="Garamond" w:eastAsia="Segoe UI" w:cs="Garamond"/>
        </w:rPr>
        <w:tab/>
      </w:r>
      <w:r>
        <w:rPr>
          <w:rFonts w:ascii="Garamond" w:hAnsi="Garamond" w:eastAsia="Segoe UI" w:cs="Garamond"/>
        </w:rPr>
        <w:t xml:space="preserve">countries. </w:t>
      </w:r>
      <w:r>
        <w:rPr>
          <w:rStyle w:val="13"/>
          <w:rFonts w:ascii="Garamond" w:hAnsi="Garamond" w:eastAsia="Segoe UI" w:cs="Garamond"/>
          <w:i w:val="0"/>
          <w:iCs w:val="0"/>
        </w:rPr>
        <w:t>American Economic Review</w:t>
      </w:r>
      <w:r>
        <w:rPr>
          <w:rStyle w:val="13"/>
          <w:rFonts w:ascii="Garamond" w:hAnsi="Garamond" w:eastAsia="Segoe UI" w:cs="Garamond"/>
        </w:rPr>
        <w:t>, 40</w:t>
      </w:r>
      <w:r>
        <w:rPr>
          <w:rFonts w:ascii="Garamond" w:hAnsi="Garamond" w:eastAsia="Segoe UI" w:cs="Garamond"/>
        </w:rPr>
        <w:t>(2), 473–485.</w:t>
      </w:r>
    </w:p>
    <w:p w14:paraId="668666ED">
      <w:pPr>
        <w:spacing w:line="200" w:lineRule="atLeast"/>
        <w:jc w:val="both"/>
        <w:rPr>
          <w:rFonts w:ascii="Garamond" w:hAnsi="Garamond" w:cs="Garamond"/>
        </w:rPr>
      </w:pPr>
      <w:r>
        <w:rPr>
          <w:rFonts w:ascii="Garamond" w:hAnsi="Garamond" w:eastAsia="Segoe UI" w:cs="Garamond"/>
        </w:rPr>
        <w:t xml:space="preserve">Strange, S. (1996). </w:t>
      </w:r>
      <w:r>
        <w:rPr>
          <w:rStyle w:val="13"/>
          <w:rFonts w:ascii="Garamond" w:hAnsi="Garamond" w:eastAsia="Segoe UI" w:cs="Garamond"/>
        </w:rPr>
        <w:t>The retreat of the state</w:t>
      </w:r>
      <w:r>
        <w:rPr>
          <w:rFonts w:ascii="Garamond" w:hAnsi="Garamond" w:eastAsia="Segoe UI" w:cs="Garamond"/>
        </w:rPr>
        <w:t xml:space="preserve">. Cambridge: Cambridge University Press. </w:t>
      </w:r>
    </w:p>
    <w:p w14:paraId="4D2785A3">
      <w:pPr>
        <w:pStyle w:val="3"/>
        <w:spacing w:line="200" w:lineRule="atLeast"/>
        <w:jc w:val="both"/>
        <w:rPr>
          <w:rFonts w:ascii="Garamond" w:hAnsi="Garamond" w:cs="Garamond"/>
          <w:b/>
          <w:bCs/>
          <w:sz w:val="24"/>
          <w:szCs w:val="24"/>
        </w:rPr>
      </w:pPr>
      <w:r>
        <w:rPr>
          <w:rFonts w:ascii="Garamond" w:hAnsi="Garamond" w:eastAsia="Segoe UI" w:cs="Garamond"/>
          <w:sz w:val="24"/>
          <w:szCs w:val="24"/>
        </w:rPr>
        <w:t xml:space="preserve">Tsapenko, I., &amp; Grishin, K. (2022). Virtual labour migration. </w:t>
      </w:r>
      <w:r>
        <w:rPr>
          <w:rStyle w:val="13"/>
          <w:rFonts w:ascii="Garamond" w:hAnsi="Garamond" w:eastAsia="Segoe UI" w:cs="Garamond"/>
          <w:sz w:val="24"/>
          <w:szCs w:val="24"/>
        </w:rPr>
        <w:t>Economic Sociology, 23</w:t>
      </w:r>
      <w:r>
        <w:rPr>
          <w:rFonts w:ascii="Garamond" w:hAnsi="Garamond" w:eastAsia="Segoe UI" w:cs="Garamond"/>
          <w:sz w:val="24"/>
          <w:szCs w:val="24"/>
        </w:rPr>
        <w:t xml:space="preserve">(1), </w:t>
      </w:r>
      <w:r>
        <w:rPr>
          <w:rFonts w:ascii="Garamond" w:hAnsi="Garamond" w:eastAsia="Segoe UI" w:cs="Garamond"/>
          <w:sz w:val="24"/>
          <w:szCs w:val="24"/>
        </w:rPr>
        <w:tab/>
      </w:r>
      <w:r>
        <w:rPr>
          <w:rFonts w:ascii="Garamond" w:hAnsi="Garamond" w:eastAsia="Segoe UI" w:cs="Garamond"/>
          <w:sz w:val="24"/>
          <w:szCs w:val="24"/>
        </w:rPr>
        <w:t>12–30.</w:t>
      </w:r>
    </w:p>
    <w:p w14:paraId="003E9B81">
      <w:pPr>
        <w:spacing w:beforeAutospacing="1" w:afterAutospacing="1" w:line="200" w:lineRule="atLeast"/>
        <w:jc w:val="both"/>
        <w:rPr>
          <w:rFonts w:ascii="Garamond" w:hAnsi="Garamond" w:eastAsia="Segoe UI" w:cs="Garamond"/>
          <w:kern w:val="44"/>
          <w:lang w:bidi="ar"/>
        </w:rPr>
      </w:pPr>
      <w:r>
        <w:rPr>
          <w:rFonts w:ascii="Garamond" w:hAnsi="Garamond" w:eastAsia="Segoe UI" w:cs="Garamond"/>
          <w:kern w:val="44"/>
          <w:lang w:eastAsia="zh-CN" w:bidi="ar"/>
        </w:rPr>
        <w:t xml:space="preserve">Venkatesh, V. (2000). Determinants of perceived ease of use. </w:t>
      </w:r>
      <w:r>
        <w:rPr>
          <w:rStyle w:val="13"/>
          <w:rFonts w:ascii="Garamond" w:hAnsi="Garamond" w:eastAsia="Segoe UI" w:cs="Garamond"/>
          <w:kern w:val="44"/>
          <w:lang w:eastAsia="zh-CN"/>
        </w:rPr>
        <w:t>MIS Quarterly, 24</w:t>
      </w:r>
      <w:r>
        <w:rPr>
          <w:rFonts w:ascii="Garamond" w:hAnsi="Garamond" w:eastAsia="Segoe UI" w:cs="Garamond"/>
          <w:kern w:val="44"/>
          <w:lang w:eastAsia="zh-CN" w:bidi="ar"/>
        </w:rPr>
        <w:t>(4), 425–</w:t>
      </w:r>
      <w:r>
        <w:rPr>
          <w:rFonts w:ascii="Garamond" w:hAnsi="Garamond" w:eastAsia="Segoe UI" w:cs="Garamond"/>
          <w:kern w:val="44"/>
          <w:lang w:eastAsia="zh-CN" w:bidi="ar"/>
        </w:rPr>
        <w:tab/>
      </w:r>
      <w:r>
        <w:rPr>
          <w:rFonts w:ascii="Garamond" w:hAnsi="Garamond" w:eastAsia="Segoe UI" w:cs="Garamond"/>
          <w:kern w:val="44"/>
          <w:lang w:eastAsia="zh-CN" w:bidi="ar"/>
        </w:rPr>
        <w:t xml:space="preserve">478. </w:t>
      </w:r>
    </w:p>
    <w:p w14:paraId="7CE05CCE">
      <w:pPr>
        <w:pStyle w:val="3"/>
        <w:jc w:val="both"/>
        <w:rPr>
          <w:rStyle w:val="38"/>
          <w:rFonts w:ascii="Garamond" w:hAnsi="Garamond"/>
          <w:sz w:val="24"/>
          <w:szCs w:val="24"/>
        </w:rPr>
      </w:pPr>
      <w:r>
        <w:rPr>
          <w:rStyle w:val="38"/>
          <w:rFonts w:ascii="Garamond" w:hAnsi="Garamond"/>
          <w:sz w:val="24"/>
          <w:szCs w:val="24"/>
        </w:rPr>
        <w:t xml:space="preserve">Viner, J. (1950). The customs union issue. New York, NY: Carnegie Endowment for </w:t>
      </w:r>
      <w:r>
        <w:rPr>
          <w:rStyle w:val="38"/>
          <w:rFonts w:ascii="Garamond" w:hAnsi="Garamond"/>
          <w:sz w:val="24"/>
          <w:szCs w:val="24"/>
        </w:rPr>
        <w:tab/>
      </w:r>
      <w:r>
        <w:rPr>
          <w:rStyle w:val="38"/>
          <w:rFonts w:ascii="Garamond" w:hAnsi="Garamond"/>
          <w:sz w:val="24"/>
          <w:szCs w:val="24"/>
        </w:rPr>
        <w:t>International Peace.</w:t>
      </w:r>
    </w:p>
    <w:p w14:paraId="46554CD7">
      <w:pPr>
        <w:pStyle w:val="3"/>
        <w:jc w:val="both"/>
        <w:rPr>
          <w:rStyle w:val="38"/>
          <w:rFonts w:ascii="Garamond" w:hAnsi="Garamond"/>
          <w:sz w:val="24"/>
          <w:szCs w:val="24"/>
        </w:rPr>
      </w:pPr>
      <w:r>
        <w:rPr>
          <w:rStyle w:val="38"/>
          <w:rFonts w:ascii="Garamond" w:hAnsi="Garamond"/>
          <w:sz w:val="24"/>
          <w:szCs w:val="24"/>
        </w:rPr>
        <w:t xml:space="preserve">Wade, R. (1996). Globalization and its limits: Reports of the death of the national </w:t>
      </w:r>
      <w:r>
        <w:rPr>
          <w:rStyle w:val="38"/>
          <w:rFonts w:ascii="Garamond" w:hAnsi="Garamond"/>
          <w:sz w:val="24"/>
          <w:szCs w:val="24"/>
        </w:rPr>
        <w:tab/>
      </w:r>
      <w:r>
        <w:rPr>
          <w:rStyle w:val="38"/>
          <w:rFonts w:ascii="Garamond" w:hAnsi="Garamond"/>
          <w:sz w:val="24"/>
          <w:szCs w:val="24"/>
        </w:rPr>
        <w:t>economy are greatly exaggerated. World Development, 24(1), 1–20.</w:t>
      </w:r>
    </w:p>
    <w:p w14:paraId="51719BA9">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Wernerfelt, B. (1984). A resource-based view of the firm. </w:t>
      </w:r>
      <w:r>
        <w:rPr>
          <w:rStyle w:val="13"/>
          <w:rFonts w:ascii="Garamond" w:hAnsi="Garamond" w:eastAsia="Segoe UI" w:cs="Garamond"/>
          <w:i w:val="0"/>
          <w:iCs w:val="0"/>
          <w:kern w:val="0"/>
          <w:lang w:eastAsia="zh-CN"/>
        </w:rPr>
        <w:t>Strategic Management Journal</w:t>
      </w:r>
      <w:r>
        <w:rPr>
          <w:rStyle w:val="13"/>
          <w:rFonts w:ascii="Garamond" w:hAnsi="Garamond" w:eastAsia="Segoe UI" w:cs="Garamond"/>
          <w:kern w:val="0"/>
          <w:lang w:eastAsia="zh-CN"/>
        </w:rPr>
        <w:t xml:space="preserve">, </w:t>
      </w:r>
      <w:r>
        <w:rPr>
          <w:rStyle w:val="13"/>
          <w:rFonts w:ascii="Garamond" w:hAnsi="Garamond" w:eastAsia="Segoe UI" w:cs="Garamond"/>
          <w:kern w:val="0"/>
          <w:lang w:eastAsia="zh-CN"/>
        </w:rPr>
        <w:tab/>
      </w:r>
      <w:r>
        <w:rPr>
          <w:rStyle w:val="13"/>
          <w:rFonts w:ascii="Garamond" w:hAnsi="Garamond" w:eastAsia="Segoe UI" w:cs="Garamond"/>
          <w:kern w:val="0"/>
          <w:lang w:eastAsia="zh-CN"/>
        </w:rPr>
        <w:t>5</w:t>
      </w:r>
      <w:r>
        <w:rPr>
          <w:rFonts w:ascii="Garamond" w:hAnsi="Garamond" w:eastAsia="Segoe UI" w:cs="Garamond"/>
          <w:kern w:val="0"/>
          <w:lang w:eastAsia="zh-CN" w:bidi="ar"/>
        </w:rPr>
        <w:t xml:space="preserve">(2), 171–180. </w:t>
      </w:r>
    </w:p>
    <w:p w14:paraId="0E6D8E25">
      <w:pPr>
        <w:spacing w:beforeAutospacing="1" w:afterAutospacing="1" w:line="200" w:lineRule="atLeast"/>
        <w:jc w:val="both"/>
        <w:rPr>
          <w:rFonts w:ascii="Garamond" w:hAnsi="Garamond" w:eastAsia="Segoe UI" w:cs="Garamond"/>
          <w:lang w:bidi="ar"/>
        </w:rPr>
      </w:pPr>
      <w:r>
        <w:rPr>
          <w:rFonts w:ascii="Garamond" w:hAnsi="Garamond" w:eastAsia="Segoe UI" w:cs="Garamond"/>
          <w:kern w:val="0"/>
          <w:lang w:eastAsia="zh-CN" w:bidi="ar"/>
        </w:rPr>
        <w:t xml:space="preserve">Williamson, O. E. (1975). </w:t>
      </w:r>
      <w:r>
        <w:rPr>
          <w:rStyle w:val="13"/>
          <w:rFonts w:ascii="Garamond" w:hAnsi="Garamond" w:eastAsia="Segoe UI" w:cs="Garamond"/>
          <w:kern w:val="0"/>
          <w:lang w:eastAsia="zh-CN"/>
        </w:rPr>
        <w:t>Markets and hierarchies</w:t>
      </w:r>
      <w:r>
        <w:rPr>
          <w:rFonts w:ascii="Garamond" w:hAnsi="Garamond" w:eastAsia="Segoe UI" w:cs="Garamond"/>
          <w:kern w:val="0"/>
          <w:lang w:eastAsia="zh-CN" w:bidi="ar"/>
        </w:rPr>
        <w:t xml:space="preserve">. New York, NY: Free Press. </w:t>
      </w:r>
    </w:p>
    <w:p w14:paraId="1BF2DC90">
      <w:pPr>
        <w:spacing w:beforeAutospacing="1" w:afterAutospacing="1" w:line="200" w:lineRule="atLeast"/>
        <w:jc w:val="both"/>
        <w:rPr>
          <w:rFonts w:ascii="Garamond" w:hAnsi="Garamond" w:eastAsia="SimSun" w:cs="Garamond"/>
          <w:lang w:bidi="ar"/>
        </w:rPr>
      </w:pPr>
      <w:r>
        <w:rPr>
          <w:rFonts w:ascii="Garamond" w:hAnsi="Garamond" w:eastAsia="Segoe UI" w:cs="Garamond"/>
          <w:kern w:val="0"/>
          <w:lang w:eastAsia="zh-CN" w:bidi="ar"/>
        </w:rPr>
        <w:t xml:space="preserve">Williamson, O. E. (1985). </w:t>
      </w:r>
      <w:r>
        <w:rPr>
          <w:rStyle w:val="13"/>
          <w:rFonts w:ascii="Garamond" w:hAnsi="Garamond" w:eastAsia="Segoe UI" w:cs="Garamond"/>
          <w:kern w:val="0"/>
          <w:lang w:eastAsia="zh-CN"/>
        </w:rPr>
        <w:t>The economic institutions of capitalism</w:t>
      </w:r>
      <w:r>
        <w:rPr>
          <w:rFonts w:ascii="Garamond" w:hAnsi="Garamond" w:eastAsia="Segoe UI" w:cs="Garamond"/>
          <w:kern w:val="0"/>
          <w:lang w:eastAsia="zh-CN" w:bidi="ar"/>
        </w:rPr>
        <w:t xml:space="preserve">. New York, NY: Free </w:t>
      </w:r>
      <w:r>
        <w:rPr>
          <w:rFonts w:ascii="Garamond" w:hAnsi="Garamond" w:eastAsia="Segoe UI" w:cs="Garamond"/>
          <w:kern w:val="0"/>
          <w:lang w:eastAsia="zh-CN" w:bidi="ar"/>
        </w:rPr>
        <w:tab/>
      </w:r>
      <w:r>
        <w:rPr>
          <w:rFonts w:ascii="Garamond" w:hAnsi="Garamond" w:eastAsia="Segoe UI" w:cs="Garamond"/>
          <w:kern w:val="0"/>
          <w:lang w:eastAsia="zh-CN" w:bidi="ar"/>
        </w:rPr>
        <w:t xml:space="preserve">Press. </w:t>
      </w:r>
    </w:p>
    <w:p w14:paraId="4F043FDA">
      <w:pPr>
        <w:jc w:val="both"/>
        <w:rPr>
          <w:rStyle w:val="16"/>
          <w:rFonts w:ascii="Garamond" w:hAnsi="Garamond" w:cs="Garamond"/>
        </w:rPr>
      </w:pPr>
    </w:p>
    <w:p w14:paraId="028A840D">
      <w:pPr>
        <w:pStyle w:val="15"/>
        <w:jc w:val="both"/>
        <w:rPr>
          <w:rFonts w:ascii="Garamond" w:hAnsi="Garamond"/>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Lato-Regular">
    <w:altName w:val="Times New Roman"/>
    <w:panose1 w:val="00000000000000000000"/>
    <w:charset w:val="00"/>
    <w:family w:val="roman"/>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等线">
    <w:altName w:val="Microsoft YaHei"/>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1376F"/>
    <w:multiLevelType w:val="singleLevel"/>
    <w:tmpl w:val="9B11376F"/>
    <w:lvl w:ilvl="0" w:tentative="0">
      <w:start w:val="1"/>
      <w:numFmt w:val="decimal"/>
      <w:suff w:val="space"/>
      <w:lvlText w:val="%1."/>
      <w:lvlJc w:val="left"/>
    </w:lvl>
  </w:abstractNum>
  <w:abstractNum w:abstractNumId="1">
    <w:nsid w:val="FCBD79B1"/>
    <w:multiLevelType w:val="singleLevel"/>
    <w:tmpl w:val="FCBD79B1"/>
    <w:lvl w:ilvl="0" w:tentative="0">
      <w:start w:val="4"/>
      <w:numFmt w:val="decimal"/>
      <w:suff w:val="space"/>
      <w:lvlText w:val="%1."/>
      <w:lvlJc w:val="left"/>
    </w:lvl>
  </w:abstractNum>
  <w:abstractNum w:abstractNumId="2">
    <w:nsid w:val="23E242A1"/>
    <w:multiLevelType w:val="multilevel"/>
    <w:tmpl w:val="23E242A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A85720A"/>
    <w:multiLevelType w:val="singleLevel"/>
    <w:tmpl w:val="2A85720A"/>
    <w:lvl w:ilvl="0" w:tentative="0">
      <w:start w:val="1"/>
      <w:numFmt w:val="lowerLetter"/>
      <w:suff w:val="space"/>
      <w:lvlText w:val="%1."/>
      <w:lvlJc w:val="left"/>
    </w:lvl>
  </w:abstractNum>
  <w:abstractNum w:abstractNumId="4">
    <w:nsid w:val="3E771DCE"/>
    <w:multiLevelType w:val="multilevel"/>
    <w:tmpl w:val="3E771D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F73BEB4"/>
    <w:multiLevelType w:val="singleLevel"/>
    <w:tmpl w:val="7F73BEB4"/>
    <w:lvl w:ilvl="0" w:tentative="0">
      <w:start w:val="1"/>
      <w:numFmt w:val="lowerLetter"/>
      <w:suff w:val="space"/>
      <w:lvlText w:val="%1."/>
      <w:lvlJc w:val="left"/>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2D"/>
    <w:rsid w:val="000D3A82"/>
    <w:rsid w:val="0020516E"/>
    <w:rsid w:val="0021480B"/>
    <w:rsid w:val="00217694"/>
    <w:rsid w:val="00305594"/>
    <w:rsid w:val="003872B4"/>
    <w:rsid w:val="00634796"/>
    <w:rsid w:val="006D3068"/>
    <w:rsid w:val="0071484D"/>
    <w:rsid w:val="0082200A"/>
    <w:rsid w:val="00A4422D"/>
    <w:rsid w:val="00AC3DBE"/>
    <w:rsid w:val="00FE1697"/>
    <w:rsid w:val="018A1427"/>
    <w:rsid w:val="0FA35C35"/>
    <w:rsid w:val="16BE72DC"/>
    <w:rsid w:val="19532B19"/>
    <w:rsid w:val="19CB3F91"/>
    <w:rsid w:val="1B487750"/>
    <w:rsid w:val="1FB11C0E"/>
    <w:rsid w:val="230A5AD7"/>
    <w:rsid w:val="25943CEA"/>
    <w:rsid w:val="294471C1"/>
    <w:rsid w:val="2AB60CD9"/>
    <w:rsid w:val="2E6F71BF"/>
    <w:rsid w:val="31B36393"/>
    <w:rsid w:val="32323FE6"/>
    <w:rsid w:val="3598597D"/>
    <w:rsid w:val="37D529A9"/>
    <w:rsid w:val="3B27789D"/>
    <w:rsid w:val="3E037C4A"/>
    <w:rsid w:val="3E4915E0"/>
    <w:rsid w:val="4CB14F60"/>
    <w:rsid w:val="523E73BD"/>
    <w:rsid w:val="56054FAD"/>
    <w:rsid w:val="56304ED7"/>
    <w:rsid w:val="59AC73AD"/>
    <w:rsid w:val="651954EB"/>
    <w:rsid w:val="699E381F"/>
    <w:rsid w:val="69BE3F8A"/>
    <w:rsid w:val="6F686A54"/>
    <w:rsid w:val="708A02D0"/>
    <w:rsid w:val="79D54FEF"/>
    <w:rsid w:val="79F16E9E"/>
    <w:rsid w:val="7C1D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qFormat/>
    <w:uiPriority w:val="0"/>
    <w:rPr>
      <w:i/>
      <w:iCs/>
    </w:rPr>
  </w:style>
  <w:style w:type="character" w:styleId="14">
    <w:name w:val="Hyperlink"/>
    <w:basedOn w:val="11"/>
    <w:qFormat/>
    <w:uiPriority w:val="0"/>
    <w:rPr>
      <w:color w:val="0000FF"/>
      <w:u w:val="single"/>
    </w:rPr>
  </w:style>
  <w:style w:type="paragraph" w:styleId="15">
    <w:name w:val="Normal (Web)"/>
    <w:qFormat/>
    <w:uiPriority w:val="0"/>
    <w:pPr>
      <w:spacing w:beforeAutospacing="1" w:after="0" w:afterAutospacing="1" w:line="240" w:lineRule="auto"/>
    </w:pPr>
    <w:rPr>
      <w:rFonts w:ascii="Times New Roman" w:hAnsi="Times New Roman" w:eastAsia="SimSun" w:cs="Times New Roman"/>
      <w:kern w:val="0"/>
      <w:sz w:val="24"/>
      <w:szCs w:val="24"/>
      <w:lang w:val="en-US" w:eastAsia="zh-CN" w:bidi="ar-SA"/>
      <w14:ligatures w14:val="none"/>
    </w:rPr>
  </w:style>
  <w:style w:type="character" w:styleId="16">
    <w:name w:val="Strong"/>
    <w:basedOn w:val="11"/>
    <w:qFormat/>
    <w:uiPriority w:val="22"/>
    <w:rPr>
      <w:b/>
      <w:bCs/>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uiPriority w:val="9"/>
    <w:rPr>
      <w:rFonts w:eastAsiaTheme="majorEastAsia" w:cstheme="majorBidi"/>
      <w:color w:val="2F5597" w:themeColor="accent1" w:themeShade="BF"/>
      <w:sz w:val="28"/>
      <w:szCs w:val="28"/>
    </w:rPr>
  </w:style>
  <w:style w:type="character" w:customStyle="1" w:styleId="22">
    <w:name w:val="Heading 4 Char"/>
    <w:basedOn w:val="11"/>
    <w:link w:val="5"/>
    <w:semiHidden/>
    <w:uiPriority w:val="9"/>
    <w:rPr>
      <w:rFonts w:eastAsiaTheme="majorEastAsia" w:cstheme="majorBidi"/>
      <w:i/>
      <w:iCs/>
      <w:color w:val="2F5597" w:themeColor="accent1" w:themeShade="BF"/>
    </w:rPr>
  </w:style>
  <w:style w:type="character" w:customStyle="1" w:styleId="23">
    <w:name w:val="Heading 5 Char"/>
    <w:basedOn w:val="11"/>
    <w:link w:val="6"/>
    <w:semiHidden/>
    <w:uiPriority w:val="9"/>
    <w:rPr>
      <w:rFonts w:eastAsiaTheme="majorEastAsia" w:cstheme="majorBidi"/>
      <w:color w:val="2F5597"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paragraph" w:styleId="37">
    <w:name w:val="No Spacing"/>
    <w:qFormat/>
    <w:uiPriority w:val="1"/>
    <w:pPr>
      <w:spacing w:after="0" w:line="240" w:lineRule="auto"/>
    </w:pPr>
    <w:rPr>
      <w:rFonts w:asciiTheme="minorHAnsi" w:hAnsiTheme="minorHAnsi" w:eastAsiaTheme="minorHAnsi" w:cstheme="minorBidi"/>
      <w:kern w:val="2"/>
      <w:sz w:val="24"/>
      <w:szCs w:val="24"/>
      <w:lang w:val="en-US" w:eastAsia="en-US" w:bidi="ar-SA"/>
      <w14:ligatures w14:val="standardContextual"/>
    </w:rPr>
  </w:style>
  <w:style w:type="character" w:customStyle="1" w:styleId="38">
    <w:name w:val="fontstyle01"/>
    <w:basedOn w:val="11"/>
    <w:qFormat/>
    <w:uiPriority w:val="0"/>
    <w:rPr>
      <w:rFonts w:hint="default" w:ascii="Lato-Regular" w:hAnsi="Lato-Regular"/>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1855</Words>
  <Characters>11792</Characters>
  <Lines>262</Lines>
  <Paragraphs>73</Paragraphs>
  <TotalTime>12</TotalTime>
  <ScaleCrop>false</ScaleCrop>
  <LinksUpToDate>false</LinksUpToDate>
  <CharactersWithSpaces>13609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2026-06-20T11:37:00Z</dcterms:created>
  <dc:creator>Ibrahim Waheed</dc:creator>
  <cp:lastModifiedBy>WPS_1780483615</cp:lastModifiedBy>
  <dcterms:modified xsi:type="dcterms:W3CDTF">2026-06-24T12:02:06Z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15969171-9db0-46f2-838c-1d8c1e7d07f8</vt:lpwstr>
  </property>
  <property fmtid="{D5CDD505-2E9C-101B-9397-08002B2CF9AE}" pid="3" name="KSOTemplateDocerSaveRecord">
    <vt:lpwstr>eyJoZGlkIjoiYjI3ZDRjNDM3NDYyNzczNjJiNzU4NjhiM2ZlNWMzMTQiLCJ1c2VySWQiOiIyNzQ4NzgxMTA0OTM0In0=</vt:lpwstr>
  </property>
  <property fmtid="{D5CDD505-2E9C-101B-9397-08002B2CF9AE}" pid="4" name="KSOProductBuildVer">
    <vt:lpwstr>1033-12.1.0.26880</vt:lpwstr>
  </property>
  <property fmtid="{D5CDD505-2E9C-101B-9397-08002B2CF9AE}" pid="5" name="ICV">
    <vt:lpwstr>54FBE9AF456144D790023B7125EC64D3_13</vt:lpwstr>
  </property>
</Properties>
</file>